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4472C4" w:themeColor="accent1"/>
          <w:sz w:val="24"/>
          <w:szCs w:val="24"/>
          <w:lang w:val="en-GB" w:eastAsia="en-US"/>
        </w:rPr>
        <w:id w:val="1916512131"/>
        <w:docPartObj>
          <w:docPartGallery w:val="Cover Pages"/>
          <w:docPartUnique/>
        </w:docPartObj>
      </w:sdtPr>
      <w:sdtEndPr>
        <w:rPr>
          <w:rFonts w:ascii="Oswald" w:eastAsia="Times New Roman" w:hAnsi="Oswald" w:cs="Times New Roman (Body CS)"/>
          <w:b/>
          <w:color w:val="0E1428"/>
          <w:spacing w:val="120"/>
          <w:sz w:val="52"/>
          <w:szCs w:val="52"/>
          <w:lang w:eastAsia="en-GB"/>
        </w:rPr>
      </w:sdtEndPr>
      <w:sdtContent>
        <w:p w14:paraId="6A7C52FE" w14:textId="77777777" w:rsidR="00C73CEA" w:rsidRPr="00B677B4" w:rsidRDefault="00C73CEA" w:rsidP="00C73CEA">
          <w:pPr>
            <w:pStyle w:val="NoSpacing"/>
            <w:spacing w:before="1540" w:after="240"/>
            <w:rPr>
              <w:lang w:val="en-GB"/>
            </w:rPr>
          </w:pPr>
        </w:p>
        <w:p w14:paraId="0F0E4FE5" w14:textId="4A6ADD23" w:rsidR="00C73CEA" w:rsidRPr="00B677B4" w:rsidRDefault="00C73CEA" w:rsidP="00C73CEA">
          <w:pPr>
            <w:rPr>
              <w:rFonts w:ascii="Oswald" w:hAnsi="Oswald" w:cs="Times New Roman (Body CS)"/>
              <w:b/>
              <w:color w:val="0E1428"/>
              <w:spacing w:val="120"/>
              <w:sz w:val="52"/>
              <w:szCs w:val="52"/>
            </w:rPr>
          </w:pPr>
          <w:r w:rsidRPr="00C8767A">
            <w:rPr>
              <w:rFonts w:ascii="Oswald" w:hAnsi="Oswald" w:cs="Times New Roman (Body CS)"/>
              <w:b/>
              <w:noProof/>
              <w:color w:val="0E1428"/>
              <w:spacing w:val="120"/>
              <w:sz w:val="52"/>
              <w:szCs w:val="52"/>
            </w:rPr>
            <w:drawing>
              <wp:inline distT="0" distB="0" distL="0" distR="0" wp14:anchorId="56DC66E4" wp14:editId="215EB534">
                <wp:extent cx="3449320" cy="1860550"/>
                <wp:effectExtent l="0" t="0" r="0" b="6350"/>
                <wp:docPr id="36" name="Picture 36" descr="Strategic developmen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rategic development grou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9320" cy="1860550"/>
                        </a:xfrm>
                        <a:prstGeom prst="rect">
                          <a:avLst/>
                        </a:prstGeom>
                      </pic:spPr>
                    </pic:pic>
                  </a:graphicData>
                </a:graphic>
              </wp:inline>
            </w:drawing>
          </w:r>
          <w:r w:rsidRPr="00C8767A">
            <w:rPr>
              <w:rFonts w:ascii="Oswald" w:hAnsi="Oswald" w:cs="Times New Roman (Body CS)"/>
              <w:b/>
              <w:noProof/>
              <w:color w:val="0E1428"/>
              <w:spacing w:val="120"/>
              <w:sz w:val="52"/>
              <w:szCs w:val="52"/>
            </w:rPr>
            <mc:AlternateContent>
              <mc:Choice Requires="wps">
                <w:drawing>
                  <wp:inline distT="0" distB="0" distL="0" distR="0" wp14:anchorId="7D2C7942" wp14:editId="16DA586E">
                    <wp:extent cx="5563475" cy="0"/>
                    <wp:effectExtent l="0" t="0" r="0" b="0"/>
                    <wp:docPr id="37" name="Straight Connector 37" descr="Strategic Development Group lgoo"/>
                    <wp:cNvGraphicFramePr/>
                    <a:graphic xmlns:a="http://schemas.openxmlformats.org/drawingml/2006/main">
                      <a:graphicData uri="http://schemas.microsoft.com/office/word/2010/wordprocessingShape">
                        <wps:wsp>
                          <wps:cNvCnPr/>
                          <wps:spPr>
                            <a:xfrm>
                              <a:off x="0" y="0"/>
                              <a:ext cx="5563475" cy="0"/>
                            </a:xfrm>
                            <a:prstGeom prst="line">
                              <a:avLst/>
                            </a:prstGeom>
                            <a:ln w="22225" cap="rnd">
                              <a:solidFill>
                                <a:srgbClr val="0E14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7031C8" id="Straight Connector 37" o:spid="_x0000_s1026" alt="Strategic Development Group lgoo" style="visibility:visible;mso-wrap-style:square;mso-left-percent:-10001;mso-top-percent:-10001;mso-position-horizontal:absolute;mso-position-horizontal-relative:char;mso-position-vertical:absolute;mso-position-vertical-relative:line;mso-left-percent:-10001;mso-top-percent:-10001" from="0,0" to="43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rPzwEAAAMEAAAOAAAAZHJzL2Uyb0RvYy54bWysU12P0zAQfEfiP1h+p0nK9ThFTe/hyvGC&#10;4MTBD3CddWPJsS2vaZJ/z9ppU74kBCIPTmLPzO5MNtv7sTfsBAG1sw2vViVnYKVrtT02/Mvnx1d3&#10;nGEUthXGWWj4BMjvdy9fbAdfw9p1zrQQGIlYrAff8C5GXxcFyg56gSvnwdKhcqEXkV7DsWiDGEi9&#10;N8W6LG+LwYXWBycBkXb38yHfZX2lQMaPSiFEZhpOvcW8hrwe0lrstqI+BuE7Lc9tiH/oohfaUtFF&#10;ai+iYF+D/kWq1zI4dCqupOsLp5SWkD2Qm6r8yc1zJzxkLxQO+iUm/H+y8sPpwT4FimHwWKN/CsnF&#10;qEKf7tQfG3NY0xIWjJFJ2txsbl/fvNlwJi9nxZXoA8Z34HqWHhputE0+RC1O7zFSMYJeIGnbWDY0&#10;fE1X0hM0B8G2mYDO6PZRG5NgGI6HBxPYSaSv+ba6Wd+lD0hiP8CS8l5gN+Nwwr2LZ5yxBL86zU9x&#10;MjA38QkU0y15q+baaQhhKSikBBurRYnQiaaouYVY/pl4xicq5AH9G/LCyJWdjQu519aF31WP46Vl&#10;NeMvCcy+UwQH1055BnI0NGk50/NfkUb5+/dMv/67u28AAAD//wMAUEsDBBQABgAIAAAAIQAWrlaI&#10;2AAAAAIBAAAPAAAAZHJzL2Rvd25yZXYueG1sTI8xT8MwEIV3JP6DdUhs1GmGkoY4VYXEwoJaGBiv&#10;9sWJGp9D7LShvx6XBZYnPb3Te99Vm9n14kRj6DwrWC4yEMTam46tgo/3l4cCRIjIBnvPpOCbAmzq&#10;25sKS+PPvKPTPlqRSjiUqKCNcSilDLolh2HhB+KUNX50GJMdrTQjnlO562WeZSvpsOO00OJAzy3p&#10;435yCnb5Zf1KufVNZz+/1pemmN60Vur+bt4+gYg0x79juOIndKgT08FPbILoFaRH4q+mrHhcLUEc&#10;rlbWlfyPXv8AAAD//wMAUEsBAi0AFAAGAAgAAAAhALaDOJL+AAAA4QEAABMAAAAAAAAAAAAAAAAA&#10;AAAAAFtDb250ZW50X1R5cGVzXS54bWxQSwECLQAUAAYACAAAACEAOP0h/9YAAACUAQAACwAAAAAA&#10;AAAAAAAAAAAvAQAAX3JlbHMvLnJlbHNQSwECLQAUAAYACAAAACEA614az88BAAADBAAADgAAAAAA&#10;AAAAAAAAAAAuAgAAZHJzL2Uyb0RvYy54bWxQSwECLQAUAAYACAAAACEAFq5WiNgAAAACAQAADwAA&#10;AAAAAAAAAAAAAAApBAAAZHJzL2Rvd25yZXYueG1sUEsFBgAAAAAEAAQA8wAAAC4FAAAAAA==&#10;" strokecolor="#0e1428" strokeweight="1.75pt">
                    <v:stroke dashstyle="1 1" joinstyle="miter" endcap="round"/>
                    <w10:anchorlock/>
                  </v:line>
                </w:pict>
              </mc:Fallback>
            </mc:AlternateContent>
          </w:r>
        </w:p>
        <w:p w14:paraId="4BC1E171" w14:textId="201A4F4E" w:rsidR="00C73CEA" w:rsidRPr="00B677B4" w:rsidRDefault="00C73CEA" w:rsidP="00C73CEA">
          <w:pPr>
            <w:rPr>
              <w:rFonts w:ascii="Oswald" w:hAnsi="Oswald" w:cs="Times New Roman (Body CS)"/>
              <w:b/>
              <w:color w:val="0E1428"/>
              <w:spacing w:val="120"/>
              <w:sz w:val="52"/>
              <w:szCs w:val="52"/>
            </w:rPr>
          </w:pPr>
        </w:p>
        <w:p w14:paraId="14E61A15" w14:textId="77777777" w:rsidR="003668F5" w:rsidRPr="00472D6B" w:rsidRDefault="003668F5" w:rsidP="003668F5">
          <w:pPr>
            <w:pStyle w:val="Subheading"/>
            <w:rPr>
              <w:rStyle w:val="MajorHeading"/>
              <w:rFonts w:asciiTheme="majorHAnsi" w:hAnsiTheme="majorHAnsi" w:cstheme="majorHAnsi"/>
              <w:b w:val="0"/>
              <w:color w:val="B7432A"/>
              <w:spacing w:val="30"/>
              <w:sz w:val="22"/>
              <w:szCs w:val="22"/>
              <w:lang w:val="en-GB"/>
            </w:rPr>
          </w:pPr>
          <w:r>
            <w:rPr>
              <w:rStyle w:val="MajorHeading"/>
              <w:rFonts w:asciiTheme="majorHAnsi" w:hAnsiTheme="majorHAnsi" w:cstheme="majorHAnsi"/>
              <w:b w:val="0"/>
              <w:color w:val="B7432A"/>
              <w:spacing w:val="30"/>
              <w:sz w:val="22"/>
              <w:szCs w:val="22"/>
              <w:lang w:val="en-GB"/>
            </w:rPr>
            <w:t>Australia Mongolia Extractives Program (AMEP) II Mid-Term Review</w:t>
          </w:r>
        </w:p>
        <w:p w14:paraId="67F27D02" w14:textId="38EF4C90" w:rsidR="00C73CEA" w:rsidRDefault="00C73CEA" w:rsidP="00C73CEA">
          <w:pPr>
            <w:rPr>
              <w:rFonts w:ascii="Oswald" w:hAnsi="Oswald" w:cs="Times New Roman (Body CS)"/>
              <w:b/>
              <w:color w:val="0E1428"/>
              <w:spacing w:val="120"/>
              <w:sz w:val="52"/>
              <w:szCs w:val="52"/>
            </w:rPr>
          </w:pPr>
        </w:p>
        <w:p w14:paraId="64E84A07" w14:textId="77777777" w:rsidR="003668F5" w:rsidRPr="00C73CEA" w:rsidRDefault="003668F5" w:rsidP="003668F5">
          <w:pPr>
            <w:rPr>
              <w:rStyle w:val="MajorHeading"/>
            </w:rPr>
          </w:pPr>
          <w:r>
            <w:rPr>
              <w:rStyle w:val="MajorHeading"/>
              <w:rFonts w:asciiTheme="majorHAnsi" w:hAnsiTheme="majorHAnsi" w:cstheme="majorHAnsi"/>
            </w:rPr>
            <w:t xml:space="preserve">Final Report </w:t>
          </w:r>
        </w:p>
        <w:p w14:paraId="4F59116B" w14:textId="77777777" w:rsidR="003668F5" w:rsidRPr="00B677B4" w:rsidRDefault="003668F5" w:rsidP="00C73CEA">
          <w:pPr>
            <w:rPr>
              <w:rFonts w:ascii="Oswald" w:hAnsi="Oswald" w:cs="Times New Roman (Body CS)"/>
              <w:b/>
              <w:color w:val="0E1428"/>
              <w:spacing w:val="120"/>
              <w:sz w:val="52"/>
              <w:szCs w:val="52"/>
            </w:rPr>
          </w:pPr>
        </w:p>
        <w:p w14:paraId="76220B6B" w14:textId="77777777" w:rsidR="003668F5" w:rsidRDefault="003668F5" w:rsidP="003668F5">
          <w:pPr>
            <w:pStyle w:val="Subheading"/>
            <w:rPr>
              <w:rFonts w:asciiTheme="majorHAnsi" w:hAnsiTheme="majorHAnsi" w:cstheme="majorHAnsi"/>
              <w:lang w:val="en-GB"/>
            </w:rPr>
          </w:pPr>
          <w:r>
            <w:rPr>
              <w:rFonts w:asciiTheme="majorHAnsi" w:hAnsiTheme="majorHAnsi" w:cstheme="majorHAnsi"/>
              <w:lang w:val="en-GB"/>
            </w:rPr>
            <w:t>6 February 2023</w:t>
          </w:r>
        </w:p>
        <w:p w14:paraId="04F62C99" w14:textId="77777777" w:rsidR="003668F5" w:rsidRDefault="003668F5">
          <w:pPr>
            <w:rPr>
              <w:rFonts w:asciiTheme="majorHAnsi" w:hAnsiTheme="majorHAnsi" w:cstheme="majorHAnsi"/>
            </w:rPr>
          </w:pPr>
          <w:r>
            <w:rPr>
              <w:rFonts w:asciiTheme="majorHAnsi" w:hAnsiTheme="majorHAnsi" w:cstheme="majorHAnsi"/>
            </w:rPr>
            <w:br w:type="page"/>
          </w:r>
        </w:p>
        <w:p w14:paraId="1827CC5B" w14:textId="0D9AC14C" w:rsidR="00C73CEA" w:rsidRPr="003668F5" w:rsidRDefault="00000000" w:rsidP="003668F5">
          <w:pPr>
            <w:rPr>
              <w:rFonts w:asciiTheme="majorHAnsi" w:eastAsiaTheme="minorHAnsi" w:hAnsiTheme="majorHAnsi" w:cstheme="majorHAnsi"/>
              <w:color w:val="B7432A"/>
              <w:spacing w:val="30"/>
              <w:sz w:val="22"/>
              <w:szCs w:val="22"/>
              <w:lang w:eastAsia="en-US"/>
            </w:rPr>
          </w:pPr>
        </w:p>
      </w:sdtContent>
    </w:sdt>
    <w:p w14:paraId="49D78AA9" w14:textId="77777777" w:rsidR="00C73CEA" w:rsidRPr="00B677B4" w:rsidRDefault="00C73CEA" w:rsidP="00C73CEA">
      <w:pPr>
        <w:rPr>
          <w:rFonts w:ascii="Roboto Light" w:hAnsi="Roboto Light" w:cs="Roboto Light"/>
          <w:color w:val="0E1428"/>
          <w:sz w:val="18"/>
          <w:szCs w:val="18"/>
        </w:rPr>
      </w:pPr>
    </w:p>
    <w:p w14:paraId="6CEF59CC" w14:textId="77777777" w:rsidR="00C73CEA" w:rsidRPr="00B677B4" w:rsidRDefault="00C73CEA" w:rsidP="00C73CEA">
      <w:pPr>
        <w:rPr>
          <w:rFonts w:ascii="Roboto Light" w:hAnsi="Roboto Light" w:cs="Roboto Light"/>
          <w:sz w:val="18"/>
          <w:szCs w:val="18"/>
        </w:rPr>
      </w:pPr>
    </w:p>
    <w:p w14:paraId="3554D03C" w14:textId="77777777" w:rsidR="00C73CEA" w:rsidRPr="00B677B4" w:rsidRDefault="00C73CEA" w:rsidP="00C73CEA">
      <w:pPr>
        <w:rPr>
          <w:rFonts w:ascii="Roboto Light" w:hAnsi="Roboto Light" w:cs="Roboto Light"/>
          <w:sz w:val="18"/>
          <w:szCs w:val="18"/>
        </w:rPr>
      </w:pPr>
    </w:p>
    <w:p w14:paraId="11C561A5" w14:textId="77777777" w:rsidR="00C73CEA" w:rsidRPr="00B677B4" w:rsidRDefault="00C73CEA" w:rsidP="00C73CEA">
      <w:pPr>
        <w:rPr>
          <w:rFonts w:ascii="Roboto Light" w:hAnsi="Roboto Light" w:cs="Roboto Light"/>
          <w:sz w:val="18"/>
          <w:szCs w:val="18"/>
        </w:rPr>
      </w:pPr>
    </w:p>
    <w:p w14:paraId="5C3FB43B" w14:textId="77777777" w:rsidR="00C73CEA" w:rsidRPr="00B677B4" w:rsidRDefault="00C73CEA" w:rsidP="00C73CEA">
      <w:pPr>
        <w:rPr>
          <w:rFonts w:ascii="Roboto Light" w:hAnsi="Roboto Light" w:cs="Roboto Light"/>
          <w:sz w:val="18"/>
          <w:szCs w:val="18"/>
        </w:rPr>
      </w:pPr>
    </w:p>
    <w:p w14:paraId="6F7F898F" w14:textId="6C479ACA" w:rsidR="00C73CEA" w:rsidRPr="00B677B4" w:rsidRDefault="00C73CEA" w:rsidP="00C73CEA">
      <w:pPr>
        <w:jc w:val="center"/>
        <w:rPr>
          <w:rFonts w:ascii="Roboto Light" w:hAnsi="Roboto Light" w:cs="Roboto Light"/>
          <w:sz w:val="18"/>
          <w:szCs w:val="18"/>
        </w:rPr>
        <w:sectPr w:rsidR="00C73CEA" w:rsidRPr="00B677B4" w:rsidSect="00CA4FF8">
          <w:footerReference w:type="even" r:id="rId9"/>
          <w:footerReference w:type="default" r:id="rId10"/>
          <w:footerReference w:type="first" r:id="rId11"/>
          <w:pgSz w:w="11900" w:h="16840"/>
          <w:pgMar w:top="1701" w:right="1440" w:bottom="1440" w:left="1440" w:header="709" w:footer="709" w:gutter="0"/>
          <w:pgNumType w:start="0"/>
          <w:cols w:space="708"/>
          <w:titlePg/>
          <w:docGrid w:linePitch="360"/>
        </w:sectPr>
      </w:pPr>
    </w:p>
    <w:p w14:paraId="62322BED" w14:textId="77777777" w:rsidR="000A45EE" w:rsidRDefault="00D60571" w:rsidP="000B6D7A">
      <w:pPr>
        <w:pStyle w:val="Heading1"/>
        <w:rPr>
          <w:noProof/>
        </w:rPr>
      </w:pPr>
      <w:bookmarkStart w:id="0" w:name="_Toc109562330"/>
      <w:bookmarkStart w:id="1" w:name="_Toc109562353"/>
      <w:bookmarkStart w:id="2" w:name="_Toc109652434"/>
      <w:bookmarkStart w:id="3" w:name="_Toc109720463"/>
      <w:bookmarkStart w:id="4" w:name="_Toc118799327"/>
      <w:bookmarkStart w:id="5" w:name="_Toc124772654"/>
      <w:r w:rsidRPr="00B677B4">
        <w:rPr>
          <w:rStyle w:val="MajorHeading"/>
          <w:rFonts w:asciiTheme="majorHAnsi" w:hAnsiTheme="majorHAnsi" w:cstheme="majorBidi"/>
          <w:b w:val="0"/>
          <w:color w:val="2F5496" w:themeColor="accent1" w:themeShade="BF"/>
          <w:spacing w:val="0"/>
          <w:sz w:val="32"/>
          <w:szCs w:val="32"/>
          <w:lang w:val="en-GB"/>
        </w:rPr>
        <w:t>Table of Contents</w:t>
      </w:r>
      <w:bookmarkStart w:id="6" w:name="_Toc109562245"/>
      <w:bookmarkStart w:id="7" w:name="_Toc109562331"/>
      <w:bookmarkStart w:id="8" w:name="_Toc109562354"/>
      <w:bookmarkEnd w:id="0"/>
      <w:bookmarkEnd w:id="1"/>
      <w:bookmarkEnd w:id="2"/>
      <w:bookmarkEnd w:id="3"/>
      <w:bookmarkEnd w:id="4"/>
      <w:bookmarkEnd w:id="5"/>
      <w:r w:rsidR="00B86152" w:rsidRPr="00B677B4">
        <w:rPr>
          <w:rStyle w:val="Heading"/>
          <w:rFonts w:asciiTheme="majorHAnsi" w:hAnsiTheme="majorHAnsi" w:cstheme="majorHAnsi"/>
          <w:b/>
          <w:bCs/>
          <w:caps/>
          <w:lang w:val="en-GB"/>
        </w:rPr>
        <w:fldChar w:fldCharType="begin"/>
      </w:r>
      <w:r w:rsidR="00B86152" w:rsidRPr="00B677B4">
        <w:rPr>
          <w:rStyle w:val="Heading"/>
          <w:rFonts w:asciiTheme="majorHAnsi" w:hAnsiTheme="majorHAnsi" w:cstheme="majorHAnsi"/>
          <w:lang w:val="en-GB"/>
        </w:rPr>
        <w:instrText xml:space="preserve"> TOC \o "1-4" \h \z \u </w:instrText>
      </w:r>
      <w:r w:rsidR="00B86152" w:rsidRPr="00B677B4">
        <w:rPr>
          <w:rStyle w:val="Heading"/>
          <w:rFonts w:asciiTheme="majorHAnsi" w:hAnsiTheme="majorHAnsi" w:cstheme="majorHAnsi"/>
          <w:b/>
          <w:bCs/>
          <w:caps/>
          <w:lang w:val="en-GB"/>
        </w:rPr>
        <w:fldChar w:fldCharType="separate"/>
      </w:r>
    </w:p>
    <w:p w14:paraId="39CC136A" w14:textId="4BB6ED69" w:rsidR="000A45EE" w:rsidRDefault="00000000">
      <w:pPr>
        <w:pStyle w:val="TOC1"/>
        <w:tabs>
          <w:tab w:val="right" w:leader="dot" w:pos="9010"/>
        </w:tabs>
        <w:rPr>
          <w:rFonts w:asciiTheme="minorHAnsi" w:eastAsiaTheme="minorEastAsia" w:hAnsiTheme="minorHAnsi" w:cstheme="minorBidi"/>
          <w:b w:val="0"/>
          <w:bCs w:val="0"/>
          <w:caps w:val="0"/>
          <w:noProof/>
          <w:lang w:val="en-GB" w:eastAsia="en-GB"/>
        </w:rPr>
      </w:pPr>
      <w:hyperlink w:anchor="_Toc124772654" w:history="1">
        <w:r w:rsidR="000A45EE" w:rsidRPr="00A06174">
          <w:rPr>
            <w:rStyle w:val="Hyperlink"/>
            <w:noProof/>
            <w:lang w:val="en-GB"/>
          </w:rPr>
          <w:t>Table of Contents</w:t>
        </w:r>
        <w:r w:rsidR="000A45EE">
          <w:rPr>
            <w:noProof/>
            <w:webHidden/>
          </w:rPr>
          <w:tab/>
        </w:r>
        <w:r w:rsidR="000A45EE">
          <w:rPr>
            <w:noProof/>
            <w:webHidden/>
          </w:rPr>
          <w:fldChar w:fldCharType="begin"/>
        </w:r>
        <w:r w:rsidR="000A45EE">
          <w:rPr>
            <w:noProof/>
            <w:webHidden/>
          </w:rPr>
          <w:instrText xml:space="preserve"> PAGEREF _Toc124772654 \h </w:instrText>
        </w:r>
        <w:r w:rsidR="000A45EE">
          <w:rPr>
            <w:noProof/>
            <w:webHidden/>
          </w:rPr>
        </w:r>
        <w:r w:rsidR="000A45EE">
          <w:rPr>
            <w:noProof/>
            <w:webHidden/>
          </w:rPr>
          <w:fldChar w:fldCharType="separate"/>
        </w:r>
        <w:r w:rsidR="006C5782">
          <w:rPr>
            <w:noProof/>
            <w:webHidden/>
          </w:rPr>
          <w:t>1</w:t>
        </w:r>
        <w:r w:rsidR="000A45EE">
          <w:rPr>
            <w:noProof/>
            <w:webHidden/>
          </w:rPr>
          <w:fldChar w:fldCharType="end"/>
        </w:r>
      </w:hyperlink>
    </w:p>
    <w:p w14:paraId="6511AE0F" w14:textId="6681F182" w:rsidR="000A45EE" w:rsidRDefault="00000000">
      <w:pPr>
        <w:pStyle w:val="TOC1"/>
        <w:tabs>
          <w:tab w:val="right" w:leader="dot" w:pos="9010"/>
        </w:tabs>
        <w:rPr>
          <w:rFonts w:asciiTheme="minorHAnsi" w:eastAsiaTheme="minorEastAsia" w:hAnsiTheme="minorHAnsi" w:cstheme="minorBidi"/>
          <w:b w:val="0"/>
          <w:bCs w:val="0"/>
          <w:caps w:val="0"/>
          <w:noProof/>
          <w:lang w:val="en-GB" w:eastAsia="en-GB"/>
        </w:rPr>
      </w:pPr>
      <w:hyperlink w:anchor="_Toc124772655" w:history="1">
        <w:r w:rsidR="000A45EE" w:rsidRPr="00A06174">
          <w:rPr>
            <w:rStyle w:val="Hyperlink"/>
            <w:noProof/>
            <w:lang w:val="en-GB"/>
          </w:rPr>
          <w:t>Abbreviations</w:t>
        </w:r>
        <w:r w:rsidR="000A45EE">
          <w:rPr>
            <w:noProof/>
            <w:webHidden/>
          </w:rPr>
          <w:tab/>
        </w:r>
        <w:r w:rsidR="000A45EE">
          <w:rPr>
            <w:noProof/>
            <w:webHidden/>
          </w:rPr>
          <w:fldChar w:fldCharType="begin"/>
        </w:r>
        <w:r w:rsidR="000A45EE">
          <w:rPr>
            <w:noProof/>
            <w:webHidden/>
          </w:rPr>
          <w:instrText xml:space="preserve"> PAGEREF _Toc124772655 \h </w:instrText>
        </w:r>
        <w:r w:rsidR="000A45EE">
          <w:rPr>
            <w:noProof/>
            <w:webHidden/>
          </w:rPr>
        </w:r>
        <w:r w:rsidR="000A45EE">
          <w:rPr>
            <w:noProof/>
            <w:webHidden/>
          </w:rPr>
          <w:fldChar w:fldCharType="separate"/>
        </w:r>
        <w:r w:rsidR="006C5782">
          <w:rPr>
            <w:noProof/>
            <w:webHidden/>
          </w:rPr>
          <w:t>2</w:t>
        </w:r>
        <w:r w:rsidR="000A45EE">
          <w:rPr>
            <w:noProof/>
            <w:webHidden/>
          </w:rPr>
          <w:fldChar w:fldCharType="end"/>
        </w:r>
      </w:hyperlink>
    </w:p>
    <w:p w14:paraId="724F6C82" w14:textId="438F7FDA" w:rsidR="000A45EE" w:rsidRDefault="00000000">
      <w:pPr>
        <w:pStyle w:val="TOC1"/>
        <w:tabs>
          <w:tab w:val="left" w:pos="480"/>
          <w:tab w:val="right" w:leader="dot" w:pos="9010"/>
        </w:tabs>
        <w:rPr>
          <w:rFonts w:asciiTheme="minorHAnsi" w:eastAsiaTheme="minorEastAsia" w:hAnsiTheme="minorHAnsi" w:cstheme="minorBidi"/>
          <w:b w:val="0"/>
          <w:bCs w:val="0"/>
          <w:caps w:val="0"/>
          <w:noProof/>
          <w:lang w:val="en-GB" w:eastAsia="en-GB"/>
        </w:rPr>
      </w:pPr>
      <w:hyperlink w:anchor="_Toc124772656" w:history="1">
        <w:r w:rsidR="000A45EE" w:rsidRPr="00A06174">
          <w:rPr>
            <w:rStyle w:val="Hyperlink"/>
            <w:noProof/>
            <w:lang w:val="en-GB"/>
          </w:rPr>
          <w:t>1.</w:t>
        </w:r>
        <w:r w:rsidR="000A45EE">
          <w:rPr>
            <w:rFonts w:asciiTheme="minorHAnsi" w:eastAsiaTheme="minorEastAsia" w:hAnsiTheme="minorHAnsi" w:cstheme="minorBidi"/>
            <w:b w:val="0"/>
            <w:bCs w:val="0"/>
            <w:caps w:val="0"/>
            <w:noProof/>
            <w:lang w:val="en-GB" w:eastAsia="en-GB"/>
          </w:rPr>
          <w:tab/>
        </w:r>
        <w:r w:rsidR="000A45EE" w:rsidRPr="00A06174">
          <w:rPr>
            <w:rStyle w:val="Hyperlink"/>
            <w:noProof/>
            <w:lang w:val="en-GB"/>
          </w:rPr>
          <w:t>Executive Summary</w:t>
        </w:r>
        <w:r w:rsidR="000A45EE">
          <w:rPr>
            <w:noProof/>
            <w:webHidden/>
          </w:rPr>
          <w:tab/>
        </w:r>
        <w:r w:rsidR="000A45EE">
          <w:rPr>
            <w:noProof/>
            <w:webHidden/>
          </w:rPr>
          <w:fldChar w:fldCharType="begin"/>
        </w:r>
        <w:r w:rsidR="000A45EE">
          <w:rPr>
            <w:noProof/>
            <w:webHidden/>
          </w:rPr>
          <w:instrText xml:space="preserve"> PAGEREF _Toc124772656 \h </w:instrText>
        </w:r>
        <w:r w:rsidR="000A45EE">
          <w:rPr>
            <w:noProof/>
            <w:webHidden/>
          </w:rPr>
        </w:r>
        <w:r w:rsidR="000A45EE">
          <w:rPr>
            <w:noProof/>
            <w:webHidden/>
          </w:rPr>
          <w:fldChar w:fldCharType="separate"/>
        </w:r>
        <w:r w:rsidR="006C5782">
          <w:rPr>
            <w:noProof/>
            <w:webHidden/>
          </w:rPr>
          <w:t>3</w:t>
        </w:r>
        <w:r w:rsidR="000A45EE">
          <w:rPr>
            <w:noProof/>
            <w:webHidden/>
          </w:rPr>
          <w:fldChar w:fldCharType="end"/>
        </w:r>
      </w:hyperlink>
    </w:p>
    <w:p w14:paraId="6C02A91D" w14:textId="076F205A" w:rsidR="000A45EE" w:rsidRDefault="00000000">
      <w:pPr>
        <w:pStyle w:val="TOC1"/>
        <w:tabs>
          <w:tab w:val="left" w:pos="480"/>
          <w:tab w:val="right" w:leader="dot" w:pos="9010"/>
        </w:tabs>
        <w:rPr>
          <w:rFonts w:asciiTheme="minorHAnsi" w:eastAsiaTheme="minorEastAsia" w:hAnsiTheme="minorHAnsi" w:cstheme="minorBidi"/>
          <w:b w:val="0"/>
          <w:bCs w:val="0"/>
          <w:caps w:val="0"/>
          <w:noProof/>
          <w:lang w:val="en-GB" w:eastAsia="en-GB"/>
        </w:rPr>
      </w:pPr>
      <w:hyperlink w:anchor="_Toc124772657" w:history="1">
        <w:r w:rsidR="000A45EE" w:rsidRPr="00A06174">
          <w:rPr>
            <w:rStyle w:val="Hyperlink"/>
            <w:noProof/>
            <w:lang w:val="en-GB"/>
          </w:rPr>
          <w:t>2.</w:t>
        </w:r>
        <w:r w:rsidR="000A45EE">
          <w:rPr>
            <w:rFonts w:asciiTheme="minorHAnsi" w:eastAsiaTheme="minorEastAsia" w:hAnsiTheme="minorHAnsi" w:cstheme="minorBidi"/>
            <w:b w:val="0"/>
            <w:bCs w:val="0"/>
            <w:caps w:val="0"/>
            <w:noProof/>
            <w:lang w:val="en-GB" w:eastAsia="en-GB"/>
          </w:rPr>
          <w:tab/>
        </w:r>
        <w:r w:rsidR="000A45EE" w:rsidRPr="00A06174">
          <w:rPr>
            <w:rStyle w:val="Hyperlink"/>
            <w:noProof/>
            <w:lang w:val="en-GB"/>
          </w:rPr>
          <w:t>Introduction</w:t>
        </w:r>
        <w:r w:rsidR="000A45EE">
          <w:rPr>
            <w:noProof/>
            <w:webHidden/>
          </w:rPr>
          <w:tab/>
        </w:r>
        <w:r w:rsidR="000A45EE">
          <w:rPr>
            <w:noProof/>
            <w:webHidden/>
          </w:rPr>
          <w:fldChar w:fldCharType="begin"/>
        </w:r>
        <w:r w:rsidR="000A45EE">
          <w:rPr>
            <w:noProof/>
            <w:webHidden/>
          </w:rPr>
          <w:instrText xml:space="preserve"> PAGEREF _Toc124772657 \h </w:instrText>
        </w:r>
        <w:r w:rsidR="000A45EE">
          <w:rPr>
            <w:noProof/>
            <w:webHidden/>
          </w:rPr>
        </w:r>
        <w:r w:rsidR="000A45EE">
          <w:rPr>
            <w:noProof/>
            <w:webHidden/>
          </w:rPr>
          <w:fldChar w:fldCharType="separate"/>
        </w:r>
        <w:r w:rsidR="006C5782">
          <w:rPr>
            <w:noProof/>
            <w:webHidden/>
          </w:rPr>
          <w:t>7</w:t>
        </w:r>
        <w:r w:rsidR="000A45EE">
          <w:rPr>
            <w:noProof/>
            <w:webHidden/>
          </w:rPr>
          <w:fldChar w:fldCharType="end"/>
        </w:r>
      </w:hyperlink>
    </w:p>
    <w:p w14:paraId="17BED3EB" w14:textId="0763A6CE" w:rsidR="000A45EE" w:rsidRDefault="00000000">
      <w:pPr>
        <w:pStyle w:val="TOC1"/>
        <w:tabs>
          <w:tab w:val="left" w:pos="480"/>
          <w:tab w:val="right" w:leader="dot" w:pos="9010"/>
        </w:tabs>
        <w:rPr>
          <w:rFonts w:asciiTheme="minorHAnsi" w:eastAsiaTheme="minorEastAsia" w:hAnsiTheme="minorHAnsi" w:cstheme="minorBidi"/>
          <w:b w:val="0"/>
          <w:bCs w:val="0"/>
          <w:caps w:val="0"/>
          <w:noProof/>
          <w:lang w:val="en-GB" w:eastAsia="en-GB"/>
        </w:rPr>
      </w:pPr>
      <w:hyperlink w:anchor="_Toc124772664" w:history="1">
        <w:r w:rsidR="000A45EE" w:rsidRPr="00A06174">
          <w:rPr>
            <w:rStyle w:val="Hyperlink"/>
            <w:noProof/>
            <w:lang w:val="en-GB"/>
          </w:rPr>
          <w:t>3.</w:t>
        </w:r>
        <w:r w:rsidR="000A45EE">
          <w:rPr>
            <w:rFonts w:asciiTheme="minorHAnsi" w:eastAsiaTheme="minorEastAsia" w:hAnsiTheme="minorHAnsi" w:cstheme="minorBidi"/>
            <w:b w:val="0"/>
            <w:bCs w:val="0"/>
            <w:caps w:val="0"/>
            <w:noProof/>
            <w:lang w:val="en-GB" w:eastAsia="en-GB"/>
          </w:rPr>
          <w:tab/>
        </w:r>
        <w:r w:rsidR="000A45EE" w:rsidRPr="00A06174">
          <w:rPr>
            <w:rStyle w:val="Hyperlink"/>
            <w:noProof/>
            <w:lang w:val="en-GB"/>
          </w:rPr>
          <w:t>Key Findings</w:t>
        </w:r>
        <w:r w:rsidR="000A45EE">
          <w:rPr>
            <w:noProof/>
            <w:webHidden/>
          </w:rPr>
          <w:tab/>
        </w:r>
        <w:r w:rsidR="000A45EE">
          <w:rPr>
            <w:noProof/>
            <w:webHidden/>
          </w:rPr>
          <w:fldChar w:fldCharType="begin"/>
        </w:r>
        <w:r w:rsidR="000A45EE">
          <w:rPr>
            <w:noProof/>
            <w:webHidden/>
          </w:rPr>
          <w:instrText xml:space="preserve"> PAGEREF _Toc124772664 \h </w:instrText>
        </w:r>
        <w:r w:rsidR="000A45EE">
          <w:rPr>
            <w:noProof/>
            <w:webHidden/>
          </w:rPr>
        </w:r>
        <w:r w:rsidR="000A45EE">
          <w:rPr>
            <w:noProof/>
            <w:webHidden/>
          </w:rPr>
          <w:fldChar w:fldCharType="separate"/>
        </w:r>
        <w:r w:rsidR="006C5782">
          <w:rPr>
            <w:noProof/>
            <w:webHidden/>
          </w:rPr>
          <w:t>12</w:t>
        </w:r>
        <w:r w:rsidR="000A45EE">
          <w:rPr>
            <w:noProof/>
            <w:webHidden/>
          </w:rPr>
          <w:fldChar w:fldCharType="end"/>
        </w:r>
      </w:hyperlink>
    </w:p>
    <w:p w14:paraId="0ED48D94" w14:textId="4DF64818" w:rsidR="000A45EE" w:rsidRDefault="00000000">
      <w:pPr>
        <w:pStyle w:val="TOC1"/>
        <w:tabs>
          <w:tab w:val="left" w:pos="480"/>
          <w:tab w:val="right" w:leader="dot" w:pos="9010"/>
        </w:tabs>
        <w:rPr>
          <w:rFonts w:asciiTheme="minorHAnsi" w:eastAsiaTheme="minorEastAsia" w:hAnsiTheme="minorHAnsi" w:cstheme="minorBidi"/>
          <w:b w:val="0"/>
          <w:bCs w:val="0"/>
          <w:caps w:val="0"/>
          <w:noProof/>
          <w:lang w:val="en-GB" w:eastAsia="en-GB"/>
        </w:rPr>
      </w:pPr>
      <w:hyperlink w:anchor="_Toc124772665" w:history="1">
        <w:r w:rsidR="000A45EE" w:rsidRPr="00A06174">
          <w:rPr>
            <w:rStyle w:val="Hyperlink"/>
            <w:noProof/>
            <w:lang w:val="en-GB"/>
          </w:rPr>
          <w:t>4.</w:t>
        </w:r>
        <w:r w:rsidR="000A45EE">
          <w:rPr>
            <w:rFonts w:asciiTheme="minorHAnsi" w:eastAsiaTheme="minorEastAsia" w:hAnsiTheme="minorHAnsi" w:cstheme="minorBidi"/>
            <w:b w:val="0"/>
            <w:bCs w:val="0"/>
            <w:caps w:val="0"/>
            <w:noProof/>
            <w:lang w:val="en-GB" w:eastAsia="en-GB"/>
          </w:rPr>
          <w:tab/>
        </w:r>
        <w:r w:rsidR="000A45EE" w:rsidRPr="00A06174">
          <w:rPr>
            <w:rStyle w:val="Hyperlink"/>
            <w:noProof/>
            <w:lang w:val="en-GB"/>
          </w:rPr>
          <w:t>Conclusions and Recommendations</w:t>
        </w:r>
        <w:r w:rsidR="000A45EE">
          <w:rPr>
            <w:noProof/>
            <w:webHidden/>
          </w:rPr>
          <w:tab/>
        </w:r>
        <w:r w:rsidR="000A45EE">
          <w:rPr>
            <w:noProof/>
            <w:webHidden/>
          </w:rPr>
          <w:fldChar w:fldCharType="begin"/>
        </w:r>
        <w:r w:rsidR="000A45EE">
          <w:rPr>
            <w:noProof/>
            <w:webHidden/>
          </w:rPr>
          <w:instrText xml:space="preserve"> PAGEREF _Toc124772665 \h </w:instrText>
        </w:r>
        <w:r w:rsidR="000A45EE">
          <w:rPr>
            <w:noProof/>
            <w:webHidden/>
          </w:rPr>
        </w:r>
        <w:r w:rsidR="000A45EE">
          <w:rPr>
            <w:noProof/>
            <w:webHidden/>
          </w:rPr>
          <w:fldChar w:fldCharType="separate"/>
        </w:r>
        <w:r w:rsidR="006C5782">
          <w:rPr>
            <w:noProof/>
            <w:webHidden/>
          </w:rPr>
          <w:t>31</w:t>
        </w:r>
        <w:r w:rsidR="000A45EE">
          <w:rPr>
            <w:noProof/>
            <w:webHidden/>
          </w:rPr>
          <w:fldChar w:fldCharType="end"/>
        </w:r>
      </w:hyperlink>
    </w:p>
    <w:p w14:paraId="0B482AE1" w14:textId="19E040C4" w:rsidR="000A45EE" w:rsidRDefault="00000000">
      <w:pPr>
        <w:pStyle w:val="TOC1"/>
        <w:tabs>
          <w:tab w:val="right" w:leader="dot" w:pos="9010"/>
        </w:tabs>
        <w:rPr>
          <w:rFonts w:asciiTheme="minorHAnsi" w:eastAsiaTheme="minorEastAsia" w:hAnsiTheme="minorHAnsi" w:cstheme="minorBidi"/>
          <w:b w:val="0"/>
          <w:bCs w:val="0"/>
          <w:caps w:val="0"/>
          <w:noProof/>
          <w:lang w:val="en-GB" w:eastAsia="en-GB"/>
        </w:rPr>
      </w:pPr>
      <w:hyperlink w:anchor="_Toc124772666" w:history="1">
        <w:r w:rsidR="000A45EE" w:rsidRPr="00A06174">
          <w:rPr>
            <w:rStyle w:val="Hyperlink"/>
            <w:noProof/>
            <w:lang w:val="en-GB"/>
          </w:rPr>
          <w:t>Annex 1: Terms of Reference</w:t>
        </w:r>
        <w:r w:rsidR="000A45EE">
          <w:rPr>
            <w:noProof/>
            <w:webHidden/>
          </w:rPr>
          <w:tab/>
        </w:r>
        <w:r w:rsidR="000A45EE">
          <w:rPr>
            <w:noProof/>
            <w:webHidden/>
          </w:rPr>
          <w:fldChar w:fldCharType="begin"/>
        </w:r>
        <w:r w:rsidR="000A45EE">
          <w:rPr>
            <w:noProof/>
            <w:webHidden/>
          </w:rPr>
          <w:instrText xml:space="preserve"> PAGEREF _Toc124772666 \h </w:instrText>
        </w:r>
        <w:r w:rsidR="000A45EE">
          <w:rPr>
            <w:noProof/>
            <w:webHidden/>
          </w:rPr>
        </w:r>
        <w:r w:rsidR="000A45EE">
          <w:rPr>
            <w:noProof/>
            <w:webHidden/>
          </w:rPr>
          <w:fldChar w:fldCharType="separate"/>
        </w:r>
        <w:r w:rsidR="006C5782">
          <w:rPr>
            <w:noProof/>
            <w:webHidden/>
          </w:rPr>
          <w:t>34</w:t>
        </w:r>
        <w:r w:rsidR="000A45EE">
          <w:rPr>
            <w:noProof/>
            <w:webHidden/>
          </w:rPr>
          <w:fldChar w:fldCharType="end"/>
        </w:r>
      </w:hyperlink>
    </w:p>
    <w:p w14:paraId="6AA1B17C" w14:textId="1FE940E4" w:rsidR="000A45EE" w:rsidRDefault="00000000">
      <w:pPr>
        <w:pStyle w:val="TOC1"/>
        <w:tabs>
          <w:tab w:val="right" w:leader="dot" w:pos="9010"/>
        </w:tabs>
        <w:rPr>
          <w:rFonts w:asciiTheme="minorHAnsi" w:eastAsiaTheme="minorEastAsia" w:hAnsiTheme="minorHAnsi" w:cstheme="minorBidi"/>
          <w:b w:val="0"/>
          <w:bCs w:val="0"/>
          <w:caps w:val="0"/>
          <w:noProof/>
          <w:lang w:val="en-GB" w:eastAsia="en-GB"/>
        </w:rPr>
      </w:pPr>
      <w:hyperlink w:anchor="_Toc124772667" w:history="1">
        <w:r w:rsidR="000A45EE" w:rsidRPr="00A06174">
          <w:rPr>
            <w:rStyle w:val="Hyperlink"/>
            <w:noProof/>
            <w:lang w:val="en-GB"/>
          </w:rPr>
          <w:t>Annex 2: List of key informants</w:t>
        </w:r>
        <w:r w:rsidR="000A45EE">
          <w:rPr>
            <w:noProof/>
            <w:webHidden/>
          </w:rPr>
          <w:tab/>
        </w:r>
        <w:r w:rsidR="000A45EE">
          <w:rPr>
            <w:noProof/>
            <w:webHidden/>
          </w:rPr>
          <w:fldChar w:fldCharType="begin"/>
        </w:r>
        <w:r w:rsidR="000A45EE">
          <w:rPr>
            <w:noProof/>
            <w:webHidden/>
          </w:rPr>
          <w:instrText xml:space="preserve"> PAGEREF _Toc124772667 \h </w:instrText>
        </w:r>
        <w:r w:rsidR="000A45EE">
          <w:rPr>
            <w:noProof/>
            <w:webHidden/>
          </w:rPr>
        </w:r>
        <w:r w:rsidR="000A45EE">
          <w:rPr>
            <w:noProof/>
            <w:webHidden/>
          </w:rPr>
          <w:fldChar w:fldCharType="separate"/>
        </w:r>
        <w:r w:rsidR="006C5782">
          <w:rPr>
            <w:noProof/>
            <w:webHidden/>
          </w:rPr>
          <w:t>35</w:t>
        </w:r>
        <w:r w:rsidR="000A45EE">
          <w:rPr>
            <w:noProof/>
            <w:webHidden/>
          </w:rPr>
          <w:fldChar w:fldCharType="end"/>
        </w:r>
      </w:hyperlink>
    </w:p>
    <w:p w14:paraId="5822C148" w14:textId="46BCA2D4" w:rsidR="000A45EE" w:rsidRDefault="00000000">
      <w:pPr>
        <w:pStyle w:val="TOC1"/>
        <w:tabs>
          <w:tab w:val="right" w:leader="dot" w:pos="9010"/>
        </w:tabs>
        <w:rPr>
          <w:rFonts w:asciiTheme="minorHAnsi" w:eastAsiaTheme="minorEastAsia" w:hAnsiTheme="minorHAnsi" w:cstheme="minorBidi"/>
          <w:b w:val="0"/>
          <w:bCs w:val="0"/>
          <w:caps w:val="0"/>
          <w:noProof/>
          <w:lang w:val="en-GB" w:eastAsia="en-GB"/>
        </w:rPr>
      </w:pPr>
      <w:hyperlink w:anchor="_Toc124772668" w:history="1">
        <w:r w:rsidR="000A45EE" w:rsidRPr="00A06174">
          <w:rPr>
            <w:rStyle w:val="Hyperlink"/>
            <w:noProof/>
            <w:lang w:val="en-GB"/>
          </w:rPr>
          <w:t>Annex 3: Bibliography</w:t>
        </w:r>
        <w:r w:rsidR="000A45EE">
          <w:rPr>
            <w:noProof/>
            <w:webHidden/>
          </w:rPr>
          <w:tab/>
        </w:r>
        <w:r w:rsidR="000A45EE">
          <w:rPr>
            <w:noProof/>
            <w:webHidden/>
          </w:rPr>
          <w:fldChar w:fldCharType="begin"/>
        </w:r>
        <w:r w:rsidR="000A45EE">
          <w:rPr>
            <w:noProof/>
            <w:webHidden/>
          </w:rPr>
          <w:instrText xml:space="preserve"> PAGEREF _Toc124772668 \h </w:instrText>
        </w:r>
        <w:r w:rsidR="000A45EE">
          <w:rPr>
            <w:noProof/>
            <w:webHidden/>
          </w:rPr>
        </w:r>
        <w:r w:rsidR="000A45EE">
          <w:rPr>
            <w:noProof/>
            <w:webHidden/>
          </w:rPr>
          <w:fldChar w:fldCharType="separate"/>
        </w:r>
        <w:r w:rsidR="006C5782">
          <w:rPr>
            <w:noProof/>
            <w:webHidden/>
          </w:rPr>
          <w:t>37</w:t>
        </w:r>
        <w:r w:rsidR="000A45EE">
          <w:rPr>
            <w:noProof/>
            <w:webHidden/>
          </w:rPr>
          <w:fldChar w:fldCharType="end"/>
        </w:r>
      </w:hyperlink>
    </w:p>
    <w:p w14:paraId="485DBBD3" w14:textId="178E4362" w:rsidR="000A45EE" w:rsidRDefault="00000000">
      <w:pPr>
        <w:pStyle w:val="TOC1"/>
        <w:tabs>
          <w:tab w:val="right" w:leader="dot" w:pos="9010"/>
        </w:tabs>
        <w:rPr>
          <w:rFonts w:asciiTheme="minorHAnsi" w:eastAsiaTheme="minorEastAsia" w:hAnsiTheme="minorHAnsi" w:cstheme="minorBidi"/>
          <w:b w:val="0"/>
          <w:bCs w:val="0"/>
          <w:caps w:val="0"/>
          <w:noProof/>
          <w:lang w:val="en-GB" w:eastAsia="en-GB"/>
        </w:rPr>
      </w:pPr>
      <w:hyperlink w:anchor="_Toc124772669" w:history="1">
        <w:r w:rsidR="000A45EE" w:rsidRPr="00A06174">
          <w:rPr>
            <w:rStyle w:val="Hyperlink"/>
            <w:noProof/>
            <w:lang w:val="en-GB"/>
          </w:rPr>
          <w:t>Annex 4: Key Achievements per Activity (2019 – 2022)</w:t>
        </w:r>
        <w:r w:rsidR="000A45EE">
          <w:rPr>
            <w:noProof/>
            <w:webHidden/>
          </w:rPr>
          <w:tab/>
        </w:r>
        <w:r w:rsidR="000A45EE">
          <w:rPr>
            <w:noProof/>
            <w:webHidden/>
          </w:rPr>
          <w:fldChar w:fldCharType="begin"/>
        </w:r>
        <w:r w:rsidR="000A45EE">
          <w:rPr>
            <w:noProof/>
            <w:webHidden/>
          </w:rPr>
          <w:instrText xml:space="preserve"> PAGEREF _Toc124772669 \h </w:instrText>
        </w:r>
        <w:r w:rsidR="000A45EE">
          <w:rPr>
            <w:noProof/>
            <w:webHidden/>
          </w:rPr>
        </w:r>
        <w:r w:rsidR="000A45EE">
          <w:rPr>
            <w:noProof/>
            <w:webHidden/>
          </w:rPr>
          <w:fldChar w:fldCharType="separate"/>
        </w:r>
        <w:r w:rsidR="006C5782">
          <w:rPr>
            <w:noProof/>
            <w:webHidden/>
          </w:rPr>
          <w:t>38</w:t>
        </w:r>
        <w:r w:rsidR="000A45EE">
          <w:rPr>
            <w:noProof/>
            <w:webHidden/>
          </w:rPr>
          <w:fldChar w:fldCharType="end"/>
        </w:r>
      </w:hyperlink>
    </w:p>
    <w:p w14:paraId="060487FE" w14:textId="23C06FE8" w:rsidR="00B86152" w:rsidRPr="00B677B4" w:rsidRDefault="00B86152">
      <w:pPr>
        <w:rPr>
          <w:rStyle w:val="Heading"/>
          <w:rFonts w:asciiTheme="majorHAnsi" w:hAnsiTheme="majorHAnsi" w:cstheme="majorHAnsi"/>
        </w:rPr>
      </w:pPr>
      <w:r w:rsidRPr="00B677B4">
        <w:rPr>
          <w:rStyle w:val="Heading"/>
          <w:rFonts w:asciiTheme="majorHAnsi" w:hAnsiTheme="majorHAnsi" w:cstheme="majorHAnsi"/>
        </w:rPr>
        <w:fldChar w:fldCharType="end"/>
      </w:r>
      <w:r w:rsidRPr="00B677B4">
        <w:rPr>
          <w:rStyle w:val="Heading"/>
          <w:rFonts w:asciiTheme="majorHAnsi" w:hAnsiTheme="majorHAnsi" w:cstheme="majorHAnsi"/>
        </w:rPr>
        <w:br w:type="page"/>
      </w:r>
    </w:p>
    <w:p w14:paraId="0007AAF9" w14:textId="1A93DBA8" w:rsidR="001050CC" w:rsidRPr="00B677B4" w:rsidRDefault="001050CC" w:rsidP="00376CF7">
      <w:pPr>
        <w:pStyle w:val="Heading1"/>
        <w:rPr>
          <w:rStyle w:val="MajorHeading"/>
          <w:rFonts w:asciiTheme="majorHAnsi" w:hAnsiTheme="majorHAnsi" w:cstheme="majorBidi"/>
          <w:b w:val="0"/>
          <w:color w:val="2F5496" w:themeColor="accent1" w:themeShade="BF"/>
          <w:spacing w:val="0"/>
          <w:sz w:val="32"/>
          <w:szCs w:val="32"/>
          <w:lang w:val="en-GB"/>
        </w:rPr>
      </w:pPr>
      <w:bookmarkStart w:id="9" w:name="_Toc118799328"/>
      <w:bookmarkStart w:id="10" w:name="_Toc124772655"/>
      <w:r w:rsidRPr="00B677B4">
        <w:rPr>
          <w:rStyle w:val="MajorHeading"/>
          <w:rFonts w:asciiTheme="majorHAnsi" w:hAnsiTheme="majorHAnsi" w:cstheme="majorBidi"/>
          <w:b w:val="0"/>
          <w:color w:val="2F5496" w:themeColor="accent1" w:themeShade="BF"/>
          <w:spacing w:val="0"/>
          <w:sz w:val="32"/>
          <w:szCs w:val="32"/>
          <w:lang w:val="en-GB"/>
        </w:rPr>
        <w:lastRenderedPageBreak/>
        <w:t>Abbreviations</w:t>
      </w:r>
      <w:bookmarkEnd w:id="9"/>
      <w:bookmarkEnd w:id="10"/>
    </w:p>
    <w:p w14:paraId="355E6F95" w14:textId="02EB7FC6" w:rsidR="001050CC" w:rsidRPr="00B677B4" w:rsidRDefault="001050CC" w:rsidP="001050CC">
      <w:pPr>
        <w:rPr>
          <w:lang w:eastAsia="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6785"/>
      </w:tblGrid>
      <w:tr w:rsidR="003668F5" w:rsidRPr="00B677B4" w14:paraId="66D29C9E" w14:textId="77777777" w:rsidTr="009F4CB5">
        <w:tc>
          <w:tcPr>
            <w:tcW w:w="2083" w:type="dxa"/>
            <w:vAlign w:val="center"/>
          </w:tcPr>
          <w:p w14:paraId="74001BD3" w14:textId="75EDB408" w:rsidR="003668F5" w:rsidRPr="003668F5" w:rsidRDefault="003668F5" w:rsidP="00C15BFB">
            <w:pPr>
              <w:spacing w:before="120" w:after="120" w:line="264" w:lineRule="auto"/>
              <w:jc w:val="both"/>
              <w:rPr>
                <w:rFonts w:ascii="Arial" w:eastAsiaTheme="minorEastAsia" w:hAnsi="Arial" w:cs="Arial"/>
                <w:b/>
                <w:bCs/>
                <w:sz w:val="20"/>
                <w:szCs w:val="20"/>
              </w:rPr>
            </w:pPr>
            <w:r w:rsidRPr="003668F5">
              <w:rPr>
                <w:rFonts w:ascii="Arial" w:eastAsiaTheme="minorEastAsia" w:hAnsi="Arial" w:cs="Arial"/>
                <w:b/>
                <w:bCs/>
                <w:sz w:val="20"/>
                <w:szCs w:val="20"/>
              </w:rPr>
              <w:t>Term</w:t>
            </w:r>
          </w:p>
        </w:tc>
        <w:tc>
          <w:tcPr>
            <w:tcW w:w="6785" w:type="dxa"/>
            <w:vAlign w:val="center"/>
          </w:tcPr>
          <w:p w14:paraId="43386DA1" w14:textId="4C1B1EA9" w:rsidR="003668F5" w:rsidRPr="003668F5" w:rsidRDefault="003668F5" w:rsidP="00C15BFB">
            <w:pPr>
              <w:spacing w:before="120" w:after="120" w:line="264" w:lineRule="auto"/>
              <w:jc w:val="both"/>
              <w:rPr>
                <w:rFonts w:ascii="Arial" w:eastAsiaTheme="minorEastAsia" w:hAnsi="Arial" w:cs="Arial"/>
                <w:b/>
                <w:bCs/>
                <w:sz w:val="20"/>
                <w:szCs w:val="20"/>
              </w:rPr>
            </w:pPr>
            <w:r w:rsidRPr="003668F5">
              <w:rPr>
                <w:rFonts w:ascii="Arial" w:eastAsiaTheme="minorEastAsia" w:hAnsi="Arial" w:cs="Arial"/>
                <w:b/>
                <w:bCs/>
                <w:sz w:val="20"/>
                <w:szCs w:val="20"/>
              </w:rPr>
              <w:t>Definition</w:t>
            </w:r>
          </w:p>
        </w:tc>
      </w:tr>
      <w:tr w:rsidR="00302262" w:rsidRPr="00B677B4" w14:paraId="1F095016" w14:textId="77777777" w:rsidTr="009F4CB5">
        <w:tc>
          <w:tcPr>
            <w:tcW w:w="2083" w:type="dxa"/>
            <w:vAlign w:val="center"/>
            <w:hideMark/>
          </w:tcPr>
          <w:p w14:paraId="27A9FB97" w14:textId="3C82A93F" w:rsidR="00302262" w:rsidRPr="00B677B4" w:rsidRDefault="00302262"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AMEP I</w:t>
            </w:r>
          </w:p>
        </w:tc>
        <w:tc>
          <w:tcPr>
            <w:tcW w:w="6785" w:type="dxa"/>
            <w:vAlign w:val="center"/>
            <w:hideMark/>
          </w:tcPr>
          <w:p w14:paraId="3F258FC5" w14:textId="77777777" w:rsidR="00302262" w:rsidRPr="00B677B4" w:rsidRDefault="00302262"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Australia Mongolia Extractives Program (Phase 1)</w:t>
            </w:r>
          </w:p>
        </w:tc>
      </w:tr>
      <w:tr w:rsidR="009F4CB5" w:rsidRPr="00B677B4" w14:paraId="0399C0C8" w14:textId="77777777" w:rsidTr="009F4CB5">
        <w:tc>
          <w:tcPr>
            <w:tcW w:w="2083" w:type="dxa"/>
            <w:vAlign w:val="center"/>
          </w:tcPr>
          <w:p w14:paraId="14BD0175" w14:textId="5DEDA464"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AMEP II</w:t>
            </w:r>
          </w:p>
        </w:tc>
        <w:tc>
          <w:tcPr>
            <w:tcW w:w="6785" w:type="dxa"/>
            <w:vAlign w:val="center"/>
          </w:tcPr>
          <w:p w14:paraId="31ED9C81" w14:textId="5696454E"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Australia Mongolia Extractives Program (Phase 2)</w:t>
            </w:r>
          </w:p>
        </w:tc>
      </w:tr>
      <w:tr w:rsidR="00262D38" w:rsidRPr="00B677B4" w14:paraId="02CA718B" w14:textId="77777777" w:rsidTr="009F4CB5">
        <w:tc>
          <w:tcPr>
            <w:tcW w:w="2083" w:type="dxa"/>
            <w:vAlign w:val="center"/>
          </w:tcPr>
          <w:p w14:paraId="2B4935CD" w14:textId="12139BCF" w:rsidR="00262D38" w:rsidRPr="00B677B4" w:rsidRDefault="00262D38" w:rsidP="00C15BFB">
            <w:pPr>
              <w:spacing w:before="120" w:after="120" w:line="264" w:lineRule="auto"/>
              <w:jc w:val="both"/>
              <w:rPr>
                <w:rFonts w:ascii="Arial" w:eastAsiaTheme="minorEastAsia" w:hAnsi="Arial" w:cs="Arial"/>
                <w:sz w:val="20"/>
                <w:szCs w:val="20"/>
              </w:rPr>
            </w:pPr>
            <w:proofErr w:type="spellStart"/>
            <w:r w:rsidRPr="00B677B4">
              <w:rPr>
                <w:rFonts w:ascii="Arial" w:eastAsiaTheme="minorEastAsia" w:hAnsi="Arial" w:cs="Arial"/>
                <w:sz w:val="20"/>
                <w:szCs w:val="20"/>
              </w:rPr>
              <w:t>AustCham</w:t>
            </w:r>
            <w:proofErr w:type="spellEnd"/>
          </w:p>
        </w:tc>
        <w:tc>
          <w:tcPr>
            <w:tcW w:w="6785" w:type="dxa"/>
            <w:vAlign w:val="center"/>
          </w:tcPr>
          <w:p w14:paraId="32A1C334" w14:textId="73FD0CD9" w:rsidR="00262D38" w:rsidRPr="00C8767A" w:rsidRDefault="00262D38" w:rsidP="00262D38">
            <w:pPr>
              <w:pStyle w:val="Default"/>
              <w:jc w:val="both"/>
              <w:rPr>
                <w:rFonts w:ascii="Arial" w:hAnsi="Arial" w:cs="Arial"/>
                <w:sz w:val="20"/>
                <w:szCs w:val="20"/>
                <w:lang w:val="en-GB"/>
              </w:rPr>
            </w:pPr>
            <w:r w:rsidRPr="00C8767A">
              <w:rPr>
                <w:rFonts w:ascii="Arial" w:hAnsi="Arial" w:cs="Arial"/>
                <w:sz w:val="20"/>
                <w:szCs w:val="20"/>
                <w:lang w:val="en-GB"/>
              </w:rPr>
              <w:t xml:space="preserve">Australia Chamber of Commerce in Mongolia </w:t>
            </w:r>
          </w:p>
        </w:tc>
      </w:tr>
      <w:tr w:rsidR="009F4CB5" w:rsidRPr="00B677B4" w14:paraId="2F893005" w14:textId="77777777" w:rsidTr="009F4CB5">
        <w:tc>
          <w:tcPr>
            <w:tcW w:w="2083" w:type="dxa"/>
            <w:vAlign w:val="center"/>
          </w:tcPr>
          <w:p w14:paraId="5842BAF5" w14:textId="3FB19ADA"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CBM</w:t>
            </w:r>
          </w:p>
        </w:tc>
        <w:tc>
          <w:tcPr>
            <w:tcW w:w="6785" w:type="dxa"/>
            <w:vAlign w:val="center"/>
          </w:tcPr>
          <w:p w14:paraId="130B31FB" w14:textId="1B8E7E88"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Coal-bed Methane</w:t>
            </w:r>
          </w:p>
        </w:tc>
      </w:tr>
      <w:tr w:rsidR="009F4CB5" w:rsidRPr="00B677B4" w14:paraId="6044F770" w14:textId="77777777" w:rsidTr="009F4CB5">
        <w:tc>
          <w:tcPr>
            <w:tcW w:w="2083" w:type="dxa"/>
            <w:vAlign w:val="center"/>
          </w:tcPr>
          <w:p w14:paraId="0EA85BC2" w14:textId="2BCB7F3A" w:rsidR="009F4CB5" w:rsidRPr="00B677B4" w:rsidRDefault="009F4CB5" w:rsidP="00C15BFB">
            <w:pPr>
              <w:spacing w:before="120" w:after="120" w:line="264" w:lineRule="auto"/>
              <w:jc w:val="both"/>
              <w:rPr>
                <w:rFonts w:ascii="Arial" w:eastAsiaTheme="minorEastAsia" w:hAnsi="Arial" w:cs="Arial"/>
                <w:sz w:val="20"/>
                <w:szCs w:val="20"/>
              </w:rPr>
            </w:pPr>
            <w:proofErr w:type="spellStart"/>
            <w:r w:rsidRPr="00B677B4">
              <w:rPr>
                <w:rFonts w:ascii="Arial" w:eastAsiaTheme="minorEastAsia" w:hAnsi="Arial" w:cs="Arial"/>
                <w:sz w:val="20"/>
                <w:szCs w:val="20"/>
              </w:rPr>
              <w:t>CfP</w:t>
            </w:r>
            <w:proofErr w:type="spellEnd"/>
          </w:p>
        </w:tc>
        <w:tc>
          <w:tcPr>
            <w:tcW w:w="6785" w:type="dxa"/>
            <w:vAlign w:val="center"/>
          </w:tcPr>
          <w:p w14:paraId="6BD4DD91" w14:textId="6FF8BBF3"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Call for Proposal</w:t>
            </w:r>
          </w:p>
        </w:tc>
      </w:tr>
      <w:tr w:rsidR="00262D38" w:rsidRPr="00B677B4" w14:paraId="4E26967B" w14:textId="77777777" w:rsidTr="009F4CB5">
        <w:tc>
          <w:tcPr>
            <w:tcW w:w="2083" w:type="dxa"/>
            <w:vAlign w:val="center"/>
          </w:tcPr>
          <w:p w14:paraId="02A68258" w14:textId="78AFC642" w:rsidR="00262D38" w:rsidRPr="00B677B4" w:rsidRDefault="00262D38"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CSO</w:t>
            </w:r>
          </w:p>
        </w:tc>
        <w:tc>
          <w:tcPr>
            <w:tcW w:w="6785" w:type="dxa"/>
            <w:vAlign w:val="center"/>
          </w:tcPr>
          <w:p w14:paraId="48E32C48" w14:textId="3D40FCA7" w:rsidR="00262D38" w:rsidRPr="00B677B4" w:rsidRDefault="00262D38"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Civil Society Organisation</w:t>
            </w:r>
          </w:p>
        </w:tc>
      </w:tr>
      <w:tr w:rsidR="009F4CB5" w:rsidRPr="00B677B4" w14:paraId="6CD08E8A" w14:textId="77777777" w:rsidTr="009F4CB5">
        <w:tc>
          <w:tcPr>
            <w:tcW w:w="2083" w:type="dxa"/>
            <w:vAlign w:val="center"/>
          </w:tcPr>
          <w:p w14:paraId="695A9994" w14:textId="6ECFEE51"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DFAT</w:t>
            </w:r>
          </w:p>
        </w:tc>
        <w:tc>
          <w:tcPr>
            <w:tcW w:w="6785" w:type="dxa"/>
            <w:vAlign w:val="center"/>
          </w:tcPr>
          <w:p w14:paraId="53C2A213" w14:textId="39F68732"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Department of Foreign Affairs and Trade</w:t>
            </w:r>
          </w:p>
        </w:tc>
      </w:tr>
      <w:tr w:rsidR="009F4CB5" w:rsidRPr="00B677B4" w14:paraId="1BFBAFEC" w14:textId="77777777" w:rsidTr="009F4CB5">
        <w:tc>
          <w:tcPr>
            <w:tcW w:w="2083" w:type="dxa"/>
            <w:vAlign w:val="center"/>
          </w:tcPr>
          <w:p w14:paraId="17F92398" w14:textId="769352A7"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EIA</w:t>
            </w:r>
          </w:p>
        </w:tc>
        <w:tc>
          <w:tcPr>
            <w:tcW w:w="6785" w:type="dxa"/>
            <w:vAlign w:val="center"/>
          </w:tcPr>
          <w:p w14:paraId="4BD74194" w14:textId="182A935E" w:rsidR="009F4CB5" w:rsidRPr="00B677B4" w:rsidRDefault="009F4CB5" w:rsidP="00C15BFB">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Environmental Impact Assessment</w:t>
            </w:r>
          </w:p>
        </w:tc>
      </w:tr>
      <w:tr w:rsidR="007202DB" w:rsidRPr="00B677B4" w14:paraId="4CB7B2B1" w14:textId="77777777" w:rsidTr="009F4CB5">
        <w:tc>
          <w:tcPr>
            <w:tcW w:w="2083" w:type="dxa"/>
            <w:vAlign w:val="center"/>
          </w:tcPr>
          <w:p w14:paraId="66F35BE1" w14:textId="783C64A5" w:rsidR="007202DB" w:rsidRPr="00B677B4" w:rsidRDefault="007202DB" w:rsidP="009F4CB5">
            <w:pPr>
              <w:spacing w:before="120" w:after="120" w:line="264" w:lineRule="auto"/>
              <w:jc w:val="both"/>
              <w:rPr>
                <w:rFonts w:ascii="Arial" w:eastAsiaTheme="minorEastAsia" w:hAnsi="Arial" w:cs="Arial"/>
                <w:sz w:val="20"/>
                <w:szCs w:val="20"/>
              </w:rPr>
            </w:pPr>
            <w:r>
              <w:rPr>
                <w:rFonts w:ascii="Arial" w:eastAsiaTheme="minorEastAsia" w:hAnsi="Arial" w:cs="Arial"/>
                <w:sz w:val="20"/>
                <w:szCs w:val="20"/>
              </w:rPr>
              <w:t>GA</w:t>
            </w:r>
          </w:p>
        </w:tc>
        <w:tc>
          <w:tcPr>
            <w:tcW w:w="6785" w:type="dxa"/>
            <w:vAlign w:val="center"/>
          </w:tcPr>
          <w:p w14:paraId="2118BA81" w14:textId="78745E67" w:rsidR="007202DB" w:rsidRPr="00B677B4" w:rsidRDefault="007202DB" w:rsidP="009F4CB5">
            <w:pPr>
              <w:spacing w:before="120" w:after="120" w:line="264" w:lineRule="auto"/>
              <w:jc w:val="both"/>
              <w:rPr>
                <w:rFonts w:ascii="Arial" w:eastAsiaTheme="minorEastAsia" w:hAnsi="Arial" w:cs="Arial"/>
                <w:sz w:val="20"/>
                <w:szCs w:val="20"/>
              </w:rPr>
            </w:pPr>
            <w:r>
              <w:rPr>
                <w:rFonts w:ascii="Arial" w:eastAsiaTheme="minorEastAsia" w:hAnsi="Arial" w:cs="Arial"/>
                <w:sz w:val="20"/>
                <w:szCs w:val="20"/>
              </w:rPr>
              <w:t>Geoscience Australia</w:t>
            </w:r>
          </w:p>
        </w:tc>
      </w:tr>
      <w:tr w:rsidR="009F4CB5" w:rsidRPr="00B677B4" w14:paraId="02E3833F" w14:textId="77777777" w:rsidTr="009F4CB5">
        <w:tc>
          <w:tcPr>
            <w:tcW w:w="2083" w:type="dxa"/>
            <w:vAlign w:val="center"/>
          </w:tcPr>
          <w:p w14:paraId="5C74D93E" w14:textId="35C2F7E2"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MONVAL</w:t>
            </w:r>
          </w:p>
        </w:tc>
        <w:tc>
          <w:tcPr>
            <w:tcW w:w="6785" w:type="dxa"/>
            <w:vAlign w:val="center"/>
          </w:tcPr>
          <w:p w14:paraId="09BF170A" w14:textId="0D686181"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 xml:space="preserve">Mongolian </w:t>
            </w:r>
            <w:r w:rsidR="00262D38" w:rsidRPr="00B677B4">
              <w:rPr>
                <w:rFonts w:ascii="Arial" w:eastAsiaTheme="minorEastAsia" w:hAnsi="Arial" w:cs="Arial"/>
                <w:sz w:val="20"/>
                <w:szCs w:val="20"/>
              </w:rPr>
              <w:t>Mineral Property Valuation Code</w:t>
            </w:r>
          </w:p>
        </w:tc>
      </w:tr>
      <w:tr w:rsidR="009F4CB5" w:rsidRPr="00B677B4" w14:paraId="3E7F8BD3" w14:textId="77777777" w:rsidTr="009F4CB5">
        <w:tc>
          <w:tcPr>
            <w:tcW w:w="2083" w:type="dxa"/>
            <w:vAlign w:val="center"/>
          </w:tcPr>
          <w:p w14:paraId="6D2ECC98" w14:textId="164F120A"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MMHI</w:t>
            </w:r>
          </w:p>
        </w:tc>
        <w:tc>
          <w:tcPr>
            <w:tcW w:w="6785" w:type="dxa"/>
            <w:vAlign w:val="center"/>
          </w:tcPr>
          <w:p w14:paraId="376BD2B7" w14:textId="4F987BD7"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Ministry of Mining and Heavy Industry</w:t>
            </w:r>
          </w:p>
        </w:tc>
      </w:tr>
      <w:tr w:rsidR="009F4CB5" w:rsidRPr="00B677B4" w14:paraId="59351A88" w14:textId="77777777" w:rsidTr="009F4CB5">
        <w:tc>
          <w:tcPr>
            <w:tcW w:w="2083" w:type="dxa"/>
            <w:vAlign w:val="center"/>
          </w:tcPr>
          <w:p w14:paraId="3D1E5109" w14:textId="7273D156"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MNMA</w:t>
            </w:r>
          </w:p>
        </w:tc>
        <w:tc>
          <w:tcPr>
            <w:tcW w:w="6785" w:type="dxa"/>
            <w:vAlign w:val="center"/>
          </w:tcPr>
          <w:p w14:paraId="4F17A581" w14:textId="27D3C1B2"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Mongolian National Mining Association</w:t>
            </w:r>
          </w:p>
        </w:tc>
      </w:tr>
      <w:tr w:rsidR="009F4CB5" w:rsidRPr="00B677B4" w14:paraId="42C5DC20" w14:textId="77777777" w:rsidTr="009F4CB5">
        <w:tc>
          <w:tcPr>
            <w:tcW w:w="2083" w:type="dxa"/>
            <w:vAlign w:val="center"/>
          </w:tcPr>
          <w:p w14:paraId="6547B6FC" w14:textId="6032C9ED"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MoF</w:t>
            </w:r>
          </w:p>
        </w:tc>
        <w:tc>
          <w:tcPr>
            <w:tcW w:w="6785" w:type="dxa"/>
            <w:vAlign w:val="center"/>
          </w:tcPr>
          <w:p w14:paraId="0B43CAC0" w14:textId="01BA944C"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 xml:space="preserve">Ministry of Finance </w:t>
            </w:r>
          </w:p>
        </w:tc>
      </w:tr>
      <w:tr w:rsidR="009F4CB5" w:rsidRPr="00B677B4" w14:paraId="17CF8530" w14:textId="77777777" w:rsidTr="009F4CB5">
        <w:tc>
          <w:tcPr>
            <w:tcW w:w="2083" w:type="dxa"/>
            <w:vAlign w:val="center"/>
            <w:hideMark/>
          </w:tcPr>
          <w:p w14:paraId="3F0E35EB" w14:textId="26BE63E5" w:rsidR="009F4CB5" w:rsidRPr="00B677B4" w:rsidRDefault="009F4CB5" w:rsidP="009F4CB5">
            <w:pPr>
              <w:spacing w:before="120" w:after="120" w:line="264" w:lineRule="auto"/>
              <w:jc w:val="both"/>
              <w:rPr>
                <w:rFonts w:ascii="Arial" w:eastAsiaTheme="minorEastAsia" w:hAnsi="Arial" w:cs="Arial"/>
                <w:sz w:val="20"/>
                <w:szCs w:val="20"/>
              </w:rPr>
            </w:pPr>
            <w:proofErr w:type="spellStart"/>
            <w:r w:rsidRPr="00B677B4">
              <w:rPr>
                <w:rFonts w:ascii="Arial" w:eastAsiaTheme="minorEastAsia" w:hAnsi="Arial" w:cs="Arial"/>
                <w:sz w:val="20"/>
                <w:szCs w:val="20"/>
              </w:rPr>
              <w:t>MoET</w:t>
            </w:r>
            <w:proofErr w:type="spellEnd"/>
          </w:p>
        </w:tc>
        <w:tc>
          <w:tcPr>
            <w:tcW w:w="6785" w:type="dxa"/>
            <w:vAlign w:val="center"/>
            <w:hideMark/>
          </w:tcPr>
          <w:p w14:paraId="2A9E592B" w14:textId="6DD7D7C9"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 xml:space="preserve">Ministry of Environment and Tourism </w:t>
            </w:r>
          </w:p>
        </w:tc>
      </w:tr>
      <w:tr w:rsidR="009F4CB5" w:rsidRPr="00B677B4" w14:paraId="7737084D" w14:textId="77777777" w:rsidTr="009F4CB5">
        <w:tc>
          <w:tcPr>
            <w:tcW w:w="2083" w:type="dxa"/>
            <w:vAlign w:val="center"/>
          </w:tcPr>
          <w:p w14:paraId="0B3C1753" w14:textId="524528AA" w:rsidR="009F4CB5" w:rsidRPr="00B677B4" w:rsidRDefault="009F4CB5" w:rsidP="009F4CB5">
            <w:pPr>
              <w:spacing w:before="120" w:after="120" w:line="264" w:lineRule="auto"/>
              <w:jc w:val="both"/>
              <w:rPr>
                <w:rFonts w:ascii="Arial" w:eastAsiaTheme="minorEastAsia" w:hAnsi="Arial" w:cs="Arial"/>
                <w:sz w:val="20"/>
                <w:szCs w:val="20"/>
              </w:rPr>
            </w:pPr>
            <w:proofErr w:type="spellStart"/>
            <w:r w:rsidRPr="00B677B4">
              <w:rPr>
                <w:rFonts w:ascii="Arial" w:eastAsiaTheme="minorEastAsia" w:hAnsi="Arial" w:cs="Arial"/>
                <w:sz w:val="20"/>
                <w:szCs w:val="20"/>
              </w:rPr>
              <w:t>MonGeoCat</w:t>
            </w:r>
            <w:proofErr w:type="spellEnd"/>
          </w:p>
        </w:tc>
        <w:tc>
          <w:tcPr>
            <w:tcW w:w="6785" w:type="dxa"/>
            <w:vAlign w:val="center"/>
          </w:tcPr>
          <w:p w14:paraId="07738EB9" w14:textId="0C7E325C"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 xml:space="preserve">Mongolia’s Geological Catalogue System </w:t>
            </w:r>
          </w:p>
        </w:tc>
      </w:tr>
      <w:tr w:rsidR="009F4CB5" w:rsidRPr="00B677B4" w14:paraId="2EA16FE5" w14:textId="77777777" w:rsidTr="009F4CB5">
        <w:tc>
          <w:tcPr>
            <w:tcW w:w="2083" w:type="dxa"/>
            <w:vAlign w:val="center"/>
          </w:tcPr>
          <w:p w14:paraId="4CCC2441" w14:textId="0FED5C18"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MRPAM</w:t>
            </w:r>
          </w:p>
        </w:tc>
        <w:tc>
          <w:tcPr>
            <w:tcW w:w="6785" w:type="dxa"/>
            <w:vAlign w:val="center"/>
          </w:tcPr>
          <w:p w14:paraId="4E97BFAF" w14:textId="1FF2B1D4"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Mineral Resource and Petroleum Authority of Mongolia</w:t>
            </w:r>
          </w:p>
        </w:tc>
      </w:tr>
      <w:tr w:rsidR="009F4CB5" w:rsidRPr="00B677B4" w14:paraId="56461A08" w14:textId="77777777" w:rsidTr="009F4CB5">
        <w:tc>
          <w:tcPr>
            <w:tcW w:w="2083" w:type="dxa"/>
            <w:vAlign w:val="center"/>
          </w:tcPr>
          <w:p w14:paraId="024E7D6F" w14:textId="1234DC4A"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MPIGM</w:t>
            </w:r>
          </w:p>
        </w:tc>
        <w:tc>
          <w:tcPr>
            <w:tcW w:w="6785" w:type="dxa"/>
            <w:vAlign w:val="center"/>
          </w:tcPr>
          <w:p w14:paraId="182ECB9E" w14:textId="10F3CBF1" w:rsidR="009F4CB5" w:rsidRPr="00B677B4" w:rsidRDefault="009F4CB5" w:rsidP="009F4CB5">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Mongolian Professional Institute of Geosciences and Mining</w:t>
            </w:r>
          </w:p>
        </w:tc>
      </w:tr>
      <w:tr w:rsidR="00CA327E" w:rsidRPr="00B677B4" w14:paraId="1FF01085" w14:textId="77777777" w:rsidTr="009F4CB5">
        <w:tc>
          <w:tcPr>
            <w:tcW w:w="2083" w:type="dxa"/>
            <w:vAlign w:val="center"/>
          </w:tcPr>
          <w:p w14:paraId="0D0AD4F0" w14:textId="40334483"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MTR</w:t>
            </w:r>
          </w:p>
        </w:tc>
        <w:tc>
          <w:tcPr>
            <w:tcW w:w="6785" w:type="dxa"/>
            <w:vAlign w:val="center"/>
          </w:tcPr>
          <w:p w14:paraId="7397C1BB" w14:textId="09D83E6B"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Mid-Term Review</w:t>
            </w:r>
          </w:p>
        </w:tc>
      </w:tr>
      <w:tr w:rsidR="00CA327E" w:rsidRPr="00B677B4" w14:paraId="51436798" w14:textId="77777777" w:rsidTr="009F4CB5">
        <w:tc>
          <w:tcPr>
            <w:tcW w:w="2083" w:type="dxa"/>
            <w:vAlign w:val="center"/>
          </w:tcPr>
          <w:p w14:paraId="5A618723" w14:textId="6F36CF87"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NGDB</w:t>
            </w:r>
          </w:p>
        </w:tc>
        <w:tc>
          <w:tcPr>
            <w:tcW w:w="6785" w:type="dxa"/>
            <w:vAlign w:val="center"/>
          </w:tcPr>
          <w:p w14:paraId="6A8A2892" w14:textId="24C45D77"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National Geoscience Database</w:t>
            </w:r>
          </w:p>
        </w:tc>
      </w:tr>
      <w:tr w:rsidR="00CA327E" w:rsidRPr="00B677B4" w14:paraId="7CFB87A1" w14:textId="77777777" w:rsidTr="009F4CB5">
        <w:tc>
          <w:tcPr>
            <w:tcW w:w="2083" w:type="dxa"/>
            <w:vAlign w:val="center"/>
          </w:tcPr>
          <w:p w14:paraId="3CAECFC9" w14:textId="2228ACA4"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NGS</w:t>
            </w:r>
          </w:p>
        </w:tc>
        <w:tc>
          <w:tcPr>
            <w:tcW w:w="6785" w:type="dxa"/>
            <w:vAlign w:val="center"/>
          </w:tcPr>
          <w:p w14:paraId="196619E1" w14:textId="0D73D4BE"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National Geological Survey</w:t>
            </w:r>
          </w:p>
        </w:tc>
      </w:tr>
      <w:tr w:rsidR="00CA327E" w:rsidRPr="00B677B4" w14:paraId="5038E0B9" w14:textId="77777777" w:rsidTr="009F4CB5">
        <w:tc>
          <w:tcPr>
            <w:tcW w:w="2083" w:type="dxa"/>
            <w:vAlign w:val="center"/>
          </w:tcPr>
          <w:p w14:paraId="47CF7CC4" w14:textId="3FBCC14D" w:rsidR="00CA327E" w:rsidRPr="00B677B4" w:rsidRDefault="00CA327E" w:rsidP="00CA327E">
            <w:pPr>
              <w:spacing w:before="120" w:after="120" w:line="264" w:lineRule="auto"/>
              <w:jc w:val="both"/>
              <w:rPr>
                <w:rFonts w:ascii="Arial" w:eastAsiaTheme="minorEastAsia" w:hAnsi="Arial" w:cs="Arial"/>
                <w:sz w:val="20"/>
                <w:szCs w:val="20"/>
              </w:rPr>
            </w:pPr>
            <w:r>
              <w:rPr>
                <w:rFonts w:ascii="Arial" w:eastAsiaTheme="minorEastAsia" w:hAnsi="Arial" w:cs="Arial"/>
                <w:sz w:val="20"/>
                <w:szCs w:val="20"/>
              </w:rPr>
              <w:t>ODA</w:t>
            </w:r>
          </w:p>
        </w:tc>
        <w:tc>
          <w:tcPr>
            <w:tcW w:w="6785" w:type="dxa"/>
            <w:vAlign w:val="center"/>
          </w:tcPr>
          <w:p w14:paraId="7DF2371A" w14:textId="0D73913B" w:rsidR="00CA327E" w:rsidRPr="00B677B4" w:rsidRDefault="00CA327E" w:rsidP="00CA327E">
            <w:pPr>
              <w:spacing w:before="120" w:after="120" w:line="264" w:lineRule="auto"/>
              <w:jc w:val="both"/>
              <w:rPr>
                <w:rFonts w:ascii="Arial" w:eastAsiaTheme="minorEastAsia" w:hAnsi="Arial" w:cs="Arial"/>
                <w:sz w:val="20"/>
                <w:szCs w:val="20"/>
              </w:rPr>
            </w:pPr>
            <w:r>
              <w:rPr>
                <w:rFonts w:ascii="Arial" w:eastAsiaTheme="minorEastAsia" w:hAnsi="Arial" w:cs="Arial"/>
                <w:sz w:val="20"/>
                <w:szCs w:val="20"/>
              </w:rPr>
              <w:t>Official Development Assistance</w:t>
            </w:r>
          </w:p>
        </w:tc>
      </w:tr>
      <w:tr w:rsidR="00CA327E" w:rsidRPr="00B677B4" w14:paraId="216747DA" w14:textId="77777777" w:rsidTr="00457088">
        <w:tc>
          <w:tcPr>
            <w:tcW w:w="2083" w:type="dxa"/>
            <w:vAlign w:val="center"/>
          </w:tcPr>
          <w:p w14:paraId="6B8FC1BB" w14:textId="6986CB51"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REE</w:t>
            </w:r>
          </w:p>
        </w:tc>
        <w:tc>
          <w:tcPr>
            <w:tcW w:w="6785" w:type="dxa"/>
            <w:vAlign w:val="center"/>
          </w:tcPr>
          <w:p w14:paraId="05081055" w14:textId="63D34276"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Rare Earth Element</w:t>
            </w:r>
          </w:p>
        </w:tc>
      </w:tr>
      <w:tr w:rsidR="00CA327E" w:rsidRPr="00B677B4" w14:paraId="579F5982" w14:textId="77777777" w:rsidTr="00457088">
        <w:tc>
          <w:tcPr>
            <w:tcW w:w="2083" w:type="dxa"/>
            <w:vAlign w:val="center"/>
          </w:tcPr>
          <w:p w14:paraId="1FD64EB7" w14:textId="77777777"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SESMIM</w:t>
            </w:r>
          </w:p>
        </w:tc>
        <w:tc>
          <w:tcPr>
            <w:tcW w:w="6785" w:type="dxa"/>
            <w:vAlign w:val="center"/>
          </w:tcPr>
          <w:p w14:paraId="7B967F52" w14:textId="77777777" w:rsidR="00CA327E" w:rsidRPr="00B677B4" w:rsidRDefault="00CA327E" w:rsidP="00CA327E">
            <w:pPr>
              <w:spacing w:before="120" w:after="120" w:line="264" w:lineRule="auto"/>
              <w:jc w:val="both"/>
              <w:rPr>
                <w:rFonts w:ascii="Arial" w:eastAsiaTheme="minorEastAsia" w:hAnsi="Arial" w:cs="Arial"/>
                <w:sz w:val="20"/>
                <w:szCs w:val="20"/>
              </w:rPr>
            </w:pPr>
            <w:r w:rsidRPr="00B677B4">
              <w:rPr>
                <w:rFonts w:ascii="Arial" w:eastAsiaTheme="minorEastAsia" w:hAnsi="Arial" w:cs="Arial"/>
                <w:sz w:val="20"/>
                <w:szCs w:val="20"/>
              </w:rPr>
              <w:t>Strengthening Extractive Sector Management in Mongolia</w:t>
            </w:r>
          </w:p>
        </w:tc>
      </w:tr>
    </w:tbl>
    <w:p w14:paraId="6DDB4D6B" w14:textId="77777777" w:rsidR="001050CC" w:rsidRPr="00B677B4" w:rsidRDefault="001050CC">
      <w:pPr>
        <w:rPr>
          <w:rStyle w:val="MajorHeading"/>
          <w:rFonts w:asciiTheme="majorHAnsi" w:eastAsiaTheme="majorEastAsia" w:hAnsiTheme="majorHAnsi" w:cstheme="majorBidi"/>
          <w:b w:val="0"/>
          <w:color w:val="2F5496" w:themeColor="accent1" w:themeShade="BF"/>
          <w:spacing w:val="0"/>
          <w:sz w:val="32"/>
          <w:szCs w:val="32"/>
          <w:lang w:eastAsia="en-US"/>
        </w:rPr>
      </w:pPr>
      <w:r w:rsidRPr="00B677B4">
        <w:rPr>
          <w:rStyle w:val="MajorHeading"/>
          <w:rFonts w:asciiTheme="majorHAnsi" w:hAnsiTheme="majorHAnsi" w:cstheme="majorBidi"/>
          <w:b w:val="0"/>
          <w:color w:val="2F5496" w:themeColor="accent1" w:themeShade="BF"/>
          <w:spacing w:val="0"/>
          <w:sz w:val="32"/>
          <w:szCs w:val="32"/>
        </w:rPr>
        <w:br w:type="page"/>
      </w:r>
    </w:p>
    <w:p w14:paraId="39F5C143" w14:textId="0DFC7629" w:rsidR="001050CC" w:rsidRPr="00B677B4" w:rsidRDefault="001050CC">
      <w:pPr>
        <w:pStyle w:val="Heading1"/>
        <w:numPr>
          <w:ilvl w:val="0"/>
          <w:numId w:val="8"/>
        </w:numPr>
        <w:rPr>
          <w:rStyle w:val="MajorHeading"/>
          <w:rFonts w:asciiTheme="majorHAnsi" w:hAnsiTheme="majorHAnsi" w:cstheme="majorBidi"/>
          <w:b w:val="0"/>
          <w:color w:val="2F5496" w:themeColor="accent1" w:themeShade="BF"/>
          <w:spacing w:val="0"/>
          <w:sz w:val="32"/>
          <w:szCs w:val="32"/>
          <w:lang w:val="en-GB"/>
        </w:rPr>
      </w:pPr>
      <w:bookmarkStart w:id="11" w:name="_Toc124772656"/>
      <w:r w:rsidRPr="00B677B4">
        <w:rPr>
          <w:rStyle w:val="MajorHeading"/>
          <w:rFonts w:asciiTheme="majorHAnsi" w:hAnsiTheme="majorHAnsi" w:cstheme="majorBidi"/>
          <w:b w:val="0"/>
          <w:color w:val="2F5496" w:themeColor="accent1" w:themeShade="BF"/>
          <w:spacing w:val="0"/>
          <w:sz w:val="32"/>
          <w:szCs w:val="32"/>
          <w:lang w:val="en-GB"/>
        </w:rPr>
        <w:lastRenderedPageBreak/>
        <w:t>Executive Summary</w:t>
      </w:r>
      <w:bookmarkEnd w:id="11"/>
    </w:p>
    <w:p w14:paraId="294DABA8" w14:textId="23BF1EAE" w:rsidR="001050CC" w:rsidRPr="00B677B4" w:rsidRDefault="001050CC" w:rsidP="001050CC">
      <w:pPr>
        <w:rPr>
          <w:lang w:eastAsia="en-US"/>
        </w:rPr>
      </w:pPr>
    </w:p>
    <w:p w14:paraId="6ADE921E" w14:textId="63422F0F" w:rsidR="001050CC" w:rsidRPr="00C8767A" w:rsidRDefault="00AF4300" w:rsidP="009126F0">
      <w:pPr>
        <w:pStyle w:val="Subheading"/>
        <w:rPr>
          <w:lang w:val="en-GB"/>
        </w:rPr>
      </w:pPr>
      <w:r w:rsidRPr="00C8767A">
        <w:rPr>
          <w:lang w:val="en-GB"/>
        </w:rPr>
        <w:t>Overview</w:t>
      </w:r>
    </w:p>
    <w:p w14:paraId="6FE3F633" w14:textId="05424153" w:rsidR="00AF4300" w:rsidRPr="00B677B4" w:rsidRDefault="00AF4300" w:rsidP="00AF4300">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The program under review is the 2nd phase of the Australia Mongolia Extractives Program (AMEP</w:t>
      </w:r>
      <w:r w:rsidR="00CA327E">
        <w:rPr>
          <w:rFonts w:asciiTheme="minorHAnsi" w:hAnsiTheme="minorHAnsi" w:cstheme="minorHAnsi"/>
          <w:sz w:val="22"/>
          <w:szCs w:val="22"/>
        </w:rPr>
        <w:t xml:space="preserve"> II</w:t>
      </w:r>
      <w:r w:rsidRPr="00B677B4">
        <w:rPr>
          <w:rFonts w:asciiTheme="minorHAnsi" w:hAnsiTheme="minorHAnsi" w:cstheme="minorHAnsi"/>
          <w:sz w:val="22"/>
          <w:szCs w:val="22"/>
        </w:rPr>
        <w:t>) aiming to assist Mongolia to sustainably manage its resource-led growth. </w:t>
      </w:r>
      <w:r w:rsidRPr="00B677B4">
        <w:rPr>
          <w:rFonts w:ascii="Calibri" w:hAnsi="Calibri" w:cs="Calibri"/>
          <w:sz w:val="22"/>
          <w:szCs w:val="22"/>
        </w:rPr>
        <w:t xml:space="preserve">The 2nd phase of the program commenced on 1 April 2019, with Adam Smith International as the managing contractor.  The current value of the investment is 8.5 $ million and it will end </w:t>
      </w:r>
      <w:r w:rsidR="00556CFE" w:rsidRPr="00B677B4">
        <w:rPr>
          <w:rFonts w:ascii="Calibri" w:hAnsi="Calibri" w:cs="Calibri"/>
          <w:sz w:val="22"/>
          <w:szCs w:val="22"/>
        </w:rPr>
        <w:t>on</w:t>
      </w:r>
      <w:r w:rsidRPr="00B677B4">
        <w:rPr>
          <w:rFonts w:ascii="Calibri" w:hAnsi="Calibri" w:cs="Calibri"/>
          <w:sz w:val="22"/>
          <w:szCs w:val="22"/>
        </w:rPr>
        <w:t xml:space="preserve"> 31 March 2024. The objective of AMEP II is to promote the enabling environment for investment in the extractives sector that is essential to future growth.</w:t>
      </w:r>
    </w:p>
    <w:p w14:paraId="32CB6F68" w14:textId="24E54612" w:rsidR="00AF4300" w:rsidRPr="00C8767A" w:rsidRDefault="00AF4300" w:rsidP="009126F0">
      <w:pPr>
        <w:pStyle w:val="Subheading"/>
        <w:rPr>
          <w:lang w:val="en-GB"/>
        </w:rPr>
      </w:pPr>
      <w:r w:rsidRPr="00C8767A">
        <w:rPr>
          <w:lang w:val="en-GB"/>
        </w:rPr>
        <w:t>Purpose</w:t>
      </w:r>
    </w:p>
    <w:p w14:paraId="6A1B673B" w14:textId="3AC7F7A6" w:rsidR="00AF4300" w:rsidRPr="00B677B4" w:rsidRDefault="00AF4300" w:rsidP="00AF4300">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The primary objective of the Mid-Term Review (MTR) is to focus on what has worked and why, how program practice and relevance could be improved</w:t>
      </w:r>
      <w:r w:rsidR="00CA327E">
        <w:rPr>
          <w:rFonts w:asciiTheme="minorHAnsi" w:hAnsiTheme="minorHAnsi" w:cstheme="minorHAnsi"/>
          <w:sz w:val="22"/>
          <w:szCs w:val="22"/>
        </w:rPr>
        <w:t>,</w:t>
      </w:r>
      <w:r w:rsidRPr="00B677B4">
        <w:rPr>
          <w:rFonts w:asciiTheme="minorHAnsi" w:hAnsiTheme="minorHAnsi" w:cstheme="minorHAnsi"/>
          <w:sz w:val="22"/>
          <w:szCs w:val="22"/>
        </w:rPr>
        <w:t xml:space="preserve"> and if program operation and management facilities have been efficient and effective.</w:t>
      </w:r>
    </w:p>
    <w:p w14:paraId="0D98A47E" w14:textId="1848AF0A" w:rsidR="00AF4300" w:rsidRPr="00C8767A" w:rsidRDefault="00AF4300" w:rsidP="009126F0">
      <w:pPr>
        <w:pStyle w:val="Subheading"/>
        <w:rPr>
          <w:lang w:val="en-GB"/>
        </w:rPr>
      </w:pPr>
      <w:r w:rsidRPr="00C8767A">
        <w:rPr>
          <w:lang w:val="en-GB"/>
        </w:rPr>
        <w:t>Approach</w:t>
      </w:r>
    </w:p>
    <w:p w14:paraId="22A66A9B" w14:textId="6E94E95F" w:rsidR="001050CC" w:rsidRPr="00B677B4" w:rsidRDefault="00AF4300" w:rsidP="00AF4300">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 xml:space="preserve">As set out in the Inception Report, the MTR conducted a mixed-methods approach (largely done in person, although some meetings were done remotely), using key informant interviews (KIIs), supported by a review of extensive project documentation. In total </w:t>
      </w:r>
      <w:r w:rsidR="007E6BF2" w:rsidRPr="00B677B4">
        <w:rPr>
          <w:rFonts w:asciiTheme="minorHAnsi" w:hAnsiTheme="minorHAnsi" w:cstheme="minorHAnsi"/>
          <w:sz w:val="22"/>
          <w:szCs w:val="22"/>
        </w:rPr>
        <w:t>2</w:t>
      </w:r>
      <w:r w:rsidR="00473B2C" w:rsidRPr="00B677B4">
        <w:rPr>
          <w:rFonts w:asciiTheme="minorHAnsi" w:hAnsiTheme="minorHAnsi" w:cstheme="minorHAnsi"/>
          <w:sz w:val="22"/>
          <w:szCs w:val="22"/>
        </w:rPr>
        <w:t>8</w:t>
      </w:r>
      <w:r w:rsidR="007E6BF2" w:rsidRPr="00B677B4">
        <w:rPr>
          <w:rFonts w:asciiTheme="minorHAnsi" w:hAnsiTheme="minorHAnsi" w:cstheme="minorHAnsi"/>
          <w:sz w:val="22"/>
          <w:szCs w:val="22"/>
        </w:rPr>
        <w:t xml:space="preserve"> informants participated in interviews and/or group discussions</w:t>
      </w:r>
      <w:r w:rsidRPr="00B677B4">
        <w:rPr>
          <w:rFonts w:asciiTheme="minorHAnsi" w:hAnsiTheme="minorHAnsi" w:cstheme="minorHAnsi"/>
          <w:sz w:val="22"/>
          <w:szCs w:val="22"/>
        </w:rPr>
        <w:t>.</w:t>
      </w:r>
    </w:p>
    <w:p w14:paraId="7695BE0E" w14:textId="1CB7E00A" w:rsidR="001050CC" w:rsidRPr="00C8767A" w:rsidRDefault="001050CC" w:rsidP="009126F0">
      <w:pPr>
        <w:pStyle w:val="Subheading"/>
        <w:rPr>
          <w:lang w:val="en-GB"/>
        </w:rPr>
      </w:pPr>
      <w:r w:rsidRPr="00C8767A">
        <w:rPr>
          <w:lang w:val="en-GB"/>
        </w:rPr>
        <w:t>Key Findings</w:t>
      </w:r>
    </w:p>
    <w:p w14:paraId="6F3EFED0" w14:textId="3B200163" w:rsidR="00AF4300" w:rsidRPr="00B677B4" w:rsidRDefault="00AF4300" w:rsidP="00AF4300">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Relevance</w:t>
      </w:r>
      <w:r w:rsidRPr="00B677B4">
        <w:rPr>
          <w:rFonts w:asciiTheme="minorHAnsi" w:hAnsiTheme="minorHAnsi" w:cstheme="minorHAnsi"/>
          <w:sz w:val="22"/>
          <w:szCs w:val="22"/>
        </w:rPr>
        <w:t>:</w:t>
      </w:r>
      <w:r w:rsidR="00354425" w:rsidRPr="00B677B4">
        <w:rPr>
          <w:rFonts w:asciiTheme="minorHAnsi" w:hAnsiTheme="minorHAnsi" w:cstheme="minorHAnsi"/>
          <w:sz w:val="22"/>
          <w:szCs w:val="22"/>
        </w:rPr>
        <w:t xml:space="preserve"> AMEP II remains highly relevant to the objectives of the Government of Mongolia, and to priorities in the sector. AMEP II aligns with Australia’s</w:t>
      </w:r>
      <w:r w:rsidR="00CA327E">
        <w:rPr>
          <w:rFonts w:asciiTheme="minorHAnsi" w:hAnsiTheme="minorHAnsi" w:cstheme="minorHAnsi"/>
          <w:sz w:val="22"/>
          <w:szCs w:val="22"/>
        </w:rPr>
        <w:t xml:space="preserve"> Official Development Assistance</w:t>
      </w:r>
      <w:r w:rsidR="00354425" w:rsidRPr="00B677B4">
        <w:rPr>
          <w:rFonts w:asciiTheme="minorHAnsi" w:hAnsiTheme="minorHAnsi" w:cstheme="minorHAnsi"/>
          <w:sz w:val="22"/>
          <w:szCs w:val="22"/>
        </w:rPr>
        <w:t xml:space="preserve"> </w:t>
      </w:r>
      <w:r w:rsidR="00CA327E">
        <w:rPr>
          <w:rFonts w:asciiTheme="minorHAnsi" w:hAnsiTheme="minorHAnsi" w:cstheme="minorHAnsi"/>
          <w:sz w:val="22"/>
          <w:szCs w:val="22"/>
        </w:rPr>
        <w:t>(</w:t>
      </w:r>
      <w:r w:rsidR="00354425" w:rsidRPr="00B677B4">
        <w:rPr>
          <w:rFonts w:asciiTheme="minorHAnsi" w:hAnsiTheme="minorHAnsi" w:cstheme="minorHAnsi"/>
          <w:sz w:val="22"/>
          <w:szCs w:val="22"/>
        </w:rPr>
        <w:t>ODA</w:t>
      </w:r>
      <w:r w:rsidR="00CA327E">
        <w:rPr>
          <w:rFonts w:asciiTheme="minorHAnsi" w:hAnsiTheme="minorHAnsi" w:cstheme="minorHAnsi"/>
          <w:sz w:val="22"/>
          <w:szCs w:val="22"/>
        </w:rPr>
        <w:t>)</w:t>
      </w:r>
      <w:r w:rsidR="00354425" w:rsidRPr="00B677B4">
        <w:rPr>
          <w:rFonts w:asciiTheme="minorHAnsi" w:hAnsiTheme="minorHAnsi" w:cstheme="minorHAnsi"/>
          <w:sz w:val="22"/>
          <w:szCs w:val="22"/>
        </w:rPr>
        <w:t xml:space="preserve"> priorities and high-level development interests, however it is still to be determined to what extent the objectives of AMEP II will align with the political agenda of the new Minister of Mining. AMEP II has retained its ‘on-demand’ approach, and has broadened its consultation process over time, working towards ensuring it responds to the needs of multiple stakeholders. </w:t>
      </w:r>
      <w:r w:rsidR="00473B2C" w:rsidRPr="00B677B4">
        <w:rPr>
          <w:rFonts w:asciiTheme="minorHAnsi" w:hAnsiTheme="minorHAnsi" w:cstheme="minorHAnsi"/>
          <w:sz w:val="22"/>
          <w:szCs w:val="22"/>
        </w:rPr>
        <w:t>However,</w:t>
      </w:r>
      <w:r w:rsidR="00354425" w:rsidRPr="00B677B4">
        <w:rPr>
          <w:rFonts w:asciiTheme="minorHAnsi" w:hAnsiTheme="minorHAnsi" w:cstheme="minorHAnsi"/>
          <w:sz w:val="22"/>
          <w:szCs w:val="22"/>
        </w:rPr>
        <w:t xml:space="preserve"> </w:t>
      </w:r>
      <w:r w:rsidR="00473B2C" w:rsidRPr="00B677B4">
        <w:rPr>
          <w:rFonts w:asciiTheme="minorHAnsi" w:hAnsiTheme="minorHAnsi" w:cstheme="minorHAnsi"/>
          <w:sz w:val="22"/>
          <w:szCs w:val="22"/>
        </w:rPr>
        <w:t>s</w:t>
      </w:r>
      <w:r w:rsidR="00354425" w:rsidRPr="00B677B4">
        <w:rPr>
          <w:rFonts w:asciiTheme="minorHAnsi" w:hAnsiTheme="minorHAnsi" w:cstheme="minorHAnsi"/>
          <w:sz w:val="22"/>
          <w:szCs w:val="22"/>
        </w:rPr>
        <w:t>atisfying these very different interest groups is a challenge, and the concern remains that the program could ‘fall between two stools’ if it does not articulate clearly how it plans to work with both professional mining groups within the sector, and those who represent the interests of mining affected communities.</w:t>
      </w:r>
    </w:p>
    <w:p w14:paraId="4658AE05" w14:textId="5DFD9664" w:rsidR="00F3325E" w:rsidRPr="00B677B4" w:rsidRDefault="00AF4300" w:rsidP="00F3325E">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Effectiveness</w:t>
      </w:r>
      <w:r w:rsidRPr="00B677B4">
        <w:rPr>
          <w:rFonts w:asciiTheme="minorHAnsi" w:hAnsiTheme="minorHAnsi" w:cstheme="minorHAnsi"/>
          <w:sz w:val="22"/>
          <w:szCs w:val="22"/>
        </w:rPr>
        <w:t>:</w:t>
      </w:r>
      <w:r w:rsidR="00354425" w:rsidRPr="00B677B4">
        <w:rPr>
          <w:rFonts w:asciiTheme="minorHAnsi" w:hAnsiTheme="minorHAnsi" w:cstheme="minorHAnsi"/>
          <w:sz w:val="22"/>
          <w:szCs w:val="22"/>
        </w:rPr>
        <w:t xml:space="preserve"> AMEP II has demonstrated that it provides sound advice on critical issues in the </w:t>
      </w:r>
      <w:r w:rsidR="00B67516" w:rsidRPr="00B677B4">
        <w:rPr>
          <w:rFonts w:asciiTheme="minorHAnsi" w:hAnsiTheme="minorHAnsi" w:cstheme="minorHAnsi"/>
          <w:sz w:val="22"/>
          <w:szCs w:val="22"/>
        </w:rPr>
        <w:t>sector and</w:t>
      </w:r>
      <w:r w:rsidR="00354425" w:rsidRPr="00B677B4">
        <w:rPr>
          <w:rFonts w:asciiTheme="minorHAnsi" w:hAnsiTheme="minorHAnsi" w:cstheme="minorHAnsi"/>
          <w:sz w:val="22"/>
          <w:szCs w:val="22"/>
        </w:rPr>
        <w:t xml:space="preserve"> has been sought out by government to support </w:t>
      </w:r>
      <w:r w:rsidR="00CA327E" w:rsidRPr="00B677B4">
        <w:rPr>
          <w:rFonts w:asciiTheme="minorHAnsi" w:hAnsiTheme="minorHAnsi" w:cstheme="minorHAnsi"/>
          <w:sz w:val="22"/>
          <w:szCs w:val="22"/>
        </w:rPr>
        <w:t>several</w:t>
      </w:r>
      <w:r w:rsidR="00354425" w:rsidRPr="00B677B4">
        <w:rPr>
          <w:rFonts w:asciiTheme="minorHAnsi" w:hAnsiTheme="minorHAnsi" w:cstheme="minorHAnsi"/>
          <w:sz w:val="22"/>
          <w:szCs w:val="22"/>
        </w:rPr>
        <w:t xml:space="preserve"> important regulatory and legislative issues (such as the work done on licensing, the new Minerals Law, and the new Subsoil Law). The program has been largely effective in delivering at output level, but its progress towards its overall objective remains uncertain. The program is building trust with key stakeholders, but acknowledges this is a slow process, </w:t>
      </w:r>
      <w:r w:rsidR="00B67516" w:rsidRPr="00B677B4">
        <w:rPr>
          <w:rFonts w:asciiTheme="minorHAnsi" w:hAnsiTheme="minorHAnsi" w:cstheme="minorHAnsi"/>
          <w:sz w:val="22"/>
          <w:szCs w:val="22"/>
        </w:rPr>
        <w:t xml:space="preserve">and </w:t>
      </w:r>
      <w:r w:rsidR="00354425" w:rsidRPr="00B677B4">
        <w:rPr>
          <w:rFonts w:asciiTheme="minorHAnsi" w:hAnsiTheme="minorHAnsi" w:cstheme="minorHAnsi"/>
          <w:sz w:val="22"/>
          <w:szCs w:val="22"/>
        </w:rPr>
        <w:t xml:space="preserve">where possible AMEP II has integrated gender and inclusion issues. Interviews conducted as part of the MTR found that stakeholders are </w:t>
      </w:r>
      <w:r w:rsidR="001116BF" w:rsidRPr="00B677B4">
        <w:rPr>
          <w:rFonts w:asciiTheme="minorHAnsi" w:hAnsiTheme="minorHAnsi" w:cstheme="minorHAnsi"/>
          <w:sz w:val="22"/>
          <w:szCs w:val="22"/>
        </w:rPr>
        <w:t>not</w:t>
      </w:r>
      <w:r w:rsidR="00354425" w:rsidRPr="00B677B4">
        <w:rPr>
          <w:rFonts w:asciiTheme="minorHAnsi" w:hAnsiTheme="minorHAnsi" w:cstheme="minorHAnsi"/>
          <w:sz w:val="22"/>
          <w:szCs w:val="22"/>
        </w:rPr>
        <w:t xml:space="preserve"> using the outputs of AMEP II</w:t>
      </w:r>
      <w:r w:rsidR="001116BF" w:rsidRPr="00B677B4">
        <w:rPr>
          <w:rFonts w:asciiTheme="minorHAnsi" w:hAnsiTheme="minorHAnsi" w:cstheme="minorHAnsi"/>
          <w:sz w:val="22"/>
          <w:szCs w:val="22"/>
        </w:rPr>
        <w:t xml:space="preserve"> </w:t>
      </w:r>
      <w:r w:rsidR="00B67516" w:rsidRPr="00B677B4">
        <w:rPr>
          <w:rFonts w:asciiTheme="minorHAnsi" w:hAnsiTheme="minorHAnsi" w:cstheme="minorHAnsi"/>
          <w:sz w:val="22"/>
          <w:szCs w:val="22"/>
        </w:rPr>
        <w:t>fully and</w:t>
      </w:r>
      <w:r w:rsidR="001116BF" w:rsidRPr="00B677B4">
        <w:rPr>
          <w:rFonts w:asciiTheme="minorHAnsi" w:hAnsiTheme="minorHAnsi" w:cstheme="minorHAnsi"/>
          <w:sz w:val="22"/>
          <w:szCs w:val="22"/>
        </w:rPr>
        <w:t xml:space="preserve"> have limited access to important products that AMEP II have delivered over the years.</w:t>
      </w:r>
    </w:p>
    <w:p w14:paraId="41920F3C" w14:textId="647F6BEB" w:rsidR="00F3325E" w:rsidRPr="00B677B4" w:rsidRDefault="00AF4300" w:rsidP="00F3325E">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Efficiency</w:t>
      </w:r>
      <w:r w:rsidRPr="00B677B4">
        <w:rPr>
          <w:rFonts w:asciiTheme="minorHAnsi" w:hAnsiTheme="minorHAnsi" w:cstheme="minorHAnsi"/>
          <w:sz w:val="22"/>
          <w:szCs w:val="22"/>
        </w:rPr>
        <w:t>:</w:t>
      </w:r>
      <w:r w:rsidR="00DC02E7" w:rsidRPr="00B677B4">
        <w:rPr>
          <w:rFonts w:asciiTheme="minorHAnsi" w:hAnsiTheme="minorHAnsi" w:cstheme="minorHAnsi"/>
          <w:sz w:val="22"/>
          <w:szCs w:val="22"/>
        </w:rPr>
        <w:t xml:space="preserve"> </w:t>
      </w:r>
      <w:r w:rsidR="00F3325E" w:rsidRPr="00B677B4">
        <w:rPr>
          <w:rFonts w:asciiTheme="minorHAnsi" w:hAnsiTheme="minorHAnsi" w:cstheme="minorHAnsi"/>
          <w:sz w:val="22"/>
          <w:szCs w:val="22"/>
        </w:rPr>
        <w:t xml:space="preserve">Whilst AMEP II has continued to work in areas it is familiar with, it has also been engaged in areas that are of higher risk and are more controversial within the sector. </w:t>
      </w:r>
      <w:r w:rsidR="00556CFE" w:rsidRPr="00B677B4">
        <w:rPr>
          <w:rFonts w:asciiTheme="minorHAnsi" w:hAnsiTheme="minorHAnsi" w:cstheme="minorHAnsi"/>
          <w:sz w:val="22"/>
          <w:szCs w:val="22"/>
        </w:rPr>
        <w:t xml:space="preserve">The challenge for the program is when activities are dropped </w:t>
      </w:r>
      <w:r w:rsidR="00B677B4" w:rsidRPr="00FC4CA1">
        <w:rPr>
          <w:rFonts w:asciiTheme="minorHAnsi" w:hAnsiTheme="minorHAnsi" w:cstheme="minorHAnsi"/>
          <w:sz w:val="22"/>
          <w:szCs w:val="22"/>
        </w:rPr>
        <w:t>because</w:t>
      </w:r>
      <w:r w:rsidR="00B677B4" w:rsidRPr="00B677B4">
        <w:rPr>
          <w:rFonts w:asciiTheme="minorHAnsi" w:hAnsiTheme="minorHAnsi" w:cstheme="minorHAnsi"/>
          <w:sz w:val="22"/>
          <w:szCs w:val="22"/>
        </w:rPr>
        <w:t xml:space="preserve"> g</w:t>
      </w:r>
      <w:r w:rsidR="00556CFE" w:rsidRPr="00B677B4">
        <w:rPr>
          <w:rFonts w:asciiTheme="minorHAnsi" w:hAnsiTheme="minorHAnsi" w:cstheme="minorHAnsi"/>
          <w:sz w:val="22"/>
          <w:szCs w:val="22"/>
        </w:rPr>
        <w:t xml:space="preserve">overnment no longer sees the issue as a priority. Moreover, </w:t>
      </w:r>
      <w:r w:rsidR="00556CFE" w:rsidRPr="00B677B4">
        <w:rPr>
          <w:rFonts w:asciiTheme="minorHAnsi" w:eastAsiaTheme="minorHAnsi" w:hAnsiTheme="minorHAnsi" w:cstheme="minorHAnsi"/>
          <w:sz w:val="22"/>
          <w:szCs w:val="22"/>
          <w:lang w:eastAsia="en-US"/>
        </w:rPr>
        <w:t>not all planned activities can be delivered within the financial year, which inhibits the realisation of all expected benefits.</w:t>
      </w:r>
      <w:r w:rsidR="00556CFE" w:rsidRPr="00B677B4">
        <w:rPr>
          <w:rFonts w:asciiTheme="minorHAnsi" w:hAnsiTheme="minorHAnsi" w:cstheme="minorHAnsi"/>
          <w:sz w:val="22"/>
          <w:szCs w:val="22"/>
        </w:rPr>
        <w:t xml:space="preserve"> </w:t>
      </w:r>
      <w:r w:rsidR="00F3325E" w:rsidRPr="00B677B4">
        <w:rPr>
          <w:rFonts w:asciiTheme="minorHAnsi" w:hAnsiTheme="minorHAnsi" w:cstheme="minorHAnsi"/>
          <w:sz w:val="22"/>
          <w:szCs w:val="22"/>
        </w:rPr>
        <w:t xml:space="preserve">Whilst the pandemic hindered the pace of delivery, the program was able to mitigate against the impact of COVID – 19, but the program recognises that the pandemic created challenges including that by moving activities online it did impact on the ability to </w:t>
      </w:r>
      <w:r w:rsidR="00F3325E" w:rsidRPr="00B677B4">
        <w:rPr>
          <w:rFonts w:asciiTheme="minorHAnsi" w:hAnsiTheme="minorHAnsi" w:cstheme="minorHAnsi"/>
          <w:sz w:val="22"/>
          <w:szCs w:val="22"/>
        </w:rPr>
        <w:lastRenderedPageBreak/>
        <w:t>raise awareness of issues, especially at the local level, and outreach was difficult, especially for building new relationships.</w:t>
      </w:r>
    </w:p>
    <w:p w14:paraId="76C9A95C" w14:textId="369D1E85" w:rsidR="00AF4300" w:rsidRPr="00B677B4" w:rsidRDefault="00AF4300" w:rsidP="00AF4300">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M&amp;E</w:t>
      </w:r>
      <w:r w:rsidRPr="00B677B4">
        <w:rPr>
          <w:rFonts w:asciiTheme="minorHAnsi" w:hAnsiTheme="minorHAnsi" w:cstheme="minorHAnsi"/>
          <w:sz w:val="22"/>
          <w:szCs w:val="22"/>
        </w:rPr>
        <w:t>:</w:t>
      </w:r>
      <w:r w:rsidR="00F3325E" w:rsidRPr="00B677B4">
        <w:rPr>
          <w:rFonts w:asciiTheme="minorHAnsi" w:hAnsiTheme="minorHAnsi" w:cstheme="minorHAnsi"/>
          <w:sz w:val="22"/>
          <w:szCs w:val="22"/>
        </w:rPr>
        <w:t xml:space="preserve"> The M&amp;E system has made a considerable investment in designing and implementing tracking against baselines that were developed at the outset, nevertheless challenges remain. Firstly, the program does not routinely measure progress against well-defined indicators at the outcome level. Secondly, the approach to M&amp;E does not provide the Embassy with</w:t>
      </w:r>
      <w:r w:rsidR="00B677B4" w:rsidRPr="00B677B4">
        <w:rPr>
          <w:rFonts w:asciiTheme="minorHAnsi" w:hAnsiTheme="minorHAnsi" w:cstheme="minorHAnsi"/>
          <w:sz w:val="22"/>
          <w:szCs w:val="22"/>
        </w:rPr>
        <w:t xml:space="preserve"> easily identifiable</w:t>
      </w:r>
      <w:r w:rsidR="00F3325E" w:rsidRPr="00B677B4">
        <w:rPr>
          <w:rFonts w:asciiTheme="minorHAnsi" w:hAnsiTheme="minorHAnsi" w:cstheme="minorHAnsi"/>
          <w:sz w:val="22"/>
          <w:szCs w:val="22"/>
        </w:rPr>
        <w:t xml:space="preserve"> information require</w:t>
      </w:r>
      <w:r w:rsidR="00CC1A78" w:rsidRPr="00B677B4">
        <w:rPr>
          <w:rFonts w:asciiTheme="minorHAnsi" w:hAnsiTheme="minorHAnsi" w:cstheme="minorHAnsi"/>
          <w:sz w:val="22"/>
          <w:szCs w:val="22"/>
        </w:rPr>
        <w:t>d</w:t>
      </w:r>
      <w:r w:rsidR="00F3325E" w:rsidRPr="00B677B4">
        <w:rPr>
          <w:rFonts w:asciiTheme="minorHAnsi" w:hAnsiTheme="minorHAnsi" w:cstheme="minorHAnsi"/>
          <w:sz w:val="22"/>
          <w:szCs w:val="22"/>
        </w:rPr>
        <w:t xml:space="preserve"> </w:t>
      </w:r>
      <w:r w:rsidR="00CC1A78" w:rsidRPr="00B677B4">
        <w:rPr>
          <w:rFonts w:asciiTheme="minorHAnsi" w:hAnsiTheme="minorHAnsi" w:cstheme="minorHAnsi"/>
          <w:sz w:val="22"/>
          <w:szCs w:val="22"/>
        </w:rPr>
        <w:t>for</w:t>
      </w:r>
      <w:r w:rsidR="00F3325E" w:rsidRPr="00B677B4">
        <w:rPr>
          <w:rFonts w:asciiTheme="minorHAnsi" w:hAnsiTheme="minorHAnsi" w:cstheme="minorHAnsi"/>
          <w:sz w:val="22"/>
          <w:szCs w:val="22"/>
        </w:rPr>
        <w:t xml:space="preserve"> questions, queries, and reporting needs of DFAT in Canberra. </w:t>
      </w:r>
      <w:r w:rsidR="007E6BF2" w:rsidRPr="00B677B4">
        <w:rPr>
          <w:rFonts w:asciiTheme="minorHAnsi" w:hAnsiTheme="minorHAnsi" w:cstheme="minorHAnsi"/>
          <w:sz w:val="22"/>
          <w:szCs w:val="22"/>
        </w:rPr>
        <w:t>T</w:t>
      </w:r>
      <w:r w:rsidR="00F3325E" w:rsidRPr="00B677B4">
        <w:rPr>
          <w:rFonts w:asciiTheme="minorHAnsi" w:hAnsiTheme="minorHAnsi" w:cstheme="minorHAnsi"/>
          <w:sz w:val="22"/>
          <w:szCs w:val="22"/>
        </w:rPr>
        <w:t>he program is not tracking in full what it is delivering (although the recent Annual Report is a step in the right direction), and its achievements at outcome level remain unclear.</w:t>
      </w:r>
    </w:p>
    <w:p w14:paraId="26591C4E" w14:textId="4FB02642" w:rsidR="00F3325E" w:rsidRPr="00B677B4" w:rsidRDefault="00AF4300" w:rsidP="00B67516">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Impact</w:t>
      </w:r>
      <w:r w:rsidRPr="00B677B4">
        <w:rPr>
          <w:rFonts w:asciiTheme="minorHAnsi" w:hAnsiTheme="minorHAnsi" w:cstheme="minorHAnsi"/>
          <w:sz w:val="22"/>
          <w:szCs w:val="22"/>
        </w:rPr>
        <w:t>:</w:t>
      </w:r>
      <w:r w:rsidR="00F3325E" w:rsidRPr="00B677B4">
        <w:rPr>
          <w:rFonts w:asciiTheme="minorHAnsi" w:hAnsiTheme="minorHAnsi" w:cstheme="minorHAnsi"/>
          <w:sz w:val="22"/>
          <w:szCs w:val="22"/>
        </w:rPr>
        <w:t xml:space="preserve"> AMEP continues to be successful in delivering multi-year interventions, that are </w:t>
      </w:r>
      <w:r w:rsidR="007E6BF2" w:rsidRPr="00B677B4">
        <w:rPr>
          <w:rFonts w:asciiTheme="minorHAnsi" w:hAnsiTheme="minorHAnsi" w:cstheme="minorHAnsi"/>
          <w:sz w:val="22"/>
          <w:szCs w:val="22"/>
        </w:rPr>
        <w:t>contributing</w:t>
      </w:r>
      <w:r w:rsidR="00F3325E" w:rsidRPr="00B677B4">
        <w:rPr>
          <w:rFonts w:asciiTheme="minorHAnsi" w:hAnsiTheme="minorHAnsi" w:cstheme="minorHAnsi"/>
          <w:sz w:val="22"/>
          <w:szCs w:val="22"/>
        </w:rPr>
        <w:t xml:space="preserve"> to the sector, but these successes are not always given the visibility they warrant. The program is also demonstrating that a longer-term approach to support policy building in the mining sector is needed. The implication being that support to policy reform cannot be done on an annual basis, but rather requires a significantly longer time frame. The challenge is to find the right balance between longer-term policy support and the short-term actions in response to the</w:t>
      </w:r>
      <w:r w:rsidR="00B677B4" w:rsidRPr="00B677B4">
        <w:rPr>
          <w:rFonts w:asciiTheme="minorHAnsi" w:hAnsiTheme="minorHAnsi" w:cstheme="minorHAnsi"/>
          <w:sz w:val="22"/>
          <w:szCs w:val="22"/>
        </w:rPr>
        <w:t xml:space="preserve"> Calls for Proposals (</w:t>
      </w:r>
      <w:proofErr w:type="spellStart"/>
      <w:r w:rsidR="00F3325E" w:rsidRPr="00B677B4">
        <w:rPr>
          <w:rFonts w:asciiTheme="minorHAnsi" w:hAnsiTheme="minorHAnsi" w:cstheme="minorHAnsi"/>
          <w:sz w:val="22"/>
          <w:szCs w:val="22"/>
        </w:rPr>
        <w:t>CfPs</w:t>
      </w:r>
      <w:proofErr w:type="spellEnd"/>
      <w:r w:rsidR="00B677B4" w:rsidRPr="00B677B4">
        <w:rPr>
          <w:rFonts w:asciiTheme="minorHAnsi" w:hAnsiTheme="minorHAnsi" w:cstheme="minorHAnsi"/>
          <w:sz w:val="22"/>
          <w:szCs w:val="22"/>
        </w:rPr>
        <w:t>)</w:t>
      </w:r>
      <w:r w:rsidR="00F3325E" w:rsidRPr="00B677B4">
        <w:rPr>
          <w:rFonts w:asciiTheme="minorHAnsi" w:hAnsiTheme="minorHAnsi" w:cstheme="minorHAnsi"/>
          <w:sz w:val="22"/>
          <w:szCs w:val="22"/>
        </w:rPr>
        <w:t>. The longer-term support can be programmed, but the short-term actions</w:t>
      </w:r>
      <w:r w:rsidR="00CA327E">
        <w:rPr>
          <w:rFonts w:asciiTheme="minorHAnsi" w:hAnsiTheme="minorHAnsi" w:cstheme="minorHAnsi"/>
          <w:sz w:val="22"/>
          <w:szCs w:val="22"/>
        </w:rPr>
        <w:t>,</w:t>
      </w:r>
      <w:r w:rsidR="00F3325E" w:rsidRPr="00B677B4">
        <w:rPr>
          <w:rFonts w:asciiTheme="minorHAnsi" w:hAnsiTheme="minorHAnsi" w:cstheme="minorHAnsi"/>
          <w:sz w:val="22"/>
          <w:szCs w:val="22"/>
        </w:rPr>
        <w:t xml:space="preserve"> by their very nature</w:t>
      </w:r>
      <w:r w:rsidR="00CA327E">
        <w:rPr>
          <w:rFonts w:asciiTheme="minorHAnsi" w:hAnsiTheme="minorHAnsi" w:cstheme="minorHAnsi"/>
          <w:sz w:val="22"/>
          <w:szCs w:val="22"/>
        </w:rPr>
        <w:t>,</w:t>
      </w:r>
      <w:r w:rsidR="00F3325E" w:rsidRPr="00B677B4">
        <w:rPr>
          <w:rFonts w:asciiTheme="minorHAnsi" w:hAnsiTheme="minorHAnsi" w:cstheme="minorHAnsi"/>
          <w:sz w:val="22"/>
          <w:szCs w:val="22"/>
        </w:rPr>
        <w:t xml:space="preserve"> cannot be planne</w:t>
      </w:r>
      <w:r w:rsidR="00CA327E">
        <w:rPr>
          <w:rFonts w:asciiTheme="minorHAnsi" w:hAnsiTheme="minorHAnsi" w:cstheme="minorHAnsi"/>
          <w:sz w:val="22"/>
          <w:szCs w:val="22"/>
        </w:rPr>
        <w:t xml:space="preserve">d and which, if not carefully managed, could dilute the overall impact of the program. Moreover, </w:t>
      </w:r>
      <w:r w:rsidR="00F3325E" w:rsidRPr="00B677B4">
        <w:rPr>
          <w:rFonts w:asciiTheme="minorHAnsi" w:hAnsiTheme="minorHAnsi" w:cstheme="minorHAnsi"/>
          <w:sz w:val="22"/>
          <w:szCs w:val="22"/>
        </w:rPr>
        <w:t>bearing in mind that the context has changed dramatically since the start of the program</w:t>
      </w:r>
      <w:r w:rsidR="00CA327E">
        <w:rPr>
          <w:rFonts w:asciiTheme="minorHAnsi" w:hAnsiTheme="minorHAnsi" w:cstheme="minorHAnsi"/>
          <w:sz w:val="22"/>
          <w:szCs w:val="22"/>
        </w:rPr>
        <w:t>,</w:t>
      </w:r>
      <w:r w:rsidR="00F3325E" w:rsidRPr="00B677B4">
        <w:rPr>
          <w:rFonts w:asciiTheme="minorHAnsi" w:hAnsiTheme="minorHAnsi" w:cstheme="minorHAnsi"/>
          <w:sz w:val="22"/>
          <w:szCs w:val="22"/>
        </w:rPr>
        <w:t xml:space="preserve"> are the assumptions underlying the program still valid?</w:t>
      </w:r>
    </w:p>
    <w:p w14:paraId="1685EA52" w14:textId="61152478" w:rsidR="00AF4300" w:rsidRPr="00B677B4" w:rsidRDefault="00AF4300" w:rsidP="00B67516">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Sustainability</w:t>
      </w:r>
      <w:r w:rsidRPr="00B677B4">
        <w:rPr>
          <w:rFonts w:asciiTheme="minorHAnsi" w:hAnsiTheme="minorHAnsi" w:cstheme="minorHAnsi"/>
          <w:sz w:val="22"/>
          <w:szCs w:val="22"/>
        </w:rPr>
        <w:t>:</w:t>
      </w:r>
      <w:r w:rsidR="00F3325E" w:rsidRPr="00B677B4">
        <w:rPr>
          <w:rFonts w:asciiTheme="minorHAnsi" w:hAnsiTheme="minorHAnsi" w:cstheme="minorHAnsi"/>
          <w:sz w:val="22"/>
          <w:szCs w:val="22"/>
        </w:rPr>
        <w:t xml:space="preserve"> The improvement of the investment environment is an ongoing process, notwithstanding the many factors external to the program which continue to undermine confidence in the investment environment in Mongolia.</w:t>
      </w:r>
      <w:r w:rsidR="00B67516" w:rsidRPr="00B677B4">
        <w:rPr>
          <w:rFonts w:asciiTheme="minorHAnsi" w:hAnsiTheme="minorHAnsi" w:cstheme="minorHAnsi"/>
          <w:sz w:val="22"/>
          <w:szCs w:val="22"/>
        </w:rPr>
        <w:t xml:space="preserve"> The context within which the program operates remains highly challenging and relatively hostile to the types of reforms the program is advocating. One therefore needs to be realistic about what a program of this nature can contribute, nevertheless there are opportunities for AMEP II to continue to purse including collaborating further with </w:t>
      </w:r>
      <w:r w:rsidR="00556CFE" w:rsidRPr="00B677B4">
        <w:rPr>
          <w:rFonts w:asciiTheme="minorHAnsi" w:hAnsiTheme="minorHAnsi" w:cstheme="minorHAnsi"/>
          <w:sz w:val="22"/>
          <w:szCs w:val="22"/>
        </w:rPr>
        <w:t>community-based</w:t>
      </w:r>
      <w:r w:rsidR="00B67516" w:rsidRPr="00B677B4">
        <w:rPr>
          <w:rFonts w:asciiTheme="minorHAnsi" w:hAnsiTheme="minorHAnsi" w:cstheme="minorHAnsi"/>
          <w:sz w:val="22"/>
          <w:szCs w:val="22"/>
        </w:rPr>
        <w:t xml:space="preserve"> </w:t>
      </w:r>
      <w:r w:rsidR="00473B2C" w:rsidRPr="00B677B4">
        <w:rPr>
          <w:rFonts w:asciiTheme="minorHAnsi" w:hAnsiTheme="minorHAnsi" w:cstheme="minorHAnsi"/>
          <w:sz w:val="22"/>
          <w:szCs w:val="22"/>
        </w:rPr>
        <w:t>organisations and</w:t>
      </w:r>
      <w:r w:rsidR="00B67516" w:rsidRPr="00B677B4">
        <w:rPr>
          <w:rFonts w:asciiTheme="minorHAnsi" w:hAnsiTheme="minorHAnsi" w:cstheme="minorHAnsi"/>
          <w:sz w:val="22"/>
          <w:szCs w:val="22"/>
        </w:rPr>
        <w:t xml:space="preserve"> expanding its efforts to advocate for the transition to green energy in Mongolia. </w:t>
      </w:r>
    </w:p>
    <w:p w14:paraId="3CBE00BC" w14:textId="0259187C" w:rsidR="001050CC" w:rsidRPr="00B677B4" w:rsidRDefault="00AF4300" w:rsidP="00AF4300">
      <w:pPr>
        <w:pStyle w:val="NormalWeb"/>
        <w:spacing w:before="120" w:beforeAutospacing="0"/>
        <w:rPr>
          <w:rFonts w:asciiTheme="minorHAnsi" w:hAnsiTheme="minorHAnsi" w:cstheme="minorHAnsi"/>
          <w:sz w:val="22"/>
          <w:szCs w:val="22"/>
        </w:rPr>
      </w:pPr>
      <w:r w:rsidRPr="00B677B4">
        <w:rPr>
          <w:rFonts w:asciiTheme="minorHAnsi" w:hAnsiTheme="minorHAnsi" w:cstheme="minorHAnsi"/>
          <w:b/>
          <w:bCs/>
          <w:sz w:val="22"/>
          <w:szCs w:val="22"/>
        </w:rPr>
        <w:t>Value</w:t>
      </w:r>
      <w:r w:rsidR="00B67516" w:rsidRPr="00B677B4">
        <w:rPr>
          <w:rFonts w:asciiTheme="minorHAnsi" w:hAnsiTheme="minorHAnsi" w:cstheme="minorHAnsi"/>
          <w:b/>
          <w:bCs/>
          <w:sz w:val="22"/>
          <w:szCs w:val="22"/>
        </w:rPr>
        <w:t>-</w:t>
      </w:r>
      <w:r w:rsidRPr="00B677B4">
        <w:rPr>
          <w:rFonts w:asciiTheme="minorHAnsi" w:hAnsiTheme="minorHAnsi" w:cstheme="minorHAnsi"/>
          <w:b/>
          <w:bCs/>
          <w:sz w:val="22"/>
          <w:szCs w:val="22"/>
        </w:rPr>
        <w:t>add to Australia</w:t>
      </w:r>
      <w:r w:rsidRPr="00B677B4">
        <w:rPr>
          <w:rFonts w:asciiTheme="minorHAnsi" w:hAnsiTheme="minorHAnsi" w:cstheme="minorHAnsi"/>
          <w:sz w:val="22"/>
          <w:szCs w:val="22"/>
        </w:rPr>
        <w:t>:</w:t>
      </w:r>
      <w:r w:rsidR="00B67516" w:rsidRPr="00B677B4">
        <w:rPr>
          <w:rFonts w:asciiTheme="minorHAnsi" w:hAnsiTheme="minorHAnsi" w:cstheme="minorHAnsi"/>
          <w:sz w:val="22"/>
          <w:szCs w:val="22"/>
        </w:rPr>
        <w:t xml:space="preserve"> Australia has a good reputation in the </w:t>
      </w:r>
      <w:r w:rsidR="007E6BF2" w:rsidRPr="00B677B4">
        <w:rPr>
          <w:rFonts w:asciiTheme="minorHAnsi" w:hAnsiTheme="minorHAnsi" w:cstheme="minorHAnsi"/>
          <w:sz w:val="22"/>
          <w:szCs w:val="22"/>
        </w:rPr>
        <w:t>sector but</w:t>
      </w:r>
      <w:r w:rsidR="00B67516" w:rsidRPr="00B677B4">
        <w:rPr>
          <w:rFonts w:asciiTheme="minorHAnsi" w:hAnsiTheme="minorHAnsi" w:cstheme="minorHAnsi"/>
          <w:sz w:val="22"/>
          <w:szCs w:val="22"/>
        </w:rPr>
        <w:t xml:space="preserve"> has the difficult role of being seen to be responding appropriately to the needs of many different interest groups in the sector. From a public diplomacy </w:t>
      </w:r>
      <w:r w:rsidR="007E6BF2" w:rsidRPr="00B677B4">
        <w:rPr>
          <w:rFonts w:asciiTheme="minorHAnsi" w:hAnsiTheme="minorHAnsi" w:cstheme="minorHAnsi"/>
          <w:sz w:val="22"/>
          <w:szCs w:val="22"/>
        </w:rPr>
        <w:t>perspective,</w:t>
      </w:r>
      <w:r w:rsidR="00B67516" w:rsidRPr="00B677B4">
        <w:rPr>
          <w:rFonts w:asciiTheme="minorHAnsi" w:hAnsiTheme="minorHAnsi" w:cstheme="minorHAnsi"/>
          <w:sz w:val="22"/>
          <w:szCs w:val="22"/>
        </w:rPr>
        <w:t xml:space="preserve"> the ongoing success of AMEP II provides opportunities for the Australian government to continue to engage with key government ministries, but this has not been appropriately leveraged by the program. Currently the program does not draw sufficiently on senior staff within the Embassy to raise the profile of Australia in the sector. This makes it difficult to demonstrate how the program is reinforcing Australia’s reputation in the sector. </w:t>
      </w:r>
    </w:p>
    <w:p w14:paraId="06814499" w14:textId="2F0CFDC0" w:rsidR="001050CC" w:rsidRPr="00C8767A" w:rsidRDefault="001050CC" w:rsidP="009126F0">
      <w:pPr>
        <w:pStyle w:val="Subheading"/>
        <w:rPr>
          <w:lang w:val="en-GB"/>
        </w:rPr>
      </w:pPr>
      <w:r w:rsidRPr="00C8767A">
        <w:rPr>
          <w:lang w:val="en-GB"/>
        </w:rPr>
        <w:t>Conclusion</w:t>
      </w:r>
    </w:p>
    <w:p w14:paraId="6C57F684" w14:textId="77777777" w:rsidR="00556CFE" w:rsidRPr="00B677B4" w:rsidRDefault="00556CFE" w:rsidP="00AF4300">
      <w:pPr>
        <w:pStyle w:val="table-text"/>
        <w:rPr>
          <w:rFonts w:asciiTheme="minorHAnsi" w:eastAsiaTheme="minorHAnsi" w:hAnsiTheme="minorHAnsi" w:cstheme="minorBidi"/>
          <w:sz w:val="22"/>
          <w:szCs w:val="22"/>
          <w:lang w:eastAsia="en-US"/>
        </w:rPr>
      </w:pPr>
    </w:p>
    <w:p w14:paraId="63F39685" w14:textId="44D155CD" w:rsidR="00AF4300" w:rsidRPr="00B677B4" w:rsidRDefault="00AF4300" w:rsidP="00AF4300">
      <w:pPr>
        <w:pStyle w:val="table-text"/>
        <w:rPr>
          <w:rFonts w:asciiTheme="minorHAnsi" w:hAnsiTheme="minorHAnsi" w:cstheme="minorHAnsi"/>
          <w:sz w:val="22"/>
          <w:szCs w:val="22"/>
          <w:lang w:eastAsia="en-GB"/>
        </w:rPr>
      </w:pPr>
      <w:r w:rsidRPr="00B677B4">
        <w:rPr>
          <w:rFonts w:asciiTheme="minorHAnsi" w:eastAsiaTheme="minorHAnsi" w:hAnsiTheme="minorHAnsi" w:cstheme="minorBidi"/>
          <w:sz w:val="22"/>
          <w:szCs w:val="22"/>
          <w:lang w:eastAsia="en-US"/>
        </w:rPr>
        <w:t>O</w:t>
      </w:r>
      <w:r w:rsidRPr="00B677B4">
        <w:rPr>
          <w:rFonts w:asciiTheme="minorHAnsi" w:hAnsiTheme="minorHAnsi" w:cstheme="minorHAnsi"/>
          <w:sz w:val="22"/>
          <w:szCs w:val="22"/>
          <w:lang w:eastAsia="en-GB"/>
        </w:rPr>
        <w:t xml:space="preserve">ur overall conclusion is that AMEP II has been successful in ‘building bridges’ between relevant government ministries and </w:t>
      </w:r>
      <w:r w:rsidR="005E19B1" w:rsidRPr="00B677B4">
        <w:rPr>
          <w:rFonts w:asciiTheme="minorHAnsi" w:hAnsiTheme="minorHAnsi" w:cstheme="minorHAnsi"/>
          <w:sz w:val="22"/>
          <w:szCs w:val="22"/>
          <w:lang w:eastAsia="en-GB"/>
        </w:rPr>
        <w:t>industry relevant players</w:t>
      </w:r>
      <w:r w:rsidRPr="00B677B4">
        <w:rPr>
          <w:rFonts w:asciiTheme="minorHAnsi" w:hAnsiTheme="minorHAnsi" w:cstheme="minorHAnsi"/>
          <w:sz w:val="22"/>
          <w:szCs w:val="22"/>
          <w:lang w:eastAsia="en-GB"/>
        </w:rPr>
        <w:t xml:space="preserve">, but it has not been as successful in getting these groups to work with community-based organisations, which has been a missed opportunity. Nevertheless, the improvement of the investment environment is an ongoing process, and AMEP II continues to </w:t>
      </w:r>
      <w:r w:rsidR="005E19B1" w:rsidRPr="00B677B4">
        <w:rPr>
          <w:rFonts w:asciiTheme="minorHAnsi" w:hAnsiTheme="minorHAnsi" w:cstheme="minorHAnsi"/>
          <w:sz w:val="22"/>
          <w:szCs w:val="22"/>
          <w:lang w:eastAsia="en-GB"/>
        </w:rPr>
        <w:t>contribute to</w:t>
      </w:r>
      <w:r w:rsidRPr="00B677B4">
        <w:rPr>
          <w:rFonts w:asciiTheme="minorHAnsi" w:hAnsiTheme="minorHAnsi" w:cstheme="minorHAnsi"/>
          <w:sz w:val="22"/>
          <w:szCs w:val="22"/>
          <w:lang w:eastAsia="en-GB"/>
        </w:rPr>
        <w:t xml:space="preserve"> much needed changes within the sector. Whilst one must be realistic about what a program such as AMEP II can achieve within an environment that is unreceptive to change, AMEP II should be encouraged to continue to support collaborative efforts to reform the sector. However, the program does need to provide a better sense of its competitive advantage, and the impact it </w:t>
      </w:r>
      <w:r w:rsidR="00CC1A78" w:rsidRPr="00B677B4">
        <w:rPr>
          <w:rFonts w:asciiTheme="minorHAnsi" w:hAnsiTheme="minorHAnsi" w:cstheme="minorHAnsi"/>
          <w:sz w:val="22"/>
          <w:szCs w:val="22"/>
          <w:lang w:eastAsia="en-GB"/>
        </w:rPr>
        <w:t xml:space="preserve">is </w:t>
      </w:r>
      <w:r w:rsidRPr="00B677B4">
        <w:rPr>
          <w:rFonts w:asciiTheme="minorHAnsi" w:hAnsiTheme="minorHAnsi" w:cstheme="minorHAnsi"/>
          <w:sz w:val="22"/>
          <w:szCs w:val="22"/>
          <w:lang w:eastAsia="en-GB"/>
        </w:rPr>
        <w:t xml:space="preserve">having in the sector. Without clear evidence of it meeting its expected outcomes, its </w:t>
      </w:r>
      <w:r w:rsidRPr="00B677B4">
        <w:rPr>
          <w:rFonts w:asciiTheme="minorHAnsi" w:hAnsiTheme="minorHAnsi" w:cstheme="minorHAnsi"/>
          <w:sz w:val="22"/>
          <w:szCs w:val="22"/>
          <w:lang w:eastAsia="en-GB"/>
        </w:rPr>
        <w:lastRenderedPageBreak/>
        <w:t>success may remain ambiguous, and it will be difficult for AMEP II to demonstrate that the whole is greater than the sum of its parts.</w:t>
      </w:r>
    </w:p>
    <w:p w14:paraId="56A65746" w14:textId="466F0CA5" w:rsidR="001050CC" w:rsidRPr="00B677B4" w:rsidRDefault="001050CC" w:rsidP="001050CC">
      <w:pPr>
        <w:rPr>
          <w:lang w:eastAsia="en-US"/>
        </w:rPr>
      </w:pPr>
    </w:p>
    <w:p w14:paraId="2D44E538" w14:textId="6865585F" w:rsidR="001050CC" w:rsidRPr="00C8767A" w:rsidRDefault="001050CC" w:rsidP="009126F0">
      <w:pPr>
        <w:pStyle w:val="Subheading"/>
        <w:rPr>
          <w:lang w:val="en-GB"/>
        </w:rPr>
      </w:pPr>
      <w:r w:rsidRPr="00C8767A">
        <w:rPr>
          <w:lang w:val="en-GB"/>
        </w:rPr>
        <w:t>Recommendations</w:t>
      </w:r>
    </w:p>
    <w:p w14:paraId="525A14F9" w14:textId="24456408" w:rsidR="00AF4300" w:rsidRPr="00C8767A" w:rsidRDefault="00AF4300" w:rsidP="00AF4300">
      <w:pPr>
        <w:rPr>
          <w:rFonts w:asciiTheme="minorHAnsi" w:hAnsiTheme="minorHAnsi" w:cstheme="minorHAnsi"/>
          <w:sz w:val="22"/>
          <w:szCs w:val="22"/>
        </w:rPr>
      </w:pPr>
      <w:r w:rsidRPr="00C8767A">
        <w:rPr>
          <w:rFonts w:asciiTheme="minorHAnsi" w:hAnsiTheme="minorHAnsi" w:cstheme="minorHAnsi"/>
          <w:sz w:val="22"/>
          <w:szCs w:val="22"/>
        </w:rPr>
        <w:t xml:space="preserve">Based on the findings and conclusions of this evaluation, the recommendations of the </w:t>
      </w:r>
      <w:r w:rsidR="00C021BA">
        <w:rPr>
          <w:rFonts w:asciiTheme="minorHAnsi" w:hAnsiTheme="minorHAnsi" w:cstheme="minorHAnsi"/>
          <w:sz w:val="22"/>
          <w:szCs w:val="22"/>
        </w:rPr>
        <w:t>MTR</w:t>
      </w:r>
      <w:r w:rsidRPr="00C8767A">
        <w:rPr>
          <w:rFonts w:asciiTheme="minorHAnsi" w:hAnsiTheme="minorHAnsi" w:cstheme="minorHAnsi"/>
          <w:sz w:val="22"/>
          <w:szCs w:val="22"/>
        </w:rPr>
        <w:t xml:space="preserve"> team for the next phase of the Facility are detailed below:</w:t>
      </w:r>
    </w:p>
    <w:p w14:paraId="64E3829A" w14:textId="77777777" w:rsidR="00AF4300" w:rsidRPr="00C8767A" w:rsidRDefault="00AF4300" w:rsidP="00AF4300">
      <w:pPr>
        <w:rPr>
          <w:rFonts w:asciiTheme="minorHAnsi" w:hAnsiTheme="minorHAnsi" w:cstheme="minorHAnsi"/>
          <w:sz w:val="22"/>
          <w:szCs w:val="22"/>
        </w:rPr>
      </w:pPr>
    </w:p>
    <w:p w14:paraId="0716283D" w14:textId="4AD88E73"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Over the final period </w:t>
      </w:r>
      <w:r w:rsidR="00C021BA">
        <w:rPr>
          <w:rFonts w:asciiTheme="minorHAnsi" w:hAnsiTheme="minorHAnsi" w:cstheme="minorHAnsi"/>
          <w:sz w:val="22"/>
          <w:szCs w:val="22"/>
          <w:lang w:val="en-GB"/>
        </w:rPr>
        <w:t xml:space="preserve">there is a need for </w:t>
      </w:r>
      <w:r w:rsidRPr="00B677B4">
        <w:rPr>
          <w:rFonts w:asciiTheme="minorHAnsi" w:hAnsiTheme="minorHAnsi" w:cstheme="minorHAnsi"/>
          <w:sz w:val="22"/>
          <w:szCs w:val="22"/>
          <w:lang w:val="en-GB"/>
        </w:rPr>
        <w:t xml:space="preserve">stronger focus/ </w:t>
      </w:r>
      <w:r w:rsidR="00C021BA">
        <w:rPr>
          <w:rFonts w:asciiTheme="minorHAnsi" w:hAnsiTheme="minorHAnsi" w:cstheme="minorHAnsi"/>
          <w:sz w:val="22"/>
          <w:szCs w:val="22"/>
          <w:lang w:val="en-GB"/>
        </w:rPr>
        <w:t xml:space="preserve">greater </w:t>
      </w:r>
      <w:r w:rsidRPr="00B677B4">
        <w:rPr>
          <w:rFonts w:asciiTheme="minorHAnsi" w:hAnsiTheme="minorHAnsi" w:cstheme="minorHAnsi"/>
          <w:sz w:val="22"/>
          <w:szCs w:val="22"/>
          <w:lang w:val="en-GB"/>
        </w:rPr>
        <w:t xml:space="preserve">emphasis on CSOs </w:t>
      </w:r>
      <w:r w:rsidR="00C021BA">
        <w:rPr>
          <w:rFonts w:asciiTheme="minorHAnsi" w:hAnsiTheme="minorHAnsi" w:cstheme="minorHAnsi"/>
          <w:sz w:val="22"/>
          <w:szCs w:val="22"/>
          <w:lang w:val="en-GB"/>
        </w:rPr>
        <w:t>to</w:t>
      </w:r>
      <w:r w:rsidRPr="00B677B4">
        <w:rPr>
          <w:rFonts w:asciiTheme="minorHAnsi" w:hAnsiTheme="minorHAnsi" w:cstheme="minorHAnsi"/>
          <w:sz w:val="22"/>
          <w:szCs w:val="22"/>
          <w:lang w:val="en-GB"/>
        </w:rPr>
        <w:t xml:space="preserve"> ensure the objective of AMEP II is addressed fully</w:t>
      </w:r>
      <w:r w:rsidR="00C021BA">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 </w:t>
      </w:r>
      <w:r w:rsidR="00C021BA">
        <w:rPr>
          <w:rFonts w:asciiTheme="minorHAnsi" w:hAnsiTheme="minorHAnsi" w:cstheme="minorHAnsi"/>
          <w:sz w:val="22"/>
          <w:szCs w:val="22"/>
          <w:lang w:val="en-GB"/>
        </w:rPr>
        <w:t>In</w:t>
      </w:r>
      <w:r w:rsidRPr="00B677B4">
        <w:rPr>
          <w:rFonts w:asciiTheme="minorHAnsi" w:hAnsiTheme="minorHAnsi" w:cstheme="minorHAnsi"/>
          <w:sz w:val="22"/>
          <w:szCs w:val="22"/>
          <w:lang w:val="en-GB"/>
        </w:rPr>
        <w:t xml:space="preserve"> selecting activities going forward</w:t>
      </w:r>
      <w:r w:rsidR="00C021BA">
        <w:rPr>
          <w:rFonts w:asciiTheme="minorHAnsi" w:hAnsiTheme="minorHAnsi" w:cstheme="minorHAnsi"/>
          <w:sz w:val="22"/>
          <w:szCs w:val="22"/>
          <w:lang w:val="en-GB"/>
        </w:rPr>
        <w:t xml:space="preserve"> the focus on CSOs </w:t>
      </w:r>
      <w:r w:rsidRPr="00B677B4">
        <w:rPr>
          <w:rFonts w:asciiTheme="minorHAnsi" w:hAnsiTheme="minorHAnsi" w:cstheme="minorHAnsi"/>
          <w:sz w:val="22"/>
          <w:szCs w:val="22"/>
          <w:lang w:val="en-GB"/>
        </w:rPr>
        <w:t xml:space="preserve">AMEP II could have a closer look at </w:t>
      </w:r>
      <w:r w:rsidR="00E921CC" w:rsidRPr="00B677B4">
        <w:rPr>
          <w:rFonts w:asciiTheme="minorHAnsi" w:hAnsiTheme="minorHAnsi" w:cstheme="minorHAnsi"/>
          <w:sz w:val="22"/>
          <w:szCs w:val="22"/>
          <w:lang w:val="en-GB"/>
        </w:rPr>
        <w:t>leveraging the success it has had in building partnerships with both government and industry to create opportunities for effective collaboration with CSOs on joint activities (such as around mining affected communities and/or the social dimension of mining drawing on the experiences, for instance, of OT and ERD Resources)</w:t>
      </w:r>
      <w:r w:rsidRPr="00B677B4">
        <w:rPr>
          <w:rFonts w:asciiTheme="minorHAnsi" w:hAnsiTheme="minorHAnsi" w:cstheme="minorHAnsi"/>
          <w:sz w:val="22"/>
          <w:szCs w:val="22"/>
          <w:lang w:val="en-GB"/>
        </w:rPr>
        <w:t>.</w:t>
      </w:r>
    </w:p>
    <w:p w14:paraId="78125AEA" w14:textId="6C200F05"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AMEP II needs to be transparent about the</w:t>
      </w:r>
      <w:r w:rsidR="00B67516" w:rsidRPr="00B677B4">
        <w:rPr>
          <w:rFonts w:asciiTheme="minorHAnsi" w:hAnsiTheme="minorHAnsi" w:cstheme="minorHAnsi"/>
          <w:sz w:val="22"/>
          <w:szCs w:val="22"/>
          <w:lang w:val="en-GB"/>
        </w:rPr>
        <w:t xml:space="preserv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w:t>
      </w:r>
      <w:r w:rsidR="00C021BA">
        <w:rPr>
          <w:rFonts w:asciiTheme="minorHAnsi" w:hAnsiTheme="minorHAnsi" w:cstheme="minorHAnsi"/>
          <w:sz w:val="22"/>
          <w:szCs w:val="22"/>
          <w:lang w:val="en-GB"/>
        </w:rPr>
        <w:t xml:space="preserve"> (</w:t>
      </w:r>
      <w:proofErr w:type="gramStart"/>
      <w:r w:rsidR="00C021BA" w:rsidRPr="00B677B4">
        <w:rPr>
          <w:rFonts w:asciiTheme="minorHAnsi" w:hAnsiTheme="minorHAnsi" w:cstheme="minorHAnsi"/>
          <w:sz w:val="22"/>
          <w:szCs w:val="22"/>
          <w:lang w:val="en-GB"/>
        </w:rPr>
        <w:t>i.e.</w:t>
      </w:r>
      <w:proofErr w:type="gramEnd"/>
      <w:r w:rsidR="00C021BA" w:rsidRPr="00B677B4">
        <w:rPr>
          <w:rFonts w:asciiTheme="minorHAnsi" w:hAnsiTheme="minorHAnsi" w:cstheme="minorHAnsi"/>
          <w:sz w:val="22"/>
          <w:szCs w:val="22"/>
          <w:lang w:val="en-GB"/>
        </w:rPr>
        <w:t xml:space="preserve"> be clear about the selection process, ensure selection is an inclusive process drawing on </w:t>
      </w:r>
      <w:r w:rsidR="00C021BA">
        <w:rPr>
          <w:rFonts w:asciiTheme="minorHAnsi" w:hAnsiTheme="minorHAnsi" w:cstheme="minorHAnsi"/>
          <w:sz w:val="22"/>
          <w:szCs w:val="22"/>
          <w:lang w:val="en-GB"/>
        </w:rPr>
        <w:t>a wide range of</w:t>
      </w:r>
      <w:r w:rsidR="00C021BA" w:rsidRPr="00B677B4">
        <w:rPr>
          <w:rFonts w:asciiTheme="minorHAnsi" w:hAnsiTheme="minorHAnsi" w:cstheme="minorHAnsi"/>
          <w:sz w:val="22"/>
          <w:szCs w:val="22"/>
          <w:lang w:val="en-GB"/>
        </w:rPr>
        <w:t xml:space="preserve"> all stakeholders,</w:t>
      </w:r>
      <w:r w:rsidR="00C021BA">
        <w:rPr>
          <w:rFonts w:asciiTheme="minorHAnsi" w:hAnsiTheme="minorHAnsi" w:cstheme="minorHAnsi"/>
          <w:sz w:val="22"/>
          <w:szCs w:val="22"/>
          <w:lang w:val="en-GB"/>
        </w:rPr>
        <w:t xml:space="preserve"> and</w:t>
      </w:r>
      <w:r w:rsidR="00C021BA" w:rsidRPr="00B677B4">
        <w:rPr>
          <w:rFonts w:asciiTheme="minorHAnsi" w:hAnsiTheme="minorHAnsi" w:cstheme="minorHAnsi"/>
          <w:sz w:val="22"/>
          <w:szCs w:val="22"/>
          <w:lang w:val="en-GB"/>
        </w:rPr>
        <w:t xml:space="preserve"> provide follow-up information to applicants, especially those whose proposals were rejected</w:t>
      </w:r>
      <w:r w:rsidR="00C021BA">
        <w:rPr>
          <w:rFonts w:asciiTheme="minorHAnsi" w:hAnsiTheme="minorHAnsi" w:cstheme="minorHAnsi"/>
          <w:sz w:val="22"/>
          <w:szCs w:val="22"/>
          <w:lang w:val="en-GB"/>
        </w:rPr>
        <w:t>)</w:t>
      </w:r>
      <w:r w:rsidRPr="00B677B4">
        <w:rPr>
          <w:rFonts w:asciiTheme="minorHAnsi" w:hAnsiTheme="minorHAnsi" w:cstheme="minorHAnsi"/>
          <w:sz w:val="22"/>
          <w:szCs w:val="22"/>
          <w:lang w:val="en-GB"/>
        </w:rPr>
        <w:t xml:space="preserve">. A regular follow-up on the selection process for all stakeholders including applicants would ensure transparency and build further trust with stakeholders. </w:t>
      </w:r>
      <w:r w:rsidR="00C021BA">
        <w:rPr>
          <w:rFonts w:asciiTheme="minorHAnsi" w:hAnsiTheme="minorHAnsi" w:cstheme="minorHAnsi"/>
          <w:sz w:val="22"/>
          <w:szCs w:val="22"/>
          <w:lang w:val="en-GB"/>
        </w:rPr>
        <w:t xml:space="preserve">By demonstrating it is accountable the program will </w:t>
      </w:r>
      <w:r w:rsidRPr="00B677B4">
        <w:rPr>
          <w:rFonts w:asciiTheme="minorHAnsi" w:hAnsiTheme="minorHAnsi" w:cstheme="minorHAnsi"/>
          <w:sz w:val="22"/>
          <w:szCs w:val="22"/>
          <w:lang w:val="en-GB"/>
        </w:rPr>
        <w:t xml:space="preserve">also address CSO concerns </w:t>
      </w:r>
      <w:r w:rsidR="00C021BA">
        <w:rPr>
          <w:rFonts w:asciiTheme="minorHAnsi" w:hAnsiTheme="minorHAnsi" w:cstheme="minorHAnsi"/>
          <w:sz w:val="22"/>
          <w:szCs w:val="22"/>
          <w:lang w:val="en-GB"/>
        </w:rPr>
        <w:t>about a perceived lack of</w:t>
      </w:r>
      <w:r w:rsidRPr="00B677B4">
        <w:rPr>
          <w:rFonts w:asciiTheme="minorHAnsi" w:hAnsiTheme="minorHAnsi" w:cstheme="minorHAnsi"/>
          <w:sz w:val="22"/>
          <w:szCs w:val="22"/>
          <w:lang w:val="en-GB"/>
        </w:rPr>
        <w:t xml:space="preserve"> transparency. To enhance its role in the sector AMEP II should continue to ensure that decisions made (especially those related to project selection) are transparent, and that it communicates its decision making clearly to stakeholders. </w:t>
      </w:r>
      <w:r w:rsidR="00090A3F">
        <w:rPr>
          <w:rFonts w:asciiTheme="minorHAnsi" w:hAnsiTheme="minorHAnsi" w:cstheme="minorHAnsi"/>
          <w:sz w:val="22"/>
          <w:szCs w:val="22"/>
          <w:lang w:val="en-GB"/>
        </w:rPr>
        <w:t>The program should consider including independent members of the Advisory Committee, and representation from MMHI and CSOs, in the selection process. This will further enhance transparency and trust-building with different stakeholder groups</w:t>
      </w:r>
      <w:r w:rsidRPr="00B677B4">
        <w:rPr>
          <w:rFonts w:asciiTheme="minorHAnsi" w:hAnsiTheme="minorHAnsi" w:cstheme="minorHAnsi"/>
          <w:sz w:val="22"/>
          <w:szCs w:val="22"/>
          <w:lang w:val="en-GB"/>
        </w:rPr>
        <w:t>.</w:t>
      </w:r>
    </w:p>
    <w:p w14:paraId="7336AA08" w14:textId="4A280EE9"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If the direct outputs of AMEP II can be made </w:t>
      </w:r>
      <w:r w:rsidR="00090A3F">
        <w:rPr>
          <w:rFonts w:asciiTheme="minorHAnsi" w:hAnsiTheme="minorHAnsi" w:cstheme="minorHAnsi"/>
          <w:sz w:val="22"/>
          <w:szCs w:val="22"/>
          <w:lang w:val="en-GB"/>
        </w:rPr>
        <w:t>accessible</w:t>
      </w:r>
      <w:r w:rsidRPr="00B677B4">
        <w:rPr>
          <w:rFonts w:asciiTheme="minorHAnsi" w:hAnsiTheme="minorHAnsi" w:cstheme="minorHAnsi"/>
          <w:sz w:val="22"/>
          <w:szCs w:val="22"/>
          <w:lang w:val="en-GB"/>
        </w:rPr>
        <w:t xml:space="preserve"> to a broader audience (as far as is feasible) it </w:t>
      </w:r>
      <w:r w:rsidR="005631DC">
        <w:rPr>
          <w:rFonts w:asciiTheme="minorHAnsi" w:hAnsiTheme="minorHAnsi" w:cstheme="minorHAnsi"/>
          <w:sz w:val="22"/>
          <w:szCs w:val="22"/>
          <w:lang w:val="en-GB"/>
        </w:rPr>
        <w:t xml:space="preserve">will support its awareness raising efforts with regards to the necessary reforms needed in the </w:t>
      </w:r>
      <w:r w:rsidR="00090A3F">
        <w:rPr>
          <w:rFonts w:asciiTheme="minorHAnsi" w:hAnsiTheme="minorHAnsi" w:cstheme="minorHAnsi"/>
          <w:sz w:val="22"/>
          <w:szCs w:val="22"/>
          <w:lang w:val="en-GB"/>
        </w:rPr>
        <w:t>sector and</w:t>
      </w:r>
      <w:r w:rsidR="005631DC">
        <w:rPr>
          <w:rFonts w:asciiTheme="minorHAnsi" w:hAnsiTheme="minorHAnsi" w:cstheme="minorHAnsi"/>
          <w:sz w:val="22"/>
          <w:szCs w:val="22"/>
          <w:lang w:val="en-GB"/>
        </w:rPr>
        <w:t xml:space="preserve"> ensure greater recognition of what the program has delivered to date</w:t>
      </w:r>
      <w:r w:rsidRPr="00B677B4">
        <w:rPr>
          <w:rFonts w:asciiTheme="minorHAnsi" w:hAnsiTheme="minorHAnsi" w:cstheme="minorHAnsi"/>
          <w:sz w:val="22"/>
          <w:szCs w:val="22"/>
          <w:lang w:val="en-GB"/>
        </w:rPr>
        <w:t xml:space="preserve">. </w:t>
      </w:r>
      <w:r w:rsidR="005631DC">
        <w:rPr>
          <w:rFonts w:asciiTheme="minorHAnsi" w:hAnsiTheme="minorHAnsi" w:cstheme="minorHAnsi"/>
          <w:sz w:val="22"/>
          <w:szCs w:val="22"/>
          <w:lang w:val="en-GB"/>
        </w:rPr>
        <w:t>Increasing access to its outputs</w:t>
      </w:r>
      <w:r w:rsidRPr="00B677B4">
        <w:rPr>
          <w:rFonts w:asciiTheme="minorHAnsi" w:hAnsiTheme="minorHAnsi" w:cstheme="minorHAnsi"/>
          <w:sz w:val="22"/>
          <w:szCs w:val="22"/>
          <w:lang w:val="en-GB"/>
        </w:rPr>
        <w:t xml:space="preserve"> could also </w:t>
      </w:r>
      <w:r w:rsidR="005631DC">
        <w:rPr>
          <w:rFonts w:asciiTheme="minorHAnsi" w:hAnsiTheme="minorHAnsi" w:cstheme="minorHAnsi"/>
          <w:sz w:val="22"/>
          <w:szCs w:val="22"/>
          <w:lang w:val="en-GB"/>
        </w:rPr>
        <w:t>strengthen</w:t>
      </w:r>
      <w:r w:rsidRPr="00B677B4">
        <w:rPr>
          <w:rFonts w:asciiTheme="minorHAnsi" w:hAnsiTheme="minorHAnsi" w:cstheme="minorHAnsi"/>
          <w:sz w:val="22"/>
          <w:szCs w:val="22"/>
          <w:lang w:val="en-GB"/>
        </w:rPr>
        <w:t xml:space="preserve"> the program’s accountability within the eyes of relevant government institutions</w:t>
      </w:r>
      <w:r w:rsidR="005631DC">
        <w:rPr>
          <w:rFonts w:asciiTheme="minorHAnsi" w:hAnsiTheme="minorHAnsi" w:cstheme="minorHAnsi"/>
          <w:sz w:val="22"/>
          <w:szCs w:val="22"/>
          <w:lang w:val="en-GB"/>
        </w:rPr>
        <w:t xml:space="preserve"> and other key stakeholders</w:t>
      </w:r>
      <w:r w:rsidRPr="00B677B4">
        <w:rPr>
          <w:rFonts w:asciiTheme="minorHAnsi" w:hAnsiTheme="minorHAnsi" w:cstheme="minorHAnsi"/>
          <w:sz w:val="22"/>
          <w:szCs w:val="22"/>
          <w:lang w:val="en-GB"/>
        </w:rPr>
        <w:t>.</w:t>
      </w:r>
    </w:p>
    <w:p w14:paraId="1325EBD2" w14:textId="2FCAC26B"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Flexibility is required to allow activities an opportunity for no-cost extensions when there are sufficient grounds for approving extra time for delivery. This would need to be clearly signalled in the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 providing clear criteria for determining </w:t>
      </w:r>
      <w:r w:rsidR="00090A3F">
        <w:rPr>
          <w:rFonts w:asciiTheme="minorHAnsi" w:hAnsiTheme="minorHAnsi" w:cstheme="minorHAnsi"/>
          <w:sz w:val="22"/>
          <w:szCs w:val="22"/>
          <w:lang w:val="en-GB"/>
        </w:rPr>
        <w:t>when</w:t>
      </w:r>
      <w:r w:rsidRPr="00B677B4">
        <w:rPr>
          <w:rFonts w:asciiTheme="minorHAnsi" w:hAnsiTheme="minorHAnsi" w:cstheme="minorHAnsi"/>
          <w:sz w:val="22"/>
          <w:szCs w:val="22"/>
          <w:lang w:val="en-GB"/>
        </w:rPr>
        <w:t xml:space="preserve"> such an extension is justified.</w:t>
      </w:r>
    </w:p>
    <w:p w14:paraId="30D494F5" w14:textId="775AC2ED"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Need for the updated </w:t>
      </w:r>
      <w:proofErr w:type="spellStart"/>
      <w:r w:rsidRPr="00B677B4">
        <w:rPr>
          <w:rFonts w:asciiTheme="minorHAnsi" w:hAnsiTheme="minorHAnsi" w:cstheme="minorHAnsi"/>
          <w:sz w:val="22"/>
          <w:szCs w:val="22"/>
          <w:lang w:val="en-GB"/>
        </w:rPr>
        <w:t>ToC</w:t>
      </w:r>
      <w:proofErr w:type="spellEnd"/>
      <w:r w:rsidRPr="00B677B4">
        <w:rPr>
          <w:rFonts w:asciiTheme="minorHAnsi" w:hAnsiTheme="minorHAnsi" w:cstheme="minorHAnsi"/>
          <w:sz w:val="22"/>
          <w:szCs w:val="22"/>
          <w:lang w:val="en-GB"/>
        </w:rPr>
        <w:t xml:space="preserve">/ Logic Model to be revised in line with what has already been spelt out in the most recent Annual Report, to ensure that it reflects that ambition of the program, and to ensure reporting is aligned with the revised logic model and </w:t>
      </w:r>
      <w:r w:rsidR="004C641C">
        <w:rPr>
          <w:rFonts w:asciiTheme="minorHAnsi" w:hAnsiTheme="minorHAnsi" w:cstheme="minorHAnsi"/>
          <w:sz w:val="22"/>
          <w:szCs w:val="22"/>
          <w:lang w:val="en-GB"/>
        </w:rPr>
        <w:t>meets the</w:t>
      </w:r>
      <w:r w:rsidRPr="00B677B4">
        <w:rPr>
          <w:rFonts w:asciiTheme="minorHAnsi" w:hAnsiTheme="minorHAnsi" w:cstheme="minorHAnsi"/>
          <w:sz w:val="22"/>
          <w:szCs w:val="22"/>
          <w:lang w:val="en-GB"/>
        </w:rPr>
        <w:t xml:space="preserve"> reporting needs of DFAT, especially at outcome level.  </w:t>
      </w:r>
    </w:p>
    <w:p w14:paraId="66634149" w14:textId="34259DB6"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Critically assess the extent to which the original assumptions of the program remain </w:t>
      </w:r>
      <w:r w:rsidR="00090A3F" w:rsidRPr="00B677B4">
        <w:rPr>
          <w:rFonts w:asciiTheme="minorHAnsi" w:hAnsiTheme="minorHAnsi" w:cstheme="minorHAnsi"/>
          <w:sz w:val="22"/>
          <w:szCs w:val="22"/>
          <w:lang w:val="en-GB"/>
        </w:rPr>
        <w:t>valid and</w:t>
      </w:r>
      <w:r w:rsidRPr="00B677B4">
        <w:rPr>
          <w:rFonts w:asciiTheme="minorHAnsi" w:hAnsiTheme="minorHAnsi" w:cstheme="minorHAnsi"/>
          <w:sz w:val="22"/>
          <w:szCs w:val="22"/>
          <w:lang w:val="en-GB"/>
        </w:rPr>
        <w:t xml:space="preserve"> determine to what extent there is appetite to increase longer term policy support.</w:t>
      </w:r>
    </w:p>
    <w:p w14:paraId="08CC75E6" w14:textId="6538982F"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Greater visibility/ publicity needed on key achievements (and a better sense of what still needs to be addressed in the sector). Bearing in mind that increased collaboration is an implicit outcome statement of the program, AMEP II could work on explicitly documenting the real change that project activities have contributed to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demonstrating the added value AMEP II has delivered to the sector). This could also include disseminating </w:t>
      </w:r>
      <w:r w:rsidRPr="00B677B4">
        <w:rPr>
          <w:rFonts w:asciiTheme="minorHAnsi" w:hAnsiTheme="minorHAnsi" w:cstheme="minorHAnsi"/>
          <w:sz w:val="22"/>
          <w:szCs w:val="22"/>
          <w:lang w:val="en-GB"/>
        </w:rPr>
        <w:lastRenderedPageBreak/>
        <w:t>information/ publicising exemplary projects/ good practices, and sharing stories of the impact AMEP II is having on the sector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beyond the direct beneficiaries of activities). Furthermore, based on the Project experience (achievements and challenges with respect to collaboration), AMEP could produce a ‘documentary’ of real cases and practices on failed and </w:t>
      </w:r>
      <w:r w:rsidR="00090A3F">
        <w:rPr>
          <w:rFonts w:asciiTheme="minorHAnsi" w:hAnsiTheme="minorHAnsi" w:cstheme="minorHAnsi"/>
          <w:sz w:val="22"/>
          <w:szCs w:val="22"/>
          <w:lang w:val="en-GB"/>
        </w:rPr>
        <w:t>successful</w:t>
      </w:r>
      <w:r w:rsidRPr="00B677B4">
        <w:rPr>
          <w:rFonts w:asciiTheme="minorHAnsi" w:hAnsiTheme="minorHAnsi" w:cstheme="minorHAnsi"/>
          <w:sz w:val="22"/>
          <w:szCs w:val="22"/>
          <w:lang w:val="en-GB"/>
        </w:rPr>
        <w:t xml:space="preserve"> collaborative efforts from which the sector can learn and leverage for future efforts </w:t>
      </w:r>
      <w:r w:rsidR="00090A3F">
        <w:rPr>
          <w:rFonts w:asciiTheme="minorHAnsi" w:hAnsiTheme="minorHAnsi" w:cstheme="minorHAnsi"/>
          <w:sz w:val="22"/>
          <w:szCs w:val="22"/>
          <w:lang w:val="en-GB"/>
        </w:rPr>
        <w:t xml:space="preserve">to improve the </w:t>
      </w:r>
      <w:r w:rsidRPr="00B677B4">
        <w:rPr>
          <w:rFonts w:asciiTheme="minorHAnsi" w:hAnsiTheme="minorHAnsi" w:cstheme="minorHAnsi"/>
          <w:sz w:val="22"/>
          <w:szCs w:val="22"/>
          <w:lang w:val="en-GB"/>
        </w:rPr>
        <w:t xml:space="preserve">investment environment. </w:t>
      </w:r>
    </w:p>
    <w:p w14:paraId="26D3AD02" w14:textId="535457E7" w:rsidR="00AF4300" w:rsidRPr="00B677B4" w:rsidRDefault="00AF4300" w:rsidP="00AF4300">
      <w:pPr>
        <w:pStyle w:val="Default"/>
        <w:numPr>
          <w:ilvl w:val="0"/>
          <w:numId w:val="36"/>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To ensure greater public diplomacy value the program should engage more deliberately with the Embassy to ensure greater collaboration between AMEP II and the Embassy on issues of mutual interest, including promoting dialogue between key stakeholders in the extractives sector and the senior officials in the Embassy</w:t>
      </w:r>
      <w:r w:rsidR="004C641C">
        <w:rPr>
          <w:rFonts w:asciiTheme="minorHAnsi" w:hAnsiTheme="minorHAnsi" w:cstheme="minorHAnsi"/>
          <w:sz w:val="22"/>
          <w:szCs w:val="22"/>
          <w:lang w:val="en-GB"/>
        </w:rPr>
        <w:t>. A</w:t>
      </w:r>
      <w:r w:rsidR="00A3462C" w:rsidRPr="00B677B4">
        <w:rPr>
          <w:rFonts w:asciiTheme="minorHAnsi" w:hAnsiTheme="minorHAnsi" w:cstheme="minorHAnsi"/>
          <w:sz w:val="22"/>
          <w:szCs w:val="22"/>
          <w:lang w:val="en-GB"/>
        </w:rPr>
        <w:t xml:space="preserve"> practical way of doing this might be to convene a quarterly/bi-annual informal event where senior officials from the Embassy meet with the key lead implementing partners to exchange activity related information.</w:t>
      </w:r>
    </w:p>
    <w:p w14:paraId="12FC35EA" w14:textId="70AD2015" w:rsidR="001050CC" w:rsidRPr="00B677B4" w:rsidRDefault="001050CC" w:rsidP="001050CC">
      <w:pPr>
        <w:rPr>
          <w:lang w:eastAsia="en-US"/>
        </w:rPr>
      </w:pPr>
    </w:p>
    <w:p w14:paraId="3CB4A9CF" w14:textId="77777777" w:rsidR="001050CC" w:rsidRPr="00B677B4" w:rsidRDefault="001050CC" w:rsidP="001050CC">
      <w:pPr>
        <w:rPr>
          <w:lang w:eastAsia="en-US"/>
        </w:rPr>
      </w:pPr>
    </w:p>
    <w:p w14:paraId="576B2652" w14:textId="77777777" w:rsidR="001050CC" w:rsidRPr="00B677B4" w:rsidRDefault="001050CC" w:rsidP="001050CC">
      <w:pPr>
        <w:rPr>
          <w:lang w:eastAsia="en-US"/>
        </w:rPr>
      </w:pPr>
    </w:p>
    <w:p w14:paraId="086DA88E" w14:textId="5FA96466" w:rsidR="001050CC" w:rsidRPr="00B677B4" w:rsidRDefault="001050CC">
      <w:pPr>
        <w:rPr>
          <w:lang w:eastAsia="en-US"/>
        </w:rPr>
      </w:pPr>
      <w:r w:rsidRPr="00B677B4">
        <w:rPr>
          <w:lang w:eastAsia="en-US"/>
        </w:rPr>
        <w:br w:type="page"/>
      </w:r>
    </w:p>
    <w:p w14:paraId="007D8FD9" w14:textId="78695413" w:rsidR="001050CC" w:rsidRPr="00B677B4" w:rsidRDefault="001050CC">
      <w:pPr>
        <w:pStyle w:val="Heading1"/>
        <w:numPr>
          <w:ilvl w:val="0"/>
          <w:numId w:val="8"/>
        </w:numPr>
        <w:rPr>
          <w:rStyle w:val="MajorHeading"/>
          <w:rFonts w:asciiTheme="majorHAnsi" w:hAnsiTheme="majorHAnsi" w:cstheme="majorBidi"/>
          <w:b w:val="0"/>
          <w:bCs/>
          <w:color w:val="2F5496" w:themeColor="accent1" w:themeShade="BF"/>
          <w:spacing w:val="0"/>
          <w:sz w:val="32"/>
          <w:szCs w:val="32"/>
          <w:lang w:val="en-GB"/>
        </w:rPr>
      </w:pPr>
      <w:bookmarkStart w:id="12" w:name="_Toc124772657"/>
      <w:r w:rsidRPr="00B677B4">
        <w:rPr>
          <w:rStyle w:val="MajorHeading"/>
          <w:rFonts w:asciiTheme="majorHAnsi" w:hAnsiTheme="majorHAnsi" w:cstheme="majorBidi"/>
          <w:b w:val="0"/>
          <w:bCs/>
          <w:color w:val="2F5496" w:themeColor="accent1" w:themeShade="BF"/>
          <w:spacing w:val="0"/>
          <w:sz w:val="32"/>
          <w:szCs w:val="32"/>
          <w:lang w:val="en-GB"/>
        </w:rPr>
        <w:lastRenderedPageBreak/>
        <w:t>Introduction</w:t>
      </w:r>
      <w:bookmarkEnd w:id="12"/>
    </w:p>
    <w:p w14:paraId="0755C441" w14:textId="05CC0601" w:rsidR="001050CC" w:rsidRPr="00B677B4" w:rsidRDefault="006B0B7D" w:rsidP="009F4CB5">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T</w:t>
      </w:r>
      <w:r w:rsidR="009F4CB5" w:rsidRPr="00B677B4">
        <w:rPr>
          <w:rFonts w:asciiTheme="minorHAnsi" w:hAnsiTheme="minorHAnsi" w:cstheme="minorHAnsi"/>
          <w:sz w:val="22"/>
          <w:szCs w:val="22"/>
        </w:rPr>
        <w:t>he MTR</w:t>
      </w:r>
      <w:r w:rsidR="001050CC" w:rsidRPr="00B677B4">
        <w:rPr>
          <w:rFonts w:asciiTheme="minorHAnsi" w:hAnsiTheme="minorHAnsi" w:cstheme="minorHAnsi"/>
          <w:sz w:val="22"/>
          <w:szCs w:val="22"/>
        </w:rPr>
        <w:t xml:space="preserve"> is divided into the following sections</w:t>
      </w:r>
    </w:p>
    <w:p w14:paraId="0056A671" w14:textId="77777777" w:rsidR="001050CC" w:rsidRPr="00C8767A" w:rsidRDefault="001050CC">
      <w:pPr>
        <w:pStyle w:val="ListParagraph"/>
        <w:numPr>
          <w:ilvl w:val="0"/>
          <w:numId w:val="9"/>
        </w:numPr>
        <w:spacing w:line="280" w:lineRule="atLeast"/>
        <w:jc w:val="both"/>
        <w:rPr>
          <w:lang w:val="en-GB"/>
        </w:rPr>
      </w:pPr>
      <w:r w:rsidRPr="00C8767A">
        <w:rPr>
          <w:lang w:val="en-GB"/>
        </w:rPr>
        <w:t>Introduction</w:t>
      </w:r>
    </w:p>
    <w:p w14:paraId="173BF2B4" w14:textId="3EDD1D44" w:rsidR="001050CC" w:rsidRPr="00C8767A" w:rsidRDefault="001050CC">
      <w:pPr>
        <w:pStyle w:val="ListParagraph"/>
        <w:numPr>
          <w:ilvl w:val="0"/>
          <w:numId w:val="9"/>
        </w:numPr>
        <w:spacing w:line="280" w:lineRule="atLeast"/>
        <w:jc w:val="both"/>
        <w:rPr>
          <w:lang w:val="en-GB"/>
        </w:rPr>
      </w:pPr>
      <w:r w:rsidRPr="00C8767A">
        <w:rPr>
          <w:lang w:val="en-GB"/>
        </w:rPr>
        <w:t>The MTR objective and scope</w:t>
      </w:r>
    </w:p>
    <w:p w14:paraId="71DA98F7" w14:textId="7A887E29" w:rsidR="001050CC" w:rsidRPr="00C8767A" w:rsidRDefault="001050CC">
      <w:pPr>
        <w:pStyle w:val="ListParagraph"/>
        <w:numPr>
          <w:ilvl w:val="0"/>
          <w:numId w:val="9"/>
        </w:numPr>
        <w:spacing w:line="280" w:lineRule="atLeast"/>
        <w:jc w:val="both"/>
        <w:rPr>
          <w:lang w:val="en-GB"/>
        </w:rPr>
      </w:pPr>
      <w:r w:rsidRPr="00C8767A">
        <w:rPr>
          <w:lang w:val="en-GB"/>
        </w:rPr>
        <w:t>Methodological approach to the MTR</w:t>
      </w:r>
    </w:p>
    <w:p w14:paraId="6A2B1F10" w14:textId="13BADB9E" w:rsidR="001050CC" w:rsidRPr="00C8767A" w:rsidRDefault="001050CC">
      <w:pPr>
        <w:pStyle w:val="ListParagraph"/>
        <w:numPr>
          <w:ilvl w:val="0"/>
          <w:numId w:val="9"/>
        </w:numPr>
        <w:spacing w:line="280" w:lineRule="atLeast"/>
        <w:jc w:val="both"/>
        <w:rPr>
          <w:lang w:val="en-GB"/>
        </w:rPr>
      </w:pPr>
      <w:r w:rsidRPr="00C8767A">
        <w:rPr>
          <w:lang w:val="en-GB"/>
        </w:rPr>
        <w:t>MTR challenges</w:t>
      </w:r>
    </w:p>
    <w:p w14:paraId="1353AB6A" w14:textId="133720A9" w:rsidR="001050CC" w:rsidRPr="00C8767A" w:rsidRDefault="001050CC">
      <w:pPr>
        <w:pStyle w:val="ListParagraph"/>
        <w:numPr>
          <w:ilvl w:val="0"/>
          <w:numId w:val="9"/>
        </w:numPr>
        <w:spacing w:line="280" w:lineRule="atLeast"/>
        <w:jc w:val="both"/>
        <w:rPr>
          <w:lang w:val="en-GB"/>
        </w:rPr>
      </w:pPr>
      <w:r w:rsidRPr="00C8767A">
        <w:rPr>
          <w:lang w:val="en-GB"/>
        </w:rPr>
        <w:t>Context and overview of AMEP II</w:t>
      </w:r>
    </w:p>
    <w:p w14:paraId="3D157184" w14:textId="50358090" w:rsidR="001050CC" w:rsidRPr="00C8767A" w:rsidRDefault="001050CC">
      <w:pPr>
        <w:pStyle w:val="ListParagraph"/>
        <w:numPr>
          <w:ilvl w:val="0"/>
          <w:numId w:val="9"/>
        </w:numPr>
        <w:spacing w:line="280" w:lineRule="atLeast"/>
        <w:jc w:val="both"/>
        <w:rPr>
          <w:lang w:val="en-GB"/>
        </w:rPr>
      </w:pPr>
      <w:r w:rsidRPr="00C8767A">
        <w:rPr>
          <w:lang w:val="en-GB"/>
        </w:rPr>
        <w:t>Review Questions</w:t>
      </w:r>
    </w:p>
    <w:p w14:paraId="7AB0AF2A" w14:textId="77777777" w:rsidR="001050CC" w:rsidRPr="00C8767A" w:rsidRDefault="001050CC">
      <w:pPr>
        <w:pStyle w:val="ListParagraph"/>
        <w:numPr>
          <w:ilvl w:val="0"/>
          <w:numId w:val="9"/>
        </w:numPr>
        <w:spacing w:line="280" w:lineRule="atLeast"/>
        <w:jc w:val="both"/>
        <w:rPr>
          <w:lang w:val="en-GB"/>
        </w:rPr>
      </w:pPr>
      <w:r w:rsidRPr="00C8767A">
        <w:rPr>
          <w:lang w:val="en-GB"/>
        </w:rPr>
        <w:t>Findings</w:t>
      </w:r>
    </w:p>
    <w:p w14:paraId="673CD2C5" w14:textId="77777777" w:rsidR="001050CC" w:rsidRPr="00C8767A" w:rsidRDefault="001050CC">
      <w:pPr>
        <w:pStyle w:val="ListParagraph"/>
        <w:numPr>
          <w:ilvl w:val="0"/>
          <w:numId w:val="9"/>
        </w:numPr>
        <w:spacing w:line="280" w:lineRule="atLeast"/>
        <w:jc w:val="both"/>
        <w:rPr>
          <w:lang w:val="en-GB"/>
        </w:rPr>
      </w:pPr>
      <w:r w:rsidRPr="00C8767A">
        <w:rPr>
          <w:lang w:val="en-GB"/>
        </w:rPr>
        <w:t>Conclusions</w:t>
      </w:r>
    </w:p>
    <w:p w14:paraId="236EBACA" w14:textId="77777777" w:rsidR="001050CC" w:rsidRPr="00C8767A" w:rsidRDefault="001050CC">
      <w:pPr>
        <w:pStyle w:val="ListParagraph"/>
        <w:numPr>
          <w:ilvl w:val="0"/>
          <w:numId w:val="9"/>
        </w:numPr>
        <w:spacing w:line="280" w:lineRule="atLeast"/>
        <w:jc w:val="both"/>
        <w:rPr>
          <w:lang w:val="en-GB"/>
        </w:rPr>
      </w:pPr>
      <w:r w:rsidRPr="00C8767A">
        <w:rPr>
          <w:lang w:val="en-GB"/>
        </w:rPr>
        <w:t>Lessons learned</w:t>
      </w:r>
    </w:p>
    <w:p w14:paraId="6A00AE72" w14:textId="77777777" w:rsidR="001050CC" w:rsidRPr="00C8767A" w:rsidRDefault="001050CC">
      <w:pPr>
        <w:pStyle w:val="ListParagraph"/>
        <w:numPr>
          <w:ilvl w:val="0"/>
          <w:numId w:val="9"/>
        </w:numPr>
        <w:spacing w:line="280" w:lineRule="atLeast"/>
        <w:jc w:val="both"/>
        <w:rPr>
          <w:lang w:val="en-GB"/>
        </w:rPr>
      </w:pPr>
      <w:r w:rsidRPr="00C8767A">
        <w:rPr>
          <w:lang w:val="en-GB"/>
        </w:rPr>
        <w:t>Recommendations.</w:t>
      </w:r>
    </w:p>
    <w:p w14:paraId="7412911C" w14:textId="77777777" w:rsidR="001050CC" w:rsidRPr="00B677B4" w:rsidRDefault="001050CC" w:rsidP="001050CC">
      <w:pPr>
        <w:rPr>
          <w:lang w:eastAsia="en-US"/>
        </w:rPr>
      </w:pPr>
    </w:p>
    <w:p w14:paraId="449C8BE9" w14:textId="45CD8E8C" w:rsidR="001050CC" w:rsidRPr="00B677B4" w:rsidRDefault="001050CC" w:rsidP="001050CC">
      <w:pPr>
        <w:pStyle w:val="Heading2"/>
      </w:pPr>
      <w:bookmarkStart w:id="13" w:name="_Toc118799331"/>
      <w:bookmarkStart w:id="14" w:name="_Toc124772658"/>
      <w:r w:rsidRPr="00B677B4">
        <w:t>MTR objective and scope</w:t>
      </w:r>
      <w:bookmarkEnd w:id="13"/>
      <w:bookmarkEnd w:id="14"/>
    </w:p>
    <w:p w14:paraId="5A3BB32C" w14:textId="3839D194" w:rsidR="001050CC" w:rsidRPr="00B677B4" w:rsidRDefault="00FB3C8F" w:rsidP="001050CC">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The objective of the MTR is</w:t>
      </w:r>
      <w:r w:rsidR="001050CC" w:rsidRPr="00B677B4">
        <w:rPr>
          <w:rFonts w:asciiTheme="minorHAnsi" w:hAnsiTheme="minorHAnsi" w:cstheme="minorHAnsi"/>
          <w:sz w:val="22"/>
          <w:szCs w:val="22"/>
        </w:rPr>
        <w:t xml:space="preserve"> to focus on what has worked and why, and how program practice and relevance could be improved and if program operation and management facilities have been efficient and effective.  As the </w:t>
      </w:r>
      <w:r w:rsidR="007A2132">
        <w:rPr>
          <w:rFonts w:asciiTheme="minorHAnsi" w:hAnsiTheme="minorHAnsi" w:cstheme="minorHAnsi"/>
          <w:sz w:val="22"/>
          <w:szCs w:val="22"/>
        </w:rPr>
        <w:t>Terms of Reference (</w:t>
      </w:r>
      <w:proofErr w:type="spellStart"/>
      <w:r w:rsidR="001050CC" w:rsidRPr="00B677B4">
        <w:rPr>
          <w:rFonts w:asciiTheme="minorHAnsi" w:hAnsiTheme="minorHAnsi" w:cstheme="minorHAnsi"/>
          <w:sz w:val="22"/>
          <w:szCs w:val="22"/>
        </w:rPr>
        <w:t>ToR</w:t>
      </w:r>
      <w:proofErr w:type="spellEnd"/>
      <w:r w:rsidR="007A2132">
        <w:rPr>
          <w:rFonts w:asciiTheme="minorHAnsi" w:hAnsiTheme="minorHAnsi" w:cstheme="minorHAnsi"/>
          <w:sz w:val="22"/>
          <w:szCs w:val="22"/>
        </w:rPr>
        <w:t>)</w:t>
      </w:r>
      <w:r w:rsidR="001050CC" w:rsidRPr="00B677B4">
        <w:rPr>
          <w:rFonts w:asciiTheme="minorHAnsi" w:hAnsiTheme="minorHAnsi" w:cstheme="minorHAnsi"/>
          <w:sz w:val="22"/>
          <w:szCs w:val="22"/>
        </w:rPr>
        <w:t xml:space="preserve"> note the MTR will operate at two linked, but nevertheless distinct levels, namely:</w:t>
      </w:r>
    </w:p>
    <w:p w14:paraId="3F557860" w14:textId="77777777" w:rsidR="001050CC" w:rsidRPr="00B677B4" w:rsidRDefault="001050CC">
      <w:pPr>
        <w:pStyle w:val="Default"/>
        <w:numPr>
          <w:ilvl w:val="0"/>
          <w:numId w:val="4"/>
        </w:numPr>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At the intermediate outcome </w:t>
      </w:r>
      <w:proofErr w:type="gramStart"/>
      <w:r w:rsidRPr="00B677B4">
        <w:rPr>
          <w:rFonts w:asciiTheme="minorHAnsi" w:hAnsiTheme="minorHAnsi" w:cstheme="minorHAnsi"/>
          <w:sz w:val="22"/>
          <w:szCs w:val="22"/>
          <w:lang w:val="en-GB"/>
        </w:rPr>
        <w:t>level</w:t>
      </w:r>
      <w:proofErr w:type="gramEnd"/>
      <w:r w:rsidRPr="00B677B4">
        <w:rPr>
          <w:rFonts w:asciiTheme="minorHAnsi" w:hAnsiTheme="minorHAnsi" w:cstheme="minorHAnsi"/>
          <w:sz w:val="22"/>
          <w:szCs w:val="22"/>
          <w:lang w:val="en-GB"/>
        </w:rPr>
        <w:t xml:space="preserve"> the MTR will need to determine how relationships and activities have impacted the success, or otherwise, of the program, the factors that have influenced progress towards the expected intermediate outcomes, and the extent to which conclusions can be drawn from the impact the program is having on key issues within the minerals sector in Mongolia;</w:t>
      </w:r>
    </w:p>
    <w:p w14:paraId="4CF7C91A" w14:textId="77777777" w:rsidR="001050CC" w:rsidRPr="00B677B4" w:rsidRDefault="001050CC">
      <w:pPr>
        <w:pStyle w:val="Default"/>
        <w:numPr>
          <w:ilvl w:val="0"/>
          <w:numId w:val="4"/>
        </w:numPr>
        <w:rPr>
          <w:rFonts w:asciiTheme="minorHAnsi" w:hAnsiTheme="minorHAnsi" w:cstheme="minorHAnsi"/>
          <w:sz w:val="22"/>
          <w:szCs w:val="22"/>
          <w:lang w:val="en-GB"/>
        </w:rPr>
      </w:pPr>
      <w:r w:rsidRPr="00B677B4">
        <w:rPr>
          <w:rFonts w:asciiTheme="minorHAnsi" w:hAnsiTheme="minorHAnsi" w:cstheme="minorHAnsi"/>
          <w:sz w:val="22"/>
          <w:szCs w:val="22"/>
          <w:lang w:val="en-GB"/>
        </w:rPr>
        <w:t>At the end-of-program outcome level the MTR will need to assess the contribution that AMEP 2 has made on changes in the policy and practice environment in the minerals sector, in addition to recognising any contribution that the previous phase of AMEP may have had on influencing change in the sector.</w:t>
      </w:r>
    </w:p>
    <w:p w14:paraId="622E86F2" w14:textId="2DFBD7AB" w:rsidR="001050CC" w:rsidRPr="00B677B4" w:rsidRDefault="001050CC" w:rsidP="001050CC">
      <w:pPr>
        <w:rPr>
          <w:lang w:eastAsia="en-US"/>
        </w:rPr>
      </w:pPr>
    </w:p>
    <w:p w14:paraId="318D8839" w14:textId="4AB3DA52" w:rsidR="001050CC" w:rsidRPr="00B677B4" w:rsidRDefault="001050CC" w:rsidP="001050CC">
      <w:pPr>
        <w:pStyle w:val="Heading2"/>
      </w:pPr>
      <w:bookmarkStart w:id="15" w:name="_Toc118799332"/>
      <w:bookmarkStart w:id="16" w:name="_Toc124772659"/>
      <w:r w:rsidRPr="00B677B4">
        <w:t>Methodological approach to the Review</w:t>
      </w:r>
      <w:bookmarkEnd w:id="15"/>
      <w:bookmarkEnd w:id="16"/>
    </w:p>
    <w:p w14:paraId="62EBF41A" w14:textId="59F8A4C0" w:rsidR="00FA440E" w:rsidRPr="00B677B4" w:rsidRDefault="00FA440E" w:rsidP="00FA440E">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 xml:space="preserve">The Inception Report (submitted 2 September 2022) outlined a distinct set of methods and sequential deliverables, which were grouped within three distinct phases, and which have now been completed </w:t>
      </w:r>
      <w:r w:rsidR="00FC64EA" w:rsidRPr="00B677B4">
        <w:rPr>
          <w:rFonts w:asciiTheme="minorHAnsi" w:hAnsiTheme="minorHAnsi" w:cstheme="minorHAnsi"/>
          <w:sz w:val="22"/>
          <w:szCs w:val="22"/>
        </w:rPr>
        <w:t>to</w:t>
      </w:r>
      <w:r w:rsidRPr="00B677B4">
        <w:rPr>
          <w:rFonts w:asciiTheme="minorHAnsi" w:hAnsiTheme="minorHAnsi" w:cstheme="minorHAnsi"/>
          <w:sz w:val="22"/>
          <w:szCs w:val="22"/>
        </w:rPr>
        <w:t xml:space="preserve"> collect and analyse the findings presented in this report.  In the first phase, the key activities included framing the evaluation questions and preparing the Evaluation Plan.</w:t>
      </w:r>
    </w:p>
    <w:p w14:paraId="54E081C2" w14:textId="382589D9" w:rsidR="00FA440E" w:rsidRPr="00B677B4" w:rsidRDefault="00FA440E" w:rsidP="00FA440E">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In the second phase, the focus was on conducting interviews with relevant stakeholders in Mongolia</w:t>
      </w:r>
      <w:r w:rsidR="007E6BF2" w:rsidRPr="00B677B4">
        <w:rPr>
          <w:rFonts w:asciiTheme="minorHAnsi" w:hAnsiTheme="minorHAnsi" w:cstheme="minorHAnsi"/>
          <w:sz w:val="22"/>
          <w:szCs w:val="22"/>
        </w:rPr>
        <w:t xml:space="preserve"> (2</w:t>
      </w:r>
      <w:r w:rsidR="00473B2C" w:rsidRPr="00B677B4">
        <w:rPr>
          <w:rFonts w:asciiTheme="minorHAnsi" w:hAnsiTheme="minorHAnsi" w:cstheme="minorHAnsi"/>
          <w:sz w:val="22"/>
          <w:szCs w:val="22"/>
        </w:rPr>
        <w:t>8</w:t>
      </w:r>
      <w:r w:rsidR="007E6BF2" w:rsidRPr="00B677B4">
        <w:rPr>
          <w:rFonts w:asciiTheme="minorHAnsi" w:hAnsiTheme="minorHAnsi" w:cstheme="minorHAnsi"/>
          <w:sz w:val="22"/>
          <w:szCs w:val="22"/>
        </w:rPr>
        <w:t xml:space="preserve"> informants participated in interviews and/or group discussions</w:t>
      </w:r>
      <w:r w:rsidR="00337CC3" w:rsidRPr="00B677B4">
        <w:rPr>
          <w:rFonts w:asciiTheme="minorHAnsi" w:hAnsiTheme="minorHAnsi" w:cstheme="minorHAnsi"/>
          <w:sz w:val="22"/>
          <w:szCs w:val="22"/>
        </w:rPr>
        <w:t xml:space="preserve"> – see </w:t>
      </w:r>
      <w:r w:rsidR="00337CC3" w:rsidRPr="00B677B4">
        <w:rPr>
          <w:rFonts w:asciiTheme="minorHAnsi" w:hAnsiTheme="minorHAnsi" w:cstheme="minorHAnsi"/>
          <w:b/>
          <w:bCs/>
          <w:sz w:val="22"/>
          <w:szCs w:val="22"/>
        </w:rPr>
        <w:t>Annex 2</w:t>
      </w:r>
      <w:r w:rsidR="00337CC3" w:rsidRPr="00B677B4">
        <w:rPr>
          <w:rFonts w:asciiTheme="minorHAnsi" w:hAnsiTheme="minorHAnsi" w:cstheme="minorHAnsi"/>
          <w:sz w:val="22"/>
          <w:szCs w:val="22"/>
        </w:rPr>
        <w:t xml:space="preserve"> for a full list of key informants</w:t>
      </w:r>
      <w:r w:rsidR="007E6BF2" w:rsidRPr="00B677B4">
        <w:rPr>
          <w:rFonts w:asciiTheme="minorHAnsi" w:hAnsiTheme="minorHAnsi" w:cstheme="minorHAnsi"/>
          <w:sz w:val="22"/>
          <w:szCs w:val="22"/>
        </w:rPr>
        <w:t>)</w:t>
      </w:r>
      <w:r w:rsidRPr="00B677B4">
        <w:rPr>
          <w:rFonts w:asciiTheme="minorHAnsi" w:hAnsiTheme="minorHAnsi" w:cstheme="minorHAnsi"/>
          <w:sz w:val="22"/>
          <w:szCs w:val="22"/>
        </w:rPr>
        <w:t xml:space="preserve">, in addition to </w:t>
      </w:r>
      <w:r w:rsidR="00FC64EA" w:rsidRPr="00B677B4">
        <w:rPr>
          <w:rFonts w:asciiTheme="minorHAnsi" w:hAnsiTheme="minorHAnsi" w:cstheme="minorHAnsi"/>
          <w:sz w:val="22"/>
          <w:szCs w:val="22"/>
        </w:rPr>
        <w:t>analysing</w:t>
      </w:r>
      <w:r w:rsidRPr="00B677B4">
        <w:rPr>
          <w:rFonts w:asciiTheme="minorHAnsi" w:hAnsiTheme="minorHAnsi" w:cstheme="minorHAnsi"/>
          <w:sz w:val="22"/>
          <w:szCs w:val="22"/>
        </w:rPr>
        <w:t xml:space="preserve"> and then presenting preliminary findings by means of an Aide Memoire to DFAT (5 October 2022). The presentation of preliminary findings allowed the MTR team to validate initial findings, and the implications of the key findings. </w:t>
      </w:r>
    </w:p>
    <w:p w14:paraId="5CFFB4A6" w14:textId="6EDE815D" w:rsidR="001050CC" w:rsidRPr="00B677B4" w:rsidRDefault="00263DDD" w:rsidP="009F4CB5">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In the final phase of the evaluation this, the draft report, has been prepared to ensure it satisfies the request for services, including</w:t>
      </w:r>
      <w:r w:rsidR="0097640E" w:rsidRPr="00B677B4">
        <w:rPr>
          <w:rFonts w:asciiTheme="minorHAnsi" w:hAnsiTheme="minorHAnsi" w:cstheme="minorHAnsi"/>
          <w:sz w:val="22"/>
          <w:szCs w:val="22"/>
        </w:rPr>
        <w:t xml:space="preserve"> focusing on what has worked and why, how program practice and relevance could be improved</w:t>
      </w:r>
      <w:r w:rsidR="007A2132">
        <w:rPr>
          <w:rFonts w:asciiTheme="minorHAnsi" w:hAnsiTheme="minorHAnsi" w:cstheme="minorHAnsi"/>
          <w:sz w:val="22"/>
          <w:szCs w:val="22"/>
        </w:rPr>
        <w:t>,</w:t>
      </w:r>
      <w:r w:rsidR="0097640E" w:rsidRPr="00B677B4">
        <w:rPr>
          <w:rFonts w:asciiTheme="minorHAnsi" w:hAnsiTheme="minorHAnsi" w:cstheme="minorHAnsi"/>
          <w:sz w:val="22"/>
          <w:szCs w:val="22"/>
        </w:rPr>
        <w:t xml:space="preserve"> and if program operation and management facilities have been efficient and effective.</w:t>
      </w:r>
    </w:p>
    <w:p w14:paraId="29A3C7C5" w14:textId="49B76CD7" w:rsidR="001050CC" w:rsidRPr="00B677B4" w:rsidRDefault="001050CC" w:rsidP="001050CC">
      <w:pPr>
        <w:pStyle w:val="Heading2"/>
      </w:pPr>
      <w:bookmarkStart w:id="17" w:name="_Toc118799333"/>
      <w:bookmarkStart w:id="18" w:name="_Toc124772660"/>
      <w:r w:rsidRPr="00B677B4">
        <w:lastRenderedPageBreak/>
        <w:t>MTR Challenges</w:t>
      </w:r>
      <w:bookmarkEnd w:id="17"/>
      <w:bookmarkEnd w:id="18"/>
    </w:p>
    <w:p w14:paraId="04E0A04A" w14:textId="5D7B9C8E" w:rsidR="001050CC" w:rsidRPr="00B677B4" w:rsidRDefault="0097640E" w:rsidP="0097640E">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 xml:space="preserve">Limitations faced during the evaluation were primarily related to the busy schedule of key informants, and the need in some instances to conduct interviews remotely. Timing of the fieldwork created challenges due to several key informants being unavailable due to other commitments. The evaluation team mitigated these limitations using multiple approaches to gathering evidence (by interviewing multiple stakeholders from within the same ministry, ensuring an appropriate mix of participants from government, civil </w:t>
      </w:r>
      <w:proofErr w:type="gramStart"/>
      <w:r w:rsidRPr="00B677B4">
        <w:rPr>
          <w:rFonts w:asciiTheme="minorHAnsi" w:hAnsiTheme="minorHAnsi" w:cstheme="minorHAnsi"/>
          <w:sz w:val="22"/>
          <w:szCs w:val="22"/>
        </w:rPr>
        <w:t>society</w:t>
      </w:r>
      <w:proofErr w:type="gramEnd"/>
      <w:r w:rsidRPr="00B677B4">
        <w:rPr>
          <w:rFonts w:asciiTheme="minorHAnsi" w:hAnsiTheme="minorHAnsi" w:cstheme="minorHAnsi"/>
          <w:sz w:val="22"/>
          <w:szCs w:val="22"/>
        </w:rPr>
        <w:t xml:space="preserve"> and the private sector, and drawing on the extensive program documentation). Whilst there were instances when respondents were not available for interviews, this did not happen often, and most interviews were conducted as scheduled. </w:t>
      </w:r>
    </w:p>
    <w:p w14:paraId="7BBFCE9B" w14:textId="1E565C93" w:rsidR="001050CC" w:rsidRPr="00B677B4" w:rsidRDefault="00FA440E" w:rsidP="001050CC">
      <w:pPr>
        <w:pStyle w:val="Heading2"/>
      </w:pPr>
      <w:bookmarkStart w:id="19" w:name="_Toc118799334"/>
      <w:bookmarkStart w:id="20" w:name="_Toc124772661"/>
      <w:r w:rsidRPr="00B677B4">
        <w:t>Overview</w:t>
      </w:r>
      <w:r w:rsidR="001050CC" w:rsidRPr="00B677B4">
        <w:t xml:space="preserve"> of AMEP II</w:t>
      </w:r>
      <w:bookmarkEnd w:id="19"/>
      <w:bookmarkEnd w:id="20"/>
    </w:p>
    <w:p w14:paraId="2B257A48" w14:textId="1ADF98B6" w:rsidR="00FA440E" w:rsidRPr="00B677B4" w:rsidRDefault="00FA440E" w:rsidP="00FA440E">
      <w:pPr>
        <w:pStyle w:val="NormalWeb"/>
        <w:spacing w:before="120" w:beforeAutospacing="0"/>
        <w:rPr>
          <w:rFonts w:ascii="Calibri" w:hAnsi="Calibri" w:cs="Calibri"/>
          <w:sz w:val="22"/>
          <w:szCs w:val="22"/>
        </w:rPr>
      </w:pPr>
      <w:r w:rsidRPr="00B677B4">
        <w:rPr>
          <w:rFonts w:ascii="Calibri" w:hAnsi="Calibri" w:cs="Calibri"/>
          <w:sz w:val="22"/>
          <w:szCs w:val="22"/>
        </w:rPr>
        <w:t xml:space="preserve">The Government of Mongolia and the Government of Australia are partners in the Australia Mongolia Extractives Program (AMEP) aiming to assist Mongolia to sustainably manage its resource-led growth.  After a successful first phase of the program between 2015 – 2019, the second phase of the program commenced on 1 April 2019, with Adam Smith International as the managing contractor.  The current value of the investment is 8.5 $ million and it will end </w:t>
      </w:r>
      <w:r w:rsidR="007A2132">
        <w:rPr>
          <w:rFonts w:ascii="Calibri" w:hAnsi="Calibri" w:cs="Calibri"/>
          <w:sz w:val="22"/>
          <w:szCs w:val="22"/>
        </w:rPr>
        <w:t>on</w:t>
      </w:r>
      <w:r w:rsidRPr="00B677B4">
        <w:rPr>
          <w:rFonts w:ascii="Calibri" w:hAnsi="Calibri" w:cs="Calibri"/>
          <w:sz w:val="22"/>
          <w:szCs w:val="22"/>
        </w:rPr>
        <w:t xml:space="preserve"> 31 March 2024 (a one-year extension). The objective of AMEP </w:t>
      </w:r>
      <w:r w:rsidR="00DD5EB5" w:rsidRPr="00B677B4">
        <w:rPr>
          <w:rFonts w:ascii="Calibri" w:hAnsi="Calibri" w:cs="Calibri"/>
          <w:sz w:val="22"/>
          <w:szCs w:val="22"/>
        </w:rPr>
        <w:t>II</w:t>
      </w:r>
      <w:r w:rsidRPr="00B677B4">
        <w:rPr>
          <w:rFonts w:ascii="Calibri" w:hAnsi="Calibri" w:cs="Calibri"/>
          <w:sz w:val="22"/>
          <w:szCs w:val="22"/>
        </w:rPr>
        <w:t xml:space="preserve"> is to promote the enabling environment for investment in the extractives sector that is essential to future growth. The program approach is based on the premise that for sustained and transparent improvements to the environment for investment to occur, there needs to be collaboration between the principal stakeholders with interests in the extractives industry. The end of program outcome is therefore expressed as: </w:t>
      </w:r>
    </w:p>
    <w:p w14:paraId="57D0D52D" w14:textId="77777777" w:rsidR="00FA440E" w:rsidRPr="00B677B4" w:rsidRDefault="00FA440E" w:rsidP="00FA440E">
      <w:pPr>
        <w:pStyle w:val="NormalWeb"/>
        <w:spacing w:before="120" w:beforeAutospacing="0"/>
        <w:rPr>
          <w:rFonts w:ascii="Calibri" w:hAnsi="Calibri" w:cs="Calibri"/>
          <w:i/>
          <w:iCs/>
          <w:sz w:val="22"/>
          <w:szCs w:val="22"/>
        </w:rPr>
      </w:pPr>
      <w:r w:rsidRPr="00B677B4">
        <w:rPr>
          <w:rFonts w:ascii="Calibri" w:hAnsi="Calibri" w:cs="Calibri"/>
          <w:i/>
          <w:iCs/>
          <w:sz w:val="22"/>
          <w:szCs w:val="22"/>
        </w:rPr>
        <w:t xml:space="preserve">Government, civil </w:t>
      </w:r>
      <w:proofErr w:type="gramStart"/>
      <w:r w:rsidRPr="00B677B4">
        <w:rPr>
          <w:rFonts w:ascii="Calibri" w:hAnsi="Calibri" w:cs="Calibri"/>
          <w:i/>
          <w:iCs/>
          <w:sz w:val="22"/>
          <w:szCs w:val="22"/>
        </w:rPr>
        <w:t>society</w:t>
      </w:r>
      <w:proofErr w:type="gramEnd"/>
      <w:r w:rsidRPr="00B677B4">
        <w:rPr>
          <w:rFonts w:ascii="Calibri" w:hAnsi="Calibri" w:cs="Calibri"/>
          <w:i/>
          <w:iCs/>
          <w:sz w:val="22"/>
          <w:szCs w:val="22"/>
        </w:rPr>
        <w:t xml:space="preserve"> and the private sector collaborating to improve the investment environment for the extractives sector in Mongolia. </w:t>
      </w:r>
    </w:p>
    <w:p w14:paraId="018F01F5" w14:textId="4C8156DF" w:rsidR="00FA440E" w:rsidRPr="00B677B4" w:rsidRDefault="00FA440E" w:rsidP="00FA440E">
      <w:pPr>
        <w:pStyle w:val="NormalWeb"/>
        <w:spacing w:before="120" w:beforeAutospacing="0"/>
        <w:rPr>
          <w:rFonts w:ascii="Calibri" w:hAnsi="Calibri" w:cs="Calibri"/>
          <w:sz w:val="22"/>
          <w:szCs w:val="22"/>
        </w:rPr>
      </w:pPr>
      <w:r w:rsidRPr="00B677B4">
        <w:rPr>
          <w:rFonts w:ascii="Calibri" w:hAnsi="Calibri" w:cs="Calibri"/>
          <w:sz w:val="22"/>
          <w:szCs w:val="22"/>
        </w:rPr>
        <w:t xml:space="preserve">The two overall outcomes for AMEP </w:t>
      </w:r>
      <w:r w:rsidR="00DD5EB5" w:rsidRPr="00B677B4">
        <w:rPr>
          <w:rFonts w:ascii="Calibri" w:hAnsi="Calibri" w:cs="Calibri"/>
          <w:sz w:val="22"/>
          <w:szCs w:val="22"/>
        </w:rPr>
        <w:t>II</w:t>
      </w:r>
      <w:r w:rsidRPr="00B677B4">
        <w:rPr>
          <w:rFonts w:ascii="Calibri" w:hAnsi="Calibri" w:cs="Calibri"/>
          <w:sz w:val="22"/>
          <w:szCs w:val="22"/>
        </w:rPr>
        <w:t xml:space="preserve"> implicit in the outcome statement (</w:t>
      </w:r>
      <w:r w:rsidRPr="00B677B4">
        <w:rPr>
          <w:rFonts w:ascii="Calibri" w:hAnsi="Calibri" w:cs="Calibri"/>
          <w:i/>
          <w:iCs/>
          <w:sz w:val="22"/>
          <w:szCs w:val="22"/>
        </w:rPr>
        <w:t>increased collaboration</w:t>
      </w:r>
      <w:r w:rsidRPr="00B677B4">
        <w:rPr>
          <w:rFonts w:ascii="Calibri" w:hAnsi="Calibri" w:cs="Calibri"/>
          <w:sz w:val="22"/>
          <w:szCs w:val="22"/>
        </w:rPr>
        <w:t xml:space="preserve"> and </w:t>
      </w:r>
      <w:r w:rsidRPr="00B677B4">
        <w:rPr>
          <w:rFonts w:ascii="Calibri" w:hAnsi="Calibri" w:cs="Calibri"/>
          <w:i/>
          <w:iCs/>
          <w:sz w:val="22"/>
          <w:szCs w:val="22"/>
        </w:rPr>
        <w:t>improved investment environment</w:t>
      </w:r>
      <w:r w:rsidRPr="00B677B4">
        <w:rPr>
          <w:rFonts w:ascii="Calibri" w:hAnsi="Calibri" w:cs="Calibri"/>
          <w:sz w:val="22"/>
          <w:szCs w:val="22"/>
        </w:rPr>
        <w:t>) frame the results that the program reports, but they are deliberately beyond the reach of the program to deliver (</w:t>
      </w:r>
      <w:proofErr w:type="gramStart"/>
      <w:r w:rsidR="007A2132" w:rsidRPr="00B677B4">
        <w:rPr>
          <w:rFonts w:ascii="Calibri" w:hAnsi="Calibri" w:cs="Calibri"/>
          <w:sz w:val="22"/>
          <w:szCs w:val="22"/>
        </w:rPr>
        <w:t>i.e.</w:t>
      </w:r>
      <w:proofErr w:type="gramEnd"/>
      <w:r w:rsidRPr="00B677B4">
        <w:rPr>
          <w:rFonts w:ascii="Calibri" w:hAnsi="Calibri" w:cs="Calibri"/>
          <w:sz w:val="22"/>
          <w:szCs w:val="22"/>
        </w:rPr>
        <w:t xml:space="preserve"> it is accepted in advance that the intermediate outcomes to which AMEP </w:t>
      </w:r>
      <w:r w:rsidR="00DD5EB5" w:rsidRPr="00B677B4">
        <w:rPr>
          <w:rFonts w:ascii="Calibri" w:hAnsi="Calibri" w:cs="Calibri"/>
          <w:sz w:val="22"/>
          <w:szCs w:val="22"/>
        </w:rPr>
        <w:t>II</w:t>
      </w:r>
      <w:r w:rsidRPr="00B677B4">
        <w:rPr>
          <w:rFonts w:ascii="Calibri" w:hAnsi="Calibri" w:cs="Calibri"/>
          <w:sz w:val="22"/>
          <w:szCs w:val="22"/>
        </w:rPr>
        <w:t xml:space="preserve"> contributes may be necessary but will not be sufficient to bring about the expected change). The original design identified domains of change that AMEP might seek to engage in: </w:t>
      </w:r>
    </w:p>
    <w:p w14:paraId="664AC8FA" w14:textId="77777777" w:rsidR="00FA440E" w:rsidRPr="00B677B4" w:rsidRDefault="00FA440E">
      <w:pPr>
        <w:pStyle w:val="Default"/>
        <w:numPr>
          <w:ilvl w:val="0"/>
          <w:numId w:val="4"/>
        </w:numPr>
        <w:rPr>
          <w:sz w:val="22"/>
          <w:szCs w:val="22"/>
          <w:lang w:val="en-GB"/>
        </w:rPr>
      </w:pPr>
      <w:r w:rsidRPr="00B677B4">
        <w:rPr>
          <w:sz w:val="22"/>
          <w:szCs w:val="22"/>
          <w:lang w:val="en-GB"/>
        </w:rPr>
        <w:t xml:space="preserve">policy and regulation processes that involve stakeholders and achieve widespread consensus, </w:t>
      </w:r>
    </w:p>
    <w:p w14:paraId="5E0D08C5" w14:textId="77777777" w:rsidR="00FA440E" w:rsidRPr="00B677B4" w:rsidRDefault="00FA440E">
      <w:pPr>
        <w:pStyle w:val="Default"/>
        <w:numPr>
          <w:ilvl w:val="0"/>
          <w:numId w:val="4"/>
        </w:numPr>
        <w:rPr>
          <w:sz w:val="22"/>
          <w:szCs w:val="22"/>
          <w:lang w:val="en-GB"/>
        </w:rPr>
      </w:pPr>
      <w:r w:rsidRPr="00B677B4">
        <w:rPr>
          <w:sz w:val="22"/>
          <w:szCs w:val="22"/>
          <w:lang w:val="en-GB"/>
        </w:rPr>
        <w:t xml:space="preserve">an increasingly transparent, </w:t>
      </w:r>
      <w:proofErr w:type="gramStart"/>
      <w:r w:rsidRPr="00B677B4">
        <w:rPr>
          <w:sz w:val="22"/>
          <w:szCs w:val="22"/>
          <w:lang w:val="en-GB"/>
        </w:rPr>
        <w:t>fair</w:t>
      </w:r>
      <w:proofErr w:type="gramEnd"/>
      <w:r w:rsidRPr="00B677B4">
        <w:rPr>
          <w:sz w:val="22"/>
          <w:szCs w:val="22"/>
          <w:lang w:val="en-GB"/>
        </w:rPr>
        <w:t xml:space="preserve"> and predictable environment for domestic and international investors, </w:t>
      </w:r>
    </w:p>
    <w:p w14:paraId="35164CBA" w14:textId="77777777" w:rsidR="00FA440E" w:rsidRPr="00B677B4" w:rsidRDefault="00FA440E">
      <w:pPr>
        <w:pStyle w:val="Default"/>
        <w:numPr>
          <w:ilvl w:val="0"/>
          <w:numId w:val="4"/>
        </w:numPr>
        <w:rPr>
          <w:sz w:val="22"/>
          <w:szCs w:val="22"/>
          <w:lang w:val="en-GB"/>
        </w:rPr>
      </w:pPr>
      <w:r w:rsidRPr="00B677B4">
        <w:rPr>
          <w:sz w:val="22"/>
          <w:szCs w:val="22"/>
          <w:lang w:val="en-GB"/>
        </w:rPr>
        <w:t xml:space="preserve">enhanced capacity of government to provide services in the sector, </w:t>
      </w:r>
    </w:p>
    <w:p w14:paraId="338A4946" w14:textId="77777777" w:rsidR="00FA440E" w:rsidRPr="00B677B4" w:rsidRDefault="00FA440E">
      <w:pPr>
        <w:pStyle w:val="Default"/>
        <w:numPr>
          <w:ilvl w:val="0"/>
          <w:numId w:val="4"/>
        </w:numPr>
        <w:rPr>
          <w:sz w:val="22"/>
          <w:szCs w:val="22"/>
          <w:lang w:val="en-GB"/>
        </w:rPr>
      </w:pPr>
      <w:r w:rsidRPr="00B677B4">
        <w:rPr>
          <w:sz w:val="22"/>
          <w:szCs w:val="22"/>
          <w:lang w:val="en-GB"/>
        </w:rPr>
        <w:t xml:space="preserve">increased availability of evidence to inform public debate and </w:t>
      </w:r>
    </w:p>
    <w:p w14:paraId="5B29C3C4" w14:textId="77777777" w:rsidR="00FA440E" w:rsidRPr="00B677B4" w:rsidRDefault="00FA440E">
      <w:pPr>
        <w:pStyle w:val="Default"/>
        <w:numPr>
          <w:ilvl w:val="0"/>
          <w:numId w:val="4"/>
        </w:numPr>
        <w:rPr>
          <w:sz w:val="22"/>
          <w:szCs w:val="22"/>
          <w:lang w:val="en-GB"/>
        </w:rPr>
      </w:pPr>
      <w:r w:rsidRPr="00B677B4">
        <w:rPr>
          <w:sz w:val="22"/>
          <w:szCs w:val="22"/>
          <w:lang w:val="en-GB"/>
        </w:rPr>
        <w:t>increased information on better international practice.</w:t>
      </w:r>
    </w:p>
    <w:p w14:paraId="6C481F07" w14:textId="77777777" w:rsidR="00FA440E" w:rsidRPr="00B677B4" w:rsidRDefault="00FA440E" w:rsidP="00FA440E">
      <w:pPr>
        <w:contextualSpacing/>
        <w:jc w:val="both"/>
        <w:rPr>
          <w:sz w:val="22"/>
          <w:szCs w:val="22"/>
        </w:rPr>
      </w:pPr>
    </w:p>
    <w:p w14:paraId="25DB2DCE" w14:textId="77777777" w:rsidR="00FA440E" w:rsidRPr="00B677B4" w:rsidRDefault="00FA440E" w:rsidP="00FA440E">
      <w:pPr>
        <w:contextualSpacing/>
        <w:jc w:val="both"/>
        <w:rPr>
          <w:rFonts w:ascii="Calibri" w:hAnsi="Calibri" w:cs="Calibri"/>
          <w:sz w:val="22"/>
          <w:szCs w:val="22"/>
        </w:rPr>
      </w:pPr>
      <w:r w:rsidRPr="00B677B4">
        <w:rPr>
          <w:rFonts w:ascii="Calibri" w:hAnsi="Calibri" w:cs="Calibri"/>
          <w:sz w:val="22"/>
          <w:szCs w:val="22"/>
        </w:rPr>
        <w:t>These domains of change have subsequently been incorporated into the six distinct but related pillars within which AMEP works:</w:t>
      </w:r>
    </w:p>
    <w:p w14:paraId="6478FECB" w14:textId="77777777" w:rsidR="00FA440E" w:rsidRPr="00B677B4" w:rsidRDefault="00FA440E" w:rsidP="00FA440E">
      <w:pPr>
        <w:contextualSpacing/>
        <w:jc w:val="both"/>
        <w:rPr>
          <w:rFonts w:ascii="Calibri" w:hAnsi="Calibri" w:cs="Calibri"/>
          <w:sz w:val="22"/>
          <w:szCs w:val="22"/>
        </w:rPr>
      </w:pPr>
    </w:p>
    <w:p w14:paraId="10D38C1D" w14:textId="77777777" w:rsidR="00FA440E" w:rsidRPr="00B677B4" w:rsidRDefault="00FA440E">
      <w:pPr>
        <w:pStyle w:val="Default"/>
        <w:numPr>
          <w:ilvl w:val="0"/>
          <w:numId w:val="4"/>
        </w:numPr>
        <w:rPr>
          <w:sz w:val="22"/>
          <w:szCs w:val="22"/>
          <w:lang w:val="en-GB"/>
        </w:rPr>
      </w:pPr>
      <w:r w:rsidRPr="00B677B4">
        <w:rPr>
          <w:sz w:val="22"/>
          <w:szCs w:val="22"/>
          <w:lang w:val="en-GB"/>
        </w:rPr>
        <w:t>Competitive investment environment</w:t>
      </w:r>
    </w:p>
    <w:p w14:paraId="1EB2EA43" w14:textId="77777777" w:rsidR="00FA440E" w:rsidRPr="00B677B4" w:rsidRDefault="00FA440E">
      <w:pPr>
        <w:pStyle w:val="Default"/>
        <w:numPr>
          <w:ilvl w:val="0"/>
          <w:numId w:val="4"/>
        </w:numPr>
        <w:rPr>
          <w:sz w:val="22"/>
          <w:szCs w:val="22"/>
          <w:lang w:val="en-GB"/>
        </w:rPr>
      </w:pPr>
      <w:r w:rsidRPr="00B677B4">
        <w:rPr>
          <w:sz w:val="22"/>
          <w:szCs w:val="22"/>
          <w:lang w:val="en-GB"/>
        </w:rPr>
        <w:t>Responsible extractives sector</w:t>
      </w:r>
    </w:p>
    <w:p w14:paraId="50D1C8E2" w14:textId="77777777" w:rsidR="00FA440E" w:rsidRPr="00B677B4" w:rsidRDefault="00FA440E">
      <w:pPr>
        <w:pStyle w:val="Default"/>
        <w:numPr>
          <w:ilvl w:val="0"/>
          <w:numId w:val="4"/>
        </w:numPr>
        <w:rPr>
          <w:sz w:val="22"/>
          <w:szCs w:val="22"/>
          <w:lang w:val="en-GB"/>
        </w:rPr>
      </w:pPr>
      <w:r w:rsidRPr="00B677B4">
        <w:rPr>
          <w:sz w:val="22"/>
          <w:szCs w:val="22"/>
          <w:lang w:val="en-GB"/>
        </w:rPr>
        <w:t>Well governed extractives sector</w:t>
      </w:r>
    </w:p>
    <w:p w14:paraId="1B1456F4" w14:textId="77777777" w:rsidR="00FA440E" w:rsidRPr="00B677B4" w:rsidRDefault="00FA440E">
      <w:pPr>
        <w:pStyle w:val="Default"/>
        <w:numPr>
          <w:ilvl w:val="0"/>
          <w:numId w:val="4"/>
        </w:numPr>
        <w:rPr>
          <w:sz w:val="22"/>
          <w:szCs w:val="22"/>
          <w:lang w:val="en-GB"/>
        </w:rPr>
      </w:pPr>
      <w:r w:rsidRPr="00B677B4">
        <w:rPr>
          <w:sz w:val="22"/>
          <w:szCs w:val="22"/>
          <w:lang w:val="en-GB"/>
        </w:rPr>
        <w:t>Inclusive and diverse extractives sector</w:t>
      </w:r>
    </w:p>
    <w:p w14:paraId="765881BD" w14:textId="77777777" w:rsidR="00FA440E" w:rsidRPr="00B677B4" w:rsidRDefault="00FA440E">
      <w:pPr>
        <w:pStyle w:val="Default"/>
        <w:numPr>
          <w:ilvl w:val="0"/>
          <w:numId w:val="4"/>
        </w:numPr>
        <w:rPr>
          <w:sz w:val="22"/>
          <w:szCs w:val="22"/>
          <w:lang w:val="en-GB"/>
        </w:rPr>
      </w:pPr>
      <w:r w:rsidRPr="00B677B4">
        <w:rPr>
          <w:sz w:val="22"/>
          <w:szCs w:val="22"/>
          <w:lang w:val="en-GB"/>
        </w:rPr>
        <w:t>Community and environment</w:t>
      </w:r>
    </w:p>
    <w:p w14:paraId="3C762B38" w14:textId="77777777" w:rsidR="00FA440E" w:rsidRPr="00B677B4" w:rsidRDefault="00FA440E">
      <w:pPr>
        <w:pStyle w:val="Default"/>
        <w:numPr>
          <w:ilvl w:val="0"/>
          <w:numId w:val="4"/>
        </w:numPr>
        <w:rPr>
          <w:sz w:val="22"/>
          <w:szCs w:val="22"/>
          <w:lang w:val="en-GB"/>
        </w:rPr>
      </w:pPr>
      <w:r w:rsidRPr="00B677B4">
        <w:rPr>
          <w:sz w:val="22"/>
          <w:szCs w:val="22"/>
          <w:lang w:val="en-GB"/>
        </w:rPr>
        <w:t>Green energy transition</w:t>
      </w:r>
    </w:p>
    <w:p w14:paraId="4DC1D0DA" w14:textId="1DE1BAA0" w:rsidR="001050CC" w:rsidRPr="00B677B4" w:rsidRDefault="001050CC" w:rsidP="001050CC">
      <w:pPr>
        <w:rPr>
          <w:lang w:eastAsia="en-US"/>
        </w:rPr>
      </w:pPr>
    </w:p>
    <w:p w14:paraId="77C15540" w14:textId="40FCDCC6" w:rsidR="001050CC" w:rsidRPr="00B677B4" w:rsidRDefault="001050CC" w:rsidP="001050CC">
      <w:pPr>
        <w:pStyle w:val="Heading2"/>
      </w:pPr>
      <w:bookmarkStart w:id="21" w:name="_Toc118799335"/>
      <w:bookmarkStart w:id="22" w:name="_Toc124772662"/>
      <w:r w:rsidRPr="00B677B4">
        <w:lastRenderedPageBreak/>
        <w:t>Logic Model</w:t>
      </w:r>
      <w:bookmarkEnd w:id="21"/>
      <w:bookmarkEnd w:id="22"/>
    </w:p>
    <w:p w14:paraId="23BF53B0" w14:textId="4F4D6288" w:rsidR="001050CC" w:rsidRPr="00B677B4" w:rsidRDefault="001050CC" w:rsidP="001050CC">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 xml:space="preserve">Whilst a comprehensive logic model is currently under preparation, the program has nevertheless identified (as articulated in the most recent annual report – </w:t>
      </w:r>
      <w:r w:rsidRPr="00B677B4">
        <w:rPr>
          <w:rFonts w:asciiTheme="minorHAnsi" w:hAnsiTheme="minorHAnsi" w:cstheme="minorHAnsi"/>
          <w:i/>
          <w:iCs/>
          <w:sz w:val="22"/>
          <w:szCs w:val="22"/>
        </w:rPr>
        <w:t>AMEP Annual Report, 2021 - 2022</w:t>
      </w:r>
      <w:r w:rsidRPr="00B677B4">
        <w:rPr>
          <w:rFonts w:asciiTheme="minorHAnsi" w:hAnsiTheme="minorHAnsi" w:cstheme="minorHAnsi"/>
          <w:sz w:val="22"/>
          <w:szCs w:val="22"/>
        </w:rPr>
        <w:t xml:space="preserve">) a set six strategic pillars and associated intermediate and short-term outcomes that will form the substance of the logic model (listed in the table below). </w:t>
      </w:r>
    </w:p>
    <w:tbl>
      <w:tblPr>
        <w:tblStyle w:val="table-style-blauw-100-outline"/>
        <w:tblW w:w="5000" w:type="pct"/>
        <w:tblLook w:val="04A0" w:firstRow="1" w:lastRow="0" w:firstColumn="1" w:lastColumn="0" w:noHBand="0" w:noVBand="1"/>
      </w:tblPr>
      <w:tblGrid>
        <w:gridCol w:w="2249"/>
        <w:gridCol w:w="3481"/>
        <w:gridCol w:w="3274"/>
      </w:tblGrid>
      <w:tr w:rsidR="009247F0" w:rsidRPr="00B677B4" w14:paraId="3E6D6C81" w14:textId="77777777" w:rsidTr="0051779E">
        <w:trPr>
          <w:cnfStyle w:val="100000000000" w:firstRow="1" w:lastRow="0" w:firstColumn="0" w:lastColumn="0" w:oddVBand="0" w:evenVBand="0" w:oddHBand="0" w:evenHBand="0" w:firstRowFirstColumn="0" w:firstRowLastColumn="0" w:lastRowFirstColumn="0" w:lastRowLastColumn="0"/>
          <w:tblHeader/>
        </w:trPr>
        <w:tc>
          <w:tcPr>
            <w:tcW w:w="1249"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0EE971B" w14:textId="77777777" w:rsidR="009247F0" w:rsidRPr="00B677B4" w:rsidRDefault="009247F0" w:rsidP="0051779E">
            <w:pPr>
              <w:pStyle w:val="table-text"/>
              <w:rPr>
                <w:rFonts w:cs="Arial"/>
                <w:sz w:val="18"/>
                <w:szCs w:val="18"/>
                <w:lang w:val="en-GB"/>
              </w:rPr>
            </w:pPr>
            <w:r w:rsidRPr="00B677B4">
              <w:rPr>
                <w:rFonts w:cs="Arial"/>
                <w:sz w:val="18"/>
                <w:szCs w:val="18"/>
                <w:lang w:val="en-GB"/>
              </w:rPr>
              <w:t>Pillars</w:t>
            </w:r>
          </w:p>
        </w:tc>
        <w:tc>
          <w:tcPr>
            <w:tcW w:w="193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C27A465" w14:textId="77777777" w:rsidR="009247F0" w:rsidRPr="00B677B4" w:rsidRDefault="009247F0" w:rsidP="0051779E">
            <w:pPr>
              <w:pStyle w:val="table-text"/>
              <w:rPr>
                <w:rFonts w:cs="Arial"/>
                <w:sz w:val="18"/>
                <w:szCs w:val="18"/>
                <w:lang w:val="en-GB"/>
              </w:rPr>
            </w:pPr>
            <w:r w:rsidRPr="00B677B4">
              <w:rPr>
                <w:rFonts w:cs="Arial"/>
                <w:sz w:val="18"/>
                <w:szCs w:val="18"/>
                <w:lang w:val="en-GB"/>
              </w:rPr>
              <w:t>Short – term Outcomes</w:t>
            </w:r>
          </w:p>
        </w:tc>
        <w:tc>
          <w:tcPr>
            <w:tcW w:w="181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7DAC2BC" w14:textId="77777777" w:rsidR="009247F0" w:rsidRPr="00B677B4" w:rsidRDefault="009247F0" w:rsidP="0051779E">
            <w:pPr>
              <w:pStyle w:val="table-text"/>
              <w:rPr>
                <w:rFonts w:cs="Arial"/>
                <w:sz w:val="18"/>
                <w:szCs w:val="18"/>
                <w:lang w:val="en-GB"/>
              </w:rPr>
            </w:pPr>
            <w:r w:rsidRPr="00B677B4">
              <w:rPr>
                <w:rFonts w:cs="Arial"/>
                <w:sz w:val="18"/>
                <w:szCs w:val="18"/>
                <w:lang w:val="en-GB"/>
              </w:rPr>
              <w:t>Intermediate Outcomes</w:t>
            </w:r>
          </w:p>
        </w:tc>
      </w:tr>
      <w:tr w:rsidR="009247F0" w:rsidRPr="00B677B4" w14:paraId="74F6CFFE" w14:textId="77777777" w:rsidTr="0051779E">
        <w:trPr>
          <w:cnfStyle w:val="000000100000" w:firstRow="0" w:lastRow="0" w:firstColumn="0" w:lastColumn="0" w:oddVBand="0" w:evenVBand="0" w:oddHBand="1" w:evenHBand="0" w:firstRowFirstColumn="0" w:firstRowLastColumn="0" w:lastRowFirstColumn="0" w:lastRowLastColumn="0"/>
        </w:trPr>
        <w:tc>
          <w:tcPr>
            <w:tcW w:w="1249" w:type="pct"/>
            <w:vMerge w:val="restart"/>
            <w:tcBorders>
              <w:top w:val="single" w:sz="6" w:space="0" w:color="FFFFFF" w:themeColor="background1"/>
            </w:tcBorders>
            <w:shd w:val="clear" w:color="auto" w:fill="auto"/>
          </w:tcPr>
          <w:p w14:paraId="06E87246" w14:textId="77777777" w:rsidR="009247F0" w:rsidRPr="00B677B4" w:rsidRDefault="009247F0" w:rsidP="0051779E">
            <w:pPr>
              <w:pStyle w:val="table-text"/>
              <w:numPr>
                <w:ilvl w:val="0"/>
                <w:numId w:val="7"/>
              </w:numPr>
              <w:rPr>
                <w:rFonts w:cs="Arial"/>
                <w:b/>
                <w:sz w:val="18"/>
                <w:szCs w:val="18"/>
                <w:lang w:val="en-GB"/>
              </w:rPr>
            </w:pPr>
            <w:r w:rsidRPr="00B677B4">
              <w:rPr>
                <w:rFonts w:cs="Arial"/>
                <w:b/>
                <w:sz w:val="18"/>
                <w:szCs w:val="18"/>
                <w:lang w:val="en-GB"/>
              </w:rPr>
              <w:t>Competitive Investment Environment</w:t>
            </w:r>
          </w:p>
        </w:tc>
        <w:tc>
          <w:tcPr>
            <w:tcW w:w="1933" w:type="pct"/>
            <w:tcBorders>
              <w:top w:val="single" w:sz="6" w:space="0" w:color="FFFFFF" w:themeColor="background1"/>
              <w:bottom w:val="single" w:sz="4" w:space="0" w:color="auto"/>
            </w:tcBorders>
          </w:tcPr>
          <w:p w14:paraId="1E74A001"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A fully functional, transparent, system that provides access to users such as potential investors and companies </w:t>
            </w:r>
          </w:p>
        </w:tc>
        <w:tc>
          <w:tcPr>
            <w:tcW w:w="1818" w:type="pct"/>
            <w:tcBorders>
              <w:top w:val="single" w:sz="6" w:space="0" w:color="FFFFFF" w:themeColor="background1"/>
              <w:bottom w:val="single" w:sz="4" w:space="0" w:color="auto"/>
            </w:tcBorders>
            <w:shd w:val="clear" w:color="auto" w:fill="auto"/>
          </w:tcPr>
          <w:p w14:paraId="7B2AFF28"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Improved data quality and analysis </w:t>
            </w:r>
          </w:p>
          <w:p w14:paraId="3B8B9599" w14:textId="77777777" w:rsidR="009247F0" w:rsidRPr="00B677B4" w:rsidRDefault="009247F0" w:rsidP="0051779E">
            <w:pPr>
              <w:pStyle w:val="table-text"/>
              <w:rPr>
                <w:rFonts w:eastAsia="Tahoma" w:cs="Arial"/>
                <w:sz w:val="18"/>
                <w:szCs w:val="18"/>
                <w:lang w:val="en-GB"/>
              </w:rPr>
            </w:pPr>
          </w:p>
        </w:tc>
      </w:tr>
      <w:tr w:rsidR="009247F0" w:rsidRPr="00B677B4" w14:paraId="68194093" w14:textId="77777777" w:rsidTr="0051779E">
        <w:trPr>
          <w:cnfStyle w:val="000000010000" w:firstRow="0" w:lastRow="0" w:firstColumn="0" w:lastColumn="0" w:oddVBand="0" w:evenVBand="0" w:oddHBand="0" w:evenHBand="1" w:firstRowFirstColumn="0" w:firstRowLastColumn="0" w:lastRowFirstColumn="0" w:lastRowLastColumn="0"/>
        </w:trPr>
        <w:tc>
          <w:tcPr>
            <w:tcW w:w="1249" w:type="pct"/>
            <w:vMerge/>
            <w:tcBorders>
              <w:bottom w:val="single" w:sz="4" w:space="0" w:color="auto"/>
            </w:tcBorders>
            <w:shd w:val="clear" w:color="auto" w:fill="auto"/>
          </w:tcPr>
          <w:p w14:paraId="3B963311" w14:textId="77777777" w:rsidR="009247F0" w:rsidRPr="00B677B4" w:rsidRDefault="009247F0" w:rsidP="0051779E">
            <w:pPr>
              <w:pStyle w:val="table-text"/>
              <w:rPr>
                <w:rFonts w:cs="Arial"/>
                <w:b/>
                <w:sz w:val="18"/>
                <w:szCs w:val="18"/>
                <w:lang w:val="en-GB"/>
              </w:rPr>
            </w:pPr>
          </w:p>
        </w:tc>
        <w:tc>
          <w:tcPr>
            <w:tcW w:w="1933" w:type="pct"/>
            <w:tcBorders>
              <w:top w:val="single" w:sz="4" w:space="0" w:color="auto"/>
              <w:bottom w:val="single" w:sz="4" w:space="0" w:color="auto"/>
            </w:tcBorders>
          </w:tcPr>
          <w:p w14:paraId="0C31ED51"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Improved understanding of use of digital licensing and tendering system </w:t>
            </w:r>
          </w:p>
        </w:tc>
        <w:tc>
          <w:tcPr>
            <w:tcW w:w="1818" w:type="pct"/>
            <w:tcBorders>
              <w:top w:val="single" w:sz="4" w:space="0" w:color="auto"/>
              <w:bottom w:val="single" w:sz="4" w:space="0" w:color="auto"/>
            </w:tcBorders>
            <w:shd w:val="clear" w:color="auto" w:fill="auto"/>
          </w:tcPr>
          <w:p w14:paraId="726A039B"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On-line implementation and use of digital license and tendering system </w:t>
            </w:r>
          </w:p>
        </w:tc>
      </w:tr>
      <w:tr w:rsidR="009247F0" w:rsidRPr="00B677B4" w14:paraId="1B0C65F3" w14:textId="77777777" w:rsidTr="0051779E">
        <w:trPr>
          <w:cnfStyle w:val="000000100000" w:firstRow="0" w:lastRow="0" w:firstColumn="0" w:lastColumn="0" w:oddVBand="0" w:evenVBand="0" w:oddHBand="1" w:evenHBand="0" w:firstRowFirstColumn="0" w:firstRowLastColumn="0" w:lastRowFirstColumn="0" w:lastRowLastColumn="0"/>
        </w:trPr>
        <w:tc>
          <w:tcPr>
            <w:tcW w:w="1249" w:type="pct"/>
            <w:vMerge w:val="restart"/>
            <w:tcBorders>
              <w:top w:val="single" w:sz="4" w:space="0" w:color="auto"/>
            </w:tcBorders>
            <w:shd w:val="clear" w:color="auto" w:fill="auto"/>
          </w:tcPr>
          <w:p w14:paraId="2BCF3D91" w14:textId="77777777" w:rsidR="009247F0" w:rsidRPr="00B677B4" w:rsidRDefault="009247F0" w:rsidP="0051779E">
            <w:pPr>
              <w:pStyle w:val="table-text"/>
              <w:numPr>
                <w:ilvl w:val="0"/>
                <w:numId w:val="7"/>
              </w:numPr>
              <w:rPr>
                <w:rFonts w:cs="Arial"/>
                <w:b/>
                <w:sz w:val="18"/>
                <w:szCs w:val="18"/>
                <w:lang w:val="en-GB"/>
              </w:rPr>
            </w:pPr>
            <w:r w:rsidRPr="00B677B4">
              <w:rPr>
                <w:rFonts w:cs="Arial"/>
                <w:b/>
                <w:sz w:val="18"/>
                <w:szCs w:val="18"/>
                <w:lang w:val="en-GB"/>
              </w:rPr>
              <w:t>Responsible Extractives Sector</w:t>
            </w:r>
          </w:p>
        </w:tc>
        <w:tc>
          <w:tcPr>
            <w:tcW w:w="1933" w:type="pct"/>
            <w:tcBorders>
              <w:top w:val="single" w:sz="4" w:space="0" w:color="auto"/>
              <w:bottom w:val="single" w:sz="4" w:space="0" w:color="auto"/>
            </w:tcBorders>
          </w:tcPr>
          <w:p w14:paraId="4879A84F"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Awareness and learning opportunities provided for Mongolian professionals </w:t>
            </w:r>
          </w:p>
          <w:p w14:paraId="7E3AC739" w14:textId="77777777" w:rsidR="009247F0" w:rsidRPr="00B677B4" w:rsidRDefault="009247F0" w:rsidP="0051779E">
            <w:pPr>
              <w:pStyle w:val="table-text"/>
              <w:rPr>
                <w:rFonts w:eastAsia="Tahoma" w:cs="Arial"/>
                <w:sz w:val="18"/>
                <w:szCs w:val="18"/>
                <w:lang w:val="en-GB"/>
              </w:rPr>
            </w:pPr>
          </w:p>
        </w:tc>
        <w:tc>
          <w:tcPr>
            <w:tcW w:w="1818" w:type="pct"/>
            <w:tcBorders>
              <w:top w:val="single" w:sz="4" w:space="0" w:color="auto"/>
              <w:bottom w:val="single" w:sz="4" w:space="0" w:color="auto"/>
            </w:tcBorders>
            <w:shd w:val="clear" w:color="auto" w:fill="auto"/>
          </w:tcPr>
          <w:p w14:paraId="2FF9BE75"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Mongolian professionals apply methods and processes consistent with international best practices </w:t>
            </w:r>
          </w:p>
        </w:tc>
      </w:tr>
      <w:tr w:rsidR="009247F0" w:rsidRPr="00B677B4" w14:paraId="5655FABC" w14:textId="77777777" w:rsidTr="0051779E">
        <w:trPr>
          <w:cnfStyle w:val="000000010000" w:firstRow="0" w:lastRow="0" w:firstColumn="0" w:lastColumn="0" w:oddVBand="0" w:evenVBand="0" w:oddHBand="0" w:evenHBand="1" w:firstRowFirstColumn="0" w:firstRowLastColumn="0" w:lastRowFirstColumn="0" w:lastRowLastColumn="0"/>
        </w:trPr>
        <w:tc>
          <w:tcPr>
            <w:tcW w:w="1249" w:type="pct"/>
            <w:vMerge/>
            <w:tcBorders>
              <w:bottom w:val="single" w:sz="4" w:space="0" w:color="auto"/>
            </w:tcBorders>
            <w:shd w:val="clear" w:color="auto" w:fill="auto"/>
          </w:tcPr>
          <w:p w14:paraId="45AFCDC7" w14:textId="77777777" w:rsidR="009247F0" w:rsidRPr="00B677B4" w:rsidRDefault="009247F0" w:rsidP="0051779E">
            <w:pPr>
              <w:pStyle w:val="table-text"/>
              <w:rPr>
                <w:rFonts w:cs="Arial"/>
                <w:b/>
                <w:sz w:val="18"/>
                <w:szCs w:val="18"/>
                <w:lang w:val="en-GB"/>
              </w:rPr>
            </w:pPr>
          </w:p>
        </w:tc>
        <w:tc>
          <w:tcPr>
            <w:tcW w:w="1933" w:type="pct"/>
            <w:tcBorders>
              <w:top w:val="single" w:sz="4" w:space="0" w:color="auto"/>
              <w:bottom w:val="single" w:sz="4" w:space="0" w:color="auto"/>
            </w:tcBorders>
          </w:tcPr>
          <w:p w14:paraId="04763578"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Improved knowledge and skills for prospecting, exploration, and reporting of resources </w:t>
            </w:r>
          </w:p>
        </w:tc>
        <w:tc>
          <w:tcPr>
            <w:tcW w:w="1818" w:type="pct"/>
            <w:tcBorders>
              <w:top w:val="single" w:sz="4" w:space="0" w:color="auto"/>
              <w:bottom w:val="single" w:sz="4" w:space="0" w:color="auto"/>
            </w:tcBorders>
            <w:shd w:val="clear" w:color="auto" w:fill="auto"/>
          </w:tcPr>
          <w:p w14:paraId="45EDFED5"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Increased accuracy and uniformity in reporting to the Minerals Council of Mongolia </w:t>
            </w:r>
          </w:p>
        </w:tc>
      </w:tr>
      <w:tr w:rsidR="009247F0" w:rsidRPr="00B677B4" w14:paraId="4BDDEA3D" w14:textId="77777777" w:rsidTr="0051779E">
        <w:trPr>
          <w:cnfStyle w:val="000000100000" w:firstRow="0" w:lastRow="0" w:firstColumn="0" w:lastColumn="0" w:oddVBand="0" w:evenVBand="0" w:oddHBand="1" w:evenHBand="0" w:firstRowFirstColumn="0" w:firstRowLastColumn="0" w:lastRowFirstColumn="0" w:lastRowLastColumn="0"/>
        </w:trPr>
        <w:tc>
          <w:tcPr>
            <w:tcW w:w="1249" w:type="pct"/>
            <w:vMerge w:val="restart"/>
            <w:tcBorders>
              <w:top w:val="single" w:sz="4" w:space="0" w:color="auto"/>
            </w:tcBorders>
            <w:shd w:val="clear" w:color="auto" w:fill="auto"/>
          </w:tcPr>
          <w:p w14:paraId="3B80D178" w14:textId="77777777" w:rsidR="009247F0" w:rsidRPr="00B677B4" w:rsidRDefault="009247F0" w:rsidP="0051779E">
            <w:pPr>
              <w:pStyle w:val="table-text"/>
              <w:numPr>
                <w:ilvl w:val="0"/>
                <w:numId w:val="7"/>
              </w:numPr>
              <w:rPr>
                <w:rFonts w:cs="Arial"/>
                <w:b/>
                <w:sz w:val="18"/>
                <w:szCs w:val="18"/>
                <w:lang w:val="en-GB"/>
              </w:rPr>
            </w:pPr>
            <w:r w:rsidRPr="00B677B4">
              <w:rPr>
                <w:rFonts w:cs="Arial"/>
                <w:b/>
                <w:sz w:val="18"/>
                <w:szCs w:val="18"/>
                <w:lang w:val="en-GB"/>
              </w:rPr>
              <w:t>Well Governed Extractives Sector</w:t>
            </w:r>
          </w:p>
        </w:tc>
        <w:tc>
          <w:tcPr>
            <w:tcW w:w="1933" w:type="pct"/>
            <w:tcBorders>
              <w:top w:val="single" w:sz="4" w:space="0" w:color="auto"/>
              <w:bottom w:val="single" w:sz="4" w:space="0" w:color="auto"/>
            </w:tcBorders>
          </w:tcPr>
          <w:p w14:paraId="57F0B3E5"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Improved knowledge and skills regarding key stakeholder “hot-button issues of the current mining law </w:t>
            </w:r>
          </w:p>
        </w:tc>
        <w:tc>
          <w:tcPr>
            <w:tcW w:w="1818" w:type="pct"/>
            <w:tcBorders>
              <w:top w:val="single" w:sz="4" w:space="0" w:color="auto"/>
              <w:bottom w:val="single" w:sz="4" w:space="0" w:color="auto"/>
            </w:tcBorders>
            <w:shd w:val="clear" w:color="auto" w:fill="auto"/>
          </w:tcPr>
          <w:p w14:paraId="48324716"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Application of consultation framework process applied to draft laws in the mineral sector </w:t>
            </w:r>
          </w:p>
        </w:tc>
      </w:tr>
      <w:tr w:rsidR="009247F0" w:rsidRPr="00B677B4" w14:paraId="794F566D" w14:textId="77777777" w:rsidTr="0051779E">
        <w:trPr>
          <w:cnfStyle w:val="000000010000" w:firstRow="0" w:lastRow="0" w:firstColumn="0" w:lastColumn="0" w:oddVBand="0" w:evenVBand="0" w:oddHBand="0" w:evenHBand="1" w:firstRowFirstColumn="0" w:firstRowLastColumn="0" w:lastRowFirstColumn="0" w:lastRowLastColumn="0"/>
        </w:trPr>
        <w:tc>
          <w:tcPr>
            <w:tcW w:w="1249" w:type="pct"/>
            <w:vMerge/>
            <w:tcBorders>
              <w:bottom w:val="single" w:sz="4" w:space="0" w:color="auto"/>
            </w:tcBorders>
            <w:shd w:val="clear" w:color="auto" w:fill="auto"/>
          </w:tcPr>
          <w:p w14:paraId="1B6FF86F" w14:textId="77777777" w:rsidR="009247F0" w:rsidRPr="00B677B4" w:rsidRDefault="009247F0" w:rsidP="0051779E">
            <w:pPr>
              <w:pStyle w:val="table-text"/>
              <w:rPr>
                <w:rFonts w:cs="Arial"/>
                <w:b/>
                <w:sz w:val="18"/>
                <w:szCs w:val="18"/>
                <w:lang w:val="en-GB"/>
              </w:rPr>
            </w:pPr>
          </w:p>
        </w:tc>
        <w:tc>
          <w:tcPr>
            <w:tcW w:w="1933" w:type="pct"/>
            <w:tcBorders>
              <w:top w:val="single" w:sz="4" w:space="0" w:color="auto"/>
              <w:bottom w:val="single" w:sz="4" w:space="0" w:color="auto"/>
            </w:tcBorders>
          </w:tcPr>
          <w:p w14:paraId="319A7EBC"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Enhance knowledge with key Stakeholders (ministries, agencies, and regulators) on the use and application of the subsoil law </w:t>
            </w:r>
          </w:p>
          <w:p w14:paraId="0EFCC5EC" w14:textId="77777777" w:rsidR="009247F0" w:rsidRPr="00B677B4" w:rsidRDefault="009247F0" w:rsidP="0051779E">
            <w:pPr>
              <w:pStyle w:val="table-text"/>
              <w:rPr>
                <w:rFonts w:eastAsia="Tahoma" w:cs="Arial"/>
                <w:sz w:val="18"/>
                <w:szCs w:val="18"/>
                <w:lang w:val="en-GB"/>
              </w:rPr>
            </w:pPr>
          </w:p>
        </w:tc>
        <w:tc>
          <w:tcPr>
            <w:tcW w:w="1818" w:type="pct"/>
            <w:tcBorders>
              <w:top w:val="single" w:sz="4" w:space="0" w:color="auto"/>
              <w:bottom w:val="single" w:sz="4" w:space="0" w:color="auto"/>
            </w:tcBorders>
            <w:shd w:val="clear" w:color="auto" w:fill="auto"/>
          </w:tcPr>
          <w:p w14:paraId="12419720"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Key Ministries and agencies and regulators responsible for the subsoil law operate within the consistent legislative with clearly defined responsibilities </w:t>
            </w:r>
          </w:p>
        </w:tc>
      </w:tr>
      <w:tr w:rsidR="009247F0" w:rsidRPr="00B677B4" w14:paraId="011D649C" w14:textId="77777777" w:rsidTr="0051779E">
        <w:trPr>
          <w:cnfStyle w:val="000000100000" w:firstRow="0" w:lastRow="0" w:firstColumn="0" w:lastColumn="0" w:oddVBand="0" w:evenVBand="0" w:oddHBand="1" w:evenHBand="0" w:firstRowFirstColumn="0" w:firstRowLastColumn="0" w:lastRowFirstColumn="0" w:lastRowLastColumn="0"/>
        </w:trPr>
        <w:tc>
          <w:tcPr>
            <w:tcW w:w="1249" w:type="pct"/>
            <w:tcBorders>
              <w:top w:val="single" w:sz="4" w:space="0" w:color="auto"/>
              <w:bottom w:val="single" w:sz="4" w:space="0" w:color="auto"/>
            </w:tcBorders>
            <w:shd w:val="clear" w:color="auto" w:fill="auto"/>
          </w:tcPr>
          <w:p w14:paraId="73B38F74" w14:textId="77777777" w:rsidR="009247F0" w:rsidRPr="00B677B4" w:rsidRDefault="009247F0" w:rsidP="0051779E">
            <w:pPr>
              <w:pStyle w:val="table-text"/>
              <w:numPr>
                <w:ilvl w:val="0"/>
                <w:numId w:val="7"/>
              </w:numPr>
              <w:rPr>
                <w:rFonts w:cs="Arial"/>
                <w:b/>
                <w:sz w:val="18"/>
                <w:szCs w:val="18"/>
                <w:lang w:val="en-GB"/>
              </w:rPr>
            </w:pPr>
            <w:r w:rsidRPr="00B677B4">
              <w:rPr>
                <w:rFonts w:cs="Arial"/>
                <w:b/>
                <w:sz w:val="18"/>
                <w:szCs w:val="18"/>
                <w:lang w:val="en-GB"/>
              </w:rPr>
              <w:t>Inclusive and Diverse Extractives Sector</w:t>
            </w:r>
          </w:p>
        </w:tc>
        <w:tc>
          <w:tcPr>
            <w:tcW w:w="1933" w:type="pct"/>
            <w:tcBorders>
              <w:top w:val="single" w:sz="4" w:space="0" w:color="auto"/>
              <w:bottom w:val="single" w:sz="4" w:space="0" w:color="auto"/>
            </w:tcBorders>
          </w:tcPr>
          <w:p w14:paraId="4A9338B8"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Awareness raising and sensitization on key issues related to the MMHI Human Rights Gender Policy </w:t>
            </w:r>
          </w:p>
        </w:tc>
        <w:tc>
          <w:tcPr>
            <w:tcW w:w="1818" w:type="pct"/>
            <w:tcBorders>
              <w:top w:val="single" w:sz="4" w:space="0" w:color="auto"/>
              <w:bottom w:val="single" w:sz="4" w:space="0" w:color="auto"/>
            </w:tcBorders>
            <w:shd w:val="clear" w:color="auto" w:fill="auto"/>
          </w:tcPr>
          <w:p w14:paraId="0CF3D41F"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Improved practices around gender inclusion, diversity, and human rights within the sector </w:t>
            </w:r>
          </w:p>
        </w:tc>
      </w:tr>
      <w:tr w:rsidR="009247F0" w:rsidRPr="00B677B4" w14:paraId="416D31F5" w14:textId="77777777" w:rsidTr="0051779E">
        <w:trPr>
          <w:cnfStyle w:val="000000010000" w:firstRow="0" w:lastRow="0" w:firstColumn="0" w:lastColumn="0" w:oddVBand="0" w:evenVBand="0" w:oddHBand="0" w:evenHBand="1" w:firstRowFirstColumn="0" w:firstRowLastColumn="0" w:lastRowFirstColumn="0" w:lastRowLastColumn="0"/>
        </w:trPr>
        <w:tc>
          <w:tcPr>
            <w:tcW w:w="1249" w:type="pct"/>
            <w:tcBorders>
              <w:top w:val="single" w:sz="4" w:space="0" w:color="auto"/>
              <w:bottom w:val="single" w:sz="4" w:space="0" w:color="auto"/>
            </w:tcBorders>
            <w:shd w:val="clear" w:color="auto" w:fill="auto"/>
          </w:tcPr>
          <w:p w14:paraId="5FA962C0" w14:textId="77777777" w:rsidR="009247F0" w:rsidRPr="00B677B4" w:rsidRDefault="009247F0" w:rsidP="0051779E">
            <w:pPr>
              <w:pStyle w:val="table-text"/>
              <w:numPr>
                <w:ilvl w:val="0"/>
                <w:numId w:val="7"/>
              </w:numPr>
              <w:rPr>
                <w:rFonts w:cs="Arial"/>
                <w:b/>
                <w:sz w:val="18"/>
                <w:szCs w:val="18"/>
                <w:lang w:val="en-GB"/>
              </w:rPr>
            </w:pPr>
            <w:r w:rsidRPr="00B677B4">
              <w:rPr>
                <w:rFonts w:cs="Arial"/>
                <w:b/>
                <w:sz w:val="18"/>
                <w:szCs w:val="18"/>
                <w:lang w:val="en-GB"/>
              </w:rPr>
              <w:t>Community and Environment</w:t>
            </w:r>
          </w:p>
        </w:tc>
        <w:tc>
          <w:tcPr>
            <w:tcW w:w="1933" w:type="pct"/>
            <w:tcBorders>
              <w:top w:val="single" w:sz="4" w:space="0" w:color="auto"/>
              <w:bottom w:val="single" w:sz="4" w:space="0" w:color="auto"/>
            </w:tcBorders>
          </w:tcPr>
          <w:p w14:paraId="003E54CB"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Increased capacity and awareness around the rights associated with public participation in the Environmental Impact Assessment Process </w:t>
            </w:r>
          </w:p>
        </w:tc>
        <w:tc>
          <w:tcPr>
            <w:tcW w:w="1818" w:type="pct"/>
            <w:tcBorders>
              <w:top w:val="single" w:sz="4" w:space="0" w:color="auto"/>
              <w:bottom w:val="single" w:sz="4" w:space="0" w:color="auto"/>
            </w:tcBorders>
            <w:shd w:val="clear" w:color="auto" w:fill="auto"/>
          </w:tcPr>
          <w:p w14:paraId="7247A40B"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Practical application of Environmental Impact Assessment guidelines and tools for the purpose of public participation </w:t>
            </w:r>
          </w:p>
        </w:tc>
      </w:tr>
      <w:tr w:rsidR="009247F0" w:rsidRPr="00B677B4" w14:paraId="483743E1" w14:textId="77777777" w:rsidTr="0051779E">
        <w:trPr>
          <w:cnfStyle w:val="000000100000" w:firstRow="0" w:lastRow="0" w:firstColumn="0" w:lastColumn="0" w:oddVBand="0" w:evenVBand="0" w:oddHBand="1" w:evenHBand="0" w:firstRowFirstColumn="0" w:firstRowLastColumn="0" w:lastRowFirstColumn="0" w:lastRowLastColumn="0"/>
        </w:trPr>
        <w:tc>
          <w:tcPr>
            <w:tcW w:w="1249" w:type="pct"/>
            <w:vMerge w:val="restart"/>
            <w:tcBorders>
              <w:top w:val="single" w:sz="4" w:space="0" w:color="auto"/>
            </w:tcBorders>
            <w:shd w:val="clear" w:color="auto" w:fill="auto"/>
          </w:tcPr>
          <w:p w14:paraId="152264E4" w14:textId="77777777" w:rsidR="009247F0" w:rsidRPr="00B677B4" w:rsidRDefault="009247F0" w:rsidP="0051779E">
            <w:pPr>
              <w:pStyle w:val="table-text"/>
              <w:numPr>
                <w:ilvl w:val="0"/>
                <w:numId w:val="7"/>
              </w:numPr>
              <w:rPr>
                <w:rFonts w:cs="Arial"/>
                <w:b/>
                <w:sz w:val="18"/>
                <w:szCs w:val="18"/>
                <w:lang w:val="en-GB"/>
              </w:rPr>
            </w:pPr>
            <w:r w:rsidRPr="00B677B4">
              <w:rPr>
                <w:rFonts w:cs="Arial"/>
                <w:b/>
                <w:sz w:val="18"/>
                <w:szCs w:val="18"/>
                <w:lang w:val="en-GB"/>
              </w:rPr>
              <w:t>Green Energy Transition</w:t>
            </w:r>
          </w:p>
        </w:tc>
        <w:tc>
          <w:tcPr>
            <w:tcW w:w="1933" w:type="pct"/>
            <w:tcBorders>
              <w:top w:val="single" w:sz="4" w:space="0" w:color="auto"/>
              <w:bottom w:val="single" w:sz="4" w:space="0" w:color="auto"/>
            </w:tcBorders>
          </w:tcPr>
          <w:p w14:paraId="63852CFB"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Improved knowledge and skill to assess and evaluate CBM resources. Internationally recognized approach and tools in practice. </w:t>
            </w:r>
          </w:p>
        </w:tc>
        <w:tc>
          <w:tcPr>
            <w:tcW w:w="1818" w:type="pct"/>
            <w:tcBorders>
              <w:top w:val="single" w:sz="4" w:space="0" w:color="auto"/>
              <w:bottom w:val="single" w:sz="4" w:space="0" w:color="auto"/>
            </w:tcBorders>
            <w:shd w:val="clear" w:color="auto" w:fill="auto"/>
          </w:tcPr>
          <w:p w14:paraId="071B9532"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Increased quality and quantity of the geodata related to CBM available to investors. </w:t>
            </w:r>
          </w:p>
        </w:tc>
      </w:tr>
      <w:tr w:rsidR="009247F0" w:rsidRPr="00B677B4" w14:paraId="720A6A43" w14:textId="77777777" w:rsidTr="0051779E">
        <w:trPr>
          <w:cnfStyle w:val="000000010000" w:firstRow="0" w:lastRow="0" w:firstColumn="0" w:lastColumn="0" w:oddVBand="0" w:evenVBand="0" w:oddHBand="0" w:evenHBand="1" w:firstRowFirstColumn="0" w:firstRowLastColumn="0" w:lastRowFirstColumn="0" w:lastRowLastColumn="0"/>
        </w:trPr>
        <w:tc>
          <w:tcPr>
            <w:tcW w:w="1249" w:type="pct"/>
            <w:vMerge/>
            <w:tcBorders>
              <w:bottom w:val="single" w:sz="4" w:space="0" w:color="auto"/>
            </w:tcBorders>
            <w:shd w:val="clear" w:color="auto" w:fill="auto"/>
          </w:tcPr>
          <w:p w14:paraId="0B33E8BB" w14:textId="77777777" w:rsidR="009247F0" w:rsidRPr="00B677B4" w:rsidRDefault="009247F0" w:rsidP="0051779E">
            <w:pPr>
              <w:pStyle w:val="table-text"/>
              <w:rPr>
                <w:rFonts w:cs="Arial"/>
                <w:b/>
                <w:sz w:val="18"/>
                <w:szCs w:val="18"/>
                <w:lang w:val="en-GB"/>
              </w:rPr>
            </w:pPr>
          </w:p>
        </w:tc>
        <w:tc>
          <w:tcPr>
            <w:tcW w:w="1933" w:type="pct"/>
            <w:tcBorders>
              <w:top w:val="single" w:sz="4" w:space="0" w:color="auto"/>
              <w:bottom w:val="single" w:sz="4" w:space="0" w:color="auto"/>
            </w:tcBorders>
          </w:tcPr>
          <w:p w14:paraId="6174072D" w14:textId="77777777" w:rsidR="009247F0" w:rsidRPr="00B677B4" w:rsidRDefault="009247F0" w:rsidP="0051779E">
            <w:pPr>
              <w:pStyle w:val="Default"/>
              <w:rPr>
                <w:rFonts w:ascii="Arial" w:hAnsi="Arial" w:cs="Arial"/>
                <w:sz w:val="18"/>
                <w:szCs w:val="18"/>
                <w:lang w:val="en-GB"/>
              </w:rPr>
            </w:pPr>
            <w:r w:rsidRPr="00B677B4">
              <w:rPr>
                <w:rFonts w:ascii="Arial" w:hAnsi="Arial" w:cs="Arial"/>
                <w:sz w:val="18"/>
                <w:szCs w:val="18"/>
                <w:lang w:val="en-GB"/>
              </w:rPr>
              <w:t xml:space="preserve">Strengthen NGDB and </w:t>
            </w:r>
            <w:proofErr w:type="spellStart"/>
            <w:r w:rsidRPr="00B677B4">
              <w:rPr>
                <w:rFonts w:ascii="Arial" w:hAnsi="Arial" w:cs="Arial"/>
                <w:sz w:val="18"/>
                <w:szCs w:val="18"/>
                <w:lang w:val="en-GB"/>
              </w:rPr>
              <w:t>MonGeoCat</w:t>
            </w:r>
            <w:proofErr w:type="spellEnd"/>
            <w:r w:rsidRPr="00B677B4">
              <w:rPr>
                <w:rFonts w:ascii="Arial" w:hAnsi="Arial" w:cs="Arial"/>
                <w:sz w:val="18"/>
                <w:szCs w:val="18"/>
                <w:lang w:val="en-GB"/>
              </w:rPr>
              <w:t xml:space="preserve"> systems through collection and findings based on REE </w:t>
            </w:r>
          </w:p>
          <w:p w14:paraId="3B4440DC" w14:textId="77777777" w:rsidR="009247F0" w:rsidRPr="00B677B4" w:rsidRDefault="009247F0" w:rsidP="0051779E">
            <w:pPr>
              <w:pStyle w:val="Default"/>
              <w:rPr>
                <w:rFonts w:ascii="Arial" w:hAnsi="Arial" w:cs="Arial"/>
                <w:sz w:val="18"/>
                <w:szCs w:val="18"/>
                <w:lang w:val="en-GB"/>
              </w:rPr>
            </w:pPr>
          </w:p>
        </w:tc>
        <w:tc>
          <w:tcPr>
            <w:tcW w:w="1818" w:type="pct"/>
            <w:tcBorders>
              <w:top w:val="single" w:sz="4" w:space="0" w:color="auto"/>
              <w:bottom w:val="single" w:sz="4" w:space="0" w:color="auto"/>
            </w:tcBorders>
            <w:shd w:val="clear" w:color="auto" w:fill="auto"/>
          </w:tcPr>
          <w:p w14:paraId="447906E5" w14:textId="77777777" w:rsidR="009247F0" w:rsidRPr="00B677B4" w:rsidRDefault="009247F0" w:rsidP="0051779E">
            <w:pPr>
              <w:pStyle w:val="table-text"/>
              <w:rPr>
                <w:rFonts w:eastAsia="Tahoma" w:cs="Arial"/>
                <w:sz w:val="18"/>
                <w:szCs w:val="18"/>
                <w:lang w:val="en-GB"/>
              </w:rPr>
            </w:pPr>
            <w:r w:rsidRPr="00B677B4">
              <w:rPr>
                <w:rFonts w:cs="Arial"/>
                <w:sz w:val="18"/>
                <w:szCs w:val="18"/>
                <w:lang w:val="en-GB"/>
              </w:rPr>
              <w:t xml:space="preserve">Improved value driven decision-making </w:t>
            </w:r>
            <w:proofErr w:type="gramStart"/>
            <w:r w:rsidRPr="00B677B4">
              <w:rPr>
                <w:rFonts w:cs="Arial"/>
                <w:sz w:val="18"/>
                <w:szCs w:val="18"/>
                <w:lang w:val="en-GB"/>
              </w:rPr>
              <w:t>as a result of</w:t>
            </w:r>
            <w:proofErr w:type="gramEnd"/>
            <w:r w:rsidRPr="00B677B4">
              <w:rPr>
                <w:rFonts w:cs="Arial"/>
                <w:sz w:val="18"/>
                <w:szCs w:val="18"/>
                <w:lang w:val="en-GB"/>
              </w:rPr>
              <w:t xml:space="preserve"> investor access to REE data (NGDB - </w:t>
            </w:r>
            <w:proofErr w:type="spellStart"/>
            <w:r w:rsidRPr="00B677B4">
              <w:rPr>
                <w:rFonts w:cs="Arial"/>
                <w:sz w:val="18"/>
                <w:szCs w:val="18"/>
                <w:lang w:val="en-GB"/>
              </w:rPr>
              <w:t>MonGeoCat</w:t>
            </w:r>
            <w:proofErr w:type="spellEnd"/>
            <w:r w:rsidRPr="00B677B4">
              <w:rPr>
                <w:rFonts w:cs="Arial"/>
                <w:sz w:val="18"/>
                <w:szCs w:val="18"/>
                <w:lang w:val="en-GB"/>
              </w:rPr>
              <w:t>)</w:t>
            </w:r>
          </w:p>
        </w:tc>
      </w:tr>
    </w:tbl>
    <w:p w14:paraId="009B989F" w14:textId="50BBDDA8" w:rsidR="00F540E4" w:rsidRPr="00B677B4" w:rsidRDefault="00F540E4" w:rsidP="001050CC">
      <w:pPr>
        <w:pStyle w:val="Heading2"/>
      </w:pPr>
    </w:p>
    <w:p w14:paraId="0958F64F" w14:textId="36B71DE1" w:rsidR="00FB3FAD" w:rsidRPr="00B677B4" w:rsidRDefault="00FB3FAD" w:rsidP="009F4CB5">
      <w:pPr>
        <w:contextualSpacing/>
        <w:jc w:val="both"/>
        <w:rPr>
          <w:rFonts w:ascii="Calibri" w:hAnsi="Calibri" w:cs="Calibri"/>
          <w:sz w:val="22"/>
          <w:szCs w:val="22"/>
        </w:rPr>
      </w:pPr>
      <w:r w:rsidRPr="00B677B4">
        <w:rPr>
          <w:rFonts w:ascii="Calibri" w:hAnsi="Calibri" w:cs="Calibri"/>
          <w:sz w:val="22"/>
          <w:szCs w:val="22"/>
        </w:rPr>
        <w:t xml:space="preserve">The M&amp;E Results Framework states that programs, such as </w:t>
      </w:r>
      <w:r w:rsidR="007A2132">
        <w:rPr>
          <w:rFonts w:ascii="Calibri" w:hAnsi="Calibri" w:cs="Calibri"/>
          <w:sz w:val="22"/>
          <w:szCs w:val="22"/>
        </w:rPr>
        <w:t>AMEP II</w:t>
      </w:r>
      <w:r w:rsidRPr="00B677B4">
        <w:rPr>
          <w:rFonts w:ascii="Calibri" w:hAnsi="Calibri" w:cs="Calibri"/>
          <w:sz w:val="22"/>
          <w:szCs w:val="22"/>
        </w:rPr>
        <w:t xml:space="preserve">, can bring about changes through a set of activities and achieving its stated goals in collaboration with partners (Appendix 1). </w:t>
      </w:r>
      <w:r w:rsidR="007A2132">
        <w:rPr>
          <w:rFonts w:ascii="Calibri" w:hAnsi="Calibri" w:cs="Calibri"/>
          <w:sz w:val="22"/>
          <w:szCs w:val="22"/>
        </w:rPr>
        <w:t>AMEP II</w:t>
      </w:r>
      <w:r w:rsidRPr="00B677B4">
        <w:rPr>
          <w:rFonts w:ascii="Calibri" w:hAnsi="Calibri" w:cs="Calibri"/>
          <w:sz w:val="22"/>
          <w:szCs w:val="22"/>
        </w:rPr>
        <w:t xml:space="preserve"> will, over its lifetime, seek to change </w:t>
      </w:r>
      <w:r w:rsidR="00B677B4" w:rsidRPr="00B677B4">
        <w:rPr>
          <w:rFonts w:ascii="Calibri" w:hAnsi="Calibri" w:cs="Calibri"/>
          <w:sz w:val="22"/>
          <w:szCs w:val="22"/>
        </w:rPr>
        <w:t>behavioural</w:t>
      </w:r>
      <w:r w:rsidRPr="00B677B4">
        <w:rPr>
          <w:rFonts w:ascii="Calibri" w:hAnsi="Calibri" w:cs="Calibri"/>
          <w:sz w:val="22"/>
          <w:szCs w:val="22"/>
        </w:rPr>
        <w:t xml:space="preserve"> intentions and </w:t>
      </w:r>
      <w:r w:rsidR="00B677B4" w:rsidRPr="00B677B4">
        <w:rPr>
          <w:rFonts w:ascii="Calibri" w:hAnsi="Calibri" w:cs="Calibri"/>
          <w:sz w:val="22"/>
          <w:szCs w:val="22"/>
        </w:rPr>
        <w:t>behaviours</w:t>
      </w:r>
      <w:r w:rsidRPr="00B677B4">
        <w:rPr>
          <w:rFonts w:ascii="Calibri" w:hAnsi="Calibri" w:cs="Calibri"/>
          <w:sz w:val="22"/>
          <w:szCs w:val="22"/>
        </w:rPr>
        <w:t xml:space="preserve"> of key decision makers and partners by focusing its activities in two main streams. These are:</w:t>
      </w:r>
    </w:p>
    <w:p w14:paraId="34EDF79C" w14:textId="77777777" w:rsidR="00FB3FAD" w:rsidRPr="00B677B4" w:rsidRDefault="00FB3FAD">
      <w:pPr>
        <w:pStyle w:val="ASIBulletPoint"/>
        <w:numPr>
          <w:ilvl w:val="0"/>
          <w:numId w:val="26"/>
        </w:numPr>
        <w:jc w:val="both"/>
        <w:rPr>
          <w:rFonts w:asciiTheme="minorHAnsi" w:eastAsia="Arial" w:hAnsiTheme="minorHAnsi" w:cstheme="minorHAnsi"/>
          <w:color w:val="000000" w:themeColor="text1"/>
          <w:sz w:val="22"/>
          <w:szCs w:val="22"/>
        </w:rPr>
      </w:pPr>
      <w:r w:rsidRPr="00C8767A">
        <w:rPr>
          <w:rFonts w:asciiTheme="minorHAnsi" w:eastAsia="Arial" w:hAnsiTheme="minorHAnsi" w:cstheme="minorHAnsi"/>
          <w:color w:val="auto"/>
          <w:sz w:val="22"/>
          <w:szCs w:val="22"/>
        </w:rPr>
        <w:t>a range of high-quality services is helping stakeholders to achieve their objectives for change affecting the investment environment; and</w:t>
      </w:r>
    </w:p>
    <w:p w14:paraId="2840FD61" w14:textId="5A8E8766" w:rsidR="00FB3FAD" w:rsidRPr="00B677B4" w:rsidRDefault="00FB3FAD">
      <w:pPr>
        <w:pStyle w:val="ASIBulletPoint"/>
        <w:numPr>
          <w:ilvl w:val="0"/>
          <w:numId w:val="26"/>
        </w:numPr>
        <w:jc w:val="both"/>
        <w:rPr>
          <w:rFonts w:asciiTheme="minorHAnsi" w:eastAsia="Arial" w:hAnsiTheme="minorHAnsi" w:cstheme="minorHAnsi"/>
          <w:color w:val="000000" w:themeColor="text1"/>
          <w:sz w:val="22"/>
          <w:szCs w:val="22"/>
        </w:rPr>
      </w:pPr>
      <w:r w:rsidRPr="00C8767A">
        <w:rPr>
          <w:rFonts w:asciiTheme="minorHAnsi" w:eastAsia="Arial" w:hAnsiTheme="minorHAnsi" w:cstheme="minorHAnsi"/>
          <w:color w:val="auto"/>
          <w:sz w:val="22"/>
          <w:szCs w:val="22"/>
        </w:rPr>
        <w:lastRenderedPageBreak/>
        <w:t xml:space="preserve">an inclusive set of AMEP </w:t>
      </w:r>
      <w:r w:rsidR="009F4CB5" w:rsidRPr="00C8767A">
        <w:rPr>
          <w:rFonts w:asciiTheme="minorHAnsi" w:eastAsia="Arial" w:hAnsiTheme="minorHAnsi" w:cstheme="minorHAnsi"/>
          <w:color w:val="auto"/>
          <w:sz w:val="22"/>
          <w:szCs w:val="22"/>
        </w:rPr>
        <w:t>II</w:t>
      </w:r>
      <w:r w:rsidRPr="00C8767A">
        <w:rPr>
          <w:rFonts w:asciiTheme="minorHAnsi" w:eastAsia="Arial" w:hAnsiTheme="minorHAnsi" w:cstheme="minorHAnsi"/>
          <w:color w:val="auto"/>
          <w:sz w:val="22"/>
          <w:szCs w:val="22"/>
        </w:rPr>
        <w:t xml:space="preserve"> partnerships is designed to bolster dialogue among industry experts, government, and civil society, who can together create the enabling environment for the mining sector in Mongolia. </w:t>
      </w:r>
    </w:p>
    <w:p w14:paraId="52334455" w14:textId="19EA0792" w:rsidR="00FB3FAD" w:rsidRPr="00B677B4" w:rsidRDefault="00FB3FAD" w:rsidP="009F4CB5">
      <w:pPr>
        <w:contextualSpacing/>
        <w:jc w:val="both"/>
        <w:rPr>
          <w:rFonts w:ascii="Calibri" w:hAnsi="Calibri" w:cs="Calibri"/>
          <w:sz w:val="22"/>
          <w:szCs w:val="22"/>
        </w:rPr>
      </w:pPr>
      <w:r w:rsidRPr="00B677B4">
        <w:rPr>
          <w:rFonts w:ascii="Calibri" w:hAnsi="Calibri" w:cs="Calibri"/>
          <w:sz w:val="22"/>
          <w:szCs w:val="22"/>
        </w:rPr>
        <w:t xml:space="preserve">The targeted outcomes are a change in the perception of collaboration incentives and </w:t>
      </w:r>
      <w:r w:rsidR="007A2132" w:rsidRPr="00B677B4">
        <w:rPr>
          <w:rFonts w:ascii="Calibri" w:hAnsi="Calibri" w:cs="Calibri"/>
          <w:sz w:val="22"/>
          <w:szCs w:val="22"/>
        </w:rPr>
        <w:t>behaviours</w:t>
      </w:r>
      <w:r w:rsidRPr="00B677B4">
        <w:rPr>
          <w:rFonts w:ascii="Calibri" w:hAnsi="Calibri" w:cs="Calibri"/>
          <w:sz w:val="22"/>
          <w:szCs w:val="22"/>
        </w:rPr>
        <w:t>, and a range of practical outcomes from AMEP</w:t>
      </w:r>
      <w:r w:rsidR="00302262" w:rsidRPr="00B677B4">
        <w:rPr>
          <w:rFonts w:ascii="Calibri" w:hAnsi="Calibri" w:cs="Calibri"/>
          <w:sz w:val="22"/>
          <w:szCs w:val="22"/>
        </w:rPr>
        <w:t>II</w:t>
      </w:r>
      <w:r w:rsidRPr="00B677B4">
        <w:rPr>
          <w:rFonts w:ascii="Calibri" w:hAnsi="Calibri" w:cs="Calibri"/>
          <w:sz w:val="22"/>
          <w:szCs w:val="22"/>
        </w:rPr>
        <w:t xml:space="preserve">’s activities with partners. To help bring these about AMEP </w:t>
      </w:r>
      <w:r w:rsidR="00302262" w:rsidRPr="00B677B4">
        <w:rPr>
          <w:rFonts w:ascii="Calibri" w:hAnsi="Calibri" w:cs="Calibri"/>
          <w:sz w:val="22"/>
          <w:szCs w:val="22"/>
        </w:rPr>
        <w:t xml:space="preserve">II </w:t>
      </w:r>
      <w:r w:rsidRPr="00B677B4">
        <w:rPr>
          <w:rFonts w:ascii="Calibri" w:hAnsi="Calibri" w:cs="Calibri"/>
          <w:sz w:val="22"/>
          <w:szCs w:val="22"/>
        </w:rPr>
        <w:t>has a range of deliverables, including research, technical assistance, dialogue and network facilitation and a diverse range of effective partnerships</w:t>
      </w:r>
    </w:p>
    <w:p w14:paraId="5E1B32CD" w14:textId="77777777" w:rsidR="00FB3FAD" w:rsidRPr="00B677B4" w:rsidRDefault="00FB3FAD" w:rsidP="00FB3FAD"/>
    <w:p w14:paraId="15822510" w14:textId="78556F4B" w:rsidR="001050CC" w:rsidRPr="00B677B4" w:rsidRDefault="001050CC" w:rsidP="001050CC">
      <w:pPr>
        <w:pStyle w:val="Heading2"/>
      </w:pPr>
      <w:bookmarkStart w:id="23" w:name="_Toc118799336"/>
      <w:bookmarkStart w:id="24" w:name="_Toc124772663"/>
      <w:r w:rsidRPr="00B677B4">
        <w:t>Review Questions</w:t>
      </w:r>
      <w:bookmarkEnd w:id="23"/>
      <w:bookmarkEnd w:id="24"/>
    </w:p>
    <w:p w14:paraId="78BC9552" w14:textId="75B966CB" w:rsidR="00963CF7" w:rsidRPr="00B677B4" w:rsidRDefault="00963CF7" w:rsidP="00963CF7">
      <w:pPr>
        <w:pStyle w:val="NormalWeb"/>
        <w:spacing w:before="120" w:beforeAutospacing="0"/>
        <w:rPr>
          <w:rFonts w:asciiTheme="minorHAnsi" w:hAnsiTheme="minorHAnsi" w:cstheme="minorHAnsi"/>
          <w:sz w:val="22"/>
          <w:szCs w:val="22"/>
        </w:rPr>
      </w:pPr>
      <w:r w:rsidRPr="00B677B4">
        <w:rPr>
          <w:rFonts w:asciiTheme="minorHAnsi" w:hAnsiTheme="minorHAnsi" w:cstheme="minorHAnsi"/>
          <w:sz w:val="22"/>
          <w:szCs w:val="22"/>
        </w:rPr>
        <w:t>The key evaluation questions and sub-questions the evaluation focussed on, and the relevant OECD-DAC evaluation criteria are listed in the table below</w:t>
      </w:r>
    </w:p>
    <w:p w14:paraId="60D97A76" w14:textId="48B79F83" w:rsidR="00963CF7" w:rsidRPr="00C8767A" w:rsidRDefault="00963CF7" w:rsidP="00963CF7">
      <w:pPr>
        <w:pStyle w:val="Caption"/>
        <w:rPr>
          <w:lang w:val="en-GB"/>
        </w:rPr>
      </w:pPr>
      <w:r w:rsidRPr="00C8767A">
        <w:rPr>
          <w:lang w:val="en-GB"/>
        </w:rPr>
        <w:t xml:space="preserve">Table </w:t>
      </w:r>
      <w:r w:rsidRPr="00C8767A">
        <w:rPr>
          <w:lang w:val="en-GB"/>
        </w:rPr>
        <w:fldChar w:fldCharType="begin"/>
      </w:r>
      <w:r w:rsidRPr="00C8767A">
        <w:rPr>
          <w:lang w:val="en-GB"/>
        </w:rPr>
        <w:instrText xml:space="preserve"> SEQ Table \* ARABIC </w:instrText>
      </w:r>
      <w:r w:rsidRPr="00C8767A">
        <w:rPr>
          <w:lang w:val="en-GB"/>
        </w:rPr>
        <w:fldChar w:fldCharType="separate"/>
      </w:r>
      <w:r w:rsidRPr="00C8767A">
        <w:rPr>
          <w:lang w:val="en-GB"/>
        </w:rPr>
        <w:t>2</w:t>
      </w:r>
      <w:r w:rsidRPr="00C8767A">
        <w:rPr>
          <w:lang w:val="en-GB"/>
        </w:rPr>
        <w:fldChar w:fldCharType="end"/>
      </w:r>
      <w:r w:rsidRPr="00C8767A">
        <w:rPr>
          <w:lang w:val="en-GB"/>
        </w:rPr>
        <w:t>: Key evaluation questions for the MTR</w:t>
      </w:r>
    </w:p>
    <w:tbl>
      <w:tblPr>
        <w:tblStyle w:val="table-style-blauw-100-outline"/>
        <w:tblW w:w="5000" w:type="pct"/>
        <w:tblLook w:val="04A0" w:firstRow="1" w:lastRow="0" w:firstColumn="1" w:lastColumn="0" w:noHBand="0" w:noVBand="1"/>
      </w:tblPr>
      <w:tblGrid>
        <w:gridCol w:w="1925"/>
        <w:gridCol w:w="3063"/>
        <w:gridCol w:w="4016"/>
      </w:tblGrid>
      <w:tr w:rsidR="009247F0" w:rsidRPr="00B677B4" w14:paraId="261EC94C" w14:textId="77777777" w:rsidTr="0051779E">
        <w:trPr>
          <w:cnfStyle w:val="100000000000" w:firstRow="1" w:lastRow="0" w:firstColumn="0" w:lastColumn="0" w:oddVBand="0" w:evenVBand="0" w:oddHBand="0" w:evenHBand="0" w:firstRowFirstColumn="0" w:firstRowLastColumn="0" w:lastRowFirstColumn="0" w:lastRowLastColumn="0"/>
          <w:tblHeader/>
        </w:trPr>
        <w:tc>
          <w:tcPr>
            <w:tcW w:w="1069"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390287A" w14:textId="77777777" w:rsidR="009247F0" w:rsidRPr="00B677B4" w:rsidRDefault="009247F0" w:rsidP="0051779E">
            <w:pPr>
              <w:pStyle w:val="table-text"/>
              <w:rPr>
                <w:rFonts w:cs="Arial"/>
                <w:sz w:val="18"/>
                <w:szCs w:val="18"/>
                <w:lang w:val="en-GB"/>
              </w:rPr>
            </w:pPr>
            <w:r w:rsidRPr="00B677B4">
              <w:rPr>
                <w:rFonts w:cs="Arial"/>
                <w:sz w:val="18"/>
                <w:szCs w:val="18"/>
                <w:lang w:val="en-GB"/>
              </w:rPr>
              <w:t>OECD-DAC Evaluation Criteria</w:t>
            </w:r>
          </w:p>
        </w:tc>
        <w:tc>
          <w:tcPr>
            <w:tcW w:w="170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C6D8034" w14:textId="77777777" w:rsidR="009247F0" w:rsidRPr="00B677B4" w:rsidRDefault="009247F0" w:rsidP="0051779E">
            <w:pPr>
              <w:pStyle w:val="table-text"/>
              <w:rPr>
                <w:rFonts w:cs="Arial"/>
                <w:sz w:val="18"/>
                <w:szCs w:val="18"/>
                <w:lang w:val="en-GB"/>
              </w:rPr>
            </w:pPr>
            <w:r w:rsidRPr="00B677B4">
              <w:rPr>
                <w:rFonts w:cs="Arial"/>
                <w:sz w:val="18"/>
                <w:szCs w:val="18"/>
                <w:lang w:val="en-GB"/>
              </w:rPr>
              <w:t>Key Evaluation Questions</w:t>
            </w:r>
          </w:p>
        </w:tc>
        <w:tc>
          <w:tcPr>
            <w:tcW w:w="223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FDC00FD" w14:textId="77777777" w:rsidR="009247F0" w:rsidRPr="00B677B4" w:rsidRDefault="009247F0" w:rsidP="0051779E">
            <w:pPr>
              <w:pStyle w:val="table-text"/>
              <w:rPr>
                <w:rFonts w:cs="Arial"/>
                <w:sz w:val="18"/>
                <w:szCs w:val="18"/>
                <w:lang w:val="en-GB"/>
              </w:rPr>
            </w:pPr>
            <w:r w:rsidRPr="00B677B4">
              <w:rPr>
                <w:rFonts w:cs="Arial"/>
                <w:sz w:val="18"/>
                <w:szCs w:val="18"/>
                <w:lang w:val="en-GB"/>
              </w:rPr>
              <w:t>Sub-questions</w:t>
            </w:r>
          </w:p>
        </w:tc>
      </w:tr>
      <w:tr w:rsidR="009247F0" w:rsidRPr="00B677B4" w14:paraId="62B29FC0"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val="restart"/>
            <w:tcBorders>
              <w:top w:val="single" w:sz="6" w:space="0" w:color="FFFFFF" w:themeColor="background1"/>
            </w:tcBorders>
            <w:shd w:val="clear" w:color="auto" w:fill="auto"/>
          </w:tcPr>
          <w:p w14:paraId="061D24DB"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Relevance</w:t>
            </w:r>
          </w:p>
        </w:tc>
        <w:tc>
          <w:tcPr>
            <w:tcW w:w="1701" w:type="pct"/>
            <w:vMerge w:val="restart"/>
            <w:tcBorders>
              <w:top w:val="single" w:sz="6" w:space="0" w:color="FFFFFF" w:themeColor="background1"/>
            </w:tcBorders>
            <w:shd w:val="clear" w:color="auto" w:fill="auto"/>
          </w:tcPr>
          <w:p w14:paraId="271B9A89"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EQ 1. </w:t>
            </w:r>
            <w:r w:rsidRPr="00B677B4">
              <w:rPr>
                <w:rFonts w:cs="Arial"/>
                <w:sz w:val="18"/>
                <w:szCs w:val="18"/>
                <w:lang w:val="en-GB"/>
              </w:rPr>
              <w:t>To what extent do the objectives of AMEP II align with the needs of the investment environment for the extractives sector in Mongolia</w:t>
            </w:r>
            <w:r w:rsidRPr="00B677B4">
              <w:rPr>
                <w:rFonts w:eastAsiaTheme="minorHAnsi" w:cs="Arial"/>
                <w:sz w:val="18"/>
                <w:szCs w:val="18"/>
                <w:lang w:val="en-GB" w:eastAsia="en-US"/>
              </w:rPr>
              <w:t>?</w:t>
            </w:r>
          </w:p>
        </w:tc>
        <w:tc>
          <w:tcPr>
            <w:tcW w:w="2230" w:type="pct"/>
            <w:tcBorders>
              <w:top w:val="single" w:sz="6" w:space="0" w:color="FFFFFF" w:themeColor="background1"/>
              <w:bottom w:val="single" w:sz="4" w:space="0" w:color="A6A6A6" w:themeColor="background1" w:themeShade="A6"/>
            </w:tcBorders>
            <w:shd w:val="clear" w:color="auto" w:fill="auto"/>
          </w:tcPr>
          <w:p w14:paraId="69043D5A"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1.1. </w:t>
            </w:r>
            <w:r w:rsidRPr="00B677B4">
              <w:rPr>
                <w:rFonts w:cs="Arial"/>
                <w:sz w:val="18"/>
                <w:szCs w:val="18"/>
                <w:lang w:val="en-GB"/>
              </w:rPr>
              <w:t>Are the objectives of AMEP II still relevant to the extractives sector in Mongolia</w:t>
            </w:r>
            <w:r w:rsidRPr="00B677B4">
              <w:rPr>
                <w:rFonts w:eastAsiaTheme="minorHAnsi" w:cs="Arial"/>
                <w:sz w:val="18"/>
                <w:szCs w:val="18"/>
                <w:lang w:val="en-GB" w:eastAsia="en-US"/>
              </w:rPr>
              <w:t>?</w:t>
            </w:r>
          </w:p>
        </w:tc>
      </w:tr>
      <w:tr w:rsidR="009247F0" w:rsidRPr="00B677B4" w14:paraId="352B2D16"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shd w:val="clear" w:color="auto" w:fill="auto"/>
          </w:tcPr>
          <w:p w14:paraId="79A784D4" w14:textId="77777777" w:rsidR="009247F0" w:rsidRPr="00B677B4" w:rsidRDefault="009247F0" w:rsidP="0051779E">
            <w:pPr>
              <w:pStyle w:val="table-text"/>
              <w:rPr>
                <w:rFonts w:cs="Arial"/>
                <w:sz w:val="18"/>
                <w:szCs w:val="18"/>
                <w:lang w:val="en-GB"/>
              </w:rPr>
            </w:pPr>
          </w:p>
        </w:tc>
        <w:tc>
          <w:tcPr>
            <w:tcW w:w="1701" w:type="pct"/>
            <w:vMerge/>
            <w:shd w:val="clear" w:color="auto" w:fill="auto"/>
          </w:tcPr>
          <w:p w14:paraId="2A9FB16D"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4B66788A"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1.2. </w:t>
            </w:r>
            <w:r w:rsidRPr="00B677B4">
              <w:rPr>
                <w:rFonts w:cs="Arial"/>
                <w:sz w:val="18"/>
                <w:szCs w:val="18"/>
                <w:lang w:val="en-GB"/>
              </w:rPr>
              <w:t>Has AMEP II developed appropriate relationships in the sector in line with the design concept and supporting the underlying aim of improving collaboration within Government, and between Government, the private sector and civil society</w:t>
            </w:r>
            <w:r w:rsidRPr="00B677B4">
              <w:rPr>
                <w:rFonts w:eastAsiaTheme="minorHAnsi" w:cs="Arial"/>
                <w:sz w:val="18"/>
                <w:szCs w:val="18"/>
                <w:lang w:val="en-GB" w:eastAsia="en-US"/>
              </w:rPr>
              <w:t>?</w:t>
            </w:r>
          </w:p>
        </w:tc>
      </w:tr>
      <w:tr w:rsidR="009247F0" w:rsidRPr="00B677B4" w14:paraId="3DF9D18F"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val="restart"/>
            <w:shd w:val="clear" w:color="auto" w:fill="auto"/>
          </w:tcPr>
          <w:p w14:paraId="546D6E7F"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Effectiveness</w:t>
            </w:r>
          </w:p>
        </w:tc>
        <w:tc>
          <w:tcPr>
            <w:tcW w:w="1701" w:type="pct"/>
            <w:vMerge w:val="restart"/>
            <w:shd w:val="clear" w:color="auto" w:fill="auto"/>
          </w:tcPr>
          <w:p w14:paraId="0534DF3F"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EQ 2. </w:t>
            </w:r>
            <w:r w:rsidRPr="00B677B4">
              <w:rPr>
                <w:rFonts w:cs="Arial"/>
                <w:sz w:val="18"/>
                <w:szCs w:val="18"/>
                <w:lang w:val="en-GB"/>
              </w:rPr>
              <w:t>To what extent is AMEP II doing the right activities</w:t>
            </w:r>
            <w:r w:rsidRPr="00B677B4">
              <w:rPr>
                <w:rFonts w:eastAsiaTheme="minorHAnsi" w:cs="Arial"/>
                <w:sz w:val="18"/>
                <w:szCs w:val="18"/>
                <w:lang w:val="en-GB" w:eastAsia="en-US"/>
              </w:rPr>
              <w:t>?</w:t>
            </w:r>
          </w:p>
        </w:tc>
        <w:tc>
          <w:tcPr>
            <w:tcW w:w="2230" w:type="pct"/>
            <w:shd w:val="clear" w:color="auto" w:fill="auto"/>
          </w:tcPr>
          <w:p w14:paraId="586536F2" w14:textId="77777777" w:rsidR="009247F0" w:rsidRPr="00B677B4" w:rsidRDefault="009247F0" w:rsidP="0051779E">
            <w:pPr>
              <w:pStyle w:val="table-text"/>
              <w:rPr>
                <w:rFonts w:eastAsiaTheme="minorHAnsi" w:cs="Arial"/>
                <w:sz w:val="18"/>
                <w:szCs w:val="18"/>
                <w:lang w:val="en-GB" w:eastAsia="en-US"/>
              </w:rPr>
            </w:pPr>
            <w:r w:rsidRPr="00B677B4">
              <w:rPr>
                <w:rFonts w:cs="Arial"/>
                <w:sz w:val="18"/>
                <w:szCs w:val="18"/>
                <w:lang w:val="en-GB"/>
              </w:rPr>
              <w:t>2.1. Has the choice of activities by AMEP 2 been appropriate in the light of the overall objectives</w:t>
            </w:r>
            <w:r w:rsidRPr="00B677B4">
              <w:rPr>
                <w:rFonts w:eastAsiaTheme="minorHAnsi" w:cs="Arial"/>
                <w:sz w:val="18"/>
                <w:szCs w:val="18"/>
                <w:lang w:val="en-GB" w:eastAsia="en-US"/>
              </w:rPr>
              <w:t>?</w:t>
            </w:r>
          </w:p>
        </w:tc>
      </w:tr>
      <w:tr w:rsidR="009247F0" w:rsidRPr="00B677B4" w14:paraId="2D360EA5"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shd w:val="clear" w:color="auto" w:fill="auto"/>
          </w:tcPr>
          <w:p w14:paraId="33E92727" w14:textId="77777777" w:rsidR="009247F0" w:rsidRPr="00B677B4" w:rsidRDefault="009247F0" w:rsidP="0051779E">
            <w:pPr>
              <w:pStyle w:val="table-text"/>
              <w:rPr>
                <w:rFonts w:cs="Arial"/>
                <w:sz w:val="18"/>
                <w:szCs w:val="18"/>
                <w:lang w:val="en-GB"/>
              </w:rPr>
            </w:pPr>
          </w:p>
        </w:tc>
        <w:tc>
          <w:tcPr>
            <w:tcW w:w="1701" w:type="pct"/>
            <w:vMerge/>
            <w:shd w:val="clear" w:color="auto" w:fill="auto"/>
          </w:tcPr>
          <w:p w14:paraId="128FD298"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328ED960" w14:textId="77777777" w:rsidR="009247F0" w:rsidRPr="00B677B4" w:rsidRDefault="009247F0" w:rsidP="0051779E">
            <w:pPr>
              <w:pStyle w:val="table-text"/>
              <w:rPr>
                <w:rFonts w:eastAsiaTheme="minorHAnsi" w:cs="Arial"/>
                <w:sz w:val="18"/>
                <w:szCs w:val="18"/>
                <w:lang w:val="en-GB" w:eastAsia="en-US"/>
              </w:rPr>
            </w:pPr>
            <w:r w:rsidRPr="00B677B4">
              <w:rPr>
                <w:rFonts w:cs="Arial"/>
                <w:sz w:val="18"/>
                <w:szCs w:val="18"/>
                <w:lang w:val="en-GB"/>
              </w:rPr>
              <w:t>2.2. Are there activities AMEP II should be implementing but are not</w:t>
            </w:r>
            <w:r w:rsidRPr="00B677B4">
              <w:rPr>
                <w:rFonts w:eastAsiaTheme="minorHAnsi" w:cs="Arial"/>
                <w:sz w:val="18"/>
                <w:szCs w:val="18"/>
                <w:lang w:val="en-GB" w:eastAsia="en-US"/>
              </w:rPr>
              <w:t xml:space="preserve">? </w:t>
            </w:r>
          </w:p>
        </w:tc>
      </w:tr>
      <w:tr w:rsidR="009247F0" w:rsidRPr="00B677B4" w14:paraId="7536E7F8"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shd w:val="clear" w:color="auto" w:fill="auto"/>
          </w:tcPr>
          <w:p w14:paraId="0DDC9075" w14:textId="77777777" w:rsidR="009247F0" w:rsidRPr="00B677B4" w:rsidRDefault="009247F0" w:rsidP="0051779E">
            <w:pPr>
              <w:pStyle w:val="table-text"/>
              <w:rPr>
                <w:rFonts w:cs="Arial"/>
                <w:b/>
                <w:bCs/>
                <w:sz w:val="18"/>
                <w:szCs w:val="18"/>
                <w:lang w:val="en-GB"/>
              </w:rPr>
            </w:pPr>
          </w:p>
        </w:tc>
        <w:tc>
          <w:tcPr>
            <w:tcW w:w="1701" w:type="pct"/>
            <w:vMerge/>
            <w:shd w:val="clear" w:color="auto" w:fill="auto"/>
          </w:tcPr>
          <w:p w14:paraId="619E9B0A"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1CAEB3DD" w14:textId="77777777" w:rsidR="009247F0" w:rsidRPr="00B677B4" w:rsidRDefault="009247F0" w:rsidP="0051779E">
            <w:pPr>
              <w:pStyle w:val="table-text"/>
              <w:rPr>
                <w:rFonts w:eastAsiaTheme="minorHAnsi" w:cs="Arial"/>
                <w:sz w:val="18"/>
                <w:szCs w:val="18"/>
                <w:lang w:val="en-GB" w:eastAsia="en-US"/>
              </w:rPr>
            </w:pPr>
            <w:r w:rsidRPr="00B677B4">
              <w:rPr>
                <w:rFonts w:cs="Arial"/>
                <w:sz w:val="18"/>
                <w:szCs w:val="18"/>
                <w:lang w:val="en-GB"/>
              </w:rPr>
              <w:t>2.3.  Is the proportion of the portfolio of activities that addresses gender and inclusion issues consistent with expectation at this stage of implementation?</w:t>
            </w:r>
          </w:p>
        </w:tc>
      </w:tr>
      <w:tr w:rsidR="009247F0" w:rsidRPr="00B677B4" w14:paraId="5502ECB1"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val="restart"/>
            <w:shd w:val="clear" w:color="auto" w:fill="auto"/>
          </w:tcPr>
          <w:p w14:paraId="566E0842"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Efficiency</w:t>
            </w:r>
          </w:p>
        </w:tc>
        <w:tc>
          <w:tcPr>
            <w:tcW w:w="1701" w:type="pct"/>
            <w:vMerge w:val="restart"/>
            <w:shd w:val="clear" w:color="auto" w:fill="auto"/>
          </w:tcPr>
          <w:p w14:paraId="563FACDC"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EQ 3. To what extent is AMEP II doing things right?</w:t>
            </w:r>
          </w:p>
        </w:tc>
        <w:tc>
          <w:tcPr>
            <w:tcW w:w="2230" w:type="pct"/>
            <w:shd w:val="clear" w:color="auto" w:fill="auto"/>
          </w:tcPr>
          <w:p w14:paraId="63D74870"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3.1. </w:t>
            </w:r>
            <w:r w:rsidRPr="00B677B4">
              <w:rPr>
                <w:rFonts w:cs="Arial"/>
                <w:sz w:val="18"/>
                <w:szCs w:val="18"/>
                <w:lang w:val="en-GB"/>
              </w:rPr>
              <w:t>Which activities have worked best and what are the lessons to be drawn from positive experiences</w:t>
            </w:r>
            <w:r w:rsidRPr="00B677B4">
              <w:rPr>
                <w:rFonts w:eastAsiaTheme="minorHAnsi" w:cs="Arial"/>
                <w:sz w:val="18"/>
                <w:szCs w:val="18"/>
                <w:lang w:val="en-GB" w:eastAsia="en-US"/>
              </w:rPr>
              <w:t>?</w:t>
            </w:r>
          </w:p>
        </w:tc>
      </w:tr>
      <w:tr w:rsidR="009247F0" w:rsidRPr="00B677B4" w14:paraId="31FA780C"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shd w:val="clear" w:color="auto" w:fill="auto"/>
          </w:tcPr>
          <w:p w14:paraId="6C3F33BD" w14:textId="77777777" w:rsidR="009247F0" w:rsidRPr="00B677B4" w:rsidRDefault="009247F0" w:rsidP="0051779E">
            <w:pPr>
              <w:pStyle w:val="table-text"/>
              <w:rPr>
                <w:rFonts w:cs="Arial"/>
                <w:b/>
                <w:bCs/>
                <w:sz w:val="18"/>
                <w:szCs w:val="18"/>
                <w:lang w:val="en-GB"/>
              </w:rPr>
            </w:pPr>
          </w:p>
        </w:tc>
        <w:tc>
          <w:tcPr>
            <w:tcW w:w="1701" w:type="pct"/>
            <w:vMerge/>
            <w:shd w:val="clear" w:color="auto" w:fill="auto"/>
          </w:tcPr>
          <w:p w14:paraId="4FB0DA03"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4EA884C6"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3.2. </w:t>
            </w:r>
            <w:r w:rsidRPr="00B677B4">
              <w:rPr>
                <w:rFonts w:cs="Arial"/>
                <w:sz w:val="18"/>
                <w:szCs w:val="18"/>
                <w:lang w:val="en-GB"/>
              </w:rPr>
              <w:t>How has the program managed risk in its portfolio? Has there been an appropriate balance between “safe” technical activities and riskier interventions that address the political economy of the sector</w:t>
            </w:r>
            <w:r w:rsidRPr="00B677B4">
              <w:rPr>
                <w:rFonts w:eastAsiaTheme="minorHAnsi" w:cs="Arial"/>
                <w:sz w:val="18"/>
                <w:szCs w:val="18"/>
                <w:lang w:val="en-GB" w:eastAsia="en-US"/>
              </w:rPr>
              <w:t>?</w:t>
            </w:r>
          </w:p>
        </w:tc>
      </w:tr>
      <w:tr w:rsidR="009247F0" w:rsidRPr="00B677B4" w14:paraId="2F8261C9"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shd w:val="clear" w:color="auto" w:fill="auto"/>
          </w:tcPr>
          <w:p w14:paraId="70DC2F36" w14:textId="77777777" w:rsidR="009247F0" w:rsidRPr="00B677B4" w:rsidRDefault="009247F0" w:rsidP="0051779E">
            <w:pPr>
              <w:pStyle w:val="table-text"/>
              <w:rPr>
                <w:rFonts w:cs="Arial"/>
                <w:sz w:val="18"/>
                <w:szCs w:val="18"/>
                <w:lang w:val="en-GB"/>
              </w:rPr>
            </w:pPr>
          </w:p>
        </w:tc>
        <w:tc>
          <w:tcPr>
            <w:tcW w:w="1701" w:type="pct"/>
            <w:vMerge/>
            <w:shd w:val="clear" w:color="auto" w:fill="auto"/>
          </w:tcPr>
          <w:p w14:paraId="4A0C1610"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4CB74FEF"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3.3. </w:t>
            </w:r>
            <w:r w:rsidRPr="00B677B4">
              <w:rPr>
                <w:rFonts w:cs="Arial"/>
                <w:sz w:val="18"/>
                <w:szCs w:val="18"/>
                <w:lang w:val="en-GB"/>
              </w:rPr>
              <w:t xml:space="preserve">How has the program adapted to the restrictions imposed </w:t>
            </w:r>
            <w:proofErr w:type="gramStart"/>
            <w:r w:rsidRPr="00B677B4">
              <w:rPr>
                <w:rFonts w:cs="Arial"/>
                <w:sz w:val="18"/>
                <w:szCs w:val="18"/>
                <w:lang w:val="en-GB"/>
              </w:rPr>
              <w:t>as a result of</w:t>
            </w:r>
            <w:proofErr w:type="gramEnd"/>
            <w:r w:rsidRPr="00B677B4">
              <w:rPr>
                <w:rFonts w:cs="Arial"/>
                <w:sz w:val="18"/>
                <w:szCs w:val="18"/>
                <w:lang w:val="en-GB"/>
              </w:rPr>
              <w:t xml:space="preserve"> the COVID-19 pandemic</w:t>
            </w:r>
            <w:r w:rsidRPr="00B677B4">
              <w:rPr>
                <w:rFonts w:eastAsiaTheme="minorHAnsi" w:cs="Arial"/>
                <w:sz w:val="18"/>
                <w:szCs w:val="18"/>
                <w:lang w:val="en-GB" w:eastAsia="en-US"/>
              </w:rPr>
              <w:t>?</w:t>
            </w:r>
          </w:p>
        </w:tc>
      </w:tr>
      <w:tr w:rsidR="009247F0" w:rsidRPr="00B677B4" w14:paraId="444071C8"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val="restart"/>
            <w:shd w:val="clear" w:color="auto" w:fill="auto"/>
          </w:tcPr>
          <w:p w14:paraId="37EE2D51"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M&amp;E</w:t>
            </w:r>
          </w:p>
        </w:tc>
        <w:tc>
          <w:tcPr>
            <w:tcW w:w="1701" w:type="pct"/>
            <w:vMerge w:val="restart"/>
            <w:shd w:val="clear" w:color="auto" w:fill="auto"/>
          </w:tcPr>
          <w:p w14:paraId="474D5956"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EQ 4. </w:t>
            </w:r>
            <w:r w:rsidRPr="00B677B4">
              <w:rPr>
                <w:rFonts w:cs="Arial"/>
                <w:sz w:val="18"/>
                <w:szCs w:val="18"/>
                <w:lang w:val="en-GB"/>
              </w:rPr>
              <w:t>How well is AMEP II tracking progress?</w:t>
            </w:r>
          </w:p>
        </w:tc>
        <w:tc>
          <w:tcPr>
            <w:tcW w:w="2230" w:type="pct"/>
            <w:shd w:val="clear" w:color="auto" w:fill="auto"/>
          </w:tcPr>
          <w:p w14:paraId="7D691B12" w14:textId="77777777" w:rsidR="009247F0" w:rsidRPr="00B677B4" w:rsidRDefault="009247F0" w:rsidP="0051779E">
            <w:pPr>
              <w:rPr>
                <w:rFonts w:ascii="Arial" w:hAnsi="Arial" w:cs="Arial"/>
                <w:sz w:val="18"/>
                <w:szCs w:val="18"/>
                <w:lang w:val="en-GB"/>
              </w:rPr>
            </w:pPr>
            <w:r w:rsidRPr="00B677B4">
              <w:rPr>
                <w:rFonts w:ascii="Arial" w:hAnsi="Arial" w:cs="Arial"/>
                <w:sz w:val="18"/>
                <w:szCs w:val="18"/>
                <w:lang w:val="en-GB"/>
              </w:rPr>
              <w:t>4.1. Does AMEP II have adequate mechanisms to track the quality and impact of its activities?</w:t>
            </w:r>
          </w:p>
        </w:tc>
      </w:tr>
      <w:tr w:rsidR="009247F0" w:rsidRPr="00B677B4" w14:paraId="36BCDB5E"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shd w:val="clear" w:color="auto" w:fill="auto"/>
          </w:tcPr>
          <w:p w14:paraId="7759E363" w14:textId="77777777" w:rsidR="009247F0" w:rsidRPr="00B677B4" w:rsidRDefault="009247F0" w:rsidP="0051779E">
            <w:pPr>
              <w:pStyle w:val="table-text"/>
              <w:rPr>
                <w:rFonts w:cs="Arial"/>
                <w:b/>
                <w:bCs/>
                <w:sz w:val="18"/>
                <w:szCs w:val="18"/>
                <w:lang w:val="en-GB"/>
              </w:rPr>
            </w:pPr>
          </w:p>
        </w:tc>
        <w:tc>
          <w:tcPr>
            <w:tcW w:w="1701" w:type="pct"/>
            <w:vMerge/>
            <w:shd w:val="clear" w:color="auto" w:fill="auto"/>
          </w:tcPr>
          <w:p w14:paraId="4E755615"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06744D0F" w14:textId="77777777" w:rsidR="009247F0" w:rsidRPr="00B677B4" w:rsidRDefault="009247F0" w:rsidP="0051779E">
            <w:pPr>
              <w:rPr>
                <w:rFonts w:ascii="Arial" w:hAnsi="Arial" w:cs="Arial"/>
                <w:sz w:val="18"/>
                <w:szCs w:val="18"/>
                <w:lang w:val="en-GB"/>
              </w:rPr>
            </w:pPr>
            <w:r w:rsidRPr="00B677B4">
              <w:rPr>
                <w:rFonts w:ascii="Arial" w:hAnsi="Arial" w:cs="Arial"/>
                <w:sz w:val="18"/>
                <w:szCs w:val="18"/>
                <w:lang w:val="en-GB"/>
              </w:rPr>
              <w:t xml:space="preserve">4.2. Has the annual monitoring and reporting cycle enabled adequate accountability and lesson learning? </w:t>
            </w:r>
          </w:p>
        </w:tc>
      </w:tr>
      <w:tr w:rsidR="009247F0" w:rsidRPr="00B677B4" w14:paraId="46C359A3"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val="restart"/>
            <w:shd w:val="clear" w:color="auto" w:fill="auto"/>
          </w:tcPr>
          <w:p w14:paraId="0638715B"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Impact</w:t>
            </w:r>
          </w:p>
        </w:tc>
        <w:tc>
          <w:tcPr>
            <w:tcW w:w="1701" w:type="pct"/>
            <w:vMerge w:val="restart"/>
            <w:shd w:val="clear" w:color="auto" w:fill="auto"/>
          </w:tcPr>
          <w:p w14:paraId="3E61591F"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EQ 5. </w:t>
            </w:r>
            <w:r w:rsidRPr="00B677B4">
              <w:rPr>
                <w:rFonts w:cs="Arial"/>
                <w:sz w:val="18"/>
                <w:szCs w:val="18"/>
                <w:lang w:val="en-GB"/>
              </w:rPr>
              <w:t>What has AMEP II achieved/ is it on track to meet the expected intermediate outcomes?</w:t>
            </w:r>
          </w:p>
        </w:tc>
        <w:tc>
          <w:tcPr>
            <w:tcW w:w="2230" w:type="pct"/>
            <w:shd w:val="clear" w:color="auto" w:fill="auto"/>
          </w:tcPr>
          <w:p w14:paraId="37A4C26B" w14:textId="77777777" w:rsidR="009247F0" w:rsidRPr="00B677B4" w:rsidRDefault="009247F0" w:rsidP="0051779E">
            <w:pPr>
              <w:pStyle w:val="table-text"/>
              <w:rPr>
                <w:rFonts w:eastAsiaTheme="minorHAnsi" w:cs="Arial"/>
                <w:sz w:val="18"/>
                <w:szCs w:val="18"/>
                <w:lang w:val="en-GB" w:eastAsia="en-US"/>
              </w:rPr>
            </w:pPr>
            <w:r w:rsidRPr="00B677B4">
              <w:rPr>
                <w:rFonts w:cs="Arial"/>
                <w:sz w:val="18"/>
                <w:szCs w:val="18"/>
                <w:lang w:val="en-GB"/>
              </w:rPr>
              <w:t>5.1. What have been the results of AMEP II</w:t>
            </w:r>
          </w:p>
        </w:tc>
      </w:tr>
      <w:tr w:rsidR="009247F0" w:rsidRPr="00B677B4" w14:paraId="721DBB27"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shd w:val="clear" w:color="auto" w:fill="auto"/>
          </w:tcPr>
          <w:p w14:paraId="4F52A917" w14:textId="77777777" w:rsidR="009247F0" w:rsidRPr="00B677B4" w:rsidRDefault="009247F0" w:rsidP="0051779E">
            <w:pPr>
              <w:pStyle w:val="table-text"/>
              <w:rPr>
                <w:rFonts w:cs="Arial"/>
                <w:b/>
                <w:bCs/>
                <w:sz w:val="18"/>
                <w:szCs w:val="18"/>
                <w:lang w:val="en-GB"/>
              </w:rPr>
            </w:pPr>
          </w:p>
        </w:tc>
        <w:tc>
          <w:tcPr>
            <w:tcW w:w="1701" w:type="pct"/>
            <w:vMerge/>
            <w:shd w:val="clear" w:color="auto" w:fill="auto"/>
          </w:tcPr>
          <w:p w14:paraId="312DC042"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433562D7" w14:textId="77777777" w:rsidR="009247F0" w:rsidRPr="00B677B4" w:rsidRDefault="009247F0" w:rsidP="0051779E">
            <w:pPr>
              <w:rPr>
                <w:rFonts w:ascii="Arial" w:hAnsi="Arial" w:cs="Arial"/>
                <w:sz w:val="18"/>
                <w:szCs w:val="18"/>
                <w:lang w:val="en-GB"/>
              </w:rPr>
            </w:pPr>
            <w:r w:rsidRPr="00B677B4">
              <w:rPr>
                <w:rFonts w:ascii="Arial" w:hAnsi="Arial" w:cs="Arial"/>
                <w:sz w:val="18"/>
                <w:szCs w:val="18"/>
                <w:lang w:val="en-GB"/>
              </w:rPr>
              <w:t>5.2. What are the factors for the success or otherwise of AMEP II?</w:t>
            </w:r>
          </w:p>
        </w:tc>
      </w:tr>
      <w:tr w:rsidR="009247F0" w:rsidRPr="00B677B4" w14:paraId="11D01EF0"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shd w:val="clear" w:color="auto" w:fill="auto"/>
          </w:tcPr>
          <w:p w14:paraId="79A1BA54" w14:textId="77777777" w:rsidR="009247F0" w:rsidRPr="00B677B4" w:rsidRDefault="009247F0" w:rsidP="0051779E">
            <w:pPr>
              <w:pStyle w:val="table-text"/>
              <w:rPr>
                <w:rFonts w:cs="Arial"/>
                <w:b/>
                <w:bCs/>
                <w:sz w:val="18"/>
                <w:szCs w:val="18"/>
                <w:lang w:val="en-GB"/>
              </w:rPr>
            </w:pPr>
          </w:p>
        </w:tc>
        <w:tc>
          <w:tcPr>
            <w:tcW w:w="1701" w:type="pct"/>
            <w:vMerge/>
            <w:shd w:val="clear" w:color="auto" w:fill="auto"/>
          </w:tcPr>
          <w:p w14:paraId="4C762FC3" w14:textId="77777777" w:rsidR="009247F0" w:rsidRPr="00B677B4" w:rsidRDefault="009247F0" w:rsidP="0051779E">
            <w:pPr>
              <w:pStyle w:val="table-text"/>
              <w:rPr>
                <w:rFonts w:eastAsiaTheme="minorHAnsi" w:cs="Arial"/>
                <w:sz w:val="18"/>
                <w:szCs w:val="18"/>
                <w:lang w:val="en-GB" w:eastAsia="en-US"/>
              </w:rPr>
            </w:pPr>
          </w:p>
        </w:tc>
        <w:tc>
          <w:tcPr>
            <w:tcW w:w="2230" w:type="pct"/>
            <w:shd w:val="clear" w:color="auto" w:fill="auto"/>
          </w:tcPr>
          <w:p w14:paraId="6D13206E" w14:textId="77777777" w:rsidR="009247F0" w:rsidRPr="00B677B4" w:rsidRDefault="009247F0" w:rsidP="0051779E">
            <w:pPr>
              <w:rPr>
                <w:rFonts w:ascii="Arial" w:hAnsi="Arial" w:cs="Arial"/>
                <w:sz w:val="18"/>
                <w:szCs w:val="18"/>
                <w:lang w:val="en-GB"/>
              </w:rPr>
            </w:pPr>
            <w:r w:rsidRPr="00B677B4">
              <w:rPr>
                <w:rFonts w:ascii="Arial" w:hAnsi="Arial" w:cs="Arial"/>
                <w:sz w:val="18"/>
                <w:szCs w:val="18"/>
                <w:lang w:val="en-GB"/>
              </w:rPr>
              <w:t>5.3. To what extent did the pandemic slow down the achievement of results?</w:t>
            </w:r>
          </w:p>
        </w:tc>
      </w:tr>
      <w:tr w:rsidR="009247F0" w:rsidRPr="00B677B4" w14:paraId="51955F5B"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vMerge w:val="restart"/>
            <w:shd w:val="clear" w:color="auto" w:fill="auto"/>
          </w:tcPr>
          <w:p w14:paraId="783FA424"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Sustainability</w:t>
            </w:r>
          </w:p>
        </w:tc>
        <w:tc>
          <w:tcPr>
            <w:tcW w:w="1701" w:type="pct"/>
            <w:vMerge w:val="restart"/>
            <w:shd w:val="clear" w:color="auto" w:fill="auto"/>
          </w:tcPr>
          <w:p w14:paraId="3C88F9CE" w14:textId="77777777" w:rsidR="009247F0" w:rsidRPr="00B677B4" w:rsidRDefault="009247F0" w:rsidP="0051779E">
            <w:pPr>
              <w:pStyle w:val="table-text"/>
              <w:rPr>
                <w:rFonts w:cs="Arial"/>
                <w:sz w:val="18"/>
                <w:szCs w:val="18"/>
                <w:lang w:val="en-GB"/>
              </w:rPr>
            </w:pPr>
            <w:r w:rsidRPr="00B677B4">
              <w:rPr>
                <w:rFonts w:eastAsiaTheme="minorHAnsi" w:cs="Arial"/>
                <w:sz w:val="18"/>
                <w:szCs w:val="18"/>
                <w:lang w:val="en-GB" w:eastAsia="en-US"/>
              </w:rPr>
              <w:t xml:space="preserve">EQ 6. </w:t>
            </w:r>
            <w:r w:rsidRPr="00B677B4">
              <w:rPr>
                <w:rFonts w:cs="Arial"/>
                <w:sz w:val="18"/>
                <w:szCs w:val="18"/>
                <w:lang w:val="en-GB"/>
              </w:rPr>
              <w:t>To what extent has the investment environment in Mongolia changed in the past three years</w:t>
            </w:r>
            <w:r w:rsidRPr="00B677B4">
              <w:rPr>
                <w:rFonts w:eastAsiaTheme="minorHAnsi" w:cs="Arial"/>
                <w:sz w:val="18"/>
                <w:szCs w:val="18"/>
                <w:lang w:val="en-GB" w:eastAsia="en-US"/>
              </w:rPr>
              <w:t>?</w:t>
            </w:r>
          </w:p>
        </w:tc>
        <w:tc>
          <w:tcPr>
            <w:tcW w:w="2230" w:type="pct"/>
            <w:shd w:val="clear" w:color="auto" w:fill="auto"/>
          </w:tcPr>
          <w:p w14:paraId="6DE43012" w14:textId="77777777" w:rsidR="009247F0" w:rsidRPr="00B677B4" w:rsidRDefault="009247F0" w:rsidP="0051779E">
            <w:pPr>
              <w:rPr>
                <w:rFonts w:ascii="Arial" w:hAnsi="Arial" w:cs="Arial"/>
                <w:sz w:val="18"/>
                <w:szCs w:val="18"/>
                <w:lang w:val="en-GB"/>
              </w:rPr>
            </w:pPr>
            <w:r w:rsidRPr="00B677B4">
              <w:rPr>
                <w:rFonts w:ascii="Arial" w:hAnsi="Arial" w:cs="Arial"/>
                <w:sz w:val="18"/>
                <w:szCs w:val="18"/>
                <w:lang w:val="en-GB"/>
              </w:rPr>
              <w:t>6.1. What are the major factors affecting the investment environment in Mongolia in the last three years?</w:t>
            </w:r>
          </w:p>
          <w:p w14:paraId="66151361" w14:textId="77777777" w:rsidR="009247F0" w:rsidRPr="00B677B4" w:rsidRDefault="009247F0" w:rsidP="0051779E">
            <w:pPr>
              <w:pStyle w:val="table-text"/>
              <w:rPr>
                <w:rFonts w:eastAsiaTheme="minorHAnsi" w:cs="Arial"/>
                <w:sz w:val="18"/>
                <w:szCs w:val="18"/>
                <w:lang w:val="en-GB" w:eastAsia="en-US"/>
              </w:rPr>
            </w:pPr>
          </w:p>
        </w:tc>
      </w:tr>
      <w:tr w:rsidR="009247F0" w:rsidRPr="00B677B4" w14:paraId="52F2C1D2" w14:textId="77777777" w:rsidTr="0051779E">
        <w:trPr>
          <w:cnfStyle w:val="000000100000" w:firstRow="0" w:lastRow="0" w:firstColumn="0" w:lastColumn="0" w:oddVBand="0" w:evenVBand="0" w:oddHBand="1" w:evenHBand="0" w:firstRowFirstColumn="0" w:firstRowLastColumn="0" w:lastRowFirstColumn="0" w:lastRowLastColumn="0"/>
        </w:trPr>
        <w:tc>
          <w:tcPr>
            <w:tcW w:w="1069" w:type="pct"/>
            <w:vMerge/>
            <w:shd w:val="clear" w:color="auto" w:fill="auto"/>
          </w:tcPr>
          <w:p w14:paraId="6A780E35" w14:textId="77777777" w:rsidR="009247F0" w:rsidRPr="00B677B4" w:rsidRDefault="009247F0" w:rsidP="0051779E">
            <w:pPr>
              <w:pStyle w:val="table-text"/>
              <w:rPr>
                <w:rFonts w:cs="Arial"/>
                <w:sz w:val="18"/>
                <w:szCs w:val="18"/>
                <w:lang w:val="en-GB"/>
              </w:rPr>
            </w:pPr>
          </w:p>
        </w:tc>
        <w:tc>
          <w:tcPr>
            <w:tcW w:w="1701" w:type="pct"/>
            <w:vMerge/>
            <w:shd w:val="clear" w:color="auto" w:fill="auto"/>
          </w:tcPr>
          <w:p w14:paraId="1AC5F387" w14:textId="77777777" w:rsidR="009247F0" w:rsidRPr="00B677B4" w:rsidRDefault="009247F0" w:rsidP="0051779E">
            <w:pPr>
              <w:pStyle w:val="table-text"/>
              <w:rPr>
                <w:rFonts w:cs="Arial"/>
                <w:sz w:val="18"/>
                <w:szCs w:val="18"/>
                <w:lang w:val="en-GB"/>
              </w:rPr>
            </w:pPr>
          </w:p>
        </w:tc>
        <w:tc>
          <w:tcPr>
            <w:tcW w:w="2230" w:type="pct"/>
            <w:shd w:val="clear" w:color="auto" w:fill="auto"/>
          </w:tcPr>
          <w:p w14:paraId="371C4794" w14:textId="77777777" w:rsidR="009247F0" w:rsidRPr="00B677B4" w:rsidRDefault="009247F0" w:rsidP="0051779E">
            <w:pPr>
              <w:pStyle w:val="table-text"/>
              <w:rPr>
                <w:rFonts w:eastAsiaTheme="minorHAnsi" w:cs="Arial"/>
                <w:sz w:val="18"/>
                <w:szCs w:val="18"/>
                <w:lang w:val="en-GB" w:eastAsia="en-US"/>
              </w:rPr>
            </w:pPr>
            <w:r w:rsidRPr="00B677B4">
              <w:rPr>
                <w:rFonts w:cs="Arial"/>
                <w:sz w:val="18"/>
                <w:szCs w:val="18"/>
                <w:lang w:val="en-GB"/>
              </w:rPr>
              <w:t>6.2. Is it reasonable to expect that the current pattern of AMEP activities may have an effect, or a further effect, on the investment environment in the longer term</w:t>
            </w:r>
          </w:p>
        </w:tc>
      </w:tr>
      <w:tr w:rsidR="009247F0" w:rsidRPr="00B677B4" w14:paraId="67722995" w14:textId="77777777" w:rsidTr="0051779E">
        <w:trPr>
          <w:cnfStyle w:val="000000010000" w:firstRow="0" w:lastRow="0" w:firstColumn="0" w:lastColumn="0" w:oddVBand="0" w:evenVBand="0" w:oddHBand="0" w:evenHBand="1" w:firstRowFirstColumn="0" w:firstRowLastColumn="0" w:lastRowFirstColumn="0" w:lastRowLastColumn="0"/>
        </w:trPr>
        <w:tc>
          <w:tcPr>
            <w:tcW w:w="1069" w:type="pct"/>
            <w:tcBorders>
              <w:bottom w:val="single" w:sz="6" w:space="0" w:color="006DB6"/>
            </w:tcBorders>
            <w:shd w:val="clear" w:color="auto" w:fill="auto"/>
          </w:tcPr>
          <w:p w14:paraId="460272F3" w14:textId="77777777" w:rsidR="009247F0" w:rsidRPr="00B677B4" w:rsidRDefault="009247F0" w:rsidP="0051779E">
            <w:pPr>
              <w:pStyle w:val="table-text"/>
              <w:rPr>
                <w:rFonts w:cs="Arial"/>
                <w:b/>
                <w:bCs/>
                <w:sz w:val="18"/>
                <w:szCs w:val="18"/>
                <w:lang w:val="en-GB"/>
              </w:rPr>
            </w:pPr>
            <w:r w:rsidRPr="00B677B4">
              <w:rPr>
                <w:rFonts w:cs="Arial"/>
                <w:b/>
                <w:bCs/>
                <w:sz w:val="18"/>
                <w:szCs w:val="18"/>
                <w:lang w:val="en-GB"/>
              </w:rPr>
              <w:t>Added Value Criteria</w:t>
            </w:r>
          </w:p>
        </w:tc>
        <w:tc>
          <w:tcPr>
            <w:tcW w:w="1701" w:type="pct"/>
            <w:tcBorders>
              <w:bottom w:val="single" w:sz="6" w:space="0" w:color="006DB6"/>
            </w:tcBorders>
            <w:shd w:val="clear" w:color="auto" w:fill="auto"/>
          </w:tcPr>
          <w:p w14:paraId="6700B010"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EQ 7. </w:t>
            </w:r>
            <w:r w:rsidRPr="00B677B4">
              <w:rPr>
                <w:rFonts w:cs="Arial"/>
                <w:sz w:val="18"/>
                <w:szCs w:val="18"/>
                <w:lang w:val="en-GB"/>
              </w:rPr>
              <w:t>To what extent is AMEP II reinforcing Australia’s reputation in Mongolia’s economic development?</w:t>
            </w:r>
          </w:p>
        </w:tc>
        <w:tc>
          <w:tcPr>
            <w:tcW w:w="2230" w:type="pct"/>
            <w:tcBorders>
              <w:bottom w:val="single" w:sz="6" w:space="0" w:color="006DB6"/>
            </w:tcBorders>
            <w:shd w:val="clear" w:color="auto" w:fill="auto"/>
          </w:tcPr>
          <w:p w14:paraId="206F4336" w14:textId="77777777" w:rsidR="009247F0" w:rsidRPr="00B677B4" w:rsidRDefault="009247F0" w:rsidP="0051779E">
            <w:pPr>
              <w:pStyle w:val="table-text"/>
              <w:rPr>
                <w:rFonts w:eastAsiaTheme="minorHAnsi" w:cs="Arial"/>
                <w:sz w:val="18"/>
                <w:szCs w:val="18"/>
                <w:lang w:val="en-GB" w:eastAsia="en-US"/>
              </w:rPr>
            </w:pPr>
            <w:r w:rsidRPr="00B677B4">
              <w:rPr>
                <w:rFonts w:eastAsiaTheme="minorHAnsi" w:cs="Arial"/>
                <w:sz w:val="18"/>
                <w:szCs w:val="18"/>
                <w:lang w:val="en-GB" w:eastAsia="en-US"/>
              </w:rPr>
              <w:t xml:space="preserve">7.1. </w:t>
            </w:r>
            <w:r w:rsidRPr="00B677B4">
              <w:rPr>
                <w:rFonts w:cs="Arial"/>
                <w:sz w:val="18"/>
                <w:szCs w:val="18"/>
                <w:lang w:val="en-GB"/>
              </w:rPr>
              <w:t>What are the public diplomacy benefits for continuing to invest in improving the investment environment for the extractives sector in Mongolia?</w:t>
            </w:r>
          </w:p>
        </w:tc>
      </w:tr>
    </w:tbl>
    <w:p w14:paraId="1379C37B" w14:textId="77777777" w:rsidR="00963CF7" w:rsidRPr="00B677B4" w:rsidRDefault="00963CF7" w:rsidP="001050CC">
      <w:pPr>
        <w:rPr>
          <w:lang w:eastAsia="en-US"/>
        </w:rPr>
      </w:pPr>
    </w:p>
    <w:p w14:paraId="00525E18" w14:textId="77777777" w:rsidR="00B00A2A" w:rsidRPr="00B677B4" w:rsidRDefault="00B00A2A" w:rsidP="00B00A2A">
      <w:bookmarkStart w:id="25" w:name="_Toc109562246"/>
      <w:bookmarkStart w:id="26" w:name="_Toc109562332"/>
      <w:bookmarkStart w:id="27" w:name="_Toc109562355"/>
      <w:bookmarkEnd w:id="6"/>
      <w:bookmarkEnd w:id="7"/>
      <w:bookmarkEnd w:id="8"/>
    </w:p>
    <w:p w14:paraId="7DF5B4B2" w14:textId="55286A66" w:rsidR="000E44D2" w:rsidRPr="00B677B4" w:rsidRDefault="000E44D2">
      <w:r w:rsidRPr="00B677B4">
        <w:br w:type="page"/>
      </w:r>
    </w:p>
    <w:p w14:paraId="48317202" w14:textId="77777777" w:rsidR="00B00A2A" w:rsidRPr="00B677B4" w:rsidRDefault="00B00A2A" w:rsidP="00B00A2A"/>
    <w:p w14:paraId="05AD358A" w14:textId="77777777" w:rsidR="000E44D2" w:rsidRPr="00B677B4" w:rsidRDefault="000E44D2">
      <w:pPr>
        <w:pStyle w:val="Heading1"/>
        <w:numPr>
          <w:ilvl w:val="0"/>
          <w:numId w:val="8"/>
        </w:numPr>
        <w:rPr>
          <w:rStyle w:val="MajorHeading"/>
          <w:rFonts w:asciiTheme="majorHAnsi" w:hAnsiTheme="majorHAnsi" w:cstheme="majorBidi"/>
          <w:b w:val="0"/>
          <w:bCs/>
          <w:color w:val="2F5496" w:themeColor="accent1" w:themeShade="BF"/>
          <w:spacing w:val="0"/>
          <w:sz w:val="32"/>
          <w:szCs w:val="32"/>
          <w:lang w:val="en-GB"/>
        </w:rPr>
      </w:pPr>
      <w:bookmarkStart w:id="28" w:name="_Toc124772664"/>
      <w:r w:rsidRPr="00B677B4">
        <w:rPr>
          <w:rStyle w:val="MajorHeading"/>
          <w:rFonts w:asciiTheme="majorHAnsi" w:hAnsiTheme="majorHAnsi" w:cstheme="majorBidi"/>
          <w:b w:val="0"/>
          <w:bCs/>
          <w:color w:val="2F5496" w:themeColor="accent1" w:themeShade="BF"/>
          <w:spacing w:val="0"/>
          <w:sz w:val="32"/>
          <w:szCs w:val="32"/>
          <w:lang w:val="en-GB"/>
        </w:rPr>
        <w:t>Key Findings</w:t>
      </w:r>
      <w:bookmarkEnd w:id="28"/>
    </w:p>
    <w:p w14:paraId="4D28910E" w14:textId="72512B03" w:rsidR="000E44D2" w:rsidRPr="00B677B4" w:rsidRDefault="000E44D2" w:rsidP="00B00A2A"/>
    <w:p w14:paraId="2EEC0C00" w14:textId="6D4CB75D" w:rsidR="000E44D2" w:rsidRPr="00B677B4" w:rsidRDefault="000E44D2" w:rsidP="006B0B7D">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The evaluation findings and the evidence to substantiate them are presented below. They are structured as a response to each key evaluation question in turn. Where applicable evidence to support the findings discussed in this section of the report draws on the interviews, </w:t>
      </w:r>
      <w:proofErr w:type="gramStart"/>
      <w:r w:rsidRPr="00B677B4">
        <w:rPr>
          <w:rFonts w:asciiTheme="minorHAnsi" w:hAnsiTheme="minorHAnsi" w:cstheme="minorHAnsi"/>
          <w:sz w:val="22"/>
          <w:szCs w:val="22"/>
          <w:lang w:val="en-GB"/>
        </w:rPr>
        <w:t>discussions</w:t>
      </w:r>
      <w:proofErr w:type="gramEnd"/>
      <w:r w:rsidRPr="00B677B4">
        <w:rPr>
          <w:rFonts w:asciiTheme="minorHAnsi" w:hAnsiTheme="minorHAnsi" w:cstheme="minorHAnsi"/>
          <w:sz w:val="22"/>
          <w:szCs w:val="22"/>
          <w:lang w:val="en-GB"/>
        </w:rPr>
        <w:t xml:space="preserve"> and relevant program documents (</w:t>
      </w:r>
      <w:r w:rsidRPr="00B677B4">
        <w:rPr>
          <w:rFonts w:asciiTheme="minorHAnsi" w:hAnsiTheme="minorHAnsi" w:cstheme="minorHAnsi"/>
          <w:b/>
          <w:bCs/>
          <w:sz w:val="22"/>
          <w:szCs w:val="22"/>
          <w:lang w:val="en-GB"/>
        </w:rPr>
        <w:t xml:space="preserve">Annex </w:t>
      </w:r>
      <w:r w:rsidR="00337CC3" w:rsidRPr="00B677B4">
        <w:rPr>
          <w:rFonts w:asciiTheme="minorHAnsi" w:hAnsiTheme="minorHAnsi" w:cstheme="minorHAnsi"/>
          <w:b/>
          <w:bCs/>
          <w:sz w:val="22"/>
          <w:szCs w:val="22"/>
          <w:lang w:val="en-GB"/>
        </w:rPr>
        <w:t>3</w:t>
      </w:r>
      <w:r w:rsidRPr="00B677B4">
        <w:rPr>
          <w:rFonts w:asciiTheme="minorHAnsi" w:hAnsiTheme="minorHAnsi" w:cstheme="minorHAnsi"/>
          <w:sz w:val="22"/>
          <w:szCs w:val="22"/>
          <w:lang w:val="en-GB"/>
        </w:rPr>
        <w:t>).</w:t>
      </w:r>
    </w:p>
    <w:p w14:paraId="6461CE04" w14:textId="319FB86F" w:rsidR="000E44D2" w:rsidRPr="00B677B4" w:rsidRDefault="000E44D2" w:rsidP="00B00A2A">
      <w:pPr>
        <w:rPr>
          <w:rFonts w:asciiTheme="minorHAnsi" w:hAnsiTheme="minorHAnsi" w:cstheme="minorHAnsi"/>
          <w:sz w:val="22"/>
          <w:szCs w:val="22"/>
        </w:rPr>
      </w:pPr>
    </w:p>
    <w:p w14:paraId="5773598F" w14:textId="45A86BFA" w:rsidR="00FB3C8F" w:rsidRPr="00C8767A" w:rsidRDefault="00FB3C8F" w:rsidP="00FB3C8F">
      <w:pPr>
        <w:pStyle w:val="Subheading"/>
        <w:rPr>
          <w:lang w:val="en-GB"/>
        </w:rPr>
      </w:pPr>
      <w:r w:rsidRPr="00C8767A">
        <w:rPr>
          <w:lang w:val="en-GB"/>
        </w:rPr>
        <w:t>EQ 1. To what extent do the objectives of AMEP II align with the needs of the investment environment for the extractives sector in Mongolia?</w:t>
      </w:r>
    </w:p>
    <w:p w14:paraId="69433F18" w14:textId="53D85D6D" w:rsidR="00FB3C8F" w:rsidRPr="00B677B4" w:rsidRDefault="00FB3C8F" w:rsidP="00B00A2A">
      <w:pPr>
        <w:rPr>
          <w:rFonts w:ascii="Arial" w:eastAsiaTheme="minorHAnsi" w:hAnsi="Arial" w:cs="Arial"/>
          <w:sz w:val="18"/>
          <w:szCs w:val="18"/>
          <w:lang w:eastAsia="en-US"/>
        </w:rPr>
      </w:pPr>
    </w:p>
    <w:p w14:paraId="2E84F30B" w14:textId="1CA4C017" w:rsidR="00FB3C8F" w:rsidRPr="00B677B4" w:rsidRDefault="00FB3C8F" w:rsidP="00B00A2A">
      <w:pPr>
        <w:rPr>
          <w:rFonts w:ascii="Arial" w:eastAsiaTheme="minorHAnsi" w:hAnsi="Arial" w:cs="Arial"/>
          <w:sz w:val="18"/>
          <w:szCs w:val="18"/>
          <w:lang w:eastAsia="en-US"/>
        </w:rPr>
      </w:pPr>
    </w:p>
    <w:p w14:paraId="76E0AB4C" w14:textId="17059F57" w:rsidR="00C43BF4" w:rsidRPr="00B677B4" w:rsidRDefault="00C7129F" w:rsidP="00C7129F">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AMEP II remains highly relevant to the objectives of the Government of Mongolia, and to priorities in the sector</w:t>
      </w:r>
      <w:r w:rsidR="00EA5252" w:rsidRPr="00B677B4">
        <w:rPr>
          <w:rFonts w:asciiTheme="minorHAnsi" w:hAnsiTheme="minorHAnsi" w:cstheme="minorHAnsi"/>
          <w:sz w:val="22"/>
          <w:szCs w:val="22"/>
          <w:lang w:val="en-GB"/>
        </w:rPr>
        <w:t xml:space="preserve">. It is important to bear in mind the magnitude of the extractives sector </w:t>
      </w:r>
      <w:r w:rsidR="0078115D">
        <w:rPr>
          <w:rFonts w:asciiTheme="minorHAnsi" w:hAnsiTheme="minorHAnsi" w:cstheme="minorHAnsi"/>
          <w:sz w:val="22"/>
          <w:szCs w:val="22"/>
          <w:lang w:val="en-GB"/>
        </w:rPr>
        <w:t>within</w:t>
      </w:r>
      <w:r w:rsidR="00EA5252" w:rsidRPr="00B677B4">
        <w:rPr>
          <w:rFonts w:asciiTheme="minorHAnsi" w:hAnsiTheme="minorHAnsi" w:cstheme="minorHAnsi"/>
          <w:sz w:val="22"/>
          <w:szCs w:val="22"/>
          <w:lang w:val="en-GB"/>
        </w:rPr>
        <w:t xml:space="preserve"> the Mongolian economy</w:t>
      </w:r>
      <w:r w:rsidR="00E02930" w:rsidRPr="00B677B4">
        <w:rPr>
          <w:rFonts w:asciiTheme="minorHAnsi" w:hAnsiTheme="minorHAnsi" w:cstheme="minorHAnsi"/>
          <w:sz w:val="22"/>
          <w:szCs w:val="22"/>
          <w:lang w:val="en-GB"/>
        </w:rPr>
        <w:t xml:space="preserve"> (whilst an upper middle-income country, Mongolia is one of the most commodity-dependent countries in the world)</w:t>
      </w:r>
      <w:r w:rsidR="00B875F9" w:rsidRPr="00B677B4">
        <w:rPr>
          <w:rFonts w:asciiTheme="minorHAnsi" w:hAnsiTheme="minorHAnsi" w:cstheme="minorHAnsi"/>
          <w:sz w:val="22"/>
          <w:szCs w:val="22"/>
          <w:lang w:val="en-GB"/>
        </w:rPr>
        <w:t xml:space="preserve">. The extractives sector </w:t>
      </w:r>
      <w:r w:rsidR="00EA5252" w:rsidRPr="00B677B4">
        <w:rPr>
          <w:rFonts w:asciiTheme="minorHAnsi" w:hAnsiTheme="minorHAnsi" w:cstheme="minorHAnsi"/>
          <w:sz w:val="22"/>
          <w:szCs w:val="22"/>
          <w:lang w:val="en-GB"/>
        </w:rPr>
        <w:t xml:space="preserve">contributes 20% of GDP, and accounts for 90% of </w:t>
      </w:r>
      <w:r w:rsidR="00B875F9" w:rsidRPr="00B677B4">
        <w:rPr>
          <w:rFonts w:asciiTheme="minorHAnsi" w:hAnsiTheme="minorHAnsi" w:cstheme="minorHAnsi"/>
          <w:sz w:val="22"/>
          <w:szCs w:val="22"/>
          <w:lang w:val="en-GB"/>
        </w:rPr>
        <w:t>Mongolian</w:t>
      </w:r>
      <w:r w:rsidR="00EA5252" w:rsidRPr="00B677B4">
        <w:rPr>
          <w:rFonts w:asciiTheme="minorHAnsi" w:hAnsiTheme="minorHAnsi" w:cstheme="minorHAnsi"/>
          <w:sz w:val="22"/>
          <w:szCs w:val="22"/>
          <w:lang w:val="en-GB"/>
        </w:rPr>
        <w:t xml:space="preserve"> exports. However, it is also a sector that has seen decreasing foreign investment</w:t>
      </w:r>
      <w:r w:rsidR="0049770F" w:rsidRPr="00B677B4">
        <w:rPr>
          <w:rFonts w:asciiTheme="minorHAnsi" w:hAnsiTheme="minorHAnsi" w:cstheme="minorHAnsi"/>
          <w:sz w:val="22"/>
          <w:szCs w:val="22"/>
          <w:lang w:val="en-GB"/>
        </w:rPr>
        <w:t xml:space="preserve"> for </w:t>
      </w:r>
      <w:r w:rsidR="00FC64EA" w:rsidRPr="00B677B4">
        <w:rPr>
          <w:rFonts w:asciiTheme="minorHAnsi" w:hAnsiTheme="minorHAnsi" w:cstheme="minorHAnsi"/>
          <w:sz w:val="22"/>
          <w:szCs w:val="22"/>
          <w:lang w:val="en-GB"/>
        </w:rPr>
        <w:t>several</w:t>
      </w:r>
      <w:r w:rsidR="0049770F" w:rsidRPr="00B677B4">
        <w:rPr>
          <w:rFonts w:asciiTheme="minorHAnsi" w:hAnsiTheme="minorHAnsi" w:cstheme="minorHAnsi"/>
          <w:sz w:val="22"/>
          <w:szCs w:val="22"/>
          <w:lang w:val="en-GB"/>
        </w:rPr>
        <w:t xml:space="preserve"> years</w:t>
      </w:r>
      <w:r w:rsidR="00EA5252" w:rsidRPr="00B677B4">
        <w:rPr>
          <w:rFonts w:asciiTheme="minorHAnsi" w:hAnsiTheme="minorHAnsi" w:cstheme="minorHAnsi"/>
          <w:sz w:val="22"/>
          <w:szCs w:val="22"/>
          <w:lang w:val="en-GB"/>
        </w:rPr>
        <w:t xml:space="preserve"> due to mismanagement, political impropriety, a fragile business environment exacerbated by an uneven </w:t>
      </w:r>
      <w:r w:rsidR="0049770F" w:rsidRPr="00B677B4">
        <w:rPr>
          <w:rFonts w:asciiTheme="minorHAnsi" w:hAnsiTheme="minorHAnsi" w:cstheme="minorHAnsi"/>
          <w:sz w:val="22"/>
          <w:szCs w:val="22"/>
          <w:lang w:val="en-GB"/>
        </w:rPr>
        <w:t>regulatory</w:t>
      </w:r>
      <w:r w:rsidR="00EA5252" w:rsidRPr="00B677B4">
        <w:rPr>
          <w:rFonts w:asciiTheme="minorHAnsi" w:hAnsiTheme="minorHAnsi" w:cstheme="minorHAnsi"/>
          <w:sz w:val="22"/>
          <w:szCs w:val="22"/>
          <w:lang w:val="en-GB"/>
        </w:rPr>
        <w:t xml:space="preserve"> framework</w:t>
      </w:r>
      <w:r w:rsidR="0049770F" w:rsidRPr="00B677B4">
        <w:rPr>
          <w:rStyle w:val="FootnoteReference"/>
          <w:rFonts w:asciiTheme="minorHAnsi" w:hAnsiTheme="minorHAnsi" w:cstheme="minorHAnsi"/>
          <w:sz w:val="22"/>
          <w:szCs w:val="22"/>
          <w:lang w:val="en-GB"/>
        </w:rPr>
        <w:footnoteReference w:id="2"/>
      </w:r>
      <w:r w:rsidR="00EA5252" w:rsidRPr="00B677B4">
        <w:rPr>
          <w:rFonts w:asciiTheme="minorHAnsi" w:hAnsiTheme="minorHAnsi" w:cstheme="minorHAnsi"/>
          <w:sz w:val="22"/>
          <w:szCs w:val="22"/>
          <w:lang w:val="en-GB"/>
        </w:rPr>
        <w:t xml:space="preserve">. </w:t>
      </w:r>
    </w:p>
    <w:p w14:paraId="5A87A0EF" w14:textId="77777777" w:rsidR="00C43BF4" w:rsidRPr="00B677B4" w:rsidRDefault="00C43BF4" w:rsidP="00C7129F">
      <w:pPr>
        <w:pStyle w:val="Default"/>
        <w:spacing w:line="276" w:lineRule="auto"/>
        <w:rPr>
          <w:rFonts w:asciiTheme="minorHAnsi" w:hAnsiTheme="minorHAnsi" w:cstheme="minorHAnsi"/>
          <w:sz w:val="22"/>
          <w:szCs w:val="22"/>
          <w:lang w:val="en-GB"/>
        </w:rPr>
      </w:pPr>
    </w:p>
    <w:p w14:paraId="7143BC16" w14:textId="12368F5D" w:rsidR="00C43BF4" w:rsidRPr="00B677B4" w:rsidRDefault="00C43BF4" w:rsidP="00C7129F">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As part of its long-term development plan, </w:t>
      </w:r>
      <w:r w:rsidR="00FC64EA" w:rsidRPr="00B677B4">
        <w:rPr>
          <w:rFonts w:asciiTheme="minorHAnsi" w:hAnsiTheme="minorHAnsi" w:cstheme="minorHAnsi"/>
          <w:sz w:val="22"/>
          <w:szCs w:val="22"/>
          <w:lang w:val="en-GB"/>
        </w:rPr>
        <w:t xml:space="preserve">and </w:t>
      </w:r>
      <w:r w:rsidRPr="00B677B4">
        <w:rPr>
          <w:rFonts w:asciiTheme="minorHAnsi" w:hAnsiTheme="minorHAnsi" w:cstheme="minorHAnsi"/>
          <w:sz w:val="22"/>
          <w:szCs w:val="22"/>
          <w:lang w:val="en-GB"/>
        </w:rPr>
        <w:t xml:space="preserve">as articulated in it </w:t>
      </w:r>
      <w:r w:rsidRPr="00B677B4">
        <w:rPr>
          <w:rFonts w:asciiTheme="minorHAnsi" w:hAnsiTheme="minorHAnsi" w:cstheme="minorHAnsi"/>
          <w:i/>
          <w:iCs/>
          <w:sz w:val="22"/>
          <w:szCs w:val="22"/>
          <w:lang w:val="en-GB"/>
        </w:rPr>
        <w:t>its Vision 2050</w:t>
      </w:r>
      <w:r w:rsidRPr="00B677B4">
        <w:rPr>
          <w:rFonts w:asciiTheme="minorHAnsi" w:hAnsiTheme="minorHAnsi" w:cstheme="minorHAnsi"/>
          <w:sz w:val="22"/>
          <w:szCs w:val="22"/>
          <w:lang w:val="en-GB"/>
        </w:rPr>
        <w:t xml:space="preserve">, the Mongolian Government </w:t>
      </w:r>
      <w:r w:rsidR="00FC64EA" w:rsidRPr="00B677B4">
        <w:rPr>
          <w:rFonts w:asciiTheme="minorHAnsi" w:hAnsiTheme="minorHAnsi" w:cstheme="minorHAnsi"/>
          <w:sz w:val="22"/>
          <w:szCs w:val="22"/>
          <w:lang w:val="en-GB"/>
        </w:rPr>
        <w:t>priorities include</w:t>
      </w:r>
      <w:r w:rsidR="00E02930" w:rsidRPr="00B677B4">
        <w:rPr>
          <w:rFonts w:asciiTheme="minorHAnsi" w:hAnsiTheme="minorHAnsi" w:cstheme="minorHAnsi"/>
          <w:sz w:val="22"/>
          <w:szCs w:val="22"/>
          <w:lang w:val="en-GB"/>
        </w:rPr>
        <w:t xml:space="preserve"> human resource</w:t>
      </w:r>
      <w:r w:rsidRPr="00B677B4">
        <w:rPr>
          <w:rFonts w:asciiTheme="minorHAnsi" w:hAnsiTheme="minorHAnsi" w:cstheme="minorHAnsi"/>
          <w:sz w:val="22"/>
          <w:szCs w:val="22"/>
          <w:lang w:val="en-GB"/>
        </w:rPr>
        <w:t xml:space="preserve"> development</w:t>
      </w:r>
      <w:r w:rsidR="00E02930" w:rsidRPr="00B677B4">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promoting</w:t>
      </w:r>
      <w:r w:rsidR="0049770F" w:rsidRPr="00B677B4">
        <w:rPr>
          <w:rFonts w:asciiTheme="minorHAnsi" w:hAnsiTheme="minorHAnsi" w:cstheme="minorHAnsi"/>
          <w:sz w:val="22"/>
          <w:szCs w:val="22"/>
          <w:lang w:val="en-GB"/>
        </w:rPr>
        <w:t xml:space="preserve"> good governance (including e-governance), </w:t>
      </w:r>
      <w:r w:rsidRPr="00B677B4">
        <w:rPr>
          <w:rFonts w:asciiTheme="minorHAnsi" w:hAnsiTheme="minorHAnsi" w:cstheme="minorHAnsi"/>
          <w:sz w:val="22"/>
          <w:szCs w:val="22"/>
          <w:lang w:val="en-GB"/>
        </w:rPr>
        <w:t>stimulating</w:t>
      </w:r>
      <w:r w:rsidR="0049770F" w:rsidRPr="00B677B4">
        <w:rPr>
          <w:rFonts w:asciiTheme="minorHAnsi" w:hAnsiTheme="minorHAnsi" w:cstheme="minorHAnsi"/>
          <w:sz w:val="22"/>
          <w:szCs w:val="22"/>
          <w:lang w:val="en-GB"/>
        </w:rPr>
        <w:t xml:space="preserve"> green growth</w:t>
      </w:r>
      <w:r w:rsidR="00E02930" w:rsidRPr="00B677B4">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and </w:t>
      </w:r>
      <w:r w:rsidR="00E02930" w:rsidRPr="00B677B4">
        <w:rPr>
          <w:rFonts w:asciiTheme="minorHAnsi" w:hAnsiTheme="minorHAnsi" w:cstheme="minorHAnsi"/>
          <w:sz w:val="22"/>
          <w:szCs w:val="22"/>
          <w:lang w:val="en-GB"/>
        </w:rPr>
        <w:t>developing a responsible mining sector</w:t>
      </w:r>
      <w:r w:rsidR="00414F78" w:rsidRPr="00B677B4">
        <w:rPr>
          <w:rFonts w:asciiTheme="minorHAnsi" w:hAnsiTheme="minorHAnsi" w:cstheme="minorHAnsi"/>
          <w:sz w:val="22"/>
          <w:szCs w:val="22"/>
          <w:lang w:val="en-GB"/>
        </w:rPr>
        <w:t>. These concepts have been further detailed</w:t>
      </w:r>
      <w:r w:rsidR="0049770F" w:rsidRPr="00B677B4">
        <w:rPr>
          <w:rFonts w:asciiTheme="minorHAnsi" w:hAnsiTheme="minorHAnsi" w:cstheme="minorHAnsi"/>
          <w:sz w:val="22"/>
          <w:szCs w:val="22"/>
          <w:lang w:val="en-GB"/>
        </w:rPr>
        <w:t xml:space="preserve"> in the </w:t>
      </w:r>
      <w:r w:rsidR="0049770F" w:rsidRPr="00B677B4">
        <w:rPr>
          <w:rFonts w:asciiTheme="minorHAnsi" w:hAnsiTheme="minorHAnsi" w:cstheme="minorHAnsi"/>
          <w:i/>
          <w:iCs/>
          <w:sz w:val="22"/>
          <w:szCs w:val="22"/>
          <w:lang w:val="en-GB"/>
        </w:rPr>
        <w:t xml:space="preserve">New Recovery </w:t>
      </w:r>
      <w:r w:rsidR="00E02930" w:rsidRPr="00B677B4">
        <w:rPr>
          <w:rFonts w:asciiTheme="minorHAnsi" w:hAnsiTheme="minorHAnsi" w:cstheme="minorHAnsi"/>
          <w:i/>
          <w:iCs/>
          <w:sz w:val="22"/>
          <w:szCs w:val="22"/>
          <w:lang w:val="en-GB"/>
        </w:rPr>
        <w:t>Policy</w:t>
      </w:r>
      <w:r w:rsidR="00E02930" w:rsidRPr="00B677B4">
        <w:rPr>
          <w:rFonts w:asciiTheme="minorHAnsi" w:hAnsiTheme="minorHAnsi" w:cstheme="minorHAnsi"/>
          <w:sz w:val="22"/>
          <w:szCs w:val="22"/>
          <w:lang w:val="en-GB"/>
        </w:rPr>
        <w:t xml:space="preserve"> </w:t>
      </w:r>
      <w:r w:rsidR="0049770F" w:rsidRPr="00B677B4">
        <w:rPr>
          <w:rFonts w:asciiTheme="minorHAnsi" w:hAnsiTheme="minorHAnsi" w:cstheme="minorHAnsi"/>
          <w:sz w:val="22"/>
          <w:szCs w:val="22"/>
          <w:lang w:val="en-GB"/>
        </w:rPr>
        <w:t>which</w:t>
      </w:r>
      <w:r w:rsidR="00E02930" w:rsidRPr="00B677B4">
        <w:rPr>
          <w:rFonts w:asciiTheme="minorHAnsi" w:hAnsiTheme="minorHAnsi" w:cstheme="minorHAnsi"/>
          <w:sz w:val="22"/>
          <w:szCs w:val="22"/>
          <w:lang w:val="en-GB"/>
        </w:rPr>
        <w:t xml:space="preserve"> provides a roadmap towards the realisation of Vision 2050 and addresses six </w:t>
      </w:r>
      <w:r w:rsidR="00414F78" w:rsidRPr="00B677B4">
        <w:rPr>
          <w:rFonts w:asciiTheme="minorHAnsi" w:hAnsiTheme="minorHAnsi" w:cstheme="minorHAnsi"/>
          <w:sz w:val="22"/>
          <w:szCs w:val="22"/>
          <w:lang w:val="en-GB"/>
        </w:rPr>
        <w:t>recovery areas which needed to be addressed post-pandemic to enhance Mongolian development, including establishing more value-added mining processes, invest</w:t>
      </w:r>
      <w:r w:rsidRPr="00B677B4">
        <w:rPr>
          <w:rFonts w:asciiTheme="minorHAnsi" w:hAnsiTheme="minorHAnsi" w:cstheme="minorHAnsi"/>
          <w:sz w:val="22"/>
          <w:szCs w:val="22"/>
          <w:lang w:val="en-GB"/>
        </w:rPr>
        <w:t>ing</w:t>
      </w:r>
      <w:r w:rsidR="00414F78" w:rsidRPr="00B677B4">
        <w:rPr>
          <w:rFonts w:asciiTheme="minorHAnsi" w:hAnsiTheme="minorHAnsi" w:cstheme="minorHAnsi"/>
          <w:sz w:val="22"/>
          <w:szCs w:val="22"/>
          <w:lang w:val="en-GB"/>
        </w:rPr>
        <w:t xml:space="preserve"> in less polluting sources of energy, greater digitalisation of government services, and promoting good governance across government agencies. </w:t>
      </w:r>
      <w:r w:rsidR="009F4EE3" w:rsidRPr="00B677B4">
        <w:rPr>
          <w:rFonts w:asciiTheme="minorHAnsi" w:hAnsiTheme="minorHAnsi" w:cstheme="minorHAnsi"/>
          <w:sz w:val="22"/>
          <w:szCs w:val="22"/>
          <w:lang w:val="en-GB"/>
        </w:rPr>
        <w:t xml:space="preserve"> </w:t>
      </w:r>
    </w:p>
    <w:p w14:paraId="0C208BEC" w14:textId="77777777" w:rsidR="00C43BF4" w:rsidRPr="00B677B4" w:rsidRDefault="00C43BF4" w:rsidP="00C7129F">
      <w:pPr>
        <w:pStyle w:val="Default"/>
        <w:spacing w:line="276" w:lineRule="auto"/>
        <w:rPr>
          <w:rFonts w:asciiTheme="minorHAnsi" w:hAnsiTheme="minorHAnsi" w:cstheme="minorHAnsi"/>
          <w:sz w:val="22"/>
          <w:szCs w:val="22"/>
          <w:lang w:val="en-GB"/>
        </w:rPr>
      </w:pPr>
    </w:p>
    <w:p w14:paraId="10825CD5" w14:textId="315EABF9" w:rsidR="0049770F" w:rsidRPr="00B677B4" w:rsidRDefault="00C43BF4" w:rsidP="00C7129F">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AMEP II demonstrates </w:t>
      </w:r>
      <w:r w:rsidR="009F4EE3" w:rsidRPr="00B677B4">
        <w:rPr>
          <w:rFonts w:asciiTheme="minorHAnsi" w:hAnsiTheme="minorHAnsi" w:cstheme="minorHAnsi"/>
          <w:sz w:val="22"/>
          <w:szCs w:val="22"/>
          <w:lang w:val="en-GB"/>
        </w:rPr>
        <w:t xml:space="preserve">strong alignment and </w:t>
      </w:r>
      <w:r w:rsidR="00B875F9" w:rsidRPr="00B677B4">
        <w:rPr>
          <w:rFonts w:asciiTheme="minorHAnsi" w:hAnsiTheme="minorHAnsi" w:cstheme="minorHAnsi"/>
          <w:sz w:val="22"/>
          <w:szCs w:val="22"/>
          <w:lang w:val="en-GB"/>
        </w:rPr>
        <w:t>linkages</w:t>
      </w:r>
      <w:r w:rsidR="009F4EE3" w:rsidRPr="00B677B4">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with</w:t>
      </w:r>
      <w:r w:rsidR="009F4EE3" w:rsidRPr="00B677B4">
        <w:rPr>
          <w:rFonts w:asciiTheme="minorHAnsi" w:hAnsiTheme="minorHAnsi" w:cstheme="minorHAnsi"/>
          <w:sz w:val="22"/>
          <w:szCs w:val="22"/>
          <w:lang w:val="en-GB"/>
        </w:rPr>
        <w:t xml:space="preserve"> the policy priorities of the Mongolian government</w:t>
      </w:r>
      <w:r w:rsidRPr="00B677B4">
        <w:rPr>
          <w:rFonts w:asciiTheme="minorHAnsi" w:hAnsiTheme="minorHAnsi" w:cstheme="minorHAnsi"/>
          <w:sz w:val="22"/>
          <w:szCs w:val="22"/>
          <w:lang w:val="en-GB"/>
        </w:rPr>
        <w:t>, examples include</w:t>
      </w:r>
      <w:r w:rsidR="009F4EE3" w:rsidRPr="00B677B4">
        <w:rPr>
          <w:rFonts w:asciiTheme="minorHAnsi" w:hAnsiTheme="minorHAnsi" w:cstheme="minorHAnsi"/>
          <w:sz w:val="22"/>
          <w:szCs w:val="22"/>
          <w:lang w:val="en-GB"/>
        </w:rPr>
        <w:t>:</w:t>
      </w:r>
    </w:p>
    <w:p w14:paraId="5F3D78F7" w14:textId="545673EC" w:rsidR="00A2299E" w:rsidRPr="00B677B4" w:rsidRDefault="00A2299E" w:rsidP="00C7129F">
      <w:pPr>
        <w:pStyle w:val="Default"/>
        <w:spacing w:line="276" w:lineRule="auto"/>
        <w:rPr>
          <w:rFonts w:asciiTheme="minorHAnsi" w:hAnsiTheme="minorHAnsi" w:cstheme="minorHAnsi"/>
          <w:sz w:val="22"/>
          <w:szCs w:val="22"/>
          <w:lang w:val="en-GB"/>
        </w:rPr>
      </w:pPr>
    </w:p>
    <w:tbl>
      <w:tblPr>
        <w:tblStyle w:val="table-style-blauw-100-outline"/>
        <w:tblW w:w="0" w:type="auto"/>
        <w:tblLook w:val="04A0" w:firstRow="1" w:lastRow="0" w:firstColumn="1" w:lastColumn="0" w:noHBand="0" w:noVBand="1"/>
      </w:tblPr>
      <w:tblGrid>
        <w:gridCol w:w="2970"/>
        <w:gridCol w:w="6034"/>
      </w:tblGrid>
      <w:tr w:rsidR="00A2299E" w:rsidRPr="00B677B4" w14:paraId="5D6C53C1" w14:textId="77777777" w:rsidTr="003668F5">
        <w:trPr>
          <w:cnfStyle w:val="100000000000" w:firstRow="1" w:lastRow="0" w:firstColumn="0" w:lastColumn="0" w:oddVBand="0" w:evenVBand="0" w:oddHBand="0" w:evenHBand="0" w:firstRowFirstColumn="0" w:firstRowLastColumn="0" w:lastRowFirstColumn="0" w:lastRowLastColumn="0"/>
          <w:tblHeader/>
        </w:trPr>
        <w:tc>
          <w:tcPr>
            <w:tcW w:w="2972" w:type="dxa"/>
            <w:shd w:val="clear" w:color="auto" w:fill="D9E2F3" w:themeFill="accent1" w:themeFillTint="33"/>
          </w:tcPr>
          <w:p w14:paraId="5DA586EC" w14:textId="6294F673"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Policy Priority</w:t>
            </w:r>
          </w:p>
        </w:tc>
        <w:tc>
          <w:tcPr>
            <w:tcW w:w="6038" w:type="dxa"/>
            <w:shd w:val="clear" w:color="auto" w:fill="D9E2F3" w:themeFill="accent1" w:themeFillTint="33"/>
          </w:tcPr>
          <w:p w14:paraId="3236050B" w14:textId="0ABEE2EB"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Examples of AMEP II Activities</w:t>
            </w:r>
          </w:p>
        </w:tc>
      </w:tr>
      <w:tr w:rsidR="00A2299E" w:rsidRPr="00B677B4" w14:paraId="717437AF" w14:textId="77777777" w:rsidTr="00A2299E">
        <w:trPr>
          <w:cnfStyle w:val="000000100000" w:firstRow="0" w:lastRow="0" w:firstColumn="0" w:lastColumn="0" w:oddVBand="0" w:evenVBand="0" w:oddHBand="1" w:evenHBand="0" w:firstRowFirstColumn="0" w:firstRowLastColumn="0" w:lastRowFirstColumn="0" w:lastRowLastColumn="0"/>
        </w:trPr>
        <w:tc>
          <w:tcPr>
            <w:tcW w:w="2972" w:type="dxa"/>
          </w:tcPr>
          <w:p w14:paraId="1FD60E5F" w14:textId="5CF2F708"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Good governance</w:t>
            </w:r>
          </w:p>
        </w:tc>
        <w:tc>
          <w:tcPr>
            <w:tcW w:w="6038" w:type="dxa"/>
          </w:tcPr>
          <w:p w14:paraId="197DE51B" w14:textId="77777777" w:rsidR="00CF31B5" w:rsidRPr="00B677B4" w:rsidRDefault="00A2299E">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 xml:space="preserve">Regulations and guidance materials for new Minerals Law, </w:t>
            </w:r>
          </w:p>
          <w:p w14:paraId="3EE3C182" w14:textId="77777777" w:rsidR="00CF31B5" w:rsidRPr="00B677B4" w:rsidRDefault="00A2299E">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 xml:space="preserve">effective tax rate study, </w:t>
            </w:r>
          </w:p>
          <w:p w14:paraId="487C5F2F" w14:textId="77777777" w:rsidR="00CF31B5" w:rsidRPr="00B677B4" w:rsidRDefault="00A2299E">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 xml:space="preserve">study on royalty on minor elements of concentrate, </w:t>
            </w:r>
          </w:p>
          <w:p w14:paraId="00D7BB86" w14:textId="77777777" w:rsidR="00CF31B5" w:rsidRPr="00B677B4" w:rsidRDefault="00A2299E">
            <w:pPr>
              <w:pStyle w:val="Default"/>
              <w:numPr>
                <w:ilvl w:val="0"/>
                <w:numId w:val="28"/>
              </w:numPr>
              <w:spacing w:line="276" w:lineRule="auto"/>
              <w:rPr>
                <w:rFonts w:ascii="Arial" w:hAnsi="Arial" w:cs="Arial"/>
                <w:sz w:val="18"/>
                <w:szCs w:val="18"/>
                <w:lang w:val="en-GB"/>
              </w:rPr>
            </w:pPr>
            <w:r w:rsidRPr="00B677B4">
              <w:rPr>
                <w:rFonts w:ascii="Arial" w:hAnsi="Arial" w:cs="Arial"/>
                <w:bCs/>
                <w:sz w:val="18"/>
                <w:szCs w:val="18"/>
                <w:lang w:val="en-GB"/>
              </w:rPr>
              <w:t xml:space="preserve">Development of Accounting Standards for Financial Reporting in Mining sector, </w:t>
            </w:r>
          </w:p>
          <w:p w14:paraId="44228D7A" w14:textId="77777777" w:rsidR="00A2299E" w:rsidRPr="00B677B4" w:rsidRDefault="00A2299E">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Support to the Implementation of New Transfer Pricing Rules</w:t>
            </w:r>
          </w:p>
          <w:p w14:paraId="71F224A1" w14:textId="3DF02222" w:rsidR="00CF31B5" w:rsidRPr="00B677B4" w:rsidRDefault="00CF31B5">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Royalty Options paper</w:t>
            </w:r>
          </w:p>
        </w:tc>
      </w:tr>
      <w:tr w:rsidR="00A2299E" w:rsidRPr="00B677B4" w14:paraId="02B55CEF" w14:textId="77777777" w:rsidTr="00A2299E">
        <w:trPr>
          <w:cnfStyle w:val="000000010000" w:firstRow="0" w:lastRow="0" w:firstColumn="0" w:lastColumn="0" w:oddVBand="0" w:evenVBand="0" w:oddHBand="0" w:evenHBand="1" w:firstRowFirstColumn="0" w:firstRowLastColumn="0" w:lastRowFirstColumn="0" w:lastRowLastColumn="0"/>
        </w:trPr>
        <w:tc>
          <w:tcPr>
            <w:tcW w:w="2972" w:type="dxa"/>
          </w:tcPr>
          <w:p w14:paraId="128936E1" w14:textId="04B18910"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Digitalisation</w:t>
            </w:r>
          </w:p>
        </w:tc>
        <w:tc>
          <w:tcPr>
            <w:tcW w:w="6038" w:type="dxa"/>
          </w:tcPr>
          <w:p w14:paraId="76A1D667" w14:textId="41274C63" w:rsidR="00CF31B5" w:rsidRPr="00B677B4" w:rsidRDefault="00A2299E">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National Geoscience Database (NGB)</w:t>
            </w:r>
          </w:p>
          <w:p w14:paraId="76E53FCC" w14:textId="77777777" w:rsidR="00A2299E" w:rsidRPr="00B677B4" w:rsidRDefault="00A2299E">
            <w:pPr>
              <w:pStyle w:val="Default"/>
              <w:numPr>
                <w:ilvl w:val="0"/>
                <w:numId w:val="28"/>
              </w:numPr>
              <w:spacing w:line="276" w:lineRule="auto"/>
              <w:rPr>
                <w:rFonts w:ascii="Arial" w:hAnsi="Arial" w:cs="Arial"/>
                <w:sz w:val="18"/>
                <w:szCs w:val="18"/>
                <w:lang w:val="en-GB"/>
              </w:rPr>
            </w:pPr>
            <w:proofErr w:type="spellStart"/>
            <w:r w:rsidRPr="00B677B4">
              <w:rPr>
                <w:rFonts w:ascii="Arial" w:hAnsi="Arial" w:cs="Arial"/>
                <w:sz w:val="18"/>
                <w:szCs w:val="18"/>
                <w:lang w:val="en-GB"/>
              </w:rPr>
              <w:t>MonGeoCat</w:t>
            </w:r>
            <w:proofErr w:type="spellEnd"/>
          </w:p>
          <w:p w14:paraId="350B046B" w14:textId="7BBF6AA3" w:rsidR="00CF31B5" w:rsidRPr="00B677B4" w:rsidRDefault="00CF31B5">
            <w:pPr>
              <w:pStyle w:val="Default"/>
              <w:numPr>
                <w:ilvl w:val="0"/>
                <w:numId w:val="28"/>
              </w:numPr>
              <w:spacing w:line="276" w:lineRule="auto"/>
              <w:rPr>
                <w:rFonts w:ascii="Arial" w:hAnsi="Arial" w:cs="Arial"/>
                <w:sz w:val="18"/>
                <w:szCs w:val="18"/>
                <w:lang w:val="en-GB"/>
              </w:rPr>
            </w:pPr>
            <w:r w:rsidRPr="00B677B4">
              <w:rPr>
                <w:rFonts w:ascii="Arial" w:hAnsi="Arial" w:cs="Arial"/>
                <w:sz w:val="18"/>
                <w:szCs w:val="18"/>
                <w:lang w:val="en-GB"/>
              </w:rPr>
              <w:t>Roadmap for the technical integration of MMHI-MRPAM and NGS Information Systems</w:t>
            </w:r>
          </w:p>
        </w:tc>
      </w:tr>
      <w:tr w:rsidR="00A2299E" w:rsidRPr="00B677B4" w14:paraId="213634FC" w14:textId="77777777" w:rsidTr="00A2299E">
        <w:trPr>
          <w:cnfStyle w:val="000000100000" w:firstRow="0" w:lastRow="0" w:firstColumn="0" w:lastColumn="0" w:oddVBand="0" w:evenVBand="0" w:oddHBand="1" w:evenHBand="0" w:firstRowFirstColumn="0" w:firstRowLastColumn="0" w:lastRowFirstColumn="0" w:lastRowLastColumn="0"/>
        </w:trPr>
        <w:tc>
          <w:tcPr>
            <w:tcW w:w="2972" w:type="dxa"/>
          </w:tcPr>
          <w:p w14:paraId="02BAEB0F" w14:textId="5F5F032E"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Information transparency</w:t>
            </w:r>
          </w:p>
        </w:tc>
        <w:tc>
          <w:tcPr>
            <w:tcW w:w="6038" w:type="dxa"/>
          </w:tcPr>
          <w:p w14:paraId="57D854B3" w14:textId="477027AD"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Support to on-line digital licensing and tendering process</w:t>
            </w:r>
          </w:p>
        </w:tc>
      </w:tr>
      <w:tr w:rsidR="00A2299E" w:rsidRPr="00B677B4" w14:paraId="39E6E239" w14:textId="77777777" w:rsidTr="00A2299E">
        <w:trPr>
          <w:cnfStyle w:val="000000010000" w:firstRow="0" w:lastRow="0" w:firstColumn="0" w:lastColumn="0" w:oddVBand="0" w:evenVBand="0" w:oddHBand="0" w:evenHBand="1" w:firstRowFirstColumn="0" w:firstRowLastColumn="0" w:lastRowFirstColumn="0" w:lastRowLastColumn="0"/>
        </w:trPr>
        <w:tc>
          <w:tcPr>
            <w:tcW w:w="2972" w:type="dxa"/>
          </w:tcPr>
          <w:p w14:paraId="379B7134" w14:textId="5E156B84"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lastRenderedPageBreak/>
              <w:t>Responsible mining</w:t>
            </w:r>
          </w:p>
        </w:tc>
        <w:tc>
          <w:tcPr>
            <w:tcW w:w="6038" w:type="dxa"/>
          </w:tcPr>
          <w:p w14:paraId="79AAB113" w14:textId="56AB116F" w:rsidR="00A2299E" w:rsidRPr="00B677B4" w:rsidRDefault="00A2299E">
            <w:pPr>
              <w:pStyle w:val="Default"/>
              <w:numPr>
                <w:ilvl w:val="0"/>
                <w:numId w:val="27"/>
              </w:numPr>
              <w:spacing w:line="276" w:lineRule="auto"/>
              <w:rPr>
                <w:rFonts w:ascii="Arial" w:hAnsi="Arial" w:cs="Arial"/>
                <w:sz w:val="18"/>
                <w:szCs w:val="18"/>
                <w:lang w:val="en-GB"/>
              </w:rPr>
            </w:pPr>
            <w:r w:rsidRPr="00B677B4">
              <w:rPr>
                <w:rFonts w:ascii="Arial" w:hAnsi="Arial" w:cs="Arial"/>
                <w:sz w:val="18"/>
                <w:szCs w:val="18"/>
                <w:lang w:val="en-GB"/>
              </w:rPr>
              <w:t>Ongoing support to MONVAL committee</w:t>
            </w:r>
          </w:p>
          <w:p w14:paraId="7BC8B6F2" w14:textId="7AF5D374" w:rsidR="00CF31B5" w:rsidRPr="00B677B4" w:rsidRDefault="00CF31B5">
            <w:pPr>
              <w:pStyle w:val="Default"/>
              <w:numPr>
                <w:ilvl w:val="0"/>
                <w:numId w:val="27"/>
              </w:numPr>
              <w:spacing w:line="276" w:lineRule="auto"/>
              <w:rPr>
                <w:rFonts w:ascii="Arial" w:hAnsi="Arial" w:cs="Arial"/>
                <w:sz w:val="18"/>
                <w:szCs w:val="18"/>
                <w:lang w:val="en-GB"/>
              </w:rPr>
            </w:pPr>
            <w:r w:rsidRPr="00B677B4">
              <w:rPr>
                <w:rFonts w:ascii="Arial" w:hAnsi="Arial" w:cs="Arial"/>
                <w:sz w:val="18"/>
                <w:szCs w:val="18"/>
                <w:lang w:val="en-GB"/>
              </w:rPr>
              <w:t>Development of the Responsible Mining Framework for Mongolia with Mongolian National Mining Association</w:t>
            </w:r>
          </w:p>
          <w:p w14:paraId="6FA969D1" w14:textId="77777777" w:rsidR="00CF31B5" w:rsidRPr="00B677B4" w:rsidRDefault="00CF31B5">
            <w:pPr>
              <w:pStyle w:val="Default"/>
              <w:numPr>
                <w:ilvl w:val="0"/>
                <w:numId w:val="27"/>
              </w:numPr>
              <w:spacing w:line="276" w:lineRule="auto"/>
              <w:rPr>
                <w:rFonts w:ascii="Arial" w:hAnsi="Arial" w:cs="Arial"/>
                <w:sz w:val="18"/>
                <w:szCs w:val="18"/>
                <w:lang w:val="en-GB"/>
              </w:rPr>
            </w:pPr>
            <w:r w:rsidRPr="00B677B4">
              <w:rPr>
                <w:rFonts w:ascii="Arial" w:hAnsi="Arial" w:cs="Arial"/>
                <w:sz w:val="18"/>
                <w:szCs w:val="18"/>
                <w:lang w:val="en-GB"/>
              </w:rPr>
              <w:t>Efforts to enhance mining affected communities in Mining (</w:t>
            </w:r>
            <w:proofErr w:type="spellStart"/>
            <w:r w:rsidRPr="00B677B4">
              <w:rPr>
                <w:rFonts w:ascii="Arial" w:hAnsi="Arial" w:cs="Arial"/>
                <w:sz w:val="18"/>
                <w:szCs w:val="18"/>
                <w:lang w:val="en-GB"/>
              </w:rPr>
              <w:t>e.e.</w:t>
            </w:r>
            <w:proofErr w:type="spellEnd"/>
            <w:r w:rsidRPr="00B677B4">
              <w:rPr>
                <w:rFonts w:ascii="Arial" w:hAnsi="Arial" w:cs="Arial"/>
                <w:sz w:val="18"/>
                <w:szCs w:val="18"/>
                <w:lang w:val="en-GB"/>
              </w:rPr>
              <w:t xml:space="preserve"> ‘Making Mining Valuable’ initiative)</w:t>
            </w:r>
          </w:p>
          <w:p w14:paraId="6152A092" w14:textId="1E587C4E" w:rsidR="00CF31B5" w:rsidRPr="00B677B4" w:rsidRDefault="00CF31B5">
            <w:pPr>
              <w:pStyle w:val="Default"/>
              <w:numPr>
                <w:ilvl w:val="0"/>
                <w:numId w:val="27"/>
              </w:numPr>
              <w:spacing w:line="276" w:lineRule="auto"/>
              <w:rPr>
                <w:rFonts w:ascii="Arial" w:hAnsi="Arial" w:cs="Arial"/>
                <w:sz w:val="18"/>
                <w:szCs w:val="18"/>
                <w:lang w:val="en-GB"/>
              </w:rPr>
            </w:pPr>
            <w:r w:rsidRPr="00B677B4">
              <w:rPr>
                <w:rFonts w:ascii="Arial" w:hAnsi="Arial" w:cs="Arial"/>
                <w:sz w:val="18"/>
                <w:szCs w:val="18"/>
                <w:lang w:val="en-GB"/>
              </w:rPr>
              <w:t>Roadmap to improve conflict management in the mining sector</w:t>
            </w:r>
          </w:p>
        </w:tc>
      </w:tr>
      <w:tr w:rsidR="00A2299E" w:rsidRPr="00B677B4" w14:paraId="0958FDDF" w14:textId="77777777" w:rsidTr="00A2299E">
        <w:trPr>
          <w:cnfStyle w:val="000000100000" w:firstRow="0" w:lastRow="0" w:firstColumn="0" w:lastColumn="0" w:oddVBand="0" w:evenVBand="0" w:oddHBand="1" w:evenHBand="0" w:firstRowFirstColumn="0" w:firstRowLastColumn="0" w:lastRowFirstColumn="0" w:lastRowLastColumn="0"/>
        </w:trPr>
        <w:tc>
          <w:tcPr>
            <w:tcW w:w="2972" w:type="dxa"/>
          </w:tcPr>
          <w:p w14:paraId="69816EBC" w14:textId="7798CBC0"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Environment</w:t>
            </w:r>
          </w:p>
        </w:tc>
        <w:tc>
          <w:tcPr>
            <w:tcW w:w="6038" w:type="dxa"/>
          </w:tcPr>
          <w:p w14:paraId="02506689" w14:textId="77777777" w:rsidR="00CF31B5" w:rsidRPr="00B677B4" w:rsidRDefault="00A2299E">
            <w:pPr>
              <w:pStyle w:val="Default"/>
              <w:numPr>
                <w:ilvl w:val="0"/>
                <w:numId w:val="29"/>
              </w:numPr>
              <w:spacing w:line="276" w:lineRule="auto"/>
              <w:rPr>
                <w:rFonts w:ascii="Arial" w:hAnsi="Arial" w:cs="Arial"/>
                <w:sz w:val="18"/>
                <w:szCs w:val="18"/>
                <w:lang w:val="en-GB"/>
              </w:rPr>
            </w:pPr>
            <w:r w:rsidRPr="00B677B4">
              <w:rPr>
                <w:rFonts w:ascii="Arial" w:hAnsi="Arial" w:cs="Arial"/>
                <w:sz w:val="18"/>
                <w:szCs w:val="18"/>
                <w:lang w:val="en-GB"/>
              </w:rPr>
              <w:t xml:space="preserve">Supporting public participation in Environmental Impact Assessments, </w:t>
            </w:r>
          </w:p>
          <w:p w14:paraId="2B7B4603" w14:textId="77777777" w:rsidR="00CF31B5" w:rsidRPr="00B677B4" w:rsidRDefault="00A2299E">
            <w:pPr>
              <w:pStyle w:val="Default"/>
              <w:numPr>
                <w:ilvl w:val="0"/>
                <w:numId w:val="29"/>
              </w:numPr>
              <w:spacing w:line="276" w:lineRule="auto"/>
              <w:rPr>
                <w:rFonts w:ascii="Arial" w:hAnsi="Arial" w:cs="Arial"/>
                <w:sz w:val="18"/>
                <w:szCs w:val="18"/>
                <w:lang w:val="en-GB"/>
              </w:rPr>
            </w:pPr>
            <w:r w:rsidRPr="00B677B4">
              <w:rPr>
                <w:rFonts w:ascii="Arial" w:hAnsi="Arial" w:cs="Arial"/>
                <w:sz w:val="18"/>
                <w:szCs w:val="18"/>
                <w:lang w:val="en-GB"/>
              </w:rPr>
              <w:t xml:space="preserve">Environmental Auditors certification, </w:t>
            </w:r>
          </w:p>
          <w:p w14:paraId="25820DD2" w14:textId="617A4A25" w:rsidR="00A2299E" w:rsidRPr="00B677B4" w:rsidRDefault="00A2299E">
            <w:pPr>
              <w:pStyle w:val="Default"/>
              <w:numPr>
                <w:ilvl w:val="0"/>
                <w:numId w:val="29"/>
              </w:numPr>
              <w:spacing w:line="276" w:lineRule="auto"/>
              <w:rPr>
                <w:rFonts w:ascii="Arial" w:hAnsi="Arial" w:cs="Arial"/>
                <w:sz w:val="18"/>
                <w:szCs w:val="18"/>
                <w:lang w:val="en-GB"/>
              </w:rPr>
            </w:pPr>
            <w:r w:rsidRPr="00B677B4">
              <w:rPr>
                <w:rFonts w:ascii="Arial" w:hAnsi="Arial" w:cs="Arial"/>
                <w:sz w:val="18"/>
                <w:szCs w:val="18"/>
                <w:lang w:val="en-GB"/>
              </w:rPr>
              <w:t>accounting guidelines for rehabilitation funding</w:t>
            </w:r>
          </w:p>
        </w:tc>
      </w:tr>
      <w:tr w:rsidR="00A2299E" w:rsidRPr="00B677B4" w14:paraId="060BC75C" w14:textId="77777777" w:rsidTr="00A2299E">
        <w:trPr>
          <w:cnfStyle w:val="000000010000" w:firstRow="0" w:lastRow="0" w:firstColumn="0" w:lastColumn="0" w:oddVBand="0" w:evenVBand="0" w:oddHBand="0" w:evenHBand="1" w:firstRowFirstColumn="0" w:firstRowLastColumn="0" w:lastRowFirstColumn="0" w:lastRowLastColumn="0"/>
        </w:trPr>
        <w:tc>
          <w:tcPr>
            <w:tcW w:w="2972" w:type="dxa"/>
          </w:tcPr>
          <w:p w14:paraId="360FF98D" w14:textId="7049DAD8"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Inclusivity/ Gender equality</w:t>
            </w:r>
          </w:p>
        </w:tc>
        <w:tc>
          <w:tcPr>
            <w:tcW w:w="6038" w:type="dxa"/>
          </w:tcPr>
          <w:p w14:paraId="4B83A1E8" w14:textId="77777777" w:rsidR="00A2299E" w:rsidRPr="00B677B4" w:rsidRDefault="00A2299E">
            <w:pPr>
              <w:pStyle w:val="Default"/>
              <w:numPr>
                <w:ilvl w:val="0"/>
                <w:numId w:val="31"/>
              </w:numPr>
              <w:spacing w:line="276" w:lineRule="auto"/>
              <w:rPr>
                <w:rFonts w:ascii="Arial" w:hAnsi="Arial" w:cs="Arial"/>
                <w:sz w:val="18"/>
                <w:szCs w:val="18"/>
                <w:lang w:val="en-GB"/>
              </w:rPr>
            </w:pPr>
            <w:r w:rsidRPr="00B677B4">
              <w:rPr>
                <w:rFonts w:ascii="Arial" w:hAnsi="Arial" w:cs="Arial"/>
                <w:sz w:val="18"/>
                <w:szCs w:val="18"/>
                <w:lang w:val="en-GB"/>
              </w:rPr>
              <w:t>Development of on-line gender diversity and inclusion course</w:t>
            </w:r>
          </w:p>
          <w:p w14:paraId="1DE57024" w14:textId="41044140" w:rsidR="00CF31B5" w:rsidRPr="00B677B4" w:rsidRDefault="00CF31B5">
            <w:pPr>
              <w:pStyle w:val="Default"/>
              <w:numPr>
                <w:ilvl w:val="0"/>
                <w:numId w:val="31"/>
              </w:numPr>
              <w:spacing w:line="276" w:lineRule="auto"/>
              <w:rPr>
                <w:rFonts w:ascii="Arial" w:hAnsi="Arial" w:cs="Arial"/>
                <w:sz w:val="18"/>
                <w:szCs w:val="18"/>
                <w:lang w:val="en-GB"/>
              </w:rPr>
            </w:pPr>
            <w:r w:rsidRPr="00B677B4">
              <w:rPr>
                <w:rFonts w:ascii="Arial" w:hAnsi="Arial" w:cs="Arial"/>
                <w:sz w:val="18"/>
                <w:szCs w:val="18"/>
                <w:lang w:val="en-GB"/>
              </w:rPr>
              <w:t>Monitoring on Gender and Human Rights Training Program</w:t>
            </w:r>
          </w:p>
        </w:tc>
      </w:tr>
      <w:tr w:rsidR="00A2299E" w:rsidRPr="00B677B4" w14:paraId="035FEED5" w14:textId="77777777" w:rsidTr="00A2299E">
        <w:trPr>
          <w:cnfStyle w:val="000000100000" w:firstRow="0" w:lastRow="0" w:firstColumn="0" w:lastColumn="0" w:oddVBand="0" w:evenVBand="0" w:oddHBand="1" w:evenHBand="0" w:firstRowFirstColumn="0" w:firstRowLastColumn="0" w:lastRowFirstColumn="0" w:lastRowLastColumn="0"/>
        </w:trPr>
        <w:tc>
          <w:tcPr>
            <w:tcW w:w="2972" w:type="dxa"/>
          </w:tcPr>
          <w:p w14:paraId="40D61824" w14:textId="034FBD5D" w:rsidR="00A2299E" w:rsidRPr="00B677B4" w:rsidRDefault="00A2299E"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 xml:space="preserve">Green Energy  </w:t>
            </w:r>
          </w:p>
        </w:tc>
        <w:tc>
          <w:tcPr>
            <w:tcW w:w="6038" w:type="dxa"/>
          </w:tcPr>
          <w:p w14:paraId="527C6AD4" w14:textId="77777777" w:rsidR="00CF31B5" w:rsidRPr="00B677B4" w:rsidRDefault="00A2299E">
            <w:pPr>
              <w:pStyle w:val="Default"/>
              <w:numPr>
                <w:ilvl w:val="0"/>
                <w:numId w:val="30"/>
              </w:numPr>
              <w:spacing w:line="276" w:lineRule="auto"/>
              <w:rPr>
                <w:rFonts w:ascii="Arial" w:hAnsi="Arial" w:cs="Arial"/>
                <w:sz w:val="18"/>
                <w:szCs w:val="18"/>
                <w:lang w:val="en-GB"/>
              </w:rPr>
            </w:pPr>
            <w:r w:rsidRPr="00B677B4">
              <w:rPr>
                <w:rFonts w:ascii="Arial" w:hAnsi="Arial" w:cs="Arial"/>
                <w:sz w:val="18"/>
                <w:szCs w:val="18"/>
                <w:lang w:val="en-GB"/>
              </w:rPr>
              <w:t xml:space="preserve">Geoscience data for CBM, </w:t>
            </w:r>
          </w:p>
          <w:p w14:paraId="37BCE843" w14:textId="77777777" w:rsidR="00A2299E" w:rsidRPr="00B677B4" w:rsidRDefault="00CF31B5">
            <w:pPr>
              <w:pStyle w:val="Default"/>
              <w:numPr>
                <w:ilvl w:val="0"/>
                <w:numId w:val="30"/>
              </w:numPr>
              <w:spacing w:line="276" w:lineRule="auto"/>
              <w:rPr>
                <w:rFonts w:ascii="Arial" w:hAnsi="Arial" w:cs="Arial"/>
                <w:sz w:val="18"/>
                <w:szCs w:val="18"/>
                <w:lang w:val="en-GB"/>
              </w:rPr>
            </w:pPr>
            <w:r w:rsidRPr="00B677B4">
              <w:rPr>
                <w:rFonts w:ascii="Arial" w:hAnsi="Arial" w:cs="Arial"/>
                <w:sz w:val="18"/>
                <w:szCs w:val="18"/>
                <w:lang w:val="en-GB"/>
              </w:rPr>
              <w:t>D</w:t>
            </w:r>
            <w:r w:rsidR="00A2299E" w:rsidRPr="00B677B4">
              <w:rPr>
                <w:rFonts w:ascii="Arial" w:hAnsi="Arial" w:cs="Arial"/>
                <w:sz w:val="18"/>
                <w:szCs w:val="18"/>
                <w:lang w:val="en-GB"/>
              </w:rPr>
              <w:t>ata processing and quality assurance on Rare Earth Element Rock samples</w:t>
            </w:r>
          </w:p>
          <w:p w14:paraId="7068E682" w14:textId="35633070" w:rsidR="00CF31B5" w:rsidRPr="00B677B4" w:rsidRDefault="00CF31B5">
            <w:pPr>
              <w:pStyle w:val="Default"/>
              <w:numPr>
                <w:ilvl w:val="0"/>
                <w:numId w:val="30"/>
              </w:numPr>
              <w:spacing w:line="276" w:lineRule="auto"/>
              <w:rPr>
                <w:rFonts w:ascii="Arial" w:hAnsi="Arial" w:cs="Arial"/>
                <w:sz w:val="18"/>
                <w:szCs w:val="18"/>
                <w:lang w:val="en-GB"/>
              </w:rPr>
            </w:pPr>
            <w:r w:rsidRPr="00B677B4">
              <w:rPr>
                <w:rFonts w:ascii="Arial" w:hAnsi="Arial" w:cs="Arial"/>
                <w:sz w:val="18"/>
                <w:szCs w:val="18"/>
                <w:lang w:val="en-GB"/>
              </w:rPr>
              <w:t>Assessment of the barriers to energy transition in Mongolia</w:t>
            </w:r>
          </w:p>
        </w:tc>
      </w:tr>
      <w:tr w:rsidR="00CF31B5" w:rsidRPr="00B677B4" w14:paraId="05DDA789" w14:textId="77777777" w:rsidTr="00A2299E">
        <w:trPr>
          <w:cnfStyle w:val="000000010000" w:firstRow="0" w:lastRow="0" w:firstColumn="0" w:lastColumn="0" w:oddVBand="0" w:evenVBand="0" w:oddHBand="0" w:evenHBand="1" w:firstRowFirstColumn="0" w:firstRowLastColumn="0" w:lastRowFirstColumn="0" w:lastRowLastColumn="0"/>
        </w:trPr>
        <w:tc>
          <w:tcPr>
            <w:tcW w:w="2972" w:type="dxa"/>
          </w:tcPr>
          <w:p w14:paraId="25FD88FF" w14:textId="7F41B51D" w:rsidR="00CF31B5" w:rsidRPr="00B677B4" w:rsidRDefault="00CF31B5" w:rsidP="00C7129F">
            <w:pPr>
              <w:pStyle w:val="Default"/>
              <w:spacing w:line="276" w:lineRule="auto"/>
              <w:rPr>
                <w:rFonts w:ascii="Arial" w:hAnsi="Arial" w:cs="Arial"/>
                <w:sz w:val="18"/>
                <w:szCs w:val="18"/>
                <w:lang w:val="en-GB"/>
              </w:rPr>
            </w:pPr>
            <w:r w:rsidRPr="00B677B4">
              <w:rPr>
                <w:rFonts w:ascii="Arial" w:hAnsi="Arial" w:cs="Arial"/>
                <w:sz w:val="18"/>
                <w:szCs w:val="18"/>
                <w:lang w:val="en-GB"/>
              </w:rPr>
              <w:t>Human Resource Development</w:t>
            </w:r>
          </w:p>
        </w:tc>
        <w:tc>
          <w:tcPr>
            <w:tcW w:w="6038" w:type="dxa"/>
          </w:tcPr>
          <w:p w14:paraId="3E7FBC0F" w14:textId="77777777" w:rsidR="00CF31B5" w:rsidRPr="00B677B4" w:rsidRDefault="00CF31B5">
            <w:pPr>
              <w:pStyle w:val="Default"/>
              <w:numPr>
                <w:ilvl w:val="0"/>
                <w:numId w:val="30"/>
              </w:numPr>
              <w:spacing w:line="276" w:lineRule="auto"/>
              <w:rPr>
                <w:rFonts w:ascii="Arial" w:hAnsi="Arial" w:cs="Arial"/>
                <w:sz w:val="18"/>
                <w:szCs w:val="18"/>
                <w:lang w:val="en-GB"/>
              </w:rPr>
            </w:pPr>
            <w:r w:rsidRPr="00B677B4">
              <w:rPr>
                <w:rFonts w:ascii="Arial" w:hAnsi="Arial" w:cs="Arial"/>
                <w:sz w:val="18"/>
                <w:szCs w:val="18"/>
                <w:lang w:val="en-GB"/>
              </w:rPr>
              <w:t>Strengthening Mongolia’s Professional Associations</w:t>
            </w:r>
          </w:p>
          <w:p w14:paraId="0A7D5976" w14:textId="77599EB2" w:rsidR="00CF31B5" w:rsidRPr="00B677B4" w:rsidRDefault="00CF31B5">
            <w:pPr>
              <w:pStyle w:val="Default"/>
              <w:numPr>
                <w:ilvl w:val="0"/>
                <w:numId w:val="30"/>
              </w:numPr>
              <w:spacing w:line="276" w:lineRule="auto"/>
              <w:rPr>
                <w:rFonts w:ascii="Arial" w:hAnsi="Arial" w:cs="Arial"/>
                <w:sz w:val="18"/>
                <w:szCs w:val="18"/>
                <w:lang w:val="en-GB"/>
              </w:rPr>
            </w:pPr>
            <w:r w:rsidRPr="00B677B4">
              <w:rPr>
                <w:rFonts w:ascii="Arial" w:hAnsi="Arial" w:cs="Arial"/>
                <w:sz w:val="18"/>
                <w:szCs w:val="18"/>
                <w:lang w:val="en-GB"/>
              </w:rPr>
              <w:t>Building Capacity of the Judiciary to Respond to Extractives Key Issues</w:t>
            </w:r>
          </w:p>
        </w:tc>
      </w:tr>
    </w:tbl>
    <w:p w14:paraId="13A9F68F" w14:textId="77777777" w:rsidR="00A2299E" w:rsidRPr="00B677B4" w:rsidRDefault="00A2299E" w:rsidP="00C7129F">
      <w:pPr>
        <w:pStyle w:val="Default"/>
        <w:spacing w:line="276" w:lineRule="auto"/>
        <w:rPr>
          <w:rFonts w:asciiTheme="minorHAnsi" w:hAnsiTheme="minorHAnsi" w:cstheme="minorHAnsi"/>
          <w:sz w:val="22"/>
          <w:szCs w:val="22"/>
          <w:lang w:val="en-GB"/>
        </w:rPr>
      </w:pPr>
    </w:p>
    <w:p w14:paraId="34822236" w14:textId="23F6D4A4" w:rsidR="006145E2" w:rsidRPr="00B677B4" w:rsidRDefault="006145E2" w:rsidP="006145E2">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 xml:space="preserve">AMEP II aligns with Australia’s ODA priorities and high-level development interests. </w:t>
      </w:r>
      <w:r w:rsidRPr="00B677B4">
        <w:rPr>
          <w:rFonts w:asciiTheme="minorHAnsi" w:hAnsiTheme="minorHAnsi" w:cstheme="minorHAnsi"/>
          <w:sz w:val="22"/>
          <w:szCs w:val="22"/>
          <w:lang w:val="en-GB"/>
        </w:rPr>
        <w:t xml:space="preserve">Many of the sentiments expressed in the </w:t>
      </w:r>
      <w:r w:rsidR="00FC64EA" w:rsidRPr="00B677B4">
        <w:rPr>
          <w:rFonts w:asciiTheme="minorHAnsi" w:hAnsiTheme="minorHAnsi" w:cstheme="minorHAnsi"/>
          <w:sz w:val="22"/>
          <w:szCs w:val="22"/>
          <w:lang w:val="en-GB"/>
        </w:rPr>
        <w:t>long-term</w:t>
      </w:r>
      <w:r w:rsidRPr="00B677B4">
        <w:rPr>
          <w:rFonts w:asciiTheme="minorHAnsi" w:hAnsiTheme="minorHAnsi" w:cstheme="minorHAnsi"/>
          <w:sz w:val="22"/>
          <w:szCs w:val="22"/>
          <w:lang w:val="en-GB"/>
        </w:rPr>
        <w:t xml:space="preserve"> development plans of the Mongolian government also resonate with the Australia’s policy and trade priorities in the region. These include Australia’s strong commitment to contributing to the realisation of the Sustainable Development Goals, supporting sustainable economic growth and prosperity, promoting good governance, increasing access to renewable energy, </w:t>
      </w:r>
      <w:r w:rsidR="00FC64EA" w:rsidRPr="00B677B4">
        <w:rPr>
          <w:rFonts w:asciiTheme="minorHAnsi" w:hAnsiTheme="minorHAnsi" w:cstheme="minorHAnsi"/>
          <w:sz w:val="22"/>
          <w:szCs w:val="22"/>
          <w:lang w:val="en-GB"/>
        </w:rPr>
        <w:t xml:space="preserve">and </w:t>
      </w:r>
      <w:r w:rsidRPr="00B677B4">
        <w:rPr>
          <w:rFonts w:asciiTheme="minorHAnsi" w:hAnsiTheme="minorHAnsi" w:cstheme="minorHAnsi"/>
          <w:sz w:val="22"/>
          <w:szCs w:val="22"/>
          <w:lang w:val="en-GB"/>
        </w:rPr>
        <w:t xml:space="preserve">advocating for free and open trade and investment. Moreover, the key tenants of the </w:t>
      </w:r>
      <w:r w:rsidRPr="00B677B4">
        <w:rPr>
          <w:rFonts w:asciiTheme="minorHAnsi" w:hAnsiTheme="minorHAnsi" w:cstheme="minorHAnsi"/>
          <w:i/>
          <w:iCs/>
          <w:sz w:val="22"/>
          <w:szCs w:val="22"/>
          <w:lang w:val="en-GB"/>
        </w:rPr>
        <w:t>Partnerships for Recovery</w:t>
      </w:r>
      <w:r w:rsidRPr="00B677B4">
        <w:rPr>
          <w:rFonts w:asciiTheme="minorHAnsi" w:hAnsiTheme="minorHAnsi" w:cstheme="minorHAnsi"/>
          <w:sz w:val="22"/>
          <w:szCs w:val="22"/>
          <w:lang w:val="en-GB"/>
        </w:rPr>
        <w:t xml:space="preserve"> (Australia’s COVID-19 Development Response), spells out Australia’s commitment to helping developing economies, in both Asia and the Pacific, cushion against the impacts of the pandemic by supporting policy making that promotes economic response and recovery efforts (such as those spelt out in the Mongolian </w:t>
      </w:r>
      <w:r w:rsidRPr="00B677B4">
        <w:rPr>
          <w:rFonts w:asciiTheme="minorHAnsi" w:hAnsiTheme="minorHAnsi" w:cstheme="minorHAnsi"/>
          <w:i/>
          <w:iCs/>
          <w:sz w:val="22"/>
          <w:szCs w:val="22"/>
          <w:lang w:val="en-GB"/>
        </w:rPr>
        <w:t>New Recovery Policy</w:t>
      </w:r>
      <w:r w:rsidRPr="00B677B4">
        <w:rPr>
          <w:rFonts w:asciiTheme="minorHAnsi" w:hAnsiTheme="minorHAnsi" w:cstheme="minorHAnsi"/>
          <w:sz w:val="22"/>
          <w:szCs w:val="22"/>
          <w:lang w:val="en-GB"/>
        </w:rPr>
        <w:t xml:space="preserve">). Priority areas in the </w:t>
      </w:r>
      <w:r w:rsidRPr="00B677B4">
        <w:rPr>
          <w:rFonts w:asciiTheme="minorHAnsi" w:hAnsiTheme="minorHAnsi" w:cstheme="minorHAnsi"/>
          <w:i/>
          <w:iCs/>
          <w:sz w:val="22"/>
          <w:szCs w:val="22"/>
          <w:lang w:val="en-GB"/>
        </w:rPr>
        <w:t>Partnerships for Recovery</w:t>
      </w:r>
      <w:r w:rsidRPr="00B677B4">
        <w:rPr>
          <w:rFonts w:asciiTheme="minorHAnsi" w:hAnsiTheme="minorHAnsi" w:cstheme="minorHAnsi"/>
          <w:sz w:val="22"/>
          <w:szCs w:val="22"/>
          <w:lang w:val="en-GB"/>
        </w:rPr>
        <w:t xml:space="preserve"> include helping to re-establish markets and global value chains, promoting low carbon development, supporting efforts to boost economic resilience, and strengthen women’s economic empowerment. </w:t>
      </w:r>
    </w:p>
    <w:p w14:paraId="461E6A0C" w14:textId="5D7168ED" w:rsidR="006145E2" w:rsidRPr="00B677B4" w:rsidRDefault="006145E2" w:rsidP="00995BAC">
      <w:pPr>
        <w:pStyle w:val="Default"/>
        <w:spacing w:line="276" w:lineRule="auto"/>
        <w:rPr>
          <w:rFonts w:asciiTheme="minorHAnsi" w:hAnsiTheme="minorHAnsi" w:cstheme="minorHAnsi"/>
          <w:b/>
          <w:bCs/>
          <w:sz w:val="22"/>
          <w:szCs w:val="22"/>
          <w:lang w:val="en-GB"/>
        </w:rPr>
      </w:pPr>
    </w:p>
    <w:p w14:paraId="51800B97" w14:textId="41E66418" w:rsidR="00302262" w:rsidRPr="00B677B4" w:rsidRDefault="00302262" w:rsidP="009F4CB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 xml:space="preserve">It is still to be determined to what extent the objectives of </w:t>
      </w:r>
      <w:r w:rsidR="00C7129F" w:rsidRPr="00B677B4">
        <w:rPr>
          <w:rFonts w:asciiTheme="minorHAnsi" w:hAnsiTheme="minorHAnsi" w:cstheme="minorHAnsi"/>
          <w:b/>
          <w:bCs/>
          <w:sz w:val="22"/>
          <w:szCs w:val="22"/>
          <w:lang w:val="en-GB"/>
        </w:rPr>
        <w:t xml:space="preserve">AMEP II </w:t>
      </w:r>
      <w:r w:rsidRPr="00B677B4">
        <w:rPr>
          <w:rFonts w:asciiTheme="minorHAnsi" w:hAnsiTheme="minorHAnsi" w:cstheme="minorHAnsi"/>
          <w:b/>
          <w:bCs/>
          <w:sz w:val="22"/>
          <w:szCs w:val="22"/>
          <w:lang w:val="en-GB"/>
        </w:rPr>
        <w:t xml:space="preserve">will </w:t>
      </w:r>
      <w:r w:rsidR="00C7129F" w:rsidRPr="00B677B4">
        <w:rPr>
          <w:rFonts w:asciiTheme="minorHAnsi" w:hAnsiTheme="minorHAnsi" w:cstheme="minorHAnsi"/>
          <w:b/>
          <w:bCs/>
          <w:sz w:val="22"/>
          <w:szCs w:val="22"/>
          <w:lang w:val="en-GB"/>
        </w:rPr>
        <w:t>align with the political agenda of the new Minister</w:t>
      </w:r>
      <w:r w:rsidRPr="00B677B4">
        <w:rPr>
          <w:rFonts w:asciiTheme="minorHAnsi" w:hAnsiTheme="minorHAnsi" w:cstheme="minorHAnsi"/>
          <w:b/>
          <w:bCs/>
          <w:sz w:val="22"/>
          <w:szCs w:val="22"/>
          <w:lang w:val="en-GB"/>
        </w:rPr>
        <w:t xml:space="preserve"> of Mining</w:t>
      </w:r>
      <w:r w:rsidRPr="00B677B4">
        <w:rPr>
          <w:rFonts w:asciiTheme="minorHAnsi" w:hAnsiTheme="minorHAnsi" w:cstheme="minorHAnsi"/>
          <w:sz w:val="22"/>
          <w:szCs w:val="22"/>
          <w:lang w:val="en-GB"/>
        </w:rPr>
        <w:t xml:space="preserve">. The Government of Mongolia has recently appointed a new Minister of Mining, who has a long history of working in the private sector. The new minister comes from the business sector and </w:t>
      </w:r>
      <w:proofErr w:type="gramStart"/>
      <w:r w:rsidRPr="00B677B4">
        <w:rPr>
          <w:rFonts w:asciiTheme="minorHAnsi" w:hAnsiTheme="minorHAnsi" w:cstheme="minorHAnsi"/>
          <w:sz w:val="22"/>
          <w:szCs w:val="22"/>
          <w:lang w:val="en-GB"/>
        </w:rPr>
        <w:t>made</w:t>
      </w:r>
      <w:proofErr w:type="gramEnd"/>
      <w:r w:rsidRPr="00B677B4">
        <w:rPr>
          <w:rFonts w:asciiTheme="minorHAnsi" w:hAnsiTheme="minorHAnsi" w:cstheme="minorHAnsi"/>
          <w:sz w:val="22"/>
          <w:szCs w:val="22"/>
          <w:lang w:val="en-GB"/>
        </w:rPr>
        <w:t xml:space="preserve"> some noteworthy and important promises at the opening of the Mining Week about his vision for the sector. There is now the expectation that the new Minister will endeavour to pursue these promises, including further legislative reforms, and enhancing the number of exploration licenses. All issues which AMEP II have been supporting, and which will provide further opportunities for AMEP II to support in the future, including the possibility of restarting AMEP II’s work </w:t>
      </w:r>
      <w:r w:rsidR="0078115D">
        <w:rPr>
          <w:rFonts w:asciiTheme="minorHAnsi" w:hAnsiTheme="minorHAnsi" w:cstheme="minorHAnsi"/>
          <w:sz w:val="22"/>
          <w:szCs w:val="22"/>
          <w:lang w:val="en-GB"/>
        </w:rPr>
        <w:t xml:space="preserve">to </w:t>
      </w:r>
      <w:r w:rsidRPr="00B677B4">
        <w:rPr>
          <w:rFonts w:asciiTheme="minorHAnsi" w:hAnsiTheme="minorHAnsi" w:cstheme="minorHAnsi"/>
          <w:sz w:val="22"/>
          <w:szCs w:val="22"/>
          <w:lang w:val="en-GB"/>
        </w:rPr>
        <w:t>support public consultation on the draft Minerals law.</w:t>
      </w:r>
    </w:p>
    <w:p w14:paraId="776A067F" w14:textId="398835AA" w:rsidR="00C7129F" w:rsidRPr="00B677B4" w:rsidRDefault="00C7129F" w:rsidP="00B00A2A">
      <w:pPr>
        <w:rPr>
          <w:rFonts w:ascii="Arial" w:eastAsiaTheme="minorHAnsi" w:hAnsi="Arial" w:cs="Arial"/>
          <w:sz w:val="18"/>
          <w:szCs w:val="18"/>
          <w:lang w:eastAsia="en-US"/>
        </w:rPr>
      </w:pPr>
    </w:p>
    <w:p w14:paraId="397F9A98" w14:textId="77777777" w:rsidR="00C7129F" w:rsidRPr="00B677B4" w:rsidRDefault="00C7129F" w:rsidP="00B00A2A">
      <w:pPr>
        <w:rPr>
          <w:rFonts w:ascii="Arial" w:eastAsiaTheme="minorHAnsi" w:hAnsi="Arial" w:cs="Arial"/>
          <w:sz w:val="18"/>
          <w:szCs w:val="18"/>
          <w:lang w:eastAsia="en-US"/>
        </w:rPr>
      </w:pPr>
    </w:p>
    <w:p w14:paraId="051D7D0E" w14:textId="264B304F" w:rsidR="00414079" w:rsidRPr="00C8767A" w:rsidRDefault="006145E2" w:rsidP="006145E2">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AMEP II has retained its ‘on-demand’ approach, and has broadened its consultation process over time</w:t>
      </w:r>
      <w:r w:rsidRPr="00B677B4">
        <w:rPr>
          <w:rFonts w:asciiTheme="minorHAnsi" w:hAnsiTheme="minorHAnsi" w:cstheme="minorHAnsi"/>
          <w:sz w:val="22"/>
          <w:szCs w:val="22"/>
          <w:lang w:val="en-GB"/>
        </w:rPr>
        <w:t xml:space="preserve">, working towards ensuring it responds to the needs of multiple stakeholders. In the most recent </w:t>
      </w:r>
      <w:r w:rsidR="0078115D">
        <w:rPr>
          <w:rFonts w:asciiTheme="minorHAnsi" w:hAnsiTheme="minorHAnsi" w:cstheme="minorHAnsi"/>
          <w:sz w:val="22"/>
          <w:szCs w:val="22"/>
          <w:lang w:val="en-GB"/>
        </w:rPr>
        <w:t>annual</w:t>
      </w:r>
      <w:r w:rsidRPr="00B677B4">
        <w:rPr>
          <w:rFonts w:asciiTheme="minorHAnsi" w:hAnsiTheme="minorHAnsi" w:cstheme="minorHAnsi"/>
          <w:sz w:val="22"/>
          <w:szCs w:val="22"/>
          <w:lang w:val="en-GB"/>
        </w:rPr>
        <w:t xml:space="preserve"> call for proposals (2022) to inform the 2022-2023 annual workplan, AMEP conducted </w:t>
      </w:r>
      <w:r w:rsidRPr="00B677B4">
        <w:rPr>
          <w:rFonts w:asciiTheme="minorHAnsi" w:hAnsiTheme="minorHAnsi" w:cstheme="minorHAnsi"/>
          <w:sz w:val="22"/>
          <w:szCs w:val="22"/>
          <w:lang w:val="en-GB"/>
        </w:rPr>
        <w:lastRenderedPageBreak/>
        <w:t xml:space="preserve">a series of engagement sessions to raise the profile of the program and garner interest in proposal preparation. More than a 100 Expressions of Interest translated into 53 proposals, which in turn led to AMEP II selecting 10 activities for the workplan (although it should be noted that several of the proposals were merged as they dealt with similar concepts). Nevertheless, the program does recognise that working with such a disparate group of stakeholders makes it difficult to satisfy and be responsive to </w:t>
      </w:r>
      <w:r w:rsidR="00FC64EA" w:rsidRPr="00B677B4">
        <w:rPr>
          <w:rFonts w:asciiTheme="minorHAnsi" w:hAnsiTheme="minorHAnsi" w:cstheme="minorHAnsi"/>
          <w:sz w:val="22"/>
          <w:szCs w:val="22"/>
          <w:lang w:val="en-GB"/>
        </w:rPr>
        <w:t>the</w:t>
      </w:r>
      <w:r w:rsidRPr="00B677B4">
        <w:rPr>
          <w:rFonts w:asciiTheme="minorHAnsi" w:hAnsiTheme="minorHAnsi" w:cstheme="minorHAnsi"/>
          <w:sz w:val="22"/>
          <w:szCs w:val="22"/>
          <w:lang w:val="en-GB"/>
        </w:rPr>
        <w:t xml:space="preserve"> needs</w:t>
      </w:r>
      <w:r w:rsidR="00FC64EA" w:rsidRPr="00B677B4">
        <w:rPr>
          <w:rFonts w:asciiTheme="minorHAnsi" w:hAnsiTheme="minorHAnsi" w:cstheme="minorHAnsi"/>
          <w:sz w:val="22"/>
          <w:szCs w:val="22"/>
          <w:lang w:val="en-GB"/>
        </w:rPr>
        <w:t xml:space="preserve"> of </w:t>
      </w:r>
      <w:r w:rsidR="0078115D">
        <w:rPr>
          <w:rFonts w:asciiTheme="minorHAnsi" w:hAnsiTheme="minorHAnsi" w:cstheme="minorHAnsi"/>
          <w:sz w:val="22"/>
          <w:szCs w:val="22"/>
          <w:lang w:val="en-GB"/>
        </w:rPr>
        <w:t xml:space="preserve">all </w:t>
      </w:r>
      <w:r w:rsidR="00FC64EA" w:rsidRPr="00B677B4">
        <w:rPr>
          <w:rFonts w:asciiTheme="minorHAnsi" w:hAnsiTheme="minorHAnsi" w:cstheme="minorHAnsi"/>
          <w:sz w:val="22"/>
          <w:szCs w:val="22"/>
          <w:lang w:val="en-GB"/>
        </w:rPr>
        <w:t>these</w:t>
      </w:r>
      <w:r w:rsidR="0078115D">
        <w:rPr>
          <w:rFonts w:asciiTheme="minorHAnsi" w:hAnsiTheme="minorHAnsi" w:cstheme="minorHAnsi"/>
          <w:sz w:val="22"/>
          <w:szCs w:val="22"/>
          <w:lang w:val="en-GB"/>
        </w:rPr>
        <w:t xml:space="preserve"> different</w:t>
      </w:r>
      <w:r w:rsidR="00FC64EA" w:rsidRPr="00B677B4">
        <w:rPr>
          <w:rFonts w:asciiTheme="minorHAnsi" w:hAnsiTheme="minorHAnsi" w:cstheme="minorHAnsi"/>
          <w:sz w:val="22"/>
          <w:szCs w:val="22"/>
          <w:lang w:val="en-GB"/>
        </w:rPr>
        <w:t xml:space="preserve"> stakeholders</w:t>
      </w:r>
      <w:r w:rsidRPr="00B677B4">
        <w:rPr>
          <w:rFonts w:asciiTheme="minorHAnsi" w:hAnsiTheme="minorHAnsi" w:cstheme="minorHAnsi"/>
          <w:sz w:val="22"/>
          <w:szCs w:val="22"/>
          <w:lang w:val="en-GB"/>
        </w:rPr>
        <w:t xml:space="preserve">. </w:t>
      </w:r>
      <w:r w:rsidR="00E62472" w:rsidRPr="00C8767A">
        <w:rPr>
          <w:rFonts w:asciiTheme="minorHAnsi" w:hAnsiTheme="minorHAnsi" w:cstheme="minorHAnsi"/>
          <w:sz w:val="22"/>
          <w:szCs w:val="22"/>
          <w:lang w:val="en-GB"/>
        </w:rPr>
        <w:t>Whilst the program continues to engage with relevant government officials it has built a close relationship with over the years, its engagement with civil society is newer and</w:t>
      </w:r>
      <w:r w:rsidR="00FC64EA" w:rsidRPr="00C8767A">
        <w:rPr>
          <w:rFonts w:asciiTheme="minorHAnsi" w:hAnsiTheme="minorHAnsi" w:cstheme="minorHAnsi"/>
          <w:sz w:val="22"/>
          <w:szCs w:val="22"/>
          <w:lang w:val="en-GB"/>
        </w:rPr>
        <w:t xml:space="preserve"> thus its</w:t>
      </w:r>
      <w:r w:rsidR="00E62472" w:rsidRPr="00C8767A">
        <w:rPr>
          <w:rFonts w:asciiTheme="minorHAnsi" w:hAnsiTheme="minorHAnsi" w:cstheme="minorHAnsi"/>
          <w:sz w:val="22"/>
          <w:szCs w:val="22"/>
          <w:lang w:val="en-GB"/>
        </w:rPr>
        <w:t xml:space="preserve"> relationship</w:t>
      </w:r>
      <w:r w:rsidR="00FC64EA" w:rsidRPr="00C8767A">
        <w:rPr>
          <w:rFonts w:asciiTheme="minorHAnsi" w:hAnsiTheme="minorHAnsi" w:cstheme="minorHAnsi"/>
          <w:sz w:val="22"/>
          <w:szCs w:val="22"/>
          <w:lang w:val="en-GB"/>
        </w:rPr>
        <w:t xml:space="preserve"> with these groups</w:t>
      </w:r>
      <w:r w:rsidR="00E62472" w:rsidRPr="00C8767A">
        <w:rPr>
          <w:rFonts w:asciiTheme="minorHAnsi" w:hAnsiTheme="minorHAnsi" w:cstheme="minorHAnsi"/>
          <w:sz w:val="22"/>
          <w:szCs w:val="22"/>
          <w:lang w:val="en-GB"/>
        </w:rPr>
        <w:t xml:space="preserve"> </w:t>
      </w:r>
      <w:r w:rsidR="00BE0616" w:rsidRPr="00C8767A">
        <w:rPr>
          <w:rFonts w:asciiTheme="minorHAnsi" w:hAnsiTheme="minorHAnsi" w:cstheme="minorHAnsi"/>
          <w:sz w:val="22"/>
          <w:szCs w:val="22"/>
          <w:lang w:val="en-GB"/>
        </w:rPr>
        <w:t>is</w:t>
      </w:r>
      <w:r w:rsidR="00E62472" w:rsidRPr="00C8767A">
        <w:rPr>
          <w:rFonts w:asciiTheme="minorHAnsi" w:hAnsiTheme="minorHAnsi" w:cstheme="minorHAnsi"/>
          <w:sz w:val="22"/>
          <w:szCs w:val="22"/>
          <w:lang w:val="en-GB"/>
        </w:rPr>
        <w:t xml:space="preserve"> not as strong. In part this is the nature of civil society globally, but in part this is also due to the unique ‘classification’ of civil society </w:t>
      </w:r>
      <w:r w:rsidR="00FC64EA" w:rsidRPr="00C8767A">
        <w:rPr>
          <w:rFonts w:asciiTheme="minorHAnsi" w:hAnsiTheme="minorHAnsi" w:cstheme="minorHAnsi"/>
          <w:sz w:val="22"/>
          <w:szCs w:val="22"/>
          <w:lang w:val="en-GB"/>
        </w:rPr>
        <w:t xml:space="preserve">in Mongolia </w:t>
      </w:r>
      <w:r w:rsidR="00E62472" w:rsidRPr="00C8767A">
        <w:rPr>
          <w:rFonts w:asciiTheme="minorHAnsi" w:hAnsiTheme="minorHAnsi" w:cstheme="minorHAnsi"/>
          <w:sz w:val="22"/>
          <w:szCs w:val="22"/>
          <w:lang w:val="en-GB"/>
        </w:rPr>
        <w:t xml:space="preserve">where it includes both professional </w:t>
      </w:r>
      <w:r w:rsidR="006B2901" w:rsidRPr="00C8767A">
        <w:rPr>
          <w:rFonts w:asciiTheme="minorHAnsi" w:hAnsiTheme="minorHAnsi" w:cstheme="minorHAnsi"/>
          <w:sz w:val="22"/>
          <w:szCs w:val="22"/>
          <w:lang w:val="en-GB"/>
        </w:rPr>
        <w:t>bodies (</w:t>
      </w:r>
      <w:r w:rsidR="00FC64EA" w:rsidRPr="00C8767A">
        <w:rPr>
          <w:rFonts w:asciiTheme="minorHAnsi" w:hAnsiTheme="minorHAnsi" w:cstheme="minorHAnsi"/>
          <w:sz w:val="22"/>
          <w:szCs w:val="22"/>
          <w:lang w:val="en-GB"/>
        </w:rPr>
        <w:t xml:space="preserve">such as the </w:t>
      </w:r>
      <w:r w:rsidR="006B2901" w:rsidRPr="00C8767A">
        <w:rPr>
          <w:rFonts w:asciiTheme="minorHAnsi" w:hAnsiTheme="minorHAnsi" w:cstheme="minorHAnsi"/>
          <w:sz w:val="22"/>
          <w:szCs w:val="22"/>
          <w:lang w:val="en-GB"/>
        </w:rPr>
        <w:t xml:space="preserve">Mongolian Mining Association, Mongolian Association of Geologists, Association of Mining Engineers </w:t>
      </w:r>
      <w:r w:rsidR="00FC64EA" w:rsidRPr="00C8767A">
        <w:rPr>
          <w:rFonts w:asciiTheme="minorHAnsi" w:hAnsiTheme="minorHAnsi" w:cstheme="minorHAnsi"/>
          <w:sz w:val="22"/>
          <w:szCs w:val="22"/>
          <w:lang w:val="en-GB"/>
        </w:rPr>
        <w:t>and so on</w:t>
      </w:r>
      <w:r w:rsidR="006B2901" w:rsidRPr="00C8767A">
        <w:rPr>
          <w:rFonts w:asciiTheme="minorHAnsi" w:hAnsiTheme="minorHAnsi" w:cstheme="minorHAnsi"/>
          <w:sz w:val="22"/>
          <w:szCs w:val="22"/>
          <w:lang w:val="en-GB"/>
        </w:rPr>
        <w:t>)</w:t>
      </w:r>
      <w:r w:rsidR="00E62472" w:rsidRPr="00C8767A">
        <w:rPr>
          <w:rFonts w:asciiTheme="minorHAnsi" w:hAnsiTheme="minorHAnsi" w:cstheme="minorHAnsi"/>
          <w:sz w:val="22"/>
          <w:szCs w:val="22"/>
          <w:lang w:val="en-GB"/>
        </w:rPr>
        <w:t xml:space="preserve">, and those organisations who work directly with communities. </w:t>
      </w:r>
    </w:p>
    <w:p w14:paraId="28FB7262" w14:textId="77777777" w:rsidR="00414079" w:rsidRPr="00B677B4" w:rsidRDefault="00414079" w:rsidP="00B00A2A">
      <w:pPr>
        <w:rPr>
          <w:rFonts w:asciiTheme="minorHAnsi" w:hAnsiTheme="minorHAnsi" w:cstheme="minorHAnsi"/>
          <w:sz w:val="22"/>
          <w:szCs w:val="22"/>
        </w:rPr>
      </w:pPr>
    </w:p>
    <w:p w14:paraId="39354EEC" w14:textId="08E8C56C" w:rsidR="00991535" w:rsidRPr="00B677B4" w:rsidRDefault="00E62472" w:rsidP="009F4CB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Satisfying these very different interest groups is a challenge</w:t>
      </w:r>
      <w:r w:rsidR="00991535" w:rsidRPr="00B677B4">
        <w:rPr>
          <w:rFonts w:asciiTheme="minorHAnsi" w:hAnsiTheme="minorHAnsi" w:cstheme="minorHAnsi"/>
          <w:sz w:val="22"/>
          <w:szCs w:val="22"/>
          <w:lang w:val="en-GB"/>
        </w:rPr>
        <w:t>, and the concern remains that the program could ‘fall between two stools’ if it does not articulate clearly how it plans to work with both professional mining groups within the sector, and those who represent the interests of mining affected communities</w:t>
      </w:r>
      <w:r w:rsidRPr="00B677B4">
        <w:rPr>
          <w:rFonts w:asciiTheme="minorHAnsi" w:hAnsiTheme="minorHAnsi" w:cstheme="minorHAnsi"/>
          <w:sz w:val="22"/>
          <w:szCs w:val="22"/>
          <w:lang w:val="en-GB"/>
        </w:rPr>
        <w:t>. It would be better for the program to review and refine what exactly it means by civil society, with</w:t>
      </w:r>
      <w:r w:rsidR="00991535" w:rsidRPr="00B677B4">
        <w:rPr>
          <w:rFonts w:asciiTheme="minorHAnsi" w:hAnsiTheme="minorHAnsi" w:cstheme="minorHAnsi"/>
          <w:sz w:val="22"/>
          <w:szCs w:val="22"/>
          <w:lang w:val="en-GB"/>
        </w:rPr>
        <w:t xml:space="preserve"> whom it wants to work, and for what purpose. In addition, this would also require the program to reflect on what it means by collaborating with the different interest groups in the sector. As we note below, the program has been highly effective in collaborating with government ministries and industry, but less so when it comes to facilitating collaboration between government and industry with communities. At the most recent Mining Week, investors noted that one of the two biggest challenges in the sector at present is getting</w:t>
      </w:r>
      <w:r w:rsidR="0078115D">
        <w:rPr>
          <w:rFonts w:asciiTheme="minorHAnsi" w:hAnsiTheme="minorHAnsi" w:cstheme="minorHAnsi"/>
          <w:sz w:val="22"/>
          <w:szCs w:val="22"/>
          <w:lang w:val="en-GB"/>
        </w:rPr>
        <w:t xml:space="preserve"> </w:t>
      </w:r>
      <w:r w:rsidR="0078115D" w:rsidRPr="00B677B4">
        <w:rPr>
          <w:rFonts w:asciiTheme="minorHAnsi" w:hAnsiTheme="minorHAnsi" w:cstheme="minorHAnsi"/>
          <w:sz w:val="22"/>
          <w:szCs w:val="22"/>
          <w:lang w:val="en-GB"/>
        </w:rPr>
        <w:t>mining affected communities</w:t>
      </w:r>
      <w:r w:rsidR="0078115D">
        <w:rPr>
          <w:rFonts w:asciiTheme="minorHAnsi" w:hAnsiTheme="minorHAnsi" w:cstheme="minorHAnsi"/>
          <w:sz w:val="22"/>
          <w:szCs w:val="22"/>
          <w:lang w:val="en-GB"/>
        </w:rPr>
        <w:t xml:space="preserve"> to</w:t>
      </w:r>
      <w:r w:rsidR="00991535" w:rsidRPr="00B677B4">
        <w:rPr>
          <w:rFonts w:asciiTheme="minorHAnsi" w:hAnsiTheme="minorHAnsi" w:cstheme="minorHAnsi"/>
          <w:sz w:val="22"/>
          <w:szCs w:val="22"/>
          <w:lang w:val="en-GB"/>
        </w:rPr>
        <w:t xml:space="preserve"> accept</w:t>
      </w:r>
      <w:r w:rsidR="0078115D">
        <w:rPr>
          <w:rFonts w:asciiTheme="minorHAnsi" w:hAnsiTheme="minorHAnsi" w:cstheme="minorHAnsi"/>
          <w:sz w:val="22"/>
          <w:szCs w:val="22"/>
          <w:lang w:val="en-GB"/>
        </w:rPr>
        <w:t>,</w:t>
      </w:r>
      <w:r w:rsidR="00991535" w:rsidRPr="00B677B4">
        <w:rPr>
          <w:rFonts w:asciiTheme="minorHAnsi" w:hAnsiTheme="minorHAnsi" w:cstheme="minorHAnsi"/>
          <w:sz w:val="22"/>
          <w:szCs w:val="22"/>
          <w:lang w:val="en-GB"/>
        </w:rPr>
        <w:t xml:space="preserve"> and cooperat</w:t>
      </w:r>
      <w:r w:rsidR="0078115D">
        <w:rPr>
          <w:rFonts w:asciiTheme="minorHAnsi" w:hAnsiTheme="minorHAnsi" w:cstheme="minorHAnsi"/>
          <w:sz w:val="22"/>
          <w:szCs w:val="22"/>
          <w:lang w:val="en-GB"/>
        </w:rPr>
        <w:t>e with,</w:t>
      </w:r>
      <w:r w:rsidR="00991535" w:rsidRPr="00B677B4">
        <w:rPr>
          <w:rFonts w:asciiTheme="minorHAnsi" w:hAnsiTheme="minorHAnsi" w:cstheme="minorHAnsi"/>
          <w:sz w:val="22"/>
          <w:szCs w:val="22"/>
          <w:lang w:val="en-GB"/>
        </w:rPr>
        <w:t xml:space="preserve"> development</w:t>
      </w:r>
      <w:r w:rsidR="0078115D">
        <w:rPr>
          <w:rFonts w:asciiTheme="minorHAnsi" w:hAnsiTheme="minorHAnsi" w:cstheme="minorHAnsi"/>
          <w:sz w:val="22"/>
          <w:szCs w:val="22"/>
          <w:lang w:val="en-GB"/>
        </w:rPr>
        <w:t>s</w:t>
      </w:r>
      <w:r w:rsidR="00991535" w:rsidRPr="00B677B4">
        <w:rPr>
          <w:rFonts w:asciiTheme="minorHAnsi" w:hAnsiTheme="minorHAnsi" w:cstheme="minorHAnsi"/>
          <w:sz w:val="22"/>
          <w:szCs w:val="22"/>
          <w:lang w:val="en-GB"/>
        </w:rPr>
        <w:t xml:space="preserve"> planned </w:t>
      </w:r>
      <w:r w:rsidR="0078115D">
        <w:rPr>
          <w:rFonts w:asciiTheme="minorHAnsi" w:hAnsiTheme="minorHAnsi" w:cstheme="minorHAnsi"/>
          <w:sz w:val="22"/>
          <w:szCs w:val="22"/>
          <w:lang w:val="en-GB"/>
        </w:rPr>
        <w:t>for</w:t>
      </w:r>
      <w:r w:rsidR="00991535" w:rsidRPr="00B677B4">
        <w:rPr>
          <w:rFonts w:asciiTheme="minorHAnsi" w:hAnsiTheme="minorHAnsi" w:cstheme="minorHAnsi"/>
          <w:sz w:val="22"/>
          <w:szCs w:val="22"/>
          <w:lang w:val="en-GB"/>
        </w:rPr>
        <w:t xml:space="preserve"> the sector (the other challenge, referred to below</w:t>
      </w:r>
      <w:r w:rsidR="0078115D">
        <w:rPr>
          <w:rFonts w:asciiTheme="minorHAnsi" w:hAnsiTheme="minorHAnsi" w:cstheme="minorHAnsi"/>
          <w:sz w:val="22"/>
          <w:szCs w:val="22"/>
          <w:lang w:val="en-GB"/>
        </w:rPr>
        <w:t>,</w:t>
      </w:r>
      <w:r w:rsidR="00991535" w:rsidRPr="00B677B4">
        <w:rPr>
          <w:rFonts w:asciiTheme="minorHAnsi" w:hAnsiTheme="minorHAnsi" w:cstheme="minorHAnsi"/>
          <w:sz w:val="22"/>
          <w:szCs w:val="22"/>
          <w:lang w:val="en-GB"/>
        </w:rPr>
        <w:t xml:space="preserve"> is the instability and inconsistency of government policies in the sector).</w:t>
      </w:r>
    </w:p>
    <w:p w14:paraId="7D7B7351" w14:textId="0403F340" w:rsidR="004E53F9" w:rsidRPr="00B677B4" w:rsidRDefault="004E53F9" w:rsidP="009F4CB5">
      <w:pPr>
        <w:pStyle w:val="Default"/>
        <w:spacing w:line="276" w:lineRule="auto"/>
        <w:rPr>
          <w:rFonts w:asciiTheme="minorHAnsi" w:hAnsiTheme="minorHAnsi" w:cstheme="minorHAnsi"/>
          <w:sz w:val="22"/>
          <w:szCs w:val="22"/>
          <w:lang w:val="en-GB"/>
        </w:rPr>
      </w:pPr>
    </w:p>
    <w:p w14:paraId="7DF41ABA" w14:textId="29A4DED5" w:rsidR="00715B80" w:rsidRPr="00B677B4" w:rsidRDefault="004E53F9" w:rsidP="009F4CB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There </w:t>
      </w:r>
      <w:r w:rsidR="0078115D">
        <w:rPr>
          <w:rFonts w:asciiTheme="minorHAnsi" w:hAnsiTheme="minorHAnsi" w:cstheme="minorHAnsi"/>
          <w:sz w:val="22"/>
          <w:szCs w:val="22"/>
          <w:lang w:val="en-GB"/>
        </w:rPr>
        <w:t>is clearly</w:t>
      </w:r>
      <w:r w:rsidRPr="00B677B4">
        <w:rPr>
          <w:rFonts w:asciiTheme="minorHAnsi" w:hAnsiTheme="minorHAnsi" w:cstheme="minorHAnsi"/>
          <w:sz w:val="22"/>
          <w:szCs w:val="22"/>
          <w:lang w:val="en-GB"/>
        </w:rPr>
        <w:t xml:space="preserve"> a role for AMEP</w:t>
      </w:r>
      <w:r w:rsidR="00FC64EA" w:rsidRPr="00B677B4">
        <w:rPr>
          <w:rFonts w:asciiTheme="minorHAnsi" w:hAnsiTheme="minorHAnsi" w:cstheme="minorHAnsi"/>
          <w:sz w:val="22"/>
          <w:szCs w:val="22"/>
          <w:lang w:val="en-GB"/>
        </w:rPr>
        <w:t xml:space="preserve"> II in enhancing its engagement with </w:t>
      </w:r>
      <w:r w:rsidR="00BE0616" w:rsidRPr="00B677B4">
        <w:rPr>
          <w:rFonts w:asciiTheme="minorHAnsi" w:hAnsiTheme="minorHAnsi" w:cstheme="minorHAnsi"/>
          <w:sz w:val="22"/>
          <w:szCs w:val="22"/>
          <w:lang w:val="en-GB"/>
        </w:rPr>
        <w:t>community-based</w:t>
      </w:r>
      <w:r w:rsidR="00FC64EA" w:rsidRPr="00B677B4">
        <w:rPr>
          <w:rFonts w:asciiTheme="minorHAnsi" w:hAnsiTheme="minorHAnsi" w:cstheme="minorHAnsi"/>
          <w:sz w:val="22"/>
          <w:szCs w:val="22"/>
          <w:lang w:val="en-GB"/>
        </w:rPr>
        <w:t xml:space="preserve"> organisations, for three different reasons. </w:t>
      </w:r>
      <w:r w:rsidR="008E5ACF" w:rsidRPr="00B677B4">
        <w:rPr>
          <w:rFonts w:asciiTheme="minorHAnsi" w:hAnsiTheme="minorHAnsi" w:cstheme="minorHAnsi"/>
          <w:sz w:val="22"/>
          <w:szCs w:val="22"/>
          <w:lang w:val="en-GB"/>
        </w:rPr>
        <w:t>Firstly, the program can play a key role in raising awareness of the role a responsible extractives sector can play in Mongolia</w:t>
      </w:r>
      <w:r w:rsidR="0078115D">
        <w:rPr>
          <w:rFonts w:asciiTheme="minorHAnsi" w:hAnsiTheme="minorHAnsi" w:cstheme="minorHAnsi"/>
          <w:sz w:val="22"/>
          <w:szCs w:val="22"/>
          <w:lang w:val="en-GB"/>
        </w:rPr>
        <w:t xml:space="preserve">, </w:t>
      </w:r>
      <w:r w:rsidR="00495DD7">
        <w:rPr>
          <w:rFonts w:asciiTheme="minorHAnsi" w:hAnsiTheme="minorHAnsi" w:cstheme="minorHAnsi"/>
          <w:sz w:val="22"/>
          <w:szCs w:val="22"/>
          <w:lang w:val="en-GB"/>
        </w:rPr>
        <w:t>including helping to facilitate</w:t>
      </w:r>
      <w:r w:rsidR="0078115D">
        <w:rPr>
          <w:rFonts w:asciiTheme="minorHAnsi" w:hAnsiTheme="minorHAnsi" w:cstheme="minorHAnsi"/>
          <w:sz w:val="22"/>
          <w:szCs w:val="22"/>
          <w:lang w:val="en-GB"/>
        </w:rPr>
        <w:t xml:space="preserve"> the emergence of shared interests between the </w:t>
      </w:r>
      <w:r w:rsidR="00BE0616" w:rsidRPr="00B677B4">
        <w:rPr>
          <w:rFonts w:asciiTheme="minorHAnsi" w:hAnsiTheme="minorHAnsi" w:cstheme="minorHAnsi"/>
          <w:sz w:val="22"/>
          <w:szCs w:val="22"/>
          <w:lang w:val="en-GB"/>
        </w:rPr>
        <w:t xml:space="preserve">three main stakeholder groups </w:t>
      </w:r>
      <w:r w:rsidR="0078115D">
        <w:rPr>
          <w:rFonts w:asciiTheme="minorHAnsi" w:hAnsiTheme="minorHAnsi" w:cstheme="minorHAnsi"/>
          <w:sz w:val="22"/>
          <w:szCs w:val="22"/>
          <w:lang w:val="en-GB"/>
        </w:rPr>
        <w:t>(</w:t>
      </w:r>
      <w:r w:rsidR="00BE0616" w:rsidRPr="00B677B4">
        <w:rPr>
          <w:rFonts w:asciiTheme="minorHAnsi" w:hAnsiTheme="minorHAnsi" w:cstheme="minorHAnsi"/>
          <w:sz w:val="22"/>
          <w:szCs w:val="22"/>
          <w:lang w:val="en-GB"/>
        </w:rPr>
        <w:t xml:space="preserve">government, </w:t>
      </w:r>
      <w:proofErr w:type="gramStart"/>
      <w:r w:rsidR="00BE0616" w:rsidRPr="00B677B4">
        <w:rPr>
          <w:rFonts w:asciiTheme="minorHAnsi" w:hAnsiTheme="minorHAnsi" w:cstheme="minorHAnsi"/>
          <w:sz w:val="22"/>
          <w:szCs w:val="22"/>
          <w:lang w:val="en-GB"/>
        </w:rPr>
        <w:t>industry</w:t>
      </w:r>
      <w:proofErr w:type="gramEnd"/>
      <w:r w:rsidR="00BE0616" w:rsidRPr="00B677B4">
        <w:rPr>
          <w:rFonts w:asciiTheme="minorHAnsi" w:hAnsiTheme="minorHAnsi" w:cstheme="minorHAnsi"/>
          <w:sz w:val="22"/>
          <w:szCs w:val="22"/>
          <w:lang w:val="en-GB"/>
        </w:rPr>
        <w:t xml:space="preserve"> and local communities</w:t>
      </w:r>
      <w:r w:rsidR="0078115D">
        <w:rPr>
          <w:rFonts w:asciiTheme="minorHAnsi" w:hAnsiTheme="minorHAnsi" w:cstheme="minorHAnsi"/>
          <w:sz w:val="22"/>
          <w:szCs w:val="22"/>
          <w:lang w:val="en-GB"/>
        </w:rPr>
        <w:t>)</w:t>
      </w:r>
      <w:r w:rsidR="00495DD7">
        <w:rPr>
          <w:rFonts w:asciiTheme="minorHAnsi" w:hAnsiTheme="minorHAnsi" w:cstheme="minorHAnsi"/>
          <w:sz w:val="22"/>
          <w:szCs w:val="22"/>
          <w:lang w:val="en-GB"/>
        </w:rPr>
        <w:t xml:space="preserve"> for a responsible extractives sector</w:t>
      </w:r>
      <w:r w:rsidR="00BE0616" w:rsidRPr="00B677B4">
        <w:rPr>
          <w:rFonts w:asciiTheme="minorHAnsi" w:hAnsiTheme="minorHAnsi" w:cstheme="minorHAnsi"/>
          <w:sz w:val="22"/>
          <w:szCs w:val="22"/>
          <w:lang w:val="en-GB"/>
        </w:rPr>
        <w:t xml:space="preserve">. </w:t>
      </w:r>
      <w:r w:rsidR="0078115D">
        <w:rPr>
          <w:rFonts w:asciiTheme="minorHAnsi" w:hAnsiTheme="minorHAnsi" w:cstheme="minorHAnsi"/>
          <w:sz w:val="22"/>
          <w:szCs w:val="22"/>
          <w:lang w:val="en-GB"/>
        </w:rPr>
        <w:t>Secondly</w:t>
      </w:r>
      <w:r w:rsidR="008E5ACF" w:rsidRPr="00B677B4">
        <w:rPr>
          <w:rFonts w:asciiTheme="minorHAnsi" w:hAnsiTheme="minorHAnsi" w:cstheme="minorHAnsi"/>
          <w:sz w:val="22"/>
          <w:szCs w:val="22"/>
          <w:lang w:val="en-GB"/>
        </w:rPr>
        <w:t xml:space="preserve">, the structure </w:t>
      </w:r>
      <w:r w:rsidR="00BE0616" w:rsidRPr="00B677B4">
        <w:rPr>
          <w:rFonts w:asciiTheme="minorHAnsi" w:hAnsiTheme="minorHAnsi" w:cstheme="minorHAnsi"/>
          <w:sz w:val="22"/>
          <w:szCs w:val="22"/>
          <w:lang w:val="en-GB"/>
        </w:rPr>
        <w:t>of MMHI</w:t>
      </w:r>
      <w:r w:rsidR="008E5ACF" w:rsidRPr="00B677B4">
        <w:rPr>
          <w:rFonts w:asciiTheme="minorHAnsi" w:hAnsiTheme="minorHAnsi" w:cstheme="minorHAnsi"/>
          <w:sz w:val="22"/>
          <w:szCs w:val="22"/>
          <w:lang w:val="en-GB"/>
        </w:rPr>
        <w:t xml:space="preserve"> does not lend itself to engaging and consulting mining affected communities, so there is a need for </w:t>
      </w:r>
      <w:r w:rsidR="00495DD7">
        <w:rPr>
          <w:rFonts w:asciiTheme="minorHAnsi" w:hAnsiTheme="minorHAnsi" w:cstheme="minorHAnsi"/>
          <w:sz w:val="22"/>
          <w:szCs w:val="22"/>
          <w:lang w:val="en-GB"/>
        </w:rPr>
        <w:t>creating</w:t>
      </w:r>
      <w:r w:rsidR="008E5ACF" w:rsidRPr="00B677B4">
        <w:rPr>
          <w:rFonts w:asciiTheme="minorHAnsi" w:hAnsiTheme="minorHAnsi" w:cstheme="minorHAnsi"/>
          <w:sz w:val="22"/>
          <w:szCs w:val="22"/>
          <w:lang w:val="en-GB"/>
        </w:rPr>
        <w:t xml:space="preserve"> links between the centre and those on the periphery. </w:t>
      </w:r>
      <w:r w:rsidR="0078115D">
        <w:rPr>
          <w:rFonts w:asciiTheme="minorHAnsi" w:hAnsiTheme="minorHAnsi" w:cstheme="minorHAnsi"/>
          <w:sz w:val="22"/>
          <w:szCs w:val="22"/>
          <w:lang w:val="en-GB"/>
        </w:rPr>
        <w:t>Thirdly</w:t>
      </w:r>
      <w:r w:rsidR="008E5ACF" w:rsidRPr="00B677B4">
        <w:rPr>
          <w:rFonts w:asciiTheme="minorHAnsi" w:hAnsiTheme="minorHAnsi" w:cstheme="minorHAnsi"/>
          <w:sz w:val="22"/>
          <w:szCs w:val="22"/>
          <w:lang w:val="en-GB"/>
        </w:rPr>
        <w:t xml:space="preserve">, as noted above, a major concern of industry is how to resolve conflicts with mining affected communities. </w:t>
      </w:r>
      <w:r w:rsidR="00495DD7">
        <w:rPr>
          <w:rFonts w:asciiTheme="minorHAnsi" w:hAnsiTheme="minorHAnsi" w:cstheme="minorHAnsi"/>
          <w:sz w:val="22"/>
          <w:szCs w:val="22"/>
          <w:lang w:val="en-GB"/>
        </w:rPr>
        <w:t>AMEP II could provide further</w:t>
      </w:r>
      <w:r w:rsidR="008E5ACF" w:rsidRPr="00B677B4">
        <w:rPr>
          <w:rFonts w:asciiTheme="minorHAnsi" w:hAnsiTheme="minorHAnsi" w:cstheme="minorHAnsi"/>
          <w:sz w:val="22"/>
          <w:szCs w:val="22"/>
          <w:lang w:val="en-GB"/>
        </w:rPr>
        <w:t xml:space="preserve"> research</w:t>
      </w:r>
      <w:r w:rsidR="00495DD7">
        <w:rPr>
          <w:rFonts w:asciiTheme="minorHAnsi" w:hAnsiTheme="minorHAnsi" w:cstheme="minorHAnsi"/>
          <w:sz w:val="22"/>
          <w:szCs w:val="22"/>
          <w:lang w:val="en-GB"/>
        </w:rPr>
        <w:t xml:space="preserve">, and conduct </w:t>
      </w:r>
      <w:r w:rsidR="008E5ACF" w:rsidRPr="00B677B4">
        <w:rPr>
          <w:rFonts w:asciiTheme="minorHAnsi" w:hAnsiTheme="minorHAnsi" w:cstheme="minorHAnsi"/>
          <w:sz w:val="22"/>
          <w:szCs w:val="22"/>
          <w:lang w:val="en-GB"/>
        </w:rPr>
        <w:t>public consultations</w:t>
      </w:r>
      <w:r w:rsidR="00495DD7">
        <w:rPr>
          <w:rFonts w:asciiTheme="minorHAnsi" w:hAnsiTheme="minorHAnsi" w:cstheme="minorHAnsi"/>
          <w:sz w:val="22"/>
          <w:szCs w:val="22"/>
          <w:lang w:val="en-GB"/>
        </w:rPr>
        <w:t>,</w:t>
      </w:r>
      <w:r w:rsidR="008E5ACF" w:rsidRPr="00B677B4">
        <w:rPr>
          <w:rFonts w:asciiTheme="minorHAnsi" w:hAnsiTheme="minorHAnsi" w:cstheme="minorHAnsi"/>
          <w:sz w:val="22"/>
          <w:szCs w:val="22"/>
          <w:lang w:val="en-GB"/>
        </w:rPr>
        <w:t xml:space="preserve"> on this matter </w:t>
      </w:r>
      <w:proofErr w:type="gramStart"/>
      <w:r w:rsidR="008E5ACF" w:rsidRPr="00B677B4">
        <w:rPr>
          <w:rFonts w:asciiTheme="minorHAnsi" w:hAnsiTheme="minorHAnsi" w:cstheme="minorHAnsi"/>
          <w:sz w:val="22"/>
          <w:szCs w:val="22"/>
          <w:lang w:val="en-GB"/>
        </w:rPr>
        <w:t>in order to</w:t>
      </w:r>
      <w:proofErr w:type="gramEnd"/>
      <w:r w:rsidR="008E5ACF" w:rsidRPr="00B677B4">
        <w:rPr>
          <w:rFonts w:asciiTheme="minorHAnsi" w:hAnsiTheme="minorHAnsi" w:cstheme="minorHAnsi"/>
          <w:sz w:val="22"/>
          <w:szCs w:val="22"/>
          <w:lang w:val="en-GB"/>
        </w:rPr>
        <w:t xml:space="preserve"> </w:t>
      </w:r>
      <w:r w:rsidR="00495DD7">
        <w:rPr>
          <w:rFonts w:asciiTheme="minorHAnsi" w:hAnsiTheme="minorHAnsi" w:cstheme="minorHAnsi"/>
          <w:sz w:val="22"/>
          <w:szCs w:val="22"/>
          <w:lang w:val="en-GB"/>
        </w:rPr>
        <w:t xml:space="preserve">better </w:t>
      </w:r>
      <w:r w:rsidR="008E5ACF" w:rsidRPr="00B677B4">
        <w:rPr>
          <w:rFonts w:asciiTheme="minorHAnsi" w:hAnsiTheme="minorHAnsi" w:cstheme="minorHAnsi"/>
          <w:sz w:val="22"/>
          <w:szCs w:val="22"/>
          <w:lang w:val="en-GB"/>
        </w:rPr>
        <w:t xml:space="preserve">understand the reasons for the conflict.  </w:t>
      </w:r>
    </w:p>
    <w:p w14:paraId="7E97A961" w14:textId="486339DB" w:rsidR="003668F5" w:rsidRDefault="003668F5">
      <w:pPr>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br w:type="page"/>
      </w:r>
    </w:p>
    <w:p w14:paraId="15C7D341" w14:textId="77777777" w:rsidR="003668F5" w:rsidRDefault="003668F5" w:rsidP="003668F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BB61A0">
        <w:rPr>
          <w:rFonts w:asciiTheme="minorHAnsi" w:eastAsiaTheme="minorHAnsi" w:hAnsiTheme="minorHAnsi" w:cstheme="minorHAnsi"/>
          <w:b/>
          <w:bCs/>
          <w:sz w:val="22"/>
          <w:szCs w:val="22"/>
          <w:lang w:eastAsia="en-US"/>
        </w:rPr>
        <w:lastRenderedPageBreak/>
        <w:t>Conclusion #</w:t>
      </w:r>
      <w:r>
        <w:rPr>
          <w:rFonts w:asciiTheme="minorHAnsi" w:eastAsiaTheme="minorHAnsi" w:hAnsiTheme="minorHAnsi" w:cstheme="minorHAnsi"/>
          <w:b/>
          <w:bCs/>
          <w:sz w:val="22"/>
          <w:szCs w:val="22"/>
          <w:lang w:eastAsia="en-US"/>
        </w:rPr>
        <w:t>1</w:t>
      </w:r>
      <w:r w:rsidRPr="00BB61A0">
        <w:rPr>
          <w:rFonts w:asciiTheme="minorHAnsi" w:eastAsiaTheme="minorHAnsi" w:hAnsiTheme="minorHAnsi" w:cstheme="minorHAnsi"/>
          <w:b/>
          <w:bCs/>
          <w:sz w:val="22"/>
          <w:szCs w:val="22"/>
          <w:lang w:eastAsia="en-US"/>
        </w:rPr>
        <w:t>:</w:t>
      </w:r>
    </w:p>
    <w:p w14:paraId="2E002427" w14:textId="77777777" w:rsidR="003668F5" w:rsidRPr="009F4CB5" w:rsidRDefault="003668F5" w:rsidP="003668F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sidRPr="009F4CB5">
        <w:rPr>
          <w:rFonts w:asciiTheme="minorHAnsi" w:hAnsiTheme="minorHAnsi" w:cstheme="minorHAnsi"/>
          <w:color w:val="000000"/>
          <w:sz w:val="22"/>
          <w:szCs w:val="22"/>
        </w:rPr>
        <w:t xml:space="preserve">AMEP II remains highly relevant to the objectives of the Government of Mongolia, and to the priorities in the sector. However, with government having recently appointed a new Minister of Mining, AMEP II </w:t>
      </w:r>
      <w:proofErr w:type="gramStart"/>
      <w:r w:rsidRPr="009F4CB5">
        <w:rPr>
          <w:rFonts w:asciiTheme="minorHAnsi" w:hAnsiTheme="minorHAnsi" w:cstheme="minorHAnsi"/>
          <w:color w:val="000000"/>
          <w:sz w:val="22"/>
          <w:szCs w:val="22"/>
        </w:rPr>
        <w:t>has the opportunity to</w:t>
      </w:r>
      <w:proofErr w:type="gramEnd"/>
      <w:r w:rsidRPr="009F4CB5">
        <w:rPr>
          <w:rFonts w:asciiTheme="minorHAnsi" w:hAnsiTheme="minorHAnsi" w:cstheme="minorHAnsi"/>
          <w:color w:val="000000"/>
          <w:sz w:val="22"/>
          <w:szCs w:val="22"/>
        </w:rPr>
        <w:t xml:space="preserve"> determine to what extent its objectives align with the political agenda of the new Minister and to what extent its activities may align with the Minister’s vision for the sector.</w:t>
      </w:r>
    </w:p>
    <w:p w14:paraId="5677C734" w14:textId="77777777" w:rsidR="003668F5" w:rsidRDefault="003668F5" w:rsidP="003668F5">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p>
    <w:p w14:paraId="4C220A54" w14:textId="77777777" w:rsidR="003668F5" w:rsidRDefault="003668F5" w:rsidP="003668F5">
      <w:pPr>
        <w:pBdr>
          <w:top w:val="single" w:sz="4" w:space="1" w:color="auto"/>
          <w:left w:val="single" w:sz="4" w:space="4" w:color="auto"/>
          <w:bottom w:val="single" w:sz="4" w:space="1" w:color="auto"/>
          <w:right w:val="single" w:sz="4" w:space="4" w:color="auto"/>
        </w:pBdr>
        <w:rPr>
          <w:rFonts w:ascii="Arial" w:eastAsiaTheme="minorHAnsi" w:hAnsi="Arial" w:cs="Arial"/>
          <w:sz w:val="18"/>
          <w:szCs w:val="18"/>
          <w:lang w:eastAsia="en-US"/>
        </w:rPr>
      </w:pPr>
      <w:r w:rsidRPr="00B11D12">
        <w:rPr>
          <w:rFonts w:asciiTheme="minorHAnsi" w:eastAsiaTheme="minorHAnsi" w:hAnsiTheme="minorHAnsi" w:cstheme="minorHAnsi"/>
          <w:b/>
          <w:bCs/>
          <w:sz w:val="22"/>
          <w:szCs w:val="22"/>
          <w:lang w:eastAsia="en-US"/>
        </w:rPr>
        <w:t>Conclusion #</w:t>
      </w:r>
      <w:r>
        <w:rPr>
          <w:rFonts w:asciiTheme="minorHAnsi" w:eastAsiaTheme="minorHAnsi" w:hAnsiTheme="minorHAnsi" w:cstheme="minorHAnsi"/>
          <w:b/>
          <w:bCs/>
          <w:sz w:val="22"/>
          <w:szCs w:val="22"/>
          <w:lang w:eastAsia="en-US"/>
        </w:rPr>
        <w:t>2</w:t>
      </w:r>
      <w:r w:rsidRPr="00B11D12">
        <w:rPr>
          <w:rFonts w:asciiTheme="minorHAnsi" w:eastAsiaTheme="minorHAnsi" w:hAnsiTheme="minorHAnsi" w:cstheme="minorHAnsi"/>
          <w:b/>
          <w:bCs/>
          <w:sz w:val="22"/>
          <w:szCs w:val="22"/>
          <w:lang w:eastAsia="en-US"/>
        </w:rPr>
        <w:t>:</w:t>
      </w:r>
    </w:p>
    <w:p w14:paraId="50F31CB2"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As the high-level outcome of AMEP II speaks to equality/ benefits for all it is important for the program to have collaboration with communities. </w:t>
      </w:r>
      <w:r w:rsidRPr="003B2AF7">
        <w:rPr>
          <w:rFonts w:asciiTheme="minorHAnsi" w:hAnsiTheme="minorHAnsi" w:cstheme="minorHAnsi"/>
          <w:sz w:val="22"/>
          <w:szCs w:val="22"/>
          <w:lang w:val="en-GB"/>
        </w:rPr>
        <w:t>An opportunity now exists for greater engagement with civil society</w:t>
      </w:r>
      <w:r>
        <w:rPr>
          <w:rFonts w:asciiTheme="minorHAnsi" w:hAnsiTheme="minorHAnsi" w:cstheme="minorHAnsi"/>
          <w:sz w:val="22"/>
          <w:szCs w:val="22"/>
          <w:lang w:val="en-GB"/>
        </w:rPr>
        <w:t xml:space="preserve">, but their role needs to be carefully defined to ensure they add value to the program and expectations are managed. </w:t>
      </w:r>
    </w:p>
    <w:p w14:paraId="19A0ACE3"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p>
    <w:p w14:paraId="44153A3C" w14:textId="77777777" w:rsidR="003668F5" w:rsidRPr="009F4CB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sidRPr="009F4CB5">
        <w:rPr>
          <w:rFonts w:asciiTheme="minorHAnsi" w:hAnsiTheme="minorHAnsi" w:cstheme="minorHAnsi"/>
          <w:b/>
          <w:bCs/>
          <w:sz w:val="22"/>
          <w:szCs w:val="22"/>
          <w:lang w:val="en-GB"/>
        </w:rPr>
        <w:t>Recommendation</w:t>
      </w:r>
      <w:r>
        <w:rPr>
          <w:rFonts w:asciiTheme="minorHAnsi" w:hAnsiTheme="minorHAnsi" w:cstheme="minorHAnsi"/>
          <w:b/>
          <w:bCs/>
          <w:sz w:val="22"/>
          <w:szCs w:val="22"/>
          <w:lang w:val="en-GB"/>
        </w:rPr>
        <w:t xml:space="preserve"> #1</w:t>
      </w:r>
      <w:r w:rsidRPr="009F4CB5">
        <w:rPr>
          <w:rFonts w:asciiTheme="minorHAnsi" w:hAnsiTheme="minorHAnsi" w:cstheme="minorHAnsi"/>
          <w:b/>
          <w:bCs/>
          <w:sz w:val="22"/>
          <w:szCs w:val="22"/>
          <w:lang w:val="en-GB"/>
        </w:rPr>
        <w:t xml:space="preserve"> </w:t>
      </w:r>
      <w:r>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Over the final period </w:t>
      </w:r>
      <w:r>
        <w:rPr>
          <w:rFonts w:asciiTheme="minorHAnsi" w:hAnsiTheme="minorHAnsi" w:cstheme="minorHAnsi"/>
          <w:sz w:val="22"/>
          <w:szCs w:val="22"/>
          <w:lang w:val="en-GB"/>
        </w:rPr>
        <w:t xml:space="preserve">there is a need for </w:t>
      </w:r>
      <w:r w:rsidRPr="00B677B4">
        <w:rPr>
          <w:rFonts w:asciiTheme="minorHAnsi" w:hAnsiTheme="minorHAnsi" w:cstheme="minorHAnsi"/>
          <w:sz w:val="22"/>
          <w:szCs w:val="22"/>
          <w:lang w:val="en-GB"/>
        </w:rPr>
        <w:t xml:space="preserve">stronger focus/ </w:t>
      </w:r>
      <w:r>
        <w:rPr>
          <w:rFonts w:asciiTheme="minorHAnsi" w:hAnsiTheme="minorHAnsi" w:cstheme="minorHAnsi"/>
          <w:sz w:val="22"/>
          <w:szCs w:val="22"/>
          <w:lang w:val="en-GB"/>
        </w:rPr>
        <w:t xml:space="preserve">greater </w:t>
      </w:r>
      <w:r w:rsidRPr="00B677B4">
        <w:rPr>
          <w:rFonts w:asciiTheme="minorHAnsi" w:hAnsiTheme="minorHAnsi" w:cstheme="minorHAnsi"/>
          <w:sz w:val="22"/>
          <w:szCs w:val="22"/>
          <w:lang w:val="en-GB"/>
        </w:rPr>
        <w:t xml:space="preserve">emphasis on CSOs </w:t>
      </w:r>
      <w:r>
        <w:rPr>
          <w:rFonts w:asciiTheme="minorHAnsi" w:hAnsiTheme="minorHAnsi" w:cstheme="minorHAnsi"/>
          <w:sz w:val="22"/>
          <w:szCs w:val="22"/>
          <w:lang w:val="en-GB"/>
        </w:rPr>
        <w:t>to</w:t>
      </w:r>
      <w:r w:rsidRPr="00B677B4">
        <w:rPr>
          <w:rFonts w:asciiTheme="minorHAnsi" w:hAnsiTheme="minorHAnsi" w:cstheme="minorHAnsi"/>
          <w:sz w:val="22"/>
          <w:szCs w:val="22"/>
          <w:lang w:val="en-GB"/>
        </w:rPr>
        <w:t xml:space="preserve"> ensure the objective of AMEP II is addressed fully</w:t>
      </w:r>
      <w:r>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 </w:t>
      </w:r>
      <w:r>
        <w:rPr>
          <w:rFonts w:asciiTheme="minorHAnsi" w:hAnsiTheme="minorHAnsi" w:cstheme="minorHAnsi"/>
          <w:sz w:val="22"/>
          <w:szCs w:val="22"/>
          <w:lang w:val="en-GB"/>
        </w:rPr>
        <w:t>In</w:t>
      </w:r>
      <w:r w:rsidRPr="00B677B4">
        <w:rPr>
          <w:rFonts w:asciiTheme="minorHAnsi" w:hAnsiTheme="minorHAnsi" w:cstheme="minorHAnsi"/>
          <w:sz w:val="22"/>
          <w:szCs w:val="22"/>
          <w:lang w:val="en-GB"/>
        </w:rPr>
        <w:t xml:space="preserve"> selecting activities going forward</w:t>
      </w:r>
      <w:r>
        <w:rPr>
          <w:rFonts w:asciiTheme="minorHAnsi" w:hAnsiTheme="minorHAnsi" w:cstheme="minorHAnsi"/>
          <w:sz w:val="22"/>
          <w:szCs w:val="22"/>
          <w:lang w:val="en-GB"/>
        </w:rPr>
        <w:t xml:space="preserve"> the focus on CSOs </w:t>
      </w:r>
      <w:r w:rsidRPr="00B677B4">
        <w:rPr>
          <w:rFonts w:asciiTheme="minorHAnsi" w:hAnsiTheme="minorHAnsi" w:cstheme="minorHAnsi"/>
          <w:sz w:val="22"/>
          <w:szCs w:val="22"/>
          <w:lang w:val="en-GB"/>
        </w:rPr>
        <w:t>AMEP II could have a closer look at leveraging the success it has had in building partnerships with both government and industry to create opportunities for effective collaboration with CSOs on joint activities (such as around mining affected communities and/or the social dimension of mining drawing on the experiences, for instance, of OT and ERD Resources)</w:t>
      </w:r>
      <w:r>
        <w:rPr>
          <w:rFonts w:asciiTheme="minorHAnsi" w:hAnsiTheme="minorHAnsi" w:cstheme="minorHAnsi"/>
          <w:sz w:val="22"/>
          <w:szCs w:val="22"/>
          <w:lang w:val="en-GB"/>
        </w:rPr>
        <w:t>.</w:t>
      </w:r>
    </w:p>
    <w:p w14:paraId="21AF5C94" w14:textId="77777777" w:rsidR="00715B80" w:rsidRPr="00B677B4" w:rsidRDefault="00715B80" w:rsidP="009F4CB5">
      <w:pPr>
        <w:pStyle w:val="Default"/>
        <w:spacing w:line="276" w:lineRule="auto"/>
        <w:rPr>
          <w:rFonts w:asciiTheme="minorHAnsi" w:hAnsiTheme="minorHAnsi" w:cstheme="minorHAnsi"/>
          <w:sz w:val="22"/>
          <w:szCs w:val="22"/>
          <w:lang w:val="en-GB"/>
        </w:rPr>
      </w:pPr>
    </w:p>
    <w:p w14:paraId="039B9F92" w14:textId="1B91EDF9" w:rsidR="00FB3C8F" w:rsidRPr="00B677B4" w:rsidRDefault="00FB3C8F" w:rsidP="00B00A2A">
      <w:pPr>
        <w:rPr>
          <w:rFonts w:ascii="Arial" w:eastAsiaTheme="minorHAnsi" w:hAnsi="Arial" w:cs="Arial"/>
          <w:sz w:val="18"/>
          <w:szCs w:val="18"/>
          <w:lang w:eastAsia="en-US"/>
        </w:rPr>
      </w:pPr>
    </w:p>
    <w:p w14:paraId="7504400F" w14:textId="350E787C" w:rsidR="00FB3C8F" w:rsidRPr="00C8767A" w:rsidRDefault="00FB3C8F" w:rsidP="00FB3C8F">
      <w:pPr>
        <w:pStyle w:val="Subheading"/>
        <w:rPr>
          <w:lang w:val="en-GB"/>
        </w:rPr>
      </w:pPr>
      <w:r w:rsidRPr="00C8767A">
        <w:rPr>
          <w:lang w:val="en-GB"/>
        </w:rPr>
        <w:t>EQ 2. To what extent is AMEP II doing the right activities?</w:t>
      </w:r>
    </w:p>
    <w:p w14:paraId="42626BE8" w14:textId="77777777" w:rsidR="00733AA3" w:rsidRPr="00B677B4" w:rsidRDefault="00733AA3" w:rsidP="006A4877">
      <w:pPr>
        <w:pStyle w:val="Default"/>
        <w:spacing w:line="276" w:lineRule="auto"/>
        <w:rPr>
          <w:rFonts w:asciiTheme="minorHAnsi" w:hAnsiTheme="minorHAnsi" w:cstheme="minorHAnsi"/>
          <w:sz w:val="22"/>
          <w:szCs w:val="22"/>
          <w:lang w:val="en-GB"/>
        </w:rPr>
      </w:pPr>
    </w:p>
    <w:p w14:paraId="0A0795E3" w14:textId="4849064A" w:rsidR="00E7335D" w:rsidRPr="00B677B4" w:rsidRDefault="002D38FD" w:rsidP="00E7335D">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 xml:space="preserve">AMEP II has demonstrated that it provides sound advice on critical issues in the </w:t>
      </w:r>
      <w:r w:rsidR="00C43782" w:rsidRPr="00B677B4">
        <w:rPr>
          <w:rFonts w:asciiTheme="minorHAnsi" w:hAnsiTheme="minorHAnsi" w:cstheme="minorHAnsi"/>
          <w:b/>
          <w:bCs/>
          <w:sz w:val="22"/>
          <w:szCs w:val="22"/>
          <w:lang w:val="en-GB"/>
        </w:rPr>
        <w:t>sector and</w:t>
      </w:r>
      <w:r w:rsidRPr="00B677B4">
        <w:rPr>
          <w:rFonts w:asciiTheme="minorHAnsi" w:hAnsiTheme="minorHAnsi" w:cstheme="minorHAnsi"/>
          <w:b/>
          <w:bCs/>
          <w:sz w:val="22"/>
          <w:szCs w:val="22"/>
          <w:lang w:val="en-GB"/>
        </w:rPr>
        <w:t xml:space="preserve"> has been sought out by government to support important regulatory and legislative issues</w:t>
      </w:r>
      <w:r w:rsidRPr="00B677B4">
        <w:rPr>
          <w:rFonts w:asciiTheme="minorHAnsi" w:hAnsiTheme="minorHAnsi" w:cstheme="minorHAnsi"/>
          <w:sz w:val="22"/>
          <w:szCs w:val="22"/>
          <w:lang w:val="en-GB"/>
        </w:rPr>
        <w:t xml:space="preserve"> (such as the work done on licensing, the new Minerals Law, and the new Subsoil Law).</w:t>
      </w:r>
      <w:r w:rsidR="00733AA3" w:rsidRPr="00B677B4">
        <w:rPr>
          <w:rFonts w:asciiTheme="minorHAnsi" w:hAnsiTheme="minorHAnsi" w:cstheme="minorHAnsi"/>
          <w:sz w:val="22"/>
          <w:szCs w:val="22"/>
          <w:lang w:val="en-GB"/>
        </w:rPr>
        <w:t xml:space="preserve"> Moreover, where applicable</w:t>
      </w:r>
      <w:r w:rsidR="00C53BCA">
        <w:rPr>
          <w:rFonts w:asciiTheme="minorHAnsi" w:hAnsiTheme="minorHAnsi" w:cstheme="minorHAnsi"/>
          <w:sz w:val="22"/>
          <w:szCs w:val="22"/>
          <w:lang w:val="en-GB"/>
        </w:rPr>
        <w:t xml:space="preserve">, </w:t>
      </w:r>
      <w:r w:rsidR="00733AA3" w:rsidRPr="00B677B4">
        <w:rPr>
          <w:rFonts w:asciiTheme="minorHAnsi" w:hAnsiTheme="minorHAnsi" w:cstheme="minorHAnsi"/>
          <w:sz w:val="22"/>
          <w:szCs w:val="22"/>
          <w:lang w:val="en-GB"/>
        </w:rPr>
        <w:t>AMEP II has also advocated for specific reforms within the sector. For instance, in providing accounting guidance to the Ministry of Finance, AMEP II also lobbied for this work to be shared with other relevant Ministries</w:t>
      </w:r>
      <w:r w:rsidR="00C53BCA">
        <w:rPr>
          <w:rFonts w:asciiTheme="minorHAnsi" w:hAnsiTheme="minorHAnsi" w:cstheme="minorHAnsi"/>
          <w:sz w:val="22"/>
          <w:szCs w:val="22"/>
          <w:lang w:val="en-GB"/>
        </w:rPr>
        <w:t>,</w:t>
      </w:r>
      <w:r w:rsidR="00733AA3" w:rsidRPr="00B677B4">
        <w:rPr>
          <w:rFonts w:asciiTheme="minorHAnsi" w:hAnsiTheme="minorHAnsi" w:cstheme="minorHAnsi"/>
          <w:sz w:val="22"/>
          <w:szCs w:val="22"/>
          <w:lang w:val="en-GB"/>
        </w:rPr>
        <w:t xml:space="preserve"> to use the guidance </w:t>
      </w:r>
      <w:r w:rsidR="00C53BCA">
        <w:rPr>
          <w:rFonts w:asciiTheme="minorHAnsi" w:hAnsiTheme="minorHAnsi" w:cstheme="minorHAnsi"/>
          <w:sz w:val="22"/>
          <w:szCs w:val="22"/>
          <w:lang w:val="en-GB"/>
        </w:rPr>
        <w:t>within</w:t>
      </w:r>
      <w:r w:rsidR="00733AA3" w:rsidRPr="00B677B4">
        <w:rPr>
          <w:rFonts w:asciiTheme="minorHAnsi" w:hAnsiTheme="minorHAnsi" w:cstheme="minorHAnsi"/>
          <w:sz w:val="22"/>
          <w:szCs w:val="22"/>
          <w:lang w:val="en-GB"/>
        </w:rPr>
        <w:t xml:space="preserve"> policy</w:t>
      </w:r>
      <w:r w:rsidR="00C53BCA">
        <w:rPr>
          <w:rFonts w:asciiTheme="minorHAnsi" w:hAnsiTheme="minorHAnsi" w:cstheme="minorHAnsi"/>
          <w:sz w:val="22"/>
          <w:szCs w:val="22"/>
          <w:lang w:val="en-GB"/>
        </w:rPr>
        <w:t>,</w:t>
      </w:r>
      <w:r w:rsidR="00733AA3" w:rsidRPr="00B677B4">
        <w:rPr>
          <w:rFonts w:asciiTheme="minorHAnsi" w:hAnsiTheme="minorHAnsi" w:cstheme="minorHAnsi"/>
          <w:sz w:val="22"/>
          <w:szCs w:val="22"/>
          <w:lang w:val="en-GB"/>
        </w:rPr>
        <w:t xml:space="preserve"> and</w:t>
      </w:r>
      <w:r w:rsidR="00C53BCA">
        <w:rPr>
          <w:rFonts w:asciiTheme="minorHAnsi" w:hAnsiTheme="minorHAnsi" w:cstheme="minorHAnsi"/>
          <w:sz w:val="22"/>
          <w:szCs w:val="22"/>
          <w:lang w:val="en-GB"/>
        </w:rPr>
        <w:t xml:space="preserve"> it also</w:t>
      </w:r>
      <w:r w:rsidR="00733AA3" w:rsidRPr="00B677B4">
        <w:rPr>
          <w:rFonts w:asciiTheme="minorHAnsi" w:hAnsiTheme="minorHAnsi" w:cstheme="minorHAnsi"/>
          <w:sz w:val="22"/>
          <w:szCs w:val="22"/>
          <w:lang w:val="en-GB"/>
        </w:rPr>
        <w:t xml:space="preserve"> initiated further collaboration between the ministries</w:t>
      </w:r>
      <w:r w:rsidR="00C53BCA">
        <w:rPr>
          <w:rFonts w:asciiTheme="minorHAnsi" w:hAnsiTheme="minorHAnsi" w:cstheme="minorHAnsi"/>
          <w:sz w:val="22"/>
          <w:szCs w:val="22"/>
          <w:lang w:val="en-GB"/>
        </w:rPr>
        <w:t xml:space="preserve"> on this </w:t>
      </w:r>
      <w:r w:rsidR="003538AD">
        <w:rPr>
          <w:rFonts w:asciiTheme="minorHAnsi" w:hAnsiTheme="minorHAnsi" w:cstheme="minorHAnsi"/>
          <w:sz w:val="22"/>
          <w:szCs w:val="22"/>
          <w:lang w:val="en-GB"/>
        </w:rPr>
        <w:t>matter</w:t>
      </w:r>
      <w:r w:rsidR="00733AA3" w:rsidRPr="00B677B4">
        <w:rPr>
          <w:rFonts w:asciiTheme="minorHAnsi" w:hAnsiTheme="minorHAnsi" w:cstheme="minorHAnsi"/>
          <w:sz w:val="22"/>
          <w:szCs w:val="22"/>
          <w:lang w:val="en-GB"/>
        </w:rPr>
        <w:t xml:space="preserve">. </w:t>
      </w:r>
      <w:r w:rsidR="003538AD">
        <w:rPr>
          <w:rFonts w:asciiTheme="minorHAnsi" w:hAnsiTheme="minorHAnsi" w:cstheme="minorHAnsi"/>
          <w:sz w:val="22"/>
          <w:szCs w:val="22"/>
          <w:lang w:val="en-GB"/>
        </w:rPr>
        <w:t>Through its work on</w:t>
      </w:r>
      <w:r w:rsidR="00733AA3" w:rsidRPr="00B677B4">
        <w:rPr>
          <w:rFonts w:asciiTheme="minorHAnsi" w:hAnsiTheme="minorHAnsi" w:cstheme="minorHAnsi"/>
          <w:sz w:val="22"/>
          <w:szCs w:val="22"/>
          <w:lang w:val="en-GB"/>
        </w:rPr>
        <w:t xml:space="preserve"> royalties and other tax issues </w:t>
      </w:r>
      <w:r w:rsidR="003538AD">
        <w:rPr>
          <w:rFonts w:asciiTheme="minorHAnsi" w:hAnsiTheme="minorHAnsi" w:cstheme="minorHAnsi"/>
          <w:sz w:val="22"/>
          <w:szCs w:val="22"/>
          <w:lang w:val="en-GB"/>
        </w:rPr>
        <w:t xml:space="preserve">AMEP II </w:t>
      </w:r>
      <w:r w:rsidR="00733AA3" w:rsidRPr="00B677B4">
        <w:rPr>
          <w:rFonts w:asciiTheme="minorHAnsi" w:hAnsiTheme="minorHAnsi" w:cstheme="minorHAnsi"/>
          <w:sz w:val="22"/>
          <w:szCs w:val="22"/>
          <w:lang w:val="en-GB"/>
        </w:rPr>
        <w:t>has been advocating for greater unity with various business chambers to work together to address taxation issues in the sector.</w:t>
      </w:r>
      <w:r w:rsidR="00E7335D" w:rsidRPr="00B677B4">
        <w:rPr>
          <w:rFonts w:asciiTheme="minorHAnsi" w:hAnsiTheme="minorHAnsi" w:cstheme="minorHAnsi"/>
          <w:sz w:val="22"/>
          <w:szCs w:val="22"/>
          <w:lang w:val="en-GB"/>
        </w:rPr>
        <w:t xml:space="preserve"> </w:t>
      </w:r>
      <w:r w:rsidR="007F0A4D" w:rsidRPr="00B677B4">
        <w:rPr>
          <w:rFonts w:asciiTheme="minorHAnsi" w:hAnsiTheme="minorHAnsi" w:cstheme="minorHAnsi"/>
          <w:sz w:val="22"/>
          <w:szCs w:val="22"/>
          <w:lang w:val="en-GB"/>
        </w:rPr>
        <w:t>AMEP II has also shown</w:t>
      </w:r>
      <w:r w:rsidR="003538AD">
        <w:rPr>
          <w:rFonts w:asciiTheme="minorHAnsi" w:hAnsiTheme="minorHAnsi" w:cstheme="minorHAnsi"/>
          <w:sz w:val="22"/>
          <w:szCs w:val="22"/>
          <w:lang w:val="en-GB"/>
        </w:rPr>
        <w:t>,</w:t>
      </w:r>
      <w:r w:rsidR="007F0A4D" w:rsidRPr="00B677B4">
        <w:rPr>
          <w:rFonts w:asciiTheme="minorHAnsi" w:hAnsiTheme="minorHAnsi" w:cstheme="minorHAnsi"/>
          <w:sz w:val="22"/>
          <w:szCs w:val="22"/>
          <w:lang w:val="en-GB"/>
        </w:rPr>
        <w:t xml:space="preserve"> not only through its </w:t>
      </w:r>
      <w:r w:rsidR="003538AD">
        <w:rPr>
          <w:rFonts w:asciiTheme="minorHAnsi" w:hAnsiTheme="minorHAnsi" w:cstheme="minorHAnsi"/>
          <w:sz w:val="22"/>
          <w:szCs w:val="22"/>
          <w:lang w:val="en-GB"/>
        </w:rPr>
        <w:t xml:space="preserve">consultative </w:t>
      </w:r>
      <w:r w:rsidR="007F0A4D" w:rsidRPr="00B677B4">
        <w:rPr>
          <w:rFonts w:asciiTheme="minorHAnsi" w:hAnsiTheme="minorHAnsi" w:cstheme="minorHAnsi"/>
          <w:sz w:val="22"/>
          <w:szCs w:val="22"/>
          <w:lang w:val="en-GB"/>
        </w:rPr>
        <w:t xml:space="preserve">approach to developing its annual workplan, but through many other initiatives </w:t>
      </w:r>
      <w:r w:rsidR="003538AD">
        <w:rPr>
          <w:rFonts w:asciiTheme="minorHAnsi" w:hAnsiTheme="minorHAnsi" w:cstheme="minorHAnsi"/>
          <w:sz w:val="22"/>
          <w:szCs w:val="22"/>
          <w:lang w:val="en-GB"/>
        </w:rPr>
        <w:t>its strong</w:t>
      </w:r>
      <w:r w:rsidR="007F0A4D" w:rsidRPr="00B677B4">
        <w:rPr>
          <w:rFonts w:asciiTheme="minorHAnsi" w:hAnsiTheme="minorHAnsi" w:cstheme="minorHAnsi"/>
          <w:sz w:val="22"/>
          <w:szCs w:val="22"/>
          <w:lang w:val="en-GB"/>
        </w:rPr>
        <w:t xml:space="preserve"> focus on building relationships to promote and enhance collaboration in the sector.</w:t>
      </w:r>
      <w:r w:rsidR="00787215" w:rsidRPr="00B677B4">
        <w:rPr>
          <w:rFonts w:asciiTheme="minorHAnsi" w:hAnsiTheme="minorHAnsi" w:cstheme="minorHAnsi"/>
          <w:sz w:val="22"/>
          <w:szCs w:val="22"/>
          <w:lang w:val="en-GB"/>
        </w:rPr>
        <w:t xml:space="preserve"> Relations created during the first phase of AMEP are being leveraged to great success in AMEP II. An example is of the 1</w:t>
      </w:r>
      <w:r w:rsidR="00787215" w:rsidRPr="00B677B4">
        <w:rPr>
          <w:rFonts w:asciiTheme="minorHAnsi" w:hAnsiTheme="minorHAnsi" w:cstheme="minorHAnsi"/>
          <w:sz w:val="22"/>
          <w:szCs w:val="22"/>
          <w:vertAlign w:val="superscript"/>
          <w:lang w:val="en-GB"/>
        </w:rPr>
        <w:t>st</w:t>
      </w:r>
      <w:r w:rsidR="00787215" w:rsidRPr="00B677B4">
        <w:rPr>
          <w:rFonts w:asciiTheme="minorHAnsi" w:hAnsiTheme="minorHAnsi" w:cstheme="minorHAnsi"/>
          <w:sz w:val="22"/>
          <w:szCs w:val="22"/>
          <w:lang w:val="en-GB"/>
        </w:rPr>
        <w:t xml:space="preserve"> program providing early advice on the National Geological Survey (NGS), which was only implemented in 2020. AMEP’s positioning meant it was able to build on existing relationships to create an effective partnership to support this initiative, and expand its scope to also </w:t>
      </w:r>
      <w:proofErr w:type="gramStart"/>
      <w:r w:rsidR="00787215" w:rsidRPr="00B677B4">
        <w:rPr>
          <w:rFonts w:asciiTheme="minorHAnsi" w:hAnsiTheme="minorHAnsi" w:cstheme="minorHAnsi"/>
          <w:sz w:val="22"/>
          <w:szCs w:val="22"/>
          <w:lang w:val="en-GB"/>
        </w:rPr>
        <w:t>include  privately</w:t>
      </w:r>
      <w:proofErr w:type="gramEnd"/>
      <w:r w:rsidR="00787215" w:rsidRPr="00B677B4">
        <w:rPr>
          <w:rFonts w:asciiTheme="minorHAnsi" w:hAnsiTheme="minorHAnsi" w:cstheme="minorHAnsi"/>
          <w:sz w:val="22"/>
          <w:szCs w:val="22"/>
          <w:lang w:val="en-GB"/>
        </w:rPr>
        <w:t>-funded geo-science data. Moreover, r</w:t>
      </w:r>
      <w:r w:rsidR="007F0A4D" w:rsidRPr="00B677B4">
        <w:rPr>
          <w:rFonts w:asciiTheme="minorHAnsi" w:hAnsiTheme="minorHAnsi" w:cstheme="minorHAnsi"/>
          <w:sz w:val="22"/>
          <w:szCs w:val="22"/>
          <w:lang w:val="en-GB"/>
        </w:rPr>
        <w:t>ecent work</w:t>
      </w:r>
      <w:r w:rsidR="00787215" w:rsidRPr="00B677B4">
        <w:rPr>
          <w:rFonts w:asciiTheme="minorHAnsi" w:hAnsiTheme="minorHAnsi" w:cstheme="minorHAnsi"/>
          <w:sz w:val="22"/>
          <w:szCs w:val="22"/>
          <w:lang w:val="en-GB"/>
        </w:rPr>
        <w:t xml:space="preserve"> by AMEP II</w:t>
      </w:r>
      <w:r w:rsidR="007F0A4D" w:rsidRPr="00B677B4">
        <w:rPr>
          <w:rFonts w:asciiTheme="minorHAnsi" w:hAnsiTheme="minorHAnsi" w:cstheme="minorHAnsi"/>
          <w:sz w:val="22"/>
          <w:szCs w:val="22"/>
          <w:lang w:val="en-GB"/>
        </w:rPr>
        <w:t xml:space="preserve"> illustrates that by improving relations and building trust, it</w:t>
      </w:r>
      <w:r w:rsidR="00787215" w:rsidRPr="00B677B4">
        <w:rPr>
          <w:rFonts w:asciiTheme="minorHAnsi" w:hAnsiTheme="minorHAnsi" w:cstheme="minorHAnsi"/>
          <w:sz w:val="22"/>
          <w:szCs w:val="22"/>
          <w:lang w:val="en-GB"/>
        </w:rPr>
        <w:t xml:space="preserve"> also helps to</w:t>
      </w:r>
      <w:r w:rsidR="007F0A4D" w:rsidRPr="00B677B4">
        <w:rPr>
          <w:rFonts w:asciiTheme="minorHAnsi" w:hAnsiTheme="minorHAnsi" w:cstheme="minorHAnsi"/>
          <w:sz w:val="22"/>
          <w:szCs w:val="22"/>
          <w:lang w:val="en-GB"/>
        </w:rPr>
        <w:t xml:space="preserve"> reduces conflict and creates better opportunities for addressing challenges in the sector</w:t>
      </w:r>
      <w:r w:rsidR="00733AA3" w:rsidRPr="00B677B4">
        <w:rPr>
          <w:rFonts w:asciiTheme="minorHAnsi" w:hAnsiTheme="minorHAnsi" w:cstheme="minorHAnsi"/>
          <w:sz w:val="22"/>
          <w:szCs w:val="22"/>
          <w:lang w:val="en-GB"/>
        </w:rPr>
        <w:t>.</w:t>
      </w:r>
      <w:r w:rsidR="00E7335D" w:rsidRPr="00B677B4">
        <w:rPr>
          <w:rFonts w:asciiTheme="minorHAnsi" w:hAnsiTheme="minorHAnsi" w:cstheme="minorHAnsi"/>
          <w:sz w:val="22"/>
          <w:szCs w:val="22"/>
          <w:lang w:val="en-GB"/>
        </w:rPr>
        <w:t xml:space="preserve"> </w:t>
      </w:r>
    </w:p>
    <w:p w14:paraId="0F7079E8" w14:textId="690169D5" w:rsidR="00E7335D" w:rsidRPr="00B677B4" w:rsidRDefault="00E7335D" w:rsidP="00E7335D">
      <w:pPr>
        <w:pStyle w:val="Default"/>
        <w:spacing w:line="276" w:lineRule="auto"/>
        <w:rPr>
          <w:rFonts w:asciiTheme="minorHAnsi" w:hAnsiTheme="minorHAnsi" w:cstheme="minorHAnsi"/>
          <w:sz w:val="22"/>
          <w:szCs w:val="22"/>
          <w:lang w:val="en-GB"/>
        </w:rPr>
      </w:pPr>
    </w:p>
    <w:p w14:paraId="1116D79A" w14:textId="5FEF3F7E" w:rsidR="003538AD" w:rsidRDefault="00E7335D" w:rsidP="00E8358D">
      <w:pPr>
        <w:pStyle w:val="Default"/>
        <w:spacing w:line="276" w:lineRule="auto"/>
        <w:rPr>
          <w:rFonts w:cstheme="minorHAnsi"/>
          <w:sz w:val="22"/>
          <w:szCs w:val="22"/>
          <w:lang w:val="en-GB"/>
        </w:rPr>
      </w:pPr>
      <w:r w:rsidRPr="00B677B4">
        <w:rPr>
          <w:rFonts w:asciiTheme="minorHAnsi" w:hAnsiTheme="minorHAnsi" w:cstheme="minorHAnsi"/>
          <w:b/>
          <w:bCs/>
          <w:sz w:val="22"/>
          <w:szCs w:val="22"/>
          <w:lang w:val="en-GB"/>
        </w:rPr>
        <w:t>The program has been largely effective in delivering at output level</w:t>
      </w:r>
      <w:r w:rsidR="009F3951" w:rsidRPr="00B677B4">
        <w:rPr>
          <w:rFonts w:asciiTheme="minorHAnsi" w:hAnsiTheme="minorHAnsi" w:cstheme="minorHAnsi"/>
          <w:b/>
          <w:bCs/>
          <w:sz w:val="22"/>
          <w:szCs w:val="22"/>
          <w:lang w:val="en-GB"/>
        </w:rPr>
        <w:t xml:space="preserve">, but its progress towards its </w:t>
      </w:r>
      <w:r w:rsidR="00354425" w:rsidRPr="00B677B4">
        <w:rPr>
          <w:rFonts w:asciiTheme="minorHAnsi" w:hAnsiTheme="minorHAnsi" w:cstheme="minorHAnsi"/>
          <w:b/>
          <w:bCs/>
          <w:sz w:val="22"/>
          <w:szCs w:val="22"/>
          <w:lang w:val="en-GB"/>
        </w:rPr>
        <w:t xml:space="preserve">overall </w:t>
      </w:r>
      <w:r w:rsidR="009F3951" w:rsidRPr="00B677B4">
        <w:rPr>
          <w:rFonts w:asciiTheme="minorHAnsi" w:hAnsiTheme="minorHAnsi" w:cstheme="minorHAnsi"/>
          <w:b/>
          <w:bCs/>
          <w:sz w:val="22"/>
          <w:szCs w:val="22"/>
          <w:lang w:val="en-GB"/>
        </w:rPr>
        <w:t>objective remains uncertain</w:t>
      </w:r>
      <w:r w:rsidRPr="00B677B4">
        <w:rPr>
          <w:rFonts w:asciiTheme="minorHAnsi" w:hAnsiTheme="minorHAnsi" w:cstheme="minorHAnsi"/>
          <w:b/>
          <w:bCs/>
          <w:sz w:val="22"/>
          <w:szCs w:val="22"/>
          <w:lang w:val="en-GB"/>
        </w:rPr>
        <w:t>.</w:t>
      </w:r>
      <w:r w:rsidRPr="00B677B4">
        <w:rPr>
          <w:rFonts w:asciiTheme="minorHAnsi" w:hAnsiTheme="minorHAnsi" w:cstheme="minorHAnsi"/>
          <w:sz w:val="22"/>
          <w:szCs w:val="22"/>
          <w:lang w:val="en-GB"/>
        </w:rPr>
        <w:t xml:space="preserve"> The table below (</w:t>
      </w:r>
      <w:r w:rsidRPr="00B677B4">
        <w:rPr>
          <w:rFonts w:asciiTheme="minorHAnsi" w:hAnsiTheme="minorHAnsi" w:cstheme="minorHAnsi"/>
          <w:sz w:val="22"/>
          <w:szCs w:val="22"/>
          <w:lang w:val="en-GB"/>
        </w:rPr>
        <w:fldChar w:fldCharType="begin"/>
      </w:r>
      <w:r w:rsidRPr="00B677B4">
        <w:rPr>
          <w:rFonts w:asciiTheme="minorHAnsi" w:hAnsiTheme="minorHAnsi" w:cstheme="minorHAnsi"/>
          <w:sz w:val="22"/>
          <w:szCs w:val="22"/>
          <w:lang w:val="en-GB"/>
        </w:rPr>
        <w:instrText xml:space="preserve"> REF _Ref117254286 \h </w:instrText>
      </w:r>
      <w:r w:rsidR="008E5ACF" w:rsidRPr="00B677B4">
        <w:rPr>
          <w:rFonts w:asciiTheme="minorHAnsi" w:hAnsiTheme="minorHAnsi" w:cstheme="minorHAnsi"/>
          <w:sz w:val="22"/>
          <w:szCs w:val="22"/>
          <w:lang w:val="en-GB"/>
        </w:rPr>
        <w:instrText xml:space="preserve"> \* MERGEFORMAT </w:instrText>
      </w:r>
      <w:r w:rsidRPr="00B677B4">
        <w:rPr>
          <w:rFonts w:asciiTheme="minorHAnsi" w:hAnsiTheme="minorHAnsi" w:cstheme="minorHAnsi"/>
          <w:sz w:val="22"/>
          <w:szCs w:val="22"/>
          <w:lang w:val="en-GB"/>
        </w:rPr>
      </w:r>
      <w:r w:rsidRPr="00B677B4">
        <w:rPr>
          <w:rFonts w:asciiTheme="minorHAnsi" w:hAnsiTheme="minorHAnsi" w:cstheme="minorHAnsi"/>
          <w:sz w:val="22"/>
          <w:szCs w:val="22"/>
          <w:lang w:val="en-GB"/>
        </w:rPr>
        <w:fldChar w:fldCharType="separate"/>
      </w:r>
      <w:r w:rsidRPr="00B677B4">
        <w:rPr>
          <w:rFonts w:asciiTheme="minorHAnsi" w:hAnsiTheme="minorHAnsi" w:cstheme="minorHAnsi"/>
          <w:sz w:val="22"/>
          <w:szCs w:val="22"/>
          <w:lang w:val="en-GB"/>
        </w:rPr>
        <w:t>Table 1</w:t>
      </w:r>
      <w:r w:rsidRPr="00B677B4">
        <w:rPr>
          <w:rFonts w:asciiTheme="minorHAnsi" w:hAnsiTheme="minorHAnsi" w:cstheme="minorHAnsi"/>
          <w:sz w:val="22"/>
          <w:szCs w:val="22"/>
          <w:lang w:val="en-GB"/>
        </w:rPr>
        <w:fldChar w:fldCharType="end"/>
      </w:r>
      <w:r w:rsidRPr="00B677B4">
        <w:rPr>
          <w:rFonts w:asciiTheme="minorHAnsi" w:hAnsiTheme="minorHAnsi" w:cstheme="minorHAnsi"/>
          <w:sz w:val="22"/>
          <w:szCs w:val="22"/>
          <w:lang w:val="en-GB"/>
        </w:rPr>
        <w:t>) lists the 6 strategic pillars of the program and</w:t>
      </w:r>
      <w:r w:rsidR="008E5ACF" w:rsidRPr="00B677B4">
        <w:rPr>
          <w:rFonts w:asciiTheme="minorHAnsi" w:hAnsiTheme="minorHAnsi" w:cstheme="minorHAnsi"/>
          <w:sz w:val="22"/>
          <w:szCs w:val="22"/>
          <w:lang w:val="en-GB"/>
        </w:rPr>
        <w:t xml:space="preserve"> examples of</w:t>
      </w:r>
      <w:r w:rsidRPr="00B677B4">
        <w:rPr>
          <w:rFonts w:asciiTheme="minorHAnsi" w:hAnsiTheme="minorHAnsi" w:cstheme="minorHAnsi"/>
          <w:sz w:val="22"/>
          <w:szCs w:val="22"/>
          <w:lang w:val="en-GB"/>
        </w:rPr>
        <w:t xml:space="preserve"> associated key activities under each pillar</w:t>
      </w:r>
      <w:r w:rsidR="008E5ACF" w:rsidRPr="00B677B4">
        <w:rPr>
          <w:rFonts w:asciiTheme="minorHAnsi" w:hAnsiTheme="minorHAnsi" w:cstheme="minorHAnsi"/>
          <w:sz w:val="22"/>
          <w:szCs w:val="22"/>
          <w:lang w:val="en-GB"/>
        </w:rPr>
        <w:t xml:space="preserve"> (and as we note</w:t>
      </w:r>
      <w:r w:rsidR="003538AD">
        <w:rPr>
          <w:rFonts w:asciiTheme="minorHAnsi" w:hAnsiTheme="minorHAnsi" w:cstheme="minorHAnsi"/>
          <w:sz w:val="22"/>
          <w:szCs w:val="22"/>
          <w:lang w:val="en-GB"/>
        </w:rPr>
        <w:t xml:space="preserve"> in the table</w:t>
      </w:r>
      <w:r w:rsidR="008E5ACF" w:rsidRPr="00B677B4">
        <w:rPr>
          <w:rFonts w:asciiTheme="minorHAnsi" w:hAnsiTheme="minorHAnsi" w:cstheme="minorHAnsi"/>
          <w:sz w:val="22"/>
          <w:szCs w:val="22"/>
          <w:lang w:val="en-GB"/>
        </w:rPr>
        <w:t xml:space="preserve"> the majority of the activities have been completed</w:t>
      </w:r>
      <w:r w:rsidR="003C74CD">
        <w:rPr>
          <w:rFonts w:asciiTheme="minorHAnsi" w:hAnsiTheme="minorHAnsi" w:cstheme="minorHAnsi"/>
          <w:sz w:val="22"/>
          <w:szCs w:val="22"/>
          <w:lang w:val="en-GB"/>
        </w:rPr>
        <w:t xml:space="preserve"> – see also Annex 4 for a full list of activities </w:t>
      </w:r>
      <w:r w:rsidR="003C74CD">
        <w:rPr>
          <w:rFonts w:asciiTheme="minorHAnsi" w:hAnsiTheme="minorHAnsi" w:cstheme="minorHAnsi"/>
          <w:sz w:val="22"/>
          <w:szCs w:val="22"/>
          <w:lang w:val="en-GB"/>
        </w:rPr>
        <w:lastRenderedPageBreak/>
        <w:t>undertaken between 2019 - 2022</w:t>
      </w:r>
      <w:r w:rsidR="008E5ACF" w:rsidRPr="00B677B4">
        <w:rPr>
          <w:rFonts w:asciiTheme="minorHAnsi" w:hAnsiTheme="minorHAnsi" w:cstheme="minorHAnsi"/>
          <w:sz w:val="22"/>
          <w:szCs w:val="22"/>
          <w:lang w:val="en-GB"/>
        </w:rPr>
        <w:t>)</w:t>
      </w:r>
      <w:r w:rsidRPr="00B677B4">
        <w:rPr>
          <w:rFonts w:asciiTheme="minorHAnsi" w:hAnsiTheme="minorHAnsi" w:cstheme="minorHAnsi"/>
          <w:sz w:val="22"/>
          <w:szCs w:val="22"/>
          <w:lang w:val="en-GB"/>
        </w:rPr>
        <w:t xml:space="preserve">. It is expected that the delivery of these activities will, contribute to the program realising its objective of creating ‘an enabling environment for investment’, using an approach that ensures ‘collaboration with multi-stakeholders representing government, industry and civil society’. In some </w:t>
      </w:r>
      <w:r w:rsidR="009F3951" w:rsidRPr="00B677B4">
        <w:rPr>
          <w:rFonts w:asciiTheme="minorHAnsi" w:hAnsiTheme="minorHAnsi" w:cstheme="minorHAnsi"/>
          <w:sz w:val="22"/>
          <w:szCs w:val="22"/>
          <w:lang w:val="en-GB"/>
        </w:rPr>
        <w:t>instances,</w:t>
      </w:r>
      <w:r w:rsidRPr="00B677B4">
        <w:rPr>
          <w:rFonts w:asciiTheme="minorHAnsi" w:hAnsiTheme="minorHAnsi" w:cstheme="minorHAnsi"/>
          <w:sz w:val="22"/>
          <w:szCs w:val="22"/>
          <w:lang w:val="en-GB"/>
        </w:rPr>
        <w:t xml:space="preserve"> the activities complement each other, and linkages have been created between them (for instance data on CBM resources has been collected and captured within the NGD), but this is not always the case. Moreover, there is evidence that </w:t>
      </w:r>
      <w:r w:rsidR="009F3951" w:rsidRPr="00B677B4">
        <w:rPr>
          <w:rFonts w:asciiTheme="minorHAnsi" w:hAnsiTheme="minorHAnsi" w:cstheme="minorHAnsi"/>
          <w:sz w:val="22"/>
          <w:szCs w:val="22"/>
          <w:lang w:val="en-GB"/>
        </w:rPr>
        <w:t xml:space="preserve">whilst </w:t>
      </w:r>
      <w:r w:rsidRPr="00B677B4">
        <w:rPr>
          <w:rFonts w:asciiTheme="minorHAnsi" w:hAnsiTheme="minorHAnsi" w:cstheme="minorHAnsi"/>
          <w:sz w:val="22"/>
          <w:szCs w:val="22"/>
          <w:lang w:val="en-GB"/>
        </w:rPr>
        <w:t>AMEP II is supporting a mix of areas it has worked in for many years (such as its important work to create relevant digital platforms and geoscience more broadly) and much newer initiatives (such as its work on gender rights in the sector)</w:t>
      </w:r>
      <w:r w:rsidR="009F3951" w:rsidRPr="00B677B4">
        <w:rPr>
          <w:rFonts w:asciiTheme="minorHAnsi" w:hAnsiTheme="minorHAnsi" w:cstheme="minorHAnsi"/>
          <w:sz w:val="22"/>
          <w:szCs w:val="22"/>
          <w:lang w:val="en-GB"/>
        </w:rPr>
        <w:t xml:space="preserve">, the line of sight between what it is investing </w:t>
      </w:r>
      <w:proofErr w:type="gramStart"/>
      <w:r w:rsidR="009F3951" w:rsidRPr="00B677B4">
        <w:rPr>
          <w:rFonts w:asciiTheme="minorHAnsi" w:hAnsiTheme="minorHAnsi" w:cstheme="minorHAnsi"/>
          <w:sz w:val="22"/>
          <w:szCs w:val="22"/>
          <w:lang w:val="en-GB"/>
        </w:rPr>
        <w:t>in</w:t>
      </w:r>
      <w:proofErr w:type="gramEnd"/>
      <w:r w:rsidR="009F3951" w:rsidRPr="00B677B4">
        <w:rPr>
          <w:rFonts w:asciiTheme="minorHAnsi" w:hAnsiTheme="minorHAnsi" w:cstheme="minorHAnsi"/>
          <w:sz w:val="22"/>
          <w:szCs w:val="22"/>
          <w:lang w:val="en-GB"/>
        </w:rPr>
        <w:t xml:space="preserve"> and its overarching purpose is ambiguous</w:t>
      </w:r>
      <w:r w:rsidRPr="00B677B4">
        <w:rPr>
          <w:rFonts w:asciiTheme="minorHAnsi" w:hAnsiTheme="minorHAnsi" w:cstheme="minorHAnsi"/>
          <w:sz w:val="22"/>
          <w:szCs w:val="22"/>
          <w:lang w:val="en-GB"/>
        </w:rPr>
        <w:t xml:space="preserve">. </w:t>
      </w:r>
      <w:r w:rsidR="009F3951" w:rsidRPr="00B677B4">
        <w:rPr>
          <w:rFonts w:asciiTheme="minorHAnsi" w:hAnsiTheme="minorHAnsi" w:cstheme="minorHAnsi"/>
          <w:sz w:val="22"/>
          <w:szCs w:val="22"/>
          <w:lang w:val="en-GB"/>
        </w:rPr>
        <w:t xml:space="preserve">Key </w:t>
      </w:r>
      <w:r w:rsidRPr="00B677B4">
        <w:rPr>
          <w:rFonts w:asciiTheme="minorHAnsi" w:hAnsiTheme="minorHAnsi" w:cstheme="minorHAnsi"/>
          <w:sz w:val="22"/>
          <w:szCs w:val="22"/>
          <w:lang w:val="en-GB"/>
        </w:rPr>
        <w:t xml:space="preserve">informants </w:t>
      </w:r>
      <w:r w:rsidR="009F3951" w:rsidRPr="00B677B4">
        <w:rPr>
          <w:rFonts w:asciiTheme="minorHAnsi" w:hAnsiTheme="minorHAnsi" w:cstheme="minorHAnsi"/>
          <w:sz w:val="22"/>
          <w:szCs w:val="22"/>
          <w:lang w:val="en-GB"/>
        </w:rPr>
        <w:t xml:space="preserve">noted </w:t>
      </w:r>
      <w:r w:rsidRPr="00B677B4">
        <w:rPr>
          <w:rFonts w:asciiTheme="minorHAnsi" w:hAnsiTheme="minorHAnsi" w:cstheme="minorHAnsi"/>
          <w:sz w:val="22"/>
          <w:szCs w:val="22"/>
          <w:lang w:val="en-GB"/>
        </w:rPr>
        <w:t xml:space="preserve">that </w:t>
      </w:r>
      <w:r w:rsidRPr="00C8767A">
        <w:rPr>
          <w:rFonts w:cstheme="minorHAnsi"/>
          <w:sz w:val="22"/>
          <w:szCs w:val="22"/>
          <w:lang w:val="en-GB"/>
        </w:rPr>
        <w:t>by implementing new interventions every year in response to requests there is insufficient time to reflects on the value of the deliverable (</w:t>
      </w:r>
      <w:proofErr w:type="gramStart"/>
      <w:r w:rsidRPr="00C8767A">
        <w:rPr>
          <w:rFonts w:cstheme="minorHAnsi"/>
          <w:sz w:val="22"/>
          <w:szCs w:val="22"/>
          <w:lang w:val="en-GB"/>
        </w:rPr>
        <w:t>i.e.</w:t>
      </w:r>
      <w:proofErr w:type="gramEnd"/>
      <w:r w:rsidRPr="00C8767A">
        <w:rPr>
          <w:rFonts w:cstheme="minorHAnsi"/>
          <w:sz w:val="22"/>
          <w:szCs w:val="22"/>
          <w:lang w:val="en-GB"/>
        </w:rPr>
        <w:t xml:space="preserve"> is it still be</w:t>
      </w:r>
      <w:r w:rsidR="00D61BCA" w:rsidRPr="00C8767A">
        <w:rPr>
          <w:rFonts w:cstheme="minorHAnsi"/>
          <w:sz w:val="22"/>
          <w:szCs w:val="22"/>
          <w:lang w:val="en-GB"/>
        </w:rPr>
        <w:t>ing</w:t>
      </w:r>
      <w:r w:rsidRPr="00C8767A">
        <w:rPr>
          <w:rFonts w:cstheme="minorHAnsi"/>
          <w:sz w:val="22"/>
          <w:szCs w:val="22"/>
          <w:lang w:val="en-GB"/>
        </w:rPr>
        <w:t xml:space="preserve"> used, what can we learn from implementation?), and that with so many different components it becomes difficult to determine the extent to which the whole is greater than the sum of its parts. </w:t>
      </w:r>
    </w:p>
    <w:p w14:paraId="7ACE12AF" w14:textId="77777777" w:rsidR="003538AD" w:rsidRDefault="003538AD" w:rsidP="00E8358D">
      <w:pPr>
        <w:pStyle w:val="Default"/>
        <w:spacing w:line="276" w:lineRule="auto"/>
        <w:rPr>
          <w:rFonts w:cstheme="minorHAnsi"/>
          <w:sz w:val="22"/>
          <w:szCs w:val="22"/>
          <w:lang w:val="en-GB"/>
        </w:rPr>
      </w:pPr>
    </w:p>
    <w:p w14:paraId="4B05434F" w14:textId="3459F9BA" w:rsidR="00E8358D" w:rsidRPr="00C8767A" w:rsidRDefault="00E8358D" w:rsidP="00E8358D">
      <w:pPr>
        <w:pStyle w:val="Default"/>
        <w:spacing w:line="276" w:lineRule="auto"/>
        <w:rPr>
          <w:lang w:val="en-GB"/>
        </w:rPr>
      </w:pPr>
      <w:r w:rsidRPr="00C8767A">
        <w:rPr>
          <w:rFonts w:cstheme="minorHAnsi"/>
          <w:sz w:val="22"/>
          <w:szCs w:val="22"/>
          <w:lang w:val="en-GB"/>
        </w:rPr>
        <w:t xml:space="preserve">A key point that comes out of </w:t>
      </w:r>
      <w:r w:rsidR="00787215" w:rsidRPr="00C8767A">
        <w:rPr>
          <w:rFonts w:cstheme="minorHAnsi"/>
          <w:sz w:val="22"/>
          <w:szCs w:val="22"/>
          <w:lang w:val="en-GB"/>
        </w:rPr>
        <w:t>the program’s</w:t>
      </w:r>
      <w:r w:rsidRPr="00C8767A">
        <w:rPr>
          <w:rFonts w:cstheme="minorHAnsi"/>
          <w:sz w:val="22"/>
          <w:szCs w:val="22"/>
          <w:lang w:val="en-GB"/>
        </w:rPr>
        <w:t xml:space="preserve"> results framework is that results take time, and some higher-level outcomes may not be realised during the </w:t>
      </w:r>
      <w:r w:rsidR="00787215" w:rsidRPr="00C8767A">
        <w:rPr>
          <w:rFonts w:cstheme="minorHAnsi"/>
          <w:sz w:val="22"/>
          <w:szCs w:val="22"/>
          <w:lang w:val="en-GB"/>
        </w:rPr>
        <w:t xml:space="preserve">AMEP II. In some </w:t>
      </w:r>
      <w:r w:rsidR="005E2662" w:rsidRPr="00C8767A">
        <w:rPr>
          <w:rFonts w:cstheme="minorHAnsi"/>
          <w:sz w:val="22"/>
          <w:szCs w:val="22"/>
          <w:lang w:val="en-GB"/>
        </w:rPr>
        <w:t>instances,</w:t>
      </w:r>
      <w:r w:rsidR="00787215" w:rsidRPr="00C8767A">
        <w:rPr>
          <w:rFonts w:cstheme="minorHAnsi"/>
          <w:sz w:val="22"/>
          <w:szCs w:val="22"/>
          <w:lang w:val="en-GB"/>
        </w:rPr>
        <w:t xml:space="preserve"> the work done is building on previous activities, and so this is likely to create better outcomes (for instance AM</w:t>
      </w:r>
      <w:r w:rsidR="00935AA5" w:rsidRPr="00C8767A">
        <w:rPr>
          <w:rFonts w:cstheme="minorHAnsi"/>
          <w:sz w:val="22"/>
          <w:szCs w:val="22"/>
          <w:lang w:val="en-GB"/>
        </w:rPr>
        <w:t>E</w:t>
      </w:r>
      <w:r w:rsidR="00787215" w:rsidRPr="00C8767A">
        <w:rPr>
          <w:rFonts w:cstheme="minorHAnsi"/>
          <w:sz w:val="22"/>
          <w:szCs w:val="22"/>
          <w:lang w:val="en-GB"/>
        </w:rPr>
        <w:t xml:space="preserve">P I started </w:t>
      </w:r>
      <w:r w:rsidR="00E26CE6" w:rsidRPr="00C8767A">
        <w:rPr>
          <w:rFonts w:cstheme="minorHAnsi"/>
          <w:sz w:val="22"/>
          <w:szCs w:val="22"/>
          <w:lang w:val="en-GB"/>
        </w:rPr>
        <w:t>the</w:t>
      </w:r>
      <w:r w:rsidR="00787215" w:rsidRPr="00C8767A">
        <w:rPr>
          <w:rFonts w:cstheme="minorHAnsi"/>
          <w:sz w:val="22"/>
          <w:szCs w:val="22"/>
          <w:lang w:val="en-GB"/>
        </w:rPr>
        <w:t xml:space="preserve"> MONVAL initiative </w:t>
      </w:r>
      <w:proofErr w:type="gramStart"/>
      <w:r w:rsidR="00E26CE6" w:rsidRPr="00C8767A">
        <w:rPr>
          <w:rFonts w:cstheme="minorHAnsi"/>
          <w:sz w:val="22"/>
          <w:szCs w:val="22"/>
          <w:lang w:val="en-GB"/>
        </w:rPr>
        <w:t>and</w:t>
      </w:r>
      <w:r w:rsidR="00787215" w:rsidRPr="00C8767A">
        <w:rPr>
          <w:rFonts w:cstheme="minorHAnsi"/>
          <w:sz w:val="22"/>
          <w:szCs w:val="22"/>
          <w:lang w:val="en-GB"/>
        </w:rPr>
        <w:t xml:space="preserve"> also</w:t>
      </w:r>
      <w:proofErr w:type="gramEnd"/>
      <w:r w:rsidR="00787215" w:rsidRPr="00C8767A">
        <w:rPr>
          <w:rFonts w:cstheme="minorHAnsi"/>
          <w:sz w:val="22"/>
          <w:szCs w:val="22"/>
          <w:lang w:val="en-GB"/>
        </w:rPr>
        <w:t xml:space="preserve"> created the important relationships for the NGS). In both these instances the results that AMEP II will achieve are likely to be far more substantial than it would have achieved if these events had been one off initiatives. </w:t>
      </w:r>
      <w:r w:rsidR="00787215" w:rsidRPr="00C8767A">
        <w:rPr>
          <w:lang w:val="en-GB"/>
        </w:rPr>
        <w:t xml:space="preserve"> </w:t>
      </w:r>
      <w:r w:rsidRPr="00C8767A">
        <w:rPr>
          <w:rFonts w:cstheme="minorHAnsi"/>
          <w:sz w:val="22"/>
          <w:szCs w:val="22"/>
          <w:lang w:val="en-GB"/>
        </w:rPr>
        <w:t xml:space="preserve">Whilst the program has been largely effective in delivering at the output level, there needs to be greater visibility on how these different activities collectively will demonstrably ensure that AMEP II has improved the enabling environment for investment. </w:t>
      </w:r>
      <w:r w:rsidRPr="00B677B4">
        <w:rPr>
          <w:rFonts w:asciiTheme="minorHAnsi" w:hAnsiTheme="minorHAnsi" w:cstheme="minorHAnsi"/>
          <w:sz w:val="22"/>
          <w:szCs w:val="22"/>
          <w:lang w:val="en-GB"/>
        </w:rPr>
        <w:t xml:space="preserve"> </w:t>
      </w:r>
      <w:r w:rsidRPr="00C8767A">
        <w:rPr>
          <w:rFonts w:cstheme="minorHAnsi"/>
          <w:sz w:val="22"/>
          <w:szCs w:val="22"/>
          <w:lang w:val="en-GB"/>
        </w:rPr>
        <w:t>There also needs to be greater integration/ harmonization between the different components – to demonstrate the whole is greater than its parts.</w:t>
      </w:r>
    </w:p>
    <w:p w14:paraId="21EF5E43" w14:textId="77777777" w:rsidR="00CF31B5" w:rsidRPr="00B677B4" w:rsidRDefault="00CF31B5" w:rsidP="006A4877">
      <w:pPr>
        <w:pStyle w:val="Default"/>
        <w:spacing w:line="276" w:lineRule="auto"/>
        <w:rPr>
          <w:rFonts w:asciiTheme="minorHAnsi" w:hAnsiTheme="minorHAnsi" w:cstheme="minorHAnsi"/>
          <w:b/>
          <w:bCs/>
          <w:sz w:val="22"/>
          <w:szCs w:val="22"/>
          <w:lang w:val="en-GB"/>
        </w:rPr>
      </w:pPr>
    </w:p>
    <w:p w14:paraId="1C4DFF16" w14:textId="77777777" w:rsidR="00C90ED0" w:rsidRPr="00B677B4" w:rsidRDefault="00C90ED0" w:rsidP="00C90ED0">
      <w:pPr>
        <w:pStyle w:val="Caption"/>
        <w:rPr>
          <w:lang w:val="en-GB"/>
        </w:rPr>
      </w:pPr>
      <w:bookmarkStart w:id="29" w:name="_Ref117254286"/>
      <w:r w:rsidRPr="00B677B4">
        <w:rPr>
          <w:lang w:val="en-GB"/>
        </w:rPr>
        <w:t xml:space="preserve">Table </w:t>
      </w:r>
      <w:r w:rsidRPr="00B677B4">
        <w:rPr>
          <w:lang w:val="en-GB"/>
        </w:rPr>
        <w:fldChar w:fldCharType="begin"/>
      </w:r>
      <w:r w:rsidRPr="00B677B4">
        <w:rPr>
          <w:lang w:val="en-GB"/>
        </w:rPr>
        <w:instrText xml:space="preserve"> SEQ Table \* ARABIC </w:instrText>
      </w:r>
      <w:r w:rsidRPr="00B677B4">
        <w:rPr>
          <w:lang w:val="en-GB"/>
        </w:rPr>
        <w:fldChar w:fldCharType="separate"/>
      </w:r>
      <w:r w:rsidRPr="00C8767A">
        <w:rPr>
          <w:lang w:val="en-GB"/>
        </w:rPr>
        <w:t>1</w:t>
      </w:r>
      <w:r w:rsidRPr="00B677B4">
        <w:rPr>
          <w:lang w:val="en-GB"/>
        </w:rPr>
        <w:fldChar w:fldCharType="end"/>
      </w:r>
      <w:bookmarkEnd w:id="29"/>
      <w:r w:rsidRPr="00B677B4">
        <w:rPr>
          <w:lang w:val="en-GB"/>
        </w:rPr>
        <w:t>: AMEP’s Strategic Pillars and expected outcomes</w:t>
      </w:r>
    </w:p>
    <w:tbl>
      <w:tblPr>
        <w:tblStyle w:val="table-style-blauw-100-outline"/>
        <w:tblW w:w="5000" w:type="pct"/>
        <w:tblLook w:val="04A0" w:firstRow="1" w:lastRow="0" w:firstColumn="1" w:lastColumn="0" w:noHBand="0" w:noVBand="1"/>
      </w:tblPr>
      <w:tblGrid>
        <w:gridCol w:w="2303"/>
        <w:gridCol w:w="2791"/>
        <w:gridCol w:w="3910"/>
      </w:tblGrid>
      <w:tr w:rsidR="00F540E4" w:rsidRPr="00B677B4" w14:paraId="06036381" w14:textId="77777777" w:rsidTr="00F540E4">
        <w:trPr>
          <w:cnfStyle w:val="100000000000" w:firstRow="1" w:lastRow="0" w:firstColumn="0" w:lastColumn="0" w:oddVBand="0" w:evenVBand="0" w:oddHBand="0" w:evenHBand="0" w:firstRowFirstColumn="0" w:firstRowLastColumn="0" w:lastRowFirstColumn="0" w:lastRowLastColumn="0"/>
          <w:tblHeader/>
        </w:trPr>
        <w:tc>
          <w:tcPr>
            <w:tcW w:w="1279"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73FA1A4" w14:textId="77777777" w:rsidR="00F540E4" w:rsidRPr="00B677B4" w:rsidRDefault="00F540E4" w:rsidP="00586AC3">
            <w:pPr>
              <w:pStyle w:val="table-text"/>
              <w:rPr>
                <w:rFonts w:cs="Arial"/>
                <w:sz w:val="18"/>
                <w:szCs w:val="18"/>
                <w:lang w:val="en-GB"/>
              </w:rPr>
            </w:pPr>
            <w:r w:rsidRPr="00B677B4">
              <w:rPr>
                <w:rFonts w:cs="Arial"/>
                <w:sz w:val="18"/>
                <w:szCs w:val="18"/>
                <w:lang w:val="en-GB"/>
              </w:rPr>
              <w:t>Pillars</w:t>
            </w:r>
          </w:p>
        </w:tc>
        <w:tc>
          <w:tcPr>
            <w:tcW w:w="155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F2908B0" w14:textId="77777777" w:rsidR="00F540E4" w:rsidRPr="00B677B4" w:rsidRDefault="00F540E4" w:rsidP="00586AC3">
            <w:pPr>
              <w:pStyle w:val="table-text"/>
              <w:rPr>
                <w:rFonts w:cs="Arial"/>
                <w:sz w:val="18"/>
                <w:szCs w:val="18"/>
                <w:lang w:val="en-GB"/>
              </w:rPr>
            </w:pPr>
            <w:r w:rsidRPr="00B677B4">
              <w:rPr>
                <w:rFonts w:cs="Arial"/>
                <w:sz w:val="18"/>
                <w:szCs w:val="18"/>
                <w:lang w:val="en-GB"/>
              </w:rPr>
              <w:t>Key Activities</w:t>
            </w:r>
          </w:p>
        </w:tc>
        <w:tc>
          <w:tcPr>
            <w:tcW w:w="217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43F285F" w14:textId="4AD3889A" w:rsidR="00F540E4" w:rsidRPr="00B677B4" w:rsidRDefault="00F540E4" w:rsidP="00586AC3">
            <w:pPr>
              <w:pStyle w:val="table-text"/>
              <w:rPr>
                <w:rFonts w:cs="Arial"/>
                <w:sz w:val="18"/>
                <w:szCs w:val="18"/>
                <w:lang w:val="en-GB"/>
              </w:rPr>
            </w:pPr>
            <w:r w:rsidRPr="00B677B4">
              <w:rPr>
                <w:rFonts w:cs="Arial"/>
                <w:sz w:val="18"/>
                <w:szCs w:val="18"/>
                <w:lang w:val="en-GB"/>
              </w:rPr>
              <w:t>Comment</w:t>
            </w:r>
          </w:p>
        </w:tc>
      </w:tr>
      <w:tr w:rsidR="00F540E4" w:rsidRPr="00B677B4" w14:paraId="555CE8C9" w14:textId="77777777" w:rsidTr="00F540E4">
        <w:trPr>
          <w:cnfStyle w:val="000000100000" w:firstRow="0" w:lastRow="0" w:firstColumn="0" w:lastColumn="0" w:oddVBand="0" w:evenVBand="0" w:oddHBand="1" w:evenHBand="0" w:firstRowFirstColumn="0" w:firstRowLastColumn="0" w:lastRowFirstColumn="0" w:lastRowLastColumn="0"/>
        </w:trPr>
        <w:tc>
          <w:tcPr>
            <w:tcW w:w="1279" w:type="pct"/>
            <w:tcBorders>
              <w:top w:val="single" w:sz="6" w:space="0" w:color="FFFFFF" w:themeColor="background1"/>
            </w:tcBorders>
            <w:shd w:val="clear" w:color="auto" w:fill="auto"/>
          </w:tcPr>
          <w:p w14:paraId="4B0CEE54" w14:textId="77777777" w:rsidR="00F540E4" w:rsidRPr="00B677B4" w:rsidRDefault="00F540E4">
            <w:pPr>
              <w:pStyle w:val="table-text"/>
              <w:numPr>
                <w:ilvl w:val="0"/>
                <w:numId w:val="22"/>
              </w:numPr>
              <w:rPr>
                <w:rFonts w:cs="Arial"/>
                <w:b/>
                <w:sz w:val="18"/>
                <w:szCs w:val="18"/>
                <w:lang w:val="en-GB"/>
              </w:rPr>
            </w:pPr>
            <w:r w:rsidRPr="00B677B4">
              <w:rPr>
                <w:rFonts w:cs="Arial"/>
                <w:b/>
                <w:sz w:val="18"/>
                <w:szCs w:val="18"/>
                <w:lang w:val="en-GB"/>
              </w:rPr>
              <w:t>Competitive Investment Environment</w:t>
            </w:r>
          </w:p>
        </w:tc>
        <w:tc>
          <w:tcPr>
            <w:tcW w:w="1550" w:type="pct"/>
            <w:tcBorders>
              <w:top w:val="single" w:sz="6" w:space="0" w:color="FFFFFF" w:themeColor="background1"/>
              <w:bottom w:val="single" w:sz="4" w:space="0" w:color="auto"/>
            </w:tcBorders>
            <w:shd w:val="clear" w:color="auto" w:fill="C5E0B3" w:themeFill="accent6" w:themeFillTint="66"/>
          </w:tcPr>
          <w:p w14:paraId="4A1FFBA2"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 xml:space="preserve">Incorporation of Private Sector Geo Science Data into the National Geological Database </w:t>
            </w:r>
          </w:p>
        </w:tc>
        <w:tc>
          <w:tcPr>
            <w:tcW w:w="2171" w:type="pct"/>
            <w:tcBorders>
              <w:top w:val="single" w:sz="6" w:space="0" w:color="FFFFFF" w:themeColor="background1"/>
              <w:bottom w:val="single" w:sz="4" w:space="0" w:color="auto"/>
            </w:tcBorders>
          </w:tcPr>
          <w:p w14:paraId="329C85EE" w14:textId="2F305435" w:rsidR="00F540E4" w:rsidRPr="00C8767A" w:rsidRDefault="00F540E4">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 xml:space="preserve">Ongoing action since AMEP I to develop NGD and </w:t>
            </w:r>
            <w:proofErr w:type="spellStart"/>
            <w:r w:rsidRPr="00C8767A">
              <w:rPr>
                <w:rFonts w:ascii="Arial" w:eastAsiaTheme="minorHAnsi" w:hAnsi="Arial" w:cs="Arial"/>
                <w:sz w:val="18"/>
                <w:szCs w:val="18"/>
                <w:lang w:val="en-GB" w:eastAsia="en-US"/>
              </w:rPr>
              <w:t>MongGeoCat</w:t>
            </w:r>
            <w:proofErr w:type="spellEnd"/>
          </w:p>
          <w:p w14:paraId="6C1B3BAF" w14:textId="35FABE7C" w:rsidR="00F540E4" w:rsidRPr="00C8767A" w:rsidRDefault="00F540E4">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Emphasis on capturing private sector data</w:t>
            </w:r>
            <w:r w:rsidR="003E4DE1" w:rsidRPr="00C8767A">
              <w:rPr>
                <w:rFonts w:ascii="Arial" w:eastAsiaTheme="minorHAnsi" w:hAnsi="Arial" w:cs="Arial"/>
                <w:sz w:val="18"/>
                <w:szCs w:val="18"/>
                <w:lang w:val="en-GB" w:eastAsia="en-US"/>
              </w:rPr>
              <w:t xml:space="preserve"> currently</w:t>
            </w:r>
          </w:p>
          <w:p w14:paraId="48055E00" w14:textId="53099B6D"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 xml:space="preserve"> </w:t>
            </w:r>
          </w:p>
        </w:tc>
      </w:tr>
      <w:tr w:rsidR="00F540E4" w:rsidRPr="00B677B4" w14:paraId="0C188580" w14:textId="77777777" w:rsidTr="00F540E4">
        <w:trPr>
          <w:cnfStyle w:val="000000010000" w:firstRow="0" w:lastRow="0" w:firstColumn="0" w:lastColumn="0" w:oddVBand="0" w:evenVBand="0" w:oddHBand="0" w:evenHBand="1" w:firstRowFirstColumn="0" w:firstRowLastColumn="0" w:lastRowFirstColumn="0" w:lastRowLastColumn="0"/>
        </w:trPr>
        <w:tc>
          <w:tcPr>
            <w:tcW w:w="1279" w:type="pct"/>
            <w:tcBorders>
              <w:bottom w:val="single" w:sz="4" w:space="0" w:color="auto"/>
            </w:tcBorders>
            <w:shd w:val="clear" w:color="auto" w:fill="auto"/>
          </w:tcPr>
          <w:p w14:paraId="685B44C1" w14:textId="77777777" w:rsidR="00F540E4" w:rsidRPr="00B677B4" w:rsidRDefault="00F540E4" w:rsidP="003668F5">
            <w:pPr>
              <w:pStyle w:val="table-text"/>
              <w:rPr>
                <w:rFonts w:cs="Arial"/>
                <w:b/>
                <w:sz w:val="18"/>
                <w:szCs w:val="18"/>
                <w:lang w:val="en-GB"/>
              </w:rPr>
            </w:pPr>
          </w:p>
        </w:tc>
        <w:tc>
          <w:tcPr>
            <w:tcW w:w="1550" w:type="pct"/>
            <w:tcBorders>
              <w:top w:val="single" w:sz="4" w:space="0" w:color="auto"/>
              <w:bottom w:val="single" w:sz="4" w:space="0" w:color="auto"/>
            </w:tcBorders>
            <w:shd w:val="clear" w:color="auto" w:fill="C5E0B3" w:themeFill="accent6" w:themeFillTint="66"/>
          </w:tcPr>
          <w:p w14:paraId="106982DF"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 xml:space="preserve">Digitization of Licenses and Tendering Process </w:t>
            </w:r>
          </w:p>
        </w:tc>
        <w:tc>
          <w:tcPr>
            <w:tcW w:w="2171" w:type="pct"/>
            <w:tcBorders>
              <w:top w:val="single" w:sz="4" w:space="0" w:color="auto"/>
              <w:bottom w:val="single" w:sz="4" w:space="0" w:color="auto"/>
            </w:tcBorders>
          </w:tcPr>
          <w:p w14:paraId="25BD3A52" w14:textId="7AC1300F" w:rsidR="00F540E4" w:rsidRPr="00B677B4" w:rsidRDefault="003E4DE1">
            <w:pPr>
              <w:pStyle w:val="Default"/>
              <w:numPr>
                <w:ilvl w:val="0"/>
                <w:numId w:val="17"/>
              </w:numPr>
              <w:rPr>
                <w:rFonts w:ascii="Arial" w:hAnsi="Arial" w:cs="Arial"/>
                <w:sz w:val="18"/>
                <w:szCs w:val="18"/>
                <w:lang w:val="en-GB"/>
              </w:rPr>
            </w:pPr>
            <w:r w:rsidRPr="00C8767A">
              <w:rPr>
                <w:rFonts w:ascii="Arial" w:eastAsiaTheme="minorHAnsi" w:hAnsi="Arial" w:cs="Arial"/>
                <w:sz w:val="18"/>
                <w:szCs w:val="18"/>
                <w:lang w:val="en-GB" w:eastAsia="en-US"/>
              </w:rPr>
              <w:t>D</w:t>
            </w:r>
            <w:r w:rsidR="00F540E4" w:rsidRPr="00C8767A">
              <w:rPr>
                <w:rFonts w:ascii="Arial" w:eastAsiaTheme="minorHAnsi" w:hAnsi="Arial" w:cs="Arial"/>
                <w:sz w:val="18"/>
                <w:szCs w:val="18"/>
                <w:lang w:val="en-GB" w:eastAsia="en-US"/>
              </w:rPr>
              <w:t>igitization of e-tendering and licencing system</w:t>
            </w:r>
          </w:p>
          <w:p w14:paraId="3ACE67EC" w14:textId="1B687778" w:rsidR="00F540E4" w:rsidRPr="00B677B4" w:rsidRDefault="00F540E4">
            <w:pPr>
              <w:pStyle w:val="Default"/>
              <w:numPr>
                <w:ilvl w:val="0"/>
                <w:numId w:val="17"/>
              </w:numPr>
              <w:rPr>
                <w:rFonts w:ascii="Arial" w:hAnsi="Arial" w:cs="Arial"/>
                <w:sz w:val="18"/>
                <w:szCs w:val="18"/>
                <w:lang w:val="en-GB"/>
              </w:rPr>
            </w:pPr>
            <w:r w:rsidRPr="00C8767A">
              <w:rPr>
                <w:rFonts w:ascii="Arial" w:hAnsi="Arial" w:cs="Arial"/>
                <w:sz w:val="18"/>
                <w:szCs w:val="18"/>
                <w:lang w:val="en-GB"/>
              </w:rPr>
              <w:t>Facilitated delivery of</w:t>
            </w:r>
            <w:r w:rsidR="003E4DE1" w:rsidRPr="00C8767A">
              <w:rPr>
                <w:rFonts w:ascii="Arial" w:hAnsi="Arial" w:cs="Arial"/>
                <w:sz w:val="18"/>
                <w:szCs w:val="18"/>
                <w:lang w:val="en-GB"/>
              </w:rPr>
              <w:t xml:space="preserve"> events in which</w:t>
            </w:r>
            <w:r w:rsidRPr="00C8767A">
              <w:rPr>
                <w:rFonts w:ascii="Arial" w:hAnsi="Arial" w:cs="Arial"/>
                <w:sz w:val="18"/>
                <w:szCs w:val="18"/>
                <w:lang w:val="en-GB"/>
              </w:rPr>
              <w:t xml:space="preserve"> MMHI buil</w:t>
            </w:r>
            <w:r w:rsidR="003E4DE1" w:rsidRPr="00C8767A">
              <w:rPr>
                <w:rFonts w:ascii="Arial" w:hAnsi="Arial" w:cs="Arial"/>
                <w:sz w:val="18"/>
                <w:szCs w:val="18"/>
                <w:lang w:val="en-GB"/>
              </w:rPr>
              <w:t xml:space="preserve">t </w:t>
            </w:r>
            <w:r w:rsidRPr="00C8767A">
              <w:rPr>
                <w:rFonts w:ascii="Arial" w:hAnsi="Arial" w:cs="Arial"/>
                <w:sz w:val="18"/>
                <w:szCs w:val="18"/>
                <w:lang w:val="en-GB"/>
              </w:rPr>
              <w:t>awareness of the system</w:t>
            </w:r>
          </w:p>
        </w:tc>
      </w:tr>
      <w:tr w:rsidR="00F540E4" w:rsidRPr="00B677B4" w14:paraId="05B2AD44" w14:textId="77777777" w:rsidTr="003821E3">
        <w:trPr>
          <w:cnfStyle w:val="000000100000" w:firstRow="0" w:lastRow="0" w:firstColumn="0" w:lastColumn="0" w:oddVBand="0" w:evenVBand="0" w:oddHBand="1" w:evenHBand="0" w:firstRowFirstColumn="0" w:firstRowLastColumn="0" w:lastRowFirstColumn="0" w:lastRowLastColumn="0"/>
        </w:trPr>
        <w:tc>
          <w:tcPr>
            <w:tcW w:w="1279" w:type="pct"/>
            <w:vMerge w:val="restart"/>
            <w:tcBorders>
              <w:top w:val="single" w:sz="4" w:space="0" w:color="auto"/>
            </w:tcBorders>
            <w:shd w:val="clear" w:color="auto" w:fill="auto"/>
          </w:tcPr>
          <w:p w14:paraId="23C627D0" w14:textId="77777777" w:rsidR="00F540E4" w:rsidRPr="00B677B4" w:rsidRDefault="00F540E4">
            <w:pPr>
              <w:pStyle w:val="table-text"/>
              <w:numPr>
                <w:ilvl w:val="0"/>
                <w:numId w:val="22"/>
              </w:numPr>
              <w:rPr>
                <w:rFonts w:cs="Arial"/>
                <w:b/>
                <w:sz w:val="18"/>
                <w:szCs w:val="18"/>
                <w:lang w:val="en-GB"/>
              </w:rPr>
            </w:pPr>
            <w:r w:rsidRPr="00B677B4">
              <w:rPr>
                <w:rFonts w:cs="Arial"/>
                <w:b/>
                <w:sz w:val="18"/>
                <w:szCs w:val="18"/>
                <w:lang w:val="en-GB"/>
              </w:rPr>
              <w:t>Responsible Extractives Sector</w:t>
            </w:r>
          </w:p>
        </w:tc>
        <w:tc>
          <w:tcPr>
            <w:tcW w:w="1550" w:type="pct"/>
            <w:tcBorders>
              <w:top w:val="single" w:sz="4" w:space="0" w:color="auto"/>
              <w:bottom w:val="single" w:sz="4" w:space="0" w:color="auto"/>
            </w:tcBorders>
            <w:shd w:val="clear" w:color="auto" w:fill="C5E0B3" w:themeFill="accent6" w:themeFillTint="66"/>
          </w:tcPr>
          <w:p w14:paraId="03F225C4"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Support to MONVAL Committee – production of guidance for mineral valuation and training</w:t>
            </w:r>
          </w:p>
        </w:tc>
        <w:tc>
          <w:tcPr>
            <w:tcW w:w="2171" w:type="pct"/>
            <w:tcBorders>
              <w:top w:val="single" w:sz="4" w:space="0" w:color="auto"/>
              <w:bottom w:val="single" w:sz="4" w:space="0" w:color="auto"/>
            </w:tcBorders>
          </w:tcPr>
          <w:p w14:paraId="0D3ED66E" w14:textId="15F25B0C" w:rsidR="00933E68" w:rsidRPr="00C8767A" w:rsidRDefault="00933E68">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AMEP II previously provided support to Mongolia’s Financial Regulatory Commission (FRC) to develop a draft internationally compliant Mongolian Mineral Property Evaluation Code (MONVAL)</w:t>
            </w:r>
          </w:p>
          <w:p w14:paraId="7B9F8373" w14:textId="24FCB1D4" w:rsidR="00F540E4" w:rsidRPr="00C8767A" w:rsidRDefault="003821E3">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Building capacity of MONVAL committee members and qualified professionals</w:t>
            </w:r>
          </w:p>
          <w:p w14:paraId="25129B6C" w14:textId="79FA3FC4" w:rsidR="003821E3" w:rsidRPr="00C8767A" w:rsidRDefault="003821E3">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Facilitating MONVAL outreach events</w:t>
            </w:r>
          </w:p>
          <w:p w14:paraId="3182DC46" w14:textId="77777777" w:rsidR="00F540E4" w:rsidRPr="00B677B4" w:rsidRDefault="00F540E4" w:rsidP="00586AC3">
            <w:pPr>
              <w:pStyle w:val="table-text"/>
              <w:rPr>
                <w:rFonts w:eastAsia="Tahoma" w:cs="Arial"/>
                <w:sz w:val="18"/>
                <w:szCs w:val="18"/>
                <w:lang w:val="en-GB"/>
              </w:rPr>
            </w:pPr>
          </w:p>
        </w:tc>
      </w:tr>
      <w:tr w:rsidR="00F540E4" w:rsidRPr="00B677B4" w14:paraId="31493927" w14:textId="77777777" w:rsidTr="00933E68">
        <w:trPr>
          <w:cnfStyle w:val="000000010000" w:firstRow="0" w:lastRow="0" w:firstColumn="0" w:lastColumn="0" w:oddVBand="0" w:evenVBand="0" w:oddHBand="0" w:evenHBand="1" w:firstRowFirstColumn="0" w:firstRowLastColumn="0" w:lastRowFirstColumn="0" w:lastRowLastColumn="0"/>
        </w:trPr>
        <w:tc>
          <w:tcPr>
            <w:tcW w:w="1279" w:type="pct"/>
            <w:vMerge/>
            <w:tcBorders>
              <w:bottom w:val="single" w:sz="4" w:space="0" w:color="auto"/>
            </w:tcBorders>
            <w:shd w:val="clear" w:color="auto" w:fill="auto"/>
          </w:tcPr>
          <w:p w14:paraId="32ADB58A" w14:textId="77777777" w:rsidR="00F540E4" w:rsidRPr="00B677B4" w:rsidRDefault="00F540E4">
            <w:pPr>
              <w:pStyle w:val="table-text"/>
              <w:numPr>
                <w:ilvl w:val="0"/>
                <w:numId w:val="22"/>
              </w:numPr>
              <w:rPr>
                <w:rFonts w:cs="Arial"/>
                <w:b/>
                <w:sz w:val="18"/>
                <w:szCs w:val="18"/>
                <w:lang w:val="en-GB"/>
              </w:rPr>
            </w:pPr>
          </w:p>
        </w:tc>
        <w:tc>
          <w:tcPr>
            <w:tcW w:w="1550" w:type="pct"/>
            <w:tcBorders>
              <w:top w:val="single" w:sz="4" w:space="0" w:color="auto"/>
              <w:bottom w:val="single" w:sz="4" w:space="0" w:color="auto"/>
            </w:tcBorders>
            <w:shd w:val="clear" w:color="auto" w:fill="C5E0B3" w:themeFill="accent6" w:themeFillTint="66"/>
          </w:tcPr>
          <w:p w14:paraId="4D1A2C93"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Development of guidelines for prospecting, exploration and reporting of resources and reserves for five key minerals</w:t>
            </w:r>
          </w:p>
        </w:tc>
        <w:tc>
          <w:tcPr>
            <w:tcW w:w="2171" w:type="pct"/>
            <w:tcBorders>
              <w:top w:val="single" w:sz="4" w:space="0" w:color="auto"/>
              <w:bottom w:val="single" w:sz="4" w:space="0" w:color="auto"/>
            </w:tcBorders>
          </w:tcPr>
          <w:p w14:paraId="002CDB26" w14:textId="38A97CC0" w:rsidR="00F540E4" w:rsidRPr="00C8767A" w:rsidRDefault="00933E68">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Co-created guidelines with MMHI and MUST</w:t>
            </w:r>
          </w:p>
          <w:p w14:paraId="53DFE8D1" w14:textId="37AC5497" w:rsidR="00F540E4" w:rsidRPr="00C8767A" w:rsidRDefault="00933E68">
            <w:pPr>
              <w:pStyle w:val="Default"/>
              <w:numPr>
                <w:ilvl w:val="0"/>
                <w:numId w:val="17"/>
              </w:numPr>
              <w:rPr>
                <w:rFonts w:ascii="Arial" w:eastAsiaTheme="minorHAnsi" w:hAnsi="Arial" w:cs="Arial"/>
                <w:sz w:val="18"/>
                <w:szCs w:val="18"/>
                <w:lang w:val="en-GB" w:eastAsia="en-US"/>
              </w:rPr>
            </w:pPr>
            <w:r w:rsidRPr="00C8767A">
              <w:rPr>
                <w:rFonts w:ascii="Arial" w:eastAsiaTheme="minorHAnsi" w:hAnsi="Arial" w:cs="Arial"/>
                <w:sz w:val="18"/>
                <w:szCs w:val="18"/>
                <w:lang w:val="en-GB" w:eastAsia="en-US"/>
              </w:rPr>
              <w:t>Guidelines have enhanced quality of reporting, and the transparency of registration process for exploration companies</w:t>
            </w:r>
          </w:p>
        </w:tc>
      </w:tr>
      <w:tr w:rsidR="00F540E4" w:rsidRPr="00B677B4" w14:paraId="0912FAAB" w14:textId="77777777" w:rsidTr="0039354B">
        <w:trPr>
          <w:cnfStyle w:val="000000100000" w:firstRow="0" w:lastRow="0" w:firstColumn="0" w:lastColumn="0" w:oddVBand="0" w:evenVBand="0" w:oddHBand="1" w:evenHBand="0" w:firstRowFirstColumn="0" w:firstRowLastColumn="0" w:lastRowFirstColumn="0" w:lastRowLastColumn="0"/>
        </w:trPr>
        <w:tc>
          <w:tcPr>
            <w:tcW w:w="1279" w:type="pct"/>
            <w:tcBorders>
              <w:top w:val="single" w:sz="4" w:space="0" w:color="auto"/>
            </w:tcBorders>
            <w:shd w:val="clear" w:color="auto" w:fill="auto"/>
          </w:tcPr>
          <w:p w14:paraId="61226907" w14:textId="77777777" w:rsidR="00F540E4" w:rsidRPr="00B677B4" w:rsidRDefault="00F540E4">
            <w:pPr>
              <w:pStyle w:val="table-text"/>
              <w:numPr>
                <w:ilvl w:val="0"/>
                <w:numId w:val="22"/>
              </w:numPr>
              <w:rPr>
                <w:rFonts w:cs="Arial"/>
                <w:b/>
                <w:sz w:val="18"/>
                <w:szCs w:val="18"/>
                <w:lang w:val="en-GB"/>
              </w:rPr>
            </w:pPr>
            <w:r w:rsidRPr="00B677B4">
              <w:rPr>
                <w:rFonts w:cs="Arial"/>
                <w:b/>
                <w:sz w:val="18"/>
                <w:szCs w:val="18"/>
                <w:lang w:val="en-GB"/>
              </w:rPr>
              <w:t>Well Governed Extractives Sector</w:t>
            </w:r>
          </w:p>
        </w:tc>
        <w:tc>
          <w:tcPr>
            <w:tcW w:w="1550" w:type="pct"/>
            <w:tcBorders>
              <w:top w:val="single" w:sz="4" w:space="0" w:color="auto"/>
              <w:bottom w:val="single" w:sz="4" w:space="0" w:color="auto"/>
            </w:tcBorders>
            <w:shd w:val="clear" w:color="auto" w:fill="C5E0B3" w:themeFill="accent6" w:themeFillTint="66"/>
          </w:tcPr>
          <w:p w14:paraId="002425E9"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Planning and facilitation of public consultation on the draft Minerals Law</w:t>
            </w:r>
          </w:p>
        </w:tc>
        <w:tc>
          <w:tcPr>
            <w:tcW w:w="2171" w:type="pct"/>
            <w:tcBorders>
              <w:top w:val="single" w:sz="4" w:space="0" w:color="auto"/>
              <w:bottom w:val="single" w:sz="4" w:space="0" w:color="auto"/>
            </w:tcBorders>
          </w:tcPr>
          <w:p w14:paraId="23A46F7A" w14:textId="01ACACB1" w:rsidR="0039354B" w:rsidRPr="00B677B4" w:rsidRDefault="0039354B">
            <w:pPr>
              <w:pStyle w:val="Default"/>
              <w:numPr>
                <w:ilvl w:val="0"/>
                <w:numId w:val="18"/>
              </w:numPr>
              <w:rPr>
                <w:rFonts w:ascii="Arial" w:hAnsi="Arial" w:cs="Arial"/>
                <w:sz w:val="18"/>
                <w:szCs w:val="18"/>
                <w:lang w:val="en-GB"/>
              </w:rPr>
            </w:pPr>
            <w:r w:rsidRPr="00B677B4">
              <w:rPr>
                <w:rFonts w:ascii="Arial" w:hAnsi="Arial" w:cs="Arial"/>
                <w:sz w:val="18"/>
                <w:szCs w:val="18"/>
                <w:lang w:val="en-GB"/>
              </w:rPr>
              <w:t>Effective Tax Rate study</w:t>
            </w:r>
          </w:p>
          <w:p w14:paraId="1F94EF6F" w14:textId="14AF4987" w:rsidR="0039354B" w:rsidRPr="00B677B4" w:rsidRDefault="0039354B">
            <w:pPr>
              <w:pStyle w:val="Default"/>
              <w:numPr>
                <w:ilvl w:val="0"/>
                <w:numId w:val="18"/>
              </w:numPr>
              <w:rPr>
                <w:rFonts w:ascii="Arial" w:hAnsi="Arial" w:cs="Arial"/>
                <w:sz w:val="18"/>
                <w:szCs w:val="18"/>
                <w:lang w:val="en-GB"/>
              </w:rPr>
            </w:pPr>
            <w:r w:rsidRPr="00B677B4">
              <w:rPr>
                <w:rFonts w:ascii="Arial" w:hAnsi="Arial" w:cs="Arial"/>
                <w:sz w:val="18"/>
                <w:szCs w:val="18"/>
                <w:lang w:val="en-GB"/>
              </w:rPr>
              <w:t>Research on exploration licensing</w:t>
            </w:r>
          </w:p>
          <w:p w14:paraId="7A6A238F" w14:textId="2FDBD55C" w:rsidR="007B7328" w:rsidRPr="00B677B4" w:rsidRDefault="007B7328">
            <w:pPr>
              <w:pStyle w:val="Default"/>
              <w:numPr>
                <w:ilvl w:val="0"/>
                <w:numId w:val="18"/>
              </w:numPr>
              <w:rPr>
                <w:rFonts w:ascii="Arial" w:hAnsi="Arial" w:cs="Arial"/>
                <w:sz w:val="18"/>
                <w:szCs w:val="18"/>
                <w:lang w:val="en-GB"/>
              </w:rPr>
            </w:pPr>
            <w:r w:rsidRPr="00B677B4">
              <w:rPr>
                <w:rFonts w:ascii="Arial" w:hAnsi="Arial" w:cs="Arial"/>
                <w:sz w:val="18"/>
                <w:szCs w:val="18"/>
                <w:lang w:val="en-GB"/>
              </w:rPr>
              <w:t>Study on royalties on minor elements</w:t>
            </w:r>
          </w:p>
          <w:p w14:paraId="0904DA09" w14:textId="116D7986" w:rsidR="0039354B" w:rsidRPr="00B677B4" w:rsidRDefault="0039354B">
            <w:pPr>
              <w:pStyle w:val="Default"/>
              <w:numPr>
                <w:ilvl w:val="0"/>
                <w:numId w:val="18"/>
              </w:numPr>
              <w:rPr>
                <w:rFonts w:ascii="Arial" w:hAnsi="Arial" w:cs="Arial"/>
                <w:sz w:val="18"/>
                <w:szCs w:val="18"/>
                <w:lang w:val="en-GB"/>
              </w:rPr>
            </w:pPr>
            <w:r w:rsidRPr="00B677B4">
              <w:rPr>
                <w:rFonts w:ascii="Arial" w:hAnsi="Arial" w:cs="Arial"/>
                <w:sz w:val="18"/>
                <w:szCs w:val="18"/>
                <w:lang w:val="en-GB"/>
              </w:rPr>
              <w:t>Guidance for accounting methodology on closure and rehab phase</w:t>
            </w:r>
          </w:p>
          <w:p w14:paraId="456BB712" w14:textId="194EADB1" w:rsidR="00F540E4" w:rsidRPr="00B677B4" w:rsidRDefault="009D501C">
            <w:pPr>
              <w:pStyle w:val="Default"/>
              <w:numPr>
                <w:ilvl w:val="0"/>
                <w:numId w:val="18"/>
              </w:numPr>
              <w:rPr>
                <w:rFonts w:ascii="Arial" w:hAnsi="Arial" w:cs="Arial"/>
                <w:sz w:val="18"/>
                <w:szCs w:val="18"/>
                <w:lang w:val="en-GB"/>
              </w:rPr>
            </w:pPr>
            <w:r w:rsidRPr="00B677B4">
              <w:rPr>
                <w:rFonts w:ascii="Arial" w:hAnsi="Arial" w:cs="Arial"/>
                <w:sz w:val="18"/>
                <w:szCs w:val="18"/>
                <w:lang w:val="en-GB"/>
              </w:rPr>
              <w:t>Comparative assessment of existing legislation</w:t>
            </w:r>
          </w:p>
          <w:p w14:paraId="31624FA9" w14:textId="02C36C44" w:rsidR="009D501C" w:rsidRPr="00B677B4" w:rsidRDefault="009D501C">
            <w:pPr>
              <w:pStyle w:val="Default"/>
              <w:numPr>
                <w:ilvl w:val="0"/>
                <w:numId w:val="18"/>
              </w:numPr>
              <w:rPr>
                <w:rFonts w:ascii="Arial" w:hAnsi="Arial" w:cs="Arial"/>
                <w:sz w:val="18"/>
                <w:szCs w:val="18"/>
                <w:lang w:val="en-GB"/>
              </w:rPr>
            </w:pPr>
            <w:r w:rsidRPr="00B677B4">
              <w:rPr>
                <w:rFonts w:ascii="Arial" w:hAnsi="Arial" w:cs="Arial"/>
                <w:sz w:val="18"/>
                <w:szCs w:val="18"/>
                <w:lang w:val="en-GB"/>
              </w:rPr>
              <w:t>Research and technical recommendations to inform drafting of new Minerals law</w:t>
            </w:r>
          </w:p>
          <w:p w14:paraId="7B7B7D5C" w14:textId="77777777" w:rsidR="009D501C" w:rsidRPr="00B677B4" w:rsidRDefault="009D501C">
            <w:pPr>
              <w:pStyle w:val="Default"/>
              <w:numPr>
                <w:ilvl w:val="0"/>
                <w:numId w:val="18"/>
              </w:numPr>
              <w:rPr>
                <w:rFonts w:ascii="Arial" w:hAnsi="Arial" w:cs="Arial"/>
                <w:sz w:val="18"/>
                <w:szCs w:val="18"/>
                <w:lang w:val="en-GB"/>
              </w:rPr>
            </w:pPr>
            <w:r w:rsidRPr="00B677B4">
              <w:rPr>
                <w:rFonts w:ascii="Arial" w:hAnsi="Arial" w:cs="Arial"/>
                <w:sz w:val="18"/>
                <w:szCs w:val="18"/>
                <w:lang w:val="en-GB"/>
              </w:rPr>
              <w:t>Development of public consultation process (including materials) on new Minerals law</w:t>
            </w:r>
          </w:p>
          <w:p w14:paraId="05CF127F" w14:textId="1DD19CFC" w:rsidR="007B60DA" w:rsidRPr="00B677B4" w:rsidRDefault="007B60DA">
            <w:pPr>
              <w:pStyle w:val="Default"/>
              <w:numPr>
                <w:ilvl w:val="0"/>
                <w:numId w:val="18"/>
              </w:numPr>
              <w:rPr>
                <w:rFonts w:ascii="Arial" w:hAnsi="Arial" w:cs="Arial"/>
                <w:sz w:val="18"/>
                <w:szCs w:val="18"/>
                <w:lang w:val="en-GB"/>
              </w:rPr>
            </w:pPr>
            <w:r w:rsidRPr="00B677B4">
              <w:rPr>
                <w:rFonts w:ascii="Arial" w:hAnsi="Arial" w:cs="Arial"/>
                <w:sz w:val="18"/>
                <w:szCs w:val="18"/>
                <w:lang w:val="en-GB"/>
              </w:rPr>
              <w:t>Activities eventually suspended due to political delays</w:t>
            </w:r>
          </w:p>
        </w:tc>
      </w:tr>
      <w:tr w:rsidR="00F540E4" w:rsidRPr="00B677B4" w14:paraId="05B00DB5" w14:textId="77777777" w:rsidTr="007B60DA">
        <w:trPr>
          <w:cnfStyle w:val="000000010000" w:firstRow="0" w:lastRow="0" w:firstColumn="0" w:lastColumn="0" w:oddVBand="0" w:evenVBand="0" w:oddHBand="0" w:evenHBand="1" w:firstRowFirstColumn="0" w:firstRowLastColumn="0" w:lastRowFirstColumn="0" w:lastRowLastColumn="0"/>
        </w:trPr>
        <w:tc>
          <w:tcPr>
            <w:tcW w:w="1279" w:type="pct"/>
            <w:tcBorders>
              <w:bottom w:val="single" w:sz="4" w:space="0" w:color="auto"/>
            </w:tcBorders>
            <w:shd w:val="clear" w:color="auto" w:fill="auto"/>
          </w:tcPr>
          <w:p w14:paraId="382735A2" w14:textId="0F6AA600" w:rsidR="00F540E4" w:rsidRPr="00B677B4" w:rsidRDefault="00F540E4" w:rsidP="00586AC3">
            <w:pPr>
              <w:pStyle w:val="table-text"/>
              <w:rPr>
                <w:rFonts w:cs="Arial"/>
                <w:b/>
                <w:sz w:val="18"/>
                <w:szCs w:val="18"/>
                <w:lang w:val="en-GB"/>
              </w:rPr>
            </w:pPr>
          </w:p>
        </w:tc>
        <w:tc>
          <w:tcPr>
            <w:tcW w:w="1550" w:type="pct"/>
            <w:tcBorders>
              <w:top w:val="single" w:sz="4" w:space="0" w:color="auto"/>
              <w:bottom w:val="single" w:sz="4" w:space="0" w:color="auto"/>
            </w:tcBorders>
            <w:shd w:val="clear" w:color="auto" w:fill="F7CAAC" w:themeFill="accent2" w:themeFillTint="66"/>
          </w:tcPr>
          <w:p w14:paraId="53415494"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Advice to Inform the Revision of the Law on Subsoil</w:t>
            </w:r>
          </w:p>
        </w:tc>
        <w:tc>
          <w:tcPr>
            <w:tcW w:w="2171" w:type="pct"/>
            <w:tcBorders>
              <w:top w:val="single" w:sz="4" w:space="0" w:color="auto"/>
              <w:bottom w:val="single" w:sz="4" w:space="0" w:color="auto"/>
            </w:tcBorders>
          </w:tcPr>
          <w:p w14:paraId="0C568B9C" w14:textId="16929D69" w:rsidR="00F540E4" w:rsidRPr="00B677B4" w:rsidRDefault="007B60DA">
            <w:pPr>
              <w:pStyle w:val="Default"/>
              <w:numPr>
                <w:ilvl w:val="0"/>
                <w:numId w:val="19"/>
              </w:numPr>
              <w:rPr>
                <w:rFonts w:ascii="Arial" w:hAnsi="Arial" w:cs="Arial"/>
                <w:sz w:val="18"/>
                <w:szCs w:val="18"/>
                <w:lang w:val="en-GB"/>
              </w:rPr>
            </w:pPr>
            <w:r w:rsidRPr="00B677B4">
              <w:rPr>
                <w:rFonts w:ascii="Arial" w:hAnsi="Arial" w:cs="Arial"/>
                <w:sz w:val="18"/>
                <w:szCs w:val="18"/>
                <w:lang w:val="en-GB"/>
              </w:rPr>
              <w:t>Support to MMHI working group on Law of Subsoil</w:t>
            </w:r>
          </w:p>
          <w:p w14:paraId="11AD95FF" w14:textId="50F91854" w:rsidR="007B60DA" w:rsidRPr="00B677B4" w:rsidRDefault="007B60DA">
            <w:pPr>
              <w:pStyle w:val="Default"/>
              <w:numPr>
                <w:ilvl w:val="0"/>
                <w:numId w:val="19"/>
              </w:numPr>
              <w:rPr>
                <w:rFonts w:ascii="Arial" w:hAnsi="Arial" w:cs="Arial"/>
                <w:sz w:val="18"/>
                <w:szCs w:val="18"/>
                <w:lang w:val="en-GB"/>
              </w:rPr>
            </w:pPr>
            <w:r w:rsidRPr="00B677B4">
              <w:rPr>
                <w:rFonts w:ascii="Arial" w:hAnsi="Arial" w:cs="Arial"/>
                <w:sz w:val="18"/>
                <w:szCs w:val="18"/>
                <w:lang w:val="en-GB"/>
              </w:rPr>
              <w:t xml:space="preserve">Helped implement deeds assessment and research analysis </w:t>
            </w:r>
          </w:p>
          <w:p w14:paraId="7F271EAF" w14:textId="4453AD77" w:rsidR="007B60DA" w:rsidRPr="00B677B4" w:rsidRDefault="007B60DA">
            <w:pPr>
              <w:pStyle w:val="Default"/>
              <w:numPr>
                <w:ilvl w:val="0"/>
                <w:numId w:val="19"/>
              </w:numPr>
              <w:rPr>
                <w:rFonts w:ascii="Arial" w:hAnsi="Arial" w:cs="Arial"/>
                <w:sz w:val="18"/>
                <w:szCs w:val="18"/>
                <w:lang w:val="en-GB"/>
              </w:rPr>
            </w:pPr>
            <w:r w:rsidRPr="00B677B4">
              <w:rPr>
                <w:rFonts w:ascii="Arial" w:hAnsi="Arial" w:cs="Arial"/>
                <w:sz w:val="18"/>
                <w:szCs w:val="18"/>
                <w:lang w:val="en-GB"/>
              </w:rPr>
              <w:t xml:space="preserve">Draft </w:t>
            </w:r>
            <w:proofErr w:type="gramStart"/>
            <w:r w:rsidRPr="00B677B4">
              <w:rPr>
                <w:rFonts w:ascii="Arial" w:hAnsi="Arial" w:cs="Arial"/>
                <w:sz w:val="18"/>
                <w:szCs w:val="18"/>
                <w:lang w:val="en-GB"/>
              </w:rPr>
              <w:t>concept</w:t>
            </w:r>
            <w:proofErr w:type="gramEnd"/>
            <w:r w:rsidRPr="00B677B4">
              <w:rPr>
                <w:rFonts w:ascii="Arial" w:hAnsi="Arial" w:cs="Arial"/>
                <w:sz w:val="18"/>
                <w:szCs w:val="18"/>
                <w:lang w:val="en-GB"/>
              </w:rPr>
              <w:t xml:space="preserve"> note prepared to map out stakeholder consultation process</w:t>
            </w:r>
          </w:p>
          <w:p w14:paraId="59327616" w14:textId="75A469FC" w:rsidR="007B60DA" w:rsidRPr="00B677B4" w:rsidRDefault="007B60DA">
            <w:pPr>
              <w:pStyle w:val="Default"/>
              <w:numPr>
                <w:ilvl w:val="0"/>
                <w:numId w:val="19"/>
              </w:numPr>
              <w:rPr>
                <w:rFonts w:ascii="Arial" w:hAnsi="Arial" w:cs="Arial"/>
                <w:sz w:val="18"/>
                <w:szCs w:val="18"/>
                <w:lang w:val="en-GB"/>
              </w:rPr>
            </w:pPr>
            <w:r w:rsidRPr="00B677B4">
              <w:rPr>
                <w:rFonts w:ascii="Arial" w:hAnsi="Arial" w:cs="Arial"/>
                <w:sz w:val="18"/>
                <w:szCs w:val="18"/>
                <w:lang w:val="en-GB"/>
              </w:rPr>
              <w:t>Delays due to turnover within the Working Group</w:t>
            </w:r>
          </w:p>
          <w:p w14:paraId="6F368AFA" w14:textId="77777777" w:rsidR="00F540E4" w:rsidRPr="00B677B4" w:rsidRDefault="00F540E4" w:rsidP="00586AC3">
            <w:pPr>
              <w:pStyle w:val="table-text"/>
              <w:rPr>
                <w:rFonts w:eastAsia="Tahoma" w:cs="Arial"/>
                <w:sz w:val="18"/>
                <w:szCs w:val="18"/>
                <w:lang w:val="en-GB"/>
              </w:rPr>
            </w:pPr>
          </w:p>
        </w:tc>
      </w:tr>
      <w:tr w:rsidR="00F540E4" w:rsidRPr="00B677B4" w14:paraId="4C8C9BD0" w14:textId="77777777" w:rsidTr="00253082">
        <w:trPr>
          <w:cnfStyle w:val="000000100000" w:firstRow="0" w:lastRow="0" w:firstColumn="0" w:lastColumn="0" w:oddVBand="0" w:evenVBand="0" w:oddHBand="1" w:evenHBand="0" w:firstRowFirstColumn="0" w:firstRowLastColumn="0" w:lastRowFirstColumn="0" w:lastRowLastColumn="0"/>
        </w:trPr>
        <w:tc>
          <w:tcPr>
            <w:tcW w:w="1279" w:type="pct"/>
            <w:tcBorders>
              <w:top w:val="single" w:sz="4" w:space="0" w:color="auto"/>
              <w:bottom w:val="single" w:sz="4" w:space="0" w:color="auto"/>
            </w:tcBorders>
            <w:shd w:val="clear" w:color="auto" w:fill="auto"/>
          </w:tcPr>
          <w:p w14:paraId="4E0A851C" w14:textId="77777777" w:rsidR="00F540E4" w:rsidRPr="00B677B4" w:rsidRDefault="00F540E4">
            <w:pPr>
              <w:pStyle w:val="table-text"/>
              <w:numPr>
                <w:ilvl w:val="0"/>
                <w:numId w:val="22"/>
              </w:numPr>
              <w:rPr>
                <w:rFonts w:cs="Arial"/>
                <w:b/>
                <w:sz w:val="18"/>
                <w:szCs w:val="18"/>
                <w:lang w:val="en-GB"/>
              </w:rPr>
            </w:pPr>
            <w:r w:rsidRPr="00B677B4">
              <w:rPr>
                <w:rFonts w:cs="Arial"/>
                <w:b/>
                <w:sz w:val="18"/>
                <w:szCs w:val="18"/>
                <w:lang w:val="en-GB"/>
              </w:rPr>
              <w:t>Inclusive and Diverse Extractives Sector</w:t>
            </w:r>
          </w:p>
        </w:tc>
        <w:tc>
          <w:tcPr>
            <w:tcW w:w="1550" w:type="pct"/>
            <w:tcBorders>
              <w:top w:val="single" w:sz="4" w:space="0" w:color="auto"/>
              <w:bottom w:val="single" w:sz="4" w:space="0" w:color="auto"/>
            </w:tcBorders>
            <w:shd w:val="clear" w:color="auto" w:fill="C5E0B3" w:themeFill="accent6" w:themeFillTint="66"/>
          </w:tcPr>
          <w:p w14:paraId="04A17165"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Development of e-learning program on gender issues in the mining sector</w:t>
            </w:r>
          </w:p>
        </w:tc>
        <w:tc>
          <w:tcPr>
            <w:tcW w:w="2171" w:type="pct"/>
            <w:tcBorders>
              <w:top w:val="single" w:sz="4" w:space="0" w:color="auto"/>
              <w:bottom w:val="single" w:sz="4" w:space="0" w:color="auto"/>
            </w:tcBorders>
          </w:tcPr>
          <w:p w14:paraId="23E75E1C" w14:textId="77777777" w:rsidR="00F540E4" w:rsidRPr="00B677B4" w:rsidRDefault="00F540E4">
            <w:pPr>
              <w:pStyle w:val="Default"/>
              <w:numPr>
                <w:ilvl w:val="0"/>
                <w:numId w:val="18"/>
              </w:numPr>
              <w:rPr>
                <w:rFonts w:ascii="Arial" w:hAnsi="Arial" w:cs="Arial"/>
                <w:sz w:val="18"/>
                <w:szCs w:val="18"/>
                <w:lang w:val="en-GB"/>
              </w:rPr>
            </w:pPr>
            <w:r w:rsidRPr="00B677B4">
              <w:rPr>
                <w:rFonts w:ascii="Arial" w:hAnsi="Arial" w:cs="Arial"/>
                <w:sz w:val="18"/>
                <w:szCs w:val="18"/>
                <w:lang w:val="en-GB"/>
              </w:rPr>
              <w:t xml:space="preserve">Awareness raising and sensitization on key issues related to the MMHI Human Rights Gender Policy </w:t>
            </w:r>
            <w:r w:rsidR="002F7B6E" w:rsidRPr="00B677B4">
              <w:rPr>
                <w:rFonts w:ascii="Arial" w:hAnsi="Arial" w:cs="Arial"/>
                <w:sz w:val="18"/>
                <w:szCs w:val="18"/>
                <w:lang w:val="en-GB"/>
              </w:rPr>
              <w:t>(2019)</w:t>
            </w:r>
          </w:p>
          <w:p w14:paraId="75593143" w14:textId="77777777" w:rsidR="002F7B6E" w:rsidRPr="00B677B4" w:rsidRDefault="002F7B6E">
            <w:pPr>
              <w:pStyle w:val="Default"/>
              <w:numPr>
                <w:ilvl w:val="0"/>
                <w:numId w:val="18"/>
              </w:numPr>
              <w:rPr>
                <w:rFonts w:ascii="Arial" w:hAnsi="Arial" w:cs="Arial"/>
                <w:sz w:val="18"/>
                <w:szCs w:val="18"/>
                <w:lang w:val="en-GB"/>
              </w:rPr>
            </w:pPr>
            <w:r w:rsidRPr="00B677B4">
              <w:rPr>
                <w:rFonts w:ascii="Arial" w:hAnsi="Arial" w:cs="Arial"/>
                <w:sz w:val="18"/>
                <w:szCs w:val="18"/>
                <w:lang w:val="en-GB"/>
              </w:rPr>
              <w:t>7-module training program Gender Inclusion and Diversity Workplace E-Learning (June 2022)</w:t>
            </w:r>
          </w:p>
          <w:p w14:paraId="4087EA96" w14:textId="4E8C1F15" w:rsidR="002F7B6E" w:rsidRPr="00B677B4" w:rsidRDefault="002F7B6E">
            <w:pPr>
              <w:pStyle w:val="Default"/>
              <w:numPr>
                <w:ilvl w:val="0"/>
                <w:numId w:val="18"/>
              </w:numPr>
              <w:rPr>
                <w:rFonts w:ascii="Arial" w:hAnsi="Arial" w:cs="Arial"/>
                <w:sz w:val="18"/>
                <w:szCs w:val="18"/>
                <w:lang w:val="en-GB"/>
              </w:rPr>
            </w:pPr>
            <w:r w:rsidRPr="00B677B4">
              <w:rPr>
                <w:rFonts w:ascii="Arial" w:hAnsi="Arial" w:cs="Arial"/>
                <w:sz w:val="18"/>
                <w:szCs w:val="18"/>
                <w:lang w:val="en-GB"/>
              </w:rPr>
              <w:t>Poster awareness campaign</w:t>
            </w:r>
          </w:p>
        </w:tc>
      </w:tr>
      <w:tr w:rsidR="00F540E4" w:rsidRPr="00B677B4" w14:paraId="13BFF453" w14:textId="77777777" w:rsidTr="002F7B6E">
        <w:trPr>
          <w:cnfStyle w:val="000000010000" w:firstRow="0" w:lastRow="0" w:firstColumn="0" w:lastColumn="0" w:oddVBand="0" w:evenVBand="0" w:oddHBand="0" w:evenHBand="1" w:firstRowFirstColumn="0" w:firstRowLastColumn="0" w:lastRowFirstColumn="0" w:lastRowLastColumn="0"/>
        </w:trPr>
        <w:tc>
          <w:tcPr>
            <w:tcW w:w="1279" w:type="pct"/>
            <w:tcBorders>
              <w:top w:val="single" w:sz="4" w:space="0" w:color="auto"/>
              <w:bottom w:val="single" w:sz="4" w:space="0" w:color="auto"/>
            </w:tcBorders>
            <w:shd w:val="clear" w:color="auto" w:fill="auto"/>
          </w:tcPr>
          <w:p w14:paraId="49424783" w14:textId="77777777" w:rsidR="00F540E4" w:rsidRPr="00B677B4" w:rsidRDefault="00F540E4">
            <w:pPr>
              <w:pStyle w:val="table-text"/>
              <w:numPr>
                <w:ilvl w:val="0"/>
                <w:numId w:val="22"/>
              </w:numPr>
              <w:rPr>
                <w:rFonts w:cs="Arial"/>
                <w:b/>
                <w:sz w:val="18"/>
                <w:szCs w:val="18"/>
                <w:lang w:val="en-GB"/>
              </w:rPr>
            </w:pPr>
            <w:r w:rsidRPr="00B677B4">
              <w:rPr>
                <w:rFonts w:cs="Arial"/>
                <w:b/>
                <w:sz w:val="18"/>
                <w:szCs w:val="18"/>
                <w:lang w:val="en-GB"/>
              </w:rPr>
              <w:t>Community and Environment</w:t>
            </w:r>
          </w:p>
        </w:tc>
        <w:tc>
          <w:tcPr>
            <w:tcW w:w="1550" w:type="pct"/>
            <w:tcBorders>
              <w:top w:val="single" w:sz="4" w:space="0" w:color="auto"/>
              <w:bottom w:val="single" w:sz="4" w:space="0" w:color="auto"/>
            </w:tcBorders>
            <w:shd w:val="clear" w:color="auto" w:fill="C5E0B3" w:themeFill="accent6" w:themeFillTint="66"/>
          </w:tcPr>
          <w:p w14:paraId="0EBE5B56"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Supporting public participation in Environmental Impact Assessment</w:t>
            </w:r>
          </w:p>
        </w:tc>
        <w:tc>
          <w:tcPr>
            <w:tcW w:w="2171" w:type="pct"/>
            <w:tcBorders>
              <w:top w:val="single" w:sz="4" w:space="0" w:color="auto"/>
              <w:bottom w:val="single" w:sz="4" w:space="0" w:color="auto"/>
            </w:tcBorders>
          </w:tcPr>
          <w:p w14:paraId="1F68512D" w14:textId="3DB9E82D" w:rsidR="00FB3FAD" w:rsidRPr="00B677B4" w:rsidRDefault="00FB3FAD">
            <w:pPr>
              <w:pStyle w:val="Default"/>
              <w:numPr>
                <w:ilvl w:val="0"/>
                <w:numId w:val="18"/>
              </w:numPr>
              <w:rPr>
                <w:rFonts w:ascii="Arial" w:hAnsi="Arial" w:cs="Arial"/>
                <w:sz w:val="18"/>
                <w:szCs w:val="18"/>
                <w:lang w:val="en-GB"/>
              </w:rPr>
            </w:pPr>
            <w:r w:rsidRPr="00B677B4">
              <w:rPr>
                <w:rFonts w:ascii="Arial" w:hAnsi="Arial" w:cs="Arial"/>
                <w:sz w:val="18"/>
                <w:szCs w:val="18"/>
                <w:lang w:val="en-GB"/>
              </w:rPr>
              <w:t>Environmental Auditor certification system in place</w:t>
            </w:r>
          </w:p>
          <w:p w14:paraId="6D2D3DC4" w14:textId="3385645F" w:rsidR="00F540E4" w:rsidRPr="00B677B4" w:rsidRDefault="002F7B6E">
            <w:pPr>
              <w:pStyle w:val="Default"/>
              <w:numPr>
                <w:ilvl w:val="0"/>
                <w:numId w:val="18"/>
              </w:numPr>
              <w:rPr>
                <w:rFonts w:ascii="Arial" w:hAnsi="Arial" w:cs="Arial"/>
                <w:sz w:val="18"/>
                <w:szCs w:val="18"/>
                <w:lang w:val="en-GB"/>
              </w:rPr>
            </w:pPr>
            <w:r w:rsidRPr="00B677B4">
              <w:rPr>
                <w:rFonts w:ascii="Arial" w:hAnsi="Arial" w:cs="Arial"/>
                <w:sz w:val="18"/>
                <w:szCs w:val="18"/>
                <w:lang w:val="en-GB"/>
              </w:rPr>
              <w:t xml:space="preserve">Supporting efforts of </w:t>
            </w:r>
            <w:proofErr w:type="spellStart"/>
            <w:r w:rsidRPr="00B677B4">
              <w:rPr>
                <w:rFonts w:ascii="Arial" w:hAnsi="Arial" w:cs="Arial"/>
                <w:sz w:val="18"/>
                <w:szCs w:val="18"/>
                <w:lang w:val="en-GB"/>
              </w:rPr>
              <w:t>MoET</w:t>
            </w:r>
            <w:proofErr w:type="spellEnd"/>
            <w:r w:rsidRPr="00B677B4">
              <w:rPr>
                <w:rFonts w:ascii="Arial" w:hAnsi="Arial" w:cs="Arial"/>
                <w:sz w:val="18"/>
                <w:szCs w:val="18"/>
                <w:lang w:val="en-GB"/>
              </w:rPr>
              <w:t xml:space="preserve"> to strengthen awareness and increase communication with multi-stakeholders around the </w:t>
            </w:r>
            <w:r w:rsidR="00F540E4" w:rsidRPr="00B677B4">
              <w:rPr>
                <w:rFonts w:ascii="Arial" w:hAnsi="Arial" w:cs="Arial"/>
                <w:sz w:val="18"/>
                <w:szCs w:val="18"/>
                <w:lang w:val="en-GB"/>
              </w:rPr>
              <w:t xml:space="preserve">rights associated with public participation in the Environmental Impact Assessment Process </w:t>
            </w:r>
          </w:p>
          <w:p w14:paraId="12D3BB6A" w14:textId="77777777" w:rsidR="002F7B6E" w:rsidRPr="00B677B4" w:rsidRDefault="002F7B6E">
            <w:pPr>
              <w:pStyle w:val="Default"/>
              <w:numPr>
                <w:ilvl w:val="0"/>
                <w:numId w:val="18"/>
              </w:numPr>
              <w:rPr>
                <w:rFonts w:ascii="Arial" w:hAnsi="Arial" w:cs="Arial"/>
                <w:sz w:val="18"/>
                <w:szCs w:val="18"/>
                <w:lang w:val="en-GB"/>
              </w:rPr>
            </w:pPr>
            <w:r w:rsidRPr="00B677B4">
              <w:rPr>
                <w:rFonts w:ascii="Arial" w:hAnsi="Arial" w:cs="Arial"/>
                <w:sz w:val="18"/>
                <w:szCs w:val="18"/>
                <w:lang w:val="en-GB"/>
              </w:rPr>
              <w:t>Developing guidelines on the EIA process</w:t>
            </w:r>
          </w:p>
          <w:p w14:paraId="68F55FB6" w14:textId="5B2ED792" w:rsidR="002F7B6E" w:rsidRPr="00B677B4" w:rsidRDefault="005D3270">
            <w:pPr>
              <w:pStyle w:val="Default"/>
              <w:numPr>
                <w:ilvl w:val="0"/>
                <w:numId w:val="18"/>
              </w:numPr>
              <w:rPr>
                <w:rFonts w:ascii="Arial" w:hAnsi="Arial" w:cs="Arial"/>
                <w:sz w:val="18"/>
                <w:szCs w:val="18"/>
                <w:lang w:val="en-GB"/>
              </w:rPr>
            </w:pPr>
            <w:r w:rsidRPr="00B677B4">
              <w:rPr>
                <w:rFonts w:ascii="Arial" w:hAnsi="Arial" w:cs="Arial"/>
                <w:sz w:val="18"/>
                <w:szCs w:val="18"/>
                <w:lang w:val="en-GB"/>
              </w:rPr>
              <w:t>Facilitated</w:t>
            </w:r>
            <w:r w:rsidR="002F7B6E" w:rsidRPr="00B677B4">
              <w:rPr>
                <w:rFonts w:ascii="Arial" w:hAnsi="Arial" w:cs="Arial"/>
                <w:sz w:val="18"/>
                <w:szCs w:val="18"/>
                <w:lang w:val="en-GB"/>
              </w:rPr>
              <w:t xml:space="preserve"> online training</w:t>
            </w:r>
          </w:p>
          <w:p w14:paraId="37C2B78D" w14:textId="08297D41" w:rsidR="002F7B6E" w:rsidRPr="00B677B4" w:rsidRDefault="002F7B6E">
            <w:pPr>
              <w:pStyle w:val="Default"/>
              <w:numPr>
                <w:ilvl w:val="0"/>
                <w:numId w:val="18"/>
              </w:numPr>
              <w:rPr>
                <w:rFonts w:ascii="Arial" w:hAnsi="Arial" w:cs="Arial"/>
                <w:sz w:val="18"/>
                <w:szCs w:val="18"/>
                <w:lang w:val="en-GB"/>
              </w:rPr>
            </w:pPr>
            <w:r w:rsidRPr="00B677B4">
              <w:rPr>
                <w:rFonts w:ascii="Arial" w:hAnsi="Arial" w:cs="Arial"/>
                <w:sz w:val="18"/>
                <w:szCs w:val="18"/>
                <w:lang w:val="en-GB"/>
              </w:rPr>
              <w:lastRenderedPageBreak/>
              <w:t>Initially planned to work at subnational level but pandemic led to the support being reconceptualised</w:t>
            </w:r>
          </w:p>
        </w:tc>
      </w:tr>
      <w:tr w:rsidR="00F540E4" w:rsidRPr="00B677B4" w14:paraId="1A9E5133" w14:textId="77777777" w:rsidTr="001C31B0">
        <w:trPr>
          <w:cnfStyle w:val="000000100000" w:firstRow="0" w:lastRow="0" w:firstColumn="0" w:lastColumn="0" w:oddVBand="0" w:evenVBand="0" w:oddHBand="1" w:evenHBand="0" w:firstRowFirstColumn="0" w:firstRowLastColumn="0" w:lastRowFirstColumn="0" w:lastRowLastColumn="0"/>
        </w:trPr>
        <w:tc>
          <w:tcPr>
            <w:tcW w:w="1279" w:type="pct"/>
            <w:tcBorders>
              <w:top w:val="single" w:sz="4" w:space="0" w:color="auto"/>
            </w:tcBorders>
            <w:shd w:val="clear" w:color="auto" w:fill="auto"/>
          </w:tcPr>
          <w:p w14:paraId="460CC874" w14:textId="77777777" w:rsidR="00F540E4" w:rsidRPr="00B677B4" w:rsidRDefault="00F540E4">
            <w:pPr>
              <w:pStyle w:val="table-text"/>
              <w:numPr>
                <w:ilvl w:val="0"/>
                <w:numId w:val="22"/>
              </w:numPr>
              <w:rPr>
                <w:rFonts w:cs="Arial"/>
                <w:b/>
                <w:sz w:val="18"/>
                <w:szCs w:val="18"/>
                <w:lang w:val="en-GB"/>
              </w:rPr>
            </w:pPr>
            <w:r w:rsidRPr="00B677B4">
              <w:rPr>
                <w:rFonts w:cs="Arial"/>
                <w:b/>
                <w:sz w:val="18"/>
                <w:szCs w:val="18"/>
                <w:lang w:val="en-GB"/>
              </w:rPr>
              <w:lastRenderedPageBreak/>
              <w:t>Green Energy Transition</w:t>
            </w:r>
          </w:p>
        </w:tc>
        <w:tc>
          <w:tcPr>
            <w:tcW w:w="1550" w:type="pct"/>
            <w:tcBorders>
              <w:top w:val="single" w:sz="4" w:space="0" w:color="auto"/>
              <w:bottom w:val="single" w:sz="4" w:space="0" w:color="auto"/>
            </w:tcBorders>
            <w:shd w:val="clear" w:color="auto" w:fill="C5E0B3" w:themeFill="accent6" w:themeFillTint="66"/>
          </w:tcPr>
          <w:p w14:paraId="7372DBBC"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Improved Geoscience Data for Coalbed Methane</w:t>
            </w:r>
          </w:p>
        </w:tc>
        <w:tc>
          <w:tcPr>
            <w:tcW w:w="2171" w:type="pct"/>
            <w:tcBorders>
              <w:top w:val="single" w:sz="4" w:space="0" w:color="auto"/>
              <w:bottom w:val="single" w:sz="4" w:space="0" w:color="auto"/>
            </w:tcBorders>
          </w:tcPr>
          <w:p w14:paraId="2DAB997B" w14:textId="77777777" w:rsidR="00F20B1D" w:rsidRPr="00B677B4" w:rsidRDefault="00F20B1D">
            <w:pPr>
              <w:pStyle w:val="Default"/>
              <w:numPr>
                <w:ilvl w:val="0"/>
                <w:numId w:val="23"/>
              </w:numPr>
              <w:rPr>
                <w:rFonts w:ascii="Arial" w:hAnsi="Arial" w:cs="Arial"/>
                <w:sz w:val="18"/>
                <w:szCs w:val="18"/>
                <w:lang w:val="en-GB"/>
              </w:rPr>
            </w:pPr>
            <w:r w:rsidRPr="00B677B4">
              <w:rPr>
                <w:rFonts w:ascii="Arial" w:hAnsi="Arial" w:cs="Arial"/>
                <w:sz w:val="18"/>
                <w:szCs w:val="18"/>
                <w:lang w:val="en-GB"/>
              </w:rPr>
              <w:t>Working with MRPAM to identify and improve access to CBM geo-science data.</w:t>
            </w:r>
          </w:p>
          <w:p w14:paraId="53526A55" w14:textId="06B0B1B2" w:rsidR="00F20B1D" w:rsidRPr="00B677B4" w:rsidRDefault="00F20B1D">
            <w:pPr>
              <w:pStyle w:val="Default"/>
              <w:numPr>
                <w:ilvl w:val="0"/>
                <w:numId w:val="23"/>
              </w:numPr>
              <w:rPr>
                <w:rFonts w:ascii="Arial" w:hAnsi="Arial" w:cs="Arial"/>
                <w:sz w:val="18"/>
                <w:szCs w:val="18"/>
                <w:lang w:val="en-GB"/>
              </w:rPr>
            </w:pPr>
            <w:r w:rsidRPr="00B677B4">
              <w:rPr>
                <w:rFonts w:ascii="Arial" w:hAnsi="Arial" w:cs="Arial"/>
                <w:sz w:val="18"/>
                <w:szCs w:val="18"/>
                <w:lang w:val="en-GB"/>
              </w:rPr>
              <w:t>developed a methodology for prospecting and conducted an analysis of identified CBM basins</w:t>
            </w:r>
          </w:p>
          <w:p w14:paraId="439DB010" w14:textId="3ADD5E11" w:rsidR="00F20B1D" w:rsidRPr="00B677B4" w:rsidRDefault="00F20B1D">
            <w:pPr>
              <w:pStyle w:val="Default"/>
              <w:numPr>
                <w:ilvl w:val="0"/>
                <w:numId w:val="23"/>
              </w:numPr>
              <w:rPr>
                <w:rFonts w:ascii="Arial" w:hAnsi="Arial" w:cs="Arial"/>
                <w:sz w:val="18"/>
                <w:szCs w:val="18"/>
                <w:lang w:val="en-GB"/>
              </w:rPr>
            </w:pPr>
            <w:r w:rsidRPr="00B677B4">
              <w:rPr>
                <w:rFonts w:ascii="Arial" w:hAnsi="Arial" w:cs="Arial"/>
                <w:sz w:val="18"/>
                <w:szCs w:val="18"/>
                <w:lang w:val="en-GB"/>
              </w:rPr>
              <w:t>Joint Australian – Mongolian team conducted study</w:t>
            </w:r>
          </w:p>
          <w:p w14:paraId="1864B416" w14:textId="2B0CA3DD" w:rsidR="00F540E4" w:rsidRPr="00B677B4" w:rsidRDefault="00F20B1D">
            <w:pPr>
              <w:pStyle w:val="Default"/>
              <w:numPr>
                <w:ilvl w:val="0"/>
                <w:numId w:val="23"/>
              </w:numPr>
              <w:rPr>
                <w:rFonts w:ascii="Arial" w:hAnsi="Arial" w:cs="Arial"/>
                <w:sz w:val="18"/>
                <w:szCs w:val="18"/>
                <w:lang w:val="en-GB"/>
              </w:rPr>
            </w:pPr>
            <w:r w:rsidRPr="00B677B4">
              <w:rPr>
                <w:rFonts w:ascii="Arial" w:hAnsi="Arial" w:cs="Arial"/>
                <w:sz w:val="18"/>
                <w:szCs w:val="18"/>
                <w:lang w:val="en-GB"/>
              </w:rPr>
              <w:t>AMEP and MRPAM hosted a CBM seminar to share findings and raise awareness</w:t>
            </w:r>
          </w:p>
        </w:tc>
      </w:tr>
      <w:tr w:rsidR="00F540E4" w:rsidRPr="00B677B4" w14:paraId="072BD1F1" w14:textId="77777777" w:rsidTr="001C31B0">
        <w:trPr>
          <w:cnfStyle w:val="000000010000" w:firstRow="0" w:lastRow="0" w:firstColumn="0" w:lastColumn="0" w:oddVBand="0" w:evenVBand="0" w:oddHBand="0" w:evenHBand="1" w:firstRowFirstColumn="0" w:firstRowLastColumn="0" w:lastRowFirstColumn="0" w:lastRowLastColumn="0"/>
        </w:trPr>
        <w:tc>
          <w:tcPr>
            <w:tcW w:w="1279" w:type="pct"/>
            <w:tcBorders>
              <w:bottom w:val="single" w:sz="4" w:space="0" w:color="auto"/>
            </w:tcBorders>
            <w:shd w:val="clear" w:color="auto" w:fill="auto"/>
          </w:tcPr>
          <w:p w14:paraId="469DE107" w14:textId="77777777" w:rsidR="00F540E4" w:rsidRPr="00B677B4" w:rsidRDefault="00F540E4" w:rsidP="00586AC3">
            <w:pPr>
              <w:pStyle w:val="table-text"/>
              <w:rPr>
                <w:rFonts w:cs="Arial"/>
                <w:b/>
                <w:sz w:val="18"/>
                <w:szCs w:val="18"/>
                <w:lang w:val="en-GB"/>
              </w:rPr>
            </w:pPr>
          </w:p>
        </w:tc>
        <w:tc>
          <w:tcPr>
            <w:tcW w:w="1550" w:type="pct"/>
            <w:tcBorders>
              <w:top w:val="single" w:sz="4" w:space="0" w:color="auto"/>
              <w:bottom w:val="single" w:sz="4" w:space="0" w:color="auto"/>
            </w:tcBorders>
            <w:shd w:val="clear" w:color="auto" w:fill="C5E0B3" w:themeFill="accent6" w:themeFillTint="66"/>
          </w:tcPr>
          <w:p w14:paraId="31CE98AB" w14:textId="77777777" w:rsidR="00F540E4" w:rsidRPr="00B677B4" w:rsidRDefault="00F540E4" w:rsidP="00586AC3">
            <w:pPr>
              <w:pStyle w:val="Default"/>
              <w:rPr>
                <w:rFonts w:ascii="Arial" w:hAnsi="Arial" w:cs="Arial"/>
                <w:sz w:val="18"/>
                <w:szCs w:val="18"/>
                <w:lang w:val="en-GB"/>
              </w:rPr>
            </w:pPr>
            <w:r w:rsidRPr="00B677B4">
              <w:rPr>
                <w:rFonts w:ascii="Arial" w:hAnsi="Arial" w:cs="Arial"/>
                <w:sz w:val="18"/>
                <w:szCs w:val="18"/>
                <w:lang w:val="en-GB"/>
              </w:rPr>
              <w:t>Data Processing and Quality Assurance on Rare Earth Element Rock Samples</w:t>
            </w:r>
          </w:p>
        </w:tc>
        <w:tc>
          <w:tcPr>
            <w:tcW w:w="2171" w:type="pct"/>
            <w:tcBorders>
              <w:top w:val="single" w:sz="4" w:space="0" w:color="auto"/>
              <w:bottom w:val="single" w:sz="4" w:space="0" w:color="auto"/>
            </w:tcBorders>
          </w:tcPr>
          <w:p w14:paraId="4FFDC9C8" w14:textId="5632D71F" w:rsidR="001C31B0" w:rsidRPr="00B677B4" w:rsidRDefault="00F20B1D">
            <w:pPr>
              <w:pStyle w:val="Default"/>
              <w:numPr>
                <w:ilvl w:val="0"/>
                <w:numId w:val="24"/>
              </w:numPr>
              <w:rPr>
                <w:rFonts w:ascii="Arial" w:hAnsi="Arial" w:cs="Arial"/>
                <w:sz w:val="18"/>
                <w:szCs w:val="18"/>
                <w:lang w:val="en-GB"/>
              </w:rPr>
            </w:pPr>
            <w:r w:rsidRPr="00B677B4">
              <w:rPr>
                <w:rFonts w:ascii="Arial" w:hAnsi="Arial" w:cs="Arial"/>
                <w:sz w:val="18"/>
                <w:szCs w:val="18"/>
                <w:lang w:val="en-GB"/>
              </w:rPr>
              <w:t xml:space="preserve">Supported a series of field trips to collect Rare Earth Element Rock Samples, </w:t>
            </w:r>
            <w:proofErr w:type="gramStart"/>
            <w:r w:rsidRPr="00B677B4">
              <w:rPr>
                <w:rFonts w:ascii="Arial" w:hAnsi="Arial" w:cs="Arial"/>
                <w:sz w:val="18"/>
                <w:szCs w:val="18"/>
                <w:lang w:val="en-GB"/>
              </w:rPr>
              <w:t>used also</w:t>
            </w:r>
            <w:proofErr w:type="gramEnd"/>
            <w:r w:rsidRPr="00B677B4">
              <w:rPr>
                <w:rFonts w:ascii="Arial" w:hAnsi="Arial" w:cs="Arial"/>
                <w:sz w:val="18"/>
                <w:szCs w:val="18"/>
                <w:lang w:val="en-GB"/>
              </w:rPr>
              <w:t xml:space="preserve"> a training exercise on the AMEP developed Mineral Guidelines </w:t>
            </w:r>
          </w:p>
          <w:p w14:paraId="77739574" w14:textId="2376C9D0" w:rsidR="001C31B0" w:rsidRPr="00B677B4" w:rsidRDefault="001C31B0">
            <w:pPr>
              <w:pStyle w:val="Default"/>
              <w:numPr>
                <w:ilvl w:val="0"/>
                <w:numId w:val="24"/>
              </w:numPr>
              <w:rPr>
                <w:rFonts w:ascii="Arial" w:hAnsi="Arial" w:cs="Arial"/>
                <w:sz w:val="18"/>
                <w:szCs w:val="18"/>
                <w:lang w:val="en-GB"/>
              </w:rPr>
            </w:pPr>
            <w:r w:rsidRPr="00B677B4">
              <w:rPr>
                <w:rFonts w:ascii="Arial" w:hAnsi="Arial" w:cs="Arial"/>
                <w:sz w:val="18"/>
                <w:szCs w:val="18"/>
                <w:lang w:val="en-GB"/>
              </w:rPr>
              <w:t xml:space="preserve">Data on rock samples uploaded into </w:t>
            </w:r>
          </w:p>
          <w:p w14:paraId="367B0875" w14:textId="42218A6E" w:rsidR="00F540E4" w:rsidRPr="00B677B4" w:rsidRDefault="001C31B0">
            <w:pPr>
              <w:pStyle w:val="Default"/>
              <w:numPr>
                <w:ilvl w:val="0"/>
                <w:numId w:val="24"/>
              </w:numPr>
              <w:rPr>
                <w:rFonts w:ascii="Arial" w:hAnsi="Arial" w:cs="Arial"/>
                <w:sz w:val="18"/>
                <w:szCs w:val="18"/>
                <w:lang w:val="en-GB"/>
              </w:rPr>
            </w:pPr>
            <w:proofErr w:type="gramStart"/>
            <w:r w:rsidRPr="00B677B4">
              <w:rPr>
                <w:rFonts w:ascii="Arial" w:hAnsi="Arial" w:cs="Arial"/>
                <w:sz w:val="18"/>
                <w:szCs w:val="18"/>
                <w:lang w:val="en-GB"/>
              </w:rPr>
              <w:t xml:space="preserve">NGDB </w:t>
            </w:r>
            <w:r w:rsidR="00F540E4" w:rsidRPr="00B677B4">
              <w:rPr>
                <w:rFonts w:ascii="Arial" w:hAnsi="Arial" w:cs="Arial"/>
                <w:sz w:val="18"/>
                <w:szCs w:val="18"/>
                <w:lang w:val="en-GB"/>
              </w:rPr>
              <w:t xml:space="preserve"> and</w:t>
            </w:r>
            <w:proofErr w:type="gramEnd"/>
            <w:r w:rsidR="00F540E4" w:rsidRPr="00B677B4">
              <w:rPr>
                <w:rFonts w:ascii="Arial" w:hAnsi="Arial" w:cs="Arial"/>
                <w:sz w:val="18"/>
                <w:szCs w:val="18"/>
                <w:lang w:val="en-GB"/>
              </w:rPr>
              <w:t xml:space="preserve"> </w:t>
            </w:r>
            <w:proofErr w:type="spellStart"/>
            <w:r w:rsidR="00F540E4" w:rsidRPr="00B677B4">
              <w:rPr>
                <w:rFonts w:ascii="Arial" w:hAnsi="Arial" w:cs="Arial"/>
                <w:sz w:val="18"/>
                <w:szCs w:val="18"/>
                <w:lang w:val="en-GB"/>
              </w:rPr>
              <w:t>MonGeoCat</w:t>
            </w:r>
            <w:proofErr w:type="spellEnd"/>
            <w:r w:rsidR="00F540E4" w:rsidRPr="00B677B4">
              <w:rPr>
                <w:rFonts w:ascii="Arial" w:hAnsi="Arial" w:cs="Arial"/>
                <w:sz w:val="18"/>
                <w:szCs w:val="18"/>
                <w:lang w:val="en-GB"/>
              </w:rPr>
              <w:t xml:space="preserve"> systems </w:t>
            </w:r>
          </w:p>
        </w:tc>
      </w:tr>
    </w:tbl>
    <w:p w14:paraId="7DBB3AD3" w14:textId="42CC2606" w:rsidR="007F0A4D" w:rsidRPr="00B677B4" w:rsidRDefault="007F0A4D" w:rsidP="007F0A4D">
      <w:pPr>
        <w:pStyle w:val="Default"/>
        <w:spacing w:line="276" w:lineRule="auto"/>
        <w:rPr>
          <w:rFonts w:asciiTheme="minorHAnsi" w:hAnsiTheme="minorHAnsi" w:cstheme="minorHAnsi"/>
          <w:sz w:val="22"/>
          <w:szCs w:val="22"/>
          <w:lang w:val="en-GB"/>
        </w:rPr>
      </w:pPr>
    </w:p>
    <w:p w14:paraId="2077F9E8" w14:textId="16047579" w:rsidR="00E8358D" w:rsidRPr="00C8767A" w:rsidRDefault="00E8358D" w:rsidP="00E8358D">
      <w:pPr>
        <w:pStyle w:val="Default"/>
        <w:spacing w:line="276" w:lineRule="auto"/>
        <w:rPr>
          <w:rFonts w:cstheme="minorHAnsi"/>
          <w:sz w:val="22"/>
          <w:szCs w:val="22"/>
          <w:lang w:val="en-GB"/>
        </w:rPr>
      </w:pPr>
      <w:r w:rsidRPr="00B677B4">
        <w:rPr>
          <w:rFonts w:asciiTheme="minorHAnsi" w:hAnsiTheme="minorHAnsi" w:cstheme="minorHAnsi"/>
          <w:b/>
          <w:bCs/>
          <w:sz w:val="22"/>
          <w:szCs w:val="22"/>
          <w:lang w:val="en-GB"/>
        </w:rPr>
        <w:t xml:space="preserve">The program is building trust with key </w:t>
      </w:r>
      <w:r w:rsidR="00556CFE" w:rsidRPr="00B677B4">
        <w:rPr>
          <w:rFonts w:asciiTheme="minorHAnsi" w:hAnsiTheme="minorHAnsi" w:cstheme="minorHAnsi"/>
          <w:b/>
          <w:bCs/>
          <w:sz w:val="22"/>
          <w:szCs w:val="22"/>
          <w:lang w:val="en-GB"/>
        </w:rPr>
        <w:t>stakeholders but</w:t>
      </w:r>
      <w:r w:rsidRPr="00B677B4">
        <w:rPr>
          <w:rFonts w:asciiTheme="minorHAnsi" w:hAnsiTheme="minorHAnsi" w:cstheme="minorHAnsi"/>
          <w:b/>
          <w:bCs/>
          <w:sz w:val="22"/>
          <w:szCs w:val="22"/>
          <w:lang w:val="en-GB"/>
        </w:rPr>
        <w:t xml:space="preserve"> acknowledges this is a slow process</w:t>
      </w:r>
      <w:r w:rsidRPr="00B677B4">
        <w:rPr>
          <w:rFonts w:asciiTheme="minorHAnsi" w:hAnsiTheme="minorHAnsi" w:cstheme="minorHAnsi"/>
          <w:sz w:val="22"/>
          <w:szCs w:val="22"/>
          <w:lang w:val="en-GB"/>
        </w:rPr>
        <w:t xml:space="preserve">. The challenge is for the program to demonstrate that it is not only responding to, and supporting, government efforts in the sector but is also seen as a trusted partner outside of government and other partners with whom it typically works with. As noted above AMEP II is already doing this by noticeably expanding its reach for the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 To facilitate this process AMEP II hosted </w:t>
      </w:r>
      <w:r w:rsidR="003538AD" w:rsidRPr="00B677B4">
        <w:rPr>
          <w:rFonts w:asciiTheme="minorHAnsi" w:hAnsiTheme="minorHAnsi" w:cstheme="minorHAnsi"/>
          <w:sz w:val="22"/>
          <w:szCs w:val="22"/>
          <w:lang w:val="en-GB"/>
        </w:rPr>
        <w:t>several</w:t>
      </w:r>
      <w:r w:rsidRPr="00B677B4">
        <w:rPr>
          <w:rFonts w:asciiTheme="minorHAnsi" w:hAnsiTheme="minorHAnsi" w:cstheme="minorHAnsi"/>
          <w:sz w:val="22"/>
          <w:szCs w:val="22"/>
          <w:lang w:val="en-GB"/>
        </w:rPr>
        <w:t xml:space="preserve"> sessions with the types of partners it has not always worked with in the past to ensure high quality proposals. Whilst key informants were appreciative of the fact that AMEP II was engaging with riskier topics, and with a broader group of stakeholders, concerns were raised about the transparency of the activity identification process</w:t>
      </w:r>
      <w:r w:rsidR="003538AD">
        <w:rPr>
          <w:rFonts w:asciiTheme="minorHAnsi" w:hAnsiTheme="minorHAnsi" w:cstheme="minorHAnsi"/>
          <w:sz w:val="22"/>
          <w:szCs w:val="22"/>
          <w:lang w:val="en-GB"/>
        </w:rPr>
        <w:t>.</w:t>
      </w:r>
      <w:r w:rsidRPr="00B677B4">
        <w:rPr>
          <w:rFonts w:asciiTheme="minorHAnsi" w:hAnsiTheme="minorHAnsi" w:cstheme="minorHAnsi"/>
          <w:sz w:val="22"/>
          <w:szCs w:val="22"/>
          <w:lang w:val="en-GB"/>
        </w:rPr>
        <w:t xml:space="preserve"> </w:t>
      </w:r>
      <w:r w:rsidR="003538AD">
        <w:rPr>
          <w:rFonts w:asciiTheme="minorHAnsi" w:hAnsiTheme="minorHAnsi" w:cstheme="minorHAnsi"/>
          <w:sz w:val="22"/>
          <w:szCs w:val="22"/>
          <w:lang w:val="en-GB"/>
        </w:rPr>
        <w:t>A</w:t>
      </w:r>
      <w:r w:rsidRPr="00B677B4">
        <w:rPr>
          <w:rFonts w:asciiTheme="minorHAnsi" w:hAnsiTheme="minorHAnsi" w:cstheme="minorHAnsi"/>
          <w:sz w:val="22"/>
          <w:szCs w:val="22"/>
          <w:lang w:val="en-GB"/>
        </w:rPr>
        <w:t>s one informant noted ‘o</w:t>
      </w:r>
      <w:r w:rsidRPr="00C8767A">
        <w:rPr>
          <w:rFonts w:cstheme="minorHAnsi"/>
          <w:sz w:val="22"/>
          <w:szCs w:val="22"/>
          <w:lang w:val="en-GB"/>
        </w:rPr>
        <w:t xml:space="preserve">nce AMEP II have produced a short list of priorities, they then prioritise these priories, but do not make it clear how are they prioritising these </w:t>
      </w:r>
      <w:proofErr w:type="gramStart"/>
      <w:r w:rsidRPr="00C8767A">
        <w:rPr>
          <w:rFonts w:cstheme="minorHAnsi"/>
          <w:sz w:val="22"/>
          <w:szCs w:val="22"/>
          <w:lang w:val="en-GB"/>
        </w:rPr>
        <w:t>priorities’</w:t>
      </w:r>
      <w:proofErr w:type="gramEnd"/>
      <w:r w:rsidRPr="00C8767A">
        <w:rPr>
          <w:rFonts w:cstheme="minorHAnsi"/>
          <w:sz w:val="22"/>
          <w:szCs w:val="22"/>
          <w:lang w:val="en-GB"/>
        </w:rPr>
        <w:t>. There is a need for AMEP II to be transparent about the process</w:t>
      </w:r>
      <w:r w:rsidR="00935AA5" w:rsidRPr="00C8767A">
        <w:rPr>
          <w:rFonts w:cstheme="minorHAnsi"/>
          <w:sz w:val="22"/>
          <w:szCs w:val="22"/>
          <w:lang w:val="en-GB"/>
        </w:rPr>
        <w:t xml:space="preserve"> (starting with announcement going to selection and informing or giving feed-back to applicants)</w:t>
      </w:r>
      <w:r w:rsidRPr="00C8767A">
        <w:rPr>
          <w:rFonts w:cstheme="minorHAnsi"/>
          <w:sz w:val="22"/>
          <w:szCs w:val="22"/>
          <w:lang w:val="en-GB"/>
        </w:rPr>
        <w:t xml:space="preserve"> </w:t>
      </w:r>
      <w:r w:rsidR="00935AA5" w:rsidRPr="00C8767A">
        <w:rPr>
          <w:rFonts w:cstheme="minorHAnsi"/>
          <w:sz w:val="22"/>
          <w:szCs w:val="22"/>
          <w:lang w:val="en-GB"/>
        </w:rPr>
        <w:t xml:space="preserve">to </w:t>
      </w:r>
      <w:r w:rsidRPr="00C8767A">
        <w:rPr>
          <w:rFonts w:cstheme="minorHAnsi"/>
          <w:sz w:val="22"/>
          <w:szCs w:val="22"/>
          <w:lang w:val="en-GB"/>
        </w:rPr>
        <w:t>ensure its consultative process is not unnecessarily undermined.</w:t>
      </w:r>
    </w:p>
    <w:p w14:paraId="7A1C10DC" w14:textId="77777777" w:rsidR="00EA3968" w:rsidRPr="00B677B4" w:rsidRDefault="00EA3968" w:rsidP="00E8358D">
      <w:pPr>
        <w:pStyle w:val="Default"/>
        <w:spacing w:line="276" w:lineRule="auto"/>
        <w:rPr>
          <w:rFonts w:asciiTheme="minorHAnsi" w:hAnsiTheme="minorHAnsi" w:cstheme="minorHAnsi"/>
          <w:sz w:val="22"/>
          <w:szCs w:val="22"/>
          <w:lang w:val="en-GB"/>
        </w:rPr>
      </w:pPr>
    </w:p>
    <w:p w14:paraId="072AD3C3" w14:textId="78F4631F" w:rsidR="00EA3968" w:rsidRDefault="00EA3968" w:rsidP="009F4CB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 xml:space="preserve">Too early to </w:t>
      </w:r>
      <w:proofErr w:type="gramStart"/>
      <w:r w:rsidRPr="00B677B4">
        <w:rPr>
          <w:rFonts w:asciiTheme="minorHAnsi" w:hAnsiTheme="minorHAnsi" w:cstheme="minorHAnsi"/>
          <w:b/>
          <w:bCs/>
          <w:sz w:val="22"/>
          <w:szCs w:val="22"/>
          <w:lang w:val="en-GB"/>
        </w:rPr>
        <w:t>tell to</w:t>
      </w:r>
      <w:proofErr w:type="gramEnd"/>
      <w:r w:rsidRPr="00B677B4">
        <w:rPr>
          <w:rFonts w:asciiTheme="minorHAnsi" w:hAnsiTheme="minorHAnsi" w:cstheme="minorHAnsi"/>
          <w:b/>
          <w:bCs/>
          <w:sz w:val="22"/>
          <w:szCs w:val="22"/>
          <w:lang w:val="en-GB"/>
        </w:rPr>
        <w:t xml:space="preserve"> what extent outputs are being used, and are accessible to a broader audience</w:t>
      </w:r>
      <w:r w:rsidR="001F7FA8" w:rsidRPr="00B677B4">
        <w:rPr>
          <w:rFonts w:asciiTheme="minorHAnsi" w:hAnsiTheme="minorHAnsi" w:cstheme="minorHAnsi"/>
          <w:b/>
          <w:bCs/>
          <w:sz w:val="22"/>
          <w:szCs w:val="22"/>
          <w:lang w:val="en-GB"/>
        </w:rPr>
        <w:t xml:space="preserve">. </w:t>
      </w:r>
      <w:r w:rsidR="001F7FA8" w:rsidRPr="003538AD">
        <w:rPr>
          <w:rFonts w:asciiTheme="minorHAnsi" w:hAnsiTheme="minorHAnsi" w:cstheme="minorHAnsi"/>
          <w:sz w:val="22"/>
          <w:szCs w:val="22"/>
          <w:lang w:val="en-GB"/>
        </w:rPr>
        <w:t>Interviews conducted as part of this review found, for examples</w:t>
      </w:r>
      <w:r w:rsidR="001F7FA8" w:rsidRPr="00B677B4">
        <w:rPr>
          <w:rFonts w:asciiTheme="minorHAnsi" w:hAnsiTheme="minorHAnsi" w:cstheme="minorHAnsi"/>
          <w:b/>
          <w:bCs/>
          <w:sz w:val="22"/>
          <w:szCs w:val="22"/>
          <w:lang w:val="en-GB"/>
        </w:rPr>
        <w:t xml:space="preserve"> </w:t>
      </w:r>
      <w:r w:rsidRPr="00B677B4">
        <w:rPr>
          <w:rFonts w:asciiTheme="minorHAnsi" w:hAnsiTheme="minorHAnsi" w:cstheme="minorHAnsi"/>
          <w:sz w:val="22"/>
          <w:szCs w:val="22"/>
          <w:lang w:val="en-GB"/>
        </w:rPr>
        <w:t>whilst geo data is online it is still not accessible to other than a select few.</w:t>
      </w:r>
      <w:r w:rsidR="001F7FA8" w:rsidRPr="00B677B4">
        <w:rPr>
          <w:rFonts w:asciiTheme="minorHAnsi" w:hAnsiTheme="minorHAnsi" w:cstheme="minorHAnsi"/>
          <w:sz w:val="22"/>
          <w:szCs w:val="22"/>
          <w:lang w:val="en-GB"/>
        </w:rPr>
        <w:t xml:space="preserve"> It </w:t>
      </w:r>
      <w:r w:rsidR="00C43782" w:rsidRPr="00B677B4">
        <w:rPr>
          <w:rFonts w:asciiTheme="minorHAnsi" w:hAnsiTheme="minorHAnsi" w:cstheme="minorHAnsi"/>
          <w:sz w:val="22"/>
          <w:szCs w:val="22"/>
          <w:lang w:val="en-GB"/>
        </w:rPr>
        <w:t>also remains</w:t>
      </w:r>
      <w:r w:rsidR="00E131D1" w:rsidRPr="00B677B4">
        <w:rPr>
          <w:rFonts w:asciiTheme="minorHAnsi" w:hAnsiTheme="minorHAnsi" w:cstheme="minorHAnsi"/>
          <w:sz w:val="22"/>
          <w:szCs w:val="22"/>
          <w:lang w:val="en-GB"/>
        </w:rPr>
        <w:t xml:space="preserve"> unclear as to whether key stakeholders </w:t>
      </w:r>
      <w:r w:rsidR="001F7FA8" w:rsidRPr="00B677B4">
        <w:rPr>
          <w:rFonts w:asciiTheme="minorHAnsi" w:hAnsiTheme="minorHAnsi" w:cstheme="minorHAnsi"/>
          <w:sz w:val="22"/>
          <w:szCs w:val="22"/>
          <w:lang w:val="en-GB"/>
        </w:rPr>
        <w:t xml:space="preserve">are fully using the outputs of AMEP II. </w:t>
      </w:r>
      <w:r w:rsidR="006E064B" w:rsidRPr="00B677B4">
        <w:rPr>
          <w:rFonts w:asciiTheme="minorHAnsi" w:hAnsiTheme="minorHAnsi" w:cstheme="minorHAnsi"/>
          <w:sz w:val="22"/>
          <w:szCs w:val="22"/>
          <w:lang w:val="en-GB"/>
        </w:rPr>
        <w:t xml:space="preserve">As one key stakeholder noted ‘I am a firm convert of the program, but I struggled to find what I was looking for, the links were buried in the portal’. This does suggest that AMEP II needs to place greater emphasis on publicising its successes and ensuring that key outputs it has been involved in developing are easily accessible. Publicising its successes will also further enhance appreciation of the project. </w:t>
      </w:r>
      <w:r w:rsidR="00E131D1" w:rsidRPr="00B677B4">
        <w:rPr>
          <w:rFonts w:asciiTheme="minorHAnsi" w:hAnsiTheme="minorHAnsi" w:cstheme="minorHAnsi"/>
          <w:sz w:val="22"/>
          <w:szCs w:val="22"/>
          <w:lang w:val="en-GB"/>
        </w:rPr>
        <w:t xml:space="preserve"> </w:t>
      </w:r>
    </w:p>
    <w:p w14:paraId="528BA6E1" w14:textId="42907D8C" w:rsidR="003C74CD" w:rsidRDefault="003C74CD" w:rsidP="009F4CB5">
      <w:pPr>
        <w:pStyle w:val="Default"/>
        <w:spacing w:line="276" w:lineRule="auto"/>
        <w:rPr>
          <w:rFonts w:asciiTheme="minorHAnsi" w:hAnsiTheme="minorHAnsi" w:cstheme="minorHAnsi"/>
          <w:sz w:val="22"/>
          <w:szCs w:val="22"/>
          <w:lang w:val="en-GB"/>
        </w:rPr>
      </w:pPr>
    </w:p>
    <w:p w14:paraId="39ACA122" w14:textId="77777777" w:rsidR="001302F7" w:rsidRDefault="001302F7">
      <w:pPr>
        <w:rPr>
          <w:rStyle w:val="IntenseEmphasis"/>
          <w:rFonts w:ascii="Calibri" w:eastAsiaTheme="minorHAnsi" w:hAnsi="Calibri" w:cs="Calibri"/>
          <w:lang w:val="en-AU" w:eastAsia="en-US"/>
        </w:rPr>
      </w:pPr>
      <w:r>
        <w:rPr>
          <w:rStyle w:val="IntenseEmphasis"/>
        </w:rPr>
        <w:br w:type="page"/>
      </w:r>
    </w:p>
    <w:p w14:paraId="3C2D35E8" w14:textId="2CAB10B4" w:rsidR="003C74CD" w:rsidRPr="001302F7" w:rsidRDefault="003C74CD" w:rsidP="009F4CB5">
      <w:pPr>
        <w:pStyle w:val="Default"/>
        <w:spacing w:line="276" w:lineRule="auto"/>
        <w:rPr>
          <w:rStyle w:val="IntenseEmphasis"/>
          <w:b/>
          <w:bCs/>
        </w:rPr>
      </w:pPr>
      <w:r w:rsidRPr="001302F7">
        <w:rPr>
          <w:rStyle w:val="IntenseEmphasis"/>
          <w:b/>
          <w:bCs/>
        </w:rPr>
        <w:lastRenderedPageBreak/>
        <w:t>Gender and Social Inclusion</w:t>
      </w:r>
    </w:p>
    <w:p w14:paraId="6860D43F" w14:textId="77777777" w:rsidR="000A12F7" w:rsidRDefault="000A12F7" w:rsidP="009F4CB5">
      <w:pPr>
        <w:pStyle w:val="Default"/>
        <w:spacing w:line="276" w:lineRule="auto"/>
        <w:rPr>
          <w:rFonts w:asciiTheme="minorHAnsi" w:hAnsiTheme="minorHAnsi" w:cstheme="minorHAnsi"/>
          <w:b/>
          <w:bCs/>
          <w:sz w:val="22"/>
          <w:szCs w:val="22"/>
          <w:lang w:val="en-GB"/>
        </w:rPr>
      </w:pPr>
    </w:p>
    <w:p w14:paraId="2BC3A800" w14:textId="301D1FFC" w:rsidR="003C74CD" w:rsidRDefault="003C74CD" w:rsidP="009F4CB5">
      <w:pPr>
        <w:pStyle w:val="Default"/>
        <w:spacing w:line="276" w:lineRule="auto"/>
        <w:rPr>
          <w:rFonts w:asciiTheme="minorHAnsi" w:hAnsiTheme="minorHAnsi" w:cstheme="minorHAnsi"/>
          <w:sz w:val="22"/>
          <w:szCs w:val="22"/>
          <w:lang w:val="en-GB"/>
        </w:rPr>
      </w:pPr>
      <w:r w:rsidRPr="00517924">
        <w:rPr>
          <w:rFonts w:asciiTheme="minorHAnsi" w:hAnsiTheme="minorHAnsi" w:cstheme="minorHAnsi"/>
          <w:b/>
          <w:bCs/>
          <w:sz w:val="22"/>
          <w:szCs w:val="22"/>
          <w:lang w:val="en-GB"/>
        </w:rPr>
        <w:t>There is a growing acknowledgement within the program, that gender and social inclusion require a much stronger focus in the program</w:t>
      </w:r>
      <w:r>
        <w:rPr>
          <w:rFonts w:asciiTheme="minorHAnsi" w:hAnsiTheme="minorHAnsi" w:cstheme="minorHAnsi"/>
          <w:sz w:val="22"/>
          <w:szCs w:val="22"/>
          <w:lang w:val="en-GB"/>
        </w:rPr>
        <w:t>. Whilst the first annual report makes no mention of gender and inclusion, the two most recent reports reflect a much stronger focus on this topic. As the program rightly notes ‘</w:t>
      </w:r>
      <w:r w:rsidRPr="00517924">
        <w:rPr>
          <w:rFonts w:asciiTheme="minorHAnsi" w:hAnsiTheme="minorHAnsi" w:cstheme="minorHAnsi"/>
          <w:sz w:val="22"/>
          <w:szCs w:val="22"/>
          <w:lang w:val="en-GB"/>
        </w:rPr>
        <w:t xml:space="preserve">Gender equality in the extractive sector is a challenging and complex issue at international and national levels. This issue requires sustained and concerted effort from all </w:t>
      </w:r>
      <w:proofErr w:type="gramStart"/>
      <w:r w:rsidRPr="00517924">
        <w:rPr>
          <w:rFonts w:asciiTheme="minorHAnsi" w:hAnsiTheme="minorHAnsi" w:cstheme="minorHAnsi"/>
          <w:sz w:val="22"/>
          <w:szCs w:val="22"/>
          <w:lang w:val="en-GB"/>
        </w:rPr>
        <w:t>stakeholders’</w:t>
      </w:r>
      <w:proofErr w:type="gramEnd"/>
      <w:r w:rsidRPr="00517924">
        <w:rPr>
          <w:rFonts w:asciiTheme="minorHAnsi" w:hAnsiTheme="minorHAnsi" w:cstheme="minorHAnsi"/>
          <w:sz w:val="22"/>
          <w:szCs w:val="22"/>
          <w:lang w:val="en-GB"/>
        </w:rPr>
        <w:t>. The MMHI has nevertheless undertaken a series of commitments and actions to give greater prominence to gender related issues in the extractives sector since 2019. For instance, MMHI conduced baseline study and then prepared a gender policy paper for the extractive sector (2019-2026) in accordance with a requirement of Mongolia’s National Committee on Gender Equality (NCGE). As part of this process AMEP II supported the development of an e-learning program on gender issues in the mining sector.</w:t>
      </w:r>
      <w:r w:rsidR="00517924" w:rsidRPr="00517924">
        <w:rPr>
          <w:rFonts w:asciiTheme="minorHAnsi" w:hAnsiTheme="minorHAnsi" w:cstheme="minorHAnsi"/>
          <w:sz w:val="22"/>
          <w:szCs w:val="22"/>
          <w:lang w:val="en-GB"/>
        </w:rPr>
        <w:t xml:space="preserve"> </w:t>
      </w:r>
      <w:r w:rsidR="00517924" w:rsidRPr="00B677B4">
        <w:rPr>
          <w:rFonts w:asciiTheme="minorHAnsi" w:hAnsiTheme="minorHAnsi" w:cstheme="minorHAnsi"/>
          <w:sz w:val="22"/>
          <w:szCs w:val="22"/>
          <w:lang w:val="en-GB"/>
        </w:rPr>
        <w:t xml:space="preserve">There is a sense that the </w:t>
      </w:r>
      <w:r w:rsidR="00517924" w:rsidRPr="00517924">
        <w:rPr>
          <w:rFonts w:asciiTheme="minorHAnsi" w:hAnsiTheme="minorHAnsi" w:cstheme="minorHAnsi"/>
          <w:i/>
          <w:iCs/>
          <w:sz w:val="22"/>
          <w:szCs w:val="22"/>
          <w:lang w:val="en-GB"/>
        </w:rPr>
        <w:t>Gender and Diversity Workplace</w:t>
      </w:r>
      <w:r w:rsidR="00517924" w:rsidRPr="00B677B4">
        <w:rPr>
          <w:rFonts w:asciiTheme="minorHAnsi" w:hAnsiTheme="minorHAnsi" w:cstheme="minorHAnsi"/>
          <w:sz w:val="22"/>
          <w:szCs w:val="22"/>
          <w:lang w:val="en-GB"/>
        </w:rPr>
        <w:t xml:space="preserve"> e-Learning program (7 modules) is making a difference in the sector. The Ministry of Mining is advocating for use of this training (in line with its own Gender policy).</w:t>
      </w:r>
    </w:p>
    <w:p w14:paraId="450813A5" w14:textId="3E35FDD0" w:rsidR="003C74CD" w:rsidRDefault="003C74CD" w:rsidP="009F4CB5">
      <w:pPr>
        <w:pStyle w:val="Default"/>
        <w:spacing w:line="276" w:lineRule="auto"/>
        <w:rPr>
          <w:rFonts w:asciiTheme="minorHAnsi" w:hAnsiTheme="minorHAnsi" w:cstheme="minorHAnsi"/>
          <w:sz w:val="22"/>
          <w:szCs w:val="22"/>
          <w:lang w:val="en-GB"/>
        </w:rPr>
      </w:pPr>
    </w:p>
    <w:p w14:paraId="3635A1E4" w14:textId="1EDFDAE6" w:rsidR="003C74CD" w:rsidRDefault="003C74CD" w:rsidP="003C74CD">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Where possible AMEP II has integrated gender and inclusion</w:t>
      </w:r>
      <w:r w:rsidR="00517924">
        <w:rPr>
          <w:rFonts w:asciiTheme="minorHAnsi" w:hAnsiTheme="minorHAnsi" w:cstheme="minorHAnsi"/>
          <w:b/>
          <w:bCs/>
          <w:sz w:val="22"/>
          <w:szCs w:val="22"/>
          <w:lang w:val="en-GB"/>
        </w:rPr>
        <w:t xml:space="preserve"> into its planning and</w:t>
      </w:r>
      <w:r w:rsidRPr="00B677B4">
        <w:rPr>
          <w:rFonts w:asciiTheme="minorHAnsi" w:hAnsiTheme="minorHAnsi" w:cstheme="minorHAnsi"/>
          <w:b/>
          <w:bCs/>
          <w:sz w:val="22"/>
          <w:szCs w:val="22"/>
          <w:lang w:val="en-GB"/>
        </w:rPr>
        <w:t xml:space="preserve"> </w:t>
      </w:r>
      <w:r w:rsidR="00517924">
        <w:rPr>
          <w:rFonts w:asciiTheme="minorHAnsi" w:hAnsiTheme="minorHAnsi" w:cstheme="minorHAnsi"/>
          <w:b/>
          <w:bCs/>
          <w:sz w:val="22"/>
          <w:szCs w:val="22"/>
          <w:lang w:val="en-GB"/>
        </w:rPr>
        <w:t>reporting</w:t>
      </w:r>
      <w:r w:rsidRPr="00B677B4">
        <w:rPr>
          <w:rFonts w:asciiTheme="minorHAnsi" w:hAnsiTheme="minorHAnsi" w:cstheme="minorHAnsi"/>
          <w:sz w:val="22"/>
          <w:szCs w:val="22"/>
          <w:lang w:val="en-GB"/>
        </w:rPr>
        <w:t>. Whilst the</w:t>
      </w:r>
      <w:r w:rsidR="00517924">
        <w:rPr>
          <w:rFonts w:asciiTheme="minorHAnsi" w:hAnsiTheme="minorHAnsi" w:cstheme="minorHAnsi"/>
          <w:sz w:val="22"/>
          <w:szCs w:val="22"/>
          <w:lang w:val="en-GB"/>
        </w:rPr>
        <w:t xml:space="preserve"> technical nature of many of AMEP II’s act</w:t>
      </w:r>
      <w:r w:rsidR="00CF0FEC">
        <w:rPr>
          <w:rFonts w:asciiTheme="minorHAnsi" w:hAnsiTheme="minorHAnsi" w:cstheme="minorHAnsi"/>
          <w:sz w:val="22"/>
          <w:szCs w:val="22"/>
          <w:lang w:val="en-GB"/>
        </w:rPr>
        <w:t xml:space="preserve">ivities limit the program’s contribution to enhancing gender and inclusion within the sector, where feasible the program </w:t>
      </w:r>
      <w:r w:rsidR="00CB6C16">
        <w:rPr>
          <w:rFonts w:asciiTheme="minorHAnsi" w:hAnsiTheme="minorHAnsi" w:cstheme="minorHAnsi"/>
          <w:sz w:val="22"/>
          <w:szCs w:val="22"/>
          <w:lang w:val="en-GB"/>
        </w:rPr>
        <w:t>is</w:t>
      </w:r>
      <w:r w:rsidR="00CF0FEC">
        <w:rPr>
          <w:rFonts w:asciiTheme="minorHAnsi" w:hAnsiTheme="minorHAnsi" w:cstheme="minorHAnsi"/>
          <w:sz w:val="22"/>
          <w:szCs w:val="22"/>
          <w:lang w:val="en-GB"/>
        </w:rPr>
        <w:t xml:space="preserve"> actively creating</w:t>
      </w:r>
      <w:r w:rsidRPr="00B677B4">
        <w:rPr>
          <w:rFonts w:asciiTheme="minorHAnsi" w:hAnsiTheme="minorHAnsi" w:cstheme="minorHAnsi"/>
          <w:sz w:val="22"/>
          <w:szCs w:val="22"/>
          <w:lang w:val="en-GB"/>
        </w:rPr>
        <w:t xml:space="preserve"> opportunities to raise the profile of gender and inclusion</w:t>
      </w:r>
      <w:r w:rsidR="00CF0FEC">
        <w:rPr>
          <w:rFonts w:asciiTheme="minorHAnsi" w:hAnsiTheme="minorHAnsi" w:cstheme="minorHAnsi"/>
          <w:sz w:val="22"/>
          <w:szCs w:val="22"/>
          <w:lang w:val="en-GB"/>
        </w:rPr>
        <w:t>. T</w:t>
      </w:r>
      <w:r w:rsidRPr="00B677B4">
        <w:rPr>
          <w:rFonts w:asciiTheme="minorHAnsi" w:hAnsiTheme="minorHAnsi" w:cstheme="minorHAnsi"/>
          <w:sz w:val="22"/>
          <w:szCs w:val="22"/>
          <w:lang w:val="en-GB"/>
        </w:rPr>
        <w:t xml:space="preserve">he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 for instance, specifically requires those submitting a proposal to outline their approach to gender and inclusion. </w:t>
      </w:r>
      <w:r w:rsidR="00CF0FEC">
        <w:rPr>
          <w:rFonts w:asciiTheme="minorHAnsi" w:hAnsiTheme="minorHAnsi" w:cstheme="minorHAnsi"/>
          <w:sz w:val="22"/>
          <w:szCs w:val="22"/>
          <w:lang w:val="en-GB"/>
        </w:rPr>
        <w:t xml:space="preserve"> The work being done to enhance public participation in EIA specifically emphasises actions to include women and people with disability in the EIA process. </w:t>
      </w:r>
      <w:r w:rsidRPr="00B677B4">
        <w:rPr>
          <w:rFonts w:asciiTheme="minorHAnsi" w:hAnsiTheme="minorHAnsi" w:cstheme="minorHAnsi"/>
          <w:sz w:val="22"/>
          <w:szCs w:val="22"/>
          <w:lang w:val="en-GB"/>
        </w:rPr>
        <w:t>In the most recent workplan, for example, work is being done to create a framework, and accompanying tools, to monitor and evaluate gender and human rights issues in the sector.</w:t>
      </w:r>
      <w:r w:rsidR="00517924">
        <w:rPr>
          <w:rFonts w:asciiTheme="minorHAnsi" w:hAnsiTheme="minorHAnsi" w:cstheme="minorHAnsi"/>
          <w:sz w:val="22"/>
          <w:szCs w:val="22"/>
          <w:lang w:val="en-GB"/>
        </w:rPr>
        <w:t xml:space="preserve"> </w:t>
      </w:r>
      <w:r w:rsidR="00CF0FEC">
        <w:rPr>
          <w:rFonts w:asciiTheme="minorHAnsi" w:hAnsiTheme="minorHAnsi" w:cstheme="minorHAnsi"/>
          <w:sz w:val="22"/>
          <w:szCs w:val="22"/>
          <w:lang w:val="en-GB"/>
        </w:rPr>
        <w:t xml:space="preserve"> Reporting by the program is now disaggregated by gender, which makes it possible to determine the extent to which women are participating in activities supported by AMEP II. For instance,</w:t>
      </w:r>
    </w:p>
    <w:p w14:paraId="0B2F04EB" w14:textId="25DC5722" w:rsidR="00CF0FEC" w:rsidRDefault="00CF0FEC" w:rsidP="003C74CD">
      <w:pPr>
        <w:pStyle w:val="Default"/>
        <w:spacing w:line="276" w:lineRule="auto"/>
        <w:rPr>
          <w:rFonts w:asciiTheme="minorHAnsi" w:hAnsiTheme="minorHAnsi" w:cstheme="minorHAnsi"/>
          <w:sz w:val="22"/>
          <w:szCs w:val="22"/>
          <w:lang w:val="en-GB"/>
        </w:rPr>
      </w:pPr>
    </w:p>
    <w:p w14:paraId="69834A78" w14:textId="758FE1F8" w:rsidR="009420A3" w:rsidRDefault="009420A3" w:rsidP="00CF0FEC">
      <w:pPr>
        <w:pStyle w:val="Default"/>
        <w:numPr>
          <w:ilvl w:val="0"/>
          <w:numId w:val="41"/>
        </w:num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During 2010 – 2020 33% of those who participated in AMEP II activities were women (according to </w:t>
      </w:r>
      <w:proofErr w:type="spellStart"/>
      <w:r>
        <w:rPr>
          <w:rFonts w:asciiTheme="minorHAnsi" w:hAnsiTheme="minorHAnsi" w:cstheme="minorHAnsi"/>
          <w:sz w:val="22"/>
          <w:szCs w:val="22"/>
          <w:lang w:val="en-GB"/>
        </w:rPr>
        <w:t>GoM</w:t>
      </w:r>
      <w:proofErr w:type="spellEnd"/>
      <w:r>
        <w:rPr>
          <w:rFonts w:asciiTheme="minorHAnsi" w:hAnsiTheme="minorHAnsi" w:cstheme="minorHAnsi"/>
          <w:sz w:val="22"/>
          <w:szCs w:val="22"/>
          <w:lang w:val="en-GB"/>
        </w:rPr>
        <w:t xml:space="preserve"> statistics approximately 14.6% of registered workers in the sector are women).</w:t>
      </w:r>
    </w:p>
    <w:p w14:paraId="110769D4" w14:textId="2132D8AC" w:rsidR="00CF0FEC" w:rsidRDefault="00CF0FEC" w:rsidP="00CF0FEC">
      <w:pPr>
        <w:pStyle w:val="Default"/>
        <w:numPr>
          <w:ilvl w:val="0"/>
          <w:numId w:val="41"/>
        </w:num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Of </w:t>
      </w:r>
      <w:r w:rsidR="009420A3">
        <w:rPr>
          <w:rFonts w:asciiTheme="minorHAnsi" w:hAnsiTheme="minorHAnsi" w:cstheme="minorHAnsi"/>
          <w:sz w:val="22"/>
          <w:szCs w:val="22"/>
          <w:lang w:val="en-GB"/>
        </w:rPr>
        <w:t>those who participated</w:t>
      </w:r>
      <w:r>
        <w:rPr>
          <w:rFonts w:asciiTheme="minorHAnsi" w:hAnsiTheme="minorHAnsi" w:cstheme="minorHAnsi"/>
          <w:sz w:val="22"/>
          <w:szCs w:val="22"/>
          <w:lang w:val="en-GB"/>
        </w:rPr>
        <w:t xml:space="preserve"> in AMEP II activities in 2020 - 2021, 33% were women.</w:t>
      </w:r>
    </w:p>
    <w:p w14:paraId="2AB1011D" w14:textId="172C3BBA" w:rsidR="006E064B" w:rsidRPr="00CF0FEC" w:rsidRDefault="00CF0FEC" w:rsidP="006A4877">
      <w:pPr>
        <w:pStyle w:val="Default"/>
        <w:numPr>
          <w:ilvl w:val="0"/>
          <w:numId w:val="41"/>
        </w:num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In 2021 – 2022 32% of those who engaged in activities implemented by AMEP II’s partners were women.</w:t>
      </w:r>
    </w:p>
    <w:p w14:paraId="75872DE3" w14:textId="40CF6A3E" w:rsidR="00FB3C8F" w:rsidRDefault="00FB3C8F" w:rsidP="00B00A2A">
      <w:pPr>
        <w:rPr>
          <w:rFonts w:ascii="Arial" w:eastAsiaTheme="minorHAnsi" w:hAnsi="Arial" w:cs="Arial"/>
          <w:sz w:val="18"/>
          <w:szCs w:val="18"/>
          <w:lang w:eastAsia="en-US"/>
        </w:rPr>
      </w:pPr>
    </w:p>
    <w:p w14:paraId="79715150" w14:textId="77777777" w:rsidR="003668F5" w:rsidRPr="00B11D12" w:rsidRDefault="003668F5" w:rsidP="003668F5">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B11D12">
        <w:rPr>
          <w:rFonts w:asciiTheme="minorHAnsi" w:eastAsiaTheme="minorHAnsi" w:hAnsiTheme="minorHAnsi" w:cstheme="minorHAnsi"/>
          <w:b/>
          <w:bCs/>
          <w:sz w:val="22"/>
          <w:szCs w:val="22"/>
          <w:lang w:eastAsia="en-US"/>
        </w:rPr>
        <w:t>Conclusion #</w:t>
      </w:r>
      <w:r>
        <w:rPr>
          <w:rFonts w:asciiTheme="minorHAnsi" w:eastAsiaTheme="minorHAnsi" w:hAnsiTheme="minorHAnsi" w:cstheme="minorHAnsi"/>
          <w:b/>
          <w:bCs/>
          <w:sz w:val="22"/>
          <w:szCs w:val="22"/>
          <w:lang w:eastAsia="en-US"/>
        </w:rPr>
        <w:t>3</w:t>
      </w:r>
      <w:r w:rsidRPr="00B11D12">
        <w:rPr>
          <w:rFonts w:asciiTheme="minorHAnsi" w:eastAsiaTheme="minorHAnsi" w:hAnsiTheme="minorHAnsi" w:cstheme="minorHAnsi"/>
          <w:b/>
          <w:bCs/>
          <w:sz w:val="22"/>
          <w:szCs w:val="22"/>
          <w:lang w:eastAsia="en-US"/>
        </w:rPr>
        <w:t>:</w:t>
      </w:r>
    </w:p>
    <w:p w14:paraId="0B4956F0"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cstheme="minorHAnsi"/>
          <w:sz w:val="22"/>
          <w:szCs w:val="22"/>
        </w:rPr>
      </w:pPr>
      <w:r>
        <w:rPr>
          <w:rFonts w:cstheme="minorHAnsi"/>
          <w:sz w:val="22"/>
          <w:szCs w:val="22"/>
        </w:rPr>
        <w:t xml:space="preserve">Once AMEP II have produced a short list of priorities, they then </w:t>
      </w:r>
      <w:proofErr w:type="gramStart"/>
      <w:r>
        <w:rPr>
          <w:rFonts w:cstheme="minorHAnsi"/>
          <w:sz w:val="22"/>
          <w:szCs w:val="22"/>
        </w:rPr>
        <w:t>make a selection</w:t>
      </w:r>
      <w:proofErr w:type="gramEnd"/>
      <w:r>
        <w:rPr>
          <w:rFonts w:cstheme="minorHAnsi"/>
          <w:sz w:val="22"/>
          <w:szCs w:val="22"/>
        </w:rPr>
        <w:t xml:space="preserve"> from the list, but do not make it clear how are they prioritising these priorities. Stakeholders are thus unclear how decisions are made, which creates unnecessary concerns about the selection process.</w:t>
      </w:r>
    </w:p>
    <w:p w14:paraId="1798E5D2"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cstheme="minorHAnsi"/>
          <w:sz w:val="22"/>
          <w:szCs w:val="22"/>
        </w:rPr>
      </w:pPr>
    </w:p>
    <w:p w14:paraId="5FB55858" w14:textId="77777777" w:rsidR="003668F5" w:rsidRPr="004F0C2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sidRPr="008E5220">
        <w:rPr>
          <w:rFonts w:asciiTheme="minorHAnsi" w:hAnsiTheme="minorHAnsi" w:cstheme="minorHAnsi"/>
          <w:b/>
          <w:bCs/>
          <w:sz w:val="22"/>
          <w:szCs w:val="22"/>
        </w:rPr>
        <w:t>Recommendation</w:t>
      </w:r>
      <w:r>
        <w:rPr>
          <w:rFonts w:asciiTheme="minorHAnsi" w:hAnsiTheme="minorHAnsi" w:cstheme="minorHAnsi"/>
          <w:b/>
          <w:bCs/>
          <w:sz w:val="22"/>
          <w:szCs w:val="22"/>
        </w:rPr>
        <w:t xml:space="preserve"> #2:</w:t>
      </w:r>
      <w:r w:rsidRPr="008E5220">
        <w:rPr>
          <w:rFonts w:asciiTheme="minorHAnsi" w:hAnsiTheme="minorHAnsi" w:cstheme="minorHAnsi"/>
          <w:b/>
          <w:bCs/>
          <w:sz w:val="22"/>
          <w:szCs w:val="22"/>
        </w:rPr>
        <w:t xml:space="preserve"> </w:t>
      </w:r>
      <w:r w:rsidRPr="008E5220">
        <w:rPr>
          <w:rFonts w:asciiTheme="minorHAnsi" w:hAnsiTheme="minorHAnsi" w:cstheme="minorHAnsi"/>
          <w:sz w:val="22"/>
          <w:szCs w:val="22"/>
        </w:rPr>
        <w:t xml:space="preserve">  </w:t>
      </w:r>
      <w:r w:rsidRPr="00B677B4">
        <w:rPr>
          <w:rFonts w:asciiTheme="minorHAnsi" w:hAnsiTheme="minorHAnsi" w:cstheme="minorHAnsi"/>
          <w:sz w:val="22"/>
          <w:szCs w:val="22"/>
          <w:lang w:val="en-GB"/>
        </w:rPr>
        <w:t xml:space="preserve">AMEP II needs to be transparent about the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w:t>
      </w:r>
      <w:r>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i.e. be clear about the selection process, ensure selection is an inclusive process drawing on </w:t>
      </w:r>
      <w:r>
        <w:rPr>
          <w:rFonts w:asciiTheme="minorHAnsi" w:hAnsiTheme="minorHAnsi" w:cstheme="minorHAnsi"/>
          <w:sz w:val="22"/>
          <w:szCs w:val="22"/>
          <w:lang w:val="en-GB"/>
        </w:rPr>
        <w:t>a wide range of</w:t>
      </w:r>
      <w:r w:rsidRPr="00B677B4">
        <w:rPr>
          <w:rFonts w:asciiTheme="minorHAnsi" w:hAnsiTheme="minorHAnsi" w:cstheme="minorHAnsi"/>
          <w:sz w:val="22"/>
          <w:szCs w:val="22"/>
          <w:lang w:val="en-GB"/>
        </w:rPr>
        <w:t xml:space="preserve"> all stakeholders,</w:t>
      </w:r>
      <w:r>
        <w:rPr>
          <w:rFonts w:asciiTheme="minorHAnsi" w:hAnsiTheme="minorHAnsi" w:cstheme="minorHAnsi"/>
          <w:sz w:val="22"/>
          <w:szCs w:val="22"/>
          <w:lang w:val="en-GB"/>
        </w:rPr>
        <w:t xml:space="preserve"> and</w:t>
      </w:r>
      <w:r w:rsidRPr="00B677B4">
        <w:rPr>
          <w:rFonts w:asciiTheme="minorHAnsi" w:hAnsiTheme="minorHAnsi" w:cstheme="minorHAnsi"/>
          <w:sz w:val="22"/>
          <w:szCs w:val="22"/>
          <w:lang w:val="en-GB"/>
        </w:rPr>
        <w:t xml:space="preserve"> provide follow-up information to applicants, especially those whose proposals were rejected</w:t>
      </w:r>
      <w:r>
        <w:rPr>
          <w:rFonts w:asciiTheme="minorHAnsi" w:hAnsiTheme="minorHAnsi" w:cstheme="minorHAnsi"/>
          <w:sz w:val="22"/>
          <w:szCs w:val="22"/>
          <w:lang w:val="en-GB"/>
        </w:rPr>
        <w:t>)</w:t>
      </w:r>
      <w:r w:rsidRPr="00B677B4">
        <w:rPr>
          <w:rFonts w:asciiTheme="minorHAnsi" w:hAnsiTheme="minorHAnsi" w:cstheme="minorHAnsi"/>
          <w:sz w:val="22"/>
          <w:szCs w:val="22"/>
          <w:lang w:val="en-GB"/>
        </w:rPr>
        <w:t xml:space="preserve">. A regular follow-up on the selection process for all stakeholders including applicants would ensure transparency and build further trust with stakeholders. </w:t>
      </w:r>
      <w:r>
        <w:rPr>
          <w:rFonts w:asciiTheme="minorHAnsi" w:hAnsiTheme="minorHAnsi" w:cstheme="minorHAnsi"/>
          <w:sz w:val="22"/>
          <w:szCs w:val="22"/>
          <w:lang w:val="en-GB"/>
        </w:rPr>
        <w:t xml:space="preserve">By demonstrating it is </w:t>
      </w:r>
      <w:r>
        <w:rPr>
          <w:rFonts w:asciiTheme="minorHAnsi" w:hAnsiTheme="minorHAnsi" w:cstheme="minorHAnsi"/>
          <w:sz w:val="22"/>
          <w:szCs w:val="22"/>
          <w:lang w:val="en-GB"/>
        </w:rPr>
        <w:lastRenderedPageBreak/>
        <w:t xml:space="preserve">accountable the program will </w:t>
      </w:r>
      <w:r w:rsidRPr="00B677B4">
        <w:rPr>
          <w:rFonts w:asciiTheme="minorHAnsi" w:hAnsiTheme="minorHAnsi" w:cstheme="minorHAnsi"/>
          <w:sz w:val="22"/>
          <w:szCs w:val="22"/>
          <w:lang w:val="en-GB"/>
        </w:rPr>
        <w:t xml:space="preserve">also address CSO concerns </w:t>
      </w:r>
      <w:r>
        <w:rPr>
          <w:rFonts w:asciiTheme="minorHAnsi" w:hAnsiTheme="minorHAnsi" w:cstheme="minorHAnsi"/>
          <w:sz w:val="22"/>
          <w:szCs w:val="22"/>
          <w:lang w:val="en-GB"/>
        </w:rPr>
        <w:t>about a perceived lack of</w:t>
      </w:r>
      <w:r w:rsidRPr="00B677B4">
        <w:rPr>
          <w:rFonts w:asciiTheme="minorHAnsi" w:hAnsiTheme="minorHAnsi" w:cstheme="minorHAnsi"/>
          <w:sz w:val="22"/>
          <w:szCs w:val="22"/>
          <w:lang w:val="en-GB"/>
        </w:rPr>
        <w:t xml:space="preserve"> transparency. To enhance its role in the sector AMEP II should continue to ensure that decisions made (especially those related to project selection) are transparent, and that it communicates its decision making clearly to stakeholders. </w:t>
      </w:r>
      <w:r>
        <w:rPr>
          <w:rFonts w:asciiTheme="minorHAnsi" w:hAnsiTheme="minorHAnsi" w:cstheme="minorHAnsi"/>
          <w:sz w:val="22"/>
          <w:szCs w:val="22"/>
          <w:lang w:val="en-GB"/>
        </w:rPr>
        <w:t xml:space="preserve">The program should consider including independent members of the Advisory Committee, and representation from MMHI and CSOs, in the selection process. This will further enhance transparency and trust-building with different stakeholder groups. </w:t>
      </w:r>
    </w:p>
    <w:p w14:paraId="4B0B0481" w14:textId="77777777" w:rsidR="003668F5" w:rsidRDefault="003668F5" w:rsidP="003668F5">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p>
    <w:p w14:paraId="00B8AF38" w14:textId="77777777" w:rsidR="003668F5" w:rsidRPr="00B11D12" w:rsidRDefault="003668F5" w:rsidP="003668F5">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B11D12">
        <w:rPr>
          <w:rFonts w:asciiTheme="minorHAnsi" w:eastAsiaTheme="minorHAnsi" w:hAnsiTheme="minorHAnsi" w:cstheme="minorHAnsi"/>
          <w:b/>
          <w:bCs/>
          <w:sz w:val="22"/>
          <w:szCs w:val="22"/>
          <w:lang w:eastAsia="en-US"/>
        </w:rPr>
        <w:t>Conclusion #</w:t>
      </w:r>
      <w:r>
        <w:rPr>
          <w:rFonts w:asciiTheme="minorHAnsi" w:eastAsiaTheme="minorHAnsi" w:hAnsiTheme="minorHAnsi" w:cstheme="minorHAnsi"/>
          <w:b/>
          <w:bCs/>
          <w:sz w:val="22"/>
          <w:szCs w:val="22"/>
          <w:lang w:eastAsia="en-US"/>
        </w:rPr>
        <w:t>4</w:t>
      </w:r>
      <w:r w:rsidRPr="00B11D12">
        <w:rPr>
          <w:rFonts w:asciiTheme="minorHAnsi" w:eastAsiaTheme="minorHAnsi" w:hAnsiTheme="minorHAnsi" w:cstheme="minorHAnsi"/>
          <w:b/>
          <w:bCs/>
          <w:sz w:val="22"/>
          <w:szCs w:val="22"/>
          <w:lang w:eastAsia="en-US"/>
        </w:rPr>
        <w:t>:</w:t>
      </w:r>
    </w:p>
    <w:p w14:paraId="4826AF77"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cstheme="minorHAnsi"/>
          <w:sz w:val="22"/>
          <w:szCs w:val="22"/>
        </w:rPr>
      </w:pPr>
      <w:r>
        <w:rPr>
          <w:rFonts w:cstheme="minorHAnsi"/>
          <w:sz w:val="22"/>
          <w:szCs w:val="22"/>
        </w:rPr>
        <w:t>Quality and utility of outputs is not yet fully recognised in the sector, this inhibits stakeholders recognising the value of the program, and also means that stakeholders do not fully appreciate what the program has delivered. There needs to be greater visibility on these different activities, and the extent to which they have added value to the program.</w:t>
      </w:r>
    </w:p>
    <w:p w14:paraId="0F2643F2"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cstheme="minorHAnsi"/>
          <w:sz w:val="22"/>
          <w:szCs w:val="22"/>
        </w:rPr>
      </w:pPr>
    </w:p>
    <w:p w14:paraId="4A096671"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cstheme="minorHAnsi"/>
          <w:sz w:val="22"/>
          <w:szCs w:val="22"/>
        </w:rPr>
      </w:pPr>
      <w:r w:rsidRPr="006A4877">
        <w:rPr>
          <w:rFonts w:cstheme="minorHAnsi"/>
          <w:b/>
          <w:bCs/>
          <w:sz w:val="22"/>
          <w:szCs w:val="22"/>
        </w:rPr>
        <w:t>Recommendation</w:t>
      </w:r>
      <w:r>
        <w:rPr>
          <w:rFonts w:cstheme="minorHAnsi"/>
          <w:b/>
          <w:bCs/>
          <w:sz w:val="22"/>
          <w:szCs w:val="22"/>
        </w:rPr>
        <w:t xml:space="preserve"> #3</w:t>
      </w:r>
      <w:r>
        <w:rPr>
          <w:rFonts w:cstheme="minorHAnsi"/>
          <w:sz w:val="22"/>
          <w:szCs w:val="22"/>
        </w:rPr>
        <w:t xml:space="preserve"> </w:t>
      </w:r>
      <w:r w:rsidRPr="00B677B4">
        <w:rPr>
          <w:rFonts w:asciiTheme="minorHAnsi" w:hAnsiTheme="minorHAnsi" w:cstheme="minorHAnsi"/>
          <w:sz w:val="22"/>
          <w:szCs w:val="22"/>
          <w:lang w:val="en-GB"/>
        </w:rPr>
        <w:t xml:space="preserve">If the direct outputs of AMEP II can be made </w:t>
      </w:r>
      <w:r>
        <w:rPr>
          <w:rFonts w:asciiTheme="minorHAnsi" w:hAnsiTheme="minorHAnsi" w:cstheme="minorHAnsi"/>
          <w:sz w:val="22"/>
          <w:szCs w:val="22"/>
          <w:lang w:val="en-GB"/>
        </w:rPr>
        <w:t>accessible</w:t>
      </w:r>
      <w:r w:rsidRPr="00B677B4">
        <w:rPr>
          <w:rFonts w:asciiTheme="minorHAnsi" w:hAnsiTheme="minorHAnsi" w:cstheme="minorHAnsi"/>
          <w:sz w:val="22"/>
          <w:szCs w:val="22"/>
          <w:lang w:val="en-GB"/>
        </w:rPr>
        <w:t xml:space="preserve"> to a broader audience (as far as is feasible) it </w:t>
      </w:r>
      <w:r>
        <w:rPr>
          <w:rFonts w:asciiTheme="minorHAnsi" w:hAnsiTheme="minorHAnsi" w:cstheme="minorHAnsi"/>
          <w:sz w:val="22"/>
          <w:szCs w:val="22"/>
          <w:lang w:val="en-GB"/>
        </w:rPr>
        <w:t>will support its awareness raising efforts with regards to the necessary reforms needed in the sector and ensure greater recognition of what the program has delivered to date</w:t>
      </w:r>
      <w:r w:rsidRPr="00B677B4">
        <w:rPr>
          <w:rFonts w:asciiTheme="minorHAnsi" w:hAnsiTheme="minorHAnsi" w:cstheme="minorHAnsi"/>
          <w:sz w:val="22"/>
          <w:szCs w:val="22"/>
          <w:lang w:val="en-GB"/>
        </w:rPr>
        <w:t xml:space="preserve">. </w:t>
      </w:r>
      <w:r>
        <w:rPr>
          <w:rFonts w:asciiTheme="minorHAnsi" w:hAnsiTheme="minorHAnsi" w:cstheme="minorHAnsi"/>
          <w:sz w:val="22"/>
          <w:szCs w:val="22"/>
          <w:lang w:val="en-GB"/>
        </w:rPr>
        <w:t>Increasing access to its outputs</w:t>
      </w:r>
      <w:r w:rsidRPr="00B677B4">
        <w:rPr>
          <w:rFonts w:asciiTheme="minorHAnsi" w:hAnsiTheme="minorHAnsi" w:cstheme="minorHAnsi"/>
          <w:sz w:val="22"/>
          <w:szCs w:val="22"/>
          <w:lang w:val="en-GB"/>
        </w:rPr>
        <w:t xml:space="preserve"> could also </w:t>
      </w:r>
      <w:r>
        <w:rPr>
          <w:rFonts w:asciiTheme="minorHAnsi" w:hAnsiTheme="minorHAnsi" w:cstheme="minorHAnsi"/>
          <w:sz w:val="22"/>
          <w:szCs w:val="22"/>
          <w:lang w:val="en-GB"/>
        </w:rPr>
        <w:t>strengthen</w:t>
      </w:r>
      <w:r w:rsidRPr="00B677B4">
        <w:rPr>
          <w:rFonts w:asciiTheme="minorHAnsi" w:hAnsiTheme="minorHAnsi" w:cstheme="minorHAnsi"/>
          <w:sz w:val="22"/>
          <w:szCs w:val="22"/>
          <w:lang w:val="en-GB"/>
        </w:rPr>
        <w:t xml:space="preserve"> the program’s accountability within the eyes of relevant government institutions</w:t>
      </w:r>
      <w:r>
        <w:rPr>
          <w:rFonts w:asciiTheme="minorHAnsi" w:hAnsiTheme="minorHAnsi" w:cstheme="minorHAnsi"/>
          <w:sz w:val="22"/>
          <w:szCs w:val="22"/>
          <w:lang w:val="en-GB"/>
        </w:rPr>
        <w:t xml:space="preserve"> and other key stakeholders</w:t>
      </w:r>
      <w:r>
        <w:rPr>
          <w:rFonts w:cstheme="minorHAnsi"/>
          <w:sz w:val="22"/>
          <w:szCs w:val="22"/>
        </w:rPr>
        <w:t>.</w:t>
      </w:r>
    </w:p>
    <w:p w14:paraId="65ABDA7C" w14:textId="77777777" w:rsidR="003668F5" w:rsidRDefault="003668F5" w:rsidP="003668F5">
      <w:pPr>
        <w:pStyle w:val="Default"/>
        <w:pBdr>
          <w:top w:val="single" w:sz="4" w:space="1" w:color="auto"/>
          <w:left w:val="single" w:sz="4" w:space="4" w:color="auto"/>
          <w:bottom w:val="single" w:sz="4" w:space="1" w:color="auto"/>
          <w:right w:val="single" w:sz="4" w:space="4" w:color="auto"/>
        </w:pBdr>
        <w:spacing w:line="276" w:lineRule="auto"/>
        <w:rPr>
          <w:rFonts w:cstheme="minorHAnsi"/>
          <w:sz w:val="22"/>
          <w:szCs w:val="22"/>
        </w:rPr>
      </w:pPr>
    </w:p>
    <w:p w14:paraId="0CE9B44C" w14:textId="77777777" w:rsidR="003668F5" w:rsidRDefault="003668F5" w:rsidP="003668F5">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B11D12">
        <w:rPr>
          <w:rFonts w:asciiTheme="minorHAnsi" w:eastAsiaTheme="minorHAnsi" w:hAnsiTheme="minorHAnsi" w:cstheme="minorHAnsi"/>
          <w:b/>
          <w:bCs/>
          <w:sz w:val="22"/>
          <w:szCs w:val="22"/>
          <w:lang w:eastAsia="en-US"/>
        </w:rPr>
        <w:t>Conclusion #</w:t>
      </w:r>
      <w:r>
        <w:rPr>
          <w:rFonts w:asciiTheme="minorHAnsi" w:eastAsiaTheme="minorHAnsi" w:hAnsiTheme="minorHAnsi" w:cstheme="minorHAnsi"/>
          <w:b/>
          <w:bCs/>
          <w:sz w:val="22"/>
          <w:szCs w:val="22"/>
          <w:lang w:eastAsia="en-US"/>
        </w:rPr>
        <w:t>5</w:t>
      </w:r>
      <w:r w:rsidRPr="00B11D12">
        <w:rPr>
          <w:rFonts w:asciiTheme="minorHAnsi" w:eastAsiaTheme="minorHAnsi" w:hAnsiTheme="minorHAnsi" w:cstheme="minorHAnsi"/>
          <w:b/>
          <w:bCs/>
          <w:sz w:val="22"/>
          <w:szCs w:val="22"/>
          <w:lang w:eastAsia="en-US"/>
        </w:rPr>
        <w:t>:</w:t>
      </w:r>
      <w:r>
        <w:rPr>
          <w:rFonts w:asciiTheme="minorHAnsi" w:eastAsiaTheme="minorHAnsi" w:hAnsiTheme="minorHAnsi" w:cstheme="minorHAnsi"/>
          <w:b/>
          <w:bCs/>
          <w:sz w:val="22"/>
          <w:szCs w:val="22"/>
          <w:lang w:eastAsia="en-US"/>
        </w:rPr>
        <w:t xml:space="preserve"> </w:t>
      </w:r>
    </w:p>
    <w:p w14:paraId="7CB674A3" w14:textId="77777777" w:rsidR="003668F5" w:rsidRPr="00CB6C16" w:rsidRDefault="003668F5" w:rsidP="003668F5">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color w:val="000000"/>
          <w:sz w:val="22"/>
          <w:szCs w:val="22"/>
          <w:lang w:eastAsia="en-US"/>
        </w:rPr>
      </w:pPr>
      <w:r w:rsidRPr="002325E6">
        <w:rPr>
          <w:rFonts w:asciiTheme="minorHAnsi" w:eastAsiaTheme="minorHAnsi" w:hAnsiTheme="minorHAnsi" w:cstheme="minorHAnsi"/>
          <w:color w:val="000000"/>
          <w:sz w:val="22"/>
          <w:szCs w:val="22"/>
          <w:lang w:eastAsia="en-US"/>
        </w:rPr>
        <w:t>There is a growing acknowledgement within the program, that gender and social inclusion require a much stronger focus in the program</w:t>
      </w:r>
      <w:r>
        <w:rPr>
          <w:rFonts w:asciiTheme="minorHAnsi" w:eastAsiaTheme="minorHAnsi" w:hAnsiTheme="minorHAnsi" w:cstheme="minorHAnsi"/>
          <w:color w:val="000000"/>
          <w:sz w:val="22"/>
          <w:szCs w:val="22"/>
          <w:lang w:eastAsia="en-US"/>
        </w:rPr>
        <w:t xml:space="preserve">. Whilst the program has taken steps to ensure its planning and reporting are underpinned by gender and inclusion considerations, there is also a realistic view that the </w:t>
      </w:r>
      <w:r w:rsidRPr="00517924">
        <w:rPr>
          <w:rFonts w:asciiTheme="minorHAnsi" w:hAnsiTheme="minorHAnsi" w:cstheme="minorHAnsi"/>
          <w:sz w:val="22"/>
          <w:szCs w:val="22"/>
        </w:rPr>
        <w:t>issue requires sustained and concerted effort</w:t>
      </w:r>
      <w:r>
        <w:rPr>
          <w:rFonts w:asciiTheme="minorHAnsi" w:eastAsiaTheme="minorHAnsi" w:hAnsiTheme="minorHAnsi" w:cstheme="minorHAnsi"/>
          <w:color w:val="000000"/>
          <w:sz w:val="22"/>
          <w:szCs w:val="22"/>
          <w:lang w:eastAsia="en-US"/>
        </w:rPr>
        <w:t xml:space="preserve"> from all within the sector. AMEP II will need to continue to ensure it actively advocates for greater prominence of gender and inclusion in all the activities it supports.</w:t>
      </w:r>
    </w:p>
    <w:p w14:paraId="702B9FC4" w14:textId="77777777" w:rsidR="003668F5" w:rsidRPr="00B677B4" w:rsidRDefault="003668F5" w:rsidP="00B00A2A">
      <w:pPr>
        <w:rPr>
          <w:rFonts w:ascii="Arial" w:eastAsiaTheme="minorHAnsi" w:hAnsi="Arial" w:cs="Arial"/>
          <w:sz w:val="18"/>
          <w:szCs w:val="18"/>
          <w:lang w:eastAsia="en-US"/>
        </w:rPr>
      </w:pPr>
    </w:p>
    <w:p w14:paraId="1B81D98F" w14:textId="5F83FDFE" w:rsidR="00FB3C8F" w:rsidRPr="00B677B4" w:rsidRDefault="00FB3C8F" w:rsidP="00B00A2A">
      <w:pPr>
        <w:rPr>
          <w:rFonts w:ascii="Arial" w:eastAsiaTheme="minorHAnsi" w:hAnsi="Arial" w:cs="Arial"/>
          <w:sz w:val="18"/>
          <w:szCs w:val="18"/>
          <w:lang w:eastAsia="en-US"/>
        </w:rPr>
      </w:pPr>
    </w:p>
    <w:p w14:paraId="65B3D835" w14:textId="6EED8976" w:rsidR="00FB3C8F" w:rsidRPr="00C8767A" w:rsidRDefault="00FB3C8F" w:rsidP="00FB3C8F">
      <w:pPr>
        <w:pStyle w:val="Subheading"/>
        <w:rPr>
          <w:lang w:val="en-GB"/>
        </w:rPr>
      </w:pPr>
      <w:r w:rsidRPr="00C8767A">
        <w:rPr>
          <w:lang w:val="en-GB"/>
        </w:rPr>
        <w:t>EQ 3. To what extent is AMEP II doing things right?</w:t>
      </w:r>
    </w:p>
    <w:p w14:paraId="6E1FA3F2" w14:textId="77777777" w:rsidR="00B82F33" w:rsidRPr="00B677B4" w:rsidRDefault="00B82F33" w:rsidP="00B82F33">
      <w:pPr>
        <w:pStyle w:val="Default"/>
        <w:rPr>
          <w:rFonts w:asciiTheme="minorHAnsi" w:hAnsiTheme="minorHAnsi" w:cstheme="minorHAnsi"/>
          <w:b/>
          <w:bCs/>
          <w:sz w:val="22"/>
          <w:szCs w:val="22"/>
          <w:lang w:val="en-GB"/>
        </w:rPr>
      </w:pPr>
    </w:p>
    <w:p w14:paraId="7B25BB69" w14:textId="77777777" w:rsidR="005F69C1" w:rsidRPr="00B677B4" w:rsidRDefault="008A1505" w:rsidP="00B82F33">
      <w:pPr>
        <w:pStyle w:val="Default"/>
        <w:rPr>
          <w:rFonts w:asciiTheme="minorHAnsi" w:hAnsiTheme="minorHAnsi" w:cstheme="minorHAnsi"/>
          <w:sz w:val="22"/>
          <w:szCs w:val="22"/>
          <w:lang w:val="en-GB"/>
        </w:rPr>
      </w:pPr>
      <w:r w:rsidRPr="00B677B4">
        <w:rPr>
          <w:rFonts w:asciiTheme="minorHAnsi" w:hAnsiTheme="minorHAnsi" w:cstheme="minorHAnsi"/>
          <w:b/>
          <w:bCs/>
          <w:sz w:val="22"/>
          <w:szCs w:val="22"/>
          <w:lang w:val="en-GB"/>
        </w:rPr>
        <w:t>AMEP II is getting the balance right between consolidating</w:t>
      </w:r>
      <w:r w:rsidR="00B82F33" w:rsidRPr="00B677B4">
        <w:rPr>
          <w:rFonts w:asciiTheme="minorHAnsi" w:hAnsiTheme="minorHAnsi" w:cstheme="minorHAnsi"/>
          <w:b/>
          <w:bCs/>
          <w:sz w:val="22"/>
          <w:szCs w:val="22"/>
          <w:lang w:val="en-GB"/>
        </w:rPr>
        <w:t xml:space="preserve"> and </w:t>
      </w:r>
      <w:r w:rsidRPr="00B677B4">
        <w:rPr>
          <w:rFonts w:asciiTheme="minorHAnsi" w:hAnsiTheme="minorHAnsi" w:cstheme="minorHAnsi"/>
          <w:b/>
          <w:bCs/>
          <w:sz w:val="22"/>
          <w:szCs w:val="22"/>
          <w:lang w:val="en-GB"/>
        </w:rPr>
        <w:t xml:space="preserve">building on activities it has been doing for </w:t>
      </w:r>
      <w:proofErr w:type="gramStart"/>
      <w:r w:rsidRPr="00B677B4">
        <w:rPr>
          <w:rFonts w:asciiTheme="minorHAnsi" w:hAnsiTheme="minorHAnsi" w:cstheme="minorHAnsi"/>
          <w:b/>
          <w:bCs/>
          <w:sz w:val="22"/>
          <w:szCs w:val="22"/>
          <w:lang w:val="en-GB"/>
        </w:rPr>
        <w:t>a number of</w:t>
      </w:r>
      <w:proofErr w:type="gramEnd"/>
      <w:r w:rsidRPr="00B677B4">
        <w:rPr>
          <w:rFonts w:asciiTheme="minorHAnsi" w:hAnsiTheme="minorHAnsi" w:cstheme="minorHAnsi"/>
          <w:b/>
          <w:bCs/>
          <w:sz w:val="22"/>
          <w:szCs w:val="22"/>
          <w:lang w:val="en-GB"/>
        </w:rPr>
        <w:t xml:space="preserve"> years. </w:t>
      </w:r>
      <w:r w:rsidRPr="00B677B4">
        <w:rPr>
          <w:rFonts w:asciiTheme="minorHAnsi" w:hAnsiTheme="minorHAnsi" w:cstheme="minorHAnsi"/>
          <w:sz w:val="22"/>
          <w:szCs w:val="22"/>
          <w:lang w:val="en-GB"/>
        </w:rPr>
        <w:t>AMEP’s ongoing engagement with MONVAL</w:t>
      </w:r>
      <w:r w:rsidR="005F69C1" w:rsidRPr="00B677B4">
        <w:rPr>
          <w:rFonts w:asciiTheme="minorHAnsi" w:hAnsiTheme="minorHAnsi" w:cstheme="minorHAnsi"/>
          <w:sz w:val="22"/>
          <w:szCs w:val="22"/>
          <w:lang w:val="en-GB"/>
        </w:rPr>
        <w:t xml:space="preserve">, </w:t>
      </w:r>
      <w:proofErr w:type="gramStart"/>
      <w:r w:rsidR="005F69C1" w:rsidRPr="00B677B4">
        <w:rPr>
          <w:rFonts w:asciiTheme="minorHAnsi" w:hAnsiTheme="minorHAnsi" w:cstheme="minorHAnsi"/>
          <w:sz w:val="22"/>
          <w:szCs w:val="22"/>
          <w:lang w:val="en-GB"/>
        </w:rPr>
        <w:t>and also</w:t>
      </w:r>
      <w:proofErr w:type="gramEnd"/>
      <w:r w:rsidR="005F69C1" w:rsidRPr="00B677B4">
        <w:rPr>
          <w:rFonts w:asciiTheme="minorHAnsi" w:hAnsiTheme="minorHAnsi" w:cstheme="minorHAnsi"/>
          <w:sz w:val="22"/>
          <w:szCs w:val="22"/>
          <w:lang w:val="en-GB"/>
        </w:rPr>
        <w:t xml:space="preserve"> the work the program continues to support in the geoscience area,</w:t>
      </w:r>
      <w:r w:rsidRPr="00B677B4">
        <w:rPr>
          <w:rFonts w:asciiTheme="minorHAnsi" w:hAnsiTheme="minorHAnsi" w:cstheme="minorHAnsi"/>
          <w:sz w:val="22"/>
          <w:szCs w:val="22"/>
          <w:lang w:val="en-GB"/>
        </w:rPr>
        <w:t xml:space="preserve"> </w:t>
      </w:r>
      <w:r w:rsidR="005F69C1" w:rsidRPr="00B677B4">
        <w:rPr>
          <w:rFonts w:asciiTheme="minorHAnsi" w:hAnsiTheme="minorHAnsi" w:cstheme="minorHAnsi"/>
          <w:sz w:val="22"/>
          <w:szCs w:val="22"/>
          <w:lang w:val="en-GB"/>
        </w:rPr>
        <w:t>are</w:t>
      </w:r>
      <w:r w:rsidRPr="00B677B4">
        <w:rPr>
          <w:rFonts w:asciiTheme="minorHAnsi" w:hAnsiTheme="minorHAnsi" w:cstheme="minorHAnsi"/>
          <w:sz w:val="22"/>
          <w:szCs w:val="22"/>
          <w:lang w:val="en-GB"/>
        </w:rPr>
        <w:t xml:space="preserve"> good example of </w:t>
      </w:r>
      <w:r w:rsidR="005F69C1" w:rsidRPr="00B677B4">
        <w:rPr>
          <w:rFonts w:asciiTheme="minorHAnsi" w:hAnsiTheme="minorHAnsi" w:cstheme="minorHAnsi"/>
          <w:sz w:val="22"/>
          <w:szCs w:val="22"/>
          <w:lang w:val="en-GB"/>
        </w:rPr>
        <w:t>the program naturally expanding its influence on these topics</w:t>
      </w:r>
      <w:r w:rsidRPr="00B677B4">
        <w:rPr>
          <w:rFonts w:asciiTheme="minorHAnsi" w:hAnsiTheme="minorHAnsi" w:cstheme="minorHAnsi"/>
          <w:sz w:val="22"/>
          <w:szCs w:val="22"/>
          <w:lang w:val="en-GB"/>
        </w:rPr>
        <w:t>, leveraging earlier success and relationships to shape ongoing support in response from different Ministries. Strong relationships are the cornerstone to success, take dedicated time to build, but do appear to be a key ingredient for success. Other factors seen to enhance success include strong ownership by the relevant ministry, particularly when there is commitment and engagement from senior officials from the start. Where a counterpart is less clear or not as engaged it does make the implementation of activities more difficult (</w:t>
      </w:r>
      <w:proofErr w:type="gramStart"/>
      <w:r w:rsidRPr="00B677B4">
        <w:rPr>
          <w:rFonts w:asciiTheme="minorHAnsi" w:hAnsiTheme="minorHAnsi" w:cstheme="minorHAnsi"/>
          <w:sz w:val="22"/>
          <w:szCs w:val="22"/>
          <w:lang w:val="en-GB"/>
        </w:rPr>
        <w:t>e.g.</w:t>
      </w:r>
      <w:proofErr w:type="gramEnd"/>
      <w:r w:rsidRPr="00B677B4">
        <w:rPr>
          <w:rFonts w:asciiTheme="minorHAnsi" w:hAnsiTheme="minorHAnsi" w:cstheme="minorHAnsi"/>
          <w:sz w:val="22"/>
          <w:szCs w:val="22"/>
          <w:lang w:val="en-GB"/>
        </w:rPr>
        <w:t xml:space="preserve"> AMEP II encountered delays with its support on Revision of the Law on Subsoil when there was turnover within the working group).  </w:t>
      </w:r>
    </w:p>
    <w:p w14:paraId="478ED92F" w14:textId="77777777" w:rsidR="005F69C1" w:rsidRPr="00B677B4" w:rsidRDefault="005F69C1" w:rsidP="00B82F33">
      <w:pPr>
        <w:pStyle w:val="Default"/>
        <w:rPr>
          <w:rFonts w:asciiTheme="minorHAnsi" w:hAnsiTheme="minorHAnsi" w:cstheme="minorHAnsi"/>
          <w:sz w:val="22"/>
          <w:szCs w:val="22"/>
          <w:lang w:val="en-GB"/>
        </w:rPr>
      </w:pPr>
    </w:p>
    <w:p w14:paraId="63E047D8" w14:textId="23910FFD" w:rsidR="00B82F33" w:rsidRPr="00B677B4" w:rsidRDefault="00D6034E" w:rsidP="00CE324E">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Other features that enhance AMEP’s efficiency is that it seen to be very responsive to requests, reacting </w:t>
      </w:r>
      <w:r w:rsidR="003538AD" w:rsidRPr="00B677B4">
        <w:rPr>
          <w:rFonts w:asciiTheme="minorHAnsi" w:hAnsiTheme="minorHAnsi" w:cstheme="minorHAnsi"/>
          <w:sz w:val="22"/>
          <w:szCs w:val="22"/>
          <w:lang w:val="en-GB"/>
        </w:rPr>
        <w:t>quickly,</w:t>
      </w:r>
      <w:r w:rsidRPr="00B677B4">
        <w:rPr>
          <w:rFonts w:asciiTheme="minorHAnsi" w:hAnsiTheme="minorHAnsi" w:cstheme="minorHAnsi"/>
          <w:sz w:val="22"/>
          <w:szCs w:val="22"/>
          <w:lang w:val="en-GB"/>
        </w:rPr>
        <w:t xml:space="preserve"> and collaborating efficiently to ensure delivery. Nevertheless, AMEP II </w:t>
      </w:r>
      <w:r w:rsidR="00B82F33" w:rsidRPr="00B677B4">
        <w:rPr>
          <w:rFonts w:asciiTheme="minorHAnsi" w:hAnsiTheme="minorHAnsi" w:cstheme="minorHAnsi"/>
          <w:sz w:val="22"/>
          <w:szCs w:val="22"/>
          <w:lang w:val="en-GB"/>
        </w:rPr>
        <w:t xml:space="preserve">are prudent in pushing back on requests that either arrive after the annual workplan has been developed or the request is outside the scope of the objectives of the program. </w:t>
      </w:r>
      <w:r w:rsidR="00023D18">
        <w:rPr>
          <w:rFonts w:asciiTheme="minorHAnsi" w:hAnsiTheme="minorHAnsi" w:cstheme="minorHAnsi"/>
          <w:sz w:val="22"/>
          <w:szCs w:val="22"/>
          <w:lang w:val="en-GB"/>
        </w:rPr>
        <w:t>However, t</w:t>
      </w:r>
      <w:r w:rsidR="00B82F33" w:rsidRPr="00B677B4">
        <w:rPr>
          <w:rFonts w:asciiTheme="minorHAnsi" w:hAnsiTheme="minorHAnsi" w:cstheme="minorHAnsi"/>
          <w:sz w:val="22"/>
          <w:szCs w:val="22"/>
          <w:lang w:val="en-GB"/>
        </w:rPr>
        <w:t xml:space="preserve">he challenge for the program is when activities are dropped </w:t>
      </w:r>
      <w:r w:rsidR="00565676" w:rsidRPr="00B677B4">
        <w:rPr>
          <w:rFonts w:asciiTheme="minorHAnsi" w:hAnsiTheme="minorHAnsi" w:cstheme="minorHAnsi"/>
          <w:sz w:val="22"/>
          <w:szCs w:val="22"/>
          <w:lang w:val="en-GB"/>
        </w:rPr>
        <w:t xml:space="preserve">because </w:t>
      </w:r>
      <w:r w:rsidR="00B82F33" w:rsidRPr="00B677B4">
        <w:rPr>
          <w:rFonts w:asciiTheme="minorHAnsi" w:hAnsiTheme="minorHAnsi" w:cstheme="minorHAnsi"/>
          <w:sz w:val="22"/>
          <w:szCs w:val="22"/>
          <w:lang w:val="en-GB"/>
        </w:rPr>
        <w:t xml:space="preserve">government no longer sees the issue as a priority. For instance, after AMEP II developed a major public consultation process (including materials) on </w:t>
      </w:r>
      <w:r w:rsidR="00B82F33" w:rsidRPr="00B677B4">
        <w:rPr>
          <w:rFonts w:asciiTheme="minorHAnsi" w:hAnsiTheme="minorHAnsi" w:cstheme="minorHAnsi"/>
          <w:sz w:val="22"/>
          <w:szCs w:val="22"/>
          <w:lang w:val="en-GB"/>
        </w:rPr>
        <w:lastRenderedPageBreak/>
        <w:t xml:space="preserve">the new Minerals </w:t>
      </w:r>
      <w:r w:rsidR="003538AD">
        <w:rPr>
          <w:rFonts w:asciiTheme="minorHAnsi" w:hAnsiTheme="minorHAnsi" w:cstheme="minorHAnsi"/>
          <w:sz w:val="22"/>
          <w:szCs w:val="22"/>
          <w:lang w:val="en-GB"/>
        </w:rPr>
        <w:t>L</w:t>
      </w:r>
      <w:r w:rsidR="00B82F33" w:rsidRPr="00B677B4">
        <w:rPr>
          <w:rFonts w:asciiTheme="minorHAnsi" w:hAnsiTheme="minorHAnsi" w:cstheme="minorHAnsi"/>
          <w:sz w:val="22"/>
          <w:szCs w:val="22"/>
          <w:lang w:val="en-GB"/>
        </w:rPr>
        <w:t xml:space="preserve">aw the initiative was </w:t>
      </w:r>
      <w:r w:rsidR="0026064A" w:rsidRPr="00B677B4">
        <w:rPr>
          <w:rFonts w:asciiTheme="minorHAnsi" w:hAnsiTheme="minorHAnsi" w:cstheme="minorHAnsi"/>
          <w:sz w:val="22"/>
          <w:szCs w:val="22"/>
          <w:lang w:val="en-GB"/>
        </w:rPr>
        <w:t xml:space="preserve">postponed </w:t>
      </w:r>
      <w:r w:rsidR="00B82F33" w:rsidRPr="00B677B4">
        <w:rPr>
          <w:rFonts w:asciiTheme="minorHAnsi" w:hAnsiTheme="minorHAnsi" w:cstheme="minorHAnsi"/>
          <w:sz w:val="22"/>
          <w:szCs w:val="22"/>
          <w:lang w:val="en-GB"/>
        </w:rPr>
        <w:t xml:space="preserve">for political reasons outside the control of the program. It is difficult to mitigate against such challenges, but where there are long-standing relationships between the program and the relevant officials (such as with </w:t>
      </w:r>
      <w:proofErr w:type="spellStart"/>
      <w:r w:rsidR="00B82F33" w:rsidRPr="00B677B4">
        <w:rPr>
          <w:rFonts w:asciiTheme="minorHAnsi" w:hAnsiTheme="minorHAnsi" w:cstheme="minorHAnsi"/>
          <w:sz w:val="22"/>
          <w:szCs w:val="22"/>
          <w:lang w:val="en-GB"/>
        </w:rPr>
        <w:t>Monval</w:t>
      </w:r>
      <w:proofErr w:type="spellEnd"/>
      <w:r w:rsidR="00B82F33" w:rsidRPr="00B677B4">
        <w:rPr>
          <w:rFonts w:asciiTheme="minorHAnsi" w:hAnsiTheme="minorHAnsi" w:cstheme="minorHAnsi"/>
          <w:sz w:val="22"/>
          <w:szCs w:val="22"/>
          <w:lang w:val="en-GB"/>
        </w:rPr>
        <w:t xml:space="preserve"> or the ongoing work with the NGD) it is less likely that activities will come to an abrupt halt.</w:t>
      </w:r>
      <w:r w:rsidR="00CE324E" w:rsidRPr="00B677B4">
        <w:rPr>
          <w:rFonts w:asciiTheme="minorHAnsi" w:hAnsiTheme="minorHAnsi" w:cstheme="minorHAnsi"/>
          <w:sz w:val="22"/>
          <w:szCs w:val="22"/>
          <w:lang w:val="en-GB"/>
        </w:rPr>
        <w:t xml:space="preserve"> Key informants did also note that challenges arose when aligning with the Australian financial year, and that in some instances this meant that implementation had to be completed within a much tighter time frame than initially envisaged (which also impacted on what could realistically be delivered). Whilst the extent to which this can be fully addressed is doubtful, bearing in mind that the program is governed by budget cycles that need to align with the Australian government, but it does raise the question as to whether projects should have more realistic time frames. Linked to the point previously that building relationships is time consuming but critical for success, the program could consider projects that require additional time than the current 12 - month period. Naturally, if projects are to be delivered over a longer period this would need to be clearly signalled in the </w:t>
      </w:r>
      <w:proofErr w:type="spellStart"/>
      <w:r w:rsidR="00CE324E" w:rsidRPr="00B677B4">
        <w:rPr>
          <w:rFonts w:asciiTheme="minorHAnsi" w:hAnsiTheme="minorHAnsi" w:cstheme="minorHAnsi"/>
          <w:sz w:val="22"/>
          <w:szCs w:val="22"/>
          <w:lang w:val="en-GB"/>
        </w:rPr>
        <w:t>CfP</w:t>
      </w:r>
      <w:proofErr w:type="spellEnd"/>
      <w:r w:rsidR="00CE324E" w:rsidRPr="00B677B4">
        <w:rPr>
          <w:rFonts w:asciiTheme="minorHAnsi" w:hAnsiTheme="minorHAnsi" w:cstheme="minorHAnsi"/>
          <w:sz w:val="22"/>
          <w:szCs w:val="22"/>
          <w:lang w:val="en-GB"/>
        </w:rPr>
        <w:t xml:space="preserve"> process.</w:t>
      </w:r>
    </w:p>
    <w:p w14:paraId="4635BACF" w14:textId="77777777" w:rsidR="005F69C1" w:rsidRPr="00B677B4" w:rsidRDefault="005F69C1" w:rsidP="00B82F33">
      <w:pPr>
        <w:pStyle w:val="Default"/>
        <w:rPr>
          <w:rFonts w:asciiTheme="minorHAnsi" w:hAnsiTheme="minorHAnsi" w:cstheme="minorHAnsi"/>
          <w:sz w:val="22"/>
          <w:szCs w:val="22"/>
          <w:lang w:val="en-GB"/>
        </w:rPr>
      </w:pPr>
    </w:p>
    <w:p w14:paraId="7F229DC8" w14:textId="177F3337" w:rsidR="008A1505" w:rsidRPr="00B677B4" w:rsidRDefault="008A1505" w:rsidP="008A150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Whilst AMEP II has continued to work in areas it is familiar with, it has also been engaged in areas that are of higher risk and are more controversial within the sector</w:t>
      </w:r>
      <w:r w:rsidRPr="00B677B4">
        <w:rPr>
          <w:rFonts w:asciiTheme="minorHAnsi" w:hAnsiTheme="minorHAnsi" w:cstheme="minorHAnsi"/>
          <w:sz w:val="22"/>
          <w:szCs w:val="22"/>
          <w:lang w:val="en-GB"/>
        </w:rPr>
        <w:t>.</w:t>
      </w:r>
      <w:r w:rsidR="005F69C1" w:rsidRPr="00B677B4">
        <w:rPr>
          <w:rFonts w:asciiTheme="minorHAnsi" w:hAnsiTheme="minorHAnsi" w:cstheme="minorHAnsi"/>
          <w:sz w:val="22"/>
          <w:szCs w:val="22"/>
          <w:lang w:val="en-GB"/>
        </w:rPr>
        <w:t xml:space="preserve"> AMEP II has tried for a balanced portfolio approach, where they continue to build on work already done (and hence provide some long-term stability to the program) and newer areas which they are less uncertain about and carry both politica</w:t>
      </w:r>
      <w:r w:rsidR="003538AD">
        <w:rPr>
          <w:rFonts w:asciiTheme="minorHAnsi" w:hAnsiTheme="minorHAnsi" w:cstheme="minorHAnsi"/>
          <w:sz w:val="22"/>
          <w:szCs w:val="22"/>
          <w:lang w:val="en-GB"/>
        </w:rPr>
        <w:t xml:space="preserve">l, </w:t>
      </w:r>
      <w:r w:rsidR="005F69C1" w:rsidRPr="00B677B4">
        <w:rPr>
          <w:rFonts w:asciiTheme="minorHAnsi" w:hAnsiTheme="minorHAnsi" w:cstheme="minorHAnsi"/>
          <w:sz w:val="22"/>
          <w:szCs w:val="22"/>
          <w:lang w:val="en-GB"/>
        </w:rPr>
        <w:t>especially when it comes to issues of governance and reputational risks (</w:t>
      </w:r>
      <w:proofErr w:type="gramStart"/>
      <w:r w:rsidR="005F69C1" w:rsidRPr="00B677B4">
        <w:rPr>
          <w:rFonts w:asciiTheme="minorHAnsi" w:hAnsiTheme="minorHAnsi" w:cstheme="minorHAnsi"/>
          <w:sz w:val="22"/>
          <w:szCs w:val="22"/>
          <w:lang w:val="en-GB"/>
        </w:rPr>
        <w:t>e.g.</w:t>
      </w:r>
      <w:proofErr w:type="gramEnd"/>
      <w:r w:rsidR="005F69C1" w:rsidRPr="00B677B4">
        <w:rPr>
          <w:rFonts w:asciiTheme="minorHAnsi" w:hAnsiTheme="minorHAnsi" w:cstheme="minorHAnsi"/>
          <w:sz w:val="22"/>
          <w:szCs w:val="22"/>
          <w:lang w:val="en-GB"/>
        </w:rPr>
        <w:t xml:space="preserve"> if the partner is new and so the partner’s ability to deliver is unknown).</w:t>
      </w:r>
      <w:r w:rsidRPr="00B677B4">
        <w:rPr>
          <w:rFonts w:asciiTheme="minorHAnsi" w:hAnsiTheme="minorHAnsi" w:cstheme="minorHAnsi"/>
          <w:sz w:val="22"/>
          <w:szCs w:val="22"/>
          <w:lang w:val="en-GB"/>
        </w:rPr>
        <w:t xml:space="preserve"> </w:t>
      </w:r>
      <w:r w:rsidR="00213B28">
        <w:rPr>
          <w:rFonts w:asciiTheme="minorHAnsi" w:hAnsiTheme="minorHAnsi" w:cstheme="minorHAnsi"/>
          <w:sz w:val="22"/>
          <w:szCs w:val="22"/>
          <w:lang w:val="en-GB"/>
        </w:rPr>
        <w:t>Between 2019 and 2022 the risk rating of activities reflects this balance – approximately 48% of activities supported by AMEP II were viewed as low risk, a further 4</w:t>
      </w:r>
      <w:r w:rsidR="00A15FE4">
        <w:rPr>
          <w:rFonts w:asciiTheme="minorHAnsi" w:hAnsiTheme="minorHAnsi" w:cstheme="minorHAnsi"/>
          <w:sz w:val="22"/>
          <w:szCs w:val="22"/>
          <w:lang w:val="en-GB"/>
        </w:rPr>
        <w:t>3</w:t>
      </w:r>
      <w:r w:rsidR="00213B28">
        <w:rPr>
          <w:rFonts w:asciiTheme="minorHAnsi" w:hAnsiTheme="minorHAnsi" w:cstheme="minorHAnsi"/>
          <w:sz w:val="22"/>
          <w:szCs w:val="22"/>
          <w:lang w:val="en-GB"/>
        </w:rPr>
        <w:t>% of activities were viewed as medium risk, and</w:t>
      </w:r>
      <w:r w:rsidR="00A15FE4">
        <w:rPr>
          <w:rFonts w:asciiTheme="minorHAnsi" w:hAnsiTheme="minorHAnsi" w:cstheme="minorHAnsi"/>
          <w:sz w:val="22"/>
          <w:szCs w:val="22"/>
          <w:lang w:val="en-GB"/>
        </w:rPr>
        <w:t xml:space="preserve"> the </w:t>
      </w:r>
      <w:proofErr w:type="gramStart"/>
      <w:r w:rsidR="00A15FE4">
        <w:rPr>
          <w:rFonts w:asciiTheme="minorHAnsi" w:hAnsiTheme="minorHAnsi" w:cstheme="minorHAnsi"/>
          <w:sz w:val="22"/>
          <w:szCs w:val="22"/>
          <w:lang w:val="en-GB"/>
        </w:rPr>
        <w:t xml:space="preserve">remaining </w:t>
      </w:r>
      <w:r w:rsidR="00213B28">
        <w:rPr>
          <w:rFonts w:asciiTheme="minorHAnsi" w:hAnsiTheme="minorHAnsi" w:cstheme="minorHAnsi"/>
          <w:sz w:val="22"/>
          <w:szCs w:val="22"/>
          <w:lang w:val="en-GB"/>
        </w:rPr>
        <w:t xml:space="preserve"> </w:t>
      </w:r>
      <w:r w:rsidR="00A15FE4">
        <w:rPr>
          <w:rFonts w:asciiTheme="minorHAnsi" w:hAnsiTheme="minorHAnsi" w:cstheme="minorHAnsi"/>
          <w:sz w:val="22"/>
          <w:szCs w:val="22"/>
          <w:lang w:val="en-GB"/>
        </w:rPr>
        <w:t>9</w:t>
      </w:r>
      <w:proofErr w:type="gramEnd"/>
      <w:r w:rsidR="00A15FE4">
        <w:rPr>
          <w:rFonts w:asciiTheme="minorHAnsi" w:hAnsiTheme="minorHAnsi" w:cstheme="minorHAnsi"/>
          <w:sz w:val="22"/>
          <w:szCs w:val="22"/>
          <w:lang w:val="en-GB"/>
        </w:rPr>
        <w:t>% were viewed as high risk.</w:t>
      </w:r>
      <w:r w:rsidR="00213B28">
        <w:rPr>
          <w:rFonts w:asciiTheme="minorHAnsi" w:hAnsiTheme="minorHAnsi" w:cstheme="minorHAnsi"/>
          <w:sz w:val="22"/>
          <w:szCs w:val="22"/>
          <w:lang w:val="en-GB"/>
        </w:rPr>
        <w:t xml:space="preserve"> </w:t>
      </w:r>
      <w:r w:rsidR="00986D1C">
        <w:rPr>
          <w:rFonts w:asciiTheme="minorHAnsi" w:hAnsiTheme="minorHAnsi" w:cstheme="minorHAnsi"/>
          <w:sz w:val="22"/>
          <w:szCs w:val="22"/>
          <w:lang w:val="en-GB"/>
        </w:rPr>
        <w:t>Certain</w:t>
      </w:r>
      <w:r w:rsidRPr="00B677B4">
        <w:rPr>
          <w:rFonts w:asciiTheme="minorHAnsi" w:hAnsiTheme="minorHAnsi" w:cstheme="minorHAnsi"/>
          <w:sz w:val="22"/>
          <w:szCs w:val="22"/>
          <w:lang w:val="en-GB"/>
        </w:rPr>
        <w:t xml:space="preserve"> activities </w:t>
      </w:r>
      <w:r w:rsidR="005F69C1" w:rsidRPr="00B677B4">
        <w:rPr>
          <w:rFonts w:asciiTheme="minorHAnsi" w:hAnsiTheme="minorHAnsi" w:cstheme="minorHAnsi"/>
          <w:sz w:val="22"/>
          <w:szCs w:val="22"/>
          <w:lang w:val="en-GB"/>
        </w:rPr>
        <w:t xml:space="preserve">do however carry greater political </w:t>
      </w:r>
      <w:r w:rsidR="00311E8D" w:rsidRPr="00B677B4">
        <w:rPr>
          <w:rFonts w:asciiTheme="minorHAnsi" w:hAnsiTheme="minorHAnsi" w:cstheme="minorHAnsi"/>
          <w:sz w:val="22"/>
          <w:szCs w:val="22"/>
          <w:lang w:val="en-GB"/>
        </w:rPr>
        <w:t>risk and</w:t>
      </w:r>
      <w:r w:rsidR="005F69C1" w:rsidRPr="00B677B4">
        <w:rPr>
          <w:rFonts w:asciiTheme="minorHAnsi" w:hAnsiTheme="minorHAnsi" w:cstheme="minorHAnsi"/>
          <w:sz w:val="22"/>
          <w:szCs w:val="22"/>
          <w:lang w:val="en-GB"/>
        </w:rPr>
        <w:t xml:space="preserve"> are contested topics within the sector</w:t>
      </w:r>
      <w:r w:rsidR="00A15FE4">
        <w:rPr>
          <w:rFonts w:asciiTheme="minorHAnsi" w:hAnsiTheme="minorHAnsi" w:cstheme="minorHAnsi"/>
          <w:sz w:val="22"/>
          <w:szCs w:val="22"/>
          <w:lang w:val="en-GB"/>
        </w:rPr>
        <w:t>, and it is appropriate that whilst AMEP II does not shy away from these issues, it seems eminently sensible that only a portion of their portfolio is deemed high risk</w:t>
      </w:r>
      <w:r w:rsidR="005F69C1" w:rsidRPr="00B677B4">
        <w:rPr>
          <w:rFonts w:asciiTheme="minorHAnsi" w:hAnsiTheme="minorHAnsi" w:cstheme="minorHAnsi"/>
          <w:sz w:val="22"/>
          <w:szCs w:val="22"/>
          <w:lang w:val="en-GB"/>
        </w:rPr>
        <w:t xml:space="preserve">. AMEP II </w:t>
      </w:r>
      <w:r w:rsidRPr="00B677B4">
        <w:rPr>
          <w:rFonts w:asciiTheme="minorHAnsi" w:hAnsiTheme="minorHAnsi" w:cstheme="minorHAnsi"/>
          <w:sz w:val="22"/>
          <w:szCs w:val="22"/>
          <w:lang w:val="en-GB"/>
        </w:rPr>
        <w:t xml:space="preserve">have, for instance focussed on tax related issues, such as Royalties, </w:t>
      </w:r>
      <w:r w:rsidR="00311E8D" w:rsidRPr="00B677B4">
        <w:rPr>
          <w:rFonts w:asciiTheme="minorHAnsi" w:hAnsiTheme="minorHAnsi" w:cstheme="minorHAnsi"/>
          <w:sz w:val="22"/>
          <w:szCs w:val="22"/>
          <w:lang w:val="en-GB"/>
        </w:rPr>
        <w:t>and</w:t>
      </w:r>
      <w:r w:rsidRPr="00B677B4">
        <w:rPr>
          <w:rFonts w:asciiTheme="minorHAnsi" w:hAnsiTheme="minorHAnsi" w:cstheme="minorHAnsi"/>
          <w:sz w:val="22"/>
          <w:szCs w:val="22"/>
          <w:lang w:val="en-GB"/>
        </w:rPr>
        <w:t xml:space="preserve"> issues of mineral valuation. </w:t>
      </w:r>
      <w:r w:rsidR="005F69C1" w:rsidRPr="00B677B4">
        <w:rPr>
          <w:rFonts w:asciiTheme="minorHAnsi" w:hAnsiTheme="minorHAnsi" w:cstheme="minorHAnsi"/>
          <w:sz w:val="22"/>
          <w:szCs w:val="22"/>
          <w:lang w:val="en-GB"/>
        </w:rPr>
        <w:t xml:space="preserve">Nevertheless, AMEP II are appropriately risk averse and only select new activities once they have been rigorously screened to ensure they are comfortable working in the area. </w:t>
      </w:r>
      <w:r w:rsidRPr="00B677B4">
        <w:rPr>
          <w:rFonts w:asciiTheme="minorHAnsi" w:hAnsiTheme="minorHAnsi" w:cstheme="minorHAnsi"/>
          <w:sz w:val="22"/>
          <w:szCs w:val="22"/>
          <w:lang w:val="en-GB"/>
        </w:rPr>
        <w:t xml:space="preserve">In so doing, AMEP II has built a reputation for high-quality technical support to address key government priorities in the </w:t>
      </w:r>
      <w:r w:rsidR="00311E8D" w:rsidRPr="00B677B4">
        <w:rPr>
          <w:rFonts w:asciiTheme="minorHAnsi" w:hAnsiTheme="minorHAnsi" w:cstheme="minorHAnsi"/>
          <w:sz w:val="22"/>
          <w:szCs w:val="22"/>
          <w:lang w:val="en-GB"/>
        </w:rPr>
        <w:t>sector and</w:t>
      </w:r>
      <w:r w:rsidRPr="00B677B4">
        <w:rPr>
          <w:rFonts w:asciiTheme="minorHAnsi" w:hAnsiTheme="minorHAnsi" w:cstheme="minorHAnsi"/>
          <w:sz w:val="22"/>
          <w:szCs w:val="22"/>
          <w:lang w:val="en-GB"/>
        </w:rPr>
        <w:t xml:space="preserve"> has built up an extensive network in the sector. </w:t>
      </w:r>
    </w:p>
    <w:p w14:paraId="6EE230B5" w14:textId="77777777" w:rsidR="000A7FAE" w:rsidRPr="00B677B4" w:rsidRDefault="000A7FAE" w:rsidP="000A7FAE">
      <w:pPr>
        <w:pStyle w:val="Default"/>
        <w:spacing w:line="276" w:lineRule="auto"/>
        <w:rPr>
          <w:rFonts w:asciiTheme="minorHAnsi" w:hAnsiTheme="minorHAnsi" w:cstheme="minorHAnsi"/>
          <w:sz w:val="22"/>
          <w:szCs w:val="22"/>
          <w:lang w:val="en-GB"/>
        </w:rPr>
      </w:pPr>
    </w:p>
    <w:p w14:paraId="457572FC" w14:textId="69F2A725" w:rsidR="0040662A" w:rsidRPr="00B677B4" w:rsidRDefault="000A7FAE" w:rsidP="000A7FAE">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Whilst the pandemic hindered the pace of delivery, the program was able to mitigate against the impact of COVID – 19</w:t>
      </w:r>
      <w:r w:rsidR="00126A6C" w:rsidRPr="00B677B4">
        <w:rPr>
          <w:rFonts w:asciiTheme="minorHAnsi" w:hAnsiTheme="minorHAnsi" w:cstheme="minorHAnsi"/>
          <w:sz w:val="22"/>
          <w:szCs w:val="22"/>
          <w:lang w:val="en-GB"/>
        </w:rPr>
        <w:t>. AMEP II demonstrated its flexibility by</w:t>
      </w:r>
      <w:r w:rsidRPr="00B677B4">
        <w:rPr>
          <w:rFonts w:asciiTheme="minorHAnsi" w:hAnsiTheme="minorHAnsi" w:cstheme="minorHAnsi"/>
          <w:sz w:val="22"/>
          <w:szCs w:val="22"/>
          <w:lang w:val="en-GB"/>
        </w:rPr>
        <w:t xml:space="preserve"> not only moving delivery online but also by increasing the role and responsibility of local staff</w:t>
      </w:r>
      <w:r w:rsidR="00126A6C" w:rsidRPr="00B677B4">
        <w:rPr>
          <w:rFonts w:asciiTheme="minorHAnsi" w:hAnsiTheme="minorHAnsi" w:cstheme="minorHAnsi"/>
          <w:sz w:val="22"/>
          <w:szCs w:val="22"/>
          <w:lang w:val="en-GB"/>
        </w:rPr>
        <w:t xml:space="preserve">. The program was able to respond quickly, paused activities where applicable, and reallocated its focus on activities that it could </w:t>
      </w:r>
      <w:r w:rsidR="0040662A" w:rsidRPr="00B677B4">
        <w:rPr>
          <w:rFonts w:asciiTheme="minorHAnsi" w:hAnsiTheme="minorHAnsi" w:cstheme="minorHAnsi"/>
          <w:sz w:val="22"/>
          <w:szCs w:val="22"/>
          <w:lang w:val="en-GB"/>
        </w:rPr>
        <w:t>continue to implement via online means. One of the key features of any facility is that it does allow some flexibility with regards to programming, and so this created the space for AMEP II to make applicable and necessary adjustments to the workplan. Moreover, on initiatives where the program had established good, long-standing relationships the program was able to collaboratively work with partners to adjust implementation accordingly. Another key feature of the successful pivot by AMEP II was that nearly all the staff were locally employed and so the program was able to maintain a relatively full complement of staff in Mongolia to support initiatives.</w:t>
      </w:r>
    </w:p>
    <w:p w14:paraId="4B109F71" w14:textId="77777777" w:rsidR="0040662A" w:rsidRPr="00B677B4" w:rsidRDefault="0040662A" w:rsidP="000A7FAE">
      <w:pPr>
        <w:pStyle w:val="Default"/>
        <w:spacing w:line="276" w:lineRule="auto"/>
        <w:rPr>
          <w:rFonts w:asciiTheme="minorHAnsi" w:hAnsiTheme="minorHAnsi" w:cstheme="minorHAnsi"/>
          <w:sz w:val="22"/>
          <w:szCs w:val="22"/>
          <w:lang w:val="en-GB"/>
        </w:rPr>
      </w:pPr>
    </w:p>
    <w:p w14:paraId="7EEE8F70" w14:textId="65295861" w:rsidR="00126A6C" w:rsidRPr="00B677B4" w:rsidRDefault="00126A6C" w:rsidP="000A7FAE">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Nevertheless, unsurprisingly, the pandemic did have an impact on implementation. </w:t>
      </w:r>
      <w:r w:rsidR="00CE324E" w:rsidRPr="00B677B4">
        <w:rPr>
          <w:rFonts w:asciiTheme="minorHAnsi" w:hAnsiTheme="minorHAnsi" w:cstheme="minorHAnsi"/>
          <w:sz w:val="22"/>
          <w:szCs w:val="22"/>
          <w:lang w:val="en-GB"/>
        </w:rPr>
        <w:t xml:space="preserve">In hindsight, the program recognises that it could have done more to conceptualise and design activities that had </w:t>
      </w:r>
      <w:r w:rsidR="00CE324E" w:rsidRPr="00B677B4">
        <w:rPr>
          <w:rFonts w:asciiTheme="minorHAnsi" w:hAnsiTheme="minorHAnsi" w:cstheme="minorHAnsi"/>
          <w:sz w:val="22"/>
          <w:szCs w:val="22"/>
          <w:lang w:val="en-GB"/>
        </w:rPr>
        <w:lastRenderedPageBreak/>
        <w:t>more of a focus on supporting post-COVID recovery within the sector</w:t>
      </w:r>
      <w:r w:rsidR="00391279">
        <w:rPr>
          <w:rFonts w:asciiTheme="minorHAnsi" w:hAnsiTheme="minorHAnsi" w:cstheme="minorHAnsi"/>
          <w:sz w:val="22"/>
          <w:szCs w:val="22"/>
          <w:lang w:val="en-GB"/>
        </w:rPr>
        <w:t>. With regards to COVID-19</w:t>
      </w:r>
      <w:r w:rsidR="00CE324E" w:rsidRPr="00B677B4">
        <w:rPr>
          <w:rFonts w:asciiTheme="minorHAnsi" w:hAnsiTheme="minorHAnsi" w:cstheme="minorHAnsi"/>
          <w:sz w:val="22"/>
          <w:szCs w:val="22"/>
          <w:lang w:val="en-GB"/>
        </w:rPr>
        <w:t xml:space="preserve"> </w:t>
      </w:r>
      <w:r w:rsidR="005D5312" w:rsidRPr="00B677B4">
        <w:rPr>
          <w:rFonts w:asciiTheme="minorHAnsi" w:hAnsiTheme="minorHAnsi" w:cstheme="minorHAnsi"/>
          <w:sz w:val="22"/>
          <w:szCs w:val="22"/>
          <w:lang w:val="en-GB"/>
        </w:rPr>
        <w:t>k</w:t>
      </w:r>
      <w:r w:rsidRPr="00B677B4">
        <w:rPr>
          <w:rFonts w:asciiTheme="minorHAnsi" w:hAnsiTheme="minorHAnsi" w:cstheme="minorHAnsi"/>
          <w:sz w:val="22"/>
          <w:szCs w:val="22"/>
          <w:lang w:val="en-GB"/>
        </w:rPr>
        <w:t xml:space="preserve">ey informants raised </w:t>
      </w:r>
      <w:proofErr w:type="gramStart"/>
      <w:r w:rsidRPr="00B677B4">
        <w:rPr>
          <w:rFonts w:asciiTheme="minorHAnsi" w:hAnsiTheme="minorHAnsi" w:cstheme="minorHAnsi"/>
          <w:sz w:val="22"/>
          <w:szCs w:val="22"/>
          <w:lang w:val="en-GB"/>
        </w:rPr>
        <w:t>a number of</w:t>
      </w:r>
      <w:proofErr w:type="gramEnd"/>
      <w:r w:rsidRPr="00B677B4">
        <w:rPr>
          <w:rFonts w:asciiTheme="minorHAnsi" w:hAnsiTheme="minorHAnsi" w:cstheme="minorHAnsi"/>
          <w:sz w:val="22"/>
          <w:szCs w:val="22"/>
          <w:lang w:val="en-GB"/>
        </w:rPr>
        <w:t xml:space="preserve"> challenges including</w:t>
      </w:r>
      <w:r w:rsidR="0040662A" w:rsidRPr="00B677B4">
        <w:rPr>
          <w:rFonts w:asciiTheme="minorHAnsi" w:hAnsiTheme="minorHAnsi" w:cstheme="minorHAnsi"/>
          <w:sz w:val="22"/>
          <w:szCs w:val="22"/>
          <w:lang w:val="en-GB"/>
        </w:rPr>
        <w:t>:</w:t>
      </w:r>
    </w:p>
    <w:p w14:paraId="45916096" w14:textId="77777777" w:rsidR="00A67675" w:rsidRPr="00B677B4" w:rsidRDefault="00A67675" w:rsidP="000A7FAE">
      <w:pPr>
        <w:pStyle w:val="Default"/>
        <w:spacing w:line="276" w:lineRule="auto"/>
        <w:rPr>
          <w:rFonts w:asciiTheme="minorHAnsi" w:hAnsiTheme="minorHAnsi" w:cstheme="minorHAnsi"/>
          <w:sz w:val="22"/>
          <w:szCs w:val="22"/>
          <w:lang w:val="en-GB"/>
        </w:rPr>
      </w:pPr>
    </w:p>
    <w:p w14:paraId="7287A27D" w14:textId="7E307274" w:rsidR="00126A6C" w:rsidRPr="00B677B4" w:rsidRDefault="00126A6C">
      <w:pPr>
        <w:pStyle w:val="Default"/>
        <w:numPr>
          <w:ilvl w:val="0"/>
          <w:numId w:val="32"/>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that the attention of relevant government officials waned as they had</w:t>
      </w:r>
      <w:r w:rsidR="000A7FAE" w:rsidRPr="00B677B4">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more pressing issues they had to </w:t>
      </w:r>
      <w:proofErr w:type="gramStart"/>
      <w:r w:rsidRPr="00B677B4">
        <w:rPr>
          <w:rFonts w:asciiTheme="minorHAnsi" w:hAnsiTheme="minorHAnsi" w:cstheme="minorHAnsi"/>
          <w:sz w:val="22"/>
          <w:szCs w:val="22"/>
          <w:lang w:val="en-GB"/>
        </w:rPr>
        <w:t>address</w:t>
      </w:r>
      <w:r w:rsidR="00391279">
        <w:rPr>
          <w:rFonts w:asciiTheme="minorHAnsi" w:hAnsiTheme="minorHAnsi" w:cstheme="minorHAnsi"/>
          <w:sz w:val="22"/>
          <w:szCs w:val="22"/>
          <w:lang w:val="en-GB"/>
        </w:rPr>
        <w:t>;</w:t>
      </w:r>
      <w:proofErr w:type="gramEnd"/>
    </w:p>
    <w:p w14:paraId="09C154B2" w14:textId="5F6737C1" w:rsidR="000A7FAE" w:rsidRPr="00B677B4" w:rsidRDefault="000A7FAE">
      <w:pPr>
        <w:pStyle w:val="Default"/>
        <w:numPr>
          <w:ilvl w:val="0"/>
          <w:numId w:val="32"/>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moving activities online </w:t>
      </w:r>
      <w:r w:rsidR="00391279">
        <w:rPr>
          <w:rFonts w:asciiTheme="minorHAnsi" w:hAnsiTheme="minorHAnsi" w:cstheme="minorHAnsi"/>
          <w:sz w:val="22"/>
          <w:szCs w:val="22"/>
          <w:lang w:val="en-GB"/>
        </w:rPr>
        <w:t>impacted</w:t>
      </w:r>
      <w:r w:rsidRPr="00B677B4">
        <w:rPr>
          <w:rFonts w:asciiTheme="minorHAnsi" w:hAnsiTheme="minorHAnsi" w:cstheme="minorHAnsi"/>
          <w:sz w:val="22"/>
          <w:szCs w:val="22"/>
          <w:lang w:val="en-GB"/>
        </w:rPr>
        <w:t xml:space="preserve"> on the ability to raise awareness of issues</w:t>
      </w:r>
      <w:r w:rsidR="00126A6C" w:rsidRPr="00B677B4">
        <w:rPr>
          <w:rFonts w:asciiTheme="minorHAnsi" w:hAnsiTheme="minorHAnsi" w:cstheme="minorHAnsi"/>
          <w:sz w:val="22"/>
          <w:szCs w:val="22"/>
          <w:lang w:val="en-GB"/>
        </w:rPr>
        <w:t xml:space="preserve">, especially at the local </w:t>
      </w:r>
      <w:proofErr w:type="gramStart"/>
      <w:r w:rsidR="00126A6C" w:rsidRPr="00B677B4">
        <w:rPr>
          <w:rFonts w:asciiTheme="minorHAnsi" w:hAnsiTheme="minorHAnsi" w:cstheme="minorHAnsi"/>
          <w:sz w:val="22"/>
          <w:szCs w:val="22"/>
          <w:lang w:val="en-GB"/>
        </w:rPr>
        <w:t>level</w:t>
      </w:r>
      <w:r w:rsidR="00391279">
        <w:rPr>
          <w:rFonts w:asciiTheme="minorHAnsi" w:hAnsiTheme="minorHAnsi" w:cstheme="minorHAnsi"/>
          <w:sz w:val="22"/>
          <w:szCs w:val="22"/>
          <w:lang w:val="en-GB"/>
        </w:rPr>
        <w:t>;</w:t>
      </w:r>
      <w:proofErr w:type="gramEnd"/>
    </w:p>
    <w:p w14:paraId="1B1E5C93" w14:textId="73AE639C" w:rsidR="00126A6C" w:rsidRPr="00B677B4" w:rsidRDefault="00126A6C">
      <w:pPr>
        <w:pStyle w:val="Default"/>
        <w:numPr>
          <w:ilvl w:val="0"/>
          <w:numId w:val="32"/>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outreach was difficult, especially building new relationships</w:t>
      </w:r>
      <w:r w:rsidR="0040662A" w:rsidRPr="00B677B4">
        <w:rPr>
          <w:rFonts w:asciiTheme="minorHAnsi" w:hAnsiTheme="minorHAnsi" w:cstheme="minorHAnsi"/>
          <w:sz w:val="22"/>
          <w:szCs w:val="22"/>
          <w:lang w:val="en-GB"/>
        </w:rPr>
        <w:t xml:space="preserve"> - t</w:t>
      </w:r>
      <w:r w:rsidRPr="00B677B4">
        <w:rPr>
          <w:rFonts w:asciiTheme="minorHAnsi" w:hAnsiTheme="minorHAnsi" w:cstheme="minorHAnsi"/>
          <w:sz w:val="22"/>
          <w:szCs w:val="22"/>
          <w:lang w:val="en-GB"/>
        </w:rPr>
        <w:t>he program was trying to reach out to new partners, but with little opportunity to travel or engage in face-to-face meetings this made it very difficult for AMEP II to continue the promotion of program</w:t>
      </w:r>
      <w:r w:rsidR="00391279">
        <w:rPr>
          <w:rFonts w:asciiTheme="minorHAnsi" w:hAnsiTheme="minorHAnsi" w:cstheme="minorHAnsi"/>
          <w:sz w:val="22"/>
          <w:szCs w:val="22"/>
          <w:lang w:val="en-GB"/>
        </w:rPr>
        <w:t>; and</w:t>
      </w:r>
      <w:r w:rsidRPr="00B677B4">
        <w:rPr>
          <w:rFonts w:asciiTheme="minorHAnsi" w:hAnsiTheme="minorHAnsi" w:cstheme="minorHAnsi"/>
          <w:sz w:val="22"/>
          <w:szCs w:val="22"/>
          <w:lang w:val="en-GB"/>
        </w:rPr>
        <w:t xml:space="preserve"> </w:t>
      </w:r>
    </w:p>
    <w:p w14:paraId="1AF8DBCB" w14:textId="04305269" w:rsidR="0040662A" w:rsidRPr="00B677B4" w:rsidRDefault="00DA7232">
      <w:pPr>
        <w:pStyle w:val="Default"/>
        <w:numPr>
          <w:ilvl w:val="0"/>
          <w:numId w:val="32"/>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Delayed activities created </w:t>
      </w:r>
      <w:proofErr w:type="gramStart"/>
      <w:r w:rsidRPr="00B677B4">
        <w:rPr>
          <w:rFonts w:asciiTheme="minorHAnsi" w:hAnsiTheme="minorHAnsi" w:cstheme="minorHAnsi"/>
          <w:sz w:val="22"/>
          <w:szCs w:val="22"/>
          <w:lang w:val="en-GB"/>
        </w:rPr>
        <w:t>savings, but</w:t>
      </w:r>
      <w:proofErr w:type="gramEnd"/>
      <w:r w:rsidRPr="00B677B4">
        <w:rPr>
          <w:rFonts w:asciiTheme="minorHAnsi" w:hAnsiTheme="minorHAnsi" w:cstheme="minorHAnsi"/>
          <w:sz w:val="22"/>
          <w:szCs w:val="22"/>
          <w:lang w:val="en-GB"/>
        </w:rPr>
        <w:t xml:space="preserve"> created difficulties with the forecasted expenditure and contributed to low levels of disbursement</w:t>
      </w:r>
      <w:r w:rsidR="00391279">
        <w:rPr>
          <w:rFonts w:asciiTheme="minorHAnsi" w:hAnsiTheme="minorHAnsi" w:cstheme="minorHAnsi"/>
          <w:sz w:val="22"/>
          <w:szCs w:val="22"/>
          <w:lang w:val="en-GB"/>
        </w:rPr>
        <w:t>.</w:t>
      </w:r>
    </w:p>
    <w:p w14:paraId="20A41B6A" w14:textId="77777777" w:rsidR="000A7FAE" w:rsidRPr="00B677B4" w:rsidRDefault="000A7FAE" w:rsidP="00B00A2A">
      <w:pPr>
        <w:rPr>
          <w:rFonts w:asciiTheme="minorHAnsi" w:eastAsiaTheme="minorHAnsi" w:hAnsiTheme="minorHAnsi" w:cstheme="minorHAnsi"/>
          <w:b/>
          <w:bCs/>
          <w:sz w:val="22"/>
          <w:szCs w:val="22"/>
          <w:lang w:eastAsia="en-US"/>
        </w:rPr>
      </w:pPr>
    </w:p>
    <w:p w14:paraId="327C4069" w14:textId="77777777" w:rsidR="00B657D9" w:rsidRPr="000A7FAE"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0A7FAE">
        <w:rPr>
          <w:rFonts w:asciiTheme="minorHAnsi" w:eastAsiaTheme="minorHAnsi" w:hAnsiTheme="minorHAnsi" w:cstheme="minorHAnsi"/>
          <w:b/>
          <w:bCs/>
          <w:sz w:val="22"/>
          <w:szCs w:val="22"/>
          <w:lang w:eastAsia="en-US"/>
        </w:rPr>
        <w:t>Conclusion</w:t>
      </w:r>
      <w:r>
        <w:rPr>
          <w:rFonts w:asciiTheme="minorHAnsi" w:eastAsiaTheme="minorHAnsi" w:hAnsiTheme="minorHAnsi" w:cstheme="minorHAnsi"/>
          <w:b/>
          <w:bCs/>
          <w:sz w:val="22"/>
          <w:szCs w:val="22"/>
          <w:lang w:eastAsia="en-US"/>
        </w:rPr>
        <w:t xml:space="preserve"> #6</w:t>
      </w:r>
      <w:r w:rsidRPr="000A7FAE">
        <w:rPr>
          <w:rFonts w:asciiTheme="minorHAnsi" w:eastAsiaTheme="minorHAnsi" w:hAnsiTheme="minorHAnsi" w:cstheme="minorHAnsi"/>
          <w:b/>
          <w:bCs/>
          <w:sz w:val="22"/>
          <w:szCs w:val="22"/>
          <w:lang w:eastAsia="en-US"/>
        </w:rPr>
        <w:t>:</w:t>
      </w:r>
    </w:p>
    <w:p w14:paraId="63BFBB3B" w14:textId="77777777" w:rsidR="00B657D9" w:rsidRPr="000A7FAE" w:rsidRDefault="00B657D9" w:rsidP="00B657D9">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sidRPr="000A7FAE">
        <w:rPr>
          <w:rFonts w:asciiTheme="minorHAnsi" w:hAnsiTheme="minorHAnsi" w:cstheme="minorHAnsi"/>
          <w:sz w:val="22"/>
          <w:szCs w:val="22"/>
          <w:lang w:val="en-GB"/>
        </w:rPr>
        <w:t>The value of investing in national expertise and drawing on existing technical experts within Mongolia, helped ensure delivery continued when international TA was not able to travel</w:t>
      </w:r>
      <w:r>
        <w:rPr>
          <w:rFonts w:asciiTheme="minorHAnsi" w:hAnsiTheme="minorHAnsi" w:cstheme="minorHAnsi"/>
          <w:sz w:val="22"/>
          <w:szCs w:val="22"/>
          <w:lang w:val="en-GB"/>
        </w:rPr>
        <w:t>.</w:t>
      </w:r>
    </w:p>
    <w:p w14:paraId="4D7EC463" w14:textId="77777777" w:rsidR="00B657D9" w:rsidRDefault="00B657D9" w:rsidP="00B657D9">
      <w:pPr>
        <w:pBdr>
          <w:top w:val="single" w:sz="4" w:space="1" w:color="auto"/>
          <w:left w:val="single" w:sz="4" w:space="4" w:color="auto"/>
          <w:bottom w:val="single" w:sz="4" w:space="1" w:color="auto"/>
          <w:right w:val="single" w:sz="4" w:space="4" w:color="auto"/>
        </w:pBdr>
        <w:rPr>
          <w:sz w:val="22"/>
          <w:szCs w:val="22"/>
        </w:rPr>
      </w:pPr>
    </w:p>
    <w:p w14:paraId="1340F0C5" w14:textId="77777777" w:rsidR="00B657D9" w:rsidRPr="000A7FAE"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0A7FAE">
        <w:rPr>
          <w:rFonts w:asciiTheme="minorHAnsi" w:eastAsiaTheme="minorHAnsi" w:hAnsiTheme="minorHAnsi" w:cstheme="minorHAnsi"/>
          <w:b/>
          <w:bCs/>
          <w:sz w:val="22"/>
          <w:szCs w:val="22"/>
          <w:lang w:eastAsia="en-US"/>
        </w:rPr>
        <w:t>Conclusion #</w:t>
      </w:r>
      <w:r>
        <w:rPr>
          <w:rFonts w:asciiTheme="minorHAnsi" w:eastAsiaTheme="minorHAnsi" w:hAnsiTheme="minorHAnsi" w:cstheme="minorHAnsi"/>
          <w:b/>
          <w:bCs/>
          <w:sz w:val="22"/>
          <w:szCs w:val="22"/>
          <w:lang w:eastAsia="en-US"/>
        </w:rPr>
        <w:t>7</w:t>
      </w:r>
      <w:r w:rsidRPr="000A7FAE">
        <w:rPr>
          <w:rFonts w:asciiTheme="minorHAnsi" w:eastAsiaTheme="minorHAnsi" w:hAnsiTheme="minorHAnsi" w:cstheme="minorHAnsi"/>
          <w:b/>
          <w:bCs/>
          <w:sz w:val="22"/>
          <w:szCs w:val="22"/>
          <w:lang w:eastAsia="en-US"/>
        </w:rPr>
        <w:t>:</w:t>
      </w:r>
    </w:p>
    <w:p w14:paraId="3D617123" w14:textId="77777777" w:rsidR="00B657D9" w:rsidRPr="006866D5"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Not all planned activities can be delivered within the financial year, which inhibits the realisation of all expected benefits. </w:t>
      </w:r>
    </w:p>
    <w:p w14:paraId="5E3E0EB3" w14:textId="77777777" w:rsidR="00B657D9" w:rsidRPr="006866D5"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sz w:val="22"/>
          <w:szCs w:val="22"/>
          <w:lang w:eastAsia="en-US"/>
        </w:rPr>
      </w:pPr>
    </w:p>
    <w:p w14:paraId="0DC6D1B5" w14:textId="65752414" w:rsidR="00B657D9" w:rsidRPr="00517448" w:rsidRDefault="00B657D9" w:rsidP="00B657D9">
      <w:pPr>
        <w:pBdr>
          <w:top w:val="single" w:sz="4" w:space="1" w:color="auto"/>
          <w:left w:val="single" w:sz="4" w:space="4" w:color="auto"/>
          <w:bottom w:val="single" w:sz="4" w:space="1" w:color="auto"/>
          <w:right w:val="single" w:sz="4" w:space="4" w:color="auto"/>
        </w:pBdr>
        <w:rPr>
          <w:rFonts w:eastAsiaTheme="minorHAnsi" w:cstheme="minorHAnsi"/>
          <w:b/>
          <w:bCs/>
          <w:sz w:val="22"/>
          <w:szCs w:val="22"/>
          <w:lang w:eastAsia="en-US"/>
        </w:rPr>
      </w:pPr>
      <w:r w:rsidRPr="006866D5">
        <w:rPr>
          <w:rFonts w:asciiTheme="minorHAnsi" w:eastAsiaTheme="minorHAnsi" w:hAnsiTheme="minorHAnsi" w:cstheme="minorHAnsi"/>
          <w:b/>
          <w:bCs/>
          <w:sz w:val="22"/>
          <w:szCs w:val="22"/>
          <w:lang w:eastAsia="en-US"/>
        </w:rPr>
        <w:t>Recommendation</w:t>
      </w:r>
      <w:r>
        <w:rPr>
          <w:rFonts w:asciiTheme="minorHAnsi" w:eastAsiaTheme="minorHAnsi" w:hAnsiTheme="minorHAnsi" w:cstheme="minorHAnsi"/>
          <w:sz w:val="22"/>
          <w:szCs w:val="22"/>
          <w:lang w:eastAsia="en-US"/>
        </w:rPr>
        <w:t xml:space="preserve"> </w:t>
      </w:r>
      <w:r w:rsidRPr="009F4CB5">
        <w:rPr>
          <w:rFonts w:asciiTheme="minorHAnsi" w:eastAsiaTheme="minorHAnsi" w:hAnsiTheme="minorHAnsi" w:cstheme="minorHAnsi"/>
          <w:b/>
          <w:bCs/>
          <w:sz w:val="22"/>
          <w:szCs w:val="22"/>
          <w:lang w:eastAsia="en-US"/>
        </w:rPr>
        <w:t>#4:</w:t>
      </w:r>
      <w:r>
        <w:rPr>
          <w:rFonts w:asciiTheme="minorHAnsi" w:eastAsiaTheme="minorHAnsi" w:hAnsiTheme="minorHAnsi" w:cstheme="minorHAnsi"/>
          <w:sz w:val="22"/>
          <w:szCs w:val="22"/>
          <w:lang w:eastAsia="en-US"/>
        </w:rPr>
        <w:t xml:space="preserve"> Flexibility is required to allow activities an opportunity for no-cost extensions when there are sufficient grounds for approving extra time for delivery. This would need to be clearly signalled in the </w:t>
      </w:r>
      <w:proofErr w:type="spellStart"/>
      <w:r>
        <w:rPr>
          <w:rFonts w:asciiTheme="minorHAnsi" w:eastAsiaTheme="minorHAnsi" w:hAnsiTheme="minorHAnsi" w:cstheme="minorHAnsi"/>
          <w:sz w:val="22"/>
          <w:szCs w:val="22"/>
          <w:lang w:eastAsia="en-US"/>
        </w:rPr>
        <w:t>CfP</w:t>
      </w:r>
      <w:proofErr w:type="spellEnd"/>
      <w:r>
        <w:rPr>
          <w:rFonts w:asciiTheme="minorHAnsi" w:eastAsiaTheme="minorHAnsi" w:hAnsiTheme="minorHAnsi" w:cstheme="minorHAnsi"/>
          <w:sz w:val="22"/>
          <w:szCs w:val="22"/>
          <w:lang w:eastAsia="en-US"/>
        </w:rPr>
        <w:t xml:space="preserve"> process, providing clear criteria for determining when such an extension is justified.</w:t>
      </w:r>
    </w:p>
    <w:p w14:paraId="68D95987" w14:textId="77777777" w:rsidR="00B657D9" w:rsidRPr="00B677B4" w:rsidRDefault="00B657D9" w:rsidP="00B00A2A">
      <w:pPr>
        <w:rPr>
          <w:rFonts w:ascii="Arial" w:eastAsiaTheme="minorHAnsi" w:hAnsi="Arial" w:cs="Arial"/>
          <w:sz w:val="18"/>
          <w:szCs w:val="18"/>
          <w:lang w:eastAsia="en-US"/>
        </w:rPr>
      </w:pPr>
    </w:p>
    <w:p w14:paraId="752C43A9" w14:textId="007DB5F7" w:rsidR="00FB3C8F" w:rsidRPr="00C8767A" w:rsidRDefault="00FB3C8F" w:rsidP="00FB3C8F">
      <w:pPr>
        <w:pStyle w:val="Subheading"/>
        <w:rPr>
          <w:lang w:val="en-GB"/>
        </w:rPr>
      </w:pPr>
      <w:r w:rsidRPr="00C8767A">
        <w:rPr>
          <w:lang w:val="en-GB"/>
        </w:rPr>
        <w:t>EQ 4. How well is AMEP II tracking progress?</w:t>
      </w:r>
    </w:p>
    <w:p w14:paraId="71BA725C" w14:textId="18C22504" w:rsidR="00FB3C8F" w:rsidRPr="00B677B4" w:rsidRDefault="00FB3C8F" w:rsidP="00B00A2A">
      <w:pPr>
        <w:rPr>
          <w:rFonts w:cs="Arial"/>
          <w:sz w:val="18"/>
          <w:szCs w:val="18"/>
        </w:rPr>
      </w:pPr>
    </w:p>
    <w:p w14:paraId="1B86C404" w14:textId="73B2D763" w:rsidR="008C0D7E" w:rsidRPr="00B677B4" w:rsidRDefault="008C0D7E" w:rsidP="00A832FA">
      <w:pPr>
        <w:pStyle w:val="Default"/>
        <w:spacing w:line="276" w:lineRule="auto"/>
        <w:rPr>
          <w:rFonts w:asciiTheme="minorHAnsi" w:hAnsiTheme="minorHAnsi" w:cstheme="minorHAnsi"/>
          <w:sz w:val="22"/>
          <w:szCs w:val="22"/>
          <w:lang w:val="en-GB"/>
        </w:rPr>
      </w:pPr>
      <w:r w:rsidRPr="00C8767A">
        <w:rPr>
          <w:sz w:val="22"/>
          <w:szCs w:val="22"/>
          <w:lang w:val="en-GB"/>
        </w:rPr>
        <w:t xml:space="preserve">The </w:t>
      </w:r>
      <w:r w:rsidR="00A73392" w:rsidRPr="00C8767A">
        <w:rPr>
          <w:b/>
          <w:bCs/>
          <w:sz w:val="22"/>
          <w:szCs w:val="22"/>
          <w:lang w:val="en-GB"/>
        </w:rPr>
        <w:t>M</w:t>
      </w:r>
      <w:r w:rsidR="00A73392" w:rsidRPr="00B677B4">
        <w:rPr>
          <w:rFonts w:asciiTheme="minorHAnsi" w:hAnsiTheme="minorHAnsi" w:cstheme="minorHAnsi"/>
          <w:b/>
          <w:bCs/>
          <w:sz w:val="22"/>
          <w:szCs w:val="22"/>
          <w:lang w:val="en-GB"/>
        </w:rPr>
        <w:t xml:space="preserve">&amp;E system has made a considerable investment in designing and implementing tracking against baselines that were developed at the outset, </w:t>
      </w:r>
      <w:r w:rsidRPr="00B677B4">
        <w:rPr>
          <w:rFonts w:asciiTheme="minorHAnsi" w:hAnsiTheme="minorHAnsi" w:cstheme="minorHAnsi"/>
          <w:b/>
          <w:bCs/>
          <w:sz w:val="22"/>
          <w:szCs w:val="22"/>
          <w:lang w:val="en-GB"/>
        </w:rPr>
        <w:t xml:space="preserve">nevertheless </w:t>
      </w:r>
      <w:r w:rsidR="00A73392" w:rsidRPr="00B677B4">
        <w:rPr>
          <w:rFonts w:asciiTheme="minorHAnsi" w:hAnsiTheme="minorHAnsi" w:cstheme="minorHAnsi"/>
          <w:b/>
          <w:bCs/>
          <w:sz w:val="22"/>
          <w:szCs w:val="22"/>
          <w:lang w:val="en-GB"/>
        </w:rPr>
        <w:t>challenges remain</w:t>
      </w:r>
      <w:r w:rsidR="005D58CA" w:rsidRPr="00B677B4">
        <w:rPr>
          <w:rFonts w:asciiTheme="minorHAnsi" w:hAnsiTheme="minorHAnsi" w:cstheme="minorHAnsi"/>
          <w:sz w:val="22"/>
          <w:szCs w:val="22"/>
          <w:lang w:val="en-GB"/>
        </w:rPr>
        <w:t>.</w:t>
      </w:r>
      <w:r w:rsidRPr="00B677B4">
        <w:rPr>
          <w:rFonts w:asciiTheme="minorHAnsi" w:hAnsiTheme="minorHAnsi" w:cstheme="minorHAnsi"/>
          <w:sz w:val="22"/>
          <w:szCs w:val="22"/>
          <w:lang w:val="en-GB"/>
        </w:rPr>
        <w:t xml:space="preserve"> The quality of the annual reports prepared by the program have improved over time, and there is a logical flow to the manner which information is reported, clearly aligned to the 6 pillars on which the program is built. The program routinely updates its surveys </w:t>
      </w:r>
      <w:r w:rsidR="00986D1C" w:rsidRPr="00B677B4">
        <w:rPr>
          <w:rFonts w:asciiTheme="minorHAnsi" w:hAnsiTheme="minorHAnsi" w:cstheme="minorHAnsi"/>
          <w:sz w:val="22"/>
          <w:szCs w:val="22"/>
          <w:lang w:val="en-GB"/>
        </w:rPr>
        <w:t>to</w:t>
      </w:r>
      <w:r w:rsidRPr="00B677B4">
        <w:rPr>
          <w:rFonts w:asciiTheme="minorHAnsi" w:hAnsiTheme="minorHAnsi" w:cstheme="minorHAnsi"/>
          <w:sz w:val="22"/>
          <w:szCs w:val="22"/>
          <w:lang w:val="en-GB"/>
        </w:rPr>
        <w:t xml:space="preserve"> demonstrate the shift in perceptions to collaboration in the sector, </w:t>
      </w:r>
      <w:r w:rsidR="006E31B9">
        <w:rPr>
          <w:rFonts w:asciiTheme="minorHAnsi" w:hAnsiTheme="minorHAnsi" w:cstheme="minorHAnsi"/>
          <w:sz w:val="22"/>
          <w:szCs w:val="22"/>
          <w:lang w:val="en-GB"/>
        </w:rPr>
        <w:t xml:space="preserve">and </w:t>
      </w:r>
      <w:r w:rsidRPr="00B677B4">
        <w:rPr>
          <w:rFonts w:asciiTheme="minorHAnsi" w:hAnsiTheme="minorHAnsi" w:cstheme="minorHAnsi"/>
          <w:sz w:val="22"/>
          <w:szCs w:val="22"/>
          <w:lang w:val="en-GB"/>
        </w:rPr>
        <w:t xml:space="preserve">to gauge how the program’s partners view AMEP II in terms of the program’s management, quality of its outputs, and the extent to which the program is responsive to the needs of its partners. Nevertheless, key informants noted two major areas of concern with the </w:t>
      </w:r>
      <w:r w:rsidR="00986D1C" w:rsidRPr="00B677B4">
        <w:rPr>
          <w:rFonts w:asciiTheme="minorHAnsi" w:hAnsiTheme="minorHAnsi" w:cstheme="minorHAnsi"/>
          <w:sz w:val="22"/>
          <w:szCs w:val="22"/>
          <w:lang w:val="en-GB"/>
        </w:rPr>
        <w:t>way</w:t>
      </w:r>
      <w:r w:rsidRPr="00B677B4">
        <w:rPr>
          <w:rFonts w:asciiTheme="minorHAnsi" w:hAnsiTheme="minorHAnsi" w:cstheme="minorHAnsi"/>
          <w:sz w:val="22"/>
          <w:szCs w:val="22"/>
          <w:lang w:val="en-GB"/>
        </w:rPr>
        <w:t xml:space="preserve"> the progress of the program is reported.</w:t>
      </w:r>
    </w:p>
    <w:p w14:paraId="43ED0CCD" w14:textId="77777777" w:rsidR="008C0D7E" w:rsidRPr="00B677B4" w:rsidRDefault="008C0D7E" w:rsidP="00A832FA">
      <w:pPr>
        <w:pStyle w:val="Default"/>
        <w:spacing w:line="276" w:lineRule="auto"/>
        <w:rPr>
          <w:rFonts w:asciiTheme="minorHAnsi" w:hAnsiTheme="minorHAnsi" w:cstheme="minorHAnsi"/>
          <w:sz w:val="22"/>
          <w:szCs w:val="22"/>
          <w:lang w:val="en-GB"/>
        </w:rPr>
      </w:pPr>
    </w:p>
    <w:p w14:paraId="1097227F" w14:textId="36AF8088" w:rsidR="00A73392" w:rsidRPr="00B677B4" w:rsidRDefault="008C0D7E" w:rsidP="00A832FA">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Firstly, </w:t>
      </w:r>
      <w:r w:rsidRPr="00B677B4">
        <w:rPr>
          <w:rFonts w:asciiTheme="minorHAnsi" w:hAnsiTheme="minorHAnsi" w:cstheme="minorHAnsi"/>
          <w:b/>
          <w:bCs/>
          <w:sz w:val="22"/>
          <w:szCs w:val="22"/>
          <w:lang w:val="en-GB"/>
        </w:rPr>
        <w:t>the program does not routinely measure progress against well</w:t>
      </w:r>
      <w:r w:rsidR="007A4E50" w:rsidRPr="00B677B4">
        <w:rPr>
          <w:rFonts w:asciiTheme="minorHAnsi" w:hAnsiTheme="minorHAnsi" w:cstheme="minorHAnsi"/>
          <w:b/>
          <w:bCs/>
          <w:sz w:val="22"/>
          <w:szCs w:val="22"/>
          <w:lang w:val="en-GB"/>
        </w:rPr>
        <w:t>-</w:t>
      </w:r>
      <w:r w:rsidRPr="00B677B4">
        <w:rPr>
          <w:rFonts w:asciiTheme="minorHAnsi" w:hAnsiTheme="minorHAnsi" w:cstheme="minorHAnsi"/>
          <w:b/>
          <w:bCs/>
          <w:sz w:val="22"/>
          <w:szCs w:val="22"/>
          <w:lang w:val="en-GB"/>
        </w:rPr>
        <w:t>defined indicators</w:t>
      </w:r>
      <w:r w:rsidRPr="00B677B4">
        <w:rPr>
          <w:rFonts w:asciiTheme="minorHAnsi" w:hAnsiTheme="minorHAnsi" w:cstheme="minorHAnsi"/>
          <w:sz w:val="22"/>
          <w:szCs w:val="22"/>
          <w:lang w:val="en-GB"/>
        </w:rPr>
        <w:t>. Whilst the annual reporting is against specific ou</w:t>
      </w:r>
      <w:r w:rsidR="00C24B1E" w:rsidRPr="00B677B4">
        <w:rPr>
          <w:rFonts w:asciiTheme="minorHAnsi" w:hAnsiTheme="minorHAnsi" w:cstheme="minorHAnsi"/>
          <w:sz w:val="22"/>
          <w:szCs w:val="22"/>
          <w:lang w:val="en-GB"/>
        </w:rPr>
        <w:t xml:space="preserve">tputs (as defined annually through the workplan, and which we noted earlier the program largely delivers), aligned to </w:t>
      </w:r>
      <w:proofErr w:type="gramStart"/>
      <w:r w:rsidR="00C24B1E" w:rsidRPr="00B677B4">
        <w:rPr>
          <w:rFonts w:asciiTheme="minorHAnsi" w:hAnsiTheme="minorHAnsi" w:cstheme="minorHAnsi"/>
          <w:sz w:val="22"/>
          <w:szCs w:val="22"/>
          <w:lang w:val="en-GB"/>
        </w:rPr>
        <w:t>particular intermediate</w:t>
      </w:r>
      <w:proofErr w:type="gramEnd"/>
      <w:r w:rsidR="00C24B1E" w:rsidRPr="00B677B4">
        <w:rPr>
          <w:rFonts w:asciiTheme="minorHAnsi" w:hAnsiTheme="minorHAnsi" w:cstheme="minorHAnsi"/>
          <w:sz w:val="22"/>
          <w:szCs w:val="22"/>
          <w:lang w:val="en-GB"/>
        </w:rPr>
        <w:t xml:space="preserve"> outcomes, there are no indicators against which the program is reporting. Moreover, the 6 pillars which the program does report against do not appear in the original Theory of Change (</w:t>
      </w:r>
      <w:proofErr w:type="spellStart"/>
      <w:r w:rsidR="00C24B1E" w:rsidRPr="00B677B4">
        <w:rPr>
          <w:rFonts w:asciiTheme="minorHAnsi" w:hAnsiTheme="minorHAnsi" w:cstheme="minorHAnsi"/>
          <w:sz w:val="22"/>
          <w:szCs w:val="22"/>
          <w:lang w:val="en-GB"/>
        </w:rPr>
        <w:t>ToC</w:t>
      </w:r>
      <w:proofErr w:type="spellEnd"/>
      <w:r w:rsidR="00C24B1E" w:rsidRPr="00B677B4">
        <w:rPr>
          <w:rFonts w:asciiTheme="minorHAnsi" w:hAnsiTheme="minorHAnsi" w:cstheme="minorHAnsi"/>
          <w:sz w:val="22"/>
          <w:szCs w:val="22"/>
          <w:lang w:val="en-GB"/>
        </w:rPr>
        <w:t xml:space="preserve">), which means without the indicators it is difficult to track progress along the different causal pathways of the </w:t>
      </w:r>
      <w:proofErr w:type="spellStart"/>
      <w:r w:rsidR="00C24B1E" w:rsidRPr="00B677B4">
        <w:rPr>
          <w:rFonts w:asciiTheme="minorHAnsi" w:hAnsiTheme="minorHAnsi" w:cstheme="minorHAnsi"/>
          <w:sz w:val="22"/>
          <w:szCs w:val="22"/>
          <w:lang w:val="en-GB"/>
        </w:rPr>
        <w:t>ToC</w:t>
      </w:r>
      <w:proofErr w:type="spellEnd"/>
      <w:r w:rsidR="00C24B1E" w:rsidRPr="00B677B4">
        <w:rPr>
          <w:rFonts w:asciiTheme="minorHAnsi" w:hAnsiTheme="minorHAnsi" w:cstheme="minorHAnsi"/>
          <w:sz w:val="22"/>
          <w:szCs w:val="22"/>
          <w:lang w:val="en-GB"/>
        </w:rPr>
        <w:t>. The two surveys (referred to earlier) are being measured against a baseline, but without indicators (and an accompanying narrative)</w:t>
      </w:r>
      <w:r w:rsidR="006E31B9">
        <w:rPr>
          <w:rFonts w:asciiTheme="minorHAnsi" w:hAnsiTheme="minorHAnsi" w:cstheme="minorHAnsi"/>
          <w:sz w:val="22"/>
          <w:szCs w:val="22"/>
          <w:lang w:val="en-GB"/>
        </w:rPr>
        <w:t>. It is therefore</w:t>
      </w:r>
      <w:r w:rsidR="00C24B1E" w:rsidRPr="00B677B4">
        <w:rPr>
          <w:rFonts w:asciiTheme="minorHAnsi" w:hAnsiTheme="minorHAnsi" w:cstheme="minorHAnsi"/>
          <w:sz w:val="22"/>
          <w:szCs w:val="22"/>
          <w:lang w:val="en-GB"/>
        </w:rPr>
        <w:t xml:space="preserve"> difficult to fully acknowledge the significance of the results of the surveys and to appreciate what the results imply with respect to the overall progress </w:t>
      </w:r>
      <w:r w:rsidR="00C24B1E" w:rsidRPr="00B677B4">
        <w:rPr>
          <w:rFonts w:asciiTheme="minorHAnsi" w:hAnsiTheme="minorHAnsi" w:cstheme="minorHAnsi"/>
          <w:sz w:val="22"/>
          <w:szCs w:val="22"/>
          <w:lang w:val="en-GB"/>
        </w:rPr>
        <w:lastRenderedPageBreak/>
        <w:t>of the program. By largely reporting on the completion of the activities means that the program is not providing a clear picture of its outcomes</w:t>
      </w:r>
      <w:r w:rsidR="006E31B9">
        <w:rPr>
          <w:rFonts w:asciiTheme="minorHAnsi" w:hAnsiTheme="minorHAnsi" w:cstheme="minorHAnsi"/>
          <w:sz w:val="22"/>
          <w:szCs w:val="22"/>
          <w:lang w:val="en-GB"/>
        </w:rPr>
        <w:t>.</w:t>
      </w:r>
      <w:r w:rsidR="00C24B1E" w:rsidRPr="00B677B4">
        <w:rPr>
          <w:rFonts w:asciiTheme="minorHAnsi" w:hAnsiTheme="minorHAnsi" w:cstheme="minorHAnsi"/>
          <w:sz w:val="22"/>
          <w:szCs w:val="22"/>
          <w:lang w:val="en-GB"/>
        </w:rPr>
        <w:t xml:space="preserve"> </w:t>
      </w:r>
      <w:r w:rsidR="006E31B9">
        <w:rPr>
          <w:rFonts w:asciiTheme="minorHAnsi" w:hAnsiTheme="minorHAnsi" w:cstheme="minorHAnsi"/>
          <w:sz w:val="22"/>
          <w:szCs w:val="22"/>
          <w:lang w:val="en-GB"/>
        </w:rPr>
        <w:t>W</w:t>
      </w:r>
      <w:r w:rsidR="00C24B1E" w:rsidRPr="00B677B4">
        <w:rPr>
          <w:rFonts w:asciiTheme="minorHAnsi" w:hAnsiTheme="minorHAnsi" w:cstheme="minorHAnsi"/>
          <w:sz w:val="22"/>
          <w:szCs w:val="22"/>
          <w:lang w:val="en-GB"/>
        </w:rPr>
        <w:t xml:space="preserve">hilst this is difficult with a flexible, responsive </w:t>
      </w:r>
      <w:r w:rsidR="006E31B9">
        <w:rPr>
          <w:rFonts w:asciiTheme="minorHAnsi" w:hAnsiTheme="minorHAnsi" w:cstheme="minorHAnsi"/>
          <w:sz w:val="22"/>
          <w:szCs w:val="22"/>
          <w:lang w:val="en-GB"/>
        </w:rPr>
        <w:t>facility to conduct such measurement</w:t>
      </w:r>
      <w:r w:rsidR="00C24B1E" w:rsidRPr="00B677B4">
        <w:rPr>
          <w:rFonts w:asciiTheme="minorHAnsi" w:hAnsiTheme="minorHAnsi" w:cstheme="minorHAnsi"/>
          <w:sz w:val="22"/>
          <w:szCs w:val="22"/>
          <w:lang w:val="en-GB"/>
        </w:rPr>
        <w:t xml:space="preserve">, it is important for the program to provide a stronger sense of what the sum of its parts equates to. Such reflection will not only highlight the successes of the </w:t>
      </w:r>
      <w:proofErr w:type="gramStart"/>
      <w:r w:rsidR="00C24B1E" w:rsidRPr="00B677B4">
        <w:rPr>
          <w:rFonts w:asciiTheme="minorHAnsi" w:hAnsiTheme="minorHAnsi" w:cstheme="minorHAnsi"/>
          <w:sz w:val="22"/>
          <w:szCs w:val="22"/>
          <w:lang w:val="en-GB"/>
        </w:rPr>
        <w:t>program, but</w:t>
      </w:r>
      <w:proofErr w:type="gramEnd"/>
      <w:r w:rsidR="00C24B1E" w:rsidRPr="00B677B4">
        <w:rPr>
          <w:rFonts w:asciiTheme="minorHAnsi" w:hAnsiTheme="minorHAnsi" w:cstheme="minorHAnsi"/>
          <w:sz w:val="22"/>
          <w:szCs w:val="22"/>
          <w:lang w:val="en-GB"/>
        </w:rPr>
        <w:t xml:space="preserve"> will also signal where the program has not been as successful, what lessons the program has learnt</w:t>
      </w:r>
      <w:r w:rsidR="006E31B9">
        <w:rPr>
          <w:rFonts w:asciiTheme="minorHAnsi" w:hAnsiTheme="minorHAnsi" w:cstheme="minorHAnsi"/>
          <w:sz w:val="22"/>
          <w:szCs w:val="22"/>
          <w:lang w:val="en-GB"/>
        </w:rPr>
        <w:t>,</w:t>
      </w:r>
      <w:r w:rsidR="00C24B1E" w:rsidRPr="00B677B4">
        <w:rPr>
          <w:rFonts w:asciiTheme="minorHAnsi" w:hAnsiTheme="minorHAnsi" w:cstheme="minorHAnsi"/>
          <w:sz w:val="22"/>
          <w:szCs w:val="22"/>
          <w:lang w:val="en-GB"/>
        </w:rPr>
        <w:t xml:space="preserve"> and how the program has adapted and responded to the lessons learnt.</w:t>
      </w:r>
      <w:r w:rsidR="00F7213B" w:rsidRPr="00B677B4">
        <w:rPr>
          <w:rFonts w:asciiTheme="minorHAnsi" w:hAnsiTheme="minorHAnsi" w:cstheme="minorHAnsi"/>
          <w:sz w:val="22"/>
          <w:szCs w:val="22"/>
          <w:lang w:val="en-GB"/>
        </w:rPr>
        <w:t xml:space="preserve"> This will ensure that the </w:t>
      </w:r>
      <w:r w:rsidR="006E31B9">
        <w:rPr>
          <w:rFonts w:asciiTheme="minorHAnsi" w:hAnsiTheme="minorHAnsi" w:cstheme="minorHAnsi"/>
          <w:sz w:val="22"/>
          <w:szCs w:val="22"/>
          <w:lang w:val="en-GB"/>
        </w:rPr>
        <w:t xml:space="preserve">program </w:t>
      </w:r>
      <w:r w:rsidR="00F7213B" w:rsidRPr="00B677B4">
        <w:rPr>
          <w:rFonts w:asciiTheme="minorHAnsi" w:hAnsiTheme="minorHAnsi" w:cstheme="minorHAnsi"/>
          <w:sz w:val="22"/>
          <w:szCs w:val="22"/>
          <w:lang w:val="en-GB"/>
        </w:rPr>
        <w:t>team is also better placed to reflect on the difference it is making, and what progress it is making towards its expected outcomes.</w:t>
      </w:r>
    </w:p>
    <w:p w14:paraId="67267B6B" w14:textId="4A59A8F1" w:rsidR="00C24B1E" w:rsidRPr="00B677B4" w:rsidRDefault="00C24B1E" w:rsidP="00A832FA">
      <w:pPr>
        <w:pStyle w:val="Default"/>
        <w:spacing w:line="276" w:lineRule="auto"/>
        <w:rPr>
          <w:rFonts w:asciiTheme="minorHAnsi" w:hAnsiTheme="minorHAnsi" w:cstheme="minorHAnsi"/>
          <w:sz w:val="22"/>
          <w:szCs w:val="22"/>
          <w:lang w:val="en-GB"/>
        </w:rPr>
      </w:pPr>
    </w:p>
    <w:p w14:paraId="6CB2F3B3" w14:textId="03BD5AAA" w:rsidR="00C24B1E" w:rsidRPr="00B677B4" w:rsidRDefault="00C24B1E" w:rsidP="00A832FA">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Secondly, </w:t>
      </w:r>
      <w:r w:rsidRPr="00023D18">
        <w:rPr>
          <w:rFonts w:asciiTheme="minorHAnsi" w:hAnsiTheme="minorHAnsi" w:cstheme="minorHAnsi"/>
          <w:b/>
          <w:bCs/>
          <w:sz w:val="22"/>
          <w:szCs w:val="22"/>
          <w:lang w:val="en-GB"/>
        </w:rPr>
        <w:t>the approach to M&amp;E does</w:t>
      </w:r>
      <w:r w:rsidR="00023D18">
        <w:rPr>
          <w:rFonts w:asciiTheme="minorHAnsi" w:hAnsiTheme="minorHAnsi" w:cstheme="minorHAnsi"/>
          <w:b/>
          <w:bCs/>
          <w:sz w:val="22"/>
          <w:szCs w:val="22"/>
          <w:lang w:val="en-GB"/>
        </w:rPr>
        <w:t xml:space="preserve"> not</w:t>
      </w:r>
      <w:r w:rsidRPr="00023D18">
        <w:rPr>
          <w:rFonts w:asciiTheme="minorHAnsi" w:hAnsiTheme="minorHAnsi" w:cstheme="minorHAnsi"/>
          <w:b/>
          <w:bCs/>
          <w:sz w:val="22"/>
          <w:szCs w:val="22"/>
          <w:lang w:val="en-GB"/>
        </w:rPr>
        <w:t xml:space="preserve"> provide the Embassy with the </w:t>
      </w:r>
      <w:r w:rsidR="00023D18" w:rsidRPr="00023D18">
        <w:rPr>
          <w:rFonts w:asciiTheme="minorHAnsi" w:hAnsiTheme="minorHAnsi" w:cstheme="minorHAnsi"/>
          <w:b/>
          <w:bCs/>
          <w:sz w:val="22"/>
          <w:szCs w:val="22"/>
          <w:lang w:val="en-GB"/>
        </w:rPr>
        <w:t xml:space="preserve">easily identifiable </w:t>
      </w:r>
      <w:r w:rsidRPr="00023D18">
        <w:rPr>
          <w:rFonts w:asciiTheme="minorHAnsi" w:hAnsiTheme="minorHAnsi" w:cstheme="minorHAnsi"/>
          <w:b/>
          <w:bCs/>
          <w:sz w:val="22"/>
          <w:szCs w:val="22"/>
          <w:lang w:val="en-GB"/>
        </w:rPr>
        <w:t xml:space="preserve">information </w:t>
      </w:r>
      <w:r w:rsidR="00023D18" w:rsidRPr="00023D18">
        <w:rPr>
          <w:rFonts w:asciiTheme="minorHAnsi" w:hAnsiTheme="minorHAnsi" w:cstheme="minorHAnsi"/>
          <w:b/>
          <w:bCs/>
          <w:sz w:val="22"/>
          <w:szCs w:val="22"/>
          <w:lang w:val="en-GB"/>
        </w:rPr>
        <w:t>required for</w:t>
      </w:r>
      <w:r w:rsidRPr="00C8767A">
        <w:rPr>
          <w:rFonts w:asciiTheme="minorHAnsi" w:hAnsiTheme="minorHAnsi" w:cstheme="minorHAnsi"/>
          <w:b/>
          <w:bCs/>
          <w:sz w:val="22"/>
          <w:szCs w:val="22"/>
          <w:lang w:val="en-GB"/>
        </w:rPr>
        <w:t xml:space="preserve"> questions, queries, and reporting needs of DFAT in Canberra</w:t>
      </w:r>
      <w:r w:rsidRPr="00B677B4">
        <w:rPr>
          <w:rFonts w:asciiTheme="minorHAnsi" w:hAnsiTheme="minorHAnsi" w:cstheme="minorHAnsi"/>
          <w:sz w:val="22"/>
          <w:szCs w:val="22"/>
          <w:lang w:val="en-GB"/>
        </w:rPr>
        <w:t>.</w:t>
      </w:r>
      <w:r w:rsidR="00B81CA3" w:rsidRPr="00B677B4">
        <w:rPr>
          <w:rFonts w:asciiTheme="minorHAnsi" w:hAnsiTheme="minorHAnsi" w:cstheme="minorHAnsi"/>
          <w:sz w:val="22"/>
          <w:szCs w:val="22"/>
          <w:lang w:val="en-GB"/>
        </w:rPr>
        <w:t xml:space="preserve"> Currently, DFAT staff find it difficult to prepare, for instance, the annual Investment Monitoring Report (IMR), as </w:t>
      </w:r>
      <w:r w:rsidR="006E31B9">
        <w:rPr>
          <w:rFonts w:asciiTheme="minorHAnsi" w:hAnsiTheme="minorHAnsi" w:cstheme="minorHAnsi"/>
          <w:sz w:val="22"/>
          <w:szCs w:val="22"/>
          <w:lang w:val="en-GB"/>
        </w:rPr>
        <w:t>program</w:t>
      </w:r>
      <w:r w:rsidR="00B81CA3" w:rsidRPr="00B677B4">
        <w:rPr>
          <w:rFonts w:asciiTheme="minorHAnsi" w:hAnsiTheme="minorHAnsi" w:cstheme="minorHAnsi"/>
          <w:sz w:val="22"/>
          <w:szCs w:val="22"/>
          <w:lang w:val="en-GB"/>
        </w:rPr>
        <w:t xml:space="preserve"> information is not captured in a way that aligns with the rigid structure of the IMR. This inhibits progress </w:t>
      </w:r>
      <w:r w:rsidR="00311E8D" w:rsidRPr="00B677B4">
        <w:rPr>
          <w:rFonts w:asciiTheme="minorHAnsi" w:hAnsiTheme="minorHAnsi" w:cstheme="minorHAnsi"/>
          <w:sz w:val="22"/>
          <w:szCs w:val="22"/>
          <w:lang w:val="en-GB"/>
        </w:rPr>
        <w:t>reporting and</w:t>
      </w:r>
      <w:r w:rsidR="00B81CA3" w:rsidRPr="00B677B4">
        <w:rPr>
          <w:rFonts w:asciiTheme="minorHAnsi" w:hAnsiTheme="minorHAnsi" w:cstheme="minorHAnsi"/>
          <w:sz w:val="22"/>
          <w:szCs w:val="22"/>
          <w:lang w:val="en-GB"/>
        </w:rPr>
        <w:t xml:space="preserve"> means that those who have oversight of the program struggle to demonstrate the value and the success of the program. The program is aware of this </w:t>
      </w:r>
      <w:r w:rsidR="00311E8D" w:rsidRPr="00B677B4">
        <w:rPr>
          <w:rFonts w:asciiTheme="minorHAnsi" w:hAnsiTheme="minorHAnsi" w:cstheme="minorHAnsi"/>
          <w:sz w:val="22"/>
          <w:szCs w:val="22"/>
          <w:lang w:val="en-GB"/>
        </w:rPr>
        <w:t>issue and</w:t>
      </w:r>
      <w:r w:rsidR="00B81CA3" w:rsidRPr="00B677B4">
        <w:rPr>
          <w:rFonts w:asciiTheme="minorHAnsi" w:hAnsiTheme="minorHAnsi" w:cstheme="minorHAnsi"/>
          <w:sz w:val="22"/>
          <w:szCs w:val="22"/>
          <w:lang w:val="en-GB"/>
        </w:rPr>
        <w:t xml:space="preserve"> ha</w:t>
      </w:r>
      <w:r w:rsidR="00565676" w:rsidRPr="00B677B4">
        <w:rPr>
          <w:rFonts w:asciiTheme="minorHAnsi" w:hAnsiTheme="minorHAnsi" w:cstheme="minorHAnsi"/>
          <w:sz w:val="22"/>
          <w:szCs w:val="22"/>
          <w:lang w:val="en-GB"/>
        </w:rPr>
        <w:t>s</w:t>
      </w:r>
      <w:r w:rsidR="00B81CA3" w:rsidRPr="00B677B4">
        <w:rPr>
          <w:rFonts w:asciiTheme="minorHAnsi" w:hAnsiTheme="minorHAnsi" w:cstheme="minorHAnsi"/>
          <w:sz w:val="22"/>
          <w:szCs w:val="22"/>
          <w:lang w:val="en-GB"/>
        </w:rPr>
        <w:t xml:space="preserve"> now added an additional level of reporting at the intermediate outcome level. In addition, they have begun to develop a hybrid approach in an attempt to tell the stories of its success with regards to the services it has provided</w:t>
      </w:r>
      <w:r w:rsidR="006E31B9">
        <w:rPr>
          <w:rFonts w:asciiTheme="minorHAnsi" w:hAnsiTheme="minorHAnsi" w:cstheme="minorHAnsi"/>
          <w:sz w:val="22"/>
          <w:szCs w:val="22"/>
          <w:lang w:val="en-GB"/>
        </w:rPr>
        <w:t>,</w:t>
      </w:r>
      <w:r w:rsidR="00B81CA3" w:rsidRPr="00B677B4">
        <w:rPr>
          <w:rFonts w:asciiTheme="minorHAnsi" w:hAnsiTheme="minorHAnsi" w:cstheme="minorHAnsi"/>
          <w:sz w:val="22"/>
          <w:szCs w:val="22"/>
          <w:lang w:val="en-GB"/>
        </w:rPr>
        <w:t xml:space="preserve"> and the shifts and changes it is contributing to within the sector, but also provide more specific quantitative data that also demonstrates the program’s success (number of partners, hits on its website, disaggregated data on workshop participants, </w:t>
      </w:r>
      <w:r w:rsidR="00E131D1" w:rsidRPr="00B677B4">
        <w:rPr>
          <w:rFonts w:asciiTheme="minorHAnsi" w:hAnsiTheme="minorHAnsi" w:cstheme="minorHAnsi"/>
          <w:sz w:val="22"/>
          <w:szCs w:val="22"/>
          <w:lang w:val="en-GB"/>
        </w:rPr>
        <w:t xml:space="preserve">network analysis data and so on).  Whilst this matter is not yet fully resolved (and as already suggested it would be sensible for the program to update and revise its </w:t>
      </w:r>
      <w:proofErr w:type="spellStart"/>
      <w:r w:rsidR="00E131D1" w:rsidRPr="00B677B4">
        <w:rPr>
          <w:rFonts w:asciiTheme="minorHAnsi" w:hAnsiTheme="minorHAnsi" w:cstheme="minorHAnsi"/>
          <w:sz w:val="22"/>
          <w:szCs w:val="22"/>
          <w:lang w:val="en-GB"/>
        </w:rPr>
        <w:t>ToC</w:t>
      </w:r>
      <w:proofErr w:type="spellEnd"/>
      <w:r w:rsidR="00E131D1" w:rsidRPr="00B677B4">
        <w:rPr>
          <w:rFonts w:asciiTheme="minorHAnsi" w:hAnsiTheme="minorHAnsi" w:cstheme="minorHAnsi"/>
          <w:sz w:val="22"/>
          <w:szCs w:val="22"/>
          <w:lang w:val="en-GB"/>
        </w:rPr>
        <w:t xml:space="preserve">), the program realises that it does need to be better at communicating its success both internally and externally to ensure that is also accountable and transparent to the wider stakeholder group it is now working with. </w:t>
      </w:r>
    </w:p>
    <w:p w14:paraId="6A67D958" w14:textId="16F0BC4B" w:rsidR="00FB3C8F" w:rsidRPr="00B677B4" w:rsidRDefault="00FB3C8F" w:rsidP="00B00A2A">
      <w:pPr>
        <w:rPr>
          <w:rFonts w:cs="Arial"/>
          <w:sz w:val="18"/>
          <w:szCs w:val="18"/>
        </w:rPr>
      </w:pPr>
    </w:p>
    <w:p w14:paraId="24E4E283" w14:textId="77777777" w:rsidR="00B657D9" w:rsidRPr="000A7FAE"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0A7FAE">
        <w:rPr>
          <w:rFonts w:asciiTheme="minorHAnsi" w:eastAsiaTheme="minorHAnsi" w:hAnsiTheme="minorHAnsi" w:cstheme="minorHAnsi"/>
          <w:b/>
          <w:bCs/>
          <w:sz w:val="22"/>
          <w:szCs w:val="22"/>
          <w:lang w:eastAsia="en-US"/>
        </w:rPr>
        <w:t>Conclusion</w:t>
      </w:r>
      <w:r>
        <w:rPr>
          <w:rFonts w:asciiTheme="minorHAnsi" w:eastAsiaTheme="minorHAnsi" w:hAnsiTheme="minorHAnsi" w:cstheme="minorHAnsi"/>
          <w:b/>
          <w:bCs/>
          <w:sz w:val="22"/>
          <w:szCs w:val="22"/>
          <w:lang w:eastAsia="en-US"/>
        </w:rPr>
        <w:t xml:space="preserve"> #8</w:t>
      </w:r>
      <w:r w:rsidRPr="000A7FAE">
        <w:rPr>
          <w:rFonts w:asciiTheme="minorHAnsi" w:eastAsiaTheme="minorHAnsi" w:hAnsiTheme="minorHAnsi" w:cstheme="minorHAnsi"/>
          <w:b/>
          <w:bCs/>
          <w:sz w:val="22"/>
          <w:szCs w:val="22"/>
          <w:lang w:eastAsia="en-US"/>
        </w:rPr>
        <w:t>:</w:t>
      </w:r>
    </w:p>
    <w:p w14:paraId="7BD2714F" w14:textId="77777777" w:rsidR="00B657D9" w:rsidRPr="009104D3"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M&amp;E is</w:t>
      </w:r>
      <w:r w:rsidRPr="009104D3">
        <w:rPr>
          <w:rFonts w:asciiTheme="minorHAnsi" w:eastAsiaTheme="minorHAnsi" w:hAnsiTheme="minorHAnsi" w:cstheme="minorBidi"/>
          <w:sz w:val="22"/>
          <w:szCs w:val="22"/>
          <w:lang w:eastAsia="en-US"/>
        </w:rPr>
        <w:t xml:space="preserve"> largely fit for purpose</w:t>
      </w:r>
      <w:r>
        <w:rPr>
          <w:rFonts w:asciiTheme="minorHAnsi" w:eastAsiaTheme="minorHAnsi" w:hAnsiTheme="minorHAnsi" w:cstheme="minorBidi"/>
          <w:sz w:val="22"/>
          <w:szCs w:val="22"/>
          <w:lang w:eastAsia="en-US"/>
        </w:rPr>
        <w:t xml:space="preserve"> at the output level</w:t>
      </w:r>
      <w:r w:rsidRPr="009104D3">
        <w:rPr>
          <w:rFonts w:asciiTheme="minorHAnsi" w:eastAsiaTheme="minorHAnsi" w:hAnsiTheme="minorHAnsi" w:cstheme="minorBidi"/>
          <w:sz w:val="22"/>
          <w:szCs w:val="22"/>
          <w:lang w:eastAsia="en-US"/>
        </w:rPr>
        <w:t>, but it is not sufficiently aligned to the reporting needs of DFAT. In part this is because the program is not tracking in full what it is delivering (although the recent Annual Report is a step in the right direction), and in part because it cannot provide the information requested by DFAT in a timely fashion. This also impacts on the program</w:t>
      </w:r>
      <w:r>
        <w:rPr>
          <w:rFonts w:asciiTheme="minorHAnsi" w:eastAsiaTheme="minorHAnsi" w:hAnsiTheme="minorHAnsi" w:cstheme="minorBidi"/>
          <w:sz w:val="22"/>
          <w:szCs w:val="22"/>
          <w:lang w:eastAsia="en-US"/>
        </w:rPr>
        <w:t xml:space="preserve"> reporting on its achievements </w:t>
      </w:r>
      <w:r w:rsidRPr="009104D3">
        <w:rPr>
          <w:rFonts w:asciiTheme="minorHAnsi" w:eastAsiaTheme="minorHAnsi" w:hAnsiTheme="minorHAnsi" w:cstheme="minorBidi"/>
          <w:sz w:val="22"/>
          <w:szCs w:val="22"/>
          <w:lang w:eastAsia="en-US"/>
        </w:rPr>
        <w:t>at outcome level</w:t>
      </w:r>
      <w:r>
        <w:rPr>
          <w:rFonts w:asciiTheme="minorHAnsi" w:eastAsiaTheme="minorHAnsi" w:hAnsiTheme="minorHAnsi" w:cstheme="minorBidi"/>
          <w:sz w:val="22"/>
          <w:szCs w:val="22"/>
          <w:lang w:eastAsia="en-US"/>
        </w:rPr>
        <w:t>.</w:t>
      </w:r>
    </w:p>
    <w:p w14:paraId="5351ECF8" w14:textId="77777777" w:rsidR="00B657D9" w:rsidRPr="009104D3"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p>
    <w:p w14:paraId="08FCB6F2" w14:textId="77777777" w:rsidR="00B657D9" w:rsidRPr="006E0228" w:rsidRDefault="00B657D9" w:rsidP="00B657D9">
      <w:pPr>
        <w:pStyle w:val="table-text"/>
        <w:pBdr>
          <w:top w:val="single" w:sz="4" w:space="1" w:color="auto"/>
          <w:left w:val="single" w:sz="4" w:space="4" w:color="auto"/>
          <w:bottom w:val="single" w:sz="4" w:space="1" w:color="auto"/>
          <w:right w:val="single" w:sz="4" w:space="4" w:color="auto"/>
        </w:pBdr>
        <w:rPr>
          <w:rFonts w:eastAsiaTheme="minorHAnsi"/>
          <w:b/>
          <w:bCs/>
          <w:sz w:val="22"/>
          <w:szCs w:val="22"/>
          <w:lang w:eastAsia="en-US"/>
        </w:rPr>
      </w:pPr>
      <w:r w:rsidRPr="009104D3">
        <w:rPr>
          <w:rFonts w:asciiTheme="minorHAnsi" w:eastAsiaTheme="minorHAnsi" w:hAnsiTheme="minorHAnsi" w:cstheme="minorBidi"/>
          <w:b/>
          <w:bCs/>
          <w:sz w:val="22"/>
          <w:szCs w:val="22"/>
          <w:lang w:eastAsia="en-US"/>
        </w:rPr>
        <w:t>Recommendation</w:t>
      </w:r>
      <w:r>
        <w:rPr>
          <w:rFonts w:asciiTheme="minorHAnsi" w:eastAsiaTheme="minorHAnsi" w:hAnsiTheme="minorHAnsi" w:cstheme="minorBidi"/>
          <w:b/>
          <w:bCs/>
          <w:sz w:val="22"/>
          <w:szCs w:val="22"/>
          <w:lang w:eastAsia="en-US"/>
        </w:rPr>
        <w:t xml:space="preserve"> #5</w:t>
      </w:r>
      <w:r>
        <w:rPr>
          <w:rFonts w:asciiTheme="minorHAnsi" w:eastAsiaTheme="minorHAnsi" w:hAnsiTheme="minorHAnsi" w:cstheme="minorBidi"/>
          <w:sz w:val="22"/>
          <w:szCs w:val="22"/>
          <w:lang w:eastAsia="en-US"/>
        </w:rPr>
        <w:t>:</w:t>
      </w:r>
      <w:r w:rsidRPr="009104D3">
        <w:rPr>
          <w:rFonts w:asciiTheme="minorHAnsi" w:eastAsiaTheme="minorHAnsi" w:hAnsiTheme="minorHAnsi" w:cstheme="minorBidi"/>
          <w:sz w:val="22"/>
          <w:szCs w:val="22"/>
          <w:lang w:eastAsia="en-US"/>
        </w:rPr>
        <w:t xml:space="preserve">  </w:t>
      </w:r>
      <w:r w:rsidRPr="00CC60CA">
        <w:rPr>
          <w:rFonts w:asciiTheme="minorHAnsi" w:eastAsiaTheme="minorHAnsi" w:hAnsiTheme="minorHAnsi" w:cstheme="minorBidi"/>
          <w:sz w:val="22"/>
          <w:szCs w:val="22"/>
          <w:lang w:eastAsia="en-US"/>
        </w:rPr>
        <w:t>Need for</w:t>
      </w:r>
      <w:r>
        <w:rPr>
          <w:rFonts w:asciiTheme="minorHAnsi" w:eastAsiaTheme="minorHAnsi" w:hAnsiTheme="minorHAnsi" w:cstheme="minorBidi"/>
          <w:sz w:val="22"/>
          <w:szCs w:val="22"/>
          <w:lang w:eastAsia="en-US"/>
        </w:rPr>
        <w:t xml:space="preserve"> the updated </w:t>
      </w:r>
      <w:proofErr w:type="spellStart"/>
      <w:r>
        <w:rPr>
          <w:rFonts w:asciiTheme="minorHAnsi" w:eastAsiaTheme="minorHAnsi" w:hAnsiTheme="minorHAnsi" w:cstheme="minorBidi"/>
          <w:sz w:val="22"/>
          <w:szCs w:val="22"/>
          <w:lang w:eastAsia="en-US"/>
        </w:rPr>
        <w:t>ToC</w:t>
      </w:r>
      <w:proofErr w:type="spellEnd"/>
      <w:r>
        <w:rPr>
          <w:rFonts w:asciiTheme="minorHAnsi" w:eastAsiaTheme="minorHAnsi" w:hAnsiTheme="minorHAnsi" w:cstheme="minorBidi"/>
          <w:sz w:val="22"/>
          <w:szCs w:val="22"/>
          <w:lang w:eastAsia="en-US"/>
        </w:rPr>
        <w:t xml:space="preserve">/ Logic Model to be revised in line with what has already been spelt out in the most recent Annual Report, to ensure that it reflects that ambition of the program, and to ensure reporting is aligned with the revised logic model and meets the reporting needs of DFAT, especially at outcome level. </w:t>
      </w:r>
      <w:r w:rsidRPr="00F7213B">
        <w:rPr>
          <w:rFonts w:asciiTheme="minorHAnsi" w:eastAsiaTheme="minorHAnsi" w:hAnsiTheme="minorHAnsi" w:cstheme="minorBidi"/>
          <w:sz w:val="22"/>
          <w:szCs w:val="22"/>
          <w:lang w:eastAsia="en-US"/>
        </w:rPr>
        <w:t xml:space="preserve"> </w:t>
      </w:r>
    </w:p>
    <w:p w14:paraId="3A65105F" w14:textId="124CBC6A" w:rsidR="00A73392" w:rsidRPr="00B677B4" w:rsidRDefault="00A73392" w:rsidP="009104D3">
      <w:pPr>
        <w:pStyle w:val="table-text"/>
        <w:rPr>
          <w:rFonts w:asciiTheme="minorHAnsi" w:eastAsiaTheme="minorHAnsi" w:hAnsiTheme="minorHAnsi" w:cstheme="minorBidi"/>
          <w:sz w:val="22"/>
          <w:szCs w:val="22"/>
          <w:lang w:eastAsia="en-US"/>
        </w:rPr>
      </w:pPr>
    </w:p>
    <w:p w14:paraId="74ABD832" w14:textId="7F91F457" w:rsidR="00FB3C8F" w:rsidRPr="00B677B4" w:rsidRDefault="00FB3C8F" w:rsidP="00B00A2A">
      <w:pPr>
        <w:rPr>
          <w:rFonts w:cs="Arial"/>
          <w:sz w:val="18"/>
          <w:szCs w:val="18"/>
        </w:rPr>
      </w:pPr>
    </w:p>
    <w:p w14:paraId="1D57A951" w14:textId="5AD153D5" w:rsidR="00FB3C8F" w:rsidRPr="00C8767A" w:rsidRDefault="00FB3C8F" w:rsidP="00FB3C8F">
      <w:pPr>
        <w:pStyle w:val="Subheading"/>
        <w:rPr>
          <w:lang w:val="en-GB"/>
        </w:rPr>
      </w:pPr>
      <w:r w:rsidRPr="00C8767A">
        <w:rPr>
          <w:lang w:val="en-GB"/>
        </w:rPr>
        <w:t>EQ 5. What has AMEP II achieved/ is it on track to meet the expected intermediate outcomes?</w:t>
      </w:r>
    </w:p>
    <w:p w14:paraId="2B89EA7F" w14:textId="64F5D4FD" w:rsidR="00FB3C8F" w:rsidRPr="00B677B4" w:rsidRDefault="00FB3C8F" w:rsidP="00B00A2A">
      <w:pPr>
        <w:rPr>
          <w:rFonts w:ascii="Arial" w:hAnsi="Arial" w:cs="Arial"/>
          <w:sz w:val="18"/>
          <w:szCs w:val="18"/>
        </w:rPr>
      </w:pPr>
    </w:p>
    <w:p w14:paraId="0704F571" w14:textId="1B80F3DE" w:rsidR="00916880" w:rsidRPr="00916880" w:rsidRDefault="00DA22CB" w:rsidP="0017373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 xml:space="preserve">AMEP II has introduced a clearly defined set of intermediate </w:t>
      </w:r>
      <w:r w:rsidR="00311E8D" w:rsidRPr="00B677B4">
        <w:rPr>
          <w:rFonts w:asciiTheme="minorHAnsi" w:hAnsiTheme="minorHAnsi" w:cstheme="minorHAnsi"/>
          <w:b/>
          <w:bCs/>
          <w:sz w:val="22"/>
          <w:szCs w:val="22"/>
          <w:lang w:val="en-GB"/>
        </w:rPr>
        <w:t>outcomes but</w:t>
      </w:r>
      <w:r w:rsidRPr="00B677B4">
        <w:rPr>
          <w:rFonts w:asciiTheme="minorHAnsi" w:hAnsiTheme="minorHAnsi" w:cstheme="minorHAnsi"/>
          <w:b/>
          <w:bCs/>
          <w:sz w:val="22"/>
          <w:szCs w:val="22"/>
          <w:lang w:val="en-GB"/>
        </w:rPr>
        <w:t xml:space="preserve"> does not specifically report progress against these outcomes.</w:t>
      </w:r>
      <w:r w:rsidR="00916880">
        <w:rPr>
          <w:rFonts w:asciiTheme="minorHAnsi" w:hAnsiTheme="minorHAnsi" w:cstheme="minorHAnsi"/>
          <w:b/>
          <w:bCs/>
          <w:sz w:val="22"/>
          <w:szCs w:val="22"/>
          <w:lang w:val="en-GB"/>
        </w:rPr>
        <w:t xml:space="preserve"> </w:t>
      </w:r>
      <w:r w:rsidR="00916880" w:rsidRPr="00916880">
        <w:rPr>
          <w:rFonts w:asciiTheme="minorHAnsi" w:hAnsiTheme="minorHAnsi" w:cstheme="minorHAnsi"/>
          <w:sz w:val="22"/>
          <w:szCs w:val="22"/>
          <w:lang w:val="en-GB"/>
        </w:rPr>
        <w:t xml:space="preserve">Annex 4 provides a list of the activities conducted by AMEP II over the period 2019 – 2022, and highlights the key achievements supported by these activities. In some </w:t>
      </w:r>
      <w:proofErr w:type="gramStart"/>
      <w:r w:rsidR="00916880" w:rsidRPr="00916880">
        <w:rPr>
          <w:rFonts w:asciiTheme="minorHAnsi" w:hAnsiTheme="minorHAnsi" w:cstheme="minorHAnsi"/>
          <w:sz w:val="22"/>
          <w:szCs w:val="22"/>
          <w:lang w:val="en-GB"/>
        </w:rPr>
        <w:t>instances</w:t>
      </w:r>
      <w:proofErr w:type="gramEnd"/>
      <w:r w:rsidR="00916880" w:rsidRPr="00916880">
        <w:rPr>
          <w:rFonts w:asciiTheme="minorHAnsi" w:hAnsiTheme="minorHAnsi" w:cstheme="minorHAnsi"/>
          <w:sz w:val="22"/>
          <w:szCs w:val="22"/>
          <w:lang w:val="en-GB"/>
        </w:rPr>
        <w:t xml:space="preserve"> activities undertaken more recently build on previous work (such as the success achieved with the digitization of geoscience data, MONVAL, ongoing work within the CBM and also exploration guidelines), but this is not always the case. As already </w:t>
      </w:r>
      <w:proofErr w:type="gramStart"/>
      <w:r w:rsidR="00916880" w:rsidRPr="00916880">
        <w:rPr>
          <w:rFonts w:asciiTheme="minorHAnsi" w:hAnsiTheme="minorHAnsi" w:cstheme="minorHAnsi"/>
          <w:sz w:val="22"/>
          <w:szCs w:val="22"/>
          <w:lang w:val="en-GB"/>
        </w:rPr>
        <w:t>noted</w:t>
      </w:r>
      <w:proofErr w:type="gramEnd"/>
      <w:r w:rsidR="00916880" w:rsidRPr="00916880">
        <w:rPr>
          <w:rFonts w:asciiTheme="minorHAnsi" w:hAnsiTheme="minorHAnsi" w:cstheme="minorHAnsi"/>
          <w:sz w:val="22"/>
          <w:szCs w:val="22"/>
          <w:lang w:val="en-GB"/>
        </w:rPr>
        <w:t xml:space="preserve"> the annual workplan </w:t>
      </w:r>
      <w:r w:rsidR="00916880" w:rsidRPr="00916880">
        <w:rPr>
          <w:rFonts w:asciiTheme="minorHAnsi" w:hAnsiTheme="minorHAnsi" w:cstheme="minorHAnsi"/>
          <w:sz w:val="22"/>
          <w:szCs w:val="22"/>
          <w:lang w:val="en-GB"/>
        </w:rPr>
        <w:lastRenderedPageBreak/>
        <w:t>process means that activities are funded for a year, and it cannot be assumed that activities will be funded for more than one year.</w:t>
      </w:r>
      <w:r w:rsidR="00916880">
        <w:rPr>
          <w:rFonts w:asciiTheme="minorHAnsi" w:hAnsiTheme="minorHAnsi" w:cstheme="minorHAnsi"/>
          <w:sz w:val="22"/>
          <w:szCs w:val="22"/>
          <w:lang w:val="en-GB"/>
        </w:rPr>
        <w:t xml:space="preserve"> Moreover, whilst the annual workplan have almost largely been followed and implemented during the prescribed period (bearing in mind however that the pandemic did restrict face-to-face interactions and played havoc with travel schedules), savings made during the annual budget cycle have allowed AMEP II the flexibility to supplement or support </w:t>
      </w:r>
      <w:proofErr w:type="spellStart"/>
      <w:r w:rsidR="00916880">
        <w:rPr>
          <w:rFonts w:asciiTheme="minorHAnsi" w:hAnsiTheme="minorHAnsi" w:cstheme="minorHAnsi"/>
          <w:sz w:val="22"/>
          <w:szCs w:val="22"/>
          <w:lang w:val="en-GB"/>
        </w:rPr>
        <w:t>adhoc</w:t>
      </w:r>
      <w:proofErr w:type="spellEnd"/>
      <w:r w:rsidR="00916880">
        <w:rPr>
          <w:rFonts w:asciiTheme="minorHAnsi" w:hAnsiTheme="minorHAnsi" w:cstheme="minorHAnsi"/>
          <w:sz w:val="22"/>
          <w:szCs w:val="22"/>
          <w:lang w:val="en-GB"/>
        </w:rPr>
        <w:t xml:space="preserve"> requests for support from the Government of Mongolia</w:t>
      </w:r>
      <w:r w:rsidR="009420A3">
        <w:rPr>
          <w:rFonts w:asciiTheme="minorHAnsi" w:hAnsiTheme="minorHAnsi" w:cstheme="minorHAnsi"/>
          <w:sz w:val="22"/>
          <w:szCs w:val="22"/>
          <w:lang w:val="en-GB"/>
        </w:rPr>
        <w:t xml:space="preserve"> (such as the Effective Tax Rate study, and the provision of advice on sovereign development funds as part of MMHI’s preparation of  the new Law on Sovereign Wealth Fund for Mongolia)</w:t>
      </w:r>
      <w:r w:rsidR="00916880">
        <w:rPr>
          <w:rFonts w:asciiTheme="minorHAnsi" w:hAnsiTheme="minorHAnsi" w:cstheme="minorHAnsi"/>
          <w:sz w:val="22"/>
          <w:szCs w:val="22"/>
          <w:lang w:val="en-GB"/>
        </w:rPr>
        <w:t>.</w:t>
      </w:r>
    </w:p>
    <w:p w14:paraId="52AD7898" w14:textId="77777777" w:rsidR="00916880" w:rsidRDefault="00916880" w:rsidP="00173735">
      <w:pPr>
        <w:pStyle w:val="Default"/>
        <w:spacing w:line="276" w:lineRule="auto"/>
        <w:rPr>
          <w:rFonts w:asciiTheme="minorHAnsi" w:hAnsiTheme="minorHAnsi" w:cstheme="minorHAnsi"/>
          <w:b/>
          <w:bCs/>
          <w:sz w:val="22"/>
          <w:szCs w:val="22"/>
          <w:lang w:val="en-GB"/>
        </w:rPr>
      </w:pPr>
    </w:p>
    <w:p w14:paraId="61A5BA93" w14:textId="6448A9F8" w:rsidR="008D3015" w:rsidRPr="00B677B4" w:rsidRDefault="00DA22CB" w:rsidP="0017373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 </w:t>
      </w:r>
      <w:r w:rsidR="00023D18">
        <w:rPr>
          <w:rFonts w:asciiTheme="minorHAnsi" w:hAnsiTheme="minorHAnsi" w:cstheme="minorHAnsi"/>
          <w:sz w:val="22"/>
          <w:szCs w:val="22"/>
          <w:lang w:val="en-GB"/>
        </w:rPr>
        <w:t>In</w:t>
      </w:r>
      <w:r w:rsidRPr="00B677B4">
        <w:rPr>
          <w:rFonts w:asciiTheme="minorHAnsi" w:hAnsiTheme="minorHAnsi" w:cstheme="minorHAnsi"/>
          <w:sz w:val="22"/>
          <w:szCs w:val="22"/>
          <w:lang w:val="en-GB"/>
        </w:rPr>
        <w:t xml:space="preserve"> response to requests </w:t>
      </w:r>
      <w:r w:rsidR="00023D18">
        <w:rPr>
          <w:rFonts w:asciiTheme="minorHAnsi" w:hAnsiTheme="minorHAnsi" w:cstheme="minorHAnsi"/>
          <w:sz w:val="22"/>
          <w:szCs w:val="22"/>
          <w:lang w:val="en-GB"/>
        </w:rPr>
        <w:t xml:space="preserve">to </w:t>
      </w:r>
      <w:r w:rsidRPr="00B677B4">
        <w:rPr>
          <w:rFonts w:asciiTheme="minorHAnsi" w:hAnsiTheme="minorHAnsi" w:cstheme="minorHAnsi"/>
          <w:sz w:val="22"/>
          <w:szCs w:val="22"/>
          <w:lang w:val="en-GB"/>
        </w:rPr>
        <w:t xml:space="preserve">clarify and ensures reports systematically report progress, AMEP II introduced a set of clear intermediate outcomes (listed in the table below), but reports by AMEP II do not provide a cogent narrative of progress against these outcomes. For instance, the most recent report clearly spells out how data quality has improved by providing evidence of how many reports reviewed, summarised, uploaded, and how many users have accessed the NGDB and </w:t>
      </w:r>
      <w:proofErr w:type="spellStart"/>
      <w:r w:rsidRPr="00B677B4">
        <w:rPr>
          <w:rFonts w:asciiTheme="minorHAnsi" w:hAnsiTheme="minorHAnsi" w:cstheme="minorHAnsi"/>
          <w:sz w:val="22"/>
          <w:szCs w:val="22"/>
          <w:lang w:val="en-GB"/>
        </w:rPr>
        <w:t>MonGeoCat</w:t>
      </w:r>
      <w:proofErr w:type="spellEnd"/>
      <w:r w:rsidRPr="00B677B4">
        <w:rPr>
          <w:rFonts w:asciiTheme="minorHAnsi" w:hAnsiTheme="minorHAnsi" w:cstheme="minorHAnsi"/>
          <w:sz w:val="22"/>
          <w:szCs w:val="22"/>
          <w:lang w:val="en-GB"/>
        </w:rPr>
        <w:t xml:space="preserve">. The report also notes that </w:t>
      </w:r>
      <w:r w:rsidR="00830688" w:rsidRPr="00B677B4">
        <w:rPr>
          <w:rFonts w:asciiTheme="minorHAnsi" w:hAnsiTheme="minorHAnsi" w:cstheme="minorHAnsi"/>
          <w:sz w:val="22"/>
          <w:szCs w:val="22"/>
          <w:lang w:val="en-GB"/>
        </w:rPr>
        <w:t xml:space="preserve">privately funded geoscience data has been incorporated into the database. The reader is thus presented, as we have already noted above, </w:t>
      </w:r>
      <w:r w:rsidR="0027089D" w:rsidRPr="00B677B4">
        <w:rPr>
          <w:rFonts w:asciiTheme="minorHAnsi" w:hAnsiTheme="minorHAnsi" w:cstheme="minorHAnsi"/>
          <w:sz w:val="22"/>
          <w:szCs w:val="22"/>
          <w:lang w:val="en-GB"/>
        </w:rPr>
        <w:t xml:space="preserve">with </w:t>
      </w:r>
      <w:r w:rsidR="00830688" w:rsidRPr="00B677B4">
        <w:rPr>
          <w:rFonts w:asciiTheme="minorHAnsi" w:hAnsiTheme="minorHAnsi" w:cstheme="minorHAnsi"/>
          <w:sz w:val="22"/>
          <w:szCs w:val="22"/>
          <w:lang w:val="en-GB"/>
        </w:rPr>
        <w:t xml:space="preserve">convincing evidence that AMEP II continues to deliver its expected outputs. However, what is not reported on in the report is to what extent the data is of sufficient quality to meet the requirements of users (other than that 57% of Mongolia’s land has still to be mapped), and the extent to which the relevant analysis has been improved </w:t>
      </w:r>
      <w:proofErr w:type="gramStart"/>
      <w:r w:rsidR="00830688" w:rsidRPr="00B677B4">
        <w:rPr>
          <w:rFonts w:asciiTheme="minorHAnsi" w:hAnsiTheme="minorHAnsi" w:cstheme="minorHAnsi"/>
          <w:sz w:val="22"/>
          <w:szCs w:val="22"/>
          <w:lang w:val="en-GB"/>
        </w:rPr>
        <w:t>as a result of</w:t>
      </w:r>
      <w:proofErr w:type="gramEnd"/>
      <w:r w:rsidR="00830688" w:rsidRPr="00B677B4">
        <w:rPr>
          <w:rFonts w:asciiTheme="minorHAnsi" w:hAnsiTheme="minorHAnsi" w:cstheme="minorHAnsi"/>
          <w:sz w:val="22"/>
          <w:szCs w:val="22"/>
          <w:lang w:val="en-GB"/>
        </w:rPr>
        <w:t xml:space="preserve"> this accessible data. However, in the case of the digital license and tendering system, the report </w:t>
      </w:r>
      <w:r w:rsidR="00552C7D" w:rsidRPr="00B677B4">
        <w:rPr>
          <w:rFonts w:asciiTheme="minorHAnsi" w:hAnsiTheme="minorHAnsi" w:cstheme="minorHAnsi"/>
          <w:sz w:val="22"/>
          <w:szCs w:val="22"/>
          <w:lang w:val="en-GB"/>
        </w:rPr>
        <w:t>refers</w:t>
      </w:r>
      <w:r w:rsidR="00830688" w:rsidRPr="00B677B4">
        <w:rPr>
          <w:rFonts w:asciiTheme="minorHAnsi" w:hAnsiTheme="minorHAnsi" w:cstheme="minorHAnsi"/>
          <w:sz w:val="22"/>
          <w:szCs w:val="22"/>
          <w:lang w:val="en-GB"/>
        </w:rPr>
        <w:t xml:space="preserve"> to a survey which clearly demonstrates positive feedback on the Digitised Licensing and Tendering System (AMEP II Annual Report, 2021-22, p.19). Additional evidence is also provided with reference to </w:t>
      </w:r>
      <w:r w:rsidR="00AE439B" w:rsidRPr="00B677B4">
        <w:rPr>
          <w:rFonts w:asciiTheme="minorHAnsi" w:hAnsiTheme="minorHAnsi" w:cstheme="minorHAnsi"/>
          <w:sz w:val="22"/>
          <w:szCs w:val="22"/>
          <w:lang w:val="en-GB"/>
        </w:rPr>
        <w:t>the steps the MMHI and MRPAM are taking to sustain the system, and the media stories which have picked up on the value of this system</w:t>
      </w:r>
      <w:r w:rsidR="00830688" w:rsidRPr="00B677B4">
        <w:rPr>
          <w:rFonts w:asciiTheme="minorHAnsi" w:hAnsiTheme="minorHAnsi" w:cstheme="minorHAnsi"/>
          <w:sz w:val="22"/>
          <w:szCs w:val="22"/>
          <w:lang w:val="en-GB"/>
        </w:rPr>
        <w:t xml:space="preserve"> However,</w:t>
      </w:r>
      <w:r w:rsidR="00AE439B" w:rsidRPr="00B677B4">
        <w:rPr>
          <w:rFonts w:asciiTheme="minorHAnsi" w:hAnsiTheme="minorHAnsi" w:cstheme="minorHAnsi"/>
          <w:sz w:val="22"/>
          <w:szCs w:val="22"/>
          <w:lang w:val="en-GB"/>
        </w:rPr>
        <w:t xml:space="preserve"> the</w:t>
      </w:r>
      <w:r w:rsidR="008D3015" w:rsidRPr="00B677B4">
        <w:rPr>
          <w:rFonts w:asciiTheme="minorHAnsi" w:hAnsiTheme="minorHAnsi" w:cstheme="minorHAnsi"/>
          <w:sz w:val="22"/>
          <w:szCs w:val="22"/>
          <w:lang w:val="en-GB"/>
        </w:rPr>
        <w:t>s</w:t>
      </w:r>
      <w:r w:rsidR="00AE439B" w:rsidRPr="00B677B4">
        <w:rPr>
          <w:rFonts w:asciiTheme="minorHAnsi" w:hAnsiTheme="minorHAnsi" w:cstheme="minorHAnsi"/>
          <w:sz w:val="22"/>
          <w:szCs w:val="22"/>
          <w:lang w:val="en-GB"/>
        </w:rPr>
        <w:t xml:space="preserve">e </w:t>
      </w:r>
      <w:r w:rsidR="00830688" w:rsidRPr="00B677B4">
        <w:rPr>
          <w:rFonts w:asciiTheme="minorHAnsi" w:hAnsiTheme="minorHAnsi" w:cstheme="minorHAnsi"/>
          <w:sz w:val="22"/>
          <w:szCs w:val="22"/>
          <w:lang w:val="en-GB"/>
        </w:rPr>
        <w:t>important finding</w:t>
      </w:r>
      <w:r w:rsidR="00AE439B" w:rsidRPr="00B677B4">
        <w:rPr>
          <w:rFonts w:asciiTheme="minorHAnsi" w:hAnsiTheme="minorHAnsi" w:cstheme="minorHAnsi"/>
          <w:sz w:val="22"/>
          <w:szCs w:val="22"/>
          <w:lang w:val="en-GB"/>
        </w:rPr>
        <w:t>s</w:t>
      </w:r>
      <w:r w:rsidR="00830688" w:rsidRPr="00B677B4">
        <w:rPr>
          <w:rFonts w:asciiTheme="minorHAnsi" w:hAnsiTheme="minorHAnsi" w:cstheme="minorHAnsi"/>
          <w:sz w:val="22"/>
          <w:szCs w:val="22"/>
          <w:lang w:val="en-GB"/>
        </w:rPr>
        <w:t xml:space="preserve"> </w:t>
      </w:r>
      <w:r w:rsidR="00AE439B" w:rsidRPr="00B677B4">
        <w:rPr>
          <w:rFonts w:asciiTheme="minorHAnsi" w:hAnsiTheme="minorHAnsi" w:cstheme="minorHAnsi"/>
          <w:sz w:val="22"/>
          <w:szCs w:val="22"/>
          <w:lang w:val="en-GB"/>
        </w:rPr>
        <w:t>(</w:t>
      </w:r>
      <w:r w:rsidR="00830688" w:rsidRPr="00B677B4">
        <w:rPr>
          <w:rFonts w:asciiTheme="minorHAnsi" w:hAnsiTheme="minorHAnsi" w:cstheme="minorHAnsi"/>
          <w:sz w:val="22"/>
          <w:szCs w:val="22"/>
          <w:lang w:val="en-GB"/>
        </w:rPr>
        <w:t xml:space="preserve">which </w:t>
      </w:r>
      <w:r w:rsidR="00AE439B" w:rsidRPr="00B677B4">
        <w:rPr>
          <w:rFonts w:asciiTheme="minorHAnsi" w:hAnsiTheme="minorHAnsi" w:cstheme="minorHAnsi"/>
          <w:sz w:val="22"/>
          <w:szCs w:val="22"/>
          <w:lang w:val="en-GB"/>
        </w:rPr>
        <w:t xml:space="preserve">relate to </w:t>
      </w:r>
      <w:r w:rsidR="00830688" w:rsidRPr="00B677B4">
        <w:rPr>
          <w:rFonts w:asciiTheme="minorHAnsi" w:hAnsiTheme="minorHAnsi" w:cstheme="minorHAnsi"/>
          <w:sz w:val="22"/>
          <w:szCs w:val="22"/>
          <w:lang w:val="en-GB"/>
        </w:rPr>
        <w:t>IO 1.2. below</w:t>
      </w:r>
      <w:r w:rsidR="00AE439B" w:rsidRPr="00B677B4">
        <w:rPr>
          <w:rFonts w:asciiTheme="minorHAnsi" w:hAnsiTheme="minorHAnsi" w:cstheme="minorHAnsi"/>
          <w:sz w:val="22"/>
          <w:szCs w:val="22"/>
          <w:lang w:val="en-GB"/>
        </w:rPr>
        <w:t>)</w:t>
      </w:r>
      <w:r w:rsidR="00830688" w:rsidRPr="00B677B4">
        <w:rPr>
          <w:rFonts w:asciiTheme="minorHAnsi" w:hAnsiTheme="minorHAnsi" w:cstheme="minorHAnsi"/>
          <w:sz w:val="22"/>
          <w:szCs w:val="22"/>
          <w:lang w:val="en-GB"/>
        </w:rPr>
        <w:t xml:space="preserve"> is buried in the text of the report. </w:t>
      </w:r>
    </w:p>
    <w:p w14:paraId="6FFD7EAB" w14:textId="77777777" w:rsidR="008D3015" w:rsidRPr="00B677B4" w:rsidRDefault="008D3015" w:rsidP="00173735">
      <w:pPr>
        <w:pStyle w:val="Default"/>
        <w:spacing w:line="276" w:lineRule="auto"/>
        <w:rPr>
          <w:rFonts w:asciiTheme="minorHAnsi" w:hAnsiTheme="minorHAnsi" w:cstheme="minorHAnsi"/>
          <w:sz w:val="22"/>
          <w:szCs w:val="22"/>
          <w:lang w:val="en-GB"/>
        </w:rPr>
      </w:pPr>
    </w:p>
    <w:p w14:paraId="2C9B38B2" w14:textId="358CF6B0" w:rsidR="00DA22CB" w:rsidRPr="00B677B4" w:rsidRDefault="008D3015" w:rsidP="00173735">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 similar exercise can be conducted with respect to the important work that the program has done over the years to support the MONVAL committee. AMEP II has supported the committee by delivering a range of outputs including developing guidance on mineral valuation, conducted training of committee members in the valuation process (and like the work done in the digitalisation space </w:t>
      </w:r>
      <w:r w:rsidR="006E31B9">
        <w:rPr>
          <w:rFonts w:asciiTheme="minorHAnsi" w:hAnsiTheme="minorHAnsi" w:cstheme="minorHAnsi"/>
          <w:sz w:val="22"/>
          <w:szCs w:val="22"/>
          <w:lang w:val="en-GB"/>
        </w:rPr>
        <w:t>h</w:t>
      </w:r>
      <w:r w:rsidRPr="00B677B4">
        <w:rPr>
          <w:rFonts w:asciiTheme="minorHAnsi" w:hAnsiTheme="minorHAnsi" w:cstheme="minorHAnsi"/>
          <w:sz w:val="22"/>
          <w:szCs w:val="22"/>
          <w:lang w:val="en-GB"/>
        </w:rPr>
        <w:t xml:space="preserve">as drawn on Australian technical assistance to guide the process and create partnerships between authorities in Mongolia and Australia). </w:t>
      </w:r>
      <w:r w:rsidR="00986D1C">
        <w:rPr>
          <w:rFonts w:asciiTheme="minorHAnsi" w:hAnsiTheme="minorHAnsi" w:cstheme="minorHAnsi"/>
          <w:sz w:val="22"/>
          <w:szCs w:val="22"/>
          <w:lang w:val="en-GB"/>
        </w:rPr>
        <w:t>Whilst</w:t>
      </w:r>
      <w:r w:rsidRPr="00B677B4">
        <w:rPr>
          <w:rFonts w:asciiTheme="minorHAnsi" w:hAnsiTheme="minorHAnsi" w:cstheme="minorHAnsi"/>
          <w:sz w:val="22"/>
          <w:szCs w:val="22"/>
          <w:lang w:val="en-GB"/>
        </w:rPr>
        <w:t xml:space="preserve"> the reporting is clear about AMEP II successfully delivering these outputs, it is unclear in the reporting as to how these newly acquired skills are being used</w:t>
      </w:r>
      <w:r w:rsidR="0027089D" w:rsidRPr="00B677B4">
        <w:rPr>
          <w:rFonts w:asciiTheme="minorHAnsi" w:hAnsiTheme="minorHAnsi" w:cstheme="minorHAnsi"/>
          <w:sz w:val="22"/>
          <w:szCs w:val="22"/>
          <w:lang w:val="en-GB"/>
        </w:rPr>
        <w:t xml:space="preserve">, and the extent to which this approach to valuation is contributing to an improvement in transparent public reporting. </w:t>
      </w:r>
      <w:r w:rsidRPr="00B677B4">
        <w:rPr>
          <w:rFonts w:asciiTheme="minorHAnsi" w:hAnsiTheme="minorHAnsi" w:cstheme="minorHAnsi"/>
          <w:sz w:val="22"/>
          <w:szCs w:val="22"/>
          <w:lang w:val="en-GB"/>
        </w:rPr>
        <w:t xml:space="preserve"> </w:t>
      </w:r>
      <w:r w:rsidR="0027089D" w:rsidRPr="00B677B4">
        <w:rPr>
          <w:rFonts w:asciiTheme="minorHAnsi" w:hAnsiTheme="minorHAnsi" w:cstheme="minorHAnsi"/>
          <w:sz w:val="22"/>
          <w:szCs w:val="22"/>
          <w:lang w:val="en-GB"/>
        </w:rPr>
        <w:t xml:space="preserve">Nevertheless, the reporting does provide a sense of the nature of the contribution that the program is making at outcome level, namely that the MONVAL Code is being adopted at national level, and that guidance shaped by the program is being integrated into new legislation (AMEP II Annual Report, 2021-22, p.24). There are many other similar examples across </w:t>
      </w:r>
      <w:proofErr w:type="gramStart"/>
      <w:r w:rsidR="0027089D" w:rsidRPr="00B677B4">
        <w:rPr>
          <w:rFonts w:asciiTheme="minorHAnsi" w:hAnsiTheme="minorHAnsi" w:cstheme="minorHAnsi"/>
          <w:sz w:val="22"/>
          <w:szCs w:val="22"/>
          <w:lang w:val="en-GB"/>
        </w:rPr>
        <w:t>all of</w:t>
      </w:r>
      <w:proofErr w:type="gramEnd"/>
      <w:r w:rsidR="0027089D" w:rsidRPr="00B677B4">
        <w:rPr>
          <w:rFonts w:asciiTheme="minorHAnsi" w:hAnsiTheme="minorHAnsi" w:cstheme="minorHAnsi"/>
          <w:sz w:val="22"/>
          <w:szCs w:val="22"/>
          <w:lang w:val="en-GB"/>
        </w:rPr>
        <w:t xml:space="preserve"> the outcomes listed below. </w:t>
      </w:r>
      <w:r w:rsidR="006E31B9">
        <w:rPr>
          <w:rFonts w:asciiTheme="minorHAnsi" w:hAnsiTheme="minorHAnsi" w:cstheme="minorHAnsi"/>
          <w:sz w:val="22"/>
          <w:szCs w:val="22"/>
          <w:lang w:val="en-GB"/>
        </w:rPr>
        <w:t>Program</w:t>
      </w:r>
      <w:r w:rsidR="00AE439B" w:rsidRPr="00B677B4">
        <w:rPr>
          <w:rFonts w:asciiTheme="minorHAnsi" w:hAnsiTheme="minorHAnsi" w:cstheme="minorHAnsi"/>
          <w:sz w:val="22"/>
          <w:szCs w:val="22"/>
          <w:lang w:val="en-GB"/>
        </w:rPr>
        <w:t xml:space="preserve"> reporting makes it clear what steps are being taken</w:t>
      </w:r>
      <w:r w:rsidR="0027089D" w:rsidRPr="00B677B4">
        <w:rPr>
          <w:rFonts w:asciiTheme="minorHAnsi" w:hAnsiTheme="minorHAnsi" w:cstheme="minorHAnsi"/>
          <w:sz w:val="22"/>
          <w:szCs w:val="22"/>
          <w:lang w:val="en-GB"/>
        </w:rPr>
        <w:t xml:space="preserve"> (</w:t>
      </w:r>
      <w:proofErr w:type="gramStart"/>
      <w:r w:rsidR="0027089D" w:rsidRPr="00B677B4">
        <w:rPr>
          <w:rFonts w:asciiTheme="minorHAnsi" w:hAnsiTheme="minorHAnsi" w:cstheme="minorHAnsi"/>
          <w:sz w:val="22"/>
          <w:szCs w:val="22"/>
          <w:lang w:val="en-GB"/>
        </w:rPr>
        <w:t>i.e.</w:t>
      </w:r>
      <w:proofErr w:type="gramEnd"/>
      <w:r w:rsidR="0027089D" w:rsidRPr="00B677B4">
        <w:rPr>
          <w:rFonts w:asciiTheme="minorHAnsi" w:hAnsiTheme="minorHAnsi" w:cstheme="minorHAnsi"/>
          <w:sz w:val="22"/>
          <w:szCs w:val="22"/>
          <w:lang w:val="en-GB"/>
        </w:rPr>
        <w:t xml:space="preserve"> at output level)</w:t>
      </w:r>
      <w:r w:rsidR="00AE439B" w:rsidRPr="00B677B4">
        <w:rPr>
          <w:rFonts w:asciiTheme="minorHAnsi" w:hAnsiTheme="minorHAnsi" w:cstheme="minorHAnsi"/>
          <w:sz w:val="22"/>
          <w:szCs w:val="22"/>
          <w:lang w:val="en-GB"/>
        </w:rPr>
        <w:t xml:space="preserve"> to realise the expressed intermediate outcomes,</w:t>
      </w:r>
      <w:r w:rsidR="006E31B9">
        <w:rPr>
          <w:rFonts w:asciiTheme="minorHAnsi" w:hAnsiTheme="minorHAnsi" w:cstheme="minorHAnsi"/>
          <w:sz w:val="22"/>
          <w:szCs w:val="22"/>
          <w:lang w:val="en-GB"/>
        </w:rPr>
        <w:t xml:space="preserve"> but</w:t>
      </w:r>
      <w:r w:rsidR="00AE439B" w:rsidRPr="00B677B4">
        <w:rPr>
          <w:rFonts w:asciiTheme="minorHAnsi" w:hAnsiTheme="minorHAnsi" w:cstheme="minorHAnsi"/>
          <w:sz w:val="22"/>
          <w:szCs w:val="22"/>
          <w:lang w:val="en-GB"/>
        </w:rPr>
        <w:t xml:space="preserve"> it remains unclear as to where the program is in terms of reaching the specific intermediate outcomes. This is not to imply that the intermediate outcomes will not be achieved, but rather that </w:t>
      </w:r>
      <w:r w:rsidRPr="00B677B4">
        <w:rPr>
          <w:rFonts w:asciiTheme="minorHAnsi" w:hAnsiTheme="minorHAnsi" w:cstheme="minorHAnsi"/>
          <w:sz w:val="22"/>
          <w:szCs w:val="22"/>
          <w:lang w:val="en-GB"/>
        </w:rPr>
        <w:t>the program needs to provide much greater clarity on its achievements at this level.</w:t>
      </w:r>
    </w:p>
    <w:p w14:paraId="31F567A1" w14:textId="77777777" w:rsidR="00AE439B" w:rsidRPr="00B677B4" w:rsidRDefault="00AE439B" w:rsidP="00173735">
      <w:pPr>
        <w:pStyle w:val="Default"/>
        <w:spacing w:line="276" w:lineRule="auto"/>
        <w:rPr>
          <w:rFonts w:asciiTheme="minorHAnsi" w:hAnsiTheme="minorHAnsi" w:cstheme="minorHAnsi"/>
          <w:sz w:val="22"/>
          <w:szCs w:val="22"/>
          <w:lang w:val="en-GB"/>
        </w:rPr>
      </w:pPr>
    </w:p>
    <w:tbl>
      <w:tblPr>
        <w:tblStyle w:val="table-style-blauw-100-outline"/>
        <w:tblW w:w="4797" w:type="pct"/>
        <w:tblLook w:val="04A0" w:firstRow="1" w:lastRow="0" w:firstColumn="1" w:lastColumn="0" w:noHBand="0" w:noVBand="1"/>
      </w:tblPr>
      <w:tblGrid>
        <w:gridCol w:w="2249"/>
        <w:gridCol w:w="6389"/>
      </w:tblGrid>
      <w:tr w:rsidR="00DA22CB" w:rsidRPr="00B677B4" w14:paraId="6318429B" w14:textId="77777777" w:rsidTr="00DA22CB">
        <w:trPr>
          <w:cnfStyle w:val="100000000000" w:firstRow="1" w:lastRow="0" w:firstColumn="0" w:lastColumn="0" w:oddVBand="0" w:evenVBand="0" w:oddHBand="0" w:evenHBand="0" w:firstRowFirstColumn="0" w:firstRowLastColumn="0" w:lastRowFirstColumn="0" w:lastRowLastColumn="0"/>
          <w:tblHeader/>
        </w:trPr>
        <w:tc>
          <w:tcPr>
            <w:tcW w:w="130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B2E31F4" w14:textId="77777777" w:rsidR="00DA22CB" w:rsidRPr="00B677B4" w:rsidRDefault="00DA22CB" w:rsidP="00586AC3">
            <w:pPr>
              <w:pStyle w:val="table-text"/>
              <w:rPr>
                <w:rFonts w:cs="Arial"/>
                <w:sz w:val="18"/>
                <w:szCs w:val="18"/>
                <w:lang w:val="en-GB"/>
              </w:rPr>
            </w:pPr>
            <w:r w:rsidRPr="00B677B4">
              <w:rPr>
                <w:rFonts w:cs="Arial"/>
                <w:sz w:val="18"/>
                <w:szCs w:val="18"/>
                <w:lang w:val="en-GB"/>
              </w:rPr>
              <w:lastRenderedPageBreak/>
              <w:t>Pillars</w:t>
            </w:r>
          </w:p>
        </w:tc>
        <w:tc>
          <w:tcPr>
            <w:tcW w:w="36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778DF39" w14:textId="77777777" w:rsidR="00DA22CB" w:rsidRPr="00B677B4" w:rsidRDefault="00DA22CB" w:rsidP="00586AC3">
            <w:pPr>
              <w:pStyle w:val="table-text"/>
              <w:rPr>
                <w:rFonts w:cs="Arial"/>
                <w:sz w:val="18"/>
                <w:szCs w:val="18"/>
                <w:lang w:val="en-GB"/>
              </w:rPr>
            </w:pPr>
            <w:r w:rsidRPr="00B677B4">
              <w:rPr>
                <w:rFonts w:cs="Arial"/>
                <w:sz w:val="18"/>
                <w:szCs w:val="18"/>
                <w:lang w:val="en-GB"/>
              </w:rPr>
              <w:t>Intermediate Outcomes</w:t>
            </w:r>
          </w:p>
        </w:tc>
      </w:tr>
      <w:tr w:rsidR="00DA22CB" w:rsidRPr="00B677B4" w14:paraId="0737C8BE" w14:textId="77777777" w:rsidTr="00DA22CB">
        <w:trPr>
          <w:cnfStyle w:val="000000100000" w:firstRow="0" w:lastRow="0" w:firstColumn="0" w:lastColumn="0" w:oddVBand="0" w:evenVBand="0" w:oddHBand="1" w:evenHBand="0" w:firstRowFirstColumn="0" w:firstRowLastColumn="0" w:lastRowFirstColumn="0" w:lastRowLastColumn="0"/>
        </w:trPr>
        <w:tc>
          <w:tcPr>
            <w:tcW w:w="1302" w:type="pct"/>
            <w:vMerge w:val="restart"/>
            <w:tcBorders>
              <w:top w:val="single" w:sz="6" w:space="0" w:color="FFFFFF" w:themeColor="background1"/>
            </w:tcBorders>
            <w:shd w:val="clear" w:color="auto" w:fill="auto"/>
          </w:tcPr>
          <w:p w14:paraId="34C0174A" w14:textId="0EEBCFDA" w:rsidR="00DA22CB" w:rsidRPr="00B677B4" w:rsidRDefault="00DA22CB">
            <w:pPr>
              <w:pStyle w:val="table-text"/>
              <w:numPr>
                <w:ilvl w:val="0"/>
                <w:numId w:val="35"/>
              </w:numPr>
              <w:rPr>
                <w:rFonts w:cs="Arial"/>
                <w:b/>
                <w:sz w:val="18"/>
                <w:szCs w:val="18"/>
                <w:lang w:val="en-GB"/>
              </w:rPr>
            </w:pPr>
            <w:r w:rsidRPr="00B677B4">
              <w:rPr>
                <w:rFonts w:cs="Arial"/>
                <w:b/>
                <w:sz w:val="18"/>
                <w:szCs w:val="18"/>
                <w:lang w:val="en-GB"/>
              </w:rPr>
              <w:t>Competitive Investment Environment</w:t>
            </w:r>
          </w:p>
        </w:tc>
        <w:tc>
          <w:tcPr>
            <w:tcW w:w="3698" w:type="pct"/>
            <w:tcBorders>
              <w:top w:val="single" w:sz="6" w:space="0" w:color="FFFFFF" w:themeColor="background1"/>
              <w:bottom w:val="single" w:sz="4" w:space="0" w:color="auto"/>
            </w:tcBorders>
            <w:shd w:val="clear" w:color="auto" w:fill="auto"/>
          </w:tcPr>
          <w:p w14:paraId="64FA2D5E"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Improved data quality and analysis </w:t>
            </w:r>
          </w:p>
          <w:p w14:paraId="6CAB6B14" w14:textId="77777777" w:rsidR="00DA22CB" w:rsidRPr="00B677B4" w:rsidRDefault="00DA22CB" w:rsidP="00586AC3">
            <w:pPr>
              <w:pStyle w:val="table-text"/>
              <w:rPr>
                <w:rFonts w:eastAsia="Tahoma" w:cs="Arial"/>
                <w:sz w:val="18"/>
                <w:szCs w:val="18"/>
                <w:lang w:val="en-GB"/>
              </w:rPr>
            </w:pPr>
          </w:p>
        </w:tc>
      </w:tr>
      <w:tr w:rsidR="00DA22CB" w:rsidRPr="00B677B4" w14:paraId="4B8BA4DD" w14:textId="77777777" w:rsidTr="00DA22CB">
        <w:trPr>
          <w:cnfStyle w:val="000000010000" w:firstRow="0" w:lastRow="0" w:firstColumn="0" w:lastColumn="0" w:oddVBand="0" w:evenVBand="0" w:oddHBand="0" w:evenHBand="1" w:firstRowFirstColumn="0" w:firstRowLastColumn="0" w:lastRowFirstColumn="0" w:lastRowLastColumn="0"/>
        </w:trPr>
        <w:tc>
          <w:tcPr>
            <w:tcW w:w="1302" w:type="pct"/>
            <w:vMerge/>
            <w:tcBorders>
              <w:bottom w:val="single" w:sz="4" w:space="0" w:color="auto"/>
            </w:tcBorders>
            <w:shd w:val="clear" w:color="auto" w:fill="auto"/>
          </w:tcPr>
          <w:p w14:paraId="021CD8D9" w14:textId="77777777" w:rsidR="00DA22CB" w:rsidRPr="00B677B4" w:rsidRDefault="00DA22CB">
            <w:pPr>
              <w:pStyle w:val="table-text"/>
              <w:numPr>
                <w:ilvl w:val="0"/>
                <w:numId w:val="7"/>
              </w:numPr>
              <w:rPr>
                <w:rFonts w:cs="Arial"/>
                <w:b/>
                <w:sz w:val="18"/>
                <w:szCs w:val="18"/>
                <w:lang w:val="en-GB"/>
              </w:rPr>
            </w:pPr>
          </w:p>
        </w:tc>
        <w:tc>
          <w:tcPr>
            <w:tcW w:w="3698" w:type="pct"/>
            <w:tcBorders>
              <w:top w:val="single" w:sz="4" w:space="0" w:color="auto"/>
              <w:bottom w:val="single" w:sz="4" w:space="0" w:color="auto"/>
            </w:tcBorders>
            <w:shd w:val="clear" w:color="auto" w:fill="auto"/>
          </w:tcPr>
          <w:p w14:paraId="4ECDE309"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On-line implementation and use of digital license and tendering system </w:t>
            </w:r>
          </w:p>
        </w:tc>
      </w:tr>
      <w:tr w:rsidR="00DA22CB" w:rsidRPr="00B677B4" w14:paraId="4DA6B57A" w14:textId="77777777" w:rsidTr="00DA22CB">
        <w:trPr>
          <w:cnfStyle w:val="000000100000" w:firstRow="0" w:lastRow="0" w:firstColumn="0" w:lastColumn="0" w:oddVBand="0" w:evenVBand="0" w:oddHBand="1" w:evenHBand="0" w:firstRowFirstColumn="0" w:firstRowLastColumn="0" w:lastRowFirstColumn="0" w:lastRowLastColumn="0"/>
        </w:trPr>
        <w:tc>
          <w:tcPr>
            <w:tcW w:w="1302" w:type="pct"/>
            <w:vMerge w:val="restart"/>
            <w:tcBorders>
              <w:top w:val="single" w:sz="4" w:space="0" w:color="auto"/>
            </w:tcBorders>
            <w:shd w:val="clear" w:color="auto" w:fill="auto"/>
          </w:tcPr>
          <w:p w14:paraId="47408EE5" w14:textId="77777777" w:rsidR="00DA22CB" w:rsidRPr="00B677B4" w:rsidRDefault="00DA22CB">
            <w:pPr>
              <w:pStyle w:val="table-text"/>
              <w:numPr>
                <w:ilvl w:val="0"/>
                <w:numId w:val="35"/>
              </w:numPr>
              <w:rPr>
                <w:rFonts w:cs="Arial"/>
                <w:b/>
                <w:sz w:val="18"/>
                <w:szCs w:val="18"/>
                <w:lang w:val="en-GB"/>
              </w:rPr>
            </w:pPr>
            <w:r w:rsidRPr="00B677B4">
              <w:rPr>
                <w:rFonts w:cs="Arial"/>
                <w:b/>
                <w:sz w:val="18"/>
                <w:szCs w:val="18"/>
                <w:lang w:val="en-GB"/>
              </w:rPr>
              <w:t>Responsible Extractives Sector</w:t>
            </w:r>
          </w:p>
        </w:tc>
        <w:tc>
          <w:tcPr>
            <w:tcW w:w="3698" w:type="pct"/>
            <w:tcBorders>
              <w:top w:val="single" w:sz="4" w:space="0" w:color="auto"/>
              <w:bottom w:val="single" w:sz="4" w:space="0" w:color="auto"/>
            </w:tcBorders>
            <w:shd w:val="clear" w:color="auto" w:fill="auto"/>
          </w:tcPr>
          <w:p w14:paraId="20508FBB"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Mongolian professionals apply methods and processes consistent with international best practices </w:t>
            </w:r>
          </w:p>
        </w:tc>
      </w:tr>
      <w:tr w:rsidR="00DA22CB" w:rsidRPr="00B677B4" w14:paraId="506B1B11" w14:textId="77777777" w:rsidTr="00DA22CB">
        <w:trPr>
          <w:cnfStyle w:val="000000010000" w:firstRow="0" w:lastRow="0" w:firstColumn="0" w:lastColumn="0" w:oddVBand="0" w:evenVBand="0" w:oddHBand="0" w:evenHBand="1" w:firstRowFirstColumn="0" w:firstRowLastColumn="0" w:lastRowFirstColumn="0" w:lastRowLastColumn="0"/>
        </w:trPr>
        <w:tc>
          <w:tcPr>
            <w:tcW w:w="1302" w:type="pct"/>
            <w:vMerge/>
            <w:tcBorders>
              <w:bottom w:val="single" w:sz="4" w:space="0" w:color="auto"/>
            </w:tcBorders>
            <w:shd w:val="clear" w:color="auto" w:fill="auto"/>
          </w:tcPr>
          <w:p w14:paraId="0F8CDA2C" w14:textId="77777777" w:rsidR="00DA22CB" w:rsidRPr="00B677B4" w:rsidRDefault="00DA22CB">
            <w:pPr>
              <w:pStyle w:val="table-text"/>
              <w:numPr>
                <w:ilvl w:val="0"/>
                <w:numId w:val="35"/>
              </w:numPr>
              <w:rPr>
                <w:rFonts w:cs="Arial"/>
                <w:b/>
                <w:sz w:val="18"/>
                <w:szCs w:val="18"/>
                <w:lang w:val="en-GB"/>
              </w:rPr>
            </w:pPr>
          </w:p>
        </w:tc>
        <w:tc>
          <w:tcPr>
            <w:tcW w:w="3698" w:type="pct"/>
            <w:tcBorders>
              <w:top w:val="single" w:sz="4" w:space="0" w:color="auto"/>
              <w:bottom w:val="single" w:sz="4" w:space="0" w:color="auto"/>
            </w:tcBorders>
            <w:shd w:val="clear" w:color="auto" w:fill="auto"/>
          </w:tcPr>
          <w:p w14:paraId="26BD8A30"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Increased accuracy and uniformity in reporting to the Minerals Council of Mongolia </w:t>
            </w:r>
          </w:p>
        </w:tc>
      </w:tr>
      <w:tr w:rsidR="00DA22CB" w:rsidRPr="00B677B4" w14:paraId="10BF6800" w14:textId="77777777" w:rsidTr="00DA22CB">
        <w:trPr>
          <w:cnfStyle w:val="000000100000" w:firstRow="0" w:lastRow="0" w:firstColumn="0" w:lastColumn="0" w:oddVBand="0" w:evenVBand="0" w:oddHBand="1" w:evenHBand="0" w:firstRowFirstColumn="0" w:firstRowLastColumn="0" w:lastRowFirstColumn="0" w:lastRowLastColumn="0"/>
        </w:trPr>
        <w:tc>
          <w:tcPr>
            <w:tcW w:w="1302" w:type="pct"/>
            <w:vMerge w:val="restart"/>
            <w:tcBorders>
              <w:top w:val="single" w:sz="4" w:space="0" w:color="auto"/>
            </w:tcBorders>
            <w:shd w:val="clear" w:color="auto" w:fill="auto"/>
          </w:tcPr>
          <w:p w14:paraId="37FA4DE4" w14:textId="77777777" w:rsidR="00DA22CB" w:rsidRPr="00B677B4" w:rsidRDefault="00DA22CB">
            <w:pPr>
              <w:pStyle w:val="table-text"/>
              <w:numPr>
                <w:ilvl w:val="0"/>
                <w:numId w:val="35"/>
              </w:numPr>
              <w:rPr>
                <w:rFonts w:cs="Arial"/>
                <w:b/>
                <w:sz w:val="18"/>
                <w:szCs w:val="18"/>
                <w:lang w:val="en-GB"/>
              </w:rPr>
            </w:pPr>
            <w:r w:rsidRPr="00B677B4">
              <w:rPr>
                <w:rFonts w:cs="Arial"/>
                <w:b/>
                <w:sz w:val="18"/>
                <w:szCs w:val="18"/>
                <w:lang w:val="en-GB"/>
              </w:rPr>
              <w:t>Well Governed Extractives Sector</w:t>
            </w:r>
          </w:p>
        </w:tc>
        <w:tc>
          <w:tcPr>
            <w:tcW w:w="3698" w:type="pct"/>
            <w:tcBorders>
              <w:top w:val="single" w:sz="4" w:space="0" w:color="auto"/>
              <w:bottom w:val="single" w:sz="4" w:space="0" w:color="auto"/>
            </w:tcBorders>
            <w:shd w:val="clear" w:color="auto" w:fill="auto"/>
          </w:tcPr>
          <w:p w14:paraId="27B974B7"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Application of consultation framework process applied to draft laws in the mineral sector </w:t>
            </w:r>
          </w:p>
        </w:tc>
      </w:tr>
      <w:tr w:rsidR="00DA22CB" w:rsidRPr="00B677B4" w14:paraId="41FF80D2" w14:textId="77777777" w:rsidTr="00DA22CB">
        <w:trPr>
          <w:cnfStyle w:val="000000010000" w:firstRow="0" w:lastRow="0" w:firstColumn="0" w:lastColumn="0" w:oddVBand="0" w:evenVBand="0" w:oddHBand="0" w:evenHBand="1" w:firstRowFirstColumn="0" w:firstRowLastColumn="0" w:lastRowFirstColumn="0" w:lastRowLastColumn="0"/>
        </w:trPr>
        <w:tc>
          <w:tcPr>
            <w:tcW w:w="1302" w:type="pct"/>
            <w:vMerge/>
            <w:tcBorders>
              <w:bottom w:val="single" w:sz="4" w:space="0" w:color="auto"/>
            </w:tcBorders>
            <w:shd w:val="clear" w:color="auto" w:fill="auto"/>
          </w:tcPr>
          <w:p w14:paraId="1A058179" w14:textId="77777777" w:rsidR="00DA22CB" w:rsidRPr="00B677B4" w:rsidRDefault="00DA22CB">
            <w:pPr>
              <w:pStyle w:val="table-text"/>
              <w:numPr>
                <w:ilvl w:val="0"/>
                <w:numId w:val="35"/>
              </w:numPr>
              <w:rPr>
                <w:rFonts w:cs="Arial"/>
                <w:b/>
                <w:sz w:val="18"/>
                <w:szCs w:val="18"/>
                <w:lang w:val="en-GB"/>
              </w:rPr>
            </w:pPr>
          </w:p>
        </w:tc>
        <w:tc>
          <w:tcPr>
            <w:tcW w:w="3698" w:type="pct"/>
            <w:tcBorders>
              <w:top w:val="single" w:sz="4" w:space="0" w:color="auto"/>
              <w:bottom w:val="single" w:sz="4" w:space="0" w:color="auto"/>
            </w:tcBorders>
            <w:shd w:val="clear" w:color="auto" w:fill="auto"/>
          </w:tcPr>
          <w:p w14:paraId="26270535"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Key Ministries and agencies and regulators responsible for the subsoil law operate within the consistent legislative with clearly defined responsibilities </w:t>
            </w:r>
          </w:p>
        </w:tc>
      </w:tr>
      <w:tr w:rsidR="00DA22CB" w:rsidRPr="00B677B4" w14:paraId="3C1E430E" w14:textId="77777777" w:rsidTr="00DA22CB">
        <w:trPr>
          <w:cnfStyle w:val="000000100000" w:firstRow="0" w:lastRow="0" w:firstColumn="0" w:lastColumn="0" w:oddVBand="0" w:evenVBand="0" w:oddHBand="1" w:evenHBand="0" w:firstRowFirstColumn="0" w:firstRowLastColumn="0" w:lastRowFirstColumn="0" w:lastRowLastColumn="0"/>
        </w:trPr>
        <w:tc>
          <w:tcPr>
            <w:tcW w:w="1302" w:type="pct"/>
            <w:tcBorders>
              <w:top w:val="single" w:sz="4" w:space="0" w:color="auto"/>
              <w:bottom w:val="single" w:sz="4" w:space="0" w:color="auto"/>
            </w:tcBorders>
            <w:shd w:val="clear" w:color="auto" w:fill="auto"/>
          </w:tcPr>
          <w:p w14:paraId="01FDC578" w14:textId="77777777" w:rsidR="00DA22CB" w:rsidRPr="00B677B4" w:rsidRDefault="00DA22CB">
            <w:pPr>
              <w:pStyle w:val="table-text"/>
              <w:numPr>
                <w:ilvl w:val="0"/>
                <w:numId w:val="35"/>
              </w:numPr>
              <w:rPr>
                <w:rFonts w:cs="Arial"/>
                <w:b/>
                <w:sz w:val="18"/>
                <w:szCs w:val="18"/>
                <w:lang w:val="en-GB"/>
              </w:rPr>
            </w:pPr>
            <w:r w:rsidRPr="00B677B4">
              <w:rPr>
                <w:rFonts w:cs="Arial"/>
                <w:b/>
                <w:sz w:val="18"/>
                <w:szCs w:val="18"/>
                <w:lang w:val="en-GB"/>
              </w:rPr>
              <w:t>Inclusive and Diverse Extractives Sector</w:t>
            </w:r>
          </w:p>
        </w:tc>
        <w:tc>
          <w:tcPr>
            <w:tcW w:w="3698" w:type="pct"/>
            <w:tcBorders>
              <w:top w:val="single" w:sz="4" w:space="0" w:color="auto"/>
              <w:bottom w:val="single" w:sz="4" w:space="0" w:color="auto"/>
            </w:tcBorders>
            <w:shd w:val="clear" w:color="auto" w:fill="auto"/>
          </w:tcPr>
          <w:p w14:paraId="6963FE43"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Improved practices around gender inclusion, diversity, and human rights within the sector </w:t>
            </w:r>
          </w:p>
        </w:tc>
      </w:tr>
      <w:tr w:rsidR="00DA22CB" w:rsidRPr="00B677B4" w14:paraId="1D476EA2" w14:textId="77777777" w:rsidTr="00DA22CB">
        <w:trPr>
          <w:cnfStyle w:val="000000010000" w:firstRow="0" w:lastRow="0" w:firstColumn="0" w:lastColumn="0" w:oddVBand="0" w:evenVBand="0" w:oddHBand="0" w:evenHBand="1" w:firstRowFirstColumn="0" w:firstRowLastColumn="0" w:lastRowFirstColumn="0" w:lastRowLastColumn="0"/>
        </w:trPr>
        <w:tc>
          <w:tcPr>
            <w:tcW w:w="1302" w:type="pct"/>
            <w:tcBorders>
              <w:top w:val="single" w:sz="4" w:space="0" w:color="auto"/>
              <w:bottom w:val="single" w:sz="4" w:space="0" w:color="auto"/>
            </w:tcBorders>
            <w:shd w:val="clear" w:color="auto" w:fill="auto"/>
          </w:tcPr>
          <w:p w14:paraId="6FFF4D72" w14:textId="77777777" w:rsidR="00DA22CB" w:rsidRPr="00B677B4" w:rsidRDefault="00DA22CB">
            <w:pPr>
              <w:pStyle w:val="table-text"/>
              <w:numPr>
                <w:ilvl w:val="0"/>
                <w:numId w:val="35"/>
              </w:numPr>
              <w:rPr>
                <w:rFonts w:cs="Arial"/>
                <w:b/>
                <w:sz w:val="18"/>
                <w:szCs w:val="18"/>
                <w:lang w:val="en-GB"/>
              </w:rPr>
            </w:pPr>
            <w:r w:rsidRPr="00B677B4">
              <w:rPr>
                <w:rFonts w:cs="Arial"/>
                <w:b/>
                <w:sz w:val="18"/>
                <w:szCs w:val="18"/>
                <w:lang w:val="en-GB"/>
              </w:rPr>
              <w:t>Community and Environment</w:t>
            </w:r>
          </w:p>
        </w:tc>
        <w:tc>
          <w:tcPr>
            <w:tcW w:w="3698" w:type="pct"/>
            <w:tcBorders>
              <w:top w:val="single" w:sz="4" w:space="0" w:color="auto"/>
              <w:bottom w:val="single" w:sz="4" w:space="0" w:color="auto"/>
            </w:tcBorders>
            <w:shd w:val="clear" w:color="auto" w:fill="auto"/>
          </w:tcPr>
          <w:p w14:paraId="469A01E4"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Practical application of Environmental Impact Assessment guidelines and tools for the purpose of public participation </w:t>
            </w:r>
          </w:p>
        </w:tc>
      </w:tr>
      <w:tr w:rsidR="00DA22CB" w:rsidRPr="00B677B4" w14:paraId="4D786324" w14:textId="77777777" w:rsidTr="00DA22CB">
        <w:trPr>
          <w:cnfStyle w:val="000000100000" w:firstRow="0" w:lastRow="0" w:firstColumn="0" w:lastColumn="0" w:oddVBand="0" w:evenVBand="0" w:oddHBand="1" w:evenHBand="0" w:firstRowFirstColumn="0" w:firstRowLastColumn="0" w:lastRowFirstColumn="0" w:lastRowLastColumn="0"/>
        </w:trPr>
        <w:tc>
          <w:tcPr>
            <w:tcW w:w="1302" w:type="pct"/>
            <w:vMerge w:val="restart"/>
            <w:tcBorders>
              <w:top w:val="single" w:sz="4" w:space="0" w:color="auto"/>
            </w:tcBorders>
            <w:shd w:val="clear" w:color="auto" w:fill="auto"/>
          </w:tcPr>
          <w:p w14:paraId="586BF86B" w14:textId="77777777" w:rsidR="00DA22CB" w:rsidRPr="00B677B4" w:rsidRDefault="00DA22CB">
            <w:pPr>
              <w:pStyle w:val="table-text"/>
              <w:numPr>
                <w:ilvl w:val="0"/>
                <w:numId w:val="35"/>
              </w:numPr>
              <w:rPr>
                <w:rFonts w:cs="Arial"/>
                <w:b/>
                <w:sz w:val="18"/>
                <w:szCs w:val="18"/>
                <w:lang w:val="en-GB"/>
              </w:rPr>
            </w:pPr>
            <w:r w:rsidRPr="00B677B4">
              <w:rPr>
                <w:rFonts w:cs="Arial"/>
                <w:b/>
                <w:sz w:val="18"/>
                <w:szCs w:val="18"/>
                <w:lang w:val="en-GB"/>
              </w:rPr>
              <w:t>Green Energy Transition</w:t>
            </w:r>
          </w:p>
        </w:tc>
        <w:tc>
          <w:tcPr>
            <w:tcW w:w="3698" w:type="pct"/>
            <w:tcBorders>
              <w:top w:val="single" w:sz="4" w:space="0" w:color="auto"/>
              <w:bottom w:val="single" w:sz="4" w:space="0" w:color="auto"/>
            </w:tcBorders>
            <w:shd w:val="clear" w:color="auto" w:fill="auto"/>
          </w:tcPr>
          <w:p w14:paraId="6B62EF04" w14:textId="77777777" w:rsidR="00DA22CB" w:rsidRPr="00B677B4" w:rsidRDefault="00DA22CB" w:rsidP="00586AC3">
            <w:pPr>
              <w:pStyle w:val="Default"/>
              <w:rPr>
                <w:rFonts w:ascii="Arial" w:hAnsi="Arial" w:cs="Arial"/>
                <w:sz w:val="18"/>
                <w:szCs w:val="18"/>
                <w:lang w:val="en-GB"/>
              </w:rPr>
            </w:pPr>
            <w:r w:rsidRPr="00B677B4">
              <w:rPr>
                <w:rFonts w:ascii="Arial" w:hAnsi="Arial" w:cs="Arial"/>
                <w:sz w:val="18"/>
                <w:szCs w:val="18"/>
                <w:lang w:val="en-GB"/>
              </w:rPr>
              <w:t xml:space="preserve">Increased quality and quantity of the geodata related to CBM available to investors. </w:t>
            </w:r>
          </w:p>
        </w:tc>
      </w:tr>
      <w:tr w:rsidR="00DA22CB" w:rsidRPr="00B677B4" w14:paraId="1D18BB6C" w14:textId="77777777" w:rsidTr="00DA22CB">
        <w:trPr>
          <w:cnfStyle w:val="000000010000" w:firstRow="0" w:lastRow="0" w:firstColumn="0" w:lastColumn="0" w:oddVBand="0" w:evenVBand="0" w:oddHBand="0" w:evenHBand="1" w:firstRowFirstColumn="0" w:firstRowLastColumn="0" w:lastRowFirstColumn="0" w:lastRowLastColumn="0"/>
        </w:trPr>
        <w:tc>
          <w:tcPr>
            <w:tcW w:w="1302" w:type="pct"/>
            <w:vMerge/>
            <w:tcBorders>
              <w:bottom w:val="single" w:sz="4" w:space="0" w:color="auto"/>
            </w:tcBorders>
            <w:shd w:val="clear" w:color="auto" w:fill="auto"/>
          </w:tcPr>
          <w:p w14:paraId="1E802B21" w14:textId="77777777" w:rsidR="00DA22CB" w:rsidRPr="00B677B4" w:rsidRDefault="00DA22CB" w:rsidP="00586AC3">
            <w:pPr>
              <w:pStyle w:val="table-text"/>
              <w:rPr>
                <w:rFonts w:cs="Arial"/>
                <w:b/>
                <w:sz w:val="18"/>
                <w:szCs w:val="18"/>
                <w:lang w:val="en-GB"/>
              </w:rPr>
            </w:pPr>
          </w:p>
        </w:tc>
        <w:tc>
          <w:tcPr>
            <w:tcW w:w="3698" w:type="pct"/>
            <w:tcBorders>
              <w:top w:val="single" w:sz="4" w:space="0" w:color="auto"/>
              <w:bottom w:val="single" w:sz="4" w:space="0" w:color="auto"/>
            </w:tcBorders>
            <w:shd w:val="clear" w:color="auto" w:fill="auto"/>
          </w:tcPr>
          <w:p w14:paraId="3291C3FE" w14:textId="77777777" w:rsidR="00DA22CB" w:rsidRPr="00B677B4" w:rsidRDefault="00DA22CB" w:rsidP="00586AC3">
            <w:pPr>
              <w:pStyle w:val="table-text"/>
              <w:rPr>
                <w:rFonts w:eastAsia="Tahoma" w:cs="Arial"/>
                <w:sz w:val="18"/>
                <w:szCs w:val="18"/>
                <w:lang w:val="en-GB"/>
              </w:rPr>
            </w:pPr>
            <w:r w:rsidRPr="00B677B4">
              <w:rPr>
                <w:rFonts w:cs="Arial"/>
                <w:sz w:val="18"/>
                <w:szCs w:val="18"/>
                <w:lang w:val="en-GB"/>
              </w:rPr>
              <w:t xml:space="preserve">Improved value driven decision-making </w:t>
            </w:r>
            <w:proofErr w:type="gramStart"/>
            <w:r w:rsidRPr="00B677B4">
              <w:rPr>
                <w:rFonts w:cs="Arial"/>
                <w:sz w:val="18"/>
                <w:szCs w:val="18"/>
                <w:lang w:val="en-GB"/>
              </w:rPr>
              <w:t>as a result of</w:t>
            </w:r>
            <w:proofErr w:type="gramEnd"/>
            <w:r w:rsidRPr="00B677B4">
              <w:rPr>
                <w:rFonts w:cs="Arial"/>
                <w:sz w:val="18"/>
                <w:szCs w:val="18"/>
                <w:lang w:val="en-GB"/>
              </w:rPr>
              <w:t xml:space="preserve"> investor access to REE) data (NGDB - </w:t>
            </w:r>
            <w:proofErr w:type="spellStart"/>
            <w:r w:rsidRPr="00B677B4">
              <w:rPr>
                <w:rFonts w:cs="Arial"/>
                <w:sz w:val="18"/>
                <w:szCs w:val="18"/>
                <w:lang w:val="en-GB"/>
              </w:rPr>
              <w:t>MonGeoCat</w:t>
            </w:r>
            <w:proofErr w:type="spellEnd"/>
            <w:r w:rsidRPr="00B677B4">
              <w:rPr>
                <w:rFonts w:cs="Arial"/>
                <w:sz w:val="18"/>
                <w:szCs w:val="18"/>
                <w:lang w:val="en-GB"/>
              </w:rPr>
              <w:t>)</w:t>
            </w:r>
          </w:p>
        </w:tc>
      </w:tr>
    </w:tbl>
    <w:p w14:paraId="29819497" w14:textId="77777777" w:rsidR="00DA22CB" w:rsidRPr="00B677B4" w:rsidRDefault="00DA22CB" w:rsidP="00173735">
      <w:pPr>
        <w:pStyle w:val="Default"/>
        <w:spacing w:line="276" w:lineRule="auto"/>
        <w:rPr>
          <w:rFonts w:asciiTheme="minorHAnsi" w:hAnsiTheme="minorHAnsi" w:cstheme="minorHAnsi"/>
          <w:b/>
          <w:bCs/>
          <w:sz w:val="22"/>
          <w:szCs w:val="22"/>
          <w:lang w:val="en-GB"/>
        </w:rPr>
      </w:pPr>
    </w:p>
    <w:p w14:paraId="3B5DAF1E" w14:textId="208C6211" w:rsidR="009B472B" w:rsidRPr="00B677B4" w:rsidRDefault="0027089D" w:rsidP="00AA0E0E">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b/>
          <w:bCs/>
          <w:sz w:val="22"/>
          <w:szCs w:val="22"/>
          <w:lang w:eastAsia="en-US"/>
        </w:rPr>
        <w:t>Factors for the success of AMEP are wide ranging</w:t>
      </w:r>
      <w:r w:rsidR="00AA0E0E" w:rsidRPr="00B677B4">
        <w:rPr>
          <w:rFonts w:asciiTheme="minorHAnsi" w:eastAsiaTheme="minorHAnsi" w:hAnsiTheme="minorHAnsi" w:cstheme="minorBidi"/>
          <w:b/>
          <w:bCs/>
          <w:sz w:val="22"/>
          <w:szCs w:val="22"/>
          <w:lang w:eastAsia="en-US"/>
        </w:rPr>
        <w:t xml:space="preserve"> </w:t>
      </w:r>
      <w:r w:rsidRPr="00B677B4">
        <w:rPr>
          <w:rFonts w:asciiTheme="minorHAnsi" w:eastAsiaTheme="minorHAnsi" w:hAnsiTheme="minorHAnsi" w:cstheme="minorBidi"/>
          <w:b/>
          <w:bCs/>
          <w:sz w:val="22"/>
          <w:szCs w:val="22"/>
          <w:lang w:eastAsia="en-US"/>
        </w:rPr>
        <w:t xml:space="preserve">and reflect </w:t>
      </w:r>
      <w:r w:rsidR="00AA0E0E" w:rsidRPr="00B677B4">
        <w:rPr>
          <w:rFonts w:asciiTheme="minorHAnsi" w:eastAsiaTheme="minorHAnsi" w:hAnsiTheme="minorHAnsi" w:cstheme="minorBidi"/>
          <w:b/>
          <w:bCs/>
          <w:sz w:val="22"/>
          <w:szCs w:val="22"/>
          <w:lang w:eastAsia="en-US"/>
        </w:rPr>
        <w:t>t</w:t>
      </w:r>
      <w:r w:rsidRPr="00B677B4">
        <w:rPr>
          <w:rFonts w:asciiTheme="minorHAnsi" w:eastAsiaTheme="minorHAnsi" w:hAnsiTheme="minorHAnsi" w:cstheme="minorBidi"/>
          <w:b/>
          <w:bCs/>
          <w:sz w:val="22"/>
          <w:szCs w:val="22"/>
          <w:lang w:eastAsia="en-US"/>
        </w:rPr>
        <w:t>he approach used by the program and program’s ability to source appropriate technical assistance</w:t>
      </w:r>
      <w:r w:rsidRPr="00B677B4">
        <w:rPr>
          <w:rFonts w:asciiTheme="minorHAnsi" w:eastAsiaTheme="minorHAnsi" w:hAnsiTheme="minorHAnsi" w:cstheme="minorBidi"/>
          <w:sz w:val="22"/>
          <w:szCs w:val="22"/>
          <w:lang w:eastAsia="en-US"/>
        </w:rPr>
        <w:t>.</w:t>
      </w:r>
      <w:r w:rsidR="00AA0E0E" w:rsidRPr="00B677B4">
        <w:rPr>
          <w:rFonts w:asciiTheme="minorHAnsi" w:eastAsiaTheme="minorHAnsi" w:hAnsiTheme="minorHAnsi" w:cstheme="minorBidi"/>
          <w:sz w:val="22"/>
          <w:szCs w:val="22"/>
          <w:lang w:eastAsia="en-US"/>
        </w:rPr>
        <w:t xml:space="preserve"> Emphasising collaboration and constructive engagement has been a hallmark of AMEP II, and key informants appreciate the fact that the program has invested heavily in facilitating engagement between stakeholders. The program does recognise however, that whilst it has been successful in bringing government and </w:t>
      </w:r>
      <w:r w:rsidR="00AA0ACD" w:rsidRPr="00B677B4">
        <w:rPr>
          <w:rFonts w:asciiTheme="minorHAnsi" w:eastAsiaTheme="minorHAnsi" w:hAnsiTheme="minorHAnsi" w:cstheme="minorBidi"/>
          <w:sz w:val="22"/>
          <w:szCs w:val="22"/>
          <w:lang w:eastAsia="en-US"/>
        </w:rPr>
        <w:t xml:space="preserve">industry </w:t>
      </w:r>
      <w:r w:rsidR="00AA0E0E" w:rsidRPr="00B677B4">
        <w:rPr>
          <w:rFonts w:asciiTheme="minorHAnsi" w:eastAsiaTheme="minorHAnsi" w:hAnsiTheme="minorHAnsi" w:cstheme="minorBidi"/>
          <w:sz w:val="22"/>
          <w:szCs w:val="22"/>
          <w:lang w:eastAsia="en-US"/>
        </w:rPr>
        <w:t>relevant players together (</w:t>
      </w:r>
      <w:r w:rsidR="00AA0ACD" w:rsidRPr="00B677B4">
        <w:rPr>
          <w:rFonts w:asciiTheme="minorHAnsi" w:eastAsiaTheme="minorHAnsi" w:hAnsiTheme="minorHAnsi" w:cstheme="minorBidi"/>
          <w:sz w:val="22"/>
          <w:szCs w:val="22"/>
          <w:lang w:eastAsia="en-US"/>
        </w:rPr>
        <w:t>companies and industry's professional NGOs representing industry interests</w:t>
      </w:r>
      <w:r w:rsidR="00AA0E0E" w:rsidRPr="00B677B4">
        <w:rPr>
          <w:rFonts w:asciiTheme="minorHAnsi" w:eastAsiaTheme="minorHAnsi" w:hAnsiTheme="minorHAnsi" w:cstheme="minorBidi"/>
          <w:sz w:val="22"/>
          <w:szCs w:val="22"/>
          <w:lang w:eastAsia="en-US"/>
        </w:rPr>
        <w:t xml:space="preserve">) it has had less success in bringing </w:t>
      </w:r>
      <w:r w:rsidR="00172987" w:rsidRPr="00B677B4">
        <w:rPr>
          <w:rFonts w:asciiTheme="minorHAnsi" w:eastAsiaTheme="minorHAnsi" w:hAnsiTheme="minorHAnsi" w:cstheme="minorBidi"/>
          <w:sz w:val="22"/>
          <w:szCs w:val="22"/>
          <w:lang w:eastAsia="en-US"/>
        </w:rPr>
        <w:t>community-based</w:t>
      </w:r>
      <w:r w:rsidR="00AA0E0E" w:rsidRPr="00B677B4">
        <w:rPr>
          <w:rFonts w:asciiTheme="minorHAnsi" w:eastAsiaTheme="minorHAnsi" w:hAnsiTheme="minorHAnsi" w:cstheme="minorBidi"/>
          <w:sz w:val="22"/>
          <w:szCs w:val="22"/>
          <w:lang w:eastAsia="en-US"/>
        </w:rPr>
        <w:t xml:space="preserve"> organisations into</w:t>
      </w:r>
      <w:r w:rsidR="009B472B" w:rsidRPr="00B677B4">
        <w:rPr>
          <w:rFonts w:asciiTheme="minorHAnsi" w:eastAsiaTheme="minorHAnsi" w:hAnsiTheme="minorHAnsi" w:cstheme="minorBidi"/>
          <w:sz w:val="22"/>
          <w:szCs w:val="22"/>
          <w:lang w:eastAsia="en-US"/>
        </w:rPr>
        <w:t xml:space="preserve"> relevant conversations. Bringing</w:t>
      </w:r>
      <w:r w:rsidR="00AA0ACD" w:rsidRPr="00B677B4">
        <w:rPr>
          <w:rFonts w:asciiTheme="minorHAnsi" w:eastAsiaTheme="minorHAnsi" w:hAnsiTheme="minorHAnsi" w:cstheme="minorBidi"/>
          <w:sz w:val="22"/>
          <w:szCs w:val="22"/>
          <w:lang w:eastAsia="en-US"/>
        </w:rPr>
        <w:t xml:space="preserve"> government and industry players</w:t>
      </w:r>
      <w:r w:rsidR="009B472B" w:rsidRPr="00B677B4">
        <w:rPr>
          <w:rFonts w:asciiTheme="minorHAnsi" w:eastAsiaTheme="minorHAnsi" w:hAnsiTheme="minorHAnsi" w:cstheme="minorBidi"/>
          <w:sz w:val="22"/>
          <w:szCs w:val="22"/>
          <w:lang w:eastAsia="en-US"/>
        </w:rPr>
        <w:t xml:space="preserve"> together has had a range of benefits for the sector as it ensures that different parties are </w:t>
      </w:r>
      <w:r w:rsidR="00172987" w:rsidRPr="00B677B4">
        <w:rPr>
          <w:rFonts w:asciiTheme="minorHAnsi" w:eastAsiaTheme="minorHAnsi" w:hAnsiTheme="minorHAnsi" w:cstheme="minorBidi"/>
          <w:sz w:val="22"/>
          <w:szCs w:val="22"/>
          <w:lang w:eastAsia="en-US"/>
        </w:rPr>
        <w:t>listening</w:t>
      </w:r>
      <w:r w:rsidR="009B472B" w:rsidRPr="00B677B4">
        <w:rPr>
          <w:rFonts w:asciiTheme="minorHAnsi" w:eastAsiaTheme="minorHAnsi" w:hAnsiTheme="minorHAnsi" w:cstheme="minorBidi"/>
          <w:sz w:val="22"/>
          <w:szCs w:val="22"/>
          <w:lang w:eastAsia="en-US"/>
        </w:rPr>
        <w:t xml:space="preserve"> to each other, it lessens the chance of duplication of effort, and it enhances ownership once the different groups </w:t>
      </w:r>
      <w:r w:rsidR="003641D5" w:rsidRPr="00B677B4">
        <w:rPr>
          <w:rFonts w:asciiTheme="minorHAnsi" w:eastAsiaTheme="minorHAnsi" w:hAnsiTheme="minorHAnsi" w:cstheme="minorBidi"/>
          <w:sz w:val="22"/>
          <w:szCs w:val="22"/>
          <w:lang w:eastAsia="en-US"/>
        </w:rPr>
        <w:t>start working</w:t>
      </w:r>
      <w:r w:rsidR="009B472B" w:rsidRPr="00B677B4">
        <w:rPr>
          <w:rFonts w:asciiTheme="minorHAnsi" w:eastAsiaTheme="minorHAnsi" w:hAnsiTheme="minorHAnsi" w:cstheme="minorBidi"/>
          <w:sz w:val="22"/>
          <w:szCs w:val="22"/>
          <w:lang w:eastAsia="en-US"/>
        </w:rPr>
        <w:t xml:space="preserve"> together.</w:t>
      </w:r>
    </w:p>
    <w:p w14:paraId="4C7B21BA" w14:textId="77777777" w:rsidR="009B472B" w:rsidRPr="00B677B4" w:rsidRDefault="009B472B" w:rsidP="00AA0E0E">
      <w:pPr>
        <w:pStyle w:val="table-text"/>
        <w:rPr>
          <w:rFonts w:asciiTheme="minorHAnsi" w:eastAsiaTheme="minorHAnsi" w:hAnsiTheme="minorHAnsi" w:cstheme="minorBidi"/>
          <w:sz w:val="22"/>
          <w:szCs w:val="22"/>
          <w:lang w:eastAsia="en-US"/>
        </w:rPr>
      </w:pPr>
    </w:p>
    <w:p w14:paraId="51BC8E54" w14:textId="257DB0A6" w:rsidR="009B472B" w:rsidRDefault="009B472B" w:rsidP="00AA0E0E">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sz w:val="22"/>
          <w:szCs w:val="22"/>
          <w:lang w:eastAsia="en-US"/>
        </w:rPr>
        <w:t xml:space="preserve">In terms of technical expertise, the program has brought in highly qualified expertise (sourced both locally and internationally) to provide relevant advice. The presence of industry professionals in the Project team has made it easier to communicate and implement the highly technical projects which AMEP II implements. </w:t>
      </w:r>
      <w:proofErr w:type="gramStart"/>
      <w:r w:rsidRPr="00B677B4">
        <w:rPr>
          <w:rFonts w:asciiTheme="minorHAnsi" w:eastAsiaTheme="minorHAnsi" w:hAnsiTheme="minorHAnsi" w:cstheme="minorBidi"/>
          <w:sz w:val="22"/>
          <w:szCs w:val="22"/>
          <w:lang w:eastAsia="en-US"/>
        </w:rPr>
        <w:t>All of</w:t>
      </w:r>
      <w:proofErr w:type="gramEnd"/>
      <w:r w:rsidRPr="00B677B4">
        <w:rPr>
          <w:rFonts w:asciiTheme="minorHAnsi" w:eastAsiaTheme="minorHAnsi" w:hAnsiTheme="minorHAnsi" w:cstheme="minorBidi"/>
          <w:sz w:val="22"/>
          <w:szCs w:val="22"/>
          <w:lang w:eastAsia="en-US"/>
        </w:rPr>
        <w:t xml:space="preserve"> the projects supported by AMEP II have required very specific technical expertise, which the program has been successful in sourcing, and very few would have progressed without this technical expertise.</w:t>
      </w:r>
      <w:r w:rsidR="003641D5" w:rsidRPr="00B677B4">
        <w:rPr>
          <w:rFonts w:asciiTheme="minorHAnsi" w:eastAsiaTheme="minorHAnsi" w:hAnsiTheme="minorHAnsi" w:cstheme="minorBidi"/>
          <w:sz w:val="22"/>
          <w:szCs w:val="22"/>
          <w:lang w:eastAsia="en-US"/>
        </w:rPr>
        <w:t xml:space="preserve"> The targeted technical expertise has also led to long standing relationships emerging. For instance, Geoscience Australia’s</w:t>
      </w:r>
      <w:r w:rsidR="007202DB">
        <w:rPr>
          <w:rFonts w:asciiTheme="minorHAnsi" w:eastAsiaTheme="minorHAnsi" w:hAnsiTheme="minorHAnsi" w:cstheme="minorBidi"/>
          <w:sz w:val="22"/>
          <w:szCs w:val="22"/>
          <w:lang w:eastAsia="en-US"/>
        </w:rPr>
        <w:t xml:space="preserve"> (GA)</w:t>
      </w:r>
      <w:r w:rsidR="003641D5" w:rsidRPr="00B677B4">
        <w:rPr>
          <w:rFonts w:asciiTheme="minorHAnsi" w:eastAsiaTheme="minorHAnsi" w:hAnsiTheme="minorHAnsi" w:cstheme="minorBidi"/>
          <w:sz w:val="22"/>
          <w:szCs w:val="22"/>
          <w:lang w:eastAsia="en-US"/>
        </w:rPr>
        <w:t xml:space="preserve"> influence on shaping the </w:t>
      </w:r>
      <w:proofErr w:type="spellStart"/>
      <w:r w:rsidR="00814037" w:rsidRPr="00B677B4">
        <w:rPr>
          <w:rFonts w:asciiTheme="minorHAnsi" w:eastAsiaTheme="minorHAnsi" w:hAnsiTheme="minorHAnsi" w:cstheme="minorBidi"/>
          <w:sz w:val="22"/>
          <w:szCs w:val="22"/>
          <w:lang w:eastAsia="en-US"/>
        </w:rPr>
        <w:t>MonGeoCat</w:t>
      </w:r>
      <w:proofErr w:type="spellEnd"/>
      <w:r w:rsidR="003641D5" w:rsidRPr="00B677B4">
        <w:rPr>
          <w:rFonts w:asciiTheme="minorHAnsi" w:eastAsiaTheme="minorHAnsi" w:hAnsiTheme="minorHAnsi" w:cstheme="minorBidi"/>
          <w:sz w:val="22"/>
          <w:szCs w:val="22"/>
          <w:lang w:eastAsia="en-US"/>
        </w:rPr>
        <w:t xml:space="preserve"> has been </w:t>
      </w:r>
      <w:r w:rsidR="006B0B7D" w:rsidRPr="00B677B4">
        <w:rPr>
          <w:rFonts w:asciiTheme="minorHAnsi" w:eastAsiaTheme="minorHAnsi" w:hAnsiTheme="minorHAnsi" w:cstheme="minorBidi"/>
          <w:sz w:val="22"/>
          <w:szCs w:val="22"/>
          <w:lang w:eastAsia="en-US"/>
        </w:rPr>
        <w:t>considerable and</w:t>
      </w:r>
      <w:r w:rsidR="00814037" w:rsidRPr="00B677B4">
        <w:rPr>
          <w:rFonts w:asciiTheme="minorHAnsi" w:eastAsiaTheme="minorHAnsi" w:hAnsiTheme="minorHAnsi" w:cstheme="minorBidi"/>
          <w:sz w:val="22"/>
          <w:szCs w:val="22"/>
          <w:lang w:eastAsia="en-US"/>
        </w:rPr>
        <w:t xml:space="preserve"> has now led to a strong relationship being created between GA and MRPAM who have used GA on subsequent work.</w:t>
      </w:r>
      <w:r w:rsidRPr="00B677B4">
        <w:rPr>
          <w:rFonts w:asciiTheme="minorHAnsi" w:eastAsiaTheme="minorHAnsi" w:hAnsiTheme="minorHAnsi" w:cstheme="minorBidi"/>
          <w:sz w:val="22"/>
          <w:szCs w:val="22"/>
          <w:lang w:eastAsia="en-US"/>
        </w:rPr>
        <w:t xml:space="preserve"> But it is not just the technical expertise that is valued by </w:t>
      </w:r>
      <w:r w:rsidR="006B0B7D" w:rsidRPr="00B677B4">
        <w:rPr>
          <w:rFonts w:asciiTheme="minorHAnsi" w:eastAsiaTheme="minorHAnsi" w:hAnsiTheme="minorHAnsi" w:cstheme="minorBidi"/>
          <w:sz w:val="22"/>
          <w:szCs w:val="22"/>
          <w:lang w:eastAsia="en-US"/>
        </w:rPr>
        <w:t>stakeholders,</w:t>
      </w:r>
      <w:r w:rsidRPr="00B677B4">
        <w:rPr>
          <w:rFonts w:asciiTheme="minorHAnsi" w:eastAsiaTheme="minorHAnsi" w:hAnsiTheme="minorHAnsi" w:cstheme="minorBidi"/>
          <w:sz w:val="22"/>
          <w:szCs w:val="22"/>
          <w:lang w:eastAsia="en-US"/>
        </w:rPr>
        <w:t xml:space="preserve"> but it has also been the program’s focus on utilising the technical expertise to enhance transparency and accountability in the sector. For instance, the provision of microscopes for the analysis of rare elements not only enhances the analysis of the samples, but by recording and capturing the analysis in an accessible database enhances transparency in the sector. </w:t>
      </w:r>
      <w:r w:rsidR="006B0B7D" w:rsidRPr="00B677B4">
        <w:rPr>
          <w:rFonts w:asciiTheme="minorHAnsi" w:eastAsiaTheme="minorHAnsi" w:hAnsiTheme="minorHAnsi" w:cstheme="minorBidi"/>
          <w:sz w:val="22"/>
          <w:szCs w:val="22"/>
          <w:lang w:eastAsia="en-US"/>
        </w:rPr>
        <w:t>Similarly,</w:t>
      </w:r>
      <w:r w:rsidRPr="00B677B4">
        <w:rPr>
          <w:rFonts w:asciiTheme="minorHAnsi" w:eastAsiaTheme="minorHAnsi" w:hAnsiTheme="minorHAnsi" w:cstheme="minorBidi"/>
          <w:sz w:val="22"/>
          <w:szCs w:val="22"/>
          <w:lang w:eastAsia="en-US"/>
        </w:rPr>
        <w:t xml:space="preserve"> whilst the program has pushed for better quality geodata</w:t>
      </w:r>
      <w:r w:rsidR="003641D5" w:rsidRPr="00B677B4">
        <w:rPr>
          <w:rFonts w:asciiTheme="minorHAnsi" w:eastAsiaTheme="minorHAnsi" w:hAnsiTheme="minorHAnsi" w:cstheme="minorBidi"/>
          <w:sz w:val="22"/>
          <w:szCs w:val="22"/>
          <w:lang w:eastAsia="en-US"/>
        </w:rPr>
        <w:t xml:space="preserve"> and improved approaches to EIA, the program has not only helped improve the quality of geodata and EIAs, but it has also contributed to ensuring the data and analyses are accessible and can be shared. </w:t>
      </w:r>
      <w:r w:rsidR="006B0B7D" w:rsidRPr="00B677B4">
        <w:rPr>
          <w:rFonts w:asciiTheme="minorHAnsi" w:eastAsiaTheme="minorHAnsi" w:hAnsiTheme="minorHAnsi" w:cstheme="minorBidi"/>
          <w:sz w:val="22"/>
          <w:szCs w:val="22"/>
          <w:lang w:eastAsia="en-US"/>
        </w:rPr>
        <w:t>Thus,</w:t>
      </w:r>
      <w:r w:rsidR="003641D5" w:rsidRPr="00B677B4">
        <w:rPr>
          <w:rFonts w:asciiTheme="minorHAnsi" w:eastAsiaTheme="minorHAnsi" w:hAnsiTheme="minorHAnsi" w:cstheme="minorBidi"/>
          <w:sz w:val="22"/>
          <w:szCs w:val="22"/>
          <w:lang w:eastAsia="en-US"/>
        </w:rPr>
        <w:t xml:space="preserve"> enhancing transparency </w:t>
      </w:r>
      <w:r w:rsidR="003641D5" w:rsidRPr="00B677B4">
        <w:rPr>
          <w:rFonts w:asciiTheme="minorHAnsi" w:eastAsiaTheme="minorHAnsi" w:hAnsiTheme="minorHAnsi" w:cstheme="minorBidi"/>
          <w:sz w:val="22"/>
          <w:szCs w:val="22"/>
          <w:lang w:eastAsia="en-US"/>
        </w:rPr>
        <w:lastRenderedPageBreak/>
        <w:t>and systematic disclosure which will ultimately influence investor confidence in the sector.</w:t>
      </w:r>
      <w:r w:rsidR="00B657D9">
        <w:rPr>
          <w:rFonts w:asciiTheme="minorHAnsi" w:eastAsiaTheme="minorHAnsi" w:hAnsiTheme="minorHAnsi" w:cstheme="minorBidi"/>
          <w:sz w:val="22"/>
          <w:szCs w:val="22"/>
          <w:lang w:eastAsia="en-US"/>
        </w:rPr>
        <w:br/>
      </w:r>
    </w:p>
    <w:p w14:paraId="68A07854" w14:textId="77777777" w:rsidR="00B657D9" w:rsidRPr="000A7FAE"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0A7FAE">
        <w:rPr>
          <w:rFonts w:asciiTheme="minorHAnsi" w:eastAsiaTheme="minorHAnsi" w:hAnsiTheme="minorHAnsi" w:cstheme="minorHAnsi"/>
          <w:b/>
          <w:bCs/>
          <w:sz w:val="22"/>
          <w:szCs w:val="22"/>
          <w:lang w:eastAsia="en-US"/>
        </w:rPr>
        <w:t>Conclusion</w:t>
      </w:r>
      <w:r>
        <w:rPr>
          <w:rFonts w:asciiTheme="minorHAnsi" w:eastAsiaTheme="minorHAnsi" w:hAnsiTheme="minorHAnsi" w:cstheme="minorHAnsi"/>
          <w:b/>
          <w:bCs/>
          <w:sz w:val="22"/>
          <w:szCs w:val="22"/>
          <w:lang w:eastAsia="en-US"/>
        </w:rPr>
        <w:t xml:space="preserve"> #9</w:t>
      </w:r>
      <w:r w:rsidRPr="000A7FAE">
        <w:rPr>
          <w:rFonts w:asciiTheme="minorHAnsi" w:eastAsiaTheme="minorHAnsi" w:hAnsiTheme="minorHAnsi" w:cstheme="minorHAnsi"/>
          <w:b/>
          <w:bCs/>
          <w:sz w:val="22"/>
          <w:szCs w:val="22"/>
          <w:lang w:eastAsia="en-US"/>
        </w:rPr>
        <w:t>:</w:t>
      </w:r>
    </w:p>
    <w:p w14:paraId="6F351730" w14:textId="77777777" w:rsidR="00B657D9"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AMEP continues to be successful in delivering multi-year interventions, that are </w:t>
      </w:r>
      <w:proofErr w:type="gramStart"/>
      <w:r>
        <w:rPr>
          <w:rFonts w:asciiTheme="minorHAnsi" w:eastAsiaTheme="minorHAnsi" w:hAnsiTheme="minorHAnsi" w:cstheme="minorBidi"/>
          <w:sz w:val="22"/>
          <w:szCs w:val="22"/>
          <w:lang w:eastAsia="en-US"/>
        </w:rPr>
        <w:t>making a contribution</w:t>
      </w:r>
      <w:proofErr w:type="gramEnd"/>
      <w:r>
        <w:rPr>
          <w:rFonts w:asciiTheme="minorHAnsi" w:eastAsiaTheme="minorHAnsi" w:hAnsiTheme="minorHAnsi" w:cstheme="minorBidi"/>
          <w:sz w:val="22"/>
          <w:szCs w:val="22"/>
          <w:lang w:eastAsia="en-US"/>
        </w:rPr>
        <w:t xml:space="preserve"> to the sector, but these successes are not always given the visibility they warrant. The program is also demonstrating that a</w:t>
      </w:r>
      <w:r w:rsidRPr="00866290">
        <w:rPr>
          <w:rFonts w:asciiTheme="minorHAnsi" w:eastAsiaTheme="minorHAnsi" w:hAnsiTheme="minorHAnsi" w:cstheme="minorBidi"/>
          <w:sz w:val="22"/>
          <w:szCs w:val="22"/>
          <w:lang w:eastAsia="en-US"/>
        </w:rPr>
        <w:t xml:space="preserve"> longer-term approach to support policy building in the mining sector is needed</w:t>
      </w:r>
      <w:r>
        <w:rPr>
          <w:rFonts w:asciiTheme="minorHAnsi" w:eastAsiaTheme="minorHAnsi" w:hAnsiTheme="minorHAnsi" w:cstheme="minorBidi"/>
          <w:sz w:val="22"/>
          <w:szCs w:val="22"/>
          <w:lang w:eastAsia="en-US"/>
        </w:rPr>
        <w:t xml:space="preserve">. The implication being that support to policy reform cannot be done on an annual basis, but rather requires a significantly longer time frame. The challenge is to find the right balance between longer-term policy support and the short-term actions in response to the </w:t>
      </w:r>
      <w:proofErr w:type="spellStart"/>
      <w:r>
        <w:rPr>
          <w:rFonts w:asciiTheme="minorHAnsi" w:eastAsiaTheme="minorHAnsi" w:hAnsiTheme="minorHAnsi" w:cstheme="minorBidi"/>
          <w:sz w:val="22"/>
          <w:szCs w:val="22"/>
          <w:lang w:eastAsia="en-US"/>
        </w:rPr>
        <w:t>CfPs</w:t>
      </w:r>
      <w:proofErr w:type="spellEnd"/>
      <w:r>
        <w:rPr>
          <w:rFonts w:asciiTheme="minorHAnsi" w:eastAsiaTheme="minorHAnsi" w:hAnsiTheme="minorHAnsi" w:cstheme="minorBidi"/>
          <w:sz w:val="22"/>
          <w:szCs w:val="22"/>
          <w:lang w:eastAsia="en-US"/>
        </w:rPr>
        <w:t>. The longer-term support can be programmed, but the short-term actions by their very nature cannot be planned, and bearing in mind that the context has changed dramatically since the start of the program are the assumptions underlying the program still valid?</w:t>
      </w:r>
    </w:p>
    <w:p w14:paraId="62C7831F" w14:textId="77777777" w:rsidR="00B657D9"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p>
    <w:p w14:paraId="1AFE31AD" w14:textId="77777777" w:rsidR="00B657D9"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r w:rsidRPr="00CB2342">
        <w:rPr>
          <w:rFonts w:asciiTheme="minorHAnsi" w:eastAsiaTheme="minorHAnsi" w:hAnsiTheme="minorHAnsi" w:cstheme="minorBidi"/>
          <w:b/>
          <w:bCs/>
          <w:sz w:val="22"/>
          <w:szCs w:val="22"/>
          <w:lang w:eastAsia="en-US"/>
        </w:rPr>
        <w:t>Recommendation</w:t>
      </w:r>
      <w:r>
        <w:rPr>
          <w:rFonts w:asciiTheme="minorHAnsi" w:eastAsiaTheme="minorHAnsi" w:hAnsiTheme="minorHAnsi" w:cstheme="minorBidi"/>
          <w:b/>
          <w:bCs/>
          <w:sz w:val="22"/>
          <w:szCs w:val="22"/>
          <w:lang w:eastAsia="en-US"/>
        </w:rPr>
        <w:t xml:space="preserve"> #6:</w:t>
      </w:r>
      <w:r>
        <w:rPr>
          <w:rFonts w:asciiTheme="minorHAnsi" w:eastAsiaTheme="minorHAnsi" w:hAnsiTheme="minorHAnsi" w:cstheme="minorBidi"/>
          <w:sz w:val="22"/>
          <w:szCs w:val="22"/>
          <w:lang w:eastAsia="en-US"/>
        </w:rPr>
        <w:t xml:space="preserve"> Critically assess the extent to which the original assumptions of the program remain valid and determine to what extent there is appetite to increase longer term policy support.</w:t>
      </w:r>
    </w:p>
    <w:p w14:paraId="24C48587" w14:textId="77777777" w:rsidR="00B657D9"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p>
    <w:p w14:paraId="4673563D" w14:textId="2C1E67B7" w:rsidR="00FB3C8F" w:rsidRPr="00B657D9" w:rsidRDefault="00B657D9" w:rsidP="00B657D9">
      <w:pPr>
        <w:pStyle w:val="table-t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2"/>
          <w:szCs w:val="22"/>
          <w:lang w:eastAsia="en-US"/>
        </w:rPr>
      </w:pPr>
      <w:r w:rsidRPr="006B0B7D">
        <w:rPr>
          <w:rFonts w:asciiTheme="minorHAnsi" w:eastAsiaTheme="minorHAnsi" w:hAnsiTheme="minorHAnsi" w:cstheme="minorBidi"/>
          <w:b/>
          <w:bCs/>
          <w:sz w:val="22"/>
          <w:szCs w:val="22"/>
          <w:lang w:eastAsia="en-US"/>
        </w:rPr>
        <w:t>Recommendation #7:</w:t>
      </w:r>
      <w:r>
        <w:rPr>
          <w:rFonts w:asciiTheme="minorHAnsi" w:eastAsiaTheme="minorHAnsi" w:hAnsiTheme="minorHAnsi" w:cstheme="minorBidi"/>
          <w:sz w:val="22"/>
          <w:szCs w:val="22"/>
          <w:lang w:eastAsia="en-US"/>
        </w:rPr>
        <w:t xml:space="preserve"> Greater visibility/ publicity needed on key achievements (and a better sense of what still needs to be addressed in the sector).</w:t>
      </w:r>
      <w:r w:rsidRPr="00CB234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Bearing in mind that increased collaboration is an implicit outcome statement of the program, AMEP II could work on explicitly documenting the real </w:t>
      </w:r>
      <w:r w:rsidRPr="004B4F60">
        <w:rPr>
          <w:rFonts w:asciiTheme="minorHAnsi" w:eastAsiaTheme="minorHAnsi" w:hAnsiTheme="minorHAnsi" w:cstheme="minorBidi"/>
          <w:sz w:val="22"/>
          <w:szCs w:val="22"/>
          <w:lang w:eastAsia="en-US"/>
        </w:rPr>
        <w:t xml:space="preserve">change </w:t>
      </w:r>
      <w:r>
        <w:rPr>
          <w:rFonts w:asciiTheme="minorHAnsi" w:eastAsiaTheme="minorHAnsi" w:hAnsiTheme="minorHAnsi" w:cstheme="minorBidi"/>
          <w:sz w:val="22"/>
          <w:szCs w:val="22"/>
          <w:lang w:eastAsia="en-US"/>
        </w:rPr>
        <w:t>that</w:t>
      </w:r>
      <w:r w:rsidRPr="004B4F60">
        <w:rPr>
          <w:rFonts w:asciiTheme="minorHAnsi" w:eastAsiaTheme="minorHAnsi" w:hAnsiTheme="minorHAnsi" w:cstheme="minorBidi"/>
          <w:sz w:val="22"/>
          <w:szCs w:val="22"/>
          <w:lang w:eastAsia="en-US"/>
        </w:rPr>
        <w:t xml:space="preserve"> project activities </w:t>
      </w:r>
      <w:r>
        <w:rPr>
          <w:rFonts w:asciiTheme="minorHAnsi" w:eastAsiaTheme="minorHAnsi" w:hAnsiTheme="minorHAnsi" w:cstheme="minorBidi"/>
          <w:sz w:val="22"/>
          <w:szCs w:val="22"/>
          <w:lang w:eastAsia="en-US"/>
        </w:rPr>
        <w:t xml:space="preserve">have </w:t>
      </w:r>
      <w:r w:rsidRPr="004B4F60">
        <w:rPr>
          <w:rFonts w:asciiTheme="minorHAnsi" w:eastAsiaTheme="minorHAnsi" w:hAnsiTheme="minorHAnsi" w:cstheme="minorBidi"/>
          <w:sz w:val="22"/>
          <w:szCs w:val="22"/>
          <w:lang w:eastAsia="en-US"/>
        </w:rPr>
        <w:t>contribute</w:t>
      </w:r>
      <w:r>
        <w:rPr>
          <w:rFonts w:asciiTheme="minorHAnsi" w:eastAsiaTheme="minorHAnsi" w:hAnsiTheme="minorHAnsi" w:cstheme="minorBidi"/>
          <w:sz w:val="22"/>
          <w:szCs w:val="22"/>
          <w:lang w:eastAsia="en-US"/>
        </w:rPr>
        <w:t>d</w:t>
      </w:r>
      <w:r w:rsidRPr="004B4F60">
        <w:rPr>
          <w:rFonts w:asciiTheme="minorHAnsi" w:eastAsiaTheme="minorHAnsi" w:hAnsiTheme="minorHAnsi" w:cstheme="minorBidi"/>
          <w:sz w:val="22"/>
          <w:szCs w:val="22"/>
          <w:lang w:eastAsia="en-US"/>
        </w:rPr>
        <w:t xml:space="preserve"> to (</w:t>
      </w:r>
      <w:proofErr w:type="gramStart"/>
      <w:r>
        <w:rPr>
          <w:rFonts w:asciiTheme="minorHAnsi" w:eastAsiaTheme="minorHAnsi" w:hAnsiTheme="minorHAnsi" w:cstheme="minorBidi"/>
          <w:sz w:val="22"/>
          <w:szCs w:val="22"/>
          <w:lang w:eastAsia="en-US"/>
        </w:rPr>
        <w:t>i.e.</w:t>
      </w:r>
      <w:proofErr w:type="gramEnd"/>
      <w:r w:rsidRPr="004B4F6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demonstrating the</w:t>
      </w:r>
      <w:r w:rsidRPr="004B4F60">
        <w:rPr>
          <w:rFonts w:asciiTheme="minorHAnsi" w:eastAsiaTheme="minorHAnsi" w:hAnsiTheme="minorHAnsi" w:cstheme="minorBidi"/>
          <w:sz w:val="22"/>
          <w:szCs w:val="22"/>
          <w:lang w:eastAsia="en-US"/>
        </w:rPr>
        <w:t xml:space="preserve"> added value AMEP II </w:t>
      </w:r>
      <w:r>
        <w:rPr>
          <w:rFonts w:asciiTheme="minorHAnsi" w:eastAsiaTheme="minorHAnsi" w:hAnsiTheme="minorHAnsi" w:cstheme="minorBidi"/>
          <w:sz w:val="22"/>
          <w:szCs w:val="22"/>
          <w:lang w:eastAsia="en-US"/>
        </w:rPr>
        <w:t>has delivered to the sector</w:t>
      </w:r>
      <w:r w:rsidRPr="004B4F6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This could also include disseminating information/ publicising exemplary projects/ good practices, and sharing stories of the impact AMEP II is having on the sector (</w:t>
      </w:r>
      <w:proofErr w:type="gramStart"/>
      <w:r>
        <w:rPr>
          <w:rFonts w:asciiTheme="minorHAnsi" w:eastAsiaTheme="minorHAnsi" w:hAnsiTheme="minorHAnsi" w:cstheme="minorBidi"/>
          <w:sz w:val="22"/>
          <w:szCs w:val="22"/>
          <w:lang w:eastAsia="en-US"/>
        </w:rPr>
        <w:t>i.e.</w:t>
      </w:r>
      <w:proofErr w:type="gramEnd"/>
      <w:r>
        <w:rPr>
          <w:rFonts w:asciiTheme="minorHAnsi" w:eastAsiaTheme="minorHAnsi" w:hAnsiTheme="minorHAnsi" w:cstheme="minorBidi"/>
          <w:sz w:val="22"/>
          <w:szCs w:val="22"/>
          <w:lang w:eastAsia="en-US"/>
        </w:rPr>
        <w:t xml:space="preserve"> beyond the direct beneficiaries of activities). Furthermore, based on the Project experience (achievements and challenges with respect to collaboration), AMEP could produce a ‘documentary’ of real cases and practices on failed and </w:t>
      </w:r>
      <w:r>
        <w:rPr>
          <w:rFonts w:asciiTheme="minorHAnsi" w:hAnsiTheme="minorHAnsi" w:cstheme="minorHAnsi"/>
          <w:sz w:val="22"/>
          <w:szCs w:val="22"/>
        </w:rPr>
        <w:t>successful</w:t>
      </w:r>
      <w:r w:rsidRPr="00B677B4">
        <w:rPr>
          <w:rFonts w:asciiTheme="minorHAnsi" w:hAnsiTheme="minorHAnsi" w:cstheme="minorHAnsi"/>
          <w:sz w:val="22"/>
          <w:szCs w:val="22"/>
        </w:rPr>
        <w:t xml:space="preserve"> collaborative efforts from which the sector can learn and leverage for future efforts </w:t>
      </w:r>
      <w:r>
        <w:rPr>
          <w:rFonts w:asciiTheme="minorHAnsi" w:hAnsiTheme="minorHAnsi" w:cstheme="minorHAnsi"/>
          <w:sz w:val="22"/>
          <w:szCs w:val="22"/>
        </w:rPr>
        <w:t xml:space="preserve">to improve the </w:t>
      </w:r>
      <w:r w:rsidRPr="00B677B4">
        <w:rPr>
          <w:rFonts w:asciiTheme="minorHAnsi" w:hAnsiTheme="minorHAnsi" w:cstheme="minorHAnsi"/>
          <w:sz w:val="22"/>
          <w:szCs w:val="22"/>
        </w:rPr>
        <w:t>investment environment</w:t>
      </w:r>
      <w:r>
        <w:rPr>
          <w:rFonts w:asciiTheme="minorHAnsi" w:eastAsiaTheme="minorHAnsi" w:hAnsiTheme="minorHAnsi" w:cstheme="minorBidi"/>
          <w:sz w:val="22"/>
          <w:szCs w:val="22"/>
          <w:lang w:eastAsia="en-US"/>
        </w:rPr>
        <w:t xml:space="preserve">. </w:t>
      </w:r>
    </w:p>
    <w:p w14:paraId="547D582F" w14:textId="67ACDD49" w:rsidR="00FB3C8F" w:rsidRPr="00B677B4" w:rsidRDefault="00FB3C8F" w:rsidP="00B00A2A">
      <w:pPr>
        <w:rPr>
          <w:rFonts w:ascii="Arial" w:hAnsi="Arial" w:cs="Arial"/>
          <w:sz w:val="18"/>
          <w:szCs w:val="18"/>
        </w:rPr>
      </w:pPr>
    </w:p>
    <w:p w14:paraId="6DB22E08" w14:textId="223873F4" w:rsidR="00FB3C8F" w:rsidRPr="00C8767A" w:rsidRDefault="00FB3C8F" w:rsidP="00FB3C8F">
      <w:pPr>
        <w:pStyle w:val="Subheading"/>
        <w:rPr>
          <w:lang w:val="en-GB"/>
        </w:rPr>
      </w:pPr>
      <w:r w:rsidRPr="00C8767A">
        <w:rPr>
          <w:lang w:val="en-GB"/>
        </w:rPr>
        <w:t>EQ 6. To what extent has the investment environment in Mongolia changed in the past three years?</w:t>
      </w:r>
    </w:p>
    <w:p w14:paraId="6AC51C59" w14:textId="26DD71D4" w:rsidR="00FB3C8F" w:rsidRPr="00B677B4" w:rsidRDefault="00FB3C8F" w:rsidP="00B00A2A">
      <w:pPr>
        <w:rPr>
          <w:rFonts w:ascii="Arial" w:eastAsiaTheme="minorHAnsi" w:hAnsi="Arial" w:cs="Arial"/>
          <w:sz w:val="18"/>
          <w:szCs w:val="18"/>
          <w:lang w:eastAsia="en-US"/>
        </w:rPr>
      </w:pPr>
    </w:p>
    <w:p w14:paraId="3C4D70A8" w14:textId="06452096" w:rsidR="00CB2342" w:rsidRPr="00B677B4" w:rsidRDefault="00CB2342" w:rsidP="00CB2342">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b/>
          <w:bCs/>
          <w:sz w:val="22"/>
          <w:szCs w:val="22"/>
          <w:lang w:eastAsia="en-US"/>
        </w:rPr>
        <w:t>The improvement of the investment environment is an ongoing process, notwithstanding the many factors external to the program which continue to undermine confidence in the investment environment in Mongolia</w:t>
      </w:r>
      <w:r w:rsidRPr="00B677B4">
        <w:rPr>
          <w:rFonts w:asciiTheme="minorHAnsi" w:eastAsiaTheme="minorHAnsi" w:hAnsiTheme="minorHAnsi" w:cstheme="minorBidi"/>
          <w:sz w:val="22"/>
          <w:szCs w:val="22"/>
          <w:lang w:eastAsia="en-US"/>
        </w:rPr>
        <w:t xml:space="preserve">. It is important to recognise that COVID-19 pandemic and the current geopolitical and looming economic crisis are having an impact on the country’s investment climate and the extractives sector. </w:t>
      </w:r>
      <w:r w:rsidR="00FA3332" w:rsidRPr="00B677B4">
        <w:rPr>
          <w:rFonts w:asciiTheme="minorHAnsi" w:eastAsiaTheme="minorHAnsi" w:hAnsiTheme="minorHAnsi" w:cstheme="minorBidi"/>
          <w:sz w:val="22"/>
          <w:szCs w:val="22"/>
          <w:lang w:eastAsia="en-US"/>
        </w:rPr>
        <w:t>Recent shifts within the political priorities of government have also created uncertainty about some of the initiatives which AMEP II has been supporting (such as the new Minerals Law).</w:t>
      </w:r>
      <w:r w:rsidRPr="00B677B4">
        <w:rPr>
          <w:rFonts w:asciiTheme="minorHAnsi" w:eastAsiaTheme="minorHAnsi" w:hAnsiTheme="minorHAnsi" w:cstheme="minorBidi"/>
          <w:sz w:val="22"/>
          <w:szCs w:val="22"/>
          <w:lang w:eastAsia="en-US"/>
        </w:rPr>
        <w:t xml:space="preserve"> Mongolia continues to rate very poorly on global transparency/good governance/ Global Competitiveness Indice</w:t>
      </w:r>
      <w:r w:rsidR="00FA3332" w:rsidRPr="00B677B4">
        <w:rPr>
          <w:rFonts w:asciiTheme="minorHAnsi" w:eastAsiaTheme="minorHAnsi" w:hAnsiTheme="minorHAnsi" w:cstheme="minorBidi"/>
          <w:sz w:val="22"/>
          <w:szCs w:val="22"/>
          <w:lang w:eastAsia="en-US"/>
        </w:rPr>
        <w:t>s. T</w:t>
      </w:r>
      <w:r w:rsidRPr="00B677B4">
        <w:rPr>
          <w:rFonts w:asciiTheme="minorHAnsi" w:eastAsiaTheme="minorHAnsi" w:hAnsiTheme="minorHAnsi" w:cstheme="minorBidi"/>
          <w:sz w:val="22"/>
          <w:szCs w:val="22"/>
          <w:lang w:eastAsia="en-US"/>
        </w:rPr>
        <w:t>he context within which the program operates remains highly challenging and relatively hostile to the types of reforms the program is advocating for</w:t>
      </w:r>
      <w:r w:rsidR="00FA3332" w:rsidRPr="00B677B4">
        <w:rPr>
          <w:rFonts w:asciiTheme="minorHAnsi" w:eastAsiaTheme="minorHAnsi" w:hAnsiTheme="minorHAnsi" w:cstheme="minorBidi"/>
          <w:sz w:val="22"/>
          <w:szCs w:val="22"/>
          <w:lang w:eastAsia="en-US"/>
        </w:rPr>
        <w:t xml:space="preserve">. One therefore needs to be realistic about what a program of this nature can contribute, but there are nevertheless signs that that the program is making </w:t>
      </w:r>
      <w:r w:rsidR="00565676" w:rsidRPr="00B677B4">
        <w:rPr>
          <w:rFonts w:asciiTheme="minorHAnsi" w:eastAsiaTheme="minorHAnsi" w:hAnsiTheme="minorHAnsi" w:cstheme="minorBidi"/>
          <w:sz w:val="22"/>
          <w:szCs w:val="22"/>
          <w:lang w:eastAsia="en-US"/>
        </w:rPr>
        <w:t xml:space="preserve">a </w:t>
      </w:r>
      <w:r w:rsidR="00FA3332" w:rsidRPr="00B677B4">
        <w:rPr>
          <w:rFonts w:asciiTheme="minorHAnsi" w:eastAsiaTheme="minorHAnsi" w:hAnsiTheme="minorHAnsi" w:cstheme="minorBidi"/>
          <w:sz w:val="22"/>
          <w:szCs w:val="22"/>
          <w:lang w:eastAsia="en-US"/>
        </w:rPr>
        <w:t>difference, including:</w:t>
      </w:r>
    </w:p>
    <w:p w14:paraId="283FAA8E" w14:textId="2D7ECEE5" w:rsidR="00FA3332" w:rsidRPr="00B677B4" w:rsidRDefault="00FA3332" w:rsidP="00CB2342">
      <w:pPr>
        <w:pStyle w:val="table-text"/>
        <w:rPr>
          <w:rFonts w:asciiTheme="minorHAnsi" w:eastAsiaTheme="minorHAnsi" w:hAnsiTheme="minorHAnsi" w:cstheme="minorBidi"/>
          <w:sz w:val="22"/>
          <w:szCs w:val="22"/>
          <w:lang w:eastAsia="en-US"/>
        </w:rPr>
      </w:pPr>
    </w:p>
    <w:p w14:paraId="74D401B4" w14:textId="02F5A990" w:rsidR="00FA3332" w:rsidRPr="00B677B4" w:rsidRDefault="00FA3332" w:rsidP="006B0B7D">
      <w:pPr>
        <w:pStyle w:val="Default"/>
        <w:numPr>
          <w:ilvl w:val="0"/>
          <w:numId w:val="37"/>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All other development partners have left the sector, and so the importance of AMEP as an independent voice within a highly contested sector cannot be </w:t>
      </w:r>
      <w:proofErr w:type="gramStart"/>
      <w:r w:rsidRPr="00B677B4">
        <w:rPr>
          <w:rFonts w:asciiTheme="minorHAnsi" w:hAnsiTheme="minorHAnsi" w:cstheme="minorHAnsi"/>
          <w:sz w:val="22"/>
          <w:szCs w:val="22"/>
          <w:lang w:val="en-GB"/>
        </w:rPr>
        <w:t>overstated;</w:t>
      </w:r>
      <w:proofErr w:type="gramEnd"/>
    </w:p>
    <w:p w14:paraId="2576A320" w14:textId="48279B25" w:rsidR="00FA3332" w:rsidRPr="00B677B4" w:rsidRDefault="00FA3332" w:rsidP="006B0B7D">
      <w:pPr>
        <w:pStyle w:val="Default"/>
        <w:numPr>
          <w:ilvl w:val="0"/>
          <w:numId w:val="37"/>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AMEP II is contributing to strengthening the legislative framework within the sector, without such a framework it will be very difficult to attract new </w:t>
      </w:r>
      <w:proofErr w:type="gramStart"/>
      <w:r w:rsidRPr="00B677B4">
        <w:rPr>
          <w:rFonts w:asciiTheme="minorHAnsi" w:hAnsiTheme="minorHAnsi" w:cstheme="minorHAnsi"/>
          <w:sz w:val="22"/>
          <w:szCs w:val="22"/>
          <w:lang w:val="en-GB"/>
        </w:rPr>
        <w:t>investment;</w:t>
      </w:r>
      <w:proofErr w:type="gramEnd"/>
    </w:p>
    <w:p w14:paraId="3277B794" w14:textId="3F74111F" w:rsidR="00FA3332" w:rsidRPr="00B677B4" w:rsidRDefault="00FA3332" w:rsidP="006B0B7D">
      <w:pPr>
        <w:pStyle w:val="Default"/>
        <w:numPr>
          <w:ilvl w:val="0"/>
          <w:numId w:val="37"/>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AMEP is helping to not only gather high quality geodata, but is advocating for the accessibility to data which is important to inform decision making and improve </w:t>
      </w:r>
      <w:proofErr w:type="gramStart"/>
      <w:r w:rsidRPr="00B677B4">
        <w:rPr>
          <w:rFonts w:asciiTheme="minorHAnsi" w:hAnsiTheme="minorHAnsi" w:cstheme="minorHAnsi"/>
          <w:sz w:val="22"/>
          <w:szCs w:val="22"/>
          <w:lang w:val="en-GB"/>
        </w:rPr>
        <w:t>transparency;</w:t>
      </w:r>
      <w:proofErr w:type="gramEnd"/>
    </w:p>
    <w:p w14:paraId="62C1B996" w14:textId="235697B8" w:rsidR="00FA3332" w:rsidRPr="00B677B4" w:rsidRDefault="00FA3332" w:rsidP="006B0B7D">
      <w:pPr>
        <w:pStyle w:val="Default"/>
        <w:numPr>
          <w:ilvl w:val="0"/>
          <w:numId w:val="37"/>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lastRenderedPageBreak/>
        <w:t xml:space="preserve">AMEP II is sought out by government for advice on technical issues, and thus </w:t>
      </w:r>
      <w:r w:rsidR="004669FC" w:rsidRPr="00B677B4">
        <w:rPr>
          <w:rFonts w:asciiTheme="minorHAnsi" w:hAnsiTheme="minorHAnsi" w:cstheme="minorHAnsi"/>
          <w:sz w:val="22"/>
          <w:szCs w:val="22"/>
          <w:lang w:val="en-GB"/>
        </w:rPr>
        <w:t xml:space="preserve">provides the program with a platform to influence </w:t>
      </w:r>
      <w:proofErr w:type="gramStart"/>
      <w:r w:rsidR="004669FC" w:rsidRPr="00B677B4">
        <w:rPr>
          <w:rFonts w:asciiTheme="minorHAnsi" w:hAnsiTheme="minorHAnsi" w:cstheme="minorHAnsi"/>
          <w:sz w:val="22"/>
          <w:szCs w:val="22"/>
          <w:lang w:val="en-GB"/>
        </w:rPr>
        <w:t>change</w:t>
      </w:r>
      <w:r w:rsidR="007202DB">
        <w:rPr>
          <w:rFonts w:asciiTheme="minorHAnsi" w:hAnsiTheme="minorHAnsi" w:cstheme="minorHAnsi"/>
          <w:sz w:val="22"/>
          <w:szCs w:val="22"/>
          <w:lang w:val="en-GB"/>
        </w:rPr>
        <w:t>;</w:t>
      </w:r>
      <w:proofErr w:type="gramEnd"/>
    </w:p>
    <w:p w14:paraId="4989A477" w14:textId="0349FB66" w:rsidR="004669FC" w:rsidRPr="00B677B4" w:rsidRDefault="004669FC" w:rsidP="006B0B7D">
      <w:pPr>
        <w:pStyle w:val="Default"/>
        <w:numPr>
          <w:ilvl w:val="0"/>
          <w:numId w:val="37"/>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AMEP II, through expertise within a strong locally contracted team, and its ability to source appropriate international technical expertise, means it </w:t>
      </w:r>
      <w:proofErr w:type="gramStart"/>
      <w:r w:rsidRPr="00B677B4">
        <w:rPr>
          <w:rFonts w:asciiTheme="minorHAnsi" w:hAnsiTheme="minorHAnsi" w:cstheme="minorHAnsi"/>
          <w:sz w:val="22"/>
          <w:szCs w:val="22"/>
          <w:lang w:val="en-GB"/>
        </w:rPr>
        <w:t>is able to</w:t>
      </w:r>
      <w:proofErr w:type="gramEnd"/>
      <w:r w:rsidRPr="00B677B4">
        <w:rPr>
          <w:rFonts w:asciiTheme="minorHAnsi" w:hAnsiTheme="minorHAnsi" w:cstheme="minorHAnsi"/>
          <w:sz w:val="22"/>
          <w:szCs w:val="22"/>
          <w:lang w:val="en-GB"/>
        </w:rPr>
        <w:t xml:space="preserve"> provide context specific solutions; and </w:t>
      </w:r>
    </w:p>
    <w:p w14:paraId="428EA8D0" w14:textId="54C9DC2E" w:rsidR="004669FC" w:rsidRPr="00B677B4" w:rsidRDefault="004669FC" w:rsidP="006B0B7D">
      <w:pPr>
        <w:pStyle w:val="Default"/>
        <w:numPr>
          <w:ilvl w:val="0"/>
          <w:numId w:val="37"/>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AMEP II has demonstrated the value of relationship building and the importance of collaboration to facilitate relevant role-players working together more effectively</w:t>
      </w:r>
      <w:r w:rsidR="006B0B7D" w:rsidRPr="00B677B4">
        <w:rPr>
          <w:rFonts w:asciiTheme="minorHAnsi" w:hAnsiTheme="minorHAnsi" w:cstheme="minorHAnsi"/>
          <w:sz w:val="22"/>
          <w:szCs w:val="22"/>
          <w:lang w:val="en-GB"/>
        </w:rPr>
        <w:t>.</w:t>
      </w:r>
    </w:p>
    <w:p w14:paraId="3421CBFD" w14:textId="77777777" w:rsidR="006C4A4A" w:rsidRPr="00B677B4" w:rsidRDefault="006C4A4A" w:rsidP="006C4A4A">
      <w:pPr>
        <w:pStyle w:val="table-text"/>
        <w:rPr>
          <w:rFonts w:asciiTheme="minorHAnsi" w:eastAsiaTheme="minorHAnsi" w:hAnsiTheme="minorHAnsi" w:cstheme="minorBidi"/>
          <w:sz w:val="22"/>
          <w:szCs w:val="22"/>
          <w:lang w:eastAsia="en-US"/>
        </w:rPr>
      </w:pPr>
    </w:p>
    <w:p w14:paraId="6FDE2F86" w14:textId="4614248B" w:rsidR="008E1DFE" w:rsidRPr="00B677B4" w:rsidRDefault="006C4A4A" w:rsidP="006C4A4A">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sz w:val="22"/>
          <w:szCs w:val="22"/>
          <w:lang w:eastAsia="en-US"/>
        </w:rPr>
        <w:t xml:space="preserve">Whilst the investment environment may well not change substantially to the factors mentioned above, and the program may not be able to shift policy to the </w:t>
      </w:r>
      <w:proofErr w:type="gramStart"/>
      <w:r w:rsidRPr="00B677B4">
        <w:rPr>
          <w:rFonts w:asciiTheme="minorHAnsi" w:eastAsiaTheme="minorHAnsi" w:hAnsiTheme="minorHAnsi" w:cstheme="minorBidi"/>
          <w:sz w:val="22"/>
          <w:szCs w:val="22"/>
          <w:lang w:eastAsia="en-US"/>
        </w:rPr>
        <w:t>extent</w:t>
      </w:r>
      <w:proofErr w:type="gramEnd"/>
      <w:r w:rsidRPr="00B677B4">
        <w:rPr>
          <w:rFonts w:asciiTheme="minorHAnsi" w:eastAsiaTheme="minorHAnsi" w:hAnsiTheme="minorHAnsi" w:cstheme="minorBidi"/>
          <w:sz w:val="22"/>
          <w:szCs w:val="22"/>
          <w:lang w:eastAsia="en-US"/>
        </w:rPr>
        <w:t xml:space="preserve"> which is necessary, there is a sense that the program will have ‘built bridges between role-players, and g</w:t>
      </w:r>
      <w:r w:rsidR="00B67516" w:rsidRPr="00B677B4">
        <w:rPr>
          <w:rFonts w:asciiTheme="minorHAnsi" w:eastAsiaTheme="minorHAnsi" w:hAnsiTheme="minorHAnsi" w:cstheme="minorBidi"/>
          <w:sz w:val="22"/>
          <w:szCs w:val="22"/>
          <w:lang w:eastAsia="en-US"/>
        </w:rPr>
        <w:t>e</w:t>
      </w:r>
      <w:r w:rsidRPr="00B677B4">
        <w:rPr>
          <w:rFonts w:asciiTheme="minorHAnsi" w:eastAsiaTheme="minorHAnsi" w:hAnsiTheme="minorHAnsi" w:cstheme="minorBidi"/>
          <w:sz w:val="22"/>
          <w:szCs w:val="22"/>
          <w:lang w:eastAsia="en-US"/>
        </w:rPr>
        <w:t xml:space="preserve">t partners to talk and work with each other when previously they have not’. </w:t>
      </w:r>
      <w:r w:rsidR="008E1DFE">
        <w:rPr>
          <w:rFonts w:asciiTheme="minorHAnsi" w:eastAsiaTheme="minorHAnsi" w:hAnsiTheme="minorHAnsi" w:cstheme="minorBidi"/>
          <w:sz w:val="22"/>
          <w:szCs w:val="22"/>
          <w:lang w:eastAsia="en-US"/>
        </w:rPr>
        <w:t xml:space="preserve"> Importantly the program is also working with other ‘like-minded’ development partners in Mongolia. </w:t>
      </w:r>
      <w:r w:rsidR="008E1DFE" w:rsidRPr="008E1DFE">
        <w:rPr>
          <w:rFonts w:asciiTheme="minorHAnsi" w:eastAsiaTheme="minorHAnsi" w:hAnsiTheme="minorHAnsi" w:cstheme="minorBidi"/>
          <w:sz w:val="22"/>
          <w:szCs w:val="22"/>
          <w:lang w:eastAsia="en-US"/>
        </w:rPr>
        <w:t xml:space="preserve">AMEP </w:t>
      </w:r>
      <w:r w:rsidR="008E1DFE">
        <w:rPr>
          <w:rFonts w:asciiTheme="minorHAnsi" w:eastAsiaTheme="minorHAnsi" w:hAnsiTheme="minorHAnsi" w:cstheme="minorBidi"/>
          <w:sz w:val="22"/>
          <w:szCs w:val="22"/>
          <w:lang w:eastAsia="en-US"/>
        </w:rPr>
        <w:t>II</w:t>
      </w:r>
      <w:r w:rsidR="008E1DFE" w:rsidRPr="008E1DFE">
        <w:rPr>
          <w:rFonts w:asciiTheme="minorHAnsi" w:eastAsiaTheme="minorHAnsi" w:hAnsiTheme="minorHAnsi" w:cstheme="minorBidi"/>
          <w:sz w:val="22"/>
          <w:szCs w:val="22"/>
          <w:lang w:eastAsia="en-US"/>
        </w:rPr>
        <w:t xml:space="preserve"> activities</w:t>
      </w:r>
      <w:r w:rsidR="008E1DFE">
        <w:rPr>
          <w:rFonts w:asciiTheme="minorHAnsi" w:eastAsiaTheme="minorHAnsi" w:hAnsiTheme="minorHAnsi" w:cstheme="minorBidi"/>
          <w:sz w:val="22"/>
          <w:szCs w:val="22"/>
          <w:lang w:eastAsia="en-US"/>
        </w:rPr>
        <w:t xml:space="preserve"> for instance</w:t>
      </w:r>
      <w:r w:rsidR="008E1DFE" w:rsidRPr="008E1DFE">
        <w:rPr>
          <w:rFonts w:asciiTheme="minorHAnsi" w:eastAsiaTheme="minorHAnsi" w:hAnsiTheme="minorHAnsi" w:cstheme="minorBidi"/>
          <w:sz w:val="22"/>
          <w:szCs w:val="22"/>
          <w:lang w:eastAsia="en-US"/>
        </w:rPr>
        <w:t xml:space="preserve"> align with 4 key components of the </w:t>
      </w:r>
      <w:r w:rsidR="008E1DFE">
        <w:rPr>
          <w:rFonts w:asciiTheme="minorHAnsi" w:eastAsiaTheme="minorHAnsi" w:hAnsiTheme="minorHAnsi" w:cstheme="minorBidi"/>
          <w:sz w:val="22"/>
          <w:szCs w:val="22"/>
          <w:lang w:eastAsia="en-US"/>
        </w:rPr>
        <w:t>World Bank’s Extractives Global Programmatic Support (EGPS) Multi-Donor Trust Fund</w:t>
      </w:r>
      <w:r w:rsidR="008E1DFE" w:rsidRPr="008E1DFE">
        <w:rPr>
          <w:rFonts w:asciiTheme="minorHAnsi" w:eastAsiaTheme="minorHAnsi" w:hAnsiTheme="minorHAnsi" w:cstheme="minorBidi"/>
          <w:sz w:val="22"/>
          <w:szCs w:val="22"/>
          <w:lang w:eastAsia="en-US"/>
        </w:rPr>
        <w:t xml:space="preserve">. AMEP </w:t>
      </w:r>
      <w:r w:rsidR="008E1DFE">
        <w:rPr>
          <w:rFonts w:asciiTheme="minorHAnsi" w:eastAsiaTheme="minorHAnsi" w:hAnsiTheme="minorHAnsi" w:cstheme="minorBidi"/>
          <w:sz w:val="22"/>
          <w:szCs w:val="22"/>
          <w:lang w:eastAsia="en-US"/>
        </w:rPr>
        <w:t>II</w:t>
      </w:r>
      <w:r w:rsidR="008E1DFE" w:rsidRPr="008E1DFE">
        <w:rPr>
          <w:rFonts w:asciiTheme="minorHAnsi" w:eastAsiaTheme="minorHAnsi" w:hAnsiTheme="minorHAnsi" w:cstheme="minorBidi"/>
          <w:sz w:val="22"/>
          <w:szCs w:val="22"/>
          <w:lang w:eastAsia="en-US"/>
        </w:rPr>
        <w:t xml:space="preserve"> is actively engaged in revenue transparency through activities as</w:t>
      </w:r>
      <w:r w:rsidR="008E1DFE">
        <w:rPr>
          <w:rFonts w:asciiTheme="minorHAnsi" w:eastAsiaTheme="minorHAnsi" w:hAnsiTheme="minorHAnsi" w:cstheme="minorBidi"/>
          <w:sz w:val="22"/>
          <w:szCs w:val="22"/>
          <w:lang w:eastAsia="en-US"/>
        </w:rPr>
        <w:t xml:space="preserve"> its work on</w:t>
      </w:r>
      <w:r w:rsidR="008E1DFE" w:rsidRPr="008E1DFE">
        <w:rPr>
          <w:rFonts w:asciiTheme="minorHAnsi" w:eastAsiaTheme="minorHAnsi" w:hAnsiTheme="minorHAnsi" w:cstheme="minorBidi"/>
          <w:sz w:val="22"/>
          <w:szCs w:val="22"/>
          <w:lang w:eastAsia="en-US"/>
        </w:rPr>
        <w:t xml:space="preserve"> </w:t>
      </w:r>
      <w:r w:rsidR="008E1DFE">
        <w:rPr>
          <w:rFonts w:asciiTheme="minorHAnsi" w:eastAsiaTheme="minorHAnsi" w:hAnsiTheme="minorHAnsi" w:cstheme="minorBidi"/>
          <w:sz w:val="22"/>
          <w:szCs w:val="22"/>
          <w:lang w:eastAsia="en-US"/>
        </w:rPr>
        <w:t>r</w:t>
      </w:r>
      <w:r w:rsidR="008E1DFE" w:rsidRPr="008E1DFE">
        <w:rPr>
          <w:rFonts w:asciiTheme="minorHAnsi" w:eastAsiaTheme="minorHAnsi" w:hAnsiTheme="minorHAnsi" w:cstheme="minorBidi"/>
          <w:sz w:val="22"/>
          <w:szCs w:val="22"/>
          <w:lang w:eastAsia="en-US"/>
        </w:rPr>
        <w:t xml:space="preserve">oyalties and </w:t>
      </w:r>
      <w:r w:rsidR="008E1DFE">
        <w:rPr>
          <w:rFonts w:asciiTheme="minorHAnsi" w:eastAsiaTheme="minorHAnsi" w:hAnsiTheme="minorHAnsi" w:cstheme="minorBidi"/>
          <w:sz w:val="22"/>
          <w:szCs w:val="22"/>
          <w:lang w:eastAsia="en-US"/>
        </w:rPr>
        <w:t>t</w:t>
      </w:r>
      <w:r w:rsidR="008E1DFE" w:rsidRPr="008E1DFE">
        <w:rPr>
          <w:rFonts w:asciiTheme="minorHAnsi" w:eastAsiaTheme="minorHAnsi" w:hAnsiTheme="minorHAnsi" w:cstheme="minorBidi"/>
          <w:sz w:val="22"/>
          <w:szCs w:val="22"/>
          <w:lang w:eastAsia="en-US"/>
        </w:rPr>
        <w:t>axes</w:t>
      </w:r>
      <w:r w:rsidR="008E1DFE">
        <w:rPr>
          <w:rFonts w:asciiTheme="minorHAnsi" w:eastAsiaTheme="minorHAnsi" w:hAnsiTheme="minorHAnsi" w:cstheme="minorBidi"/>
          <w:sz w:val="22"/>
          <w:szCs w:val="22"/>
          <w:lang w:eastAsia="en-US"/>
        </w:rPr>
        <w:t xml:space="preserve">, its efforts to </w:t>
      </w:r>
      <w:r w:rsidR="008E1DFE" w:rsidRPr="008E1DFE">
        <w:rPr>
          <w:rFonts w:asciiTheme="minorHAnsi" w:eastAsiaTheme="minorHAnsi" w:hAnsiTheme="minorHAnsi" w:cstheme="minorBidi"/>
          <w:sz w:val="22"/>
          <w:szCs w:val="22"/>
          <w:lang w:eastAsia="en-US"/>
        </w:rPr>
        <w:t xml:space="preserve">support regulatory and institutional strengthening, its ongoing support of digitization initiatives, </w:t>
      </w:r>
      <w:r w:rsidR="008E1DFE">
        <w:rPr>
          <w:rFonts w:asciiTheme="minorHAnsi" w:eastAsiaTheme="minorHAnsi" w:hAnsiTheme="minorHAnsi" w:cstheme="minorBidi"/>
          <w:sz w:val="22"/>
          <w:szCs w:val="22"/>
          <w:lang w:eastAsia="en-US"/>
        </w:rPr>
        <w:t>and its work</w:t>
      </w:r>
      <w:r w:rsidR="008E1DFE" w:rsidRPr="008E1DFE">
        <w:rPr>
          <w:rFonts w:asciiTheme="minorHAnsi" w:eastAsiaTheme="minorHAnsi" w:hAnsiTheme="minorHAnsi" w:cstheme="minorBidi"/>
          <w:sz w:val="22"/>
          <w:szCs w:val="22"/>
          <w:lang w:eastAsia="en-US"/>
        </w:rPr>
        <w:t xml:space="preserve"> on local level value and diversification through its </w:t>
      </w:r>
      <w:r w:rsidR="008E1DFE">
        <w:rPr>
          <w:rFonts w:asciiTheme="minorHAnsi" w:eastAsiaTheme="minorHAnsi" w:hAnsiTheme="minorHAnsi" w:cstheme="minorBidi"/>
          <w:sz w:val="22"/>
          <w:szCs w:val="22"/>
          <w:lang w:eastAsia="en-US"/>
        </w:rPr>
        <w:t xml:space="preserve">support to </w:t>
      </w:r>
      <w:r w:rsidR="008E1DFE" w:rsidRPr="008E1DFE">
        <w:rPr>
          <w:rFonts w:asciiTheme="minorHAnsi" w:eastAsiaTheme="minorHAnsi" w:hAnsiTheme="minorHAnsi" w:cstheme="minorBidi"/>
          <w:sz w:val="22"/>
          <w:szCs w:val="22"/>
          <w:lang w:eastAsia="en-US"/>
        </w:rPr>
        <w:t>environmental impact</w:t>
      </w:r>
      <w:r w:rsidR="008E1DFE">
        <w:rPr>
          <w:rFonts w:asciiTheme="minorHAnsi" w:eastAsiaTheme="minorHAnsi" w:hAnsiTheme="minorHAnsi" w:cstheme="minorBidi"/>
          <w:sz w:val="22"/>
          <w:szCs w:val="22"/>
          <w:lang w:eastAsia="en-US"/>
        </w:rPr>
        <w:t xml:space="preserve"> initiatives. AMEP II also participates regularly in a range of donor meetings in the sector, such as for instance ongoing work in the sector to improve issues related to social conflict and other community – based concerns. </w:t>
      </w:r>
      <w:r w:rsidR="008E1DFE" w:rsidRPr="008E1DFE">
        <w:rPr>
          <w:rFonts w:asciiTheme="minorHAnsi" w:eastAsiaTheme="minorHAnsi" w:hAnsiTheme="minorHAnsi" w:cstheme="minorBidi"/>
          <w:sz w:val="22"/>
          <w:szCs w:val="22"/>
          <w:lang w:eastAsia="en-US"/>
        </w:rPr>
        <w:t xml:space="preserve"> </w:t>
      </w:r>
    </w:p>
    <w:p w14:paraId="26D6E32D" w14:textId="77777777" w:rsidR="006C4A4A" w:rsidRPr="00B677B4" w:rsidRDefault="006C4A4A" w:rsidP="006C4A4A">
      <w:pPr>
        <w:pStyle w:val="table-text"/>
        <w:rPr>
          <w:rFonts w:asciiTheme="minorHAnsi" w:eastAsiaTheme="minorHAnsi" w:hAnsiTheme="minorHAnsi" w:cstheme="minorBidi"/>
          <w:sz w:val="22"/>
          <w:szCs w:val="22"/>
          <w:lang w:eastAsia="en-US"/>
        </w:rPr>
      </w:pPr>
    </w:p>
    <w:p w14:paraId="4D9DDE86" w14:textId="3BCF1BF7" w:rsidR="007202DB" w:rsidRDefault="00552C7D" w:rsidP="006C4A4A">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sz w:val="22"/>
          <w:szCs w:val="22"/>
          <w:lang w:eastAsia="en-US"/>
        </w:rPr>
        <w:t>However,</w:t>
      </w:r>
      <w:r w:rsidR="006C4A4A" w:rsidRPr="00B677B4">
        <w:rPr>
          <w:rFonts w:asciiTheme="minorHAnsi" w:eastAsiaTheme="minorHAnsi" w:hAnsiTheme="minorHAnsi" w:cstheme="minorBidi"/>
          <w:sz w:val="22"/>
          <w:szCs w:val="22"/>
          <w:lang w:eastAsia="en-US"/>
        </w:rPr>
        <w:t xml:space="preserve"> there are challenges that the program will need to act on in the remaining period of the program to maintain </w:t>
      </w:r>
      <w:r w:rsidR="000E6A67" w:rsidRPr="00B677B4">
        <w:rPr>
          <w:rFonts w:asciiTheme="minorHAnsi" w:eastAsiaTheme="minorHAnsi" w:hAnsiTheme="minorHAnsi" w:cstheme="minorBidi"/>
          <w:sz w:val="22"/>
          <w:szCs w:val="22"/>
          <w:lang w:eastAsia="en-US"/>
        </w:rPr>
        <w:t>momentum</w:t>
      </w:r>
      <w:r w:rsidR="006C4A4A" w:rsidRPr="00B677B4">
        <w:rPr>
          <w:rFonts w:asciiTheme="minorHAnsi" w:eastAsiaTheme="minorHAnsi" w:hAnsiTheme="minorHAnsi" w:cstheme="minorBidi"/>
          <w:sz w:val="22"/>
          <w:szCs w:val="22"/>
          <w:lang w:eastAsia="en-US"/>
        </w:rPr>
        <w:t xml:space="preserve">. Firstly, as already noted above, whilst the program has been successful in ‘building bridges’ between relevant government ministries and professional associations, it has not been as successful in getting these groups to work with </w:t>
      </w:r>
      <w:r w:rsidR="00AA0ACD" w:rsidRPr="00B677B4">
        <w:rPr>
          <w:rFonts w:asciiTheme="minorHAnsi" w:eastAsiaTheme="minorHAnsi" w:hAnsiTheme="minorHAnsi" w:cstheme="minorBidi"/>
          <w:sz w:val="22"/>
          <w:szCs w:val="22"/>
          <w:lang w:eastAsia="en-US"/>
        </w:rPr>
        <w:t>community-based</w:t>
      </w:r>
      <w:r w:rsidR="006C4A4A" w:rsidRPr="00B677B4">
        <w:rPr>
          <w:rFonts w:asciiTheme="minorHAnsi" w:eastAsiaTheme="minorHAnsi" w:hAnsiTheme="minorHAnsi" w:cstheme="minorBidi"/>
          <w:sz w:val="22"/>
          <w:szCs w:val="22"/>
          <w:lang w:eastAsia="en-US"/>
        </w:rPr>
        <w:t xml:space="preserve"> organisations. It will be important to prioritise activities that facilitate this </w:t>
      </w:r>
      <w:r w:rsidR="000E6A67" w:rsidRPr="00B677B4">
        <w:rPr>
          <w:rFonts w:asciiTheme="minorHAnsi" w:eastAsiaTheme="minorHAnsi" w:hAnsiTheme="minorHAnsi" w:cstheme="minorBidi"/>
          <w:sz w:val="22"/>
          <w:szCs w:val="22"/>
          <w:lang w:eastAsia="en-US"/>
        </w:rPr>
        <w:t>collaboration</w:t>
      </w:r>
      <w:r w:rsidR="006C4A4A" w:rsidRPr="00B677B4">
        <w:rPr>
          <w:rFonts w:asciiTheme="minorHAnsi" w:eastAsiaTheme="minorHAnsi" w:hAnsiTheme="minorHAnsi" w:cstheme="minorBidi"/>
          <w:sz w:val="22"/>
          <w:szCs w:val="22"/>
          <w:lang w:eastAsia="en-US"/>
        </w:rPr>
        <w:t xml:space="preserve"> </w:t>
      </w:r>
      <w:r w:rsidRPr="00B677B4">
        <w:rPr>
          <w:rFonts w:asciiTheme="minorHAnsi" w:eastAsiaTheme="minorHAnsi" w:hAnsiTheme="minorHAnsi" w:cstheme="minorBidi"/>
          <w:sz w:val="22"/>
          <w:szCs w:val="22"/>
          <w:lang w:eastAsia="en-US"/>
        </w:rPr>
        <w:t>to</w:t>
      </w:r>
      <w:r w:rsidR="006C4A4A" w:rsidRPr="00B677B4">
        <w:rPr>
          <w:rFonts w:asciiTheme="minorHAnsi" w:eastAsiaTheme="minorHAnsi" w:hAnsiTheme="minorHAnsi" w:cstheme="minorBidi"/>
          <w:sz w:val="22"/>
          <w:szCs w:val="22"/>
          <w:lang w:eastAsia="en-US"/>
        </w:rPr>
        <w:t xml:space="preserve"> demonstrate the program is meeting its long-term objective.  </w:t>
      </w:r>
    </w:p>
    <w:p w14:paraId="787B4D0A" w14:textId="77777777" w:rsidR="007202DB" w:rsidRDefault="007202DB" w:rsidP="006C4A4A">
      <w:pPr>
        <w:pStyle w:val="table-text"/>
        <w:rPr>
          <w:rFonts w:asciiTheme="minorHAnsi" w:eastAsiaTheme="minorHAnsi" w:hAnsiTheme="minorHAnsi" w:cstheme="minorBidi"/>
          <w:sz w:val="22"/>
          <w:szCs w:val="22"/>
          <w:lang w:eastAsia="en-US"/>
        </w:rPr>
      </w:pPr>
    </w:p>
    <w:p w14:paraId="0B43AF4D" w14:textId="6C40584F" w:rsidR="004669FC" w:rsidRPr="00B677B4" w:rsidRDefault="006C4A4A" w:rsidP="006C4A4A">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sz w:val="22"/>
          <w:szCs w:val="22"/>
          <w:lang w:eastAsia="en-US"/>
        </w:rPr>
        <w:t xml:space="preserve">Secondly, there is opportunity to expand its efforts to </w:t>
      </w:r>
      <w:r w:rsidRPr="00B677B4">
        <w:rPr>
          <w:rFonts w:asciiTheme="minorHAnsi" w:hAnsiTheme="minorHAnsi" w:cstheme="minorHAnsi"/>
          <w:sz w:val="22"/>
          <w:szCs w:val="22"/>
        </w:rPr>
        <w:t xml:space="preserve">advocate for the transitioning to green energy in Mongolia. Recent work by the program includes its work on Coalbed Methane (CBM) and improving the data processing and quality assurance of Rare Earth Element Rock (REE) samples. As the program acknowledges this is only a start, </w:t>
      </w:r>
      <w:r w:rsidR="007202DB">
        <w:rPr>
          <w:rFonts w:asciiTheme="minorHAnsi" w:hAnsiTheme="minorHAnsi" w:cstheme="minorHAnsi"/>
          <w:sz w:val="22"/>
          <w:szCs w:val="22"/>
        </w:rPr>
        <w:t xml:space="preserve">but </w:t>
      </w:r>
      <w:r w:rsidRPr="00B677B4">
        <w:rPr>
          <w:rFonts w:asciiTheme="minorHAnsi" w:hAnsiTheme="minorHAnsi" w:cstheme="minorHAnsi"/>
          <w:sz w:val="22"/>
          <w:szCs w:val="22"/>
        </w:rPr>
        <w:t>there is now an opportunity for the program, for instance, to carefully consider how best to ensure CBM can contribute to Energy Transition efforts</w:t>
      </w:r>
      <w:r w:rsidR="000E6A67" w:rsidRPr="00B677B4">
        <w:rPr>
          <w:rFonts w:asciiTheme="minorHAnsi" w:hAnsiTheme="minorHAnsi" w:cstheme="minorHAnsi"/>
          <w:sz w:val="22"/>
          <w:szCs w:val="22"/>
        </w:rPr>
        <w:t xml:space="preserve">. This would see Mongolia </w:t>
      </w:r>
      <w:r w:rsidRPr="00B677B4">
        <w:rPr>
          <w:rFonts w:asciiTheme="minorHAnsi" w:hAnsiTheme="minorHAnsi" w:cstheme="minorHAnsi"/>
          <w:sz w:val="22"/>
          <w:szCs w:val="22"/>
        </w:rPr>
        <w:t>align</w:t>
      </w:r>
      <w:r w:rsidR="000E6A67" w:rsidRPr="00B677B4">
        <w:rPr>
          <w:rFonts w:asciiTheme="minorHAnsi" w:hAnsiTheme="minorHAnsi" w:cstheme="minorHAnsi"/>
          <w:sz w:val="22"/>
          <w:szCs w:val="22"/>
        </w:rPr>
        <w:t>ing</w:t>
      </w:r>
      <w:r w:rsidRPr="00B677B4">
        <w:rPr>
          <w:rFonts w:asciiTheme="minorHAnsi" w:hAnsiTheme="minorHAnsi" w:cstheme="minorHAnsi"/>
          <w:sz w:val="22"/>
          <w:szCs w:val="22"/>
        </w:rPr>
        <w:t xml:space="preserve"> with related international and national efforts to ensure efficient use of resources</w:t>
      </w:r>
      <w:r w:rsidR="007202DB">
        <w:rPr>
          <w:rFonts w:asciiTheme="minorHAnsi" w:hAnsiTheme="minorHAnsi" w:cstheme="minorHAnsi"/>
          <w:sz w:val="22"/>
          <w:szCs w:val="22"/>
        </w:rPr>
        <w:t>. Currently,</w:t>
      </w:r>
      <w:r w:rsidR="007202DB" w:rsidRPr="007202DB">
        <w:rPr>
          <w:rFonts w:asciiTheme="minorHAnsi" w:hAnsiTheme="minorHAnsi" w:cstheme="minorHAnsi"/>
          <w:sz w:val="22"/>
          <w:szCs w:val="22"/>
        </w:rPr>
        <w:t xml:space="preserve"> </w:t>
      </w:r>
      <w:r w:rsidRPr="00B677B4">
        <w:rPr>
          <w:rFonts w:asciiTheme="minorHAnsi" w:hAnsiTheme="minorHAnsi" w:cstheme="minorHAnsi"/>
          <w:sz w:val="22"/>
          <w:szCs w:val="22"/>
        </w:rPr>
        <w:t xml:space="preserve">mining sites in Mongolia </w:t>
      </w:r>
      <w:r w:rsidR="007202DB">
        <w:rPr>
          <w:rFonts w:asciiTheme="minorHAnsi" w:hAnsiTheme="minorHAnsi" w:cstheme="minorHAnsi"/>
          <w:sz w:val="22"/>
          <w:szCs w:val="22"/>
        </w:rPr>
        <w:t>release CBM</w:t>
      </w:r>
      <w:r w:rsidRPr="00B677B4">
        <w:rPr>
          <w:rFonts w:asciiTheme="minorHAnsi" w:hAnsiTheme="minorHAnsi" w:cstheme="minorHAnsi"/>
          <w:sz w:val="22"/>
          <w:szCs w:val="22"/>
        </w:rPr>
        <w:t xml:space="preserve"> into the atmosphere, instead of it being utilised as</w:t>
      </w:r>
      <w:r w:rsidR="00AA0ACD" w:rsidRPr="00B677B4">
        <w:rPr>
          <w:rFonts w:asciiTheme="minorHAnsi" w:hAnsiTheme="minorHAnsi" w:cstheme="minorHAnsi"/>
          <w:sz w:val="22"/>
          <w:szCs w:val="22"/>
        </w:rPr>
        <w:t xml:space="preserve"> </w:t>
      </w:r>
      <w:r w:rsidR="007202DB">
        <w:rPr>
          <w:rFonts w:asciiTheme="minorHAnsi" w:hAnsiTheme="minorHAnsi" w:cstheme="minorHAnsi"/>
          <w:sz w:val="22"/>
          <w:szCs w:val="22"/>
        </w:rPr>
        <w:t xml:space="preserve">an </w:t>
      </w:r>
      <w:r w:rsidR="00AA0ACD" w:rsidRPr="00B677B4">
        <w:rPr>
          <w:rFonts w:asciiTheme="minorHAnsi" w:hAnsiTheme="minorHAnsi" w:cstheme="minorHAnsi"/>
          <w:sz w:val="22"/>
          <w:szCs w:val="22"/>
        </w:rPr>
        <w:t>energy</w:t>
      </w:r>
      <w:r w:rsidR="007202DB">
        <w:rPr>
          <w:rFonts w:asciiTheme="minorHAnsi" w:hAnsiTheme="minorHAnsi" w:cstheme="minorHAnsi"/>
          <w:sz w:val="22"/>
          <w:szCs w:val="22"/>
        </w:rPr>
        <w:t xml:space="preserve"> source</w:t>
      </w:r>
      <w:r w:rsidR="000E6A67" w:rsidRPr="00B677B4">
        <w:rPr>
          <w:rFonts w:asciiTheme="minorHAnsi" w:hAnsiTheme="minorHAnsi" w:cstheme="minorHAnsi"/>
          <w:sz w:val="22"/>
          <w:szCs w:val="22"/>
        </w:rPr>
        <w:t>.</w:t>
      </w:r>
    </w:p>
    <w:p w14:paraId="49ECF30F" w14:textId="442C54ED" w:rsidR="00FB3C8F" w:rsidRPr="00B677B4" w:rsidRDefault="00FB3C8F" w:rsidP="00B00A2A">
      <w:pPr>
        <w:rPr>
          <w:rFonts w:ascii="Arial" w:eastAsiaTheme="minorHAnsi" w:hAnsi="Arial" w:cs="Arial"/>
          <w:sz w:val="18"/>
          <w:szCs w:val="18"/>
          <w:lang w:eastAsia="en-US"/>
        </w:rPr>
      </w:pPr>
    </w:p>
    <w:p w14:paraId="2D1BC5C1" w14:textId="77777777" w:rsidR="00B657D9"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0A7FAE">
        <w:rPr>
          <w:rFonts w:asciiTheme="minorHAnsi" w:eastAsiaTheme="minorHAnsi" w:hAnsiTheme="minorHAnsi" w:cstheme="minorHAnsi"/>
          <w:b/>
          <w:bCs/>
          <w:sz w:val="22"/>
          <w:szCs w:val="22"/>
          <w:lang w:eastAsia="en-US"/>
        </w:rPr>
        <w:t>Conclusion</w:t>
      </w:r>
      <w:r>
        <w:rPr>
          <w:rFonts w:asciiTheme="minorHAnsi" w:eastAsiaTheme="minorHAnsi" w:hAnsiTheme="minorHAnsi" w:cstheme="minorHAnsi"/>
          <w:b/>
          <w:bCs/>
          <w:sz w:val="22"/>
          <w:szCs w:val="22"/>
          <w:lang w:eastAsia="en-US"/>
        </w:rPr>
        <w:t xml:space="preserve"> # 10</w:t>
      </w:r>
      <w:r w:rsidRPr="000A7FAE">
        <w:rPr>
          <w:rFonts w:asciiTheme="minorHAnsi" w:eastAsiaTheme="minorHAnsi" w:hAnsiTheme="minorHAnsi" w:cstheme="minorHAnsi"/>
          <w:b/>
          <w:bCs/>
          <w:sz w:val="22"/>
          <w:szCs w:val="22"/>
          <w:lang w:eastAsia="en-US"/>
        </w:rPr>
        <w:t>:</w:t>
      </w:r>
    </w:p>
    <w:p w14:paraId="1D7E4B57" w14:textId="77777777" w:rsidR="00B657D9"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Pr>
          <w:rFonts w:asciiTheme="minorHAnsi" w:hAnsiTheme="minorHAnsi" w:cstheme="minorHAnsi"/>
          <w:sz w:val="22"/>
          <w:szCs w:val="22"/>
        </w:rPr>
        <w:t>The</w:t>
      </w:r>
      <w:r w:rsidRPr="004F0C25">
        <w:rPr>
          <w:rFonts w:asciiTheme="minorHAnsi" w:hAnsiTheme="minorHAnsi" w:cstheme="minorHAnsi"/>
          <w:sz w:val="22"/>
          <w:szCs w:val="22"/>
        </w:rPr>
        <w:t xml:space="preserve"> improvement of</w:t>
      </w:r>
      <w:r>
        <w:rPr>
          <w:rFonts w:asciiTheme="minorHAnsi" w:hAnsiTheme="minorHAnsi" w:cstheme="minorHAnsi"/>
          <w:sz w:val="22"/>
          <w:szCs w:val="22"/>
        </w:rPr>
        <w:t xml:space="preserve"> the</w:t>
      </w:r>
      <w:r w:rsidRPr="004F0C25">
        <w:rPr>
          <w:rFonts w:asciiTheme="minorHAnsi" w:hAnsiTheme="minorHAnsi" w:cstheme="minorHAnsi"/>
          <w:sz w:val="22"/>
          <w:szCs w:val="22"/>
        </w:rPr>
        <w:t xml:space="preserve"> investment environment is </w:t>
      </w:r>
      <w:r>
        <w:rPr>
          <w:rFonts w:asciiTheme="minorHAnsi" w:hAnsiTheme="minorHAnsi" w:cstheme="minorHAnsi"/>
          <w:sz w:val="22"/>
          <w:szCs w:val="22"/>
        </w:rPr>
        <w:t xml:space="preserve">an ongoing </w:t>
      </w:r>
      <w:r w:rsidRPr="004F0C25">
        <w:rPr>
          <w:rFonts w:asciiTheme="minorHAnsi" w:hAnsiTheme="minorHAnsi" w:cstheme="minorHAnsi"/>
          <w:sz w:val="22"/>
          <w:szCs w:val="22"/>
        </w:rPr>
        <w:t>process</w:t>
      </w:r>
      <w:r>
        <w:rPr>
          <w:rFonts w:asciiTheme="minorHAnsi" w:hAnsiTheme="minorHAnsi" w:cstheme="minorHAnsi"/>
          <w:sz w:val="22"/>
          <w:szCs w:val="22"/>
        </w:rPr>
        <w:t xml:space="preserve">, and AMEP II continues to collaborate with the relevant stakeholders to make much needed changes within the sector. Whilst one </w:t>
      </w:r>
      <w:proofErr w:type="gramStart"/>
      <w:r>
        <w:rPr>
          <w:rFonts w:asciiTheme="minorHAnsi" w:hAnsiTheme="minorHAnsi" w:cstheme="minorHAnsi"/>
          <w:sz w:val="22"/>
          <w:szCs w:val="22"/>
        </w:rPr>
        <w:t>has to</w:t>
      </w:r>
      <w:proofErr w:type="gramEnd"/>
      <w:r>
        <w:rPr>
          <w:rFonts w:asciiTheme="minorHAnsi" w:hAnsiTheme="minorHAnsi" w:cstheme="minorHAnsi"/>
          <w:sz w:val="22"/>
          <w:szCs w:val="22"/>
        </w:rPr>
        <w:t xml:space="preserve"> be realistic about what a program such as AMEP II can actually achieve within an environment that is unreceptive to change, there are opportunities for </w:t>
      </w:r>
      <w:r w:rsidRPr="00A710BC">
        <w:rPr>
          <w:rFonts w:asciiTheme="minorHAnsi" w:hAnsiTheme="minorHAnsi" w:cstheme="minorHAnsi"/>
          <w:sz w:val="22"/>
          <w:szCs w:val="22"/>
        </w:rPr>
        <w:t>AMEP II</w:t>
      </w:r>
      <w:r w:rsidRPr="004F0C25">
        <w:rPr>
          <w:rFonts w:asciiTheme="minorHAnsi" w:hAnsiTheme="minorHAnsi" w:cstheme="minorHAnsi"/>
          <w:sz w:val="22"/>
          <w:szCs w:val="22"/>
        </w:rPr>
        <w:t xml:space="preserve"> </w:t>
      </w:r>
      <w:r>
        <w:rPr>
          <w:rFonts w:asciiTheme="minorHAnsi" w:hAnsiTheme="minorHAnsi" w:cstheme="minorHAnsi"/>
          <w:sz w:val="22"/>
          <w:szCs w:val="22"/>
        </w:rPr>
        <w:t xml:space="preserve">to continue to collaborate with efforts to reform the sector. Arguably, AMEP II could consider </w:t>
      </w:r>
      <w:r w:rsidRPr="004F0C25">
        <w:rPr>
          <w:rFonts w:asciiTheme="minorHAnsi" w:hAnsiTheme="minorHAnsi" w:cstheme="minorHAnsi"/>
          <w:sz w:val="22"/>
          <w:szCs w:val="22"/>
        </w:rPr>
        <w:t>taking</w:t>
      </w:r>
      <w:r>
        <w:rPr>
          <w:rFonts w:asciiTheme="minorHAnsi" w:hAnsiTheme="minorHAnsi" w:cstheme="minorHAnsi"/>
          <w:sz w:val="22"/>
          <w:szCs w:val="22"/>
        </w:rPr>
        <w:t xml:space="preserve"> ownership of this crucial process.</w:t>
      </w:r>
    </w:p>
    <w:p w14:paraId="111D145C" w14:textId="77777777" w:rsidR="00B657D9" w:rsidRPr="000A7FAE"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p>
    <w:p w14:paraId="23A2D967" w14:textId="77777777" w:rsidR="00B657D9"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sz w:val="22"/>
          <w:szCs w:val="22"/>
          <w:lang w:eastAsia="en-US"/>
        </w:rPr>
      </w:pPr>
      <w:r w:rsidRPr="000A7FAE">
        <w:rPr>
          <w:rFonts w:asciiTheme="minorHAnsi" w:eastAsiaTheme="minorHAnsi" w:hAnsiTheme="minorHAnsi" w:cstheme="minorHAnsi"/>
          <w:b/>
          <w:bCs/>
          <w:sz w:val="22"/>
          <w:szCs w:val="22"/>
          <w:lang w:eastAsia="en-US"/>
        </w:rPr>
        <w:t>Conclusion</w:t>
      </w:r>
      <w:r>
        <w:rPr>
          <w:rFonts w:asciiTheme="minorHAnsi" w:eastAsiaTheme="minorHAnsi" w:hAnsiTheme="minorHAnsi" w:cstheme="minorHAnsi"/>
          <w:b/>
          <w:bCs/>
          <w:sz w:val="22"/>
          <w:szCs w:val="22"/>
          <w:lang w:eastAsia="en-US"/>
        </w:rPr>
        <w:t xml:space="preserve"> # 11</w:t>
      </w:r>
      <w:r w:rsidRPr="000A7FAE">
        <w:rPr>
          <w:rFonts w:asciiTheme="minorHAnsi" w:eastAsiaTheme="minorHAnsi" w:hAnsiTheme="minorHAnsi" w:cstheme="minorHAnsi"/>
          <w:b/>
          <w:bCs/>
          <w:sz w:val="22"/>
          <w:szCs w:val="22"/>
          <w:lang w:eastAsia="en-US"/>
        </w:rPr>
        <w:t>:</w:t>
      </w:r>
    </w:p>
    <w:p w14:paraId="397AFEF0" w14:textId="77777777" w:rsidR="00B657D9" w:rsidRPr="00047850" w:rsidRDefault="00B657D9" w:rsidP="00B657D9">
      <w:pPr>
        <w:pBdr>
          <w:top w:val="single" w:sz="4" w:space="1" w:color="auto"/>
          <w:left w:val="single" w:sz="4" w:space="4" w:color="auto"/>
          <w:bottom w:val="single" w:sz="4" w:space="1" w:color="auto"/>
          <w:right w:val="single" w:sz="4" w:space="4" w:color="auto"/>
        </w:pBdr>
        <w:rPr>
          <w:rFonts w:eastAsiaTheme="minorHAnsi"/>
          <w:sz w:val="22"/>
          <w:szCs w:val="22"/>
          <w:lang w:eastAsia="en-US"/>
        </w:rPr>
      </w:pPr>
      <w:r>
        <w:rPr>
          <w:rFonts w:asciiTheme="minorHAnsi" w:eastAsiaTheme="minorHAnsi" w:hAnsiTheme="minorHAnsi" w:cstheme="minorBidi"/>
          <w:sz w:val="22"/>
          <w:szCs w:val="22"/>
          <w:lang w:eastAsia="en-US"/>
        </w:rPr>
        <w:t>The program has been successful in ‘building bridges’ between relevant government ministries and professional associations, it has not been as successful in getting these groups to work with community-based organisations, and this has been a missed opportunity.</w:t>
      </w:r>
    </w:p>
    <w:p w14:paraId="37886524" w14:textId="4AB31E50" w:rsidR="00FB3C8F" w:rsidRPr="00C8767A" w:rsidRDefault="00FB3C8F" w:rsidP="00FB3C8F">
      <w:pPr>
        <w:pStyle w:val="Subheading"/>
        <w:rPr>
          <w:lang w:val="en-GB"/>
        </w:rPr>
      </w:pPr>
      <w:r w:rsidRPr="00C8767A">
        <w:rPr>
          <w:lang w:val="en-GB"/>
        </w:rPr>
        <w:lastRenderedPageBreak/>
        <w:t>EQ 7. To what extent is AMEP II reinforcing Australia’s reputation in Mongolia’s economic development?</w:t>
      </w:r>
    </w:p>
    <w:p w14:paraId="549ECE5C" w14:textId="6B5F7D74" w:rsidR="00FB3C8F" w:rsidRPr="00B677B4" w:rsidRDefault="00FB3C8F" w:rsidP="00B00A2A">
      <w:pPr>
        <w:rPr>
          <w:rFonts w:ascii="Arial" w:hAnsi="Arial" w:cs="Arial"/>
          <w:sz w:val="18"/>
          <w:szCs w:val="18"/>
        </w:rPr>
      </w:pPr>
    </w:p>
    <w:p w14:paraId="495CC9C5" w14:textId="07B56383" w:rsidR="00FB3C8F" w:rsidRPr="00B677B4" w:rsidRDefault="00FB3C8F" w:rsidP="00B00A2A">
      <w:pPr>
        <w:rPr>
          <w:rFonts w:ascii="Arial" w:hAnsi="Arial" w:cs="Arial"/>
          <w:sz w:val="18"/>
          <w:szCs w:val="18"/>
        </w:rPr>
      </w:pPr>
    </w:p>
    <w:p w14:paraId="7A937A02" w14:textId="1A1D4254" w:rsidR="00AA0ACD" w:rsidRPr="00B677B4" w:rsidRDefault="001D0E57" w:rsidP="00CE55DC">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b/>
          <w:bCs/>
          <w:sz w:val="22"/>
          <w:szCs w:val="22"/>
          <w:lang w:val="en-GB"/>
        </w:rPr>
        <w:t>Australia has a good reputation in the sector</w:t>
      </w:r>
      <w:r w:rsidRPr="00B677B4">
        <w:rPr>
          <w:rFonts w:asciiTheme="minorHAnsi" w:hAnsiTheme="minorHAnsi" w:cstheme="minorHAnsi"/>
          <w:sz w:val="22"/>
          <w:szCs w:val="22"/>
          <w:lang w:val="en-GB"/>
        </w:rPr>
        <w:t xml:space="preserve"> but has the difficult role of being seen to be responding appropriately to the needs of many different interest groups in the sector (government, industry, and civic society)</w:t>
      </w:r>
      <w:r w:rsidR="000E6A67" w:rsidRPr="00B677B4">
        <w:rPr>
          <w:rFonts w:asciiTheme="minorHAnsi" w:hAnsiTheme="minorHAnsi" w:cstheme="minorHAnsi"/>
          <w:sz w:val="22"/>
          <w:szCs w:val="22"/>
          <w:lang w:val="en-GB"/>
        </w:rPr>
        <w:t>.</w:t>
      </w:r>
      <w:r w:rsidR="00952F24" w:rsidRPr="00B677B4">
        <w:rPr>
          <w:rFonts w:asciiTheme="minorHAnsi" w:hAnsiTheme="minorHAnsi" w:cstheme="minorHAnsi"/>
          <w:sz w:val="22"/>
          <w:szCs w:val="22"/>
          <w:lang w:val="en-GB"/>
        </w:rPr>
        <w:t xml:space="preserve"> Australia has a strong interest in Mongolia’s economic development, not only from </w:t>
      </w:r>
      <w:r w:rsidR="007202DB">
        <w:rPr>
          <w:rFonts w:asciiTheme="minorHAnsi" w:hAnsiTheme="minorHAnsi" w:cstheme="minorHAnsi"/>
          <w:sz w:val="22"/>
          <w:szCs w:val="22"/>
          <w:lang w:val="en-GB"/>
        </w:rPr>
        <w:t>an ODA</w:t>
      </w:r>
      <w:r w:rsidR="00952F24" w:rsidRPr="00B677B4">
        <w:rPr>
          <w:rFonts w:asciiTheme="minorHAnsi" w:hAnsiTheme="minorHAnsi" w:cstheme="minorHAnsi"/>
          <w:sz w:val="22"/>
          <w:szCs w:val="22"/>
          <w:lang w:val="en-GB"/>
        </w:rPr>
        <w:t xml:space="preserve"> perspective, but also because over 50 Australian companies are operating in Mongolia, with several large companies operating specifically within the mining sector (such as Rio Tinto). From a public diplomacy </w:t>
      </w:r>
      <w:r w:rsidR="0065296F" w:rsidRPr="00B677B4">
        <w:rPr>
          <w:rFonts w:asciiTheme="minorHAnsi" w:hAnsiTheme="minorHAnsi" w:cstheme="minorHAnsi"/>
          <w:sz w:val="22"/>
          <w:szCs w:val="22"/>
          <w:lang w:val="en-GB"/>
        </w:rPr>
        <w:t>perspective,</w:t>
      </w:r>
      <w:r w:rsidR="00952F24" w:rsidRPr="00B677B4">
        <w:rPr>
          <w:rFonts w:asciiTheme="minorHAnsi" w:hAnsiTheme="minorHAnsi" w:cstheme="minorHAnsi"/>
          <w:sz w:val="22"/>
          <w:szCs w:val="22"/>
          <w:lang w:val="en-GB"/>
        </w:rPr>
        <w:t xml:space="preserve"> the ongoing success of AMEP II provides opportunities for the Australian government to continue to engage with key government ministries. </w:t>
      </w:r>
    </w:p>
    <w:p w14:paraId="5E22B8AB" w14:textId="77777777" w:rsidR="00AA0ACD" w:rsidRPr="00B677B4" w:rsidRDefault="00AA0ACD" w:rsidP="00CE55DC">
      <w:pPr>
        <w:pStyle w:val="Default"/>
        <w:spacing w:line="276" w:lineRule="auto"/>
        <w:rPr>
          <w:rFonts w:asciiTheme="minorHAnsi" w:hAnsiTheme="minorHAnsi" w:cstheme="minorHAnsi"/>
          <w:sz w:val="22"/>
          <w:szCs w:val="22"/>
          <w:lang w:val="en-GB"/>
        </w:rPr>
      </w:pPr>
    </w:p>
    <w:p w14:paraId="52803070" w14:textId="37449C08" w:rsidR="001D0E57" w:rsidRPr="00B677B4" w:rsidRDefault="00952F24" w:rsidP="00CE55DC">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At the operational level, agencies such as Geoscience Australia, have been able to demonstrate the value of </w:t>
      </w:r>
      <w:r w:rsidR="00145848" w:rsidRPr="00B677B4">
        <w:rPr>
          <w:rFonts w:asciiTheme="minorHAnsi" w:hAnsiTheme="minorHAnsi" w:cstheme="minorHAnsi"/>
          <w:sz w:val="22"/>
          <w:szCs w:val="22"/>
          <w:lang w:val="en-GB"/>
        </w:rPr>
        <w:t>Australian</w:t>
      </w:r>
      <w:r w:rsidRPr="00B677B4">
        <w:rPr>
          <w:rFonts w:asciiTheme="minorHAnsi" w:hAnsiTheme="minorHAnsi" w:cstheme="minorHAnsi"/>
          <w:sz w:val="22"/>
          <w:szCs w:val="22"/>
          <w:lang w:val="en-GB"/>
        </w:rPr>
        <w:t xml:space="preserve"> expertise in developing innovative solutions to challenges faced by Mongolia in the sector. Nevertheless, operating within a highly contested sector is not without challenges, especially when there is a strong anti-mining sentiment within the country. Whilst not targeting Australia specifically, there is opposition within Mongolia to developing the extractives sector, and the challenge for the program is to demonstrate that AMEP II is being implemented to help reform the sector and to make it more transparent and accountable to mining affected communities.</w:t>
      </w:r>
    </w:p>
    <w:p w14:paraId="58784137" w14:textId="77777777" w:rsidR="005E2662" w:rsidRPr="00B677B4" w:rsidRDefault="005E2662" w:rsidP="00CE55DC">
      <w:pPr>
        <w:pStyle w:val="Default"/>
        <w:spacing w:line="276" w:lineRule="auto"/>
        <w:rPr>
          <w:rFonts w:asciiTheme="minorHAnsi" w:hAnsiTheme="minorHAnsi" w:cstheme="minorHAnsi"/>
          <w:sz w:val="22"/>
          <w:szCs w:val="22"/>
          <w:lang w:val="en-GB"/>
        </w:rPr>
      </w:pPr>
    </w:p>
    <w:p w14:paraId="738B1450" w14:textId="359D36DB" w:rsidR="0065296F" w:rsidRDefault="00952F24" w:rsidP="00CE55DC">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There is however also an opportunity to leverage the program better to enhance Australia’s public diplomacy role in Mongolia. </w:t>
      </w:r>
      <w:r w:rsidR="00AA0ACD" w:rsidRPr="00B677B4">
        <w:rPr>
          <w:rFonts w:asciiTheme="minorHAnsi" w:hAnsiTheme="minorHAnsi" w:cstheme="minorHAnsi"/>
          <w:sz w:val="22"/>
          <w:szCs w:val="22"/>
          <w:lang w:val="en-GB"/>
        </w:rPr>
        <w:t>Currently the program does not draw sufficiently on senior staff within the Embassy</w:t>
      </w:r>
      <w:r w:rsidR="00DC486D" w:rsidRPr="00B677B4">
        <w:rPr>
          <w:rFonts w:asciiTheme="minorHAnsi" w:hAnsiTheme="minorHAnsi" w:cstheme="minorHAnsi"/>
          <w:sz w:val="22"/>
          <w:szCs w:val="22"/>
          <w:lang w:val="en-GB"/>
        </w:rPr>
        <w:t xml:space="preserve"> </w:t>
      </w:r>
      <w:r w:rsidR="00145848" w:rsidRPr="00B677B4">
        <w:rPr>
          <w:rFonts w:asciiTheme="minorHAnsi" w:hAnsiTheme="minorHAnsi" w:cstheme="minorHAnsi"/>
          <w:sz w:val="22"/>
          <w:szCs w:val="22"/>
          <w:lang w:val="en-GB"/>
        </w:rPr>
        <w:t xml:space="preserve">to raise the profile of Australia in the </w:t>
      </w:r>
      <w:r w:rsidR="0065296F">
        <w:rPr>
          <w:rFonts w:asciiTheme="minorHAnsi" w:hAnsiTheme="minorHAnsi" w:cstheme="minorHAnsi"/>
          <w:sz w:val="22"/>
          <w:szCs w:val="22"/>
          <w:lang w:val="en-GB"/>
        </w:rPr>
        <w:t xml:space="preserve">sector, to outline Australia’s long-term </w:t>
      </w:r>
      <w:r w:rsidR="00552C7D">
        <w:rPr>
          <w:rFonts w:asciiTheme="minorHAnsi" w:hAnsiTheme="minorHAnsi" w:cstheme="minorHAnsi"/>
          <w:sz w:val="22"/>
          <w:szCs w:val="22"/>
          <w:lang w:val="en-GB"/>
        </w:rPr>
        <w:t>priorities within</w:t>
      </w:r>
      <w:r w:rsidR="0065296F">
        <w:rPr>
          <w:rFonts w:asciiTheme="minorHAnsi" w:hAnsiTheme="minorHAnsi" w:cstheme="minorHAnsi"/>
          <w:sz w:val="22"/>
          <w:szCs w:val="22"/>
          <w:lang w:val="en-GB"/>
        </w:rPr>
        <w:t xml:space="preserve"> </w:t>
      </w:r>
      <w:r w:rsidR="00986D1C">
        <w:rPr>
          <w:rFonts w:asciiTheme="minorHAnsi" w:hAnsiTheme="minorHAnsi" w:cstheme="minorHAnsi"/>
          <w:sz w:val="22"/>
          <w:szCs w:val="22"/>
          <w:lang w:val="en-GB"/>
        </w:rPr>
        <w:t>Mongolia</w:t>
      </w:r>
      <w:r w:rsidR="0065296F">
        <w:rPr>
          <w:rFonts w:asciiTheme="minorHAnsi" w:hAnsiTheme="minorHAnsi" w:cstheme="minorHAnsi"/>
          <w:sz w:val="22"/>
          <w:szCs w:val="22"/>
          <w:lang w:val="en-GB"/>
        </w:rPr>
        <w:t xml:space="preserve">, and to explain how the program is an important part of Australia’s commitment to </w:t>
      </w:r>
      <w:r w:rsidR="0065296F" w:rsidRPr="00B677B4">
        <w:rPr>
          <w:rFonts w:asciiTheme="minorHAnsi" w:hAnsiTheme="minorHAnsi" w:cstheme="minorHAnsi"/>
          <w:sz w:val="22"/>
          <w:szCs w:val="22"/>
          <w:lang w:val="en-GB"/>
        </w:rPr>
        <w:t>promoting growth and development in Mongolia</w:t>
      </w:r>
      <w:r w:rsidR="00145848" w:rsidRPr="00B677B4">
        <w:rPr>
          <w:rFonts w:asciiTheme="minorHAnsi" w:hAnsiTheme="minorHAnsi" w:cstheme="minorHAnsi"/>
          <w:sz w:val="22"/>
          <w:szCs w:val="22"/>
          <w:lang w:val="en-GB"/>
        </w:rPr>
        <w:t xml:space="preserve">. </w:t>
      </w:r>
    </w:p>
    <w:p w14:paraId="77BE8155" w14:textId="77777777" w:rsidR="0065296F" w:rsidRDefault="0065296F" w:rsidP="00CE55DC">
      <w:pPr>
        <w:pStyle w:val="Default"/>
        <w:spacing w:line="276" w:lineRule="auto"/>
        <w:rPr>
          <w:rFonts w:asciiTheme="minorHAnsi" w:hAnsiTheme="minorHAnsi" w:cstheme="minorHAnsi"/>
          <w:sz w:val="22"/>
          <w:szCs w:val="22"/>
          <w:lang w:val="en-GB"/>
        </w:rPr>
      </w:pPr>
    </w:p>
    <w:p w14:paraId="54338DEF" w14:textId="0A1596F3" w:rsidR="00952F24" w:rsidRPr="00B677B4" w:rsidRDefault="009E66CE" w:rsidP="00CE55DC">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Often the embassy only learns of the program’s public events, convenings, workshops and so on, through social media, by which point it is too late to participate in these events. </w:t>
      </w:r>
      <w:r w:rsidR="00AA0ACD" w:rsidRPr="00B677B4">
        <w:rPr>
          <w:rFonts w:asciiTheme="minorHAnsi" w:hAnsiTheme="minorHAnsi" w:cstheme="minorHAnsi"/>
          <w:sz w:val="22"/>
          <w:szCs w:val="22"/>
          <w:lang w:val="en-GB"/>
        </w:rPr>
        <w:t>Key informants within government ministries noted that as AMEP II is a program funded by the Australian government they would expect to see more presence from the Australian Government and not just program staff</w:t>
      </w:r>
      <w:r w:rsidR="0065296F">
        <w:rPr>
          <w:rFonts w:asciiTheme="minorHAnsi" w:hAnsiTheme="minorHAnsi" w:cstheme="minorHAnsi"/>
          <w:sz w:val="22"/>
          <w:szCs w:val="22"/>
          <w:lang w:val="en-GB"/>
        </w:rPr>
        <w:t xml:space="preserve"> at events hosted by the program</w:t>
      </w:r>
      <w:r w:rsidR="00AA0ACD" w:rsidRPr="00B677B4">
        <w:rPr>
          <w:rFonts w:asciiTheme="minorHAnsi" w:hAnsiTheme="minorHAnsi" w:cstheme="minorHAnsi"/>
          <w:sz w:val="22"/>
          <w:szCs w:val="22"/>
          <w:lang w:val="en-GB"/>
        </w:rPr>
        <w:t>. Creating</w:t>
      </w:r>
      <w:r w:rsidRPr="00B677B4">
        <w:rPr>
          <w:rFonts w:asciiTheme="minorHAnsi" w:hAnsiTheme="minorHAnsi" w:cstheme="minorHAnsi"/>
          <w:sz w:val="22"/>
          <w:szCs w:val="22"/>
          <w:lang w:val="en-GB"/>
        </w:rPr>
        <w:t xml:space="preserve"> more opportunities for dialogue between the sector and representatives of the Australian government would not only</w:t>
      </w:r>
      <w:r w:rsidR="00145848" w:rsidRPr="00B677B4">
        <w:rPr>
          <w:rFonts w:asciiTheme="minorHAnsi" w:hAnsiTheme="minorHAnsi" w:cstheme="minorHAnsi"/>
          <w:sz w:val="22"/>
          <w:szCs w:val="22"/>
          <w:lang w:val="en-GB"/>
        </w:rPr>
        <w:t xml:space="preserve"> be of benefit to the </w:t>
      </w:r>
      <w:r w:rsidR="007202DB">
        <w:rPr>
          <w:rFonts w:asciiTheme="minorHAnsi" w:hAnsiTheme="minorHAnsi" w:cstheme="minorHAnsi"/>
          <w:sz w:val="22"/>
          <w:szCs w:val="22"/>
          <w:lang w:val="en-GB"/>
        </w:rPr>
        <w:t>E</w:t>
      </w:r>
      <w:r w:rsidR="00145848" w:rsidRPr="00B677B4">
        <w:rPr>
          <w:rFonts w:asciiTheme="minorHAnsi" w:hAnsiTheme="minorHAnsi" w:cstheme="minorHAnsi"/>
          <w:sz w:val="22"/>
          <w:szCs w:val="22"/>
          <w:lang w:val="en-GB"/>
        </w:rPr>
        <w:t>mbassy</w:t>
      </w:r>
      <w:r w:rsidR="0065296F">
        <w:rPr>
          <w:rFonts w:asciiTheme="minorHAnsi" w:hAnsiTheme="minorHAnsi" w:cstheme="minorHAnsi"/>
          <w:sz w:val="22"/>
          <w:szCs w:val="22"/>
          <w:lang w:val="en-GB"/>
        </w:rPr>
        <w:t xml:space="preserve"> but would further enhance the program’s standing within the Mongolian government. </w:t>
      </w:r>
    </w:p>
    <w:p w14:paraId="13B365FA" w14:textId="77777777" w:rsidR="001D0E57" w:rsidRPr="00B677B4" w:rsidRDefault="001D0E57" w:rsidP="001D0E57">
      <w:pPr>
        <w:pStyle w:val="table-text"/>
        <w:rPr>
          <w:rFonts w:asciiTheme="minorHAnsi" w:eastAsiaTheme="minorHAnsi" w:hAnsiTheme="minorHAnsi" w:cstheme="minorBidi"/>
          <w:sz w:val="22"/>
          <w:szCs w:val="22"/>
          <w:lang w:eastAsia="en-US"/>
        </w:rPr>
      </w:pPr>
    </w:p>
    <w:p w14:paraId="32C7ACF7" w14:textId="77777777" w:rsidR="00B657D9" w:rsidRPr="001D0E57" w:rsidRDefault="00B657D9" w:rsidP="00B657D9">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rPr>
      </w:pPr>
      <w:r w:rsidRPr="001D0E57">
        <w:rPr>
          <w:rFonts w:asciiTheme="minorHAnsi" w:eastAsiaTheme="minorHAnsi" w:hAnsiTheme="minorHAnsi" w:cstheme="minorHAnsi"/>
          <w:b/>
          <w:bCs/>
        </w:rPr>
        <w:t xml:space="preserve">Conclusion # </w:t>
      </w:r>
      <w:r>
        <w:rPr>
          <w:rFonts w:asciiTheme="minorHAnsi" w:eastAsiaTheme="minorHAnsi" w:hAnsiTheme="minorHAnsi" w:cstheme="minorHAnsi"/>
          <w:b/>
          <w:bCs/>
        </w:rPr>
        <w:t>12</w:t>
      </w:r>
      <w:r w:rsidRPr="001D0E57">
        <w:rPr>
          <w:rFonts w:asciiTheme="minorHAnsi" w:eastAsiaTheme="minorHAnsi" w:hAnsiTheme="minorHAnsi" w:cstheme="minorHAnsi"/>
          <w:b/>
          <w:bCs/>
        </w:rPr>
        <w:t>:</w:t>
      </w:r>
    </w:p>
    <w:p w14:paraId="31434471" w14:textId="77777777" w:rsidR="00B657D9" w:rsidRDefault="00B657D9" w:rsidP="00B657D9">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Tendency for the program to take on a quasi govt role (often seen as the Australian face in the sector) but the Embassy has been left out of this process. This</w:t>
      </w:r>
      <w:r w:rsidRPr="005E266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makes it difficult to demonstrate how the program is reinforcing Australia’s reputation in the sector. </w:t>
      </w:r>
      <w:r w:rsidRPr="00CE55DC">
        <w:rPr>
          <w:rFonts w:asciiTheme="minorHAnsi" w:hAnsiTheme="minorHAnsi" w:cstheme="minorHAnsi"/>
          <w:sz w:val="22"/>
          <w:szCs w:val="22"/>
          <w:lang w:val="en-GB"/>
        </w:rPr>
        <w:t xml:space="preserve">More </w:t>
      </w:r>
      <w:r>
        <w:rPr>
          <w:rFonts w:asciiTheme="minorHAnsi" w:hAnsiTheme="minorHAnsi" w:cstheme="minorHAnsi"/>
          <w:sz w:val="22"/>
          <w:szCs w:val="22"/>
          <w:lang w:val="en-GB"/>
        </w:rPr>
        <w:t>needs to</w:t>
      </w:r>
      <w:r w:rsidRPr="00CE55DC">
        <w:rPr>
          <w:rFonts w:asciiTheme="minorHAnsi" w:hAnsiTheme="minorHAnsi" w:cstheme="minorHAnsi"/>
          <w:sz w:val="22"/>
          <w:szCs w:val="22"/>
          <w:lang w:val="en-GB"/>
        </w:rPr>
        <w:t xml:space="preserve"> be done to make better use of Embassy in reinforcing Australian reputation in Mongolia</w:t>
      </w:r>
      <w:r>
        <w:rPr>
          <w:rFonts w:asciiTheme="minorHAnsi" w:hAnsiTheme="minorHAnsi" w:cstheme="minorHAnsi"/>
          <w:sz w:val="22"/>
          <w:szCs w:val="22"/>
          <w:lang w:val="en-GB"/>
        </w:rPr>
        <w:t>.</w:t>
      </w:r>
    </w:p>
    <w:p w14:paraId="7CA56C2D" w14:textId="77777777" w:rsidR="00B657D9" w:rsidRDefault="00B657D9" w:rsidP="00B657D9">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p>
    <w:p w14:paraId="71340556" w14:textId="77777777" w:rsidR="00B657D9" w:rsidRPr="00A958B0" w:rsidRDefault="00B657D9" w:rsidP="00B657D9">
      <w:pPr>
        <w:pStyle w:val="Default"/>
        <w:pBdr>
          <w:top w:val="single" w:sz="4" w:space="1" w:color="auto"/>
          <w:left w:val="single" w:sz="4" w:space="4" w:color="auto"/>
          <w:bottom w:val="single" w:sz="4" w:space="1" w:color="auto"/>
          <w:right w:val="single" w:sz="4" w:space="4" w:color="auto"/>
        </w:pBdr>
        <w:spacing w:line="276" w:lineRule="auto"/>
        <w:rPr>
          <w:rFonts w:cstheme="minorHAnsi"/>
          <w:b/>
          <w:bCs/>
          <w:sz w:val="22"/>
          <w:szCs w:val="22"/>
        </w:rPr>
      </w:pPr>
      <w:r w:rsidRPr="00CE55DC">
        <w:rPr>
          <w:rFonts w:asciiTheme="minorHAnsi" w:hAnsiTheme="minorHAnsi" w:cstheme="minorHAnsi"/>
          <w:b/>
          <w:bCs/>
          <w:sz w:val="22"/>
          <w:szCs w:val="22"/>
          <w:lang w:val="en-GB"/>
        </w:rPr>
        <w:t>Recommendation</w:t>
      </w:r>
      <w:r>
        <w:rPr>
          <w:rFonts w:asciiTheme="minorHAnsi" w:hAnsiTheme="minorHAnsi" w:cstheme="minorHAnsi"/>
          <w:b/>
          <w:bCs/>
          <w:sz w:val="22"/>
          <w:szCs w:val="22"/>
          <w:lang w:val="en-GB"/>
        </w:rPr>
        <w:t xml:space="preserve"> #8</w:t>
      </w:r>
      <w:r>
        <w:rPr>
          <w:rFonts w:asciiTheme="minorHAnsi" w:hAnsiTheme="minorHAnsi" w:cstheme="minorHAnsi"/>
          <w:sz w:val="22"/>
          <w:szCs w:val="22"/>
          <w:lang w:val="en-GB"/>
        </w:rPr>
        <w:t>:</w:t>
      </w:r>
      <w:r w:rsidRPr="00CE55DC">
        <w:rPr>
          <w:rFonts w:asciiTheme="minorHAnsi" w:hAnsiTheme="minorHAnsi" w:cstheme="minorHAnsi"/>
          <w:sz w:val="22"/>
          <w:szCs w:val="22"/>
          <w:lang w:val="en-GB"/>
        </w:rPr>
        <w:t xml:space="preserve"> </w:t>
      </w:r>
      <w:r>
        <w:rPr>
          <w:rFonts w:asciiTheme="minorHAnsi" w:hAnsiTheme="minorHAnsi" w:cstheme="minorHAnsi"/>
          <w:sz w:val="22"/>
          <w:szCs w:val="22"/>
          <w:lang w:val="en-GB"/>
        </w:rPr>
        <w:t>To ensure greater public diplomacy value the program should engage more deliberately with the Embassy to ensure greater collaboration between AMEP II and the Embassy on issues of mutual interest, including promoting dialogue between key stakeholders in the extractives sector and the senior officials in the Embassy. A</w:t>
      </w:r>
      <w:r w:rsidRPr="00B677B4">
        <w:rPr>
          <w:rFonts w:asciiTheme="minorHAnsi" w:hAnsiTheme="minorHAnsi" w:cstheme="minorHAnsi"/>
          <w:sz w:val="22"/>
          <w:szCs w:val="22"/>
          <w:lang w:val="en-GB"/>
        </w:rPr>
        <w:t xml:space="preserve"> practical way of doing this might be to convene a quarterly/bi-annual informal event where senior officials from the Embassy meet with the key lead implementing partners to exchange activity related information</w:t>
      </w:r>
      <w:r>
        <w:rPr>
          <w:rFonts w:asciiTheme="minorHAnsi" w:hAnsiTheme="minorHAnsi" w:cstheme="minorHAnsi"/>
          <w:sz w:val="22"/>
          <w:szCs w:val="22"/>
          <w:lang w:val="en-GB"/>
        </w:rPr>
        <w:t>.</w:t>
      </w:r>
    </w:p>
    <w:p w14:paraId="4DF56353" w14:textId="09940E14" w:rsidR="00FB3C8F" w:rsidRPr="00B677B4" w:rsidRDefault="00FB3C8F">
      <w:pPr>
        <w:pStyle w:val="Heading1"/>
        <w:numPr>
          <w:ilvl w:val="0"/>
          <w:numId w:val="8"/>
        </w:numPr>
        <w:rPr>
          <w:rStyle w:val="MajorHeading"/>
          <w:rFonts w:asciiTheme="majorHAnsi" w:hAnsiTheme="majorHAnsi" w:cstheme="majorBidi"/>
          <w:b w:val="0"/>
          <w:color w:val="2F5496" w:themeColor="accent1" w:themeShade="BF"/>
          <w:spacing w:val="0"/>
          <w:sz w:val="32"/>
          <w:szCs w:val="32"/>
          <w:lang w:val="en-GB"/>
        </w:rPr>
      </w:pPr>
      <w:bookmarkStart w:id="30" w:name="_Toc124772665"/>
      <w:r w:rsidRPr="00B677B4">
        <w:rPr>
          <w:rStyle w:val="MajorHeading"/>
          <w:rFonts w:asciiTheme="majorHAnsi" w:hAnsiTheme="majorHAnsi" w:cstheme="majorBidi"/>
          <w:b w:val="0"/>
          <w:color w:val="2F5496" w:themeColor="accent1" w:themeShade="BF"/>
          <w:spacing w:val="0"/>
          <w:sz w:val="32"/>
          <w:szCs w:val="32"/>
          <w:lang w:val="en-GB"/>
        </w:rPr>
        <w:lastRenderedPageBreak/>
        <w:t>Conclusions and Recommendations</w:t>
      </w:r>
      <w:bookmarkEnd w:id="30"/>
    </w:p>
    <w:p w14:paraId="7FD2DE87" w14:textId="57AFDB7A" w:rsidR="00FB3C8F" w:rsidRPr="00B677B4" w:rsidRDefault="00FB3C8F" w:rsidP="00B00A2A">
      <w:pPr>
        <w:rPr>
          <w:rFonts w:asciiTheme="minorHAnsi" w:hAnsiTheme="minorHAnsi" w:cstheme="minorHAnsi"/>
          <w:sz w:val="22"/>
          <w:szCs w:val="22"/>
        </w:rPr>
      </w:pPr>
    </w:p>
    <w:p w14:paraId="1083A9AB" w14:textId="38A8BB40" w:rsidR="00FB3C8F" w:rsidRPr="00C8767A" w:rsidRDefault="00FB3C8F" w:rsidP="00FB3C8F">
      <w:pPr>
        <w:pStyle w:val="Subheading"/>
        <w:rPr>
          <w:lang w:val="en-GB"/>
        </w:rPr>
      </w:pPr>
      <w:r w:rsidRPr="00C8767A">
        <w:rPr>
          <w:lang w:val="en-GB"/>
        </w:rPr>
        <w:t>Conclusions</w:t>
      </w:r>
    </w:p>
    <w:p w14:paraId="055A60A8" w14:textId="77777777" w:rsidR="00415D7B" w:rsidRPr="00B677B4" w:rsidRDefault="00415D7B" w:rsidP="00B66BFD">
      <w:pPr>
        <w:rPr>
          <w:rFonts w:asciiTheme="minorHAnsi" w:hAnsiTheme="minorHAnsi" w:cstheme="minorHAnsi"/>
          <w:color w:val="000000"/>
          <w:sz w:val="22"/>
          <w:szCs w:val="22"/>
        </w:rPr>
      </w:pPr>
    </w:p>
    <w:p w14:paraId="669B46AD" w14:textId="10E03B94" w:rsidR="00B66BFD" w:rsidRPr="00B677B4" w:rsidRDefault="00B66BFD" w:rsidP="00B66BFD">
      <w:pPr>
        <w:rPr>
          <w:rFonts w:asciiTheme="minorHAnsi" w:hAnsiTheme="minorHAnsi" w:cstheme="minorHAnsi"/>
          <w:color w:val="000000"/>
          <w:sz w:val="22"/>
          <w:szCs w:val="22"/>
        </w:rPr>
      </w:pPr>
      <w:r w:rsidRPr="00B677B4">
        <w:rPr>
          <w:rFonts w:asciiTheme="minorHAnsi" w:hAnsiTheme="minorHAnsi" w:cstheme="minorHAnsi"/>
          <w:color w:val="000000"/>
          <w:sz w:val="22"/>
          <w:szCs w:val="22"/>
        </w:rPr>
        <w:t xml:space="preserve">AMEP II remains highly relevant to the objectives of the Government of Mongolia, and to the priorities in the sector. However, with government having recently appointed a new Minister of Mining, AMEP II </w:t>
      </w:r>
      <w:proofErr w:type="gramStart"/>
      <w:r w:rsidRPr="00B677B4">
        <w:rPr>
          <w:rFonts w:asciiTheme="minorHAnsi" w:hAnsiTheme="minorHAnsi" w:cstheme="minorHAnsi"/>
          <w:color w:val="000000"/>
          <w:sz w:val="22"/>
          <w:szCs w:val="22"/>
        </w:rPr>
        <w:t>has the opportunity to</w:t>
      </w:r>
      <w:proofErr w:type="gramEnd"/>
      <w:r w:rsidRPr="00B677B4">
        <w:rPr>
          <w:rFonts w:asciiTheme="minorHAnsi" w:hAnsiTheme="minorHAnsi" w:cstheme="minorHAnsi"/>
          <w:color w:val="000000"/>
          <w:sz w:val="22"/>
          <w:szCs w:val="22"/>
        </w:rPr>
        <w:t xml:space="preserve"> determine to what extent its objectives align with the political agenda of the new Minister and to what extent its activities may align with the Minister’s vision for the sector.</w:t>
      </w:r>
    </w:p>
    <w:p w14:paraId="454D8D53" w14:textId="77777777" w:rsidR="008178EC" w:rsidRPr="00B677B4" w:rsidRDefault="008178EC" w:rsidP="008178EC">
      <w:pPr>
        <w:rPr>
          <w:rFonts w:asciiTheme="minorHAnsi" w:hAnsiTheme="minorHAnsi" w:cstheme="minorHAnsi"/>
          <w:color w:val="000000"/>
          <w:sz w:val="22"/>
          <w:szCs w:val="22"/>
        </w:rPr>
      </w:pPr>
    </w:p>
    <w:p w14:paraId="528EA0A1" w14:textId="60EA5921" w:rsidR="00BF0BC0" w:rsidRPr="00B677B4" w:rsidRDefault="00BF0BC0" w:rsidP="009F4CB5">
      <w:pPr>
        <w:rPr>
          <w:rFonts w:asciiTheme="minorHAnsi" w:hAnsiTheme="minorHAnsi" w:cstheme="minorHAnsi"/>
          <w:color w:val="000000"/>
          <w:sz w:val="22"/>
          <w:szCs w:val="22"/>
        </w:rPr>
      </w:pPr>
      <w:r w:rsidRPr="00B677B4">
        <w:rPr>
          <w:rFonts w:asciiTheme="minorHAnsi" w:hAnsiTheme="minorHAnsi" w:cstheme="minorHAnsi"/>
          <w:color w:val="000000"/>
          <w:sz w:val="22"/>
          <w:szCs w:val="22"/>
        </w:rPr>
        <w:t xml:space="preserve">AMEP II has retained its ‘on-demand’ </w:t>
      </w:r>
      <w:r w:rsidR="00552C7D" w:rsidRPr="00B677B4">
        <w:rPr>
          <w:rFonts w:asciiTheme="minorHAnsi" w:hAnsiTheme="minorHAnsi" w:cstheme="minorHAnsi"/>
          <w:color w:val="000000"/>
          <w:sz w:val="22"/>
          <w:szCs w:val="22"/>
        </w:rPr>
        <w:t>approach and</w:t>
      </w:r>
      <w:r w:rsidRPr="00B677B4">
        <w:rPr>
          <w:rFonts w:asciiTheme="minorHAnsi" w:hAnsiTheme="minorHAnsi" w:cstheme="minorHAnsi"/>
          <w:color w:val="000000"/>
          <w:sz w:val="22"/>
          <w:szCs w:val="22"/>
        </w:rPr>
        <w:t xml:space="preserve"> has broadened its consultation process over time</w:t>
      </w:r>
      <w:r w:rsidR="0065296F">
        <w:rPr>
          <w:rFonts w:asciiTheme="minorHAnsi" w:hAnsiTheme="minorHAnsi" w:cstheme="minorHAnsi"/>
          <w:color w:val="000000"/>
          <w:sz w:val="22"/>
          <w:szCs w:val="22"/>
        </w:rPr>
        <w:t>.</w:t>
      </w:r>
      <w:r w:rsidRPr="00B677B4">
        <w:rPr>
          <w:rFonts w:asciiTheme="minorHAnsi" w:hAnsiTheme="minorHAnsi" w:cstheme="minorHAnsi"/>
          <w:color w:val="000000"/>
          <w:sz w:val="22"/>
          <w:szCs w:val="22"/>
        </w:rPr>
        <w:t xml:space="preserve"> Nevertheless, the program does recognise that working with such a disparate group of stakeholders makes it difficult to satisfy and be responsive to the needs of </w:t>
      </w:r>
      <w:r w:rsidR="0065296F">
        <w:rPr>
          <w:rFonts w:asciiTheme="minorHAnsi" w:hAnsiTheme="minorHAnsi" w:cstheme="minorHAnsi"/>
          <w:color w:val="000000"/>
          <w:sz w:val="22"/>
          <w:szCs w:val="22"/>
        </w:rPr>
        <w:t xml:space="preserve">all </w:t>
      </w:r>
      <w:r w:rsidRPr="00B677B4">
        <w:rPr>
          <w:rFonts w:asciiTheme="minorHAnsi" w:hAnsiTheme="minorHAnsi" w:cstheme="minorHAnsi"/>
          <w:color w:val="000000"/>
          <w:sz w:val="22"/>
          <w:szCs w:val="22"/>
        </w:rPr>
        <w:t xml:space="preserve">these stakeholders. </w:t>
      </w:r>
      <w:r w:rsidR="0065296F">
        <w:rPr>
          <w:rFonts w:asciiTheme="minorHAnsi" w:hAnsiTheme="minorHAnsi" w:cstheme="minorHAnsi"/>
          <w:color w:val="000000"/>
          <w:sz w:val="22"/>
          <w:szCs w:val="22"/>
        </w:rPr>
        <w:t xml:space="preserve">However, it is </w:t>
      </w:r>
      <w:r w:rsidR="0065296F" w:rsidRPr="00B677B4">
        <w:rPr>
          <w:rFonts w:asciiTheme="minorHAnsi" w:hAnsiTheme="minorHAnsi" w:cstheme="minorHAnsi"/>
          <w:color w:val="000000"/>
          <w:sz w:val="22"/>
          <w:szCs w:val="22"/>
        </w:rPr>
        <w:t>important</w:t>
      </w:r>
      <w:r w:rsidR="0065296F">
        <w:rPr>
          <w:rFonts w:asciiTheme="minorHAnsi" w:hAnsiTheme="minorHAnsi" w:cstheme="minorHAnsi"/>
          <w:color w:val="000000"/>
          <w:sz w:val="22"/>
          <w:szCs w:val="22"/>
        </w:rPr>
        <w:t xml:space="preserve"> for the program</w:t>
      </w:r>
      <w:r w:rsidR="0065296F" w:rsidRPr="00B677B4">
        <w:rPr>
          <w:rFonts w:asciiTheme="minorHAnsi" w:hAnsiTheme="minorHAnsi" w:cstheme="minorHAnsi"/>
          <w:color w:val="000000"/>
          <w:sz w:val="22"/>
          <w:szCs w:val="22"/>
        </w:rPr>
        <w:t xml:space="preserve"> to have collaboration with communities</w:t>
      </w:r>
      <w:r w:rsidR="0065296F">
        <w:rPr>
          <w:rFonts w:asciiTheme="minorHAnsi" w:hAnsiTheme="minorHAnsi" w:cstheme="minorHAnsi"/>
          <w:color w:val="000000"/>
          <w:sz w:val="22"/>
          <w:szCs w:val="22"/>
        </w:rPr>
        <w:t>,</w:t>
      </w:r>
      <w:r w:rsidR="0065296F" w:rsidRPr="00B677B4">
        <w:rPr>
          <w:rFonts w:asciiTheme="minorHAnsi" w:hAnsiTheme="minorHAnsi" w:cstheme="minorHAnsi"/>
          <w:color w:val="000000"/>
          <w:sz w:val="22"/>
          <w:szCs w:val="22"/>
        </w:rPr>
        <w:t xml:space="preserve"> as the high-level outcome of AMEP II speaks to equality/ benefits for all.</w:t>
      </w:r>
      <w:r w:rsidR="0065296F">
        <w:rPr>
          <w:rFonts w:asciiTheme="minorHAnsi" w:hAnsiTheme="minorHAnsi" w:cstheme="minorHAnsi"/>
          <w:color w:val="000000"/>
          <w:sz w:val="22"/>
          <w:szCs w:val="22"/>
        </w:rPr>
        <w:t xml:space="preserve"> </w:t>
      </w:r>
      <w:r w:rsidRPr="00B677B4">
        <w:rPr>
          <w:rFonts w:asciiTheme="minorHAnsi" w:hAnsiTheme="minorHAnsi" w:cstheme="minorHAnsi"/>
          <w:color w:val="000000"/>
          <w:sz w:val="22"/>
          <w:szCs w:val="22"/>
        </w:rPr>
        <w:t>An opportunity now exists for greater engagement with civil society, but their role needs to be carefully defined to ensure they add value to the program and expectations are managed</w:t>
      </w:r>
      <w:r w:rsidR="0065296F">
        <w:rPr>
          <w:rFonts w:asciiTheme="minorHAnsi" w:hAnsiTheme="minorHAnsi" w:cstheme="minorHAnsi"/>
          <w:color w:val="000000"/>
          <w:sz w:val="22"/>
          <w:szCs w:val="22"/>
        </w:rPr>
        <w:t>.</w:t>
      </w:r>
      <w:r w:rsidRPr="00B677B4">
        <w:rPr>
          <w:rFonts w:asciiTheme="minorHAnsi" w:hAnsiTheme="minorHAnsi" w:cstheme="minorHAnsi"/>
          <w:color w:val="000000"/>
          <w:sz w:val="22"/>
          <w:szCs w:val="22"/>
        </w:rPr>
        <w:t xml:space="preserve"> </w:t>
      </w:r>
    </w:p>
    <w:p w14:paraId="2132D156" w14:textId="77777777" w:rsidR="008178EC" w:rsidRPr="00B677B4" w:rsidRDefault="008178EC" w:rsidP="00B00A2A">
      <w:pPr>
        <w:rPr>
          <w:rFonts w:asciiTheme="minorHAnsi" w:hAnsiTheme="minorHAnsi" w:cstheme="minorHAnsi"/>
          <w:color w:val="000000"/>
          <w:sz w:val="22"/>
          <w:szCs w:val="22"/>
        </w:rPr>
      </w:pPr>
    </w:p>
    <w:p w14:paraId="3C24481D" w14:textId="3F70260A" w:rsidR="00FB3C8F" w:rsidRPr="00B677B4" w:rsidRDefault="00936656" w:rsidP="00B00A2A">
      <w:pPr>
        <w:rPr>
          <w:rFonts w:asciiTheme="minorHAnsi" w:hAnsiTheme="minorHAnsi" w:cstheme="minorHAnsi"/>
          <w:color w:val="000000"/>
          <w:sz w:val="22"/>
          <w:szCs w:val="22"/>
        </w:rPr>
      </w:pPr>
      <w:r w:rsidRPr="00B677B4">
        <w:rPr>
          <w:rFonts w:asciiTheme="minorHAnsi" w:hAnsiTheme="minorHAnsi" w:cstheme="minorHAnsi"/>
          <w:color w:val="000000"/>
          <w:sz w:val="22"/>
          <w:szCs w:val="22"/>
        </w:rPr>
        <w:t xml:space="preserve">AMEP II has demonstrated that it provides sound advice on critical issues in the sector and has been sought out by government to support </w:t>
      </w:r>
      <w:r w:rsidR="008503E4" w:rsidRPr="00B677B4">
        <w:rPr>
          <w:rFonts w:asciiTheme="minorHAnsi" w:hAnsiTheme="minorHAnsi" w:cstheme="minorHAnsi"/>
          <w:color w:val="000000"/>
          <w:sz w:val="22"/>
          <w:szCs w:val="22"/>
        </w:rPr>
        <w:t>several</w:t>
      </w:r>
      <w:r w:rsidRPr="00B677B4">
        <w:rPr>
          <w:rFonts w:asciiTheme="minorHAnsi" w:hAnsiTheme="minorHAnsi" w:cstheme="minorHAnsi"/>
          <w:color w:val="000000"/>
          <w:sz w:val="22"/>
          <w:szCs w:val="22"/>
        </w:rPr>
        <w:t xml:space="preserve"> important regulatory and legislative issues. The program has been largely effective in delivering at output level, but its progress towards its objective remains uncertain</w:t>
      </w:r>
      <w:r w:rsidR="008178EC" w:rsidRPr="00B677B4">
        <w:rPr>
          <w:rFonts w:asciiTheme="minorHAnsi" w:hAnsiTheme="minorHAnsi" w:cstheme="minorHAnsi"/>
          <w:color w:val="000000"/>
          <w:sz w:val="22"/>
          <w:szCs w:val="22"/>
        </w:rPr>
        <w:t xml:space="preserve">. Moreover, the utility of outputs is not yet fully recognised in the sector, this inhibits stakeholders recognising the value of the program, </w:t>
      </w:r>
      <w:r w:rsidR="008503E4" w:rsidRPr="00B677B4">
        <w:rPr>
          <w:rFonts w:asciiTheme="minorHAnsi" w:hAnsiTheme="minorHAnsi" w:cstheme="minorHAnsi"/>
          <w:color w:val="000000"/>
          <w:sz w:val="22"/>
          <w:szCs w:val="22"/>
        </w:rPr>
        <w:t>and</w:t>
      </w:r>
      <w:r w:rsidR="008178EC" w:rsidRPr="00B677B4">
        <w:rPr>
          <w:rFonts w:asciiTheme="minorHAnsi" w:hAnsiTheme="minorHAnsi" w:cstheme="minorHAnsi"/>
          <w:color w:val="000000"/>
          <w:sz w:val="22"/>
          <w:szCs w:val="22"/>
        </w:rPr>
        <w:t xml:space="preserve"> means that stakeholders do not fully appreciate what the program has delivered.</w:t>
      </w:r>
    </w:p>
    <w:p w14:paraId="530D07B2" w14:textId="4735B062" w:rsidR="008178EC" w:rsidRPr="00B677B4" w:rsidRDefault="008178EC" w:rsidP="00B00A2A">
      <w:pPr>
        <w:rPr>
          <w:rFonts w:asciiTheme="minorHAnsi" w:hAnsiTheme="minorHAnsi" w:cstheme="minorHAnsi"/>
          <w:color w:val="000000"/>
          <w:sz w:val="22"/>
          <w:szCs w:val="22"/>
        </w:rPr>
      </w:pPr>
    </w:p>
    <w:p w14:paraId="3D57B3BB" w14:textId="7DD0A25F" w:rsidR="008178EC" w:rsidRPr="00B677B4" w:rsidRDefault="008178EC" w:rsidP="008178EC">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sz w:val="22"/>
          <w:szCs w:val="22"/>
          <w:lang w:eastAsia="en-US"/>
        </w:rPr>
        <w:t xml:space="preserve">AMEP continues to be successful in delivering multi-year interventions, that are </w:t>
      </w:r>
      <w:r w:rsidR="008503E4" w:rsidRPr="00B677B4">
        <w:rPr>
          <w:rFonts w:asciiTheme="minorHAnsi" w:eastAsiaTheme="minorHAnsi" w:hAnsiTheme="minorHAnsi" w:cstheme="minorBidi"/>
          <w:sz w:val="22"/>
          <w:szCs w:val="22"/>
          <w:lang w:eastAsia="en-US"/>
        </w:rPr>
        <w:t>contributing</w:t>
      </w:r>
      <w:r w:rsidRPr="00B677B4">
        <w:rPr>
          <w:rFonts w:asciiTheme="minorHAnsi" w:eastAsiaTheme="minorHAnsi" w:hAnsiTheme="minorHAnsi" w:cstheme="minorBidi"/>
          <w:sz w:val="22"/>
          <w:szCs w:val="22"/>
          <w:lang w:eastAsia="en-US"/>
        </w:rPr>
        <w:t xml:space="preserve"> to the sector, but these successes are not always given the visibility they warrant. The program is also demonstrating that a longer-term approach to support policy building in the mining sector is needed. The implication being that support to policy reform cannot be done on an annual basis, but rather requires a significantly longer time frame. The challenge is to find the right balance between longer-term policy support and the short-term actions in response to the </w:t>
      </w:r>
      <w:proofErr w:type="spellStart"/>
      <w:r w:rsidRPr="00B677B4">
        <w:rPr>
          <w:rFonts w:asciiTheme="minorHAnsi" w:eastAsiaTheme="minorHAnsi" w:hAnsiTheme="minorHAnsi" w:cstheme="minorBidi"/>
          <w:sz w:val="22"/>
          <w:szCs w:val="22"/>
          <w:lang w:eastAsia="en-US"/>
        </w:rPr>
        <w:t>CfPs</w:t>
      </w:r>
      <w:proofErr w:type="spellEnd"/>
      <w:r w:rsidRPr="00B677B4">
        <w:rPr>
          <w:rFonts w:asciiTheme="minorHAnsi" w:eastAsiaTheme="minorHAnsi" w:hAnsiTheme="minorHAnsi" w:cstheme="minorBidi"/>
          <w:sz w:val="22"/>
          <w:szCs w:val="22"/>
          <w:lang w:eastAsia="en-US"/>
        </w:rPr>
        <w:t>. The longer-term support can be programmed, but the short-term actions by their very nature cannot be planned, and bearing in mind that the context has changed dramatically since the start of the program are the assumptions underlying the program still valid?</w:t>
      </w:r>
    </w:p>
    <w:p w14:paraId="6ECA8F68" w14:textId="0247C26D" w:rsidR="008178EC" w:rsidRPr="00B677B4" w:rsidRDefault="008178EC" w:rsidP="009F4CB5">
      <w:pPr>
        <w:rPr>
          <w:rFonts w:asciiTheme="minorHAnsi" w:hAnsiTheme="minorHAnsi" w:cstheme="minorHAnsi"/>
          <w:color w:val="000000"/>
          <w:sz w:val="22"/>
          <w:szCs w:val="22"/>
        </w:rPr>
      </w:pPr>
    </w:p>
    <w:p w14:paraId="21F03E52" w14:textId="62202927" w:rsidR="008178EC" w:rsidRPr="00B677B4" w:rsidRDefault="008178EC" w:rsidP="009F4CB5">
      <w:pPr>
        <w:rPr>
          <w:rFonts w:asciiTheme="minorHAnsi" w:hAnsiTheme="minorHAnsi" w:cstheme="minorHAnsi"/>
          <w:color w:val="000000"/>
          <w:sz w:val="22"/>
          <w:szCs w:val="22"/>
        </w:rPr>
      </w:pPr>
      <w:r w:rsidRPr="00B677B4">
        <w:rPr>
          <w:rFonts w:asciiTheme="minorHAnsi" w:hAnsiTheme="minorHAnsi" w:cstheme="minorHAnsi"/>
          <w:color w:val="000000"/>
          <w:sz w:val="22"/>
          <w:szCs w:val="22"/>
        </w:rPr>
        <w:t xml:space="preserve">M&amp;E is largely fit for purpose at the output level, but it is not sufficiently aligned to the reporting needs of DFAT. In part this is because the program is not tracking in full what it is delivering (although the recent Annual Report is a step in the right direction), and in part because it cannot provide the </w:t>
      </w:r>
      <w:r w:rsidR="00986D1C">
        <w:rPr>
          <w:rFonts w:asciiTheme="minorHAnsi" w:hAnsiTheme="minorHAnsi" w:cstheme="minorHAnsi"/>
          <w:color w:val="000000"/>
          <w:sz w:val="22"/>
          <w:szCs w:val="22"/>
        </w:rPr>
        <w:t>information</w:t>
      </w:r>
      <w:r w:rsidRPr="00B677B4">
        <w:rPr>
          <w:rFonts w:asciiTheme="minorHAnsi" w:hAnsiTheme="minorHAnsi" w:cstheme="minorHAnsi"/>
          <w:color w:val="000000"/>
          <w:sz w:val="22"/>
          <w:szCs w:val="22"/>
        </w:rPr>
        <w:t xml:space="preserve"> requested by DFAT in a timely fashion. This also impacts on the program reporting on its achievements at outcome level.</w:t>
      </w:r>
    </w:p>
    <w:p w14:paraId="15FA7B0F" w14:textId="77777777" w:rsidR="008178EC" w:rsidRPr="00B677B4" w:rsidRDefault="008178EC" w:rsidP="009F4CB5">
      <w:pPr>
        <w:rPr>
          <w:rFonts w:asciiTheme="minorHAnsi" w:hAnsiTheme="minorHAnsi" w:cstheme="minorHAnsi"/>
          <w:color w:val="000000"/>
          <w:sz w:val="22"/>
          <w:szCs w:val="22"/>
        </w:rPr>
      </w:pPr>
    </w:p>
    <w:p w14:paraId="7F75E910" w14:textId="3CB0A4C3" w:rsidR="00FB3C8F" w:rsidRPr="00B677B4" w:rsidRDefault="00767078" w:rsidP="009F4CB5">
      <w:pPr>
        <w:pStyle w:val="table-text"/>
        <w:rPr>
          <w:rFonts w:asciiTheme="minorHAnsi" w:eastAsiaTheme="minorHAnsi" w:hAnsiTheme="minorHAnsi" w:cstheme="minorBidi"/>
          <w:sz w:val="22"/>
          <w:szCs w:val="22"/>
          <w:lang w:eastAsia="en-US"/>
        </w:rPr>
      </w:pPr>
      <w:r w:rsidRPr="00B677B4">
        <w:rPr>
          <w:rFonts w:asciiTheme="minorHAnsi" w:eastAsiaTheme="minorHAnsi" w:hAnsiTheme="minorHAnsi" w:cstheme="minorBidi"/>
          <w:sz w:val="22"/>
          <w:szCs w:val="22"/>
          <w:lang w:eastAsia="en-US"/>
        </w:rPr>
        <w:t xml:space="preserve">Our overall conclusion is that AMEP II has been successful in ‘building bridges’ between relevant government ministries and </w:t>
      </w:r>
      <w:r w:rsidR="005E19B1" w:rsidRPr="00B677B4">
        <w:rPr>
          <w:rFonts w:asciiTheme="minorHAnsi" w:eastAsiaTheme="minorHAnsi" w:hAnsiTheme="minorHAnsi" w:cstheme="minorBidi"/>
          <w:sz w:val="22"/>
          <w:szCs w:val="22"/>
          <w:lang w:eastAsia="en-US"/>
        </w:rPr>
        <w:t>industry relevant players</w:t>
      </w:r>
      <w:r w:rsidRPr="00B677B4">
        <w:rPr>
          <w:rFonts w:asciiTheme="minorHAnsi" w:eastAsiaTheme="minorHAnsi" w:hAnsiTheme="minorHAnsi" w:cstheme="minorBidi"/>
          <w:sz w:val="22"/>
          <w:szCs w:val="22"/>
          <w:lang w:eastAsia="en-US"/>
        </w:rPr>
        <w:t xml:space="preserve">, but it has not been as successful in getting these groups to work with community-based organisations, which has been a missed opportunity. </w:t>
      </w:r>
      <w:r w:rsidR="00142F4D" w:rsidRPr="00B677B4">
        <w:rPr>
          <w:rFonts w:asciiTheme="minorHAnsi" w:eastAsiaTheme="minorHAnsi" w:hAnsiTheme="minorHAnsi" w:cstheme="minorBidi"/>
          <w:sz w:val="22"/>
          <w:szCs w:val="22"/>
          <w:lang w:eastAsia="en-US"/>
        </w:rPr>
        <w:t xml:space="preserve">Nevertheless, the improvement of the investment environment is an ongoing process, and AMEP II continues to </w:t>
      </w:r>
      <w:r w:rsidR="005E19B1" w:rsidRPr="00B677B4">
        <w:rPr>
          <w:rFonts w:asciiTheme="minorHAnsi" w:eastAsiaTheme="minorHAnsi" w:hAnsiTheme="minorHAnsi" w:cstheme="minorBidi"/>
          <w:sz w:val="22"/>
          <w:szCs w:val="22"/>
          <w:lang w:eastAsia="en-US"/>
        </w:rPr>
        <w:t>contribute</w:t>
      </w:r>
      <w:r w:rsidR="00142F4D" w:rsidRPr="00B677B4">
        <w:rPr>
          <w:rFonts w:asciiTheme="minorHAnsi" w:eastAsiaTheme="minorHAnsi" w:hAnsiTheme="minorHAnsi" w:cstheme="minorBidi"/>
          <w:sz w:val="22"/>
          <w:szCs w:val="22"/>
          <w:lang w:eastAsia="en-US"/>
        </w:rPr>
        <w:t xml:space="preserve"> to much needed changes within the sector. Whilst one </w:t>
      </w:r>
      <w:r w:rsidR="008503E4" w:rsidRPr="00B677B4">
        <w:rPr>
          <w:rFonts w:asciiTheme="minorHAnsi" w:eastAsiaTheme="minorHAnsi" w:hAnsiTheme="minorHAnsi" w:cstheme="minorBidi"/>
          <w:sz w:val="22"/>
          <w:szCs w:val="22"/>
          <w:lang w:eastAsia="en-US"/>
        </w:rPr>
        <w:t>must</w:t>
      </w:r>
      <w:r w:rsidR="00142F4D" w:rsidRPr="00B677B4">
        <w:rPr>
          <w:rFonts w:asciiTheme="minorHAnsi" w:eastAsiaTheme="minorHAnsi" w:hAnsiTheme="minorHAnsi" w:cstheme="minorBidi"/>
          <w:sz w:val="22"/>
          <w:szCs w:val="22"/>
          <w:lang w:eastAsia="en-US"/>
        </w:rPr>
        <w:t xml:space="preserve"> be realistic about what a program such as AMEP II can </w:t>
      </w:r>
      <w:r w:rsidR="00091853" w:rsidRPr="00B677B4">
        <w:rPr>
          <w:rFonts w:asciiTheme="minorHAnsi" w:eastAsiaTheme="minorHAnsi" w:hAnsiTheme="minorHAnsi" w:cstheme="minorBidi"/>
          <w:sz w:val="22"/>
          <w:szCs w:val="22"/>
          <w:lang w:eastAsia="en-US"/>
        </w:rPr>
        <w:t>achieve</w:t>
      </w:r>
      <w:r w:rsidR="00142F4D" w:rsidRPr="00B677B4">
        <w:rPr>
          <w:rFonts w:asciiTheme="minorHAnsi" w:eastAsiaTheme="minorHAnsi" w:hAnsiTheme="minorHAnsi" w:cstheme="minorBidi"/>
          <w:sz w:val="22"/>
          <w:szCs w:val="22"/>
          <w:lang w:eastAsia="en-US"/>
        </w:rPr>
        <w:t xml:space="preserve"> within an environment that is unreceptive to change, AMEP II should be encouraged to continue to support collaborative efforts to reform the sector. However, the program does need to provide a better sense of its </w:t>
      </w:r>
      <w:r w:rsidR="008503E4" w:rsidRPr="00B677B4">
        <w:rPr>
          <w:rFonts w:asciiTheme="minorHAnsi" w:eastAsiaTheme="minorHAnsi" w:hAnsiTheme="minorHAnsi" w:cstheme="minorBidi"/>
          <w:sz w:val="22"/>
          <w:szCs w:val="22"/>
          <w:lang w:eastAsia="en-US"/>
        </w:rPr>
        <w:t>competitive</w:t>
      </w:r>
      <w:r w:rsidR="00142F4D" w:rsidRPr="00B677B4">
        <w:rPr>
          <w:rFonts w:asciiTheme="minorHAnsi" w:eastAsiaTheme="minorHAnsi" w:hAnsiTheme="minorHAnsi" w:cstheme="minorBidi"/>
          <w:sz w:val="22"/>
          <w:szCs w:val="22"/>
          <w:lang w:eastAsia="en-US"/>
        </w:rPr>
        <w:t xml:space="preserve"> advantage, and the impact it has having in the sector. Without clear evidence of it meeting its expected outcomes, </w:t>
      </w:r>
      <w:r w:rsidR="00142F4D" w:rsidRPr="00B677B4">
        <w:rPr>
          <w:rFonts w:asciiTheme="minorHAnsi" w:eastAsiaTheme="minorHAnsi" w:hAnsiTheme="minorHAnsi" w:cstheme="minorBidi"/>
          <w:sz w:val="22"/>
          <w:szCs w:val="22"/>
          <w:lang w:eastAsia="en-US"/>
        </w:rPr>
        <w:lastRenderedPageBreak/>
        <w:t xml:space="preserve">its success may remain </w:t>
      </w:r>
      <w:r w:rsidR="008503E4" w:rsidRPr="00B677B4">
        <w:rPr>
          <w:rFonts w:asciiTheme="minorHAnsi" w:eastAsiaTheme="minorHAnsi" w:hAnsiTheme="minorHAnsi" w:cstheme="minorBidi"/>
          <w:sz w:val="22"/>
          <w:szCs w:val="22"/>
          <w:lang w:eastAsia="en-US"/>
        </w:rPr>
        <w:t>ambiguous</w:t>
      </w:r>
      <w:r w:rsidR="00142F4D" w:rsidRPr="00B677B4">
        <w:rPr>
          <w:rFonts w:asciiTheme="minorHAnsi" w:eastAsiaTheme="minorHAnsi" w:hAnsiTheme="minorHAnsi" w:cstheme="minorBidi"/>
          <w:sz w:val="22"/>
          <w:szCs w:val="22"/>
          <w:lang w:eastAsia="en-US"/>
        </w:rPr>
        <w:t>, and it will be difficult for AMEP II to demonstrate that the whole is greater than the sum of its parts.</w:t>
      </w:r>
    </w:p>
    <w:p w14:paraId="0C59CB6A" w14:textId="77777777" w:rsidR="00415D7B" w:rsidRPr="00B677B4" w:rsidRDefault="00415D7B" w:rsidP="009F4CB5">
      <w:pPr>
        <w:pStyle w:val="table-text"/>
        <w:rPr>
          <w:rFonts w:asciiTheme="minorHAnsi" w:hAnsiTheme="minorHAnsi" w:cstheme="minorHAnsi"/>
          <w:sz w:val="22"/>
          <w:szCs w:val="22"/>
        </w:rPr>
      </w:pPr>
    </w:p>
    <w:p w14:paraId="2EDE5B96" w14:textId="5D8A4143" w:rsidR="00FB3C8F" w:rsidRPr="00C8767A" w:rsidRDefault="00FB3C8F" w:rsidP="00FB3C8F">
      <w:pPr>
        <w:pStyle w:val="Subheading"/>
        <w:rPr>
          <w:lang w:val="en-GB"/>
        </w:rPr>
      </w:pPr>
      <w:r w:rsidRPr="00C8767A">
        <w:rPr>
          <w:lang w:val="en-GB"/>
        </w:rPr>
        <w:t>Recommendations</w:t>
      </w:r>
    </w:p>
    <w:p w14:paraId="26A4871D" w14:textId="77777777" w:rsidR="00415D7B" w:rsidRPr="00C8767A" w:rsidRDefault="00415D7B" w:rsidP="00B00A2A">
      <w:pPr>
        <w:rPr>
          <w:rFonts w:asciiTheme="minorHAnsi" w:hAnsiTheme="minorHAnsi" w:cstheme="minorHAnsi"/>
          <w:sz w:val="22"/>
          <w:szCs w:val="22"/>
        </w:rPr>
      </w:pPr>
    </w:p>
    <w:p w14:paraId="578185A5" w14:textId="6BDD5F79" w:rsidR="000E44D2" w:rsidRPr="00C8767A" w:rsidRDefault="00FB3C8F" w:rsidP="00B00A2A">
      <w:pPr>
        <w:rPr>
          <w:rFonts w:asciiTheme="minorHAnsi" w:hAnsiTheme="minorHAnsi" w:cstheme="minorHAnsi"/>
          <w:sz w:val="22"/>
          <w:szCs w:val="22"/>
        </w:rPr>
      </w:pPr>
      <w:r w:rsidRPr="00C8767A">
        <w:rPr>
          <w:rFonts w:asciiTheme="minorHAnsi" w:hAnsiTheme="minorHAnsi" w:cstheme="minorHAnsi"/>
          <w:sz w:val="22"/>
          <w:szCs w:val="22"/>
        </w:rPr>
        <w:t>Based on the findings and conclusions of this evaluation, the recommendations of the evaluation team for the next phase of the Facility are detailed below</w:t>
      </w:r>
      <w:r w:rsidR="008503E4" w:rsidRPr="00C8767A">
        <w:rPr>
          <w:rFonts w:asciiTheme="minorHAnsi" w:hAnsiTheme="minorHAnsi" w:cstheme="minorHAnsi"/>
          <w:sz w:val="22"/>
          <w:szCs w:val="22"/>
        </w:rPr>
        <w:t>:</w:t>
      </w:r>
    </w:p>
    <w:p w14:paraId="5295DB32" w14:textId="77777777" w:rsidR="008503E4" w:rsidRPr="00C8767A" w:rsidRDefault="008503E4" w:rsidP="00B00A2A">
      <w:pPr>
        <w:rPr>
          <w:rFonts w:asciiTheme="minorHAnsi" w:hAnsiTheme="minorHAnsi" w:cstheme="minorHAnsi"/>
          <w:sz w:val="22"/>
          <w:szCs w:val="22"/>
        </w:rPr>
      </w:pPr>
    </w:p>
    <w:p w14:paraId="36E4095B"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Over the final period </w:t>
      </w:r>
      <w:r>
        <w:rPr>
          <w:rFonts w:asciiTheme="minorHAnsi" w:hAnsiTheme="minorHAnsi" w:cstheme="minorHAnsi"/>
          <w:sz w:val="22"/>
          <w:szCs w:val="22"/>
          <w:lang w:val="en-GB"/>
        </w:rPr>
        <w:t xml:space="preserve">there is a need for </w:t>
      </w:r>
      <w:r w:rsidRPr="00B677B4">
        <w:rPr>
          <w:rFonts w:asciiTheme="minorHAnsi" w:hAnsiTheme="minorHAnsi" w:cstheme="minorHAnsi"/>
          <w:sz w:val="22"/>
          <w:szCs w:val="22"/>
          <w:lang w:val="en-GB"/>
        </w:rPr>
        <w:t xml:space="preserve">stronger focus/ </w:t>
      </w:r>
      <w:r>
        <w:rPr>
          <w:rFonts w:asciiTheme="minorHAnsi" w:hAnsiTheme="minorHAnsi" w:cstheme="minorHAnsi"/>
          <w:sz w:val="22"/>
          <w:szCs w:val="22"/>
          <w:lang w:val="en-GB"/>
        </w:rPr>
        <w:t xml:space="preserve">greater </w:t>
      </w:r>
      <w:r w:rsidRPr="00B677B4">
        <w:rPr>
          <w:rFonts w:asciiTheme="minorHAnsi" w:hAnsiTheme="minorHAnsi" w:cstheme="minorHAnsi"/>
          <w:sz w:val="22"/>
          <w:szCs w:val="22"/>
          <w:lang w:val="en-GB"/>
        </w:rPr>
        <w:t xml:space="preserve">emphasis on CSOs </w:t>
      </w:r>
      <w:r>
        <w:rPr>
          <w:rFonts w:asciiTheme="minorHAnsi" w:hAnsiTheme="minorHAnsi" w:cstheme="minorHAnsi"/>
          <w:sz w:val="22"/>
          <w:szCs w:val="22"/>
          <w:lang w:val="en-GB"/>
        </w:rPr>
        <w:t>to</w:t>
      </w:r>
      <w:r w:rsidRPr="00B677B4">
        <w:rPr>
          <w:rFonts w:asciiTheme="minorHAnsi" w:hAnsiTheme="minorHAnsi" w:cstheme="minorHAnsi"/>
          <w:sz w:val="22"/>
          <w:szCs w:val="22"/>
          <w:lang w:val="en-GB"/>
        </w:rPr>
        <w:t xml:space="preserve"> ensure the objective of AMEP II is addressed fully</w:t>
      </w:r>
      <w:r>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t xml:space="preserve"> </w:t>
      </w:r>
      <w:r>
        <w:rPr>
          <w:rFonts w:asciiTheme="minorHAnsi" w:hAnsiTheme="minorHAnsi" w:cstheme="minorHAnsi"/>
          <w:sz w:val="22"/>
          <w:szCs w:val="22"/>
          <w:lang w:val="en-GB"/>
        </w:rPr>
        <w:t>In</w:t>
      </w:r>
      <w:r w:rsidRPr="00B677B4">
        <w:rPr>
          <w:rFonts w:asciiTheme="minorHAnsi" w:hAnsiTheme="minorHAnsi" w:cstheme="minorHAnsi"/>
          <w:sz w:val="22"/>
          <w:szCs w:val="22"/>
          <w:lang w:val="en-GB"/>
        </w:rPr>
        <w:t xml:space="preserve"> selecting activities going forward</w:t>
      </w:r>
      <w:r>
        <w:rPr>
          <w:rFonts w:asciiTheme="minorHAnsi" w:hAnsiTheme="minorHAnsi" w:cstheme="minorHAnsi"/>
          <w:sz w:val="22"/>
          <w:szCs w:val="22"/>
          <w:lang w:val="en-GB"/>
        </w:rPr>
        <w:t xml:space="preserve"> the focus on CSOs </w:t>
      </w:r>
      <w:r w:rsidRPr="00B677B4">
        <w:rPr>
          <w:rFonts w:asciiTheme="minorHAnsi" w:hAnsiTheme="minorHAnsi" w:cstheme="minorHAnsi"/>
          <w:sz w:val="22"/>
          <w:szCs w:val="22"/>
          <w:lang w:val="en-GB"/>
        </w:rPr>
        <w:t>AMEP II could have a closer look at leveraging the success it has had in building partnerships with both government and industry to create opportunities for effective collaboration with CSOs on joint activities (such as around mining affected communities and/or the social dimension of mining drawing on the experiences, for instance, of OT and ERD Resources).</w:t>
      </w:r>
    </w:p>
    <w:p w14:paraId="6547B682"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AMEP II needs to be transparent about the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w:t>
      </w:r>
      <w:r>
        <w:rPr>
          <w:rFonts w:asciiTheme="minorHAnsi" w:hAnsiTheme="minorHAnsi" w:cstheme="minorHAnsi"/>
          <w:sz w:val="22"/>
          <w:szCs w:val="22"/>
          <w:lang w:val="en-GB"/>
        </w:rPr>
        <w:t xml:space="preserve">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be clear about the selection process, ensure selection is an inclusive process drawing on </w:t>
      </w:r>
      <w:r>
        <w:rPr>
          <w:rFonts w:asciiTheme="minorHAnsi" w:hAnsiTheme="minorHAnsi" w:cstheme="minorHAnsi"/>
          <w:sz w:val="22"/>
          <w:szCs w:val="22"/>
          <w:lang w:val="en-GB"/>
        </w:rPr>
        <w:t>a wide range of</w:t>
      </w:r>
      <w:r w:rsidRPr="00B677B4">
        <w:rPr>
          <w:rFonts w:asciiTheme="minorHAnsi" w:hAnsiTheme="minorHAnsi" w:cstheme="minorHAnsi"/>
          <w:sz w:val="22"/>
          <w:szCs w:val="22"/>
          <w:lang w:val="en-GB"/>
        </w:rPr>
        <w:t xml:space="preserve"> all stakeholders,</w:t>
      </w:r>
      <w:r>
        <w:rPr>
          <w:rFonts w:asciiTheme="minorHAnsi" w:hAnsiTheme="minorHAnsi" w:cstheme="minorHAnsi"/>
          <w:sz w:val="22"/>
          <w:szCs w:val="22"/>
          <w:lang w:val="en-GB"/>
        </w:rPr>
        <w:t xml:space="preserve"> and</w:t>
      </w:r>
      <w:r w:rsidRPr="00B677B4">
        <w:rPr>
          <w:rFonts w:asciiTheme="minorHAnsi" w:hAnsiTheme="minorHAnsi" w:cstheme="minorHAnsi"/>
          <w:sz w:val="22"/>
          <w:szCs w:val="22"/>
          <w:lang w:val="en-GB"/>
        </w:rPr>
        <w:t xml:space="preserve"> provide follow-up information to applicants, especially those whose proposals were rejected</w:t>
      </w:r>
      <w:r>
        <w:rPr>
          <w:rFonts w:asciiTheme="minorHAnsi" w:hAnsiTheme="minorHAnsi" w:cstheme="minorHAnsi"/>
          <w:sz w:val="22"/>
          <w:szCs w:val="22"/>
          <w:lang w:val="en-GB"/>
        </w:rPr>
        <w:t>)</w:t>
      </w:r>
      <w:r w:rsidRPr="00B677B4">
        <w:rPr>
          <w:rFonts w:asciiTheme="minorHAnsi" w:hAnsiTheme="minorHAnsi" w:cstheme="minorHAnsi"/>
          <w:sz w:val="22"/>
          <w:szCs w:val="22"/>
          <w:lang w:val="en-GB"/>
        </w:rPr>
        <w:t xml:space="preserve">. A regular follow-up on the selection process for all stakeholders including applicants would ensure transparency and build further trust with stakeholders. </w:t>
      </w:r>
      <w:r>
        <w:rPr>
          <w:rFonts w:asciiTheme="minorHAnsi" w:hAnsiTheme="minorHAnsi" w:cstheme="minorHAnsi"/>
          <w:sz w:val="22"/>
          <w:szCs w:val="22"/>
          <w:lang w:val="en-GB"/>
        </w:rPr>
        <w:t xml:space="preserve">By demonstrating it is accountable the program will </w:t>
      </w:r>
      <w:r w:rsidRPr="00B677B4">
        <w:rPr>
          <w:rFonts w:asciiTheme="minorHAnsi" w:hAnsiTheme="minorHAnsi" w:cstheme="minorHAnsi"/>
          <w:sz w:val="22"/>
          <w:szCs w:val="22"/>
          <w:lang w:val="en-GB"/>
        </w:rPr>
        <w:t xml:space="preserve">also address CSO concerns </w:t>
      </w:r>
      <w:r>
        <w:rPr>
          <w:rFonts w:asciiTheme="minorHAnsi" w:hAnsiTheme="minorHAnsi" w:cstheme="minorHAnsi"/>
          <w:sz w:val="22"/>
          <w:szCs w:val="22"/>
          <w:lang w:val="en-GB"/>
        </w:rPr>
        <w:t>about a perceived lack of</w:t>
      </w:r>
      <w:r w:rsidRPr="00B677B4">
        <w:rPr>
          <w:rFonts w:asciiTheme="minorHAnsi" w:hAnsiTheme="minorHAnsi" w:cstheme="minorHAnsi"/>
          <w:sz w:val="22"/>
          <w:szCs w:val="22"/>
          <w:lang w:val="en-GB"/>
        </w:rPr>
        <w:t xml:space="preserve"> transparency. To enhance its role in the sector AMEP II should continue to ensure that decisions made (especially those related to project selection) are transparent, and that it communicates its decision making clearly to stakeholders. </w:t>
      </w:r>
      <w:r>
        <w:rPr>
          <w:rFonts w:asciiTheme="minorHAnsi" w:hAnsiTheme="minorHAnsi" w:cstheme="minorHAnsi"/>
          <w:sz w:val="22"/>
          <w:szCs w:val="22"/>
          <w:lang w:val="en-GB"/>
        </w:rPr>
        <w:t>The program should consider including independent members of the Advisory Committee, and representation from MMHI and CSOs, in the selection process. This will further enhance transparency and trust-building with different stakeholder groups</w:t>
      </w:r>
      <w:r w:rsidRPr="00B677B4">
        <w:rPr>
          <w:rFonts w:asciiTheme="minorHAnsi" w:hAnsiTheme="minorHAnsi" w:cstheme="minorHAnsi"/>
          <w:sz w:val="22"/>
          <w:szCs w:val="22"/>
          <w:lang w:val="en-GB"/>
        </w:rPr>
        <w:t>.</w:t>
      </w:r>
    </w:p>
    <w:p w14:paraId="0B3179E3"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If the direct outputs of AMEP II can be made </w:t>
      </w:r>
      <w:r>
        <w:rPr>
          <w:rFonts w:asciiTheme="minorHAnsi" w:hAnsiTheme="minorHAnsi" w:cstheme="minorHAnsi"/>
          <w:sz w:val="22"/>
          <w:szCs w:val="22"/>
          <w:lang w:val="en-GB"/>
        </w:rPr>
        <w:t>accessible</w:t>
      </w:r>
      <w:r w:rsidRPr="00B677B4">
        <w:rPr>
          <w:rFonts w:asciiTheme="minorHAnsi" w:hAnsiTheme="minorHAnsi" w:cstheme="minorHAnsi"/>
          <w:sz w:val="22"/>
          <w:szCs w:val="22"/>
          <w:lang w:val="en-GB"/>
        </w:rPr>
        <w:t xml:space="preserve"> to a broader audience (as far as is feasible) it </w:t>
      </w:r>
      <w:r>
        <w:rPr>
          <w:rFonts w:asciiTheme="minorHAnsi" w:hAnsiTheme="minorHAnsi" w:cstheme="minorHAnsi"/>
          <w:sz w:val="22"/>
          <w:szCs w:val="22"/>
          <w:lang w:val="en-GB"/>
        </w:rPr>
        <w:t>will support its awareness raising efforts with regards to the necessary reforms needed in the sector and ensure greater recognition of what the program has delivered to date</w:t>
      </w:r>
      <w:r w:rsidRPr="00B677B4">
        <w:rPr>
          <w:rFonts w:asciiTheme="minorHAnsi" w:hAnsiTheme="minorHAnsi" w:cstheme="minorHAnsi"/>
          <w:sz w:val="22"/>
          <w:szCs w:val="22"/>
          <w:lang w:val="en-GB"/>
        </w:rPr>
        <w:t xml:space="preserve">. </w:t>
      </w:r>
      <w:r>
        <w:rPr>
          <w:rFonts w:asciiTheme="minorHAnsi" w:hAnsiTheme="minorHAnsi" w:cstheme="minorHAnsi"/>
          <w:sz w:val="22"/>
          <w:szCs w:val="22"/>
          <w:lang w:val="en-GB"/>
        </w:rPr>
        <w:t>Increasing access to its outputs</w:t>
      </w:r>
      <w:r w:rsidRPr="00B677B4">
        <w:rPr>
          <w:rFonts w:asciiTheme="minorHAnsi" w:hAnsiTheme="minorHAnsi" w:cstheme="minorHAnsi"/>
          <w:sz w:val="22"/>
          <w:szCs w:val="22"/>
          <w:lang w:val="en-GB"/>
        </w:rPr>
        <w:t xml:space="preserve"> could also </w:t>
      </w:r>
      <w:r>
        <w:rPr>
          <w:rFonts w:asciiTheme="minorHAnsi" w:hAnsiTheme="minorHAnsi" w:cstheme="minorHAnsi"/>
          <w:sz w:val="22"/>
          <w:szCs w:val="22"/>
          <w:lang w:val="en-GB"/>
        </w:rPr>
        <w:t>strengthen</w:t>
      </w:r>
      <w:r w:rsidRPr="00B677B4">
        <w:rPr>
          <w:rFonts w:asciiTheme="minorHAnsi" w:hAnsiTheme="minorHAnsi" w:cstheme="minorHAnsi"/>
          <w:sz w:val="22"/>
          <w:szCs w:val="22"/>
          <w:lang w:val="en-GB"/>
        </w:rPr>
        <w:t xml:space="preserve"> the program’s accountability within the eyes of relevant government institutions</w:t>
      </w:r>
      <w:r>
        <w:rPr>
          <w:rFonts w:asciiTheme="minorHAnsi" w:hAnsiTheme="minorHAnsi" w:cstheme="minorHAnsi"/>
          <w:sz w:val="22"/>
          <w:szCs w:val="22"/>
          <w:lang w:val="en-GB"/>
        </w:rPr>
        <w:t xml:space="preserve"> and other key stakeholders</w:t>
      </w:r>
      <w:r w:rsidRPr="00B677B4">
        <w:rPr>
          <w:rFonts w:asciiTheme="minorHAnsi" w:hAnsiTheme="minorHAnsi" w:cstheme="minorHAnsi"/>
          <w:sz w:val="22"/>
          <w:szCs w:val="22"/>
          <w:lang w:val="en-GB"/>
        </w:rPr>
        <w:t>.</w:t>
      </w:r>
    </w:p>
    <w:p w14:paraId="041DB915"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Flexibility is required to allow activities an opportunity for no-cost extensions when there are sufficient grounds for approving extra time for delivery. This would need to be clearly signalled in the </w:t>
      </w:r>
      <w:proofErr w:type="spellStart"/>
      <w:r w:rsidRPr="00B677B4">
        <w:rPr>
          <w:rFonts w:asciiTheme="minorHAnsi" w:hAnsiTheme="minorHAnsi" w:cstheme="minorHAnsi"/>
          <w:sz w:val="22"/>
          <w:szCs w:val="22"/>
          <w:lang w:val="en-GB"/>
        </w:rPr>
        <w:t>CfP</w:t>
      </w:r>
      <w:proofErr w:type="spellEnd"/>
      <w:r w:rsidRPr="00B677B4">
        <w:rPr>
          <w:rFonts w:asciiTheme="minorHAnsi" w:hAnsiTheme="minorHAnsi" w:cstheme="minorHAnsi"/>
          <w:sz w:val="22"/>
          <w:szCs w:val="22"/>
          <w:lang w:val="en-GB"/>
        </w:rPr>
        <w:t xml:space="preserve"> process, providing clear criteria for determining </w:t>
      </w:r>
      <w:r>
        <w:rPr>
          <w:rFonts w:asciiTheme="minorHAnsi" w:hAnsiTheme="minorHAnsi" w:cstheme="minorHAnsi"/>
          <w:sz w:val="22"/>
          <w:szCs w:val="22"/>
          <w:lang w:val="en-GB"/>
        </w:rPr>
        <w:t>when</w:t>
      </w:r>
      <w:r w:rsidRPr="00B677B4">
        <w:rPr>
          <w:rFonts w:asciiTheme="minorHAnsi" w:hAnsiTheme="minorHAnsi" w:cstheme="minorHAnsi"/>
          <w:sz w:val="22"/>
          <w:szCs w:val="22"/>
          <w:lang w:val="en-GB"/>
        </w:rPr>
        <w:t xml:space="preserve"> such an extension is justified.</w:t>
      </w:r>
    </w:p>
    <w:p w14:paraId="03521647"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 xml:space="preserve">Need for the updated </w:t>
      </w:r>
      <w:proofErr w:type="spellStart"/>
      <w:r w:rsidRPr="00B677B4">
        <w:rPr>
          <w:rFonts w:asciiTheme="minorHAnsi" w:hAnsiTheme="minorHAnsi" w:cstheme="minorHAnsi"/>
          <w:sz w:val="22"/>
          <w:szCs w:val="22"/>
          <w:lang w:val="en-GB"/>
        </w:rPr>
        <w:t>ToC</w:t>
      </w:r>
      <w:proofErr w:type="spellEnd"/>
      <w:r w:rsidRPr="00B677B4">
        <w:rPr>
          <w:rFonts w:asciiTheme="minorHAnsi" w:hAnsiTheme="minorHAnsi" w:cstheme="minorHAnsi"/>
          <w:sz w:val="22"/>
          <w:szCs w:val="22"/>
          <w:lang w:val="en-GB"/>
        </w:rPr>
        <w:t xml:space="preserve">/ Logic Model to be revised in line with what has already been spelt out in the most recent Annual Report, to ensure that it reflects that ambition of the program, and to ensure reporting is aligned with the revised logic model and </w:t>
      </w:r>
      <w:r>
        <w:rPr>
          <w:rFonts w:asciiTheme="minorHAnsi" w:hAnsiTheme="minorHAnsi" w:cstheme="minorHAnsi"/>
          <w:sz w:val="22"/>
          <w:szCs w:val="22"/>
          <w:lang w:val="en-GB"/>
        </w:rPr>
        <w:t>meets the</w:t>
      </w:r>
      <w:r w:rsidRPr="00B677B4">
        <w:rPr>
          <w:rFonts w:asciiTheme="minorHAnsi" w:hAnsiTheme="minorHAnsi" w:cstheme="minorHAnsi"/>
          <w:sz w:val="22"/>
          <w:szCs w:val="22"/>
          <w:lang w:val="en-GB"/>
        </w:rPr>
        <w:t xml:space="preserve"> reporting needs of DFAT, especially at outcome level.  </w:t>
      </w:r>
    </w:p>
    <w:p w14:paraId="7F2D4561"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Critically assess the extent to which the original assumptions of the program remain valid and determine to what extent there is appetite to increase longer term policy support.</w:t>
      </w:r>
    </w:p>
    <w:p w14:paraId="06CBA529"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Greater visibility/ publicity needed on key achievements (and a better sense of what still needs to be addressed in the sector). Bearing in mind that increased collaboration is an implicit outcome statement of the program, AMEP II could work on explicitly documenting the real change that project activities have contributed to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demonstrating the added </w:t>
      </w:r>
      <w:r w:rsidRPr="00B677B4">
        <w:rPr>
          <w:rFonts w:asciiTheme="minorHAnsi" w:hAnsiTheme="minorHAnsi" w:cstheme="minorHAnsi"/>
          <w:sz w:val="22"/>
          <w:szCs w:val="22"/>
          <w:lang w:val="en-GB"/>
        </w:rPr>
        <w:lastRenderedPageBreak/>
        <w:t>value AMEP II has delivered to the sector). This could also include disseminating information/ publicising exemplary projects/ good practices, and sharing stories of the impact AMEP II is having on the sector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beyond the direct beneficiaries of activities). Furthermore, based on the Project experience (achievements and challenges with respect to collaboration), AMEP could produce a ‘documentary’ of real cases and practices on failed and </w:t>
      </w:r>
      <w:r>
        <w:rPr>
          <w:rFonts w:asciiTheme="minorHAnsi" w:hAnsiTheme="minorHAnsi" w:cstheme="minorHAnsi"/>
          <w:sz w:val="22"/>
          <w:szCs w:val="22"/>
          <w:lang w:val="en-GB"/>
        </w:rPr>
        <w:t>successful</w:t>
      </w:r>
      <w:r w:rsidRPr="00B677B4">
        <w:rPr>
          <w:rFonts w:asciiTheme="minorHAnsi" w:hAnsiTheme="minorHAnsi" w:cstheme="minorHAnsi"/>
          <w:sz w:val="22"/>
          <w:szCs w:val="22"/>
          <w:lang w:val="en-GB"/>
        </w:rPr>
        <w:t xml:space="preserve"> collaborative efforts from which the sector can learn and leverage for future efforts </w:t>
      </w:r>
      <w:r>
        <w:rPr>
          <w:rFonts w:asciiTheme="minorHAnsi" w:hAnsiTheme="minorHAnsi" w:cstheme="minorHAnsi"/>
          <w:sz w:val="22"/>
          <w:szCs w:val="22"/>
          <w:lang w:val="en-GB"/>
        </w:rPr>
        <w:t xml:space="preserve">to improve the </w:t>
      </w:r>
      <w:r w:rsidRPr="00B677B4">
        <w:rPr>
          <w:rFonts w:asciiTheme="minorHAnsi" w:hAnsiTheme="minorHAnsi" w:cstheme="minorHAnsi"/>
          <w:sz w:val="22"/>
          <w:szCs w:val="22"/>
          <w:lang w:val="en-GB"/>
        </w:rPr>
        <w:t xml:space="preserve">investment environment. </w:t>
      </w:r>
    </w:p>
    <w:p w14:paraId="4D8BD74E" w14:textId="77777777" w:rsidR="007A2132" w:rsidRPr="00B677B4" w:rsidRDefault="007A2132" w:rsidP="007A2132">
      <w:pPr>
        <w:pStyle w:val="Default"/>
        <w:numPr>
          <w:ilvl w:val="0"/>
          <w:numId w:val="40"/>
        </w:numPr>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To ensure greater public diplomacy value the program should engage more deliberately with the Embassy to ensure greater collaboration between AMEP II and the Embassy on issues of mutual interest, including promoting dialogue between key stakeholders in the extractives sector and the senior officials in the Embassy</w:t>
      </w:r>
      <w:r>
        <w:rPr>
          <w:rFonts w:asciiTheme="minorHAnsi" w:hAnsiTheme="minorHAnsi" w:cstheme="minorHAnsi"/>
          <w:sz w:val="22"/>
          <w:szCs w:val="22"/>
          <w:lang w:val="en-GB"/>
        </w:rPr>
        <w:t>. A</w:t>
      </w:r>
      <w:r w:rsidRPr="00B677B4">
        <w:rPr>
          <w:rFonts w:asciiTheme="minorHAnsi" w:hAnsiTheme="minorHAnsi" w:cstheme="minorHAnsi"/>
          <w:sz w:val="22"/>
          <w:szCs w:val="22"/>
          <w:lang w:val="en-GB"/>
        </w:rPr>
        <w:t xml:space="preserve"> practical way of doing this might be to convene a quarterly/bi-annual informal event where senior officials from the Embassy meet with the key lead implementing partners to exchange activity related information.</w:t>
      </w:r>
    </w:p>
    <w:p w14:paraId="3FA6462F" w14:textId="08CFBB22" w:rsidR="00A3462C" w:rsidRPr="00B677B4" w:rsidRDefault="00A3462C" w:rsidP="007A2132">
      <w:pPr>
        <w:pStyle w:val="Default"/>
        <w:spacing w:line="276" w:lineRule="auto"/>
        <w:ind w:left="360"/>
        <w:rPr>
          <w:rFonts w:asciiTheme="minorHAnsi" w:hAnsiTheme="minorHAnsi" w:cstheme="minorHAnsi"/>
          <w:sz w:val="22"/>
          <w:szCs w:val="22"/>
          <w:lang w:val="en-GB"/>
        </w:rPr>
      </w:pPr>
    </w:p>
    <w:p w14:paraId="40BBF2DC" w14:textId="77777777" w:rsidR="008503E4" w:rsidRPr="00B677B4" w:rsidRDefault="008503E4" w:rsidP="009F4CB5">
      <w:pPr>
        <w:pStyle w:val="Default"/>
        <w:spacing w:line="276" w:lineRule="auto"/>
        <w:ind w:left="720"/>
        <w:rPr>
          <w:rFonts w:asciiTheme="minorHAnsi" w:hAnsiTheme="minorHAnsi" w:cstheme="minorHAnsi"/>
          <w:sz w:val="22"/>
          <w:szCs w:val="22"/>
          <w:lang w:val="en-GB"/>
        </w:rPr>
      </w:pPr>
    </w:p>
    <w:p w14:paraId="73F1DA97" w14:textId="77777777" w:rsidR="008503E4" w:rsidRPr="00B677B4" w:rsidRDefault="008503E4" w:rsidP="008503E4">
      <w:pPr>
        <w:rPr>
          <w:rFonts w:asciiTheme="minorHAnsi" w:hAnsiTheme="minorHAnsi" w:cstheme="minorHAnsi"/>
        </w:rPr>
      </w:pPr>
    </w:p>
    <w:p w14:paraId="0A869F5A" w14:textId="705B26F1" w:rsidR="008503E4" w:rsidRPr="00B677B4" w:rsidRDefault="008503E4" w:rsidP="008503E4">
      <w:pPr>
        <w:rPr>
          <w:rFonts w:asciiTheme="minorHAnsi" w:hAnsiTheme="minorHAnsi" w:cstheme="minorHAnsi"/>
        </w:rPr>
        <w:sectPr w:rsidR="008503E4" w:rsidRPr="00B677B4" w:rsidSect="00B418E5">
          <w:headerReference w:type="first" r:id="rId12"/>
          <w:type w:val="continuous"/>
          <w:pgSz w:w="11900" w:h="16840"/>
          <w:pgMar w:top="1440" w:right="1440" w:bottom="1440" w:left="1440" w:header="709" w:footer="709" w:gutter="0"/>
          <w:cols w:space="708"/>
          <w:titlePg/>
          <w:docGrid w:linePitch="360"/>
        </w:sectPr>
      </w:pPr>
    </w:p>
    <w:p w14:paraId="0D8D8356" w14:textId="41C69751" w:rsidR="000E44D2" w:rsidRPr="00B677B4" w:rsidRDefault="0073589D" w:rsidP="00B418E5">
      <w:pPr>
        <w:pStyle w:val="Heading1"/>
        <w:rPr>
          <w:rStyle w:val="Heading"/>
          <w:rFonts w:asciiTheme="majorHAnsi" w:hAnsiTheme="majorHAnsi" w:cstheme="majorBidi"/>
          <w:color w:val="2F5496" w:themeColor="accent1" w:themeShade="BF"/>
          <w:sz w:val="32"/>
          <w:szCs w:val="32"/>
          <w:lang w:val="en-GB"/>
        </w:rPr>
      </w:pPr>
      <w:bookmarkStart w:id="31" w:name="_Toc124772666"/>
      <w:bookmarkEnd w:id="25"/>
      <w:bookmarkEnd w:id="26"/>
      <w:bookmarkEnd w:id="27"/>
      <w:r w:rsidRPr="00B677B4">
        <w:rPr>
          <w:rStyle w:val="Heading"/>
          <w:rFonts w:asciiTheme="majorHAnsi" w:hAnsiTheme="majorHAnsi" w:cstheme="majorBidi"/>
          <w:color w:val="2F5496" w:themeColor="accent1" w:themeShade="BF"/>
          <w:sz w:val="32"/>
          <w:szCs w:val="32"/>
          <w:lang w:val="en-GB"/>
        </w:rPr>
        <w:lastRenderedPageBreak/>
        <w:t xml:space="preserve">Annex </w:t>
      </w:r>
      <w:r w:rsidR="009D6F1C" w:rsidRPr="00B677B4">
        <w:rPr>
          <w:rStyle w:val="Heading"/>
          <w:rFonts w:asciiTheme="majorHAnsi" w:hAnsiTheme="majorHAnsi" w:cstheme="majorBidi"/>
          <w:color w:val="2F5496" w:themeColor="accent1" w:themeShade="BF"/>
          <w:sz w:val="32"/>
          <w:szCs w:val="32"/>
          <w:lang w:val="en-GB"/>
        </w:rPr>
        <w:t>1</w:t>
      </w:r>
      <w:r w:rsidRPr="00B677B4">
        <w:rPr>
          <w:rStyle w:val="Heading"/>
          <w:rFonts w:asciiTheme="majorHAnsi" w:hAnsiTheme="majorHAnsi" w:cstheme="majorBidi"/>
          <w:color w:val="2F5496" w:themeColor="accent1" w:themeShade="BF"/>
          <w:sz w:val="32"/>
          <w:szCs w:val="32"/>
          <w:lang w:val="en-GB"/>
        </w:rPr>
        <w:t xml:space="preserve">: </w:t>
      </w:r>
      <w:r w:rsidR="000E44D2" w:rsidRPr="00B677B4">
        <w:rPr>
          <w:rStyle w:val="Heading"/>
          <w:rFonts w:asciiTheme="majorHAnsi" w:hAnsiTheme="majorHAnsi" w:cstheme="majorBidi"/>
          <w:color w:val="2F5496" w:themeColor="accent1" w:themeShade="BF"/>
          <w:sz w:val="32"/>
          <w:szCs w:val="32"/>
          <w:lang w:val="en-GB"/>
        </w:rPr>
        <w:t>Terms of Reference</w:t>
      </w:r>
      <w:bookmarkEnd w:id="31"/>
    </w:p>
    <w:p w14:paraId="7AA7DACF" w14:textId="148235FB" w:rsidR="000E44D2" w:rsidRPr="00B677B4" w:rsidRDefault="000E44D2" w:rsidP="000E44D2">
      <w:pPr>
        <w:rPr>
          <w:lang w:eastAsia="en-US"/>
        </w:rPr>
      </w:pPr>
    </w:p>
    <w:p w14:paraId="625D9E8C" w14:textId="4BA495CB" w:rsidR="000E44D2" w:rsidRPr="00B677B4" w:rsidRDefault="000E44D2" w:rsidP="000E44D2">
      <w:pPr>
        <w:rPr>
          <w:rFonts w:asciiTheme="minorHAnsi" w:hAnsiTheme="minorHAnsi" w:cstheme="minorHAnsi"/>
          <w:sz w:val="22"/>
          <w:szCs w:val="22"/>
          <w:lang w:eastAsia="en-US"/>
        </w:rPr>
      </w:pPr>
      <w:r w:rsidRPr="00B677B4">
        <w:rPr>
          <w:rFonts w:asciiTheme="minorHAnsi" w:hAnsiTheme="minorHAnsi" w:cstheme="minorHAnsi"/>
          <w:sz w:val="22"/>
          <w:szCs w:val="22"/>
          <w:lang w:eastAsia="en-US"/>
        </w:rPr>
        <w:t>(</w:t>
      </w:r>
      <w:proofErr w:type="gramStart"/>
      <w:r w:rsidRPr="00B677B4">
        <w:rPr>
          <w:rFonts w:asciiTheme="minorHAnsi" w:hAnsiTheme="minorHAnsi" w:cstheme="minorHAnsi"/>
          <w:sz w:val="22"/>
          <w:szCs w:val="22"/>
          <w:lang w:eastAsia="en-US"/>
        </w:rPr>
        <w:t>to</w:t>
      </w:r>
      <w:proofErr w:type="gramEnd"/>
      <w:r w:rsidRPr="00B677B4">
        <w:rPr>
          <w:rFonts w:asciiTheme="minorHAnsi" w:hAnsiTheme="minorHAnsi" w:cstheme="minorHAnsi"/>
          <w:sz w:val="22"/>
          <w:szCs w:val="22"/>
          <w:lang w:eastAsia="en-US"/>
        </w:rPr>
        <w:t xml:space="preserve"> be added to final report)</w:t>
      </w:r>
    </w:p>
    <w:p w14:paraId="1CE6625C" w14:textId="77777777" w:rsidR="000E44D2" w:rsidRPr="00B677B4" w:rsidRDefault="000E44D2" w:rsidP="00B418E5">
      <w:pPr>
        <w:pStyle w:val="Heading1"/>
        <w:rPr>
          <w:rStyle w:val="Heading"/>
          <w:rFonts w:asciiTheme="majorHAnsi" w:hAnsiTheme="majorHAnsi" w:cstheme="majorBidi"/>
          <w:color w:val="2F5496" w:themeColor="accent1" w:themeShade="BF"/>
          <w:sz w:val="32"/>
          <w:szCs w:val="32"/>
          <w:lang w:val="en-GB"/>
        </w:rPr>
      </w:pPr>
    </w:p>
    <w:p w14:paraId="780B51E2" w14:textId="77777777" w:rsidR="000E44D2" w:rsidRPr="00B677B4" w:rsidRDefault="0073589D" w:rsidP="00B418E5">
      <w:pPr>
        <w:pStyle w:val="Heading1"/>
        <w:rPr>
          <w:rStyle w:val="Heading"/>
          <w:rFonts w:asciiTheme="majorHAnsi" w:hAnsiTheme="majorHAnsi" w:cstheme="majorBidi"/>
          <w:color w:val="2F5496" w:themeColor="accent1" w:themeShade="BF"/>
          <w:sz w:val="32"/>
          <w:szCs w:val="32"/>
          <w:lang w:val="en-GB"/>
        </w:rPr>
      </w:pPr>
      <w:r w:rsidRPr="00B677B4">
        <w:rPr>
          <w:rStyle w:val="Heading"/>
          <w:rFonts w:asciiTheme="majorHAnsi" w:hAnsiTheme="majorHAnsi" w:cstheme="majorBidi"/>
          <w:color w:val="2F5496" w:themeColor="accent1" w:themeShade="BF"/>
          <w:sz w:val="32"/>
          <w:szCs w:val="32"/>
          <w:lang w:val="en-GB"/>
        </w:rPr>
        <w:t xml:space="preserve"> </w:t>
      </w:r>
    </w:p>
    <w:p w14:paraId="7B697994" w14:textId="77777777" w:rsidR="000E44D2" w:rsidRPr="00B677B4" w:rsidRDefault="000E44D2">
      <w:pPr>
        <w:rPr>
          <w:rStyle w:val="Heading"/>
          <w:rFonts w:asciiTheme="majorHAnsi" w:eastAsiaTheme="majorEastAsia" w:hAnsiTheme="majorHAnsi" w:cstheme="majorBidi"/>
          <w:color w:val="2F5496" w:themeColor="accent1" w:themeShade="BF"/>
          <w:sz w:val="32"/>
          <w:szCs w:val="32"/>
          <w:lang w:eastAsia="en-US"/>
        </w:rPr>
      </w:pPr>
      <w:r w:rsidRPr="00B677B4">
        <w:rPr>
          <w:rStyle w:val="Heading"/>
          <w:rFonts w:asciiTheme="majorHAnsi" w:hAnsiTheme="majorHAnsi" w:cstheme="majorBidi"/>
          <w:color w:val="2F5496" w:themeColor="accent1" w:themeShade="BF"/>
          <w:sz w:val="32"/>
          <w:szCs w:val="32"/>
        </w:rPr>
        <w:br w:type="page"/>
      </w:r>
    </w:p>
    <w:p w14:paraId="106A01F3" w14:textId="7E7B6C4F" w:rsidR="0073589D" w:rsidRPr="00B677B4" w:rsidRDefault="000E44D2" w:rsidP="00B418E5">
      <w:pPr>
        <w:pStyle w:val="Heading1"/>
        <w:rPr>
          <w:rStyle w:val="Heading"/>
          <w:rFonts w:asciiTheme="majorHAnsi" w:hAnsiTheme="majorHAnsi" w:cstheme="majorBidi"/>
          <w:color w:val="2F5496" w:themeColor="accent1" w:themeShade="BF"/>
          <w:sz w:val="32"/>
          <w:szCs w:val="32"/>
          <w:lang w:val="en-GB"/>
        </w:rPr>
      </w:pPr>
      <w:bookmarkStart w:id="32" w:name="_Toc124772667"/>
      <w:r w:rsidRPr="00B677B4">
        <w:rPr>
          <w:rStyle w:val="Heading"/>
          <w:rFonts w:asciiTheme="majorHAnsi" w:hAnsiTheme="majorHAnsi" w:cstheme="majorBidi"/>
          <w:color w:val="2F5496" w:themeColor="accent1" w:themeShade="BF"/>
          <w:sz w:val="32"/>
          <w:szCs w:val="32"/>
          <w:lang w:val="en-GB"/>
        </w:rPr>
        <w:lastRenderedPageBreak/>
        <w:t xml:space="preserve">Annex 2: List </w:t>
      </w:r>
      <w:r w:rsidR="0073589D" w:rsidRPr="00B677B4">
        <w:rPr>
          <w:rStyle w:val="Heading"/>
          <w:rFonts w:asciiTheme="majorHAnsi" w:hAnsiTheme="majorHAnsi" w:cstheme="majorBidi"/>
          <w:color w:val="2F5496" w:themeColor="accent1" w:themeShade="BF"/>
          <w:sz w:val="32"/>
          <w:szCs w:val="32"/>
          <w:lang w:val="en-GB"/>
        </w:rPr>
        <w:t>of key informants</w:t>
      </w:r>
      <w:bookmarkEnd w:id="32"/>
    </w:p>
    <w:p w14:paraId="6359DB44" w14:textId="77777777" w:rsidR="0073589D" w:rsidRPr="00B677B4" w:rsidRDefault="0073589D" w:rsidP="0073589D"/>
    <w:tbl>
      <w:tblPr>
        <w:tblStyle w:val="table-style-blauw-100-outline"/>
        <w:tblW w:w="0" w:type="auto"/>
        <w:tblLook w:val="04A0" w:firstRow="1" w:lastRow="0" w:firstColumn="1" w:lastColumn="0" w:noHBand="0" w:noVBand="1"/>
      </w:tblPr>
      <w:tblGrid>
        <w:gridCol w:w="3949"/>
        <w:gridCol w:w="5055"/>
      </w:tblGrid>
      <w:tr w:rsidR="00AA3221" w:rsidRPr="00B677B4" w14:paraId="0A0ECF27" w14:textId="77777777" w:rsidTr="000024EB">
        <w:trPr>
          <w:cnfStyle w:val="100000000000" w:firstRow="1" w:lastRow="0" w:firstColumn="0" w:lastColumn="0" w:oddVBand="0" w:evenVBand="0" w:oddHBand="0" w:evenHBand="0" w:firstRowFirstColumn="0" w:firstRowLastColumn="0" w:lastRowFirstColumn="0" w:lastRowLastColumn="0"/>
        </w:trPr>
        <w:tc>
          <w:tcPr>
            <w:tcW w:w="3949" w:type="dxa"/>
          </w:tcPr>
          <w:p w14:paraId="5B209B3F" w14:textId="43DCE59E" w:rsidR="00AA3221" w:rsidRPr="00B677B4" w:rsidRDefault="00AA3221">
            <w:pPr>
              <w:rPr>
                <w:rStyle w:val="Heading"/>
                <w:rFonts w:ascii="Arial" w:hAnsi="Arial" w:cs="Arial"/>
                <w:color w:val="FFFFFF" w:themeColor="background1"/>
                <w:sz w:val="20"/>
                <w:szCs w:val="20"/>
                <w:lang w:val="en-GB"/>
              </w:rPr>
            </w:pPr>
            <w:r w:rsidRPr="00B677B4">
              <w:rPr>
                <w:rStyle w:val="Heading"/>
                <w:rFonts w:ascii="Arial" w:hAnsi="Arial" w:cs="Arial"/>
                <w:color w:val="FFFFFF" w:themeColor="background1"/>
                <w:sz w:val="20"/>
                <w:szCs w:val="20"/>
                <w:lang w:val="en-GB"/>
              </w:rPr>
              <w:t>Name</w:t>
            </w:r>
          </w:p>
        </w:tc>
        <w:tc>
          <w:tcPr>
            <w:tcW w:w="5055" w:type="dxa"/>
          </w:tcPr>
          <w:p w14:paraId="0CF0B9A6" w14:textId="4D7C39D9" w:rsidR="00AA3221" w:rsidRPr="00B677B4" w:rsidRDefault="00AA3221">
            <w:pPr>
              <w:rPr>
                <w:rStyle w:val="Heading"/>
                <w:rFonts w:ascii="Arial" w:hAnsi="Arial" w:cs="Arial"/>
                <w:color w:val="FFFFFF" w:themeColor="background1"/>
                <w:sz w:val="20"/>
                <w:szCs w:val="20"/>
                <w:lang w:val="en-GB"/>
              </w:rPr>
            </w:pPr>
            <w:r w:rsidRPr="00B677B4">
              <w:rPr>
                <w:rStyle w:val="Heading"/>
                <w:rFonts w:ascii="Arial" w:hAnsi="Arial" w:cs="Arial"/>
                <w:color w:val="FFFFFF" w:themeColor="background1"/>
                <w:sz w:val="20"/>
                <w:szCs w:val="20"/>
                <w:lang w:val="en-GB"/>
              </w:rPr>
              <w:t>Contact Details</w:t>
            </w:r>
          </w:p>
        </w:tc>
      </w:tr>
      <w:tr w:rsidR="00AA3221" w:rsidRPr="00B677B4" w14:paraId="0A8208E5" w14:textId="77777777" w:rsidTr="000024EB">
        <w:trPr>
          <w:cnfStyle w:val="000000100000" w:firstRow="0" w:lastRow="0" w:firstColumn="0" w:lastColumn="0" w:oddVBand="0" w:evenVBand="0" w:oddHBand="1" w:evenHBand="0" w:firstRowFirstColumn="0" w:firstRowLastColumn="0" w:lastRowFirstColumn="0" w:lastRowLastColumn="0"/>
        </w:trPr>
        <w:tc>
          <w:tcPr>
            <w:tcW w:w="3949" w:type="dxa"/>
          </w:tcPr>
          <w:p w14:paraId="752DC755" w14:textId="09726853" w:rsidR="00AA3221" w:rsidRPr="00B677B4" w:rsidRDefault="00AA3221">
            <w:pPr>
              <w:rPr>
                <w:rStyle w:val="Heading"/>
                <w:rFonts w:ascii="Arial" w:hAnsi="Arial" w:cs="Arial"/>
                <w:color w:val="000000" w:themeColor="text1"/>
                <w:sz w:val="20"/>
                <w:szCs w:val="20"/>
                <w:lang w:val="en-GB"/>
              </w:rPr>
            </w:pPr>
            <w:r w:rsidRPr="00B677B4">
              <w:rPr>
                <w:rFonts w:ascii="Arial" w:hAnsi="Arial" w:cs="Arial"/>
                <w:color w:val="000000" w:themeColor="text1"/>
                <w:sz w:val="20"/>
                <w:lang w:val="en-GB"/>
              </w:rPr>
              <w:t>David Preston</w:t>
            </w:r>
          </w:p>
        </w:tc>
        <w:tc>
          <w:tcPr>
            <w:tcW w:w="5055" w:type="dxa"/>
          </w:tcPr>
          <w:p w14:paraId="7845029C" w14:textId="0DBE5721" w:rsidR="00AA3221" w:rsidRPr="00B677B4" w:rsidRDefault="00000000">
            <w:pPr>
              <w:rPr>
                <w:rStyle w:val="Heading"/>
                <w:rFonts w:ascii="Arial" w:hAnsi="Arial" w:cs="Arial"/>
                <w:color w:val="000000" w:themeColor="text1"/>
                <w:sz w:val="20"/>
                <w:szCs w:val="20"/>
                <w:lang w:val="en-GB"/>
              </w:rPr>
            </w:pPr>
            <w:hyperlink r:id="rId13" w:history="1">
              <w:r w:rsidR="00AA3221" w:rsidRPr="00B677B4">
                <w:rPr>
                  <w:rStyle w:val="Hyperlink"/>
                  <w:rFonts w:ascii="Arial" w:hAnsi="Arial" w:cs="Arial"/>
                  <w:sz w:val="20"/>
                  <w:lang w:val="en-GB"/>
                </w:rPr>
                <w:t>Dave.Preston@dfat.gov.au</w:t>
              </w:r>
            </w:hyperlink>
            <w:r w:rsidR="00AA3221" w:rsidRPr="00B677B4">
              <w:rPr>
                <w:rStyle w:val="Heading"/>
                <w:rFonts w:ascii="Arial" w:hAnsi="Arial" w:cs="Arial"/>
                <w:color w:val="000000" w:themeColor="text1"/>
                <w:sz w:val="20"/>
                <w:szCs w:val="20"/>
                <w:lang w:val="en-GB"/>
              </w:rPr>
              <w:t xml:space="preserve"> </w:t>
            </w:r>
          </w:p>
        </w:tc>
      </w:tr>
      <w:tr w:rsidR="00AA3221" w:rsidRPr="00B677B4" w14:paraId="2D11FB34" w14:textId="77777777" w:rsidTr="000024EB">
        <w:trPr>
          <w:cnfStyle w:val="000000010000" w:firstRow="0" w:lastRow="0" w:firstColumn="0" w:lastColumn="0" w:oddVBand="0" w:evenVBand="0" w:oddHBand="0" w:evenHBand="1" w:firstRowFirstColumn="0" w:firstRowLastColumn="0" w:lastRowFirstColumn="0" w:lastRowLastColumn="0"/>
        </w:trPr>
        <w:tc>
          <w:tcPr>
            <w:tcW w:w="3949" w:type="dxa"/>
          </w:tcPr>
          <w:p w14:paraId="399BF429" w14:textId="608F06E1" w:rsidR="00AA3221" w:rsidRPr="00B677B4" w:rsidRDefault="00AA3221">
            <w:pPr>
              <w:rPr>
                <w:rStyle w:val="Heading"/>
                <w:rFonts w:ascii="Arial" w:hAnsi="Arial" w:cs="Arial"/>
                <w:color w:val="000000" w:themeColor="text1"/>
                <w:sz w:val="20"/>
                <w:szCs w:val="20"/>
                <w:lang w:val="en-GB"/>
              </w:rPr>
            </w:pPr>
            <w:proofErr w:type="spellStart"/>
            <w:r w:rsidRPr="00B677B4">
              <w:rPr>
                <w:rFonts w:ascii="Arial" w:hAnsi="Arial" w:cs="Arial"/>
                <w:color w:val="000000" w:themeColor="text1"/>
                <w:sz w:val="20"/>
                <w:lang w:val="en-GB"/>
              </w:rPr>
              <w:t>Munkhjargal</w:t>
            </w:r>
            <w:proofErr w:type="spellEnd"/>
            <w:r w:rsidRPr="00B677B4">
              <w:rPr>
                <w:rFonts w:ascii="Arial" w:hAnsi="Arial" w:cs="Arial"/>
                <w:color w:val="000000" w:themeColor="text1"/>
                <w:sz w:val="20"/>
                <w:lang w:val="en-GB"/>
              </w:rPr>
              <w:t xml:space="preserve"> </w:t>
            </w:r>
            <w:proofErr w:type="spellStart"/>
            <w:r w:rsidRPr="00B677B4">
              <w:rPr>
                <w:rFonts w:ascii="Arial" w:hAnsi="Arial" w:cs="Arial"/>
                <w:color w:val="000000" w:themeColor="text1"/>
                <w:sz w:val="20"/>
                <w:lang w:val="en-GB"/>
              </w:rPr>
              <w:t>Birvaa</w:t>
            </w:r>
            <w:proofErr w:type="spellEnd"/>
          </w:p>
        </w:tc>
        <w:tc>
          <w:tcPr>
            <w:tcW w:w="5055" w:type="dxa"/>
          </w:tcPr>
          <w:p w14:paraId="2EF2A0DD" w14:textId="44C5B4D4" w:rsidR="00AA3221" w:rsidRPr="00B677B4" w:rsidRDefault="00000000">
            <w:pPr>
              <w:rPr>
                <w:rStyle w:val="Heading"/>
                <w:rFonts w:ascii="Arial" w:hAnsi="Arial" w:cs="Arial"/>
                <w:color w:val="000000" w:themeColor="text1"/>
                <w:sz w:val="20"/>
                <w:szCs w:val="20"/>
                <w:lang w:val="en-GB"/>
              </w:rPr>
            </w:pPr>
            <w:hyperlink r:id="rId14" w:history="1">
              <w:r w:rsidR="00AA3221" w:rsidRPr="00B677B4">
                <w:rPr>
                  <w:rStyle w:val="Hyperlink"/>
                  <w:rFonts w:ascii="Arial" w:hAnsi="Arial" w:cs="Arial"/>
                  <w:sz w:val="20"/>
                  <w:lang w:val="en-GB"/>
                </w:rPr>
                <w:t>Munkhjargal.Birvaa@dfat.gov.au</w:t>
              </w:r>
            </w:hyperlink>
            <w:r w:rsidR="00AA3221" w:rsidRPr="00B677B4">
              <w:rPr>
                <w:rStyle w:val="Heading"/>
                <w:rFonts w:ascii="Arial" w:hAnsi="Arial" w:cs="Arial"/>
                <w:color w:val="000000" w:themeColor="text1"/>
                <w:sz w:val="20"/>
                <w:szCs w:val="20"/>
                <w:lang w:val="en-GB"/>
              </w:rPr>
              <w:t xml:space="preserve"> </w:t>
            </w:r>
          </w:p>
        </w:tc>
      </w:tr>
      <w:tr w:rsidR="00636DD5" w:rsidRPr="00B677B4" w14:paraId="29EDEEA4" w14:textId="77777777" w:rsidTr="000024EB">
        <w:trPr>
          <w:cnfStyle w:val="000000100000" w:firstRow="0" w:lastRow="0" w:firstColumn="0" w:lastColumn="0" w:oddVBand="0" w:evenVBand="0" w:oddHBand="1" w:evenHBand="0" w:firstRowFirstColumn="0" w:firstRowLastColumn="0" w:lastRowFirstColumn="0" w:lastRowLastColumn="0"/>
        </w:trPr>
        <w:tc>
          <w:tcPr>
            <w:tcW w:w="3949" w:type="dxa"/>
          </w:tcPr>
          <w:p w14:paraId="5F320529" w14:textId="0604B200" w:rsidR="00636DD5" w:rsidRPr="00B677B4" w:rsidRDefault="00636DD5" w:rsidP="00AA3221">
            <w:pPr>
              <w:rPr>
                <w:rStyle w:val="Heading"/>
                <w:rFonts w:ascii="Arial" w:hAnsi="Arial" w:cs="Arial"/>
                <w:color w:val="000000" w:themeColor="text1"/>
                <w:sz w:val="20"/>
                <w:szCs w:val="20"/>
                <w:lang w:val="en-GB"/>
              </w:rPr>
            </w:pPr>
            <w:proofErr w:type="spellStart"/>
            <w:r w:rsidRPr="00B677B4">
              <w:rPr>
                <w:rFonts w:ascii="Arial" w:hAnsi="Arial" w:cs="Arial"/>
                <w:sz w:val="20"/>
                <w:lang w:val="en-GB"/>
              </w:rPr>
              <w:t>Mandkhai</w:t>
            </w:r>
            <w:proofErr w:type="spellEnd"/>
            <w:r w:rsidRPr="00B677B4">
              <w:rPr>
                <w:rFonts w:ascii="Arial" w:hAnsi="Arial" w:cs="Arial"/>
                <w:sz w:val="20"/>
                <w:lang w:val="en-GB"/>
              </w:rPr>
              <w:t xml:space="preserve"> </w:t>
            </w:r>
            <w:proofErr w:type="spellStart"/>
            <w:r w:rsidRPr="00B677B4">
              <w:rPr>
                <w:rFonts w:ascii="Arial" w:hAnsi="Arial" w:cs="Arial"/>
                <w:sz w:val="20"/>
                <w:lang w:val="en-GB"/>
              </w:rPr>
              <w:t>Bayarsaikhan</w:t>
            </w:r>
            <w:proofErr w:type="spellEnd"/>
          </w:p>
        </w:tc>
        <w:tc>
          <w:tcPr>
            <w:tcW w:w="5055" w:type="dxa"/>
          </w:tcPr>
          <w:p w14:paraId="1CFCD116" w14:textId="702E64F5" w:rsidR="00636DD5" w:rsidRPr="00B677B4" w:rsidRDefault="00000000" w:rsidP="00636DD5">
            <w:pPr>
              <w:rPr>
                <w:rFonts w:ascii="Arial" w:hAnsi="Arial" w:cs="Arial"/>
                <w:sz w:val="20"/>
                <w:lang w:val="en-GB"/>
              </w:rPr>
            </w:pPr>
            <w:hyperlink r:id="rId15" w:history="1">
              <w:r w:rsidR="00636DD5" w:rsidRPr="00B677B4">
                <w:rPr>
                  <w:rStyle w:val="Hyperlink"/>
                  <w:rFonts w:ascii="Arial" w:hAnsi="Arial" w:cs="Arial"/>
                  <w:sz w:val="20"/>
                  <w:lang w:val="en-GB"/>
                </w:rPr>
                <w:t>Mandkhai.Bayarsaikhan@adamsmithinternational.com</w:t>
              </w:r>
            </w:hyperlink>
            <w:r w:rsidR="00636DD5" w:rsidRPr="00B677B4">
              <w:rPr>
                <w:rFonts w:ascii="Arial" w:hAnsi="Arial" w:cs="Arial"/>
                <w:sz w:val="20"/>
                <w:lang w:val="en-GB"/>
              </w:rPr>
              <w:t xml:space="preserve"> </w:t>
            </w:r>
          </w:p>
        </w:tc>
      </w:tr>
      <w:tr w:rsidR="00636DD5" w:rsidRPr="00B677B4" w14:paraId="6F1DAFD2" w14:textId="77777777" w:rsidTr="000024EB">
        <w:trPr>
          <w:cnfStyle w:val="000000010000" w:firstRow="0" w:lastRow="0" w:firstColumn="0" w:lastColumn="0" w:oddVBand="0" w:evenVBand="0" w:oddHBand="0" w:evenHBand="1" w:firstRowFirstColumn="0" w:firstRowLastColumn="0" w:lastRowFirstColumn="0" w:lastRowLastColumn="0"/>
        </w:trPr>
        <w:tc>
          <w:tcPr>
            <w:tcW w:w="3949" w:type="dxa"/>
          </w:tcPr>
          <w:p w14:paraId="27E8E584" w14:textId="501599E8" w:rsidR="00636DD5" w:rsidRPr="00B677B4" w:rsidRDefault="00636DD5" w:rsidP="00636DD5">
            <w:pPr>
              <w:rPr>
                <w:rStyle w:val="Heading"/>
                <w:rFonts w:ascii="Arial" w:hAnsi="Arial" w:cs="Arial"/>
                <w:color w:val="000000" w:themeColor="text1"/>
                <w:sz w:val="20"/>
                <w:szCs w:val="20"/>
                <w:lang w:val="en-GB"/>
              </w:rPr>
            </w:pPr>
            <w:r w:rsidRPr="00B677B4">
              <w:rPr>
                <w:rStyle w:val="Heading"/>
                <w:rFonts w:ascii="Arial" w:hAnsi="Arial" w:cs="Arial"/>
                <w:color w:val="000000" w:themeColor="text1"/>
                <w:sz w:val="20"/>
                <w:szCs w:val="20"/>
                <w:lang w:val="en-GB"/>
              </w:rPr>
              <w:t xml:space="preserve">Rena </w:t>
            </w:r>
            <w:proofErr w:type="spellStart"/>
            <w:r w:rsidRPr="00B677B4">
              <w:rPr>
                <w:rStyle w:val="Heading"/>
                <w:rFonts w:ascii="Arial" w:hAnsi="Arial" w:cs="Arial"/>
                <w:color w:val="000000" w:themeColor="text1"/>
                <w:sz w:val="20"/>
                <w:szCs w:val="20"/>
                <w:lang w:val="en-GB"/>
              </w:rPr>
              <w:t>Guendez</w:t>
            </w:r>
            <w:proofErr w:type="spellEnd"/>
          </w:p>
        </w:tc>
        <w:tc>
          <w:tcPr>
            <w:tcW w:w="5055" w:type="dxa"/>
          </w:tcPr>
          <w:p w14:paraId="2CB9CDEC" w14:textId="67BE452D" w:rsidR="00636DD5" w:rsidRPr="00B677B4" w:rsidRDefault="00000000" w:rsidP="00636DD5">
            <w:pPr>
              <w:rPr>
                <w:rFonts w:ascii="Arial" w:hAnsi="Arial" w:cs="Arial"/>
                <w:sz w:val="20"/>
                <w:lang w:val="en-GB"/>
              </w:rPr>
            </w:pPr>
            <w:hyperlink r:id="rId16" w:history="1">
              <w:r w:rsidR="00636DD5" w:rsidRPr="00B677B4">
                <w:rPr>
                  <w:rStyle w:val="Hyperlink"/>
                  <w:rFonts w:ascii="Arial" w:hAnsi="Arial" w:cs="Arial"/>
                  <w:color w:val="000000" w:themeColor="text1"/>
                  <w:sz w:val="20"/>
                  <w:lang w:val="en-GB"/>
                </w:rPr>
                <w:t>Rena.Guenduez@amep.mn</w:t>
              </w:r>
            </w:hyperlink>
            <w:r w:rsidR="00636DD5" w:rsidRPr="00B677B4">
              <w:rPr>
                <w:rStyle w:val="Heading"/>
                <w:rFonts w:ascii="Arial" w:hAnsi="Arial" w:cs="Arial"/>
                <w:color w:val="000000" w:themeColor="text1"/>
                <w:sz w:val="20"/>
                <w:szCs w:val="20"/>
                <w:lang w:val="en-GB"/>
              </w:rPr>
              <w:t xml:space="preserve"> </w:t>
            </w:r>
          </w:p>
        </w:tc>
      </w:tr>
      <w:tr w:rsidR="000024EB" w:rsidRPr="00B677B4" w14:paraId="3029A9E1" w14:textId="77777777" w:rsidTr="000024EB">
        <w:trPr>
          <w:cnfStyle w:val="000000100000" w:firstRow="0" w:lastRow="0" w:firstColumn="0" w:lastColumn="0" w:oddVBand="0" w:evenVBand="0" w:oddHBand="1" w:evenHBand="0" w:firstRowFirstColumn="0" w:firstRowLastColumn="0" w:lastRowFirstColumn="0" w:lastRowLastColumn="0"/>
        </w:trPr>
        <w:tc>
          <w:tcPr>
            <w:tcW w:w="3949" w:type="dxa"/>
          </w:tcPr>
          <w:p w14:paraId="324A26BE" w14:textId="73EF7110" w:rsidR="000024EB" w:rsidRPr="00C8767A" w:rsidRDefault="000024EB" w:rsidP="00636DD5">
            <w:pPr>
              <w:rPr>
                <w:rFonts w:ascii="Arial" w:hAnsi="Arial" w:cs="Arial"/>
                <w:sz w:val="20"/>
                <w:lang w:val="en-GB"/>
              </w:rPr>
            </w:pPr>
            <w:r w:rsidRPr="00C8767A">
              <w:rPr>
                <w:rFonts w:ascii="Arial" w:hAnsi="Arial" w:cs="Arial"/>
                <w:sz w:val="20"/>
                <w:lang w:val="en-GB"/>
              </w:rPr>
              <w:t>Julia Baxter</w:t>
            </w:r>
          </w:p>
        </w:tc>
        <w:tc>
          <w:tcPr>
            <w:tcW w:w="5055" w:type="dxa"/>
          </w:tcPr>
          <w:p w14:paraId="61BD2462" w14:textId="21A0076A" w:rsidR="000024EB" w:rsidRPr="00C8767A" w:rsidRDefault="00000000" w:rsidP="00636DD5">
            <w:pPr>
              <w:rPr>
                <w:rFonts w:ascii="Arial" w:hAnsi="Arial" w:cs="Arial"/>
                <w:sz w:val="20"/>
                <w:lang w:val="en-GB"/>
              </w:rPr>
            </w:pPr>
            <w:hyperlink r:id="rId17" w:history="1">
              <w:r w:rsidR="000024EB" w:rsidRPr="00C8767A">
                <w:rPr>
                  <w:rStyle w:val="Hyperlink"/>
                  <w:rFonts w:ascii="Arial" w:hAnsi="Arial" w:cs="Arial"/>
                  <w:sz w:val="20"/>
                  <w:lang w:val="en-GB"/>
                </w:rPr>
                <w:t>Julia.Baxter@amep.mn</w:t>
              </w:r>
            </w:hyperlink>
            <w:r w:rsidR="000024EB" w:rsidRPr="00C8767A">
              <w:rPr>
                <w:rFonts w:ascii="Arial" w:hAnsi="Arial" w:cs="Arial"/>
                <w:sz w:val="20"/>
                <w:lang w:val="en-GB"/>
              </w:rPr>
              <w:t xml:space="preserve"> </w:t>
            </w:r>
          </w:p>
        </w:tc>
      </w:tr>
      <w:tr w:rsidR="00636DD5" w:rsidRPr="00B677B4" w14:paraId="43AFC5F5" w14:textId="77777777" w:rsidTr="000024EB">
        <w:trPr>
          <w:cnfStyle w:val="000000010000" w:firstRow="0" w:lastRow="0" w:firstColumn="0" w:lastColumn="0" w:oddVBand="0" w:evenVBand="0" w:oddHBand="0" w:evenHBand="1" w:firstRowFirstColumn="0" w:firstRowLastColumn="0" w:lastRowFirstColumn="0" w:lastRowLastColumn="0"/>
        </w:trPr>
        <w:tc>
          <w:tcPr>
            <w:tcW w:w="3949" w:type="dxa"/>
          </w:tcPr>
          <w:p w14:paraId="25DEC738" w14:textId="0970BEC5" w:rsidR="00636DD5" w:rsidRPr="00B677B4" w:rsidRDefault="00636DD5" w:rsidP="00636DD5">
            <w:pPr>
              <w:rPr>
                <w:rStyle w:val="Heading"/>
                <w:rFonts w:ascii="Arial" w:hAnsi="Arial" w:cs="Arial"/>
                <w:color w:val="000000" w:themeColor="text1"/>
                <w:sz w:val="20"/>
                <w:szCs w:val="20"/>
                <w:lang w:val="en-GB"/>
              </w:rPr>
            </w:pPr>
            <w:proofErr w:type="spellStart"/>
            <w:r w:rsidRPr="00B677B4">
              <w:rPr>
                <w:rFonts w:ascii="Arial" w:hAnsi="Arial" w:cs="Arial"/>
                <w:sz w:val="20"/>
                <w:lang w:val="en-GB"/>
              </w:rPr>
              <w:t>Oyunbileg</w:t>
            </w:r>
            <w:proofErr w:type="spellEnd"/>
            <w:r w:rsidRPr="00B677B4">
              <w:rPr>
                <w:rFonts w:ascii="Arial" w:hAnsi="Arial" w:cs="Arial"/>
                <w:sz w:val="20"/>
                <w:lang w:val="en-GB"/>
              </w:rPr>
              <w:t xml:space="preserve"> </w:t>
            </w:r>
            <w:proofErr w:type="spellStart"/>
            <w:r w:rsidRPr="00B677B4">
              <w:rPr>
                <w:rFonts w:ascii="Arial" w:hAnsi="Arial" w:cs="Arial"/>
                <w:sz w:val="20"/>
                <w:lang w:val="en-GB"/>
              </w:rPr>
              <w:t>Purev</w:t>
            </w:r>
            <w:proofErr w:type="spellEnd"/>
          </w:p>
        </w:tc>
        <w:tc>
          <w:tcPr>
            <w:tcW w:w="5055" w:type="dxa"/>
          </w:tcPr>
          <w:p w14:paraId="6E8D7433" w14:textId="0B8DE63E" w:rsidR="00636DD5" w:rsidRPr="00B677B4" w:rsidRDefault="00636DD5" w:rsidP="00636DD5">
            <w:pPr>
              <w:rPr>
                <w:rStyle w:val="Heading"/>
                <w:rFonts w:ascii="Arial" w:hAnsi="Arial" w:cs="Arial"/>
                <w:color w:val="000000" w:themeColor="text1"/>
                <w:sz w:val="20"/>
                <w:szCs w:val="20"/>
                <w:lang w:val="en-GB"/>
              </w:rPr>
            </w:pPr>
            <w:r w:rsidRPr="00B677B4">
              <w:rPr>
                <w:rFonts w:ascii="Arial" w:hAnsi="Arial" w:cs="Arial"/>
                <w:sz w:val="20"/>
                <w:lang w:val="en-GB"/>
              </w:rPr>
              <w:t>Oyunbileg@amep.mn</w:t>
            </w:r>
          </w:p>
        </w:tc>
      </w:tr>
      <w:tr w:rsidR="00636DD5" w:rsidRPr="00B677B4" w14:paraId="16147B89" w14:textId="77777777" w:rsidTr="000024EB">
        <w:trPr>
          <w:cnfStyle w:val="000000100000" w:firstRow="0" w:lastRow="0" w:firstColumn="0" w:lastColumn="0" w:oddVBand="0" w:evenVBand="0" w:oddHBand="1" w:evenHBand="0" w:firstRowFirstColumn="0" w:firstRowLastColumn="0" w:lastRowFirstColumn="0" w:lastRowLastColumn="0"/>
        </w:trPr>
        <w:tc>
          <w:tcPr>
            <w:tcW w:w="3949" w:type="dxa"/>
          </w:tcPr>
          <w:p w14:paraId="494A248A" w14:textId="7ECA9B8F" w:rsidR="00636DD5" w:rsidRPr="00B677B4" w:rsidRDefault="00636DD5" w:rsidP="00636DD5">
            <w:pPr>
              <w:rPr>
                <w:rStyle w:val="Heading"/>
                <w:rFonts w:ascii="Arial" w:hAnsi="Arial" w:cs="Arial"/>
                <w:color w:val="000000" w:themeColor="text1"/>
                <w:sz w:val="20"/>
                <w:szCs w:val="20"/>
                <w:lang w:val="en-GB"/>
              </w:rPr>
            </w:pPr>
            <w:r w:rsidRPr="00B677B4">
              <w:rPr>
                <w:rFonts w:ascii="Arial" w:hAnsi="Arial" w:cs="Arial"/>
                <w:color w:val="000000" w:themeColor="text1"/>
                <w:sz w:val="20"/>
                <w:lang w:val="en-GB"/>
              </w:rPr>
              <w:t>John Winters</w:t>
            </w:r>
          </w:p>
        </w:tc>
        <w:tc>
          <w:tcPr>
            <w:tcW w:w="5055" w:type="dxa"/>
          </w:tcPr>
          <w:p w14:paraId="3C68A87C" w14:textId="3DBEB3A3" w:rsidR="00636DD5" w:rsidRPr="00B677B4" w:rsidRDefault="00000000" w:rsidP="00636DD5">
            <w:pPr>
              <w:rPr>
                <w:rStyle w:val="Heading"/>
                <w:rFonts w:ascii="Arial" w:hAnsi="Arial" w:cs="Arial"/>
                <w:color w:val="000000" w:themeColor="text1"/>
                <w:sz w:val="20"/>
                <w:szCs w:val="20"/>
                <w:lang w:val="en-GB"/>
              </w:rPr>
            </w:pPr>
            <w:hyperlink r:id="rId18" w:history="1">
              <w:r w:rsidR="00636DD5" w:rsidRPr="00B677B4">
                <w:rPr>
                  <w:rStyle w:val="Hyperlink"/>
                  <w:rFonts w:ascii="Arial" w:eastAsiaTheme="minorEastAsia" w:hAnsi="Arial" w:cs="Arial"/>
                  <w:color w:val="0563C1"/>
                  <w:sz w:val="20"/>
                  <w:lang w:val="en-GB"/>
                </w:rPr>
                <w:t>developmentresults@gmail.com</w:t>
              </w:r>
            </w:hyperlink>
          </w:p>
        </w:tc>
      </w:tr>
      <w:tr w:rsidR="00636DD5" w:rsidRPr="00B677B4" w14:paraId="6B609DFD" w14:textId="77777777" w:rsidTr="000024EB">
        <w:trPr>
          <w:cnfStyle w:val="000000010000" w:firstRow="0" w:lastRow="0" w:firstColumn="0" w:lastColumn="0" w:oddVBand="0" w:evenVBand="0" w:oddHBand="0" w:evenHBand="1" w:firstRowFirstColumn="0" w:firstRowLastColumn="0" w:lastRowFirstColumn="0" w:lastRowLastColumn="0"/>
        </w:trPr>
        <w:tc>
          <w:tcPr>
            <w:tcW w:w="3949" w:type="dxa"/>
          </w:tcPr>
          <w:p w14:paraId="13B2DBE7" w14:textId="62566612" w:rsidR="00636DD5" w:rsidRPr="00B677B4" w:rsidRDefault="00636DD5" w:rsidP="00636DD5">
            <w:pPr>
              <w:tabs>
                <w:tab w:val="left" w:pos="920"/>
              </w:tabs>
              <w:rPr>
                <w:rStyle w:val="Heading"/>
                <w:rFonts w:ascii="Arial" w:hAnsi="Arial" w:cs="Arial"/>
                <w:color w:val="000000" w:themeColor="text1"/>
                <w:sz w:val="20"/>
                <w:szCs w:val="20"/>
                <w:lang w:val="en-GB"/>
              </w:rPr>
            </w:pPr>
            <w:proofErr w:type="spellStart"/>
            <w:r w:rsidRPr="00B677B4">
              <w:rPr>
                <w:rFonts w:ascii="Arial" w:hAnsi="Arial" w:cs="Arial"/>
                <w:sz w:val="20"/>
                <w:lang w:val="en-GB"/>
              </w:rPr>
              <w:t>Enkh-Amgalan</w:t>
            </w:r>
            <w:proofErr w:type="spellEnd"/>
            <w:r w:rsidRPr="00B677B4">
              <w:rPr>
                <w:rFonts w:ascii="Arial" w:hAnsi="Arial" w:cs="Arial"/>
                <w:sz w:val="20"/>
                <w:lang w:val="en-GB"/>
              </w:rPr>
              <w:t xml:space="preserve"> </w:t>
            </w:r>
            <w:proofErr w:type="spellStart"/>
            <w:r w:rsidRPr="00B677B4">
              <w:rPr>
                <w:rFonts w:ascii="Arial" w:hAnsi="Arial" w:cs="Arial"/>
                <w:sz w:val="20"/>
                <w:lang w:val="en-GB"/>
              </w:rPr>
              <w:t>Chuluunkhuu</w:t>
            </w:r>
            <w:proofErr w:type="spellEnd"/>
          </w:p>
        </w:tc>
        <w:tc>
          <w:tcPr>
            <w:tcW w:w="5055" w:type="dxa"/>
          </w:tcPr>
          <w:p w14:paraId="4FAAED5B" w14:textId="1E1B9CDD" w:rsidR="00636DD5" w:rsidRPr="00B677B4" w:rsidRDefault="00000000" w:rsidP="00636DD5">
            <w:pPr>
              <w:rPr>
                <w:rStyle w:val="Heading"/>
                <w:rFonts w:ascii="Arial" w:hAnsi="Arial" w:cs="Arial"/>
                <w:color w:val="000000" w:themeColor="text1"/>
                <w:sz w:val="20"/>
                <w:szCs w:val="20"/>
                <w:lang w:val="en-GB"/>
              </w:rPr>
            </w:pPr>
            <w:hyperlink r:id="rId19" w:history="1">
              <w:r w:rsidR="00636DD5" w:rsidRPr="00B677B4">
                <w:rPr>
                  <w:rStyle w:val="Hyperlink"/>
                  <w:rFonts w:ascii="Arial" w:hAnsi="Arial" w:cs="Arial"/>
                  <w:sz w:val="20"/>
                  <w:lang w:val="en-GB"/>
                </w:rPr>
                <w:t>Enkhamgalan@amep.mn</w:t>
              </w:r>
            </w:hyperlink>
            <w:r w:rsidR="00636DD5" w:rsidRPr="00B677B4">
              <w:rPr>
                <w:rFonts w:ascii="Arial" w:hAnsi="Arial" w:cs="Arial"/>
                <w:sz w:val="20"/>
                <w:lang w:val="en-GB"/>
              </w:rPr>
              <w:t xml:space="preserve"> </w:t>
            </w:r>
          </w:p>
        </w:tc>
      </w:tr>
      <w:tr w:rsidR="00636DD5" w:rsidRPr="00B677B4" w14:paraId="1CF56ECF" w14:textId="77777777" w:rsidTr="000024EB">
        <w:trPr>
          <w:cnfStyle w:val="000000100000" w:firstRow="0" w:lastRow="0" w:firstColumn="0" w:lastColumn="0" w:oddVBand="0" w:evenVBand="0" w:oddHBand="1" w:evenHBand="0" w:firstRowFirstColumn="0" w:firstRowLastColumn="0" w:lastRowFirstColumn="0" w:lastRowLastColumn="0"/>
        </w:trPr>
        <w:tc>
          <w:tcPr>
            <w:tcW w:w="3949" w:type="dxa"/>
          </w:tcPr>
          <w:p w14:paraId="7499DC42" w14:textId="27969D27" w:rsidR="00636DD5" w:rsidRPr="00B677B4" w:rsidRDefault="00636DD5" w:rsidP="00636DD5">
            <w:pPr>
              <w:rPr>
                <w:rStyle w:val="Heading"/>
                <w:rFonts w:ascii="Arial" w:hAnsi="Arial" w:cs="Arial"/>
                <w:color w:val="000000"/>
                <w:sz w:val="20"/>
                <w:szCs w:val="20"/>
                <w:lang w:val="en-GB"/>
              </w:rPr>
            </w:pPr>
            <w:proofErr w:type="spellStart"/>
            <w:r w:rsidRPr="00B677B4">
              <w:rPr>
                <w:rFonts w:ascii="Arial" w:hAnsi="Arial" w:cs="Arial"/>
                <w:sz w:val="20"/>
                <w:lang w:val="en-GB"/>
              </w:rPr>
              <w:t>Nasandelger</w:t>
            </w:r>
            <w:proofErr w:type="spellEnd"/>
            <w:r w:rsidRPr="00B677B4">
              <w:rPr>
                <w:rFonts w:ascii="Arial" w:hAnsi="Arial" w:cs="Arial"/>
                <w:sz w:val="20"/>
                <w:lang w:val="en-GB"/>
              </w:rPr>
              <w:t xml:space="preserve"> </w:t>
            </w:r>
            <w:proofErr w:type="spellStart"/>
            <w:r w:rsidRPr="00B677B4">
              <w:rPr>
                <w:rFonts w:ascii="Arial" w:hAnsi="Arial" w:cs="Arial"/>
                <w:sz w:val="20"/>
                <w:lang w:val="en-GB"/>
              </w:rPr>
              <w:t>Zandan</w:t>
            </w:r>
            <w:proofErr w:type="spellEnd"/>
          </w:p>
        </w:tc>
        <w:tc>
          <w:tcPr>
            <w:tcW w:w="5055" w:type="dxa"/>
          </w:tcPr>
          <w:p w14:paraId="4DA3B8CD" w14:textId="34A8F037" w:rsidR="00636DD5" w:rsidRPr="00B677B4" w:rsidRDefault="00000000" w:rsidP="00636DD5">
            <w:pPr>
              <w:rPr>
                <w:rStyle w:val="Heading"/>
                <w:rFonts w:ascii="Arial" w:hAnsi="Arial" w:cs="Arial"/>
                <w:color w:val="000000"/>
                <w:sz w:val="20"/>
                <w:szCs w:val="20"/>
                <w:lang w:val="en-GB"/>
              </w:rPr>
            </w:pPr>
            <w:hyperlink r:id="rId20" w:history="1">
              <w:r w:rsidR="00703E4C" w:rsidRPr="00B677B4">
                <w:rPr>
                  <w:rStyle w:val="Hyperlink"/>
                  <w:rFonts w:ascii="Arial" w:hAnsi="Arial" w:cs="Arial"/>
                  <w:sz w:val="20"/>
                  <w:lang w:val="en-GB"/>
                </w:rPr>
                <w:t>Nasandelger.Zandan@amep.mn</w:t>
              </w:r>
            </w:hyperlink>
            <w:r w:rsidR="00703E4C" w:rsidRPr="00B677B4">
              <w:rPr>
                <w:rFonts w:ascii="Arial" w:hAnsi="Arial" w:cs="Arial"/>
                <w:sz w:val="20"/>
                <w:lang w:val="en-GB"/>
              </w:rPr>
              <w:t xml:space="preserve"> </w:t>
            </w:r>
          </w:p>
        </w:tc>
      </w:tr>
      <w:tr w:rsidR="00636DD5" w:rsidRPr="00B677B4" w14:paraId="6FD1B4C9" w14:textId="77777777" w:rsidTr="000024EB">
        <w:trPr>
          <w:cnfStyle w:val="000000010000" w:firstRow="0" w:lastRow="0" w:firstColumn="0" w:lastColumn="0" w:oddVBand="0" w:evenVBand="0" w:oddHBand="0" w:evenHBand="1" w:firstRowFirstColumn="0" w:firstRowLastColumn="0" w:lastRowFirstColumn="0" w:lastRowLastColumn="0"/>
        </w:trPr>
        <w:tc>
          <w:tcPr>
            <w:tcW w:w="3949" w:type="dxa"/>
          </w:tcPr>
          <w:p w14:paraId="17A92903" w14:textId="5817A820" w:rsidR="00636DD5" w:rsidRPr="00B677B4" w:rsidRDefault="00636DD5" w:rsidP="00636DD5">
            <w:pPr>
              <w:rPr>
                <w:rStyle w:val="Heading"/>
                <w:rFonts w:ascii="Arial" w:hAnsi="Arial" w:cs="Arial"/>
                <w:color w:val="000000"/>
                <w:sz w:val="20"/>
                <w:szCs w:val="20"/>
                <w:lang w:val="en-GB"/>
              </w:rPr>
            </w:pPr>
            <w:proofErr w:type="spellStart"/>
            <w:r w:rsidRPr="00B677B4">
              <w:rPr>
                <w:rFonts w:ascii="Arial" w:hAnsi="Arial" w:cs="Arial"/>
                <w:sz w:val="20"/>
                <w:lang w:val="en-GB"/>
              </w:rPr>
              <w:t>Baasantseren</w:t>
            </w:r>
            <w:proofErr w:type="spellEnd"/>
            <w:r w:rsidRPr="00B677B4">
              <w:rPr>
                <w:rFonts w:ascii="Arial" w:hAnsi="Arial" w:cs="Arial"/>
                <w:sz w:val="20"/>
                <w:lang w:val="en-GB"/>
              </w:rPr>
              <w:t xml:space="preserve"> </w:t>
            </w:r>
            <w:proofErr w:type="spellStart"/>
            <w:r w:rsidRPr="00B677B4">
              <w:rPr>
                <w:rFonts w:ascii="Arial" w:hAnsi="Arial" w:cs="Arial"/>
                <w:sz w:val="20"/>
                <w:lang w:val="en-GB"/>
              </w:rPr>
              <w:t>Jigmed</w:t>
            </w:r>
            <w:proofErr w:type="spellEnd"/>
          </w:p>
        </w:tc>
        <w:tc>
          <w:tcPr>
            <w:tcW w:w="5055" w:type="dxa"/>
          </w:tcPr>
          <w:p w14:paraId="4F970618" w14:textId="24A54F56" w:rsidR="00636DD5" w:rsidRPr="00B677B4" w:rsidRDefault="00000000" w:rsidP="00636DD5">
            <w:pPr>
              <w:rPr>
                <w:rStyle w:val="Heading"/>
                <w:rFonts w:ascii="Arial" w:hAnsi="Arial" w:cs="Arial"/>
                <w:color w:val="000000"/>
                <w:sz w:val="20"/>
                <w:szCs w:val="20"/>
                <w:lang w:val="en-GB"/>
              </w:rPr>
            </w:pPr>
            <w:hyperlink r:id="rId21" w:history="1">
              <w:r w:rsidR="00703E4C" w:rsidRPr="00B677B4">
                <w:rPr>
                  <w:rStyle w:val="Hyperlink"/>
                  <w:rFonts w:ascii="Arial" w:hAnsi="Arial" w:cs="Arial"/>
                  <w:sz w:val="20"/>
                  <w:lang w:val="en-GB"/>
                </w:rPr>
                <w:t>Baasantseren@amep.mn</w:t>
              </w:r>
            </w:hyperlink>
            <w:r w:rsidR="00703E4C" w:rsidRPr="00B677B4">
              <w:rPr>
                <w:rFonts w:ascii="Arial" w:hAnsi="Arial" w:cs="Arial"/>
                <w:sz w:val="20"/>
                <w:lang w:val="en-GB"/>
              </w:rPr>
              <w:t xml:space="preserve"> </w:t>
            </w:r>
          </w:p>
        </w:tc>
      </w:tr>
      <w:tr w:rsidR="00636DD5" w:rsidRPr="00B677B4" w14:paraId="4F0EAD24" w14:textId="77777777" w:rsidTr="000024EB">
        <w:trPr>
          <w:cnfStyle w:val="000000100000" w:firstRow="0" w:lastRow="0" w:firstColumn="0" w:lastColumn="0" w:oddVBand="0" w:evenVBand="0" w:oddHBand="1" w:evenHBand="0" w:firstRowFirstColumn="0" w:firstRowLastColumn="0" w:lastRowFirstColumn="0" w:lastRowLastColumn="0"/>
        </w:trPr>
        <w:tc>
          <w:tcPr>
            <w:tcW w:w="3949" w:type="dxa"/>
          </w:tcPr>
          <w:p w14:paraId="5B117CB4" w14:textId="1E99ADFE" w:rsidR="00636DD5" w:rsidRPr="00B677B4" w:rsidRDefault="00636DD5" w:rsidP="00636DD5">
            <w:pPr>
              <w:rPr>
                <w:rStyle w:val="Heading"/>
                <w:rFonts w:ascii="Arial" w:hAnsi="Arial" w:cs="Arial"/>
                <w:color w:val="000000"/>
                <w:sz w:val="20"/>
                <w:szCs w:val="20"/>
                <w:lang w:val="en-GB"/>
              </w:rPr>
            </w:pPr>
            <w:proofErr w:type="spellStart"/>
            <w:r w:rsidRPr="00B677B4">
              <w:rPr>
                <w:rFonts w:ascii="Arial" w:hAnsi="Arial" w:cs="Arial"/>
                <w:sz w:val="20"/>
                <w:lang w:val="en-GB"/>
              </w:rPr>
              <w:t>Solongo</w:t>
            </w:r>
            <w:proofErr w:type="spellEnd"/>
            <w:r w:rsidRPr="00B677B4">
              <w:rPr>
                <w:rFonts w:ascii="Arial" w:hAnsi="Arial" w:cs="Arial"/>
                <w:sz w:val="20"/>
                <w:lang w:val="en-GB"/>
              </w:rPr>
              <w:t xml:space="preserve"> </w:t>
            </w:r>
            <w:proofErr w:type="spellStart"/>
            <w:r w:rsidRPr="00B677B4">
              <w:rPr>
                <w:rFonts w:ascii="Arial" w:hAnsi="Arial" w:cs="Arial"/>
                <w:sz w:val="20"/>
                <w:lang w:val="en-GB"/>
              </w:rPr>
              <w:t>Samdandovjid</w:t>
            </w:r>
            <w:proofErr w:type="spellEnd"/>
          </w:p>
        </w:tc>
        <w:tc>
          <w:tcPr>
            <w:tcW w:w="5055" w:type="dxa"/>
          </w:tcPr>
          <w:p w14:paraId="48E9DEA1" w14:textId="16A52E3C" w:rsidR="00636DD5" w:rsidRPr="00B677B4" w:rsidRDefault="00000000" w:rsidP="00636DD5">
            <w:pPr>
              <w:rPr>
                <w:rStyle w:val="Heading"/>
                <w:rFonts w:ascii="Arial" w:hAnsi="Arial" w:cs="Arial"/>
                <w:color w:val="000000"/>
                <w:sz w:val="20"/>
                <w:szCs w:val="20"/>
                <w:lang w:val="en-GB"/>
              </w:rPr>
            </w:pPr>
            <w:hyperlink r:id="rId22" w:history="1">
              <w:r w:rsidR="00703E4C" w:rsidRPr="00B677B4">
                <w:rPr>
                  <w:rStyle w:val="Hyperlink"/>
                  <w:rFonts w:ascii="Arial" w:hAnsi="Arial" w:cs="Arial"/>
                  <w:sz w:val="20"/>
                  <w:lang w:val="en-GB"/>
                </w:rPr>
                <w:t>solongo@amep.mn</w:t>
              </w:r>
            </w:hyperlink>
            <w:r w:rsidR="00703E4C" w:rsidRPr="00B677B4">
              <w:rPr>
                <w:rFonts w:ascii="Arial" w:hAnsi="Arial" w:cs="Arial"/>
                <w:sz w:val="20"/>
                <w:lang w:val="en-GB"/>
              </w:rPr>
              <w:t xml:space="preserve"> </w:t>
            </w:r>
          </w:p>
        </w:tc>
      </w:tr>
      <w:tr w:rsidR="00636DD5" w:rsidRPr="00B677B4" w14:paraId="17ED8FEB" w14:textId="77777777" w:rsidTr="000024EB">
        <w:trPr>
          <w:cnfStyle w:val="000000010000" w:firstRow="0" w:lastRow="0" w:firstColumn="0" w:lastColumn="0" w:oddVBand="0" w:evenVBand="0" w:oddHBand="0" w:evenHBand="1" w:firstRowFirstColumn="0" w:firstRowLastColumn="0" w:lastRowFirstColumn="0" w:lastRowLastColumn="0"/>
        </w:trPr>
        <w:tc>
          <w:tcPr>
            <w:tcW w:w="3949" w:type="dxa"/>
          </w:tcPr>
          <w:p w14:paraId="01151214" w14:textId="08B49F00" w:rsidR="00636DD5" w:rsidRPr="00B677B4" w:rsidRDefault="00636DD5" w:rsidP="00636DD5">
            <w:pPr>
              <w:rPr>
                <w:rStyle w:val="Heading"/>
                <w:rFonts w:ascii="Arial" w:hAnsi="Arial" w:cs="Arial"/>
                <w:color w:val="000000"/>
                <w:sz w:val="20"/>
                <w:szCs w:val="20"/>
                <w:lang w:val="en-GB"/>
              </w:rPr>
            </w:pPr>
            <w:proofErr w:type="spellStart"/>
            <w:r w:rsidRPr="00B677B4">
              <w:rPr>
                <w:rFonts w:ascii="Arial" w:hAnsi="Arial" w:cs="Arial"/>
                <w:sz w:val="20"/>
                <w:lang w:val="en-GB"/>
              </w:rPr>
              <w:t>Uyanga</w:t>
            </w:r>
            <w:proofErr w:type="spellEnd"/>
            <w:r w:rsidRPr="00B677B4">
              <w:rPr>
                <w:rFonts w:ascii="Arial" w:hAnsi="Arial" w:cs="Arial"/>
                <w:sz w:val="20"/>
                <w:lang w:val="en-GB"/>
              </w:rPr>
              <w:t xml:space="preserve"> </w:t>
            </w:r>
            <w:proofErr w:type="spellStart"/>
            <w:r w:rsidRPr="00B677B4">
              <w:rPr>
                <w:rFonts w:ascii="Arial" w:hAnsi="Arial" w:cs="Arial"/>
                <w:sz w:val="20"/>
                <w:lang w:val="en-GB"/>
              </w:rPr>
              <w:t>Bazaa</w:t>
            </w:r>
            <w:proofErr w:type="spellEnd"/>
          </w:p>
        </w:tc>
        <w:tc>
          <w:tcPr>
            <w:tcW w:w="5055" w:type="dxa"/>
          </w:tcPr>
          <w:p w14:paraId="20632E22" w14:textId="1868E3DE" w:rsidR="00636DD5" w:rsidRPr="00B677B4" w:rsidRDefault="00000000" w:rsidP="00636DD5">
            <w:pPr>
              <w:rPr>
                <w:rStyle w:val="Heading"/>
                <w:rFonts w:ascii="Arial" w:hAnsi="Arial" w:cs="Arial"/>
                <w:color w:val="000000"/>
                <w:sz w:val="20"/>
                <w:szCs w:val="20"/>
                <w:lang w:val="en-GB"/>
              </w:rPr>
            </w:pPr>
            <w:hyperlink r:id="rId23" w:history="1">
              <w:r w:rsidR="00703E4C" w:rsidRPr="00B677B4">
                <w:rPr>
                  <w:rStyle w:val="Hyperlink"/>
                  <w:rFonts w:ascii="Arial" w:hAnsi="Arial" w:cs="Arial"/>
                  <w:sz w:val="20"/>
                  <w:lang w:val="en-GB"/>
                </w:rPr>
                <w:t>Uyanga@amep.mn</w:t>
              </w:r>
            </w:hyperlink>
            <w:r w:rsidR="00703E4C" w:rsidRPr="00B677B4">
              <w:rPr>
                <w:rFonts w:ascii="Arial" w:hAnsi="Arial" w:cs="Arial"/>
                <w:sz w:val="20"/>
                <w:lang w:val="en-GB"/>
              </w:rPr>
              <w:t xml:space="preserve"> </w:t>
            </w:r>
          </w:p>
        </w:tc>
      </w:tr>
    </w:tbl>
    <w:p w14:paraId="61F44D06" w14:textId="77777777" w:rsidR="00AC560D" w:rsidRPr="00B677B4" w:rsidRDefault="00AC560D">
      <w:pPr>
        <w:rPr>
          <w:rStyle w:val="Heading"/>
          <w:rFonts w:asciiTheme="majorHAnsi" w:hAnsiTheme="majorHAnsi" w:cstheme="majorBidi"/>
          <w:color w:val="2F5496" w:themeColor="accent1" w:themeShade="BF"/>
          <w:sz w:val="32"/>
          <w:szCs w:val="32"/>
        </w:rPr>
      </w:pPr>
    </w:p>
    <w:p w14:paraId="1777E035" w14:textId="77777777" w:rsidR="001C2008" w:rsidRPr="00B677B4" w:rsidRDefault="001C2008" w:rsidP="001C2008">
      <w:pPr>
        <w:pStyle w:val="Subheading"/>
        <w:rPr>
          <w:rStyle w:val="Heading"/>
          <w:color w:val="B7432A"/>
          <w:sz w:val="22"/>
          <w:szCs w:val="22"/>
          <w:lang w:val="en-GB"/>
        </w:rPr>
      </w:pPr>
      <w:r w:rsidRPr="00B677B4">
        <w:rPr>
          <w:rStyle w:val="Heading"/>
          <w:color w:val="B7432A"/>
          <w:sz w:val="22"/>
          <w:szCs w:val="22"/>
          <w:lang w:val="en-GB"/>
        </w:rPr>
        <w:t xml:space="preserve">Key representatives of government, </w:t>
      </w:r>
      <w:proofErr w:type="gramStart"/>
      <w:r w:rsidRPr="00B677B4">
        <w:rPr>
          <w:rStyle w:val="Heading"/>
          <w:color w:val="B7432A"/>
          <w:sz w:val="22"/>
          <w:szCs w:val="22"/>
          <w:lang w:val="en-GB"/>
        </w:rPr>
        <w:t>industry</w:t>
      </w:r>
      <w:proofErr w:type="gramEnd"/>
      <w:r w:rsidRPr="00B677B4">
        <w:rPr>
          <w:rStyle w:val="Heading"/>
          <w:color w:val="B7432A"/>
          <w:sz w:val="22"/>
          <w:szCs w:val="22"/>
          <w:lang w:val="en-GB"/>
        </w:rPr>
        <w:t xml:space="preserve"> and civic society</w:t>
      </w:r>
    </w:p>
    <w:p w14:paraId="38105418" w14:textId="10D561B5" w:rsidR="00AC560D" w:rsidRPr="00B677B4" w:rsidRDefault="00AC560D">
      <w:pPr>
        <w:rPr>
          <w:rStyle w:val="Heading"/>
          <w:rFonts w:ascii="Arial" w:hAnsi="Arial" w:cs="Arial"/>
          <w:color w:val="2F5496" w:themeColor="accent1" w:themeShade="BF"/>
          <w:sz w:val="20"/>
          <w:szCs w:val="20"/>
        </w:rPr>
      </w:pPr>
    </w:p>
    <w:tbl>
      <w:tblPr>
        <w:tblStyle w:val="table-style-blauw-100-outline"/>
        <w:tblW w:w="0" w:type="auto"/>
        <w:tblLook w:val="04A0" w:firstRow="1" w:lastRow="0" w:firstColumn="1" w:lastColumn="0" w:noHBand="0" w:noVBand="1"/>
      </w:tblPr>
      <w:tblGrid>
        <w:gridCol w:w="2260"/>
        <w:gridCol w:w="6744"/>
      </w:tblGrid>
      <w:tr w:rsidR="00AC560D" w:rsidRPr="00B677B4" w14:paraId="4CD48050" w14:textId="77777777" w:rsidTr="00B657D9">
        <w:trPr>
          <w:cnfStyle w:val="100000000000" w:firstRow="1" w:lastRow="0" w:firstColumn="0" w:lastColumn="0" w:oddVBand="0" w:evenVBand="0" w:oddHBand="0" w:evenHBand="0" w:firstRowFirstColumn="0" w:firstRowLastColumn="0" w:lastRowFirstColumn="0" w:lastRowLastColumn="0"/>
        </w:trPr>
        <w:tc>
          <w:tcPr>
            <w:tcW w:w="2260" w:type="dxa"/>
          </w:tcPr>
          <w:p w14:paraId="01A951BD" w14:textId="77777777" w:rsidR="00AC560D" w:rsidRPr="00B677B4" w:rsidRDefault="00AC560D" w:rsidP="00907154">
            <w:pPr>
              <w:rPr>
                <w:rStyle w:val="Heading"/>
                <w:rFonts w:ascii="Arial" w:hAnsi="Arial" w:cs="Arial"/>
                <w:b w:val="0"/>
                <w:bCs/>
                <w:color w:val="FFFFFF" w:themeColor="background1"/>
                <w:sz w:val="20"/>
                <w:szCs w:val="20"/>
                <w:lang w:val="en-GB"/>
              </w:rPr>
            </w:pPr>
            <w:r w:rsidRPr="00B677B4">
              <w:rPr>
                <w:rStyle w:val="Heading"/>
                <w:rFonts w:ascii="Arial" w:hAnsi="Arial" w:cs="Arial"/>
                <w:b w:val="0"/>
                <w:bCs/>
                <w:color w:val="FFFFFF" w:themeColor="background1"/>
                <w:sz w:val="20"/>
                <w:szCs w:val="20"/>
                <w:lang w:val="en-GB"/>
              </w:rPr>
              <w:t>Name</w:t>
            </w:r>
          </w:p>
        </w:tc>
        <w:tc>
          <w:tcPr>
            <w:tcW w:w="6744" w:type="dxa"/>
          </w:tcPr>
          <w:p w14:paraId="57B16DF7" w14:textId="7581387B" w:rsidR="00AC560D" w:rsidRPr="00B677B4" w:rsidRDefault="001C2008" w:rsidP="00907154">
            <w:pPr>
              <w:rPr>
                <w:rStyle w:val="Heading"/>
                <w:rFonts w:ascii="Arial" w:hAnsi="Arial" w:cs="Arial"/>
                <w:color w:val="FFFFFF" w:themeColor="background1"/>
                <w:sz w:val="20"/>
                <w:szCs w:val="20"/>
                <w:lang w:val="en-GB"/>
              </w:rPr>
            </w:pPr>
            <w:r w:rsidRPr="00B677B4">
              <w:rPr>
                <w:rStyle w:val="Heading"/>
                <w:rFonts w:ascii="Arial" w:hAnsi="Arial" w:cs="Arial"/>
                <w:color w:val="FFFFFF" w:themeColor="background1"/>
                <w:sz w:val="20"/>
                <w:szCs w:val="20"/>
                <w:lang w:val="en-GB"/>
              </w:rPr>
              <w:t>Designation</w:t>
            </w:r>
          </w:p>
        </w:tc>
      </w:tr>
      <w:tr w:rsidR="001C2008" w:rsidRPr="00B677B4" w14:paraId="60E68C78" w14:textId="77777777" w:rsidTr="00B657D9">
        <w:trPr>
          <w:cnfStyle w:val="000000100000" w:firstRow="0" w:lastRow="0" w:firstColumn="0" w:lastColumn="0" w:oddVBand="0" w:evenVBand="0" w:oddHBand="1" w:evenHBand="0" w:firstRowFirstColumn="0" w:firstRowLastColumn="0" w:lastRowFirstColumn="0" w:lastRowLastColumn="0"/>
          <w:trHeight w:val="294"/>
        </w:trPr>
        <w:tc>
          <w:tcPr>
            <w:tcW w:w="2260" w:type="dxa"/>
            <w:vAlign w:val="bottom"/>
          </w:tcPr>
          <w:p w14:paraId="7EADA89C" w14:textId="4848D5BF"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 </w:t>
            </w:r>
            <w:proofErr w:type="spellStart"/>
            <w:r w:rsidRPr="00B677B4">
              <w:rPr>
                <w:rFonts w:ascii="Arial" w:hAnsi="Arial" w:cs="Arial"/>
                <w:bCs/>
                <w:sz w:val="20"/>
                <w:lang w:val="en-GB"/>
              </w:rPr>
              <w:t>Algaa</w:t>
            </w:r>
            <w:proofErr w:type="spellEnd"/>
          </w:p>
        </w:tc>
        <w:tc>
          <w:tcPr>
            <w:tcW w:w="6744" w:type="dxa"/>
            <w:vAlign w:val="bottom"/>
          </w:tcPr>
          <w:p w14:paraId="672A680C" w14:textId="127C0B64" w:rsidR="001C2008" w:rsidRPr="00B677B4" w:rsidRDefault="001C2008" w:rsidP="00976723">
            <w:pPr>
              <w:rPr>
                <w:rFonts w:ascii="Arial" w:hAnsi="Arial" w:cs="Arial"/>
                <w:sz w:val="20"/>
                <w:lang w:val="en-GB"/>
              </w:rPr>
            </w:pPr>
            <w:r w:rsidRPr="00B677B4">
              <w:rPr>
                <w:rFonts w:ascii="Arial" w:hAnsi="Arial" w:cs="Arial"/>
                <w:sz w:val="20"/>
                <w:lang w:val="en-GB"/>
              </w:rPr>
              <w:t>Senior Advisor to AMEP II, former President of the Mongolian National Mining Association</w:t>
            </w:r>
          </w:p>
        </w:tc>
      </w:tr>
      <w:tr w:rsidR="001C2008" w:rsidRPr="00B677B4" w14:paraId="6E31BD53" w14:textId="77777777" w:rsidTr="00B657D9">
        <w:trPr>
          <w:cnfStyle w:val="000000010000" w:firstRow="0" w:lastRow="0" w:firstColumn="0" w:lastColumn="0" w:oddVBand="0" w:evenVBand="0" w:oddHBand="0" w:evenHBand="1" w:firstRowFirstColumn="0" w:firstRowLastColumn="0" w:lastRowFirstColumn="0" w:lastRowLastColumn="0"/>
          <w:trHeight w:val="294"/>
        </w:trPr>
        <w:tc>
          <w:tcPr>
            <w:tcW w:w="2260" w:type="dxa"/>
            <w:vAlign w:val="bottom"/>
          </w:tcPr>
          <w:p w14:paraId="5DD4F4E5" w14:textId="37137685"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Mrs. </w:t>
            </w:r>
            <w:proofErr w:type="spellStart"/>
            <w:r w:rsidRPr="00B677B4">
              <w:rPr>
                <w:rFonts w:ascii="Arial" w:hAnsi="Arial" w:cs="Arial"/>
                <w:bCs/>
                <w:sz w:val="20"/>
                <w:lang w:val="en-GB"/>
              </w:rPr>
              <w:t>Baasanjav</w:t>
            </w:r>
            <w:proofErr w:type="spellEnd"/>
          </w:p>
        </w:tc>
        <w:tc>
          <w:tcPr>
            <w:tcW w:w="6744" w:type="dxa"/>
            <w:vAlign w:val="bottom"/>
          </w:tcPr>
          <w:p w14:paraId="4DC3DE3E" w14:textId="38E9796B" w:rsidR="001C2008" w:rsidRPr="00B677B4" w:rsidRDefault="001C2008" w:rsidP="00976723">
            <w:pPr>
              <w:rPr>
                <w:rFonts w:ascii="Arial" w:hAnsi="Arial" w:cs="Arial"/>
                <w:sz w:val="20"/>
                <w:lang w:val="en-GB"/>
              </w:rPr>
            </w:pPr>
            <w:r w:rsidRPr="00B677B4">
              <w:rPr>
                <w:rFonts w:ascii="Arial" w:hAnsi="Arial" w:cs="Arial"/>
                <w:sz w:val="20"/>
                <w:lang w:val="en-GB"/>
              </w:rPr>
              <w:t>Geologist</w:t>
            </w:r>
          </w:p>
        </w:tc>
      </w:tr>
      <w:tr w:rsidR="001C2008" w:rsidRPr="00B677B4" w14:paraId="64CADF1F" w14:textId="77777777" w:rsidTr="00B657D9">
        <w:trPr>
          <w:cnfStyle w:val="000000100000" w:firstRow="0" w:lastRow="0" w:firstColumn="0" w:lastColumn="0" w:oddVBand="0" w:evenVBand="0" w:oddHBand="1" w:evenHBand="0" w:firstRowFirstColumn="0" w:firstRowLastColumn="0" w:lastRowFirstColumn="0" w:lastRowLastColumn="0"/>
          <w:trHeight w:val="294"/>
        </w:trPr>
        <w:tc>
          <w:tcPr>
            <w:tcW w:w="2260" w:type="dxa"/>
            <w:vAlign w:val="bottom"/>
          </w:tcPr>
          <w:p w14:paraId="4C075423" w14:textId="76ED8540" w:rsidR="001C2008" w:rsidRPr="00B677B4" w:rsidRDefault="001C2008" w:rsidP="00976723">
            <w:pPr>
              <w:rPr>
                <w:rFonts w:ascii="Arial" w:hAnsi="Arial" w:cs="Arial"/>
                <w:bCs/>
                <w:sz w:val="20"/>
                <w:lang w:val="en-GB"/>
              </w:rPr>
            </w:pPr>
            <w:r w:rsidRPr="00B677B4">
              <w:rPr>
                <w:rFonts w:ascii="Arial" w:hAnsi="Arial" w:cs="Arial"/>
                <w:bCs/>
                <w:sz w:val="20"/>
                <w:lang w:val="en-GB"/>
              </w:rPr>
              <w:t>Mr. Bat</w:t>
            </w:r>
          </w:p>
        </w:tc>
        <w:tc>
          <w:tcPr>
            <w:tcW w:w="6744" w:type="dxa"/>
            <w:vAlign w:val="bottom"/>
          </w:tcPr>
          <w:p w14:paraId="50338D91" w14:textId="1B52086B" w:rsidR="001C2008" w:rsidRPr="00B677B4" w:rsidRDefault="001C2008" w:rsidP="00976723">
            <w:pPr>
              <w:rPr>
                <w:rFonts w:ascii="Arial" w:hAnsi="Arial" w:cs="Arial"/>
                <w:sz w:val="20"/>
                <w:lang w:val="en-GB"/>
              </w:rPr>
            </w:pPr>
            <w:r w:rsidRPr="00B677B4">
              <w:rPr>
                <w:rFonts w:ascii="Arial" w:hAnsi="Arial" w:cs="Arial"/>
                <w:sz w:val="20"/>
                <w:lang w:val="en-GB"/>
              </w:rPr>
              <w:t>Former Director General of the Geological Policy Department of the Ministry of Mining and Heavy Industry, since February 2022 back to his job as professor of geology at the National University of Mongolia</w:t>
            </w:r>
          </w:p>
        </w:tc>
      </w:tr>
      <w:tr w:rsidR="001C2008" w:rsidRPr="00B677B4" w14:paraId="45A09339" w14:textId="77777777" w:rsidTr="00B657D9">
        <w:trPr>
          <w:cnfStyle w:val="000000010000" w:firstRow="0" w:lastRow="0" w:firstColumn="0" w:lastColumn="0" w:oddVBand="0" w:evenVBand="0" w:oddHBand="0" w:evenHBand="1" w:firstRowFirstColumn="0" w:firstRowLastColumn="0" w:lastRowFirstColumn="0" w:lastRowLastColumn="0"/>
          <w:trHeight w:val="294"/>
        </w:trPr>
        <w:tc>
          <w:tcPr>
            <w:tcW w:w="2260" w:type="dxa"/>
            <w:vAlign w:val="bottom"/>
          </w:tcPr>
          <w:p w14:paraId="598BFED4" w14:textId="6EE24EB3"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 </w:t>
            </w:r>
            <w:proofErr w:type="spellStart"/>
            <w:r w:rsidRPr="00B677B4">
              <w:rPr>
                <w:rFonts w:ascii="Arial" w:hAnsi="Arial" w:cs="Arial"/>
                <w:bCs/>
                <w:sz w:val="20"/>
                <w:lang w:val="en-GB"/>
              </w:rPr>
              <w:t>Dorjdari</w:t>
            </w:r>
            <w:proofErr w:type="spellEnd"/>
          </w:p>
        </w:tc>
        <w:tc>
          <w:tcPr>
            <w:tcW w:w="6744" w:type="dxa"/>
            <w:vAlign w:val="bottom"/>
          </w:tcPr>
          <w:p w14:paraId="6ABBE72D" w14:textId="43A25431" w:rsidR="001C2008" w:rsidRPr="00B677B4" w:rsidRDefault="00DB2175" w:rsidP="001C2008">
            <w:pPr>
              <w:jc w:val="both"/>
              <w:rPr>
                <w:rFonts w:ascii="Arial" w:hAnsi="Arial" w:cs="Arial"/>
                <w:sz w:val="20"/>
                <w:lang w:val="en-GB"/>
              </w:rPr>
            </w:pPr>
            <w:r>
              <w:rPr>
                <w:rFonts w:ascii="Arial" w:hAnsi="Arial" w:cs="Arial"/>
                <w:sz w:val="20"/>
                <w:lang w:val="en-GB"/>
              </w:rPr>
              <w:t>Mongolia Manager</w:t>
            </w:r>
            <w:r w:rsidR="001C2008" w:rsidRPr="00B677B4">
              <w:rPr>
                <w:rFonts w:ascii="Arial" w:hAnsi="Arial" w:cs="Arial"/>
                <w:sz w:val="20"/>
                <w:lang w:val="en-GB"/>
              </w:rPr>
              <w:t xml:space="preserve"> of the Natural Resource Governance Institute Mongolia, member of the Advisory Council of AMEP II</w:t>
            </w:r>
          </w:p>
        </w:tc>
      </w:tr>
      <w:tr w:rsidR="001C2008" w:rsidRPr="00B677B4" w14:paraId="3B2856EE" w14:textId="77777777" w:rsidTr="00B657D9">
        <w:trPr>
          <w:cnfStyle w:val="000000100000" w:firstRow="0" w:lastRow="0" w:firstColumn="0" w:lastColumn="0" w:oddVBand="0" w:evenVBand="0" w:oddHBand="1" w:evenHBand="0" w:firstRowFirstColumn="0" w:firstRowLastColumn="0" w:lastRowFirstColumn="0" w:lastRowLastColumn="0"/>
          <w:trHeight w:val="294"/>
        </w:trPr>
        <w:tc>
          <w:tcPr>
            <w:tcW w:w="2260" w:type="dxa"/>
            <w:vAlign w:val="bottom"/>
          </w:tcPr>
          <w:p w14:paraId="3C3CBE6F" w14:textId="7E840D03"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 </w:t>
            </w:r>
            <w:proofErr w:type="spellStart"/>
            <w:r w:rsidRPr="00B677B4">
              <w:rPr>
                <w:rFonts w:ascii="Arial" w:hAnsi="Arial" w:cs="Arial"/>
                <w:bCs/>
                <w:sz w:val="20"/>
                <w:lang w:val="en-GB"/>
              </w:rPr>
              <w:t>Elbegzaya</w:t>
            </w:r>
            <w:proofErr w:type="spellEnd"/>
          </w:p>
        </w:tc>
        <w:tc>
          <w:tcPr>
            <w:tcW w:w="6744" w:type="dxa"/>
            <w:vAlign w:val="bottom"/>
          </w:tcPr>
          <w:p w14:paraId="0162822B" w14:textId="16E2B3E4" w:rsidR="001C2008" w:rsidRPr="00B677B4" w:rsidRDefault="001C2008" w:rsidP="00976723">
            <w:pPr>
              <w:rPr>
                <w:rFonts w:ascii="Arial" w:hAnsi="Arial" w:cs="Arial"/>
                <w:sz w:val="20"/>
                <w:lang w:val="en-GB"/>
              </w:rPr>
            </w:pPr>
            <w:r w:rsidRPr="00B677B4">
              <w:rPr>
                <w:rFonts w:ascii="Arial" w:hAnsi="Arial" w:cs="Arial"/>
                <w:sz w:val="20"/>
                <w:lang w:val="en-GB"/>
              </w:rPr>
              <w:t>Director General of the Mining Policy Department in the Ministry of Mining and Heavy Industry</w:t>
            </w:r>
          </w:p>
        </w:tc>
      </w:tr>
      <w:tr w:rsidR="001C2008" w:rsidRPr="00B677B4" w14:paraId="68A1CD5E" w14:textId="77777777" w:rsidTr="00B657D9">
        <w:trPr>
          <w:cnfStyle w:val="000000010000" w:firstRow="0" w:lastRow="0" w:firstColumn="0" w:lastColumn="0" w:oddVBand="0" w:evenVBand="0" w:oddHBand="0" w:evenHBand="1" w:firstRowFirstColumn="0" w:firstRowLastColumn="0" w:lastRowFirstColumn="0" w:lastRowLastColumn="0"/>
          <w:trHeight w:val="294"/>
        </w:trPr>
        <w:tc>
          <w:tcPr>
            <w:tcW w:w="2260" w:type="dxa"/>
            <w:vAlign w:val="bottom"/>
          </w:tcPr>
          <w:p w14:paraId="30174534" w14:textId="2A88B58C"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 </w:t>
            </w:r>
            <w:proofErr w:type="spellStart"/>
            <w:r w:rsidRPr="00B677B4">
              <w:rPr>
                <w:rFonts w:ascii="Arial" w:hAnsi="Arial" w:cs="Arial"/>
                <w:bCs/>
                <w:sz w:val="20"/>
                <w:lang w:val="en-GB"/>
              </w:rPr>
              <w:t>Enkhbold</w:t>
            </w:r>
            <w:proofErr w:type="spellEnd"/>
          </w:p>
        </w:tc>
        <w:tc>
          <w:tcPr>
            <w:tcW w:w="6744" w:type="dxa"/>
            <w:vAlign w:val="bottom"/>
          </w:tcPr>
          <w:p w14:paraId="07C6972A" w14:textId="227538ED" w:rsidR="001C2008" w:rsidRPr="00B677B4" w:rsidRDefault="001C2008" w:rsidP="00976723">
            <w:pPr>
              <w:rPr>
                <w:rFonts w:ascii="Arial" w:hAnsi="Arial" w:cs="Arial"/>
                <w:sz w:val="20"/>
                <w:lang w:val="en-GB"/>
              </w:rPr>
            </w:pPr>
            <w:r w:rsidRPr="00B677B4">
              <w:rPr>
                <w:rFonts w:ascii="Arial" w:hAnsi="Arial" w:cs="Arial"/>
                <w:sz w:val="20"/>
                <w:lang w:val="en-GB"/>
              </w:rPr>
              <w:t>Director of the Mongolian Institute of Certified Appraisers (MICA)</w:t>
            </w:r>
          </w:p>
        </w:tc>
      </w:tr>
      <w:tr w:rsidR="001C2008" w:rsidRPr="00B677B4" w14:paraId="149FD780" w14:textId="77777777" w:rsidTr="00B657D9">
        <w:trPr>
          <w:cnfStyle w:val="000000100000" w:firstRow="0" w:lastRow="0" w:firstColumn="0" w:lastColumn="0" w:oddVBand="0" w:evenVBand="0" w:oddHBand="1" w:evenHBand="0" w:firstRowFirstColumn="0" w:firstRowLastColumn="0" w:lastRowFirstColumn="0" w:lastRowLastColumn="0"/>
          <w:trHeight w:val="294"/>
        </w:trPr>
        <w:tc>
          <w:tcPr>
            <w:tcW w:w="2260" w:type="dxa"/>
            <w:vAlign w:val="bottom"/>
          </w:tcPr>
          <w:p w14:paraId="7EDBF1DB" w14:textId="30145AAA"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 </w:t>
            </w:r>
            <w:proofErr w:type="spellStart"/>
            <w:r w:rsidRPr="00B677B4">
              <w:rPr>
                <w:rFonts w:ascii="Arial" w:hAnsi="Arial" w:cs="Arial"/>
                <w:bCs/>
                <w:sz w:val="20"/>
                <w:lang w:val="en-GB"/>
              </w:rPr>
              <w:t>Ganzorig</w:t>
            </w:r>
            <w:proofErr w:type="spellEnd"/>
          </w:p>
        </w:tc>
        <w:tc>
          <w:tcPr>
            <w:tcW w:w="6744" w:type="dxa"/>
            <w:vAlign w:val="bottom"/>
          </w:tcPr>
          <w:p w14:paraId="56DA6D4C" w14:textId="06248CB9" w:rsidR="001C2008" w:rsidRPr="00B677B4" w:rsidRDefault="001C2008" w:rsidP="00976723">
            <w:pPr>
              <w:rPr>
                <w:rFonts w:ascii="Arial" w:hAnsi="Arial" w:cs="Arial"/>
                <w:sz w:val="20"/>
                <w:lang w:val="en-GB"/>
              </w:rPr>
            </w:pPr>
            <w:r w:rsidRPr="00B677B4">
              <w:rPr>
                <w:rFonts w:ascii="Arial" w:hAnsi="Arial" w:cs="Arial"/>
                <w:sz w:val="20"/>
                <w:lang w:val="en-GB"/>
              </w:rPr>
              <w:t xml:space="preserve">COO of </w:t>
            </w:r>
            <w:proofErr w:type="spellStart"/>
            <w:r w:rsidRPr="00B677B4">
              <w:rPr>
                <w:rFonts w:ascii="Arial" w:hAnsi="Arial" w:cs="Arial"/>
                <w:sz w:val="20"/>
                <w:lang w:val="en-GB"/>
              </w:rPr>
              <w:t>Telmen</w:t>
            </w:r>
            <w:proofErr w:type="spellEnd"/>
            <w:r w:rsidRPr="00B677B4">
              <w:rPr>
                <w:rFonts w:ascii="Arial" w:hAnsi="Arial" w:cs="Arial"/>
                <w:sz w:val="20"/>
                <w:lang w:val="en-GB"/>
              </w:rPr>
              <w:t xml:space="preserve"> Resources (also based in Australia), CEO of the CBM Association of Mongolia</w:t>
            </w:r>
          </w:p>
        </w:tc>
      </w:tr>
      <w:tr w:rsidR="001C2008" w:rsidRPr="00B677B4" w14:paraId="6FCBA6AF" w14:textId="77777777" w:rsidTr="00B657D9">
        <w:trPr>
          <w:cnfStyle w:val="000000010000" w:firstRow="0" w:lastRow="0" w:firstColumn="0" w:lastColumn="0" w:oddVBand="0" w:evenVBand="0" w:oddHBand="0" w:evenHBand="1" w:firstRowFirstColumn="0" w:firstRowLastColumn="0" w:lastRowFirstColumn="0" w:lastRowLastColumn="0"/>
          <w:trHeight w:val="294"/>
        </w:trPr>
        <w:tc>
          <w:tcPr>
            <w:tcW w:w="2260" w:type="dxa"/>
            <w:vAlign w:val="bottom"/>
          </w:tcPr>
          <w:p w14:paraId="531B09A3" w14:textId="4027ECA3" w:rsidR="001C2008" w:rsidRPr="00B677B4" w:rsidRDefault="001C2008" w:rsidP="00976723">
            <w:pPr>
              <w:rPr>
                <w:rFonts w:ascii="Arial" w:hAnsi="Arial" w:cs="Arial"/>
                <w:bCs/>
                <w:sz w:val="20"/>
                <w:lang w:val="en-GB"/>
              </w:rPr>
            </w:pPr>
            <w:r w:rsidRPr="00B677B4">
              <w:rPr>
                <w:rFonts w:ascii="Arial" w:hAnsi="Arial" w:cs="Arial"/>
                <w:bCs/>
                <w:sz w:val="20"/>
                <w:lang w:val="en-GB"/>
              </w:rPr>
              <w:t>Mr. Julien Lawrence</w:t>
            </w:r>
          </w:p>
        </w:tc>
        <w:tc>
          <w:tcPr>
            <w:tcW w:w="6744" w:type="dxa"/>
            <w:vAlign w:val="bottom"/>
          </w:tcPr>
          <w:p w14:paraId="4F4D9EA3" w14:textId="15B553F0" w:rsidR="001C2008" w:rsidRPr="00B677B4" w:rsidRDefault="001C2008" w:rsidP="001C2008">
            <w:pPr>
              <w:jc w:val="both"/>
              <w:rPr>
                <w:rFonts w:ascii="Arial" w:hAnsi="Arial" w:cs="Arial"/>
                <w:sz w:val="20"/>
                <w:lang w:val="en-GB"/>
              </w:rPr>
            </w:pPr>
            <w:r w:rsidRPr="00B677B4">
              <w:rPr>
                <w:rFonts w:ascii="Arial" w:hAnsi="Arial" w:cs="Arial"/>
                <w:sz w:val="20"/>
                <w:lang w:val="en-GB"/>
              </w:rPr>
              <w:t xml:space="preserve">Chairman of </w:t>
            </w:r>
            <w:proofErr w:type="spellStart"/>
            <w:r w:rsidRPr="00B677B4">
              <w:rPr>
                <w:rFonts w:ascii="Arial" w:hAnsi="Arial" w:cs="Arial"/>
                <w:sz w:val="20"/>
                <w:lang w:val="en-GB"/>
              </w:rPr>
              <w:t>AustCham</w:t>
            </w:r>
            <w:proofErr w:type="spellEnd"/>
            <w:r w:rsidRPr="00B677B4">
              <w:rPr>
                <w:rFonts w:ascii="Arial" w:hAnsi="Arial" w:cs="Arial"/>
                <w:sz w:val="20"/>
                <w:lang w:val="en-GB"/>
              </w:rPr>
              <w:t xml:space="preserve"> in Mongolia and CEO of the O2Mining</w:t>
            </w:r>
          </w:p>
        </w:tc>
      </w:tr>
      <w:tr w:rsidR="001C2008" w:rsidRPr="00B677B4" w14:paraId="5690CB95" w14:textId="77777777" w:rsidTr="00B657D9">
        <w:trPr>
          <w:cnfStyle w:val="000000100000" w:firstRow="0" w:lastRow="0" w:firstColumn="0" w:lastColumn="0" w:oddVBand="0" w:evenVBand="0" w:oddHBand="1" w:evenHBand="0" w:firstRowFirstColumn="0" w:firstRowLastColumn="0" w:lastRowFirstColumn="0" w:lastRowLastColumn="0"/>
          <w:trHeight w:val="294"/>
        </w:trPr>
        <w:tc>
          <w:tcPr>
            <w:tcW w:w="2260" w:type="dxa"/>
            <w:vAlign w:val="bottom"/>
          </w:tcPr>
          <w:p w14:paraId="72C66EBF" w14:textId="27766C10"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Mrs. </w:t>
            </w:r>
            <w:proofErr w:type="spellStart"/>
            <w:r w:rsidRPr="00B677B4">
              <w:rPr>
                <w:rFonts w:ascii="Arial" w:hAnsi="Arial" w:cs="Arial"/>
                <w:bCs/>
                <w:sz w:val="20"/>
                <w:lang w:val="en-GB"/>
              </w:rPr>
              <w:t>Tserenjav</w:t>
            </w:r>
            <w:proofErr w:type="spellEnd"/>
          </w:p>
        </w:tc>
        <w:tc>
          <w:tcPr>
            <w:tcW w:w="6744" w:type="dxa"/>
            <w:vAlign w:val="bottom"/>
          </w:tcPr>
          <w:p w14:paraId="41939A3C" w14:textId="4E364B3E" w:rsidR="001C2008" w:rsidRPr="00B677B4" w:rsidRDefault="004F0784" w:rsidP="001C2008">
            <w:pPr>
              <w:jc w:val="both"/>
              <w:rPr>
                <w:rFonts w:ascii="Arial" w:hAnsi="Arial" w:cs="Arial"/>
                <w:sz w:val="20"/>
                <w:lang w:val="en-GB"/>
              </w:rPr>
            </w:pPr>
            <w:r w:rsidRPr="00B677B4">
              <w:rPr>
                <w:rFonts w:ascii="Arial" w:hAnsi="Arial" w:cs="Arial"/>
                <w:sz w:val="20"/>
                <w:lang w:val="en-GB"/>
              </w:rPr>
              <w:t>J</w:t>
            </w:r>
            <w:r w:rsidR="001C2008" w:rsidRPr="00B677B4">
              <w:rPr>
                <w:rFonts w:ascii="Arial" w:hAnsi="Arial" w:cs="Arial"/>
                <w:sz w:val="20"/>
                <w:lang w:val="en-GB"/>
              </w:rPr>
              <w:t>ournalist and founder of the Transparency Foundation NGO, member of the Advisory Council of AMEP II</w:t>
            </w:r>
          </w:p>
        </w:tc>
      </w:tr>
      <w:tr w:rsidR="001C2008" w:rsidRPr="00B677B4" w14:paraId="605616DE" w14:textId="77777777" w:rsidTr="00B657D9">
        <w:trPr>
          <w:cnfStyle w:val="000000010000" w:firstRow="0" w:lastRow="0" w:firstColumn="0" w:lastColumn="0" w:oddVBand="0" w:evenVBand="0" w:oddHBand="0" w:evenHBand="1" w:firstRowFirstColumn="0" w:firstRowLastColumn="0" w:lastRowFirstColumn="0" w:lastRowLastColumn="0"/>
          <w:trHeight w:val="294"/>
        </w:trPr>
        <w:tc>
          <w:tcPr>
            <w:tcW w:w="2260" w:type="dxa"/>
            <w:vAlign w:val="bottom"/>
          </w:tcPr>
          <w:p w14:paraId="0BD7C1DE" w14:textId="61B82BC5"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 </w:t>
            </w:r>
            <w:proofErr w:type="spellStart"/>
            <w:r w:rsidRPr="00B677B4">
              <w:rPr>
                <w:rFonts w:ascii="Arial" w:hAnsi="Arial" w:cs="Arial"/>
                <w:bCs/>
                <w:sz w:val="20"/>
                <w:lang w:val="en-GB"/>
              </w:rPr>
              <w:t>Tsogtbaatar</w:t>
            </w:r>
            <w:proofErr w:type="spellEnd"/>
          </w:p>
        </w:tc>
        <w:tc>
          <w:tcPr>
            <w:tcW w:w="6744" w:type="dxa"/>
            <w:vAlign w:val="bottom"/>
          </w:tcPr>
          <w:p w14:paraId="6F3506E3" w14:textId="72B2B030" w:rsidR="001C2008" w:rsidRPr="00B677B4" w:rsidRDefault="001C2008" w:rsidP="00976723">
            <w:pPr>
              <w:rPr>
                <w:rFonts w:ascii="Arial" w:hAnsi="Arial" w:cs="Arial"/>
                <w:sz w:val="20"/>
                <w:lang w:val="en-GB"/>
              </w:rPr>
            </w:pPr>
            <w:r w:rsidRPr="00B677B4">
              <w:rPr>
                <w:rFonts w:ascii="Arial" w:hAnsi="Arial" w:cs="Arial"/>
                <w:sz w:val="20"/>
                <w:lang w:val="en-GB"/>
              </w:rPr>
              <w:t>Head of the Division of the Ministry of Mining and Heavy Industry</w:t>
            </w:r>
          </w:p>
        </w:tc>
      </w:tr>
      <w:tr w:rsidR="001C2008" w:rsidRPr="00B677B4" w14:paraId="4FA1A90E" w14:textId="77777777" w:rsidTr="00B657D9">
        <w:trPr>
          <w:cnfStyle w:val="000000100000" w:firstRow="0" w:lastRow="0" w:firstColumn="0" w:lastColumn="0" w:oddVBand="0" w:evenVBand="0" w:oddHBand="1" w:evenHBand="0" w:firstRowFirstColumn="0" w:firstRowLastColumn="0" w:lastRowFirstColumn="0" w:lastRowLastColumn="0"/>
          <w:trHeight w:val="294"/>
        </w:trPr>
        <w:tc>
          <w:tcPr>
            <w:tcW w:w="2260" w:type="dxa"/>
            <w:vAlign w:val="bottom"/>
          </w:tcPr>
          <w:p w14:paraId="0BDF0087" w14:textId="2549D4DA"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Mrs. </w:t>
            </w:r>
            <w:proofErr w:type="spellStart"/>
            <w:r w:rsidRPr="00B677B4">
              <w:rPr>
                <w:rFonts w:ascii="Arial" w:hAnsi="Arial" w:cs="Arial"/>
                <w:bCs/>
                <w:sz w:val="20"/>
                <w:lang w:val="en-GB"/>
              </w:rPr>
              <w:t>Tuya</w:t>
            </w:r>
            <w:proofErr w:type="spellEnd"/>
          </w:p>
        </w:tc>
        <w:tc>
          <w:tcPr>
            <w:tcW w:w="6744" w:type="dxa"/>
            <w:vAlign w:val="bottom"/>
          </w:tcPr>
          <w:p w14:paraId="0523F604" w14:textId="7407EF25" w:rsidR="001C2008" w:rsidRPr="00B677B4" w:rsidRDefault="001C2008" w:rsidP="00976723">
            <w:pPr>
              <w:rPr>
                <w:rFonts w:ascii="Arial" w:hAnsi="Arial" w:cs="Arial"/>
                <w:sz w:val="20"/>
                <w:lang w:val="en-GB"/>
              </w:rPr>
            </w:pPr>
            <w:r w:rsidRPr="00B677B4">
              <w:rPr>
                <w:rFonts w:ascii="Arial" w:hAnsi="Arial" w:cs="Arial"/>
                <w:sz w:val="20"/>
                <w:lang w:val="en-GB"/>
              </w:rPr>
              <w:t>Head of the Board of the Women Association of Mineral Sector (NGO), in the past executive position in HR departments of state-owned mining companies</w:t>
            </w:r>
          </w:p>
        </w:tc>
      </w:tr>
      <w:tr w:rsidR="001C2008" w:rsidRPr="00B677B4" w14:paraId="3E1D55A0" w14:textId="77777777" w:rsidTr="00B657D9">
        <w:trPr>
          <w:cnfStyle w:val="000000010000" w:firstRow="0" w:lastRow="0" w:firstColumn="0" w:lastColumn="0" w:oddVBand="0" w:evenVBand="0" w:oddHBand="0" w:evenHBand="1" w:firstRowFirstColumn="0" w:firstRowLastColumn="0" w:lastRowFirstColumn="0" w:lastRowLastColumn="0"/>
          <w:trHeight w:val="294"/>
        </w:trPr>
        <w:tc>
          <w:tcPr>
            <w:tcW w:w="2260" w:type="dxa"/>
            <w:vAlign w:val="bottom"/>
          </w:tcPr>
          <w:p w14:paraId="2E2194C7" w14:textId="0FBFA9F6" w:rsidR="001C2008" w:rsidRPr="00B677B4" w:rsidRDefault="001C2008" w:rsidP="00976723">
            <w:pPr>
              <w:rPr>
                <w:rFonts w:ascii="Arial" w:hAnsi="Arial" w:cs="Arial"/>
                <w:bCs/>
                <w:sz w:val="20"/>
                <w:lang w:val="en-GB"/>
              </w:rPr>
            </w:pPr>
            <w:r w:rsidRPr="00B677B4">
              <w:rPr>
                <w:rFonts w:ascii="Arial" w:hAnsi="Arial" w:cs="Arial"/>
                <w:bCs/>
                <w:sz w:val="20"/>
                <w:lang w:val="en-GB"/>
              </w:rPr>
              <w:t xml:space="preserve">Mrs. </w:t>
            </w:r>
            <w:proofErr w:type="spellStart"/>
            <w:r w:rsidRPr="00B677B4">
              <w:rPr>
                <w:rFonts w:ascii="Arial" w:hAnsi="Arial" w:cs="Arial"/>
                <w:bCs/>
                <w:sz w:val="20"/>
                <w:lang w:val="en-GB"/>
              </w:rPr>
              <w:t>Uyanga</w:t>
            </w:r>
            <w:proofErr w:type="spellEnd"/>
          </w:p>
        </w:tc>
        <w:tc>
          <w:tcPr>
            <w:tcW w:w="6744" w:type="dxa"/>
            <w:vAlign w:val="bottom"/>
          </w:tcPr>
          <w:p w14:paraId="595572AE" w14:textId="2C784FBD" w:rsidR="001C2008" w:rsidRPr="00B677B4" w:rsidRDefault="004F0784" w:rsidP="00976723">
            <w:pPr>
              <w:rPr>
                <w:rFonts w:ascii="Arial" w:hAnsi="Arial" w:cs="Arial"/>
                <w:sz w:val="20"/>
                <w:lang w:val="en-GB"/>
              </w:rPr>
            </w:pPr>
            <w:r w:rsidRPr="00B677B4">
              <w:rPr>
                <w:rFonts w:ascii="Arial" w:hAnsi="Arial" w:cs="Arial"/>
                <w:sz w:val="20"/>
                <w:lang w:val="en-GB"/>
              </w:rPr>
              <w:t>F</w:t>
            </w:r>
            <w:r w:rsidR="001C2008" w:rsidRPr="00B677B4">
              <w:rPr>
                <w:rFonts w:ascii="Arial" w:hAnsi="Arial" w:cs="Arial"/>
                <w:sz w:val="20"/>
                <w:lang w:val="en-GB"/>
              </w:rPr>
              <w:t>ormer Deputy Director of the Mongolian Geological Survey, since April the Director General of the Geological Policy Department of the Ministry of Mining and Heavy Industry</w:t>
            </w:r>
          </w:p>
        </w:tc>
      </w:tr>
    </w:tbl>
    <w:p w14:paraId="77D24AC7" w14:textId="77777777" w:rsidR="0073589D" w:rsidRPr="00B677B4" w:rsidRDefault="0073589D" w:rsidP="0073589D">
      <w:pPr>
        <w:ind w:left="1080"/>
        <w:rPr>
          <w:sz w:val="22"/>
          <w:szCs w:val="22"/>
        </w:rPr>
      </w:pPr>
    </w:p>
    <w:p w14:paraId="71830B0F" w14:textId="77777777" w:rsidR="00B657D9" w:rsidRPr="00B677B4" w:rsidRDefault="00B657D9" w:rsidP="00B657D9">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677B4">
        <w:rPr>
          <w:rFonts w:ascii="Arial" w:hAnsi="Arial" w:cs="Arial"/>
          <w:b/>
          <w:sz w:val="20"/>
        </w:rPr>
        <w:t>Group discussion with Cadastral Division, MRPAM:</w:t>
      </w:r>
    </w:p>
    <w:p w14:paraId="4B4C2D1E" w14:textId="77777777" w:rsidR="00B657D9" w:rsidRPr="00B677B4" w:rsidRDefault="00B657D9" w:rsidP="00B657D9">
      <w:pPr>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p w14:paraId="446BBCAD" w14:textId="77777777" w:rsidR="00B657D9" w:rsidRPr="00B677B4" w:rsidRDefault="00B657D9" w:rsidP="00B657D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B677B4">
        <w:rPr>
          <w:rFonts w:ascii="Arial" w:hAnsi="Arial" w:cs="Arial"/>
          <w:bCs/>
          <w:sz w:val="20"/>
        </w:rPr>
        <w:t xml:space="preserve">Mr. </w:t>
      </w:r>
      <w:proofErr w:type="spellStart"/>
      <w:r w:rsidRPr="00B677B4">
        <w:rPr>
          <w:rFonts w:ascii="Arial" w:hAnsi="Arial" w:cs="Arial"/>
          <w:bCs/>
          <w:sz w:val="20"/>
        </w:rPr>
        <w:t>Batmagnai</w:t>
      </w:r>
      <w:proofErr w:type="spellEnd"/>
      <w:r w:rsidRPr="00B677B4">
        <w:rPr>
          <w:rFonts w:ascii="Arial" w:hAnsi="Arial" w:cs="Arial"/>
          <w:bCs/>
          <w:sz w:val="20"/>
        </w:rPr>
        <w:t>, Head of the Cadastral Division, MRPAM</w:t>
      </w:r>
    </w:p>
    <w:p w14:paraId="74321E73" w14:textId="77777777" w:rsidR="00B657D9" w:rsidRPr="00B677B4" w:rsidRDefault="00B657D9" w:rsidP="00B657D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B677B4">
        <w:rPr>
          <w:rFonts w:ascii="Arial" w:hAnsi="Arial" w:cs="Arial"/>
          <w:bCs/>
          <w:sz w:val="20"/>
        </w:rPr>
        <w:t xml:space="preserve">Mrs. </w:t>
      </w:r>
      <w:proofErr w:type="spellStart"/>
      <w:r w:rsidRPr="00B677B4">
        <w:rPr>
          <w:rFonts w:ascii="Arial" w:hAnsi="Arial" w:cs="Arial"/>
          <w:bCs/>
          <w:sz w:val="20"/>
        </w:rPr>
        <w:t>Bolormaa</w:t>
      </w:r>
      <w:proofErr w:type="spellEnd"/>
      <w:r w:rsidRPr="00B677B4">
        <w:rPr>
          <w:rFonts w:ascii="Arial" w:hAnsi="Arial" w:cs="Arial"/>
          <w:bCs/>
          <w:sz w:val="20"/>
        </w:rPr>
        <w:t>, senior officer of the Cadastral Division, MRPAM</w:t>
      </w:r>
    </w:p>
    <w:p w14:paraId="41C7074E" w14:textId="77777777" w:rsidR="00B657D9" w:rsidRPr="00B677B4" w:rsidRDefault="00B657D9" w:rsidP="00B657D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B677B4">
        <w:rPr>
          <w:rFonts w:ascii="Arial" w:hAnsi="Arial" w:cs="Arial"/>
          <w:bCs/>
          <w:sz w:val="20"/>
        </w:rPr>
        <w:t xml:space="preserve">Mr. </w:t>
      </w:r>
      <w:proofErr w:type="spellStart"/>
      <w:r w:rsidRPr="00B677B4">
        <w:rPr>
          <w:rFonts w:ascii="Arial" w:hAnsi="Arial" w:cs="Arial"/>
          <w:bCs/>
          <w:sz w:val="20"/>
        </w:rPr>
        <w:t>Amartuvshin</w:t>
      </w:r>
      <w:proofErr w:type="spellEnd"/>
      <w:r w:rsidRPr="00B677B4">
        <w:rPr>
          <w:rFonts w:ascii="Arial" w:hAnsi="Arial" w:cs="Arial"/>
          <w:bCs/>
          <w:sz w:val="20"/>
        </w:rPr>
        <w:t>, senior officer of the Cadastral Division, MRPAM</w:t>
      </w:r>
    </w:p>
    <w:p w14:paraId="4B2EC81D" w14:textId="0B7019F9" w:rsidR="001C2008" w:rsidRPr="00B677B4" w:rsidRDefault="00B657D9" w:rsidP="00B657D9">
      <w:pPr>
        <w:rPr>
          <w:rStyle w:val="Heading"/>
          <w:rFonts w:asciiTheme="majorHAnsi" w:eastAsiaTheme="majorEastAsia" w:hAnsiTheme="majorHAnsi" w:cstheme="majorBidi"/>
          <w:color w:val="2F5496" w:themeColor="accent1" w:themeShade="BF"/>
          <w:sz w:val="32"/>
          <w:szCs w:val="32"/>
          <w:lang w:eastAsia="en-US"/>
        </w:rPr>
      </w:pPr>
      <w:r w:rsidRPr="00B677B4">
        <w:rPr>
          <w:rFonts w:ascii="Arial" w:hAnsi="Arial" w:cs="Arial"/>
          <w:bCs/>
          <w:sz w:val="20"/>
        </w:rPr>
        <w:t xml:space="preserve">Mr. </w:t>
      </w:r>
      <w:proofErr w:type="spellStart"/>
      <w:r w:rsidRPr="00B677B4">
        <w:rPr>
          <w:rFonts w:ascii="Arial" w:hAnsi="Arial" w:cs="Arial"/>
          <w:bCs/>
          <w:sz w:val="20"/>
        </w:rPr>
        <w:t>Tumennast</w:t>
      </w:r>
      <w:proofErr w:type="spellEnd"/>
      <w:r w:rsidRPr="00B677B4">
        <w:rPr>
          <w:rFonts w:ascii="Arial" w:hAnsi="Arial" w:cs="Arial"/>
          <w:bCs/>
          <w:sz w:val="20"/>
        </w:rPr>
        <w:t>, archive officer of the Cadastral Division, MRPAM</w:t>
      </w:r>
      <w:r w:rsidR="001C2008" w:rsidRPr="00B677B4">
        <w:rPr>
          <w:rStyle w:val="Heading"/>
          <w:rFonts w:asciiTheme="majorHAnsi" w:hAnsiTheme="majorHAnsi" w:cstheme="majorBidi"/>
          <w:color w:val="2F5496" w:themeColor="accent1" w:themeShade="BF"/>
          <w:sz w:val="32"/>
          <w:szCs w:val="32"/>
        </w:rPr>
        <w:br w:type="page"/>
      </w:r>
    </w:p>
    <w:p w14:paraId="1D0A396C" w14:textId="488AF6A4" w:rsidR="000E44D2" w:rsidRPr="00B677B4" w:rsidRDefault="000E44D2" w:rsidP="000E44D2">
      <w:pPr>
        <w:pStyle w:val="Heading1"/>
        <w:rPr>
          <w:rStyle w:val="Heading"/>
          <w:rFonts w:asciiTheme="majorHAnsi" w:hAnsiTheme="majorHAnsi" w:cstheme="majorBidi"/>
          <w:color w:val="2F5496" w:themeColor="accent1" w:themeShade="BF"/>
          <w:sz w:val="32"/>
          <w:szCs w:val="32"/>
          <w:lang w:val="en-GB"/>
        </w:rPr>
      </w:pPr>
      <w:bookmarkStart w:id="33" w:name="_Toc124772668"/>
      <w:r w:rsidRPr="00B677B4">
        <w:rPr>
          <w:rStyle w:val="Heading"/>
          <w:rFonts w:asciiTheme="majorHAnsi" w:hAnsiTheme="majorHAnsi" w:cstheme="majorBidi"/>
          <w:color w:val="2F5496" w:themeColor="accent1" w:themeShade="BF"/>
          <w:sz w:val="32"/>
          <w:szCs w:val="32"/>
          <w:lang w:val="en-GB"/>
        </w:rPr>
        <w:lastRenderedPageBreak/>
        <w:t xml:space="preserve">Annex </w:t>
      </w:r>
      <w:r w:rsidR="001C2008" w:rsidRPr="00B677B4">
        <w:rPr>
          <w:rStyle w:val="Heading"/>
          <w:rFonts w:asciiTheme="majorHAnsi" w:hAnsiTheme="majorHAnsi" w:cstheme="majorBidi"/>
          <w:color w:val="2F5496" w:themeColor="accent1" w:themeShade="BF"/>
          <w:sz w:val="32"/>
          <w:szCs w:val="32"/>
          <w:lang w:val="en-GB"/>
        </w:rPr>
        <w:t>3</w:t>
      </w:r>
      <w:r w:rsidRPr="00B677B4">
        <w:rPr>
          <w:rStyle w:val="Heading"/>
          <w:rFonts w:asciiTheme="majorHAnsi" w:hAnsiTheme="majorHAnsi" w:cstheme="majorBidi"/>
          <w:color w:val="2F5496" w:themeColor="accent1" w:themeShade="BF"/>
          <w:sz w:val="32"/>
          <w:szCs w:val="32"/>
          <w:lang w:val="en-GB"/>
        </w:rPr>
        <w:t>: Bibliography</w:t>
      </w:r>
      <w:bookmarkEnd w:id="33"/>
    </w:p>
    <w:p w14:paraId="2C499550" w14:textId="77777777" w:rsidR="000E44D2" w:rsidRPr="00B677B4" w:rsidRDefault="000E44D2" w:rsidP="000E44D2">
      <w:pPr>
        <w:rPr>
          <w:rStyle w:val="Heading"/>
        </w:rPr>
      </w:pPr>
    </w:p>
    <w:p w14:paraId="1DF1F6EE" w14:textId="1AB3C7FA" w:rsidR="000E44D2" w:rsidRPr="00B677B4" w:rsidRDefault="000E44D2" w:rsidP="000E44D2">
      <w:pPr>
        <w:rPr>
          <w:rStyle w:val="Heading"/>
          <w:rFonts w:asciiTheme="minorHAnsi" w:hAnsiTheme="minorHAnsi" w:cstheme="minorHAnsi"/>
          <w:sz w:val="22"/>
          <w:szCs w:val="22"/>
        </w:rPr>
      </w:pPr>
      <w:r w:rsidRPr="00B677B4">
        <w:rPr>
          <w:rStyle w:val="Heading"/>
          <w:rFonts w:asciiTheme="minorHAnsi" w:hAnsiTheme="minorHAnsi" w:cstheme="minorHAnsi"/>
          <w:sz w:val="22"/>
          <w:szCs w:val="22"/>
        </w:rPr>
        <w:t>Documents used to guide the MTR:</w:t>
      </w:r>
    </w:p>
    <w:p w14:paraId="669ACC45" w14:textId="77777777" w:rsidR="000E44D2" w:rsidRPr="00B677B4" w:rsidRDefault="000E44D2" w:rsidP="000E44D2">
      <w:pPr>
        <w:rPr>
          <w:rStyle w:val="Heading"/>
        </w:rPr>
      </w:pPr>
    </w:p>
    <w:tbl>
      <w:tblPr>
        <w:tblStyle w:val="table-style-blauw-100-outline"/>
        <w:tblW w:w="0" w:type="auto"/>
        <w:tblLook w:val="04A0" w:firstRow="1" w:lastRow="0" w:firstColumn="1" w:lastColumn="0" w:noHBand="0" w:noVBand="1"/>
      </w:tblPr>
      <w:tblGrid>
        <w:gridCol w:w="985"/>
        <w:gridCol w:w="7652"/>
      </w:tblGrid>
      <w:tr w:rsidR="000E44D2" w:rsidRPr="00B677B4" w14:paraId="2FD2B37E" w14:textId="77777777" w:rsidTr="00D45C15">
        <w:trPr>
          <w:cnfStyle w:val="100000000000" w:firstRow="1" w:lastRow="0" w:firstColumn="0" w:lastColumn="0" w:oddVBand="0" w:evenVBand="0" w:oddHBand="0" w:evenHBand="0" w:firstRowFirstColumn="0" w:firstRowLastColumn="0" w:lastRowFirstColumn="0" w:lastRowLastColumn="0"/>
        </w:trPr>
        <w:tc>
          <w:tcPr>
            <w:tcW w:w="985" w:type="dxa"/>
            <w:hideMark/>
          </w:tcPr>
          <w:p w14:paraId="5B9B5BAA" w14:textId="77777777" w:rsidR="000E44D2" w:rsidRPr="00B677B4" w:rsidRDefault="000E44D2" w:rsidP="00D45C15">
            <w:pPr>
              <w:rPr>
                <w:rFonts w:ascii="Calibri" w:hAnsi="Calibri" w:cs="Calibri"/>
                <w:sz w:val="22"/>
                <w:szCs w:val="22"/>
                <w:lang w:val="en-GB"/>
              </w:rPr>
            </w:pPr>
            <w:bookmarkStart w:id="34" w:name="_Hlk118736875"/>
            <w:r w:rsidRPr="00B677B4">
              <w:rPr>
                <w:rFonts w:ascii="Calibri" w:hAnsi="Calibri" w:cs="Calibri"/>
                <w:sz w:val="22"/>
                <w:szCs w:val="22"/>
                <w:lang w:val="en-GB"/>
              </w:rPr>
              <w:t>1</w:t>
            </w:r>
          </w:p>
        </w:tc>
        <w:tc>
          <w:tcPr>
            <w:tcW w:w="7652" w:type="dxa"/>
            <w:hideMark/>
          </w:tcPr>
          <w:p w14:paraId="72187879"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Document</w:t>
            </w:r>
          </w:p>
        </w:tc>
      </w:tr>
      <w:tr w:rsidR="000E44D2" w:rsidRPr="00B677B4" w14:paraId="798AD822"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413CB43A"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1</w:t>
            </w:r>
          </w:p>
        </w:tc>
        <w:tc>
          <w:tcPr>
            <w:tcW w:w="7652" w:type="dxa"/>
          </w:tcPr>
          <w:p w14:paraId="50DAEB89"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Phase 2 Final Design</w:t>
            </w:r>
          </w:p>
        </w:tc>
      </w:tr>
      <w:tr w:rsidR="000E44D2" w:rsidRPr="00B677B4" w14:paraId="388B3E51" w14:textId="77777777" w:rsidTr="00D45C15">
        <w:trPr>
          <w:cnfStyle w:val="000000010000" w:firstRow="0" w:lastRow="0" w:firstColumn="0" w:lastColumn="0" w:oddVBand="0" w:evenVBand="0" w:oddHBand="0" w:evenHBand="1" w:firstRowFirstColumn="0" w:firstRowLastColumn="0" w:lastRowFirstColumn="0" w:lastRowLastColumn="0"/>
        </w:trPr>
        <w:tc>
          <w:tcPr>
            <w:tcW w:w="985" w:type="dxa"/>
          </w:tcPr>
          <w:p w14:paraId="5E9289BC" w14:textId="77777777" w:rsidR="000E44D2" w:rsidRPr="00B677B4" w:rsidRDefault="000E44D2">
            <w:pPr>
              <w:pStyle w:val="ListParagraph"/>
              <w:numPr>
                <w:ilvl w:val="0"/>
                <w:numId w:val="5"/>
              </w:numPr>
              <w:rPr>
                <w:lang w:val="en-GB"/>
              </w:rPr>
            </w:pPr>
          </w:p>
        </w:tc>
        <w:tc>
          <w:tcPr>
            <w:tcW w:w="7652" w:type="dxa"/>
          </w:tcPr>
          <w:p w14:paraId="36BAD507"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Annual Activity Plans</w:t>
            </w:r>
          </w:p>
        </w:tc>
      </w:tr>
      <w:tr w:rsidR="000E44D2" w:rsidRPr="00B677B4" w14:paraId="1F5E47FB"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50E27BEC" w14:textId="77777777" w:rsidR="000E44D2" w:rsidRPr="00B677B4" w:rsidRDefault="000E44D2">
            <w:pPr>
              <w:pStyle w:val="ListParagraph"/>
              <w:numPr>
                <w:ilvl w:val="0"/>
                <w:numId w:val="5"/>
              </w:numPr>
              <w:rPr>
                <w:lang w:val="en-GB"/>
              </w:rPr>
            </w:pPr>
          </w:p>
        </w:tc>
        <w:tc>
          <w:tcPr>
            <w:tcW w:w="7652" w:type="dxa"/>
          </w:tcPr>
          <w:p w14:paraId="1BB8E60D"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Annual Reports</w:t>
            </w:r>
          </w:p>
        </w:tc>
      </w:tr>
      <w:tr w:rsidR="000E44D2" w:rsidRPr="00B677B4" w14:paraId="5C87CE33" w14:textId="77777777" w:rsidTr="00D45C15">
        <w:trPr>
          <w:cnfStyle w:val="000000010000" w:firstRow="0" w:lastRow="0" w:firstColumn="0" w:lastColumn="0" w:oddVBand="0" w:evenVBand="0" w:oddHBand="0" w:evenHBand="1" w:firstRowFirstColumn="0" w:firstRowLastColumn="0" w:lastRowFirstColumn="0" w:lastRowLastColumn="0"/>
        </w:trPr>
        <w:tc>
          <w:tcPr>
            <w:tcW w:w="985" w:type="dxa"/>
          </w:tcPr>
          <w:p w14:paraId="7EFC380E" w14:textId="77777777" w:rsidR="000E44D2" w:rsidRPr="00B677B4" w:rsidRDefault="000E44D2">
            <w:pPr>
              <w:pStyle w:val="ListParagraph"/>
              <w:numPr>
                <w:ilvl w:val="0"/>
                <w:numId w:val="5"/>
              </w:numPr>
              <w:rPr>
                <w:lang w:val="en-GB"/>
              </w:rPr>
            </w:pPr>
          </w:p>
        </w:tc>
        <w:tc>
          <w:tcPr>
            <w:tcW w:w="7652" w:type="dxa"/>
          </w:tcPr>
          <w:p w14:paraId="2CFF630E"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6-Monthly Reports</w:t>
            </w:r>
          </w:p>
        </w:tc>
      </w:tr>
      <w:tr w:rsidR="000E44D2" w:rsidRPr="00B677B4" w14:paraId="79A10A34"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60FE6A9E" w14:textId="77777777" w:rsidR="000E44D2" w:rsidRPr="00B677B4" w:rsidRDefault="000E44D2">
            <w:pPr>
              <w:pStyle w:val="ListParagraph"/>
              <w:numPr>
                <w:ilvl w:val="0"/>
                <w:numId w:val="5"/>
              </w:numPr>
              <w:rPr>
                <w:lang w:val="en-GB"/>
              </w:rPr>
            </w:pPr>
          </w:p>
        </w:tc>
        <w:tc>
          <w:tcPr>
            <w:tcW w:w="7652" w:type="dxa"/>
          </w:tcPr>
          <w:p w14:paraId="1B4D256A"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Inclusion Study</w:t>
            </w:r>
          </w:p>
        </w:tc>
      </w:tr>
      <w:tr w:rsidR="000E44D2" w:rsidRPr="00B677B4" w14:paraId="234F971D" w14:textId="77777777" w:rsidTr="00D45C15">
        <w:trPr>
          <w:cnfStyle w:val="000000010000" w:firstRow="0" w:lastRow="0" w:firstColumn="0" w:lastColumn="0" w:oddVBand="0" w:evenVBand="0" w:oddHBand="0" w:evenHBand="1" w:firstRowFirstColumn="0" w:firstRowLastColumn="0" w:lastRowFirstColumn="0" w:lastRowLastColumn="0"/>
        </w:trPr>
        <w:tc>
          <w:tcPr>
            <w:tcW w:w="985" w:type="dxa"/>
          </w:tcPr>
          <w:p w14:paraId="32115DA9"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6.</w:t>
            </w:r>
          </w:p>
        </w:tc>
        <w:tc>
          <w:tcPr>
            <w:tcW w:w="7652" w:type="dxa"/>
          </w:tcPr>
          <w:p w14:paraId="5F42DE1B"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M&amp;E Plan</w:t>
            </w:r>
          </w:p>
        </w:tc>
      </w:tr>
      <w:tr w:rsidR="000E44D2" w:rsidRPr="00B677B4" w14:paraId="064294DF"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3F64FD31"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7.</w:t>
            </w:r>
          </w:p>
        </w:tc>
        <w:tc>
          <w:tcPr>
            <w:tcW w:w="7652" w:type="dxa"/>
          </w:tcPr>
          <w:p w14:paraId="2052097C"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Communications Strategy</w:t>
            </w:r>
          </w:p>
        </w:tc>
      </w:tr>
      <w:tr w:rsidR="000E44D2" w:rsidRPr="00B677B4" w14:paraId="24B36317" w14:textId="77777777" w:rsidTr="00D45C15">
        <w:trPr>
          <w:cnfStyle w:val="000000010000" w:firstRow="0" w:lastRow="0" w:firstColumn="0" w:lastColumn="0" w:oddVBand="0" w:evenVBand="0" w:oddHBand="0" w:evenHBand="1" w:firstRowFirstColumn="0" w:firstRowLastColumn="0" w:lastRowFirstColumn="0" w:lastRowLastColumn="0"/>
        </w:trPr>
        <w:tc>
          <w:tcPr>
            <w:tcW w:w="985" w:type="dxa"/>
          </w:tcPr>
          <w:p w14:paraId="4355D2AD"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8.</w:t>
            </w:r>
          </w:p>
        </w:tc>
        <w:tc>
          <w:tcPr>
            <w:tcW w:w="7652" w:type="dxa"/>
          </w:tcPr>
          <w:p w14:paraId="4E80225F"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Activity Selection and Implementation Guideline</w:t>
            </w:r>
          </w:p>
        </w:tc>
      </w:tr>
      <w:tr w:rsidR="000E44D2" w:rsidRPr="00B677B4" w14:paraId="47DF4978"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10ED3543"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 xml:space="preserve">9. </w:t>
            </w:r>
          </w:p>
        </w:tc>
        <w:tc>
          <w:tcPr>
            <w:tcW w:w="7652" w:type="dxa"/>
          </w:tcPr>
          <w:p w14:paraId="7720FEE3"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Risk Management Plan</w:t>
            </w:r>
          </w:p>
        </w:tc>
      </w:tr>
      <w:tr w:rsidR="000E44D2" w:rsidRPr="00B677B4" w14:paraId="7851AF95" w14:textId="77777777" w:rsidTr="00D45C15">
        <w:trPr>
          <w:cnfStyle w:val="000000010000" w:firstRow="0" w:lastRow="0" w:firstColumn="0" w:lastColumn="0" w:oddVBand="0" w:evenVBand="0" w:oddHBand="0" w:evenHBand="1" w:firstRowFirstColumn="0" w:firstRowLastColumn="0" w:lastRowFirstColumn="0" w:lastRowLastColumn="0"/>
        </w:trPr>
        <w:tc>
          <w:tcPr>
            <w:tcW w:w="985" w:type="dxa"/>
          </w:tcPr>
          <w:p w14:paraId="5C1255F0"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10.</w:t>
            </w:r>
          </w:p>
        </w:tc>
        <w:tc>
          <w:tcPr>
            <w:tcW w:w="7652" w:type="dxa"/>
          </w:tcPr>
          <w:p w14:paraId="4677ADC1"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Operations Manual</w:t>
            </w:r>
          </w:p>
        </w:tc>
      </w:tr>
      <w:tr w:rsidR="000E44D2" w:rsidRPr="00B677B4" w14:paraId="433D8374"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70C9EB99"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11.</w:t>
            </w:r>
          </w:p>
        </w:tc>
        <w:tc>
          <w:tcPr>
            <w:tcW w:w="7652" w:type="dxa"/>
          </w:tcPr>
          <w:p w14:paraId="0D60522F"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AMEP Survey Results</w:t>
            </w:r>
          </w:p>
        </w:tc>
      </w:tr>
      <w:tr w:rsidR="000E44D2" w:rsidRPr="00B677B4" w14:paraId="0100C092" w14:textId="77777777" w:rsidTr="00D45C15">
        <w:trPr>
          <w:cnfStyle w:val="000000010000" w:firstRow="0" w:lastRow="0" w:firstColumn="0" w:lastColumn="0" w:oddVBand="0" w:evenVBand="0" w:oddHBand="0" w:evenHBand="1" w:firstRowFirstColumn="0" w:firstRowLastColumn="0" w:lastRowFirstColumn="0" w:lastRowLastColumn="0"/>
        </w:trPr>
        <w:tc>
          <w:tcPr>
            <w:tcW w:w="985" w:type="dxa"/>
          </w:tcPr>
          <w:p w14:paraId="29E8E3B1"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10.</w:t>
            </w:r>
          </w:p>
        </w:tc>
        <w:tc>
          <w:tcPr>
            <w:tcW w:w="7652" w:type="dxa"/>
          </w:tcPr>
          <w:p w14:paraId="6673BC04"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DFAT AQCs/ IMRs</w:t>
            </w:r>
          </w:p>
        </w:tc>
      </w:tr>
      <w:tr w:rsidR="000E44D2" w:rsidRPr="00B677B4" w14:paraId="5785EF03" w14:textId="77777777" w:rsidTr="00D45C15">
        <w:trPr>
          <w:cnfStyle w:val="000000100000" w:firstRow="0" w:lastRow="0" w:firstColumn="0" w:lastColumn="0" w:oddVBand="0" w:evenVBand="0" w:oddHBand="1" w:evenHBand="0" w:firstRowFirstColumn="0" w:firstRowLastColumn="0" w:lastRowFirstColumn="0" w:lastRowLastColumn="0"/>
        </w:trPr>
        <w:tc>
          <w:tcPr>
            <w:tcW w:w="985" w:type="dxa"/>
          </w:tcPr>
          <w:p w14:paraId="14E84FB9"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11.</w:t>
            </w:r>
          </w:p>
        </w:tc>
        <w:tc>
          <w:tcPr>
            <w:tcW w:w="7652" w:type="dxa"/>
          </w:tcPr>
          <w:p w14:paraId="2F4725E8" w14:textId="77777777" w:rsidR="000E44D2" w:rsidRPr="00B677B4" w:rsidRDefault="000E44D2" w:rsidP="00D45C15">
            <w:pPr>
              <w:rPr>
                <w:rFonts w:ascii="Calibri" w:hAnsi="Calibri" w:cs="Calibri"/>
                <w:sz w:val="22"/>
                <w:szCs w:val="22"/>
                <w:lang w:val="en-GB"/>
              </w:rPr>
            </w:pPr>
            <w:r w:rsidRPr="00B677B4">
              <w:rPr>
                <w:rFonts w:ascii="Calibri" w:hAnsi="Calibri" w:cs="Calibri"/>
                <w:sz w:val="22"/>
                <w:szCs w:val="22"/>
                <w:lang w:val="en-GB"/>
              </w:rPr>
              <w:t>DFAT Partner performance assessment reports</w:t>
            </w:r>
          </w:p>
        </w:tc>
      </w:tr>
      <w:bookmarkEnd w:id="34"/>
    </w:tbl>
    <w:p w14:paraId="482F3159" w14:textId="1DB2DD51" w:rsidR="000E44D2" w:rsidRDefault="000E44D2" w:rsidP="000E44D2">
      <w:pPr>
        <w:rPr>
          <w:rStyle w:val="Heading"/>
        </w:rPr>
      </w:pPr>
    </w:p>
    <w:p w14:paraId="71E12153" w14:textId="64C85021" w:rsidR="0032527C" w:rsidRDefault="0032527C">
      <w:pPr>
        <w:rPr>
          <w:rStyle w:val="Heading"/>
        </w:rPr>
      </w:pPr>
      <w:r>
        <w:rPr>
          <w:rStyle w:val="Heading"/>
        </w:rPr>
        <w:br w:type="page"/>
      </w:r>
    </w:p>
    <w:p w14:paraId="317CA418" w14:textId="77777777" w:rsidR="0032527C" w:rsidRDefault="0032527C" w:rsidP="0032527C">
      <w:pPr>
        <w:pStyle w:val="Heading1"/>
        <w:rPr>
          <w:rStyle w:val="Heading"/>
          <w:rFonts w:asciiTheme="majorHAnsi" w:hAnsiTheme="majorHAnsi" w:cstheme="majorBidi"/>
          <w:color w:val="2F5496" w:themeColor="accent1" w:themeShade="BF"/>
          <w:sz w:val="32"/>
          <w:szCs w:val="32"/>
          <w:lang w:val="en-GB"/>
        </w:rPr>
        <w:sectPr w:rsidR="0032527C" w:rsidSect="002B57E3">
          <w:pgSz w:w="11900" w:h="16840" w:code="9"/>
          <w:pgMar w:top="1440" w:right="1440" w:bottom="1440" w:left="1440" w:header="720" w:footer="720" w:gutter="0"/>
          <w:cols w:space="720"/>
          <w:docGrid w:linePitch="360"/>
        </w:sectPr>
      </w:pPr>
    </w:p>
    <w:p w14:paraId="6350ED45" w14:textId="4A384B7D" w:rsidR="000A12F7" w:rsidRPr="00687E35" w:rsidRDefault="0032527C" w:rsidP="00687E35">
      <w:pPr>
        <w:pStyle w:val="Heading1"/>
        <w:rPr>
          <w:rStyle w:val="Heading"/>
          <w:rFonts w:asciiTheme="majorHAnsi" w:hAnsiTheme="majorHAnsi" w:cstheme="majorBidi"/>
          <w:color w:val="2F5496" w:themeColor="accent1" w:themeShade="BF"/>
          <w:sz w:val="32"/>
          <w:szCs w:val="32"/>
          <w:lang w:val="en-GB"/>
        </w:rPr>
      </w:pPr>
      <w:bookmarkStart w:id="35" w:name="_Toc124772669"/>
      <w:r w:rsidRPr="0032527C">
        <w:rPr>
          <w:rStyle w:val="Heading"/>
          <w:rFonts w:asciiTheme="majorHAnsi" w:hAnsiTheme="majorHAnsi" w:cstheme="majorBidi"/>
          <w:color w:val="2F5496" w:themeColor="accent1" w:themeShade="BF"/>
          <w:sz w:val="32"/>
          <w:szCs w:val="32"/>
          <w:lang w:val="en-GB"/>
        </w:rPr>
        <w:lastRenderedPageBreak/>
        <w:t>Annex 4: Key Achievements per Activity (2019 – 2022)</w:t>
      </w:r>
      <w:bookmarkEnd w:id="35"/>
    </w:p>
    <w:p w14:paraId="20721F76" w14:textId="728A99B9" w:rsidR="0032527C" w:rsidRPr="0032527C" w:rsidRDefault="0032527C">
      <w:pPr>
        <w:rPr>
          <w:rFonts w:asciiTheme="minorHAnsi" w:hAnsiTheme="minorHAnsi" w:cstheme="minorHAnsi"/>
          <w:sz w:val="22"/>
          <w:szCs w:val="22"/>
        </w:rPr>
      </w:pPr>
      <w:r>
        <w:rPr>
          <w:rFonts w:asciiTheme="minorHAnsi" w:hAnsiTheme="minorHAnsi" w:cstheme="minorHAnsi"/>
          <w:sz w:val="22"/>
          <w:szCs w:val="22"/>
        </w:rPr>
        <w:t>The information summarised in this table is drawn from AMEP II Annual Reports. Whilst the Annual Reports provide the detail, this table merely provides a quick snapshot of the different types of activities the program has conducted over the past three years.</w:t>
      </w:r>
    </w:p>
    <w:p w14:paraId="1D999186" w14:textId="34B7F654" w:rsidR="0032527C" w:rsidRDefault="00687E35">
      <w:pPr>
        <w:rPr>
          <w:rStyle w:val="Heading"/>
        </w:rPr>
      </w:pPr>
      <w:r>
        <w:rPr>
          <w:rStyle w:val="Heading"/>
        </w:rPr>
        <w:t>2019 - 2020</w:t>
      </w:r>
    </w:p>
    <w:tbl>
      <w:tblPr>
        <w:tblStyle w:val="TableGrid"/>
        <w:tblW w:w="5000" w:type="pct"/>
        <w:tblLook w:val="04A0" w:firstRow="1" w:lastRow="0" w:firstColumn="1" w:lastColumn="0" w:noHBand="0" w:noVBand="1"/>
      </w:tblPr>
      <w:tblGrid>
        <w:gridCol w:w="2382"/>
        <w:gridCol w:w="6628"/>
      </w:tblGrid>
      <w:tr w:rsidR="00687E35" w:rsidRPr="00C274C9" w14:paraId="1A0D6DF4" w14:textId="77777777" w:rsidTr="00687E35">
        <w:trPr>
          <w:trHeight w:val="185"/>
          <w:tblHeader/>
        </w:trPr>
        <w:tc>
          <w:tcPr>
            <w:tcW w:w="1322" w:type="pct"/>
            <w:shd w:val="clear" w:color="auto" w:fill="BDD6EE" w:themeFill="accent5" w:themeFillTint="66"/>
          </w:tcPr>
          <w:p w14:paraId="110E1969" w14:textId="77777777" w:rsidR="00687E35" w:rsidRPr="00C274C9" w:rsidRDefault="00687E35" w:rsidP="00BB556B">
            <w:pPr>
              <w:rPr>
                <w:rFonts w:ascii="Arial Narrow" w:hAnsi="Arial Narrow"/>
                <w:b/>
                <w:bCs/>
                <w:sz w:val="18"/>
                <w:szCs w:val="18"/>
              </w:rPr>
            </w:pPr>
            <w:r w:rsidRPr="00C274C9">
              <w:rPr>
                <w:rFonts w:ascii="Arial Narrow" w:hAnsi="Arial Narrow"/>
                <w:b/>
                <w:bCs/>
                <w:sz w:val="18"/>
                <w:szCs w:val="18"/>
              </w:rPr>
              <w:t>Activity</w:t>
            </w:r>
          </w:p>
        </w:tc>
        <w:tc>
          <w:tcPr>
            <w:tcW w:w="3678" w:type="pct"/>
            <w:shd w:val="clear" w:color="auto" w:fill="BDD6EE" w:themeFill="accent5" w:themeFillTint="66"/>
          </w:tcPr>
          <w:p w14:paraId="64F19B3F" w14:textId="77777777" w:rsidR="00687E35" w:rsidRPr="00C274C9" w:rsidRDefault="00687E35" w:rsidP="00BB556B">
            <w:pPr>
              <w:rPr>
                <w:rFonts w:ascii="Arial Narrow" w:hAnsi="Arial Narrow"/>
                <w:b/>
                <w:bCs/>
                <w:sz w:val="18"/>
                <w:szCs w:val="18"/>
              </w:rPr>
            </w:pPr>
            <w:r>
              <w:rPr>
                <w:rFonts w:ascii="Arial Narrow" w:hAnsi="Arial Narrow"/>
                <w:b/>
                <w:bCs/>
                <w:sz w:val="18"/>
                <w:szCs w:val="18"/>
              </w:rPr>
              <w:t>Key achievements</w:t>
            </w:r>
          </w:p>
        </w:tc>
      </w:tr>
      <w:tr w:rsidR="00687E35" w:rsidRPr="00C274C9" w14:paraId="39D61928" w14:textId="77777777" w:rsidTr="00687E35">
        <w:trPr>
          <w:trHeight w:val="886"/>
        </w:trPr>
        <w:tc>
          <w:tcPr>
            <w:tcW w:w="1322" w:type="pct"/>
          </w:tcPr>
          <w:p w14:paraId="103FDA6C" w14:textId="77777777" w:rsidR="00687E35" w:rsidRPr="00C274C9" w:rsidRDefault="00687E35" w:rsidP="00BB556B">
            <w:pPr>
              <w:rPr>
                <w:rFonts w:ascii="Arial Narrow" w:hAnsi="Arial Narrow"/>
                <w:b/>
                <w:bCs/>
                <w:sz w:val="18"/>
                <w:szCs w:val="18"/>
              </w:rPr>
            </w:pPr>
            <w:r w:rsidRPr="007678F5">
              <w:rPr>
                <w:rFonts w:ascii="Arial Narrow" w:hAnsi="Arial Narrow"/>
                <w:b/>
                <w:sz w:val="18"/>
                <w:szCs w:val="18"/>
              </w:rPr>
              <w:t>Completion of Data Entry for Mongolia’s Geological Catalogue System</w:t>
            </w:r>
          </w:p>
        </w:tc>
        <w:tc>
          <w:tcPr>
            <w:tcW w:w="3678" w:type="pct"/>
          </w:tcPr>
          <w:p w14:paraId="7CAB1E39" w14:textId="77777777" w:rsidR="00687E35" w:rsidRPr="00CF0D6A" w:rsidRDefault="00687E35" w:rsidP="00BB556B">
            <w:pPr>
              <w:rPr>
                <w:rFonts w:ascii="Arial Narrow" w:hAnsi="Arial Narrow"/>
                <w:sz w:val="18"/>
                <w:szCs w:val="18"/>
              </w:rPr>
            </w:pPr>
            <w:r w:rsidRPr="00CF0D6A">
              <w:rPr>
                <w:rFonts w:ascii="Arial Narrow" w:hAnsi="Arial Narrow"/>
                <w:sz w:val="18"/>
                <w:szCs w:val="18"/>
              </w:rPr>
              <w:t xml:space="preserve">Building on AMEP I’s success in supporting </w:t>
            </w:r>
            <w:r w:rsidRPr="00CF0D6A">
              <w:rPr>
                <w:rFonts w:ascii="Arial Narrow" w:hAnsi="Arial Narrow" w:cstheme="minorBidi"/>
                <w:sz w:val="18"/>
                <w:szCs w:val="18"/>
              </w:rPr>
              <w:t xml:space="preserve">MRPAM’s </w:t>
            </w:r>
            <w:r w:rsidRPr="00CF0D6A">
              <w:rPr>
                <w:rFonts w:ascii="Arial Narrow" w:hAnsi="Arial Narrow"/>
                <w:sz w:val="18"/>
                <w:szCs w:val="18"/>
              </w:rPr>
              <w:t xml:space="preserve">establishment of </w:t>
            </w:r>
            <w:r w:rsidRPr="00CF0D6A">
              <w:rPr>
                <w:rFonts w:ascii="Arial Narrow" w:hAnsi="Arial Narrow" w:cstheme="minorBidi"/>
                <w:sz w:val="18"/>
                <w:szCs w:val="18"/>
              </w:rPr>
              <w:t>Mongolia’s Geological Catalogue System (</w:t>
            </w:r>
            <w:proofErr w:type="spellStart"/>
            <w:r w:rsidRPr="00CF0D6A">
              <w:rPr>
                <w:rFonts w:ascii="Arial Narrow" w:hAnsi="Arial Narrow" w:cstheme="minorBidi"/>
                <w:sz w:val="18"/>
                <w:szCs w:val="18"/>
              </w:rPr>
              <w:t>MonGeoCat</w:t>
            </w:r>
            <w:proofErr w:type="spellEnd"/>
            <w:r w:rsidRPr="00CF0D6A">
              <w:rPr>
                <w:rFonts w:ascii="Arial Narrow" w:hAnsi="Arial Narrow"/>
                <w:sz w:val="18"/>
                <w:szCs w:val="18"/>
              </w:rPr>
              <w:t xml:space="preserve">). AMEP </w:t>
            </w:r>
            <w:r>
              <w:rPr>
                <w:rFonts w:ascii="Arial Narrow" w:hAnsi="Arial Narrow"/>
                <w:sz w:val="18"/>
                <w:szCs w:val="18"/>
              </w:rPr>
              <w:t>II</w:t>
            </w:r>
            <w:r w:rsidRPr="00CF0D6A">
              <w:rPr>
                <w:rFonts w:ascii="Arial Narrow" w:hAnsi="Arial Narrow"/>
                <w:sz w:val="18"/>
                <w:szCs w:val="18"/>
              </w:rPr>
              <w:t xml:space="preserve"> helped </w:t>
            </w:r>
            <w:r w:rsidRPr="00CF0D6A">
              <w:rPr>
                <w:rFonts w:ascii="Arial Narrow" w:hAnsi="Arial Narrow" w:cstheme="minorBidi"/>
                <w:sz w:val="18"/>
                <w:szCs w:val="18"/>
              </w:rPr>
              <w:t xml:space="preserve">complete data entry for </w:t>
            </w:r>
            <w:proofErr w:type="spellStart"/>
            <w:r w:rsidRPr="00CF0D6A">
              <w:rPr>
                <w:rFonts w:ascii="Arial Narrow" w:hAnsi="Arial Narrow" w:cstheme="minorBidi"/>
                <w:sz w:val="18"/>
                <w:szCs w:val="18"/>
              </w:rPr>
              <w:t>MonGeoCat</w:t>
            </w:r>
            <w:proofErr w:type="spellEnd"/>
            <w:r w:rsidRPr="00CF0D6A">
              <w:rPr>
                <w:rFonts w:ascii="Arial Narrow" w:hAnsi="Arial Narrow"/>
                <w:sz w:val="18"/>
                <w:szCs w:val="18"/>
              </w:rPr>
              <w:t xml:space="preserve">. </w:t>
            </w:r>
          </w:p>
          <w:p w14:paraId="4BB36B5D" w14:textId="77777777" w:rsidR="00687E35" w:rsidRPr="00C274C9" w:rsidRDefault="00687E35" w:rsidP="00BB556B">
            <w:pPr>
              <w:rPr>
                <w:rFonts w:ascii="Arial Narrow" w:hAnsi="Arial Narrow"/>
                <w:b/>
                <w:bCs/>
                <w:sz w:val="18"/>
                <w:szCs w:val="18"/>
              </w:rPr>
            </w:pPr>
            <w:r w:rsidRPr="00CF0D6A">
              <w:rPr>
                <w:rFonts w:ascii="Arial Narrow" w:hAnsi="Arial Narrow"/>
                <w:sz w:val="18"/>
                <w:szCs w:val="18"/>
              </w:rPr>
              <w:t xml:space="preserve">Activity supports MRPAM’s goal to </w:t>
            </w:r>
            <w:r w:rsidRPr="00CF0D6A">
              <w:rPr>
                <w:rFonts w:ascii="Arial Narrow" w:hAnsi="Arial Narrow" w:cstheme="minorBidi"/>
                <w:sz w:val="18"/>
                <w:szCs w:val="18"/>
              </w:rPr>
              <w:t>improve geo-information delivery to users</w:t>
            </w:r>
            <w:r w:rsidRPr="00CF0D6A">
              <w:rPr>
                <w:rFonts w:ascii="Arial Narrow" w:hAnsi="Arial Narrow"/>
                <w:sz w:val="18"/>
                <w:szCs w:val="18"/>
              </w:rPr>
              <w:t>/ enhance Greater geoscientific data access</w:t>
            </w:r>
            <w:r>
              <w:rPr>
                <w:rFonts w:ascii="Arial Narrow" w:hAnsi="Arial Narrow"/>
                <w:sz w:val="18"/>
                <w:szCs w:val="18"/>
              </w:rPr>
              <w:t xml:space="preserve"> </w:t>
            </w:r>
            <w:r w:rsidRPr="00CF0D6A">
              <w:rPr>
                <w:rFonts w:ascii="Arial Narrow" w:hAnsi="Arial Narrow"/>
                <w:sz w:val="18"/>
                <w:szCs w:val="18"/>
              </w:rPr>
              <w:t>for investors</w:t>
            </w:r>
            <w:r>
              <w:rPr>
                <w:rFonts w:ascii="Arial Narrow" w:hAnsi="Arial Narrow"/>
                <w:sz w:val="18"/>
                <w:szCs w:val="18"/>
              </w:rPr>
              <w:t>.</w:t>
            </w:r>
          </w:p>
        </w:tc>
      </w:tr>
      <w:tr w:rsidR="00687E35" w:rsidRPr="00C274C9" w14:paraId="7E0D76CB" w14:textId="77777777" w:rsidTr="00687E35">
        <w:trPr>
          <w:trHeight w:val="714"/>
        </w:trPr>
        <w:tc>
          <w:tcPr>
            <w:tcW w:w="1322" w:type="pct"/>
          </w:tcPr>
          <w:p w14:paraId="658FD637" w14:textId="77777777" w:rsidR="00687E35" w:rsidRPr="00B930A8" w:rsidRDefault="00687E35" w:rsidP="00BB556B">
            <w:pPr>
              <w:rPr>
                <w:rFonts w:ascii="Arial Narrow" w:hAnsi="Arial Narrow"/>
                <w:b/>
                <w:sz w:val="18"/>
                <w:szCs w:val="18"/>
              </w:rPr>
            </w:pPr>
            <w:r w:rsidRPr="00523DEE">
              <w:rPr>
                <w:rFonts w:ascii="Arial Narrow" w:hAnsi="Arial Narrow"/>
                <w:b/>
                <w:sz w:val="18"/>
                <w:szCs w:val="18"/>
              </w:rPr>
              <w:t>Development and Implementation of a Mongolian Mineral Property Valuation Code (‘MONVAL’)</w:t>
            </w:r>
          </w:p>
        </w:tc>
        <w:tc>
          <w:tcPr>
            <w:tcW w:w="3678" w:type="pct"/>
          </w:tcPr>
          <w:p w14:paraId="5A19EF25" w14:textId="77777777" w:rsidR="00687E35" w:rsidRPr="00085483" w:rsidRDefault="00687E35" w:rsidP="00BB556B">
            <w:pPr>
              <w:rPr>
                <w:rFonts w:ascii="Arial Narrow" w:hAnsi="Arial Narrow"/>
                <w:sz w:val="18"/>
                <w:szCs w:val="18"/>
              </w:rPr>
            </w:pPr>
            <w:r>
              <w:rPr>
                <w:rFonts w:ascii="Arial Narrow" w:hAnsi="Arial Narrow"/>
                <w:sz w:val="18"/>
                <w:szCs w:val="18"/>
              </w:rPr>
              <w:t>Activity included several interventions to raise</w:t>
            </w:r>
            <w:r w:rsidRPr="00523DEE">
              <w:rPr>
                <w:rFonts w:ascii="Arial Narrow" w:eastAsiaTheme="minorEastAsia" w:hAnsi="Arial Narrow" w:cstheme="minorBidi"/>
                <w:sz w:val="18"/>
                <w:szCs w:val="18"/>
                <w:lang w:eastAsia="en-US"/>
              </w:rPr>
              <w:t xml:space="preserve"> awareness of the importance and necessity of developing a National Valuation Code</w:t>
            </w:r>
            <w:r>
              <w:rPr>
                <w:rFonts w:ascii="Arial Narrow" w:hAnsi="Arial Narrow"/>
                <w:sz w:val="18"/>
                <w:szCs w:val="18"/>
              </w:rPr>
              <w:t>. Contributed to promoting the notion of a</w:t>
            </w:r>
            <w:r w:rsidRPr="007678F5">
              <w:rPr>
                <w:rFonts w:ascii="Arial Narrow" w:hAnsi="Arial Narrow"/>
                <w:sz w:val="18"/>
                <w:szCs w:val="18"/>
              </w:rPr>
              <w:t>ccurate and internationally accepted estimation of the value of a mineral property</w:t>
            </w:r>
            <w:r>
              <w:rPr>
                <w:rFonts w:ascii="Arial Narrow" w:hAnsi="Arial Narrow"/>
                <w:sz w:val="18"/>
                <w:szCs w:val="18"/>
              </w:rPr>
              <w:t xml:space="preserve"> to minimise the risks of disputes and help ensure a </w:t>
            </w:r>
            <w:r w:rsidRPr="007678F5">
              <w:rPr>
                <w:rFonts w:ascii="Arial Narrow" w:hAnsi="Arial Narrow"/>
                <w:sz w:val="18"/>
                <w:szCs w:val="18"/>
              </w:rPr>
              <w:t>stable operating environment</w:t>
            </w:r>
          </w:p>
        </w:tc>
      </w:tr>
      <w:tr w:rsidR="00687E35" w:rsidRPr="00C274C9" w14:paraId="2DF7DB2C" w14:textId="77777777" w:rsidTr="00687E35">
        <w:trPr>
          <w:trHeight w:val="966"/>
        </w:trPr>
        <w:tc>
          <w:tcPr>
            <w:tcW w:w="1322" w:type="pct"/>
          </w:tcPr>
          <w:p w14:paraId="65933DF5" w14:textId="77777777" w:rsidR="00687E35" w:rsidRPr="00C274C9" w:rsidRDefault="00687E35" w:rsidP="00BB556B">
            <w:pPr>
              <w:rPr>
                <w:rFonts w:ascii="Arial Narrow" w:hAnsi="Arial Narrow"/>
                <w:b/>
                <w:bCs/>
                <w:sz w:val="18"/>
                <w:szCs w:val="18"/>
              </w:rPr>
            </w:pPr>
            <w:r w:rsidRPr="00B930A8">
              <w:rPr>
                <w:rFonts w:ascii="Arial Narrow" w:hAnsi="Arial Narrow"/>
                <w:b/>
                <w:sz w:val="18"/>
                <w:szCs w:val="18"/>
              </w:rPr>
              <w:t>Strengthening of Institutional Capacity, Rules and Procedures related to the Licensing of Competent Persons for Feasibility Studies</w:t>
            </w:r>
            <w:r w:rsidRPr="00523DEE" w:rsidDel="00B24ACD">
              <w:rPr>
                <w:rFonts w:ascii="Arial Narrow" w:hAnsi="Arial Narrow"/>
                <w:sz w:val="18"/>
                <w:szCs w:val="18"/>
              </w:rPr>
              <w:t xml:space="preserve"> </w:t>
            </w:r>
          </w:p>
        </w:tc>
        <w:tc>
          <w:tcPr>
            <w:tcW w:w="3678" w:type="pct"/>
          </w:tcPr>
          <w:p w14:paraId="5CBCD5B7" w14:textId="77777777" w:rsidR="00687E35" w:rsidRPr="00C274C9" w:rsidRDefault="00687E35" w:rsidP="00BB556B">
            <w:pPr>
              <w:rPr>
                <w:rFonts w:ascii="Arial Narrow" w:hAnsi="Arial Narrow"/>
                <w:b/>
                <w:bCs/>
                <w:sz w:val="18"/>
                <w:szCs w:val="18"/>
              </w:rPr>
            </w:pPr>
            <w:r w:rsidRPr="00085483">
              <w:rPr>
                <w:rFonts w:ascii="Arial Narrow" w:hAnsi="Arial Narrow"/>
                <w:sz w:val="18"/>
                <w:szCs w:val="18"/>
              </w:rPr>
              <w:t xml:space="preserve">Activity supports </w:t>
            </w:r>
            <w:proofErr w:type="spellStart"/>
            <w:r w:rsidRPr="00085483">
              <w:rPr>
                <w:rFonts w:ascii="Arial Narrow" w:hAnsi="Arial Narrow"/>
                <w:sz w:val="18"/>
                <w:szCs w:val="18"/>
              </w:rPr>
              <w:t>GoM’s</w:t>
            </w:r>
            <w:proofErr w:type="spellEnd"/>
            <w:r w:rsidRPr="00085483">
              <w:rPr>
                <w:rFonts w:ascii="Arial Narrow" w:hAnsi="Arial Narrow"/>
                <w:sz w:val="18"/>
                <w:szCs w:val="18"/>
              </w:rPr>
              <w:t xml:space="preserve"> commitment to </w:t>
            </w:r>
            <w:r w:rsidRPr="00085483">
              <w:rPr>
                <w:rFonts w:ascii="Arial Narrow" w:hAnsi="Arial Narrow" w:cstheme="minorBidi"/>
                <w:sz w:val="18"/>
                <w:szCs w:val="18"/>
              </w:rPr>
              <w:t>strengthen the licensing process for competent persons, to update the regulation accordingly and to strengthen the capacity of the MPIGM to implement its mandate related to competent persons</w:t>
            </w:r>
            <w:r w:rsidRPr="00085483">
              <w:rPr>
                <w:rFonts w:ascii="Arial Narrow" w:hAnsi="Arial Narrow"/>
                <w:sz w:val="18"/>
                <w:szCs w:val="18"/>
              </w:rPr>
              <w:t>. Activity contributes to strengthening the rules and procedures relating to the licensing of competent persons for feasibility studies in Mongolia, resulting in increased quality of competent persons.</w:t>
            </w:r>
          </w:p>
        </w:tc>
      </w:tr>
      <w:tr w:rsidR="00687E35" w:rsidRPr="00C274C9" w14:paraId="10AAD944" w14:textId="77777777" w:rsidTr="00687E35">
        <w:trPr>
          <w:trHeight w:val="759"/>
        </w:trPr>
        <w:tc>
          <w:tcPr>
            <w:tcW w:w="1322" w:type="pct"/>
          </w:tcPr>
          <w:p w14:paraId="189FE7CD" w14:textId="1C0E17DB" w:rsidR="00687E35" w:rsidRPr="00F431DE" w:rsidRDefault="00687E35" w:rsidP="00BB556B">
            <w:pPr>
              <w:rPr>
                <w:rFonts w:ascii="Arial Narrow" w:hAnsi="Arial Narrow"/>
                <w:b/>
                <w:bCs/>
                <w:sz w:val="18"/>
                <w:szCs w:val="18"/>
              </w:rPr>
            </w:pPr>
            <w:r w:rsidRPr="00F431DE">
              <w:rPr>
                <w:rFonts w:ascii="Arial Narrow" w:hAnsi="Arial Narrow"/>
                <w:b/>
                <w:bCs/>
                <w:sz w:val="18"/>
                <w:szCs w:val="18"/>
              </w:rPr>
              <w:t xml:space="preserve">Development of </w:t>
            </w:r>
            <w:r>
              <w:rPr>
                <w:rFonts w:ascii="Arial Narrow" w:hAnsi="Arial Narrow"/>
                <w:b/>
                <w:bCs/>
                <w:sz w:val="18"/>
                <w:szCs w:val="18"/>
              </w:rPr>
              <w:t xml:space="preserve">Guidance for the National </w:t>
            </w:r>
            <w:r w:rsidRPr="00F431DE">
              <w:rPr>
                <w:rFonts w:ascii="Arial Narrow" w:hAnsi="Arial Narrow"/>
                <w:b/>
                <w:bCs/>
                <w:sz w:val="18"/>
                <w:szCs w:val="18"/>
              </w:rPr>
              <w:t>Accounting Standard</w:t>
            </w:r>
            <w:r>
              <w:rPr>
                <w:rFonts w:ascii="Arial Narrow" w:hAnsi="Arial Narrow"/>
                <w:b/>
                <w:bCs/>
                <w:sz w:val="18"/>
                <w:szCs w:val="18"/>
              </w:rPr>
              <w:t xml:space="preserve"> for Exploration and Mining Operations</w:t>
            </w:r>
            <w:r w:rsidRPr="00F431DE">
              <w:rPr>
                <w:rFonts w:ascii="Arial Narrow" w:hAnsi="Arial Narrow"/>
                <w:b/>
                <w:bCs/>
                <w:sz w:val="18"/>
                <w:szCs w:val="18"/>
              </w:rPr>
              <w:t xml:space="preserve"> </w:t>
            </w:r>
          </w:p>
        </w:tc>
        <w:tc>
          <w:tcPr>
            <w:tcW w:w="3678" w:type="pct"/>
          </w:tcPr>
          <w:p w14:paraId="498C5B85" w14:textId="77777777" w:rsidR="00687E35" w:rsidRPr="00F431DE" w:rsidRDefault="00687E35" w:rsidP="00BB556B">
            <w:pPr>
              <w:rPr>
                <w:rFonts w:ascii="Arial Narrow" w:hAnsi="Arial Narrow"/>
                <w:sz w:val="18"/>
                <w:szCs w:val="18"/>
              </w:rPr>
            </w:pPr>
            <w:r w:rsidRPr="00AF593D">
              <w:rPr>
                <w:rFonts w:ascii="Arial Narrow" w:hAnsi="Arial Narrow"/>
                <w:sz w:val="18"/>
                <w:szCs w:val="18"/>
              </w:rPr>
              <w:t xml:space="preserve">MoF requested AMEP </w:t>
            </w:r>
            <w:r>
              <w:rPr>
                <w:rFonts w:ascii="Arial Narrow" w:hAnsi="Arial Narrow"/>
                <w:sz w:val="18"/>
                <w:szCs w:val="18"/>
              </w:rPr>
              <w:t xml:space="preserve">II </w:t>
            </w:r>
            <w:r w:rsidRPr="00AF593D">
              <w:rPr>
                <w:rFonts w:ascii="Arial Narrow" w:hAnsi="Arial Narrow"/>
                <w:sz w:val="18"/>
                <w:szCs w:val="18"/>
              </w:rPr>
              <w:t>support to produce specific guidance for exploration, evaluation, development and production of mineral resources</w:t>
            </w:r>
            <w:r>
              <w:rPr>
                <w:rFonts w:ascii="Arial Narrow" w:hAnsi="Arial Narrow"/>
                <w:sz w:val="18"/>
                <w:szCs w:val="18"/>
              </w:rPr>
              <w:t>. Activity contributes to improved</w:t>
            </w:r>
            <w:r w:rsidRPr="00AF593D">
              <w:rPr>
                <w:rFonts w:ascii="Arial Narrow" w:hAnsi="Arial Narrow"/>
                <w:sz w:val="18"/>
                <w:szCs w:val="18"/>
              </w:rPr>
              <w:t xml:space="preserve"> application of the IFRS standards in the mining industry in Mongolia,</w:t>
            </w:r>
            <w:r>
              <w:rPr>
                <w:rFonts w:ascii="Arial Narrow" w:hAnsi="Arial Narrow"/>
                <w:sz w:val="18"/>
                <w:szCs w:val="18"/>
              </w:rPr>
              <w:t xml:space="preserve"> which help increase</w:t>
            </w:r>
            <w:r w:rsidRPr="00AF593D">
              <w:rPr>
                <w:rFonts w:ascii="Arial Narrow" w:hAnsi="Arial Narrow"/>
                <w:sz w:val="18"/>
                <w:szCs w:val="18"/>
              </w:rPr>
              <w:t xml:space="preserve"> transparenc</w:t>
            </w:r>
            <w:r>
              <w:rPr>
                <w:rFonts w:ascii="Arial Narrow" w:hAnsi="Arial Narrow"/>
                <w:sz w:val="18"/>
                <w:szCs w:val="18"/>
              </w:rPr>
              <w:t xml:space="preserve">y of </w:t>
            </w:r>
            <w:r w:rsidRPr="00AF593D">
              <w:rPr>
                <w:rFonts w:ascii="Arial Narrow" w:hAnsi="Arial Narrow"/>
                <w:sz w:val="18"/>
                <w:szCs w:val="18"/>
              </w:rPr>
              <w:t>financial reporting</w:t>
            </w:r>
            <w:r>
              <w:rPr>
                <w:rFonts w:ascii="Arial Narrow" w:hAnsi="Arial Narrow"/>
                <w:sz w:val="18"/>
                <w:szCs w:val="18"/>
              </w:rPr>
              <w:t>.</w:t>
            </w:r>
          </w:p>
        </w:tc>
      </w:tr>
      <w:tr w:rsidR="00687E35" w:rsidRPr="00C274C9" w14:paraId="7AEADFBF" w14:textId="77777777" w:rsidTr="00687E35">
        <w:trPr>
          <w:trHeight w:val="1184"/>
        </w:trPr>
        <w:tc>
          <w:tcPr>
            <w:tcW w:w="1322" w:type="pct"/>
          </w:tcPr>
          <w:p w14:paraId="0B93FA41" w14:textId="77777777" w:rsidR="00687E35" w:rsidRPr="00C274C9" w:rsidRDefault="00687E35" w:rsidP="00BB556B">
            <w:pPr>
              <w:rPr>
                <w:rFonts w:ascii="Arial Narrow" w:hAnsi="Arial Narrow"/>
                <w:b/>
                <w:bCs/>
                <w:sz w:val="18"/>
                <w:szCs w:val="18"/>
              </w:rPr>
            </w:pPr>
            <w:r w:rsidRPr="00523DEE">
              <w:rPr>
                <w:rFonts w:ascii="Arial Narrow" w:hAnsi="Arial Narrow"/>
                <w:b/>
                <w:sz w:val="18"/>
                <w:szCs w:val="18"/>
              </w:rPr>
              <w:t>Support to the Implementation of New Transfer Pricing Rules</w:t>
            </w:r>
          </w:p>
        </w:tc>
        <w:tc>
          <w:tcPr>
            <w:tcW w:w="3678" w:type="pct"/>
          </w:tcPr>
          <w:p w14:paraId="46F44FD4" w14:textId="77777777" w:rsidR="00687E35" w:rsidRPr="00C274C9" w:rsidRDefault="00687E35" w:rsidP="00BB556B">
            <w:pPr>
              <w:rPr>
                <w:rFonts w:ascii="Arial Narrow" w:hAnsi="Arial Narrow"/>
                <w:b/>
                <w:bCs/>
                <w:sz w:val="18"/>
                <w:szCs w:val="18"/>
              </w:rPr>
            </w:pPr>
            <w:r w:rsidRPr="00523DEE">
              <w:rPr>
                <w:rFonts w:ascii="Arial Narrow" w:hAnsi="Arial Narrow"/>
                <w:sz w:val="18"/>
                <w:szCs w:val="18"/>
              </w:rPr>
              <w:t xml:space="preserve">Mongolia’s Ministry of Finance (MoF) and the General Department of Taxation (GDT) has recently developed regulations aligning TP rules in Mongolia with the OECD TP requirements. The new regulations, passed in early 2019, introduce the tools for analysing TP, determine TP </w:t>
            </w:r>
            <w:proofErr w:type="gramStart"/>
            <w:r w:rsidRPr="00523DEE">
              <w:rPr>
                <w:rFonts w:ascii="Arial Narrow" w:hAnsi="Arial Narrow"/>
                <w:sz w:val="18"/>
                <w:szCs w:val="18"/>
              </w:rPr>
              <w:t xml:space="preserve">documentation, </w:t>
            </w:r>
            <w:r>
              <w:rPr>
                <w:rFonts w:ascii="Arial Narrow" w:hAnsi="Arial Narrow"/>
                <w:sz w:val="18"/>
                <w:szCs w:val="18"/>
              </w:rPr>
              <w:t xml:space="preserve"> and</w:t>
            </w:r>
            <w:proofErr w:type="gramEnd"/>
            <w:r>
              <w:rPr>
                <w:rFonts w:ascii="Arial Narrow" w:hAnsi="Arial Narrow"/>
                <w:sz w:val="18"/>
                <w:szCs w:val="18"/>
              </w:rPr>
              <w:t xml:space="preserve"> </w:t>
            </w:r>
            <w:r w:rsidRPr="00523DEE">
              <w:rPr>
                <w:rFonts w:ascii="Arial Narrow" w:hAnsi="Arial Narrow"/>
                <w:sz w:val="18"/>
                <w:szCs w:val="18"/>
              </w:rPr>
              <w:t>stipulate the reporting requirements</w:t>
            </w:r>
            <w:r>
              <w:rPr>
                <w:rFonts w:ascii="Arial Narrow" w:hAnsi="Arial Narrow"/>
                <w:sz w:val="18"/>
                <w:szCs w:val="18"/>
              </w:rPr>
              <w:t xml:space="preserve">. </w:t>
            </w:r>
            <w:r w:rsidRPr="00523DEE">
              <w:rPr>
                <w:rFonts w:ascii="Arial Narrow" w:hAnsi="Arial Narrow"/>
                <w:sz w:val="18"/>
                <w:szCs w:val="18"/>
              </w:rPr>
              <w:t>AMEP</w:t>
            </w:r>
            <w:r>
              <w:rPr>
                <w:rFonts w:ascii="Arial Narrow" w:hAnsi="Arial Narrow"/>
                <w:sz w:val="18"/>
                <w:szCs w:val="18"/>
              </w:rPr>
              <w:t xml:space="preserve"> II</w:t>
            </w:r>
            <w:r w:rsidRPr="00523DEE">
              <w:rPr>
                <w:rFonts w:ascii="Arial Narrow" w:hAnsi="Arial Narrow"/>
                <w:sz w:val="18"/>
                <w:szCs w:val="18"/>
              </w:rPr>
              <w:t xml:space="preserve"> </w:t>
            </w:r>
            <w:r>
              <w:rPr>
                <w:rFonts w:ascii="Arial Narrow" w:hAnsi="Arial Narrow"/>
                <w:sz w:val="18"/>
                <w:szCs w:val="18"/>
              </w:rPr>
              <w:t>mobilised</w:t>
            </w:r>
            <w:r w:rsidRPr="00523DEE">
              <w:rPr>
                <w:rFonts w:ascii="Arial Narrow" w:hAnsi="Arial Narrow"/>
                <w:sz w:val="18"/>
                <w:szCs w:val="18"/>
              </w:rPr>
              <w:t xml:space="preserve"> a TP expert to </w:t>
            </w:r>
            <w:r>
              <w:rPr>
                <w:rFonts w:ascii="Arial Narrow" w:hAnsi="Arial Narrow"/>
                <w:sz w:val="18"/>
                <w:szCs w:val="18"/>
              </w:rPr>
              <w:t>increase</w:t>
            </w:r>
            <w:r w:rsidRPr="007678F5">
              <w:rPr>
                <w:rFonts w:ascii="Arial Narrow" w:hAnsi="Arial Narrow"/>
                <w:sz w:val="18"/>
                <w:szCs w:val="18"/>
              </w:rPr>
              <w:t xml:space="preserve"> capacity of the GDT to implement TP rules and undertake risk assessments and audits</w:t>
            </w:r>
            <w:r>
              <w:rPr>
                <w:rFonts w:ascii="Arial Narrow" w:hAnsi="Arial Narrow"/>
                <w:sz w:val="18"/>
                <w:szCs w:val="18"/>
              </w:rPr>
              <w:t>. This activity contributes to a reduction in transfer mispricing and enhances accurate reporting.</w:t>
            </w:r>
          </w:p>
        </w:tc>
      </w:tr>
      <w:tr w:rsidR="00687E35" w:rsidRPr="00C274C9" w14:paraId="4C8CD938" w14:textId="77777777" w:rsidTr="00687E35">
        <w:trPr>
          <w:trHeight w:val="574"/>
        </w:trPr>
        <w:tc>
          <w:tcPr>
            <w:tcW w:w="1322" w:type="pct"/>
          </w:tcPr>
          <w:p w14:paraId="1F969C4C" w14:textId="77777777" w:rsidR="00687E35" w:rsidRPr="00D05643" w:rsidRDefault="00687E35" w:rsidP="00BB556B">
            <w:pPr>
              <w:rPr>
                <w:rFonts w:ascii="Arial Narrow" w:hAnsi="Arial Narrow"/>
                <w:sz w:val="18"/>
                <w:szCs w:val="18"/>
              </w:rPr>
            </w:pPr>
            <w:r w:rsidRPr="00AF593D">
              <w:rPr>
                <w:rFonts w:ascii="Arial Narrow" w:hAnsi="Arial Narrow"/>
                <w:b/>
                <w:sz w:val="18"/>
                <w:szCs w:val="18"/>
              </w:rPr>
              <w:t xml:space="preserve">Coalbed Methane (CBM) - Australia Regulatory Good Practice </w:t>
            </w:r>
          </w:p>
        </w:tc>
        <w:tc>
          <w:tcPr>
            <w:tcW w:w="3678" w:type="pct"/>
          </w:tcPr>
          <w:p w14:paraId="6FF6D777" w14:textId="77777777" w:rsidR="00687E35" w:rsidRPr="00C274C9" w:rsidRDefault="00687E35" w:rsidP="00BB556B">
            <w:pPr>
              <w:rPr>
                <w:rFonts w:ascii="Arial Narrow" w:hAnsi="Arial Narrow"/>
                <w:b/>
                <w:bCs/>
                <w:sz w:val="18"/>
                <w:szCs w:val="18"/>
              </w:rPr>
            </w:pPr>
            <w:r>
              <w:rPr>
                <w:rFonts w:ascii="Arial Narrow" w:hAnsi="Arial Narrow"/>
                <w:b/>
                <w:bCs/>
                <w:sz w:val="18"/>
                <w:szCs w:val="18"/>
              </w:rPr>
              <w:t xml:space="preserve">AMEP II provided </w:t>
            </w:r>
            <w:r w:rsidRPr="00AF593D">
              <w:rPr>
                <w:rFonts w:ascii="Arial Narrow" w:hAnsi="Arial Narrow"/>
                <w:sz w:val="18"/>
                <w:szCs w:val="18"/>
                <w:lang w:val="en-GB"/>
              </w:rPr>
              <w:t>an assessment of best practice, focused on regulatory and institutional provisions and prepare a set of recommendations for Mongolia</w:t>
            </w:r>
            <w:r>
              <w:rPr>
                <w:rFonts w:ascii="Arial Narrow" w:hAnsi="Arial Narrow"/>
                <w:sz w:val="18"/>
                <w:szCs w:val="18"/>
              </w:rPr>
              <w:t xml:space="preserve">, based on lessons learnt from the Australian experience. This activity contributed to helping to improve the </w:t>
            </w:r>
            <w:r w:rsidRPr="00AF593D">
              <w:rPr>
                <w:rFonts w:ascii="Arial Narrow" w:hAnsi="Arial Narrow"/>
                <w:sz w:val="18"/>
                <w:szCs w:val="18"/>
              </w:rPr>
              <w:t>regulatory environment for CBM investment</w:t>
            </w:r>
            <w:r>
              <w:rPr>
                <w:rFonts w:ascii="Arial Narrow" w:hAnsi="Arial Narrow"/>
                <w:sz w:val="18"/>
                <w:szCs w:val="18"/>
              </w:rPr>
              <w:t xml:space="preserve"> in Mongolia</w:t>
            </w:r>
          </w:p>
        </w:tc>
      </w:tr>
    </w:tbl>
    <w:p w14:paraId="797671F2" w14:textId="3725249D" w:rsidR="00687E35" w:rsidRDefault="00687E35">
      <w:pPr>
        <w:rPr>
          <w:rStyle w:val="Heading"/>
        </w:rPr>
      </w:pPr>
    </w:p>
    <w:p w14:paraId="684C64B3" w14:textId="31704A04" w:rsidR="00687E35" w:rsidRDefault="00687E35">
      <w:pPr>
        <w:rPr>
          <w:rStyle w:val="Heading"/>
        </w:rPr>
      </w:pPr>
      <w:r>
        <w:rPr>
          <w:rStyle w:val="Heading"/>
        </w:rPr>
        <w:t>2020 - 2021</w:t>
      </w:r>
    </w:p>
    <w:tbl>
      <w:tblPr>
        <w:tblStyle w:val="TableGrid"/>
        <w:tblW w:w="5000" w:type="pct"/>
        <w:tblLook w:val="04A0" w:firstRow="1" w:lastRow="0" w:firstColumn="1" w:lastColumn="0" w:noHBand="0" w:noVBand="1"/>
      </w:tblPr>
      <w:tblGrid>
        <w:gridCol w:w="2382"/>
        <w:gridCol w:w="6628"/>
      </w:tblGrid>
      <w:tr w:rsidR="00687E35" w:rsidRPr="00C274C9" w14:paraId="440AFEE6" w14:textId="77777777" w:rsidTr="00687E35">
        <w:trPr>
          <w:trHeight w:val="188"/>
          <w:tblHeader/>
        </w:trPr>
        <w:tc>
          <w:tcPr>
            <w:tcW w:w="1322" w:type="pct"/>
            <w:shd w:val="clear" w:color="auto" w:fill="BDD6EE" w:themeFill="accent5" w:themeFillTint="66"/>
          </w:tcPr>
          <w:p w14:paraId="51CC7174" w14:textId="77777777" w:rsidR="00687E35" w:rsidRPr="00C274C9" w:rsidRDefault="00687E35" w:rsidP="0051779E">
            <w:pPr>
              <w:rPr>
                <w:rFonts w:ascii="Arial Narrow" w:hAnsi="Arial Narrow"/>
                <w:b/>
                <w:bCs/>
                <w:sz w:val="18"/>
                <w:szCs w:val="18"/>
              </w:rPr>
            </w:pPr>
            <w:r w:rsidRPr="00C274C9">
              <w:rPr>
                <w:rFonts w:ascii="Arial Narrow" w:hAnsi="Arial Narrow"/>
                <w:b/>
                <w:bCs/>
                <w:sz w:val="18"/>
                <w:szCs w:val="18"/>
              </w:rPr>
              <w:t>Activity</w:t>
            </w:r>
          </w:p>
        </w:tc>
        <w:tc>
          <w:tcPr>
            <w:tcW w:w="3678" w:type="pct"/>
            <w:shd w:val="clear" w:color="auto" w:fill="BDD6EE" w:themeFill="accent5" w:themeFillTint="66"/>
          </w:tcPr>
          <w:p w14:paraId="2B294E4D" w14:textId="77777777" w:rsidR="00687E35" w:rsidRPr="00C274C9" w:rsidRDefault="00687E35" w:rsidP="0051779E">
            <w:pPr>
              <w:rPr>
                <w:rFonts w:ascii="Arial Narrow" w:hAnsi="Arial Narrow"/>
                <w:b/>
                <w:bCs/>
                <w:sz w:val="18"/>
                <w:szCs w:val="18"/>
              </w:rPr>
            </w:pPr>
            <w:r>
              <w:rPr>
                <w:rFonts w:ascii="Arial Narrow" w:hAnsi="Arial Narrow"/>
                <w:b/>
                <w:bCs/>
                <w:sz w:val="18"/>
                <w:szCs w:val="18"/>
              </w:rPr>
              <w:t>Key achievements</w:t>
            </w:r>
          </w:p>
        </w:tc>
      </w:tr>
      <w:tr w:rsidR="00687E35" w:rsidRPr="00C274C9" w14:paraId="28472FC0" w14:textId="77777777" w:rsidTr="00687E35">
        <w:trPr>
          <w:trHeight w:val="921"/>
        </w:trPr>
        <w:tc>
          <w:tcPr>
            <w:tcW w:w="1322" w:type="pct"/>
          </w:tcPr>
          <w:p w14:paraId="2B5612A1" w14:textId="3D7F75EF" w:rsidR="00687E35" w:rsidRPr="00C274C9" w:rsidRDefault="00687E35" w:rsidP="0051779E">
            <w:pPr>
              <w:rPr>
                <w:rFonts w:ascii="Arial Narrow" w:hAnsi="Arial Narrow"/>
                <w:b/>
                <w:bCs/>
                <w:sz w:val="18"/>
                <w:szCs w:val="18"/>
              </w:rPr>
            </w:pPr>
            <w:bookmarkStart w:id="36" w:name="_Toc52976545"/>
            <w:r w:rsidRPr="004007D9">
              <w:rPr>
                <w:rFonts w:ascii="Arial Narrow" w:hAnsi="Arial Narrow"/>
                <w:b/>
                <w:sz w:val="18"/>
                <w:szCs w:val="18"/>
              </w:rPr>
              <w:t>Research to support reforms to the system for granting exploration licences</w:t>
            </w:r>
            <w:bookmarkEnd w:id="36"/>
          </w:p>
        </w:tc>
        <w:tc>
          <w:tcPr>
            <w:tcW w:w="3678" w:type="pct"/>
          </w:tcPr>
          <w:p w14:paraId="20157DD0" w14:textId="77777777" w:rsidR="00687E35" w:rsidRPr="00F431DE" w:rsidRDefault="00687E35" w:rsidP="0051779E">
            <w:pPr>
              <w:rPr>
                <w:rFonts w:ascii="Arial Narrow" w:hAnsi="Arial Narrow"/>
                <w:sz w:val="18"/>
                <w:szCs w:val="18"/>
              </w:rPr>
            </w:pPr>
            <w:r w:rsidRPr="00F431DE">
              <w:rPr>
                <w:rFonts w:ascii="Arial Narrow" w:hAnsi="Arial Narrow"/>
                <w:sz w:val="18"/>
                <w:szCs w:val="18"/>
              </w:rPr>
              <w:t xml:space="preserve">Activity produced a report on licencing systems in the most relevant Australian jurisdictions highlighting the key principles that underpin those processes. Also includes an assessment of the Mongolian system and the legislative and institutional gaps that need to be addressed. Activity contributes to </w:t>
            </w:r>
            <w:proofErr w:type="spellStart"/>
            <w:r w:rsidRPr="00F431DE">
              <w:rPr>
                <w:rFonts w:ascii="Arial Narrow" w:hAnsi="Arial Narrow"/>
                <w:sz w:val="18"/>
                <w:szCs w:val="18"/>
              </w:rPr>
              <w:t>GoM’s</w:t>
            </w:r>
            <w:proofErr w:type="spellEnd"/>
            <w:r w:rsidRPr="00F431DE">
              <w:rPr>
                <w:rFonts w:ascii="Arial Narrow" w:hAnsi="Arial Narrow"/>
                <w:sz w:val="18"/>
                <w:szCs w:val="18"/>
              </w:rPr>
              <w:t xml:space="preserve"> commitment to improve its licensing practice.</w:t>
            </w:r>
          </w:p>
        </w:tc>
      </w:tr>
      <w:tr w:rsidR="00687E35" w:rsidRPr="00C274C9" w14:paraId="39A84AA8" w14:textId="77777777" w:rsidTr="00687E35">
        <w:trPr>
          <w:trHeight w:val="976"/>
        </w:trPr>
        <w:tc>
          <w:tcPr>
            <w:tcW w:w="1322" w:type="pct"/>
          </w:tcPr>
          <w:p w14:paraId="4DFFB1EA" w14:textId="0A897D5A" w:rsidR="00687E35" w:rsidRPr="00C274C9" w:rsidRDefault="00687E35" w:rsidP="0051779E">
            <w:pPr>
              <w:rPr>
                <w:rFonts w:ascii="Arial Narrow" w:hAnsi="Arial Narrow"/>
                <w:b/>
                <w:bCs/>
                <w:sz w:val="18"/>
                <w:szCs w:val="18"/>
              </w:rPr>
            </w:pPr>
            <w:bookmarkStart w:id="37" w:name="_Toc52976542"/>
            <w:r w:rsidRPr="003A37C1">
              <w:rPr>
                <w:rFonts w:ascii="Arial Narrow" w:hAnsi="Arial Narrow"/>
                <w:b/>
                <w:sz w:val="18"/>
                <w:szCs w:val="18"/>
              </w:rPr>
              <w:t>Establishment of certification for environmental auditors and quality assurance procedure for auditing companies</w:t>
            </w:r>
            <w:bookmarkEnd w:id="37"/>
          </w:p>
        </w:tc>
        <w:tc>
          <w:tcPr>
            <w:tcW w:w="3678" w:type="pct"/>
          </w:tcPr>
          <w:p w14:paraId="65593DB0" w14:textId="77777777" w:rsidR="00687E35" w:rsidRPr="00C274C9" w:rsidRDefault="00687E35" w:rsidP="0051779E">
            <w:pPr>
              <w:rPr>
                <w:rFonts w:ascii="Arial Narrow" w:hAnsi="Arial Narrow"/>
                <w:b/>
                <w:bCs/>
                <w:sz w:val="18"/>
                <w:szCs w:val="18"/>
              </w:rPr>
            </w:pPr>
            <w:r>
              <w:rPr>
                <w:rFonts w:ascii="Arial Narrow" w:hAnsi="Arial Narrow"/>
                <w:sz w:val="18"/>
                <w:szCs w:val="18"/>
              </w:rPr>
              <w:t>AMEP II</w:t>
            </w:r>
            <w:r w:rsidRPr="003A37C1">
              <w:rPr>
                <w:rFonts w:ascii="Arial Narrow" w:hAnsi="Arial Narrow"/>
                <w:sz w:val="18"/>
                <w:szCs w:val="18"/>
              </w:rPr>
              <w:t xml:space="preserve"> </w:t>
            </w:r>
            <w:r>
              <w:rPr>
                <w:rFonts w:ascii="Arial Narrow" w:hAnsi="Arial Narrow"/>
                <w:sz w:val="18"/>
                <w:szCs w:val="18"/>
              </w:rPr>
              <w:t>assisted</w:t>
            </w:r>
            <w:r w:rsidRPr="003A37C1">
              <w:rPr>
                <w:rFonts w:ascii="Arial Narrow" w:hAnsi="Arial Narrow"/>
                <w:sz w:val="18"/>
                <w:szCs w:val="18"/>
              </w:rPr>
              <w:t xml:space="preserve"> with the development of a process for certifying environmental auditors and also verifying the quality of environmental auditing companies</w:t>
            </w:r>
            <w:r>
              <w:rPr>
                <w:rFonts w:ascii="Arial Narrow" w:hAnsi="Arial Narrow"/>
                <w:sz w:val="18"/>
                <w:szCs w:val="18"/>
              </w:rPr>
              <w:t xml:space="preserve">. Activity is contributing to an improvement in </w:t>
            </w:r>
            <w:r w:rsidRPr="003A37C1">
              <w:rPr>
                <w:rFonts w:ascii="Arial Narrow" w:hAnsi="Arial Narrow"/>
                <w:sz w:val="18"/>
                <w:szCs w:val="18"/>
              </w:rPr>
              <w:t>environmental audits</w:t>
            </w:r>
            <w:r>
              <w:rPr>
                <w:rFonts w:ascii="Arial Narrow" w:hAnsi="Arial Narrow"/>
                <w:sz w:val="18"/>
                <w:szCs w:val="18"/>
              </w:rPr>
              <w:t xml:space="preserve">, which will help strengthen confidence </w:t>
            </w:r>
            <w:proofErr w:type="gramStart"/>
            <w:r>
              <w:rPr>
                <w:rFonts w:ascii="Arial Narrow" w:hAnsi="Arial Narrow"/>
                <w:sz w:val="18"/>
                <w:szCs w:val="18"/>
              </w:rPr>
              <w:t xml:space="preserve">that </w:t>
            </w:r>
            <w:r w:rsidRPr="003A37C1">
              <w:rPr>
                <w:rFonts w:ascii="Arial Narrow" w:hAnsi="Arial Narrow"/>
                <w:sz w:val="18"/>
                <w:szCs w:val="18"/>
              </w:rPr>
              <w:t xml:space="preserve"> environmental</w:t>
            </w:r>
            <w:proofErr w:type="gramEnd"/>
            <w:r w:rsidRPr="003A37C1">
              <w:rPr>
                <w:rFonts w:ascii="Arial Narrow" w:hAnsi="Arial Narrow"/>
                <w:sz w:val="18"/>
                <w:szCs w:val="18"/>
              </w:rPr>
              <w:t xml:space="preserve"> performance of extractive companies is </w:t>
            </w:r>
            <w:r>
              <w:rPr>
                <w:rFonts w:ascii="Arial Narrow" w:hAnsi="Arial Narrow"/>
                <w:sz w:val="18"/>
                <w:szCs w:val="18"/>
              </w:rPr>
              <w:t xml:space="preserve">being </w:t>
            </w:r>
            <w:r w:rsidRPr="003A37C1">
              <w:rPr>
                <w:rFonts w:ascii="Arial Narrow" w:hAnsi="Arial Narrow"/>
                <w:sz w:val="18"/>
                <w:szCs w:val="18"/>
              </w:rPr>
              <w:t>adequately monitored</w:t>
            </w:r>
            <w:r>
              <w:rPr>
                <w:rFonts w:ascii="Arial Narrow" w:hAnsi="Arial Narrow"/>
                <w:sz w:val="18"/>
                <w:szCs w:val="18"/>
              </w:rPr>
              <w:t>.</w:t>
            </w:r>
          </w:p>
        </w:tc>
      </w:tr>
      <w:tr w:rsidR="00687E35" w:rsidRPr="00A957B7" w14:paraId="2AE87E75" w14:textId="77777777" w:rsidTr="00687E35">
        <w:trPr>
          <w:trHeight w:val="1131"/>
        </w:trPr>
        <w:tc>
          <w:tcPr>
            <w:tcW w:w="1322" w:type="pct"/>
          </w:tcPr>
          <w:p w14:paraId="0844D4A5" w14:textId="3F63C2CE" w:rsidR="00687E35" w:rsidRPr="00A957B7" w:rsidRDefault="00687E35" w:rsidP="0051779E">
            <w:pPr>
              <w:rPr>
                <w:rFonts w:ascii="Arial Narrow" w:hAnsi="Arial Narrow"/>
                <w:b/>
                <w:bCs/>
                <w:sz w:val="18"/>
                <w:szCs w:val="18"/>
              </w:rPr>
            </w:pPr>
            <w:bookmarkStart w:id="38" w:name="_Toc52976544"/>
            <w:bookmarkStart w:id="39" w:name="_Hlk41569284"/>
            <w:r w:rsidRPr="00A957B7">
              <w:rPr>
                <w:rFonts w:ascii="Arial Narrow" w:eastAsiaTheme="minorEastAsia" w:hAnsi="Arial Narrow" w:cstheme="minorBidi"/>
                <w:b/>
                <w:bCs/>
                <w:sz w:val="18"/>
                <w:szCs w:val="18"/>
              </w:rPr>
              <w:t>Pilot: Improving implementation of the regulation on public participation in Environmental Impact Assessment</w:t>
            </w:r>
            <w:bookmarkEnd w:id="38"/>
            <w:bookmarkEnd w:id="39"/>
          </w:p>
        </w:tc>
        <w:tc>
          <w:tcPr>
            <w:tcW w:w="3678" w:type="pct"/>
          </w:tcPr>
          <w:p w14:paraId="539E679A" w14:textId="77777777" w:rsidR="00687E35" w:rsidRPr="00F74926" w:rsidRDefault="00687E35" w:rsidP="0051779E">
            <w:pPr>
              <w:rPr>
                <w:rFonts w:ascii="Arial Narrow" w:hAnsi="Arial Narrow"/>
                <w:sz w:val="18"/>
                <w:szCs w:val="18"/>
              </w:rPr>
            </w:pPr>
            <w:r w:rsidRPr="004007D9">
              <w:rPr>
                <w:rFonts w:ascii="Arial Narrow" w:hAnsi="Arial Narrow"/>
                <w:sz w:val="18"/>
                <w:szCs w:val="18"/>
              </w:rPr>
              <w:t>Production of a case study of selected DEIA processes to understand current practice and draw conclusions about what needs to improve and how this is best achieved</w:t>
            </w:r>
            <w:r>
              <w:rPr>
                <w:rFonts w:ascii="Arial Narrow" w:hAnsi="Arial Narrow"/>
                <w:sz w:val="18"/>
                <w:szCs w:val="18"/>
              </w:rPr>
              <w:t>. Activity also provided r</w:t>
            </w:r>
            <w:r w:rsidRPr="004007D9">
              <w:rPr>
                <w:rFonts w:ascii="Arial Narrow" w:hAnsi="Arial Narrow"/>
                <w:sz w:val="18"/>
                <w:szCs w:val="18"/>
              </w:rPr>
              <w:t>ecommendations for amendments to Ministerial decree #A-03/2014 to improve public participation</w:t>
            </w:r>
            <w:r>
              <w:rPr>
                <w:rFonts w:ascii="Arial Narrow" w:hAnsi="Arial Narrow"/>
                <w:sz w:val="18"/>
                <w:szCs w:val="18"/>
              </w:rPr>
              <w:t xml:space="preserve">, and developed </w:t>
            </w:r>
            <w:r w:rsidRPr="004007D9">
              <w:rPr>
                <w:rFonts w:ascii="Arial Narrow" w:hAnsi="Arial Narrow"/>
                <w:sz w:val="18"/>
                <w:szCs w:val="18"/>
              </w:rPr>
              <w:t xml:space="preserve">guidance and video/online training for local administrations on the proper implementation of regulations relating to public participation in environmental impact assessment </w:t>
            </w:r>
          </w:p>
        </w:tc>
      </w:tr>
      <w:tr w:rsidR="00687E35" w:rsidRPr="00C274C9" w14:paraId="0AA3A910" w14:textId="77777777" w:rsidTr="00687E35">
        <w:trPr>
          <w:trHeight w:val="1133"/>
        </w:trPr>
        <w:tc>
          <w:tcPr>
            <w:tcW w:w="1322" w:type="pct"/>
          </w:tcPr>
          <w:p w14:paraId="6B925715" w14:textId="078DA147" w:rsidR="00687E35" w:rsidRPr="00F431DE" w:rsidRDefault="00687E35" w:rsidP="0051779E">
            <w:pPr>
              <w:rPr>
                <w:rFonts w:ascii="Arial Narrow" w:hAnsi="Arial Narrow"/>
                <w:b/>
                <w:sz w:val="18"/>
                <w:szCs w:val="18"/>
              </w:rPr>
            </w:pPr>
            <w:bookmarkStart w:id="40" w:name="_Toc52976543"/>
            <w:r w:rsidRPr="003A37C1">
              <w:rPr>
                <w:rFonts w:ascii="Arial Narrow" w:hAnsi="Arial Narrow"/>
                <w:b/>
                <w:sz w:val="18"/>
                <w:szCs w:val="18"/>
              </w:rPr>
              <w:t xml:space="preserve">Development of guidelines for prospecting, exploration and reporting of resources and reserves for </w:t>
            </w:r>
            <w:r>
              <w:rPr>
                <w:rFonts w:ascii="Arial Narrow" w:hAnsi="Arial Narrow"/>
                <w:b/>
                <w:sz w:val="18"/>
                <w:szCs w:val="18"/>
              </w:rPr>
              <w:t>seven</w:t>
            </w:r>
            <w:r w:rsidRPr="003A37C1">
              <w:rPr>
                <w:rFonts w:ascii="Arial Narrow" w:hAnsi="Arial Narrow"/>
                <w:b/>
                <w:sz w:val="18"/>
                <w:szCs w:val="18"/>
              </w:rPr>
              <w:t xml:space="preserve"> selected minerals</w:t>
            </w:r>
            <w:bookmarkEnd w:id="40"/>
          </w:p>
        </w:tc>
        <w:tc>
          <w:tcPr>
            <w:tcW w:w="3678" w:type="pct"/>
          </w:tcPr>
          <w:p w14:paraId="6823A601" w14:textId="77777777" w:rsidR="00687E35" w:rsidRPr="000F4169" w:rsidRDefault="00687E35" w:rsidP="0051779E">
            <w:pPr>
              <w:rPr>
                <w:rFonts w:ascii="Arial Narrow" w:hAnsi="Arial Narrow"/>
                <w:sz w:val="18"/>
                <w:szCs w:val="18"/>
              </w:rPr>
            </w:pPr>
            <w:proofErr w:type="gramStart"/>
            <w:r w:rsidRPr="00F74926">
              <w:rPr>
                <w:rFonts w:ascii="Arial Narrow" w:hAnsi="Arial Narrow"/>
                <w:sz w:val="18"/>
                <w:szCs w:val="18"/>
              </w:rPr>
              <w:t>AMEP</w:t>
            </w:r>
            <w:proofErr w:type="gramEnd"/>
            <w:r w:rsidRPr="00F74926">
              <w:rPr>
                <w:rFonts w:ascii="Arial Narrow" w:hAnsi="Arial Narrow"/>
                <w:sz w:val="18"/>
                <w:szCs w:val="18"/>
              </w:rPr>
              <w:t xml:space="preserve"> </w:t>
            </w:r>
            <w:r>
              <w:rPr>
                <w:rFonts w:ascii="Arial Narrow" w:hAnsi="Arial Narrow"/>
                <w:sz w:val="18"/>
                <w:szCs w:val="18"/>
              </w:rPr>
              <w:t>I</w:t>
            </w:r>
            <w:r w:rsidRPr="00F74926">
              <w:rPr>
                <w:rFonts w:ascii="Arial Narrow" w:hAnsi="Arial Narrow"/>
                <w:sz w:val="18"/>
                <w:szCs w:val="18"/>
              </w:rPr>
              <w:t xml:space="preserve"> supported the development of guidelines for five commodities in 2018.  Those guidelines were well-received by the MMHI and have been widely adopted by the geology profession and relevant authorities. MMHI</w:t>
            </w:r>
            <w:r>
              <w:rPr>
                <w:rFonts w:ascii="Arial Narrow" w:hAnsi="Arial Narrow"/>
                <w:sz w:val="18"/>
                <w:szCs w:val="18"/>
              </w:rPr>
              <w:t xml:space="preserve"> </w:t>
            </w:r>
            <w:r w:rsidRPr="00F74926">
              <w:rPr>
                <w:rFonts w:ascii="Arial Narrow" w:hAnsi="Arial Narrow"/>
                <w:sz w:val="18"/>
                <w:szCs w:val="18"/>
              </w:rPr>
              <w:t xml:space="preserve">requested AMEP </w:t>
            </w:r>
            <w:r>
              <w:rPr>
                <w:rFonts w:ascii="Arial Narrow" w:hAnsi="Arial Narrow"/>
                <w:sz w:val="18"/>
                <w:szCs w:val="18"/>
              </w:rPr>
              <w:t xml:space="preserve">II </w:t>
            </w:r>
            <w:r w:rsidRPr="00F74926">
              <w:rPr>
                <w:rFonts w:ascii="Arial Narrow" w:hAnsi="Arial Narrow"/>
                <w:sz w:val="18"/>
                <w:szCs w:val="18"/>
              </w:rPr>
              <w:t>assistance to develop further guidelines for key minerals: aluminium ore, lithium-caesium, graphite, rare earth elements and industrial mineral salts</w:t>
            </w:r>
            <w:r>
              <w:rPr>
                <w:rFonts w:ascii="Arial Narrow" w:hAnsi="Arial Narrow"/>
                <w:sz w:val="18"/>
                <w:szCs w:val="18"/>
              </w:rPr>
              <w:t>. This activity contributes to the s</w:t>
            </w:r>
            <w:r w:rsidRPr="004007D9">
              <w:rPr>
                <w:rFonts w:ascii="Arial Narrow" w:hAnsi="Arial Narrow"/>
                <w:sz w:val="18"/>
                <w:szCs w:val="18"/>
              </w:rPr>
              <w:t>tandardised reporting of mineral reserves and resources</w:t>
            </w:r>
            <w:r>
              <w:rPr>
                <w:rFonts w:ascii="Arial Narrow" w:hAnsi="Arial Narrow"/>
                <w:sz w:val="18"/>
                <w:szCs w:val="18"/>
              </w:rPr>
              <w:t>.</w:t>
            </w:r>
            <w:r w:rsidRPr="004007D9">
              <w:rPr>
                <w:rFonts w:ascii="Arial Narrow" w:hAnsi="Arial Narrow"/>
                <w:sz w:val="18"/>
                <w:szCs w:val="18"/>
              </w:rPr>
              <w:t xml:space="preserve"> </w:t>
            </w:r>
          </w:p>
        </w:tc>
      </w:tr>
      <w:tr w:rsidR="00687E35" w:rsidRPr="00C274C9" w14:paraId="25298A79" w14:textId="77777777" w:rsidTr="00687E35">
        <w:trPr>
          <w:trHeight w:val="1117"/>
        </w:trPr>
        <w:tc>
          <w:tcPr>
            <w:tcW w:w="1322" w:type="pct"/>
          </w:tcPr>
          <w:p w14:paraId="17D664D8" w14:textId="21CCB247" w:rsidR="00687E35" w:rsidRPr="00C274C9" w:rsidRDefault="00687E35" w:rsidP="0051779E">
            <w:pPr>
              <w:rPr>
                <w:rFonts w:ascii="Arial Narrow" w:hAnsi="Arial Narrow"/>
                <w:b/>
                <w:bCs/>
                <w:sz w:val="18"/>
                <w:szCs w:val="18"/>
              </w:rPr>
            </w:pPr>
            <w:bookmarkStart w:id="41" w:name="_Toc52976541"/>
            <w:r w:rsidRPr="000D4DB5">
              <w:rPr>
                <w:rFonts w:ascii="Arial Narrow" w:hAnsi="Arial Narrow"/>
                <w:b/>
                <w:sz w:val="18"/>
                <w:szCs w:val="18"/>
              </w:rPr>
              <w:lastRenderedPageBreak/>
              <w:t>Royalties on minor elements – international good practice assessment; recommendations; and design of guidelines and methodology</w:t>
            </w:r>
            <w:bookmarkEnd w:id="41"/>
          </w:p>
        </w:tc>
        <w:tc>
          <w:tcPr>
            <w:tcW w:w="3678" w:type="pct"/>
          </w:tcPr>
          <w:p w14:paraId="16E77B4B" w14:textId="77777777" w:rsidR="00687E35" w:rsidRPr="00085483" w:rsidRDefault="00687E35" w:rsidP="0051779E">
            <w:pPr>
              <w:rPr>
                <w:rFonts w:ascii="Arial Narrow" w:hAnsi="Arial Narrow"/>
                <w:sz w:val="18"/>
                <w:szCs w:val="18"/>
              </w:rPr>
            </w:pPr>
            <w:r w:rsidRPr="003A37C1">
              <w:rPr>
                <w:rFonts w:ascii="Arial Narrow" w:hAnsi="Arial Narrow"/>
                <w:sz w:val="18"/>
                <w:szCs w:val="18"/>
              </w:rPr>
              <w:t>The Ministry of Mining and Heavy Industry (MMHI) requested support from AMEP</w:t>
            </w:r>
            <w:r>
              <w:rPr>
                <w:rFonts w:ascii="Arial Narrow" w:hAnsi="Arial Narrow"/>
                <w:sz w:val="18"/>
                <w:szCs w:val="18"/>
              </w:rPr>
              <w:t xml:space="preserve"> </w:t>
            </w:r>
            <w:proofErr w:type="gramStart"/>
            <w:r>
              <w:rPr>
                <w:rFonts w:ascii="Arial Narrow" w:hAnsi="Arial Narrow"/>
                <w:sz w:val="18"/>
                <w:szCs w:val="18"/>
              </w:rPr>
              <w:t xml:space="preserve">II </w:t>
            </w:r>
            <w:r w:rsidRPr="003A37C1">
              <w:rPr>
                <w:rFonts w:ascii="Arial Narrow" w:hAnsi="Arial Narrow"/>
                <w:sz w:val="18"/>
                <w:szCs w:val="18"/>
              </w:rPr>
              <w:t xml:space="preserve"> to</w:t>
            </w:r>
            <w:proofErr w:type="gramEnd"/>
            <w:r w:rsidRPr="003A37C1">
              <w:rPr>
                <w:rFonts w:ascii="Arial Narrow" w:hAnsi="Arial Narrow"/>
                <w:sz w:val="18"/>
                <w:szCs w:val="18"/>
              </w:rPr>
              <w:t xml:space="preserve"> carry out an assessment to compare Mongolia’s regime to those in place in relevant international jurisdictions in order to inform the process of designing an amended guideline and methodology</w:t>
            </w:r>
            <w:r>
              <w:rPr>
                <w:rFonts w:ascii="Arial Narrow" w:hAnsi="Arial Narrow"/>
                <w:sz w:val="18"/>
                <w:szCs w:val="18"/>
              </w:rPr>
              <w:t xml:space="preserve">. </w:t>
            </w:r>
            <w:r w:rsidRPr="00085483">
              <w:rPr>
                <w:rFonts w:ascii="Arial Narrow" w:hAnsi="Arial Narrow"/>
                <w:sz w:val="18"/>
                <w:szCs w:val="18"/>
              </w:rPr>
              <w:t xml:space="preserve">Activity contributed </w:t>
            </w:r>
          </w:p>
          <w:p w14:paraId="4971A5C1" w14:textId="77777777" w:rsidR="00687E35" w:rsidRPr="00085483" w:rsidRDefault="00687E35" w:rsidP="0051779E">
            <w:pPr>
              <w:rPr>
                <w:rFonts w:ascii="Arial Narrow" w:hAnsi="Arial Narrow"/>
                <w:sz w:val="18"/>
                <w:szCs w:val="18"/>
              </w:rPr>
            </w:pPr>
            <w:r w:rsidRPr="00085483">
              <w:rPr>
                <w:rFonts w:ascii="Arial Narrow" w:hAnsi="Arial Narrow"/>
                <w:sz w:val="18"/>
                <w:szCs w:val="18"/>
              </w:rPr>
              <w:t>Helped clarify policy and law to help remove conflicts in existing laws and regulations and promote consensus between MMHI, MOF and MTA on these matters.</w:t>
            </w:r>
          </w:p>
        </w:tc>
      </w:tr>
    </w:tbl>
    <w:p w14:paraId="13320FC9" w14:textId="02943B4F" w:rsidR="00687E35" w:rsidRDefault="00687E35"/>
    <w:p w14:paraId="2885A539" w14:textId="4D5B04DD" w:rsidR="00687E35" w:rsidRDefault="00687E35" w:rsidP="00687E35">
      <w:pPr>
        <w:rPr>
          <w:rStyle w:val="Heading"/>
        </w:rPr>
      </w:pPr>
      <w:r>
        <w:rPr>
          <w:rStyle w:val="Heading"/>
        </w:rPr>
        <w:t>202</w:t>
      </w:r>
      <w:r>
        <w:rPr>
          <w:rStyle w:val="Heading"/>
        </w:rPr>
        <w:t>1</w:t>
      </w:r>
      <w:r>
        <w:rPr>
          <w:rStyle w:val="Heading"/>
        </w:rPr>
        <w:t xml:space="preserve"> - 202</w:t>
      </w:r>
      <w:r>
        <w:rPr>
          <w:rStyle w:val="Heading"/>
        </w:rPr>
        <w:t>2</w:t>
      </w:r>
    </w:p>
    <w:tbl>
      <w:tblPr>
        <w:tblStyle w:val="TableGrid"/>
        <w:tblW w:w="5000" w:type="pct"/>
        <w:tblLook w:val="04A0" w:firstRow="1" w:lastRow="0" w:firstColumn="1" w:lastColumn="0" w:noHBand="0" w:noVBand="1"/>
      </w:tblPr>
      <w:tblGrid>
        <w:gridCol w:w="2382"/>
        <w:gridCol w:w="6628"/>
      </w:tblGrid>
      <w:tr w:rsidR="00687E35" w:rsidRPr="00C274C9" w14:paraId="1400E6B0" w14:textId="77777777" w:rsidTr="00687E35">
        <w:trPr>
          <w:trHeight w:val="196"/>
          <w:tblHeader/>
        </w:trPr>
        <w:tc>
          <w:tcPr>
            <w:tcW w:w="1322" w:type="pct"/>
            <w:shd w:val="clear" w:color="auto" w:fill="BDD6EE" w:themeFill="accent5" w:themeFillTint="66"/>
          </w:tcPr>
          <w:p w14:paraId="029D5E12" w14:textId="77777777" w:rsidR="00687E35" w:rsidRPr="00C274C9" w:rsidRDefault="00687E35" w:rsidP="0051779E">
            <w:pPr>
              <w:rPr>
                <w:rFonts w:ascii="Arial Narrow" w:hAnsi="Arial Narrow"/>
                <w:b/>
                <w:bCs/>
                <w:sz w:val="18"/>
                <w:szCs w:val="18"/>
              </w:rPr>
            </w:pPr>
            <w:r w:rsidRPr="00C274C9">
              <w:rPr>
                <w:rFonts w:ascii="Arial Narrow" w:hAnsi="Arial Narrow"/>
                <w:b/>
                <w:bCs/>
                <w:sz w:val="18"/>
                <w:szCs w:val="18"/>
              </w:rPr>
              <w:t>Activity</w:t>
            </w:r>
          </w:p>
        </w:tc>
        <w:tc>
          <w:tcPr>
            <w:tcW w:w="3678" w:type="pct"/>
            <w:shd w:val="clear" w:color="auto" w:fill="BDD6EE" w:themeFill="accent5" w:themeFillTint="66"/>
          </w:tcPr>
          <w:p w14:paraId="6A2E79BB" w14:textId="77777777" w:rsidR="00687E35" w:rsidRPr="00C274C9" w:rsidRDefault="00687E35" w:rsidP="0051779E">
            <w:pPr>
              <w:rPr>
                <w:rFonts w:ascii="Arial Narrow" w:hAnsi="Arial Narrow"/>
                <w:b/>
                <w:bCs/>
                <w:sz w:val="18"/>
                <w:szCs w:val="18"/>
              </w:rPr>
            </w:pPr>
            <w:r w:rsidRPr="00C274C9">
              <w:rPr>
                <w:rFonts w:ascii="Arial Narrow" w:hAnsi="Arial Narrow"/>
                <w:b/>
                <w:bCs/>
                <w:sz w:val="18"/>
                <w:szCs w:val="18"/>
              </w:rPr>
              <w:t>Key Achievements</w:t>
            </w:r>
          </w:p>
        </w:tc>
      </w:tr>
      <w:tr w:rsidR="00687E35" w:rsidRPr="00C274C9" w14:paraId="5A4DF05D" w14:textId="77777777" w:rsidTr="00687E35">
        <w:trPr>
          <w:trHeight w:val="1633"/>
        </w:trPr>
        <w:tc>
          <w:tcPr>
            <w:tcW w:w="1322" w:type="pct"/>
          </w:tcPr>
          <w:p w14:paraId="019E99B3" w14:textId="77777777" w:rsidR="00687E35" w:rsidRPr="00CF0D6A" w:rsidRDefault="00687E35" w:rsidP="0051779E">
            <w:pPr>
              <w:rPr>
                <w:rFonts w:ascii="Arial Narrow" w:hAnsi="Arial Narrow"/>
                <w:b/>
                <w:bCs/>
                <w:sz w:val="18"/>
                <w:szCs w:val="18"/>
              </w:rPr>
            </w:pPr>
            <w:r w:rsidRPr="00CF0D6A">
              <w:rPr>
                <w:rFonts w:ascii="Arial Narrow" w:hAnsi="Arial Narrow"/>
                <w:b/>
                <w:bCs/>
                <w:sz w:val="18"/>
                <w:szCs w:val="18"/>
              </w:rPr>
              <w:t>Incorporation of Private Sector Geo Science Data into the National Geological Database</w:t>
            </w:r>
          </w:p>
        </w:tc>
        <w:tc>
          <w:tcPr>
            <w:tcW w:w="3678" w:type="pct"/>
          </w:tcPr>
          <w:p w14:paraId="3C7B1E80" w14:textId="77777777" w:rsidR="00687E35" w:rsidRPr="00C274C9" w:rsidRDefault="00687E35" w:rsidP="0051779E">
            <w:pPr>
              <w:rPr>
                <w:rFonts w:ascii="Arial Narrow" w:hAnsi="Arial Narrow"/>
                <w:b/>
                <w:bCs/>
                <w:sz w:val="18"/>
                <w:szCs w:val="18"/>
              </w:rPr>
            </w:pPr>
            <w:r>
              <w:rPr>
                <w:rFonts w:ascii="Arial Narrow" w:hAnsi="Arial Narrow"/>
                <w:sz w:val="18"/>
                <w:szCs w:val="18"/>
              </w:rPr>
              <w:t>Expands</w:t>
            </w:r>
            <w:r w:rsidRPr="005722F7">
              <w:rPr>
                <w:rFonts w:ascii="Arial Narrow" w:hAnsi="Arial Narrow"/>
                <w:sz w:val="18"/>
                <w:szCs w:val="18"/>
              </w:rPr>
              <w:t xml:space="preserve"> previous work conducted (2019-2021</w:t>
            </w:r>
            <w:proofErr w:type="gramStart"/>
            <w:r w:rsidRPr="005722F7">
              <w:rPr>
                <w:rFonts w:ascii="Arial Narrow" w:hAnsi="Arial Narrow"/>
                <w:sz w:val="18"/>
                <w:szCs w:val="18"/>
              </w:rPr>
              <w:t xml:space="preserve">)  </w:t>
            </w:r>
            <w:r>
              <w:rPr>
                <w:rFonts w:ascii="Arial Narrow" w:hAnsi="Arial Narrow"/>
                <w:sz w:val="18"/>
                <w:szCs w:val="18"/>
              </w:rPr>
              <w:t>to</w:t>
            </w:r>
            <w:proofErr w:type="gramEnd"/>
            <w:r>
              <w:rPr>
                <w:rFonts w:ascii="Arial Narrow" w:hAnsi="Arial Narrow"/>
                <w:sz w:val="18"/>
                <w:szCs w:val="18"/>
              </w:rPr>
              <w:t xml:space="preserve"> enhance</w:t>
            </w:r>
            <w:r w:rsidRPr="005722F7">
              <w:rPr>
                <w:rFonts w:ascii="Arial Narrow" w:hAnsi="Arial Narrow"/>
                <w:sz w:val="18"/>
                <w:szCs w:val="18"/>
              </w:rPr>
              <w:t xml:space="preserve"> accessibility of geo-science data and related platforms.</w:t>
            </w:r>
            <w:r>
              <w:rPr>
                <w:rFonts w:ascii="Arial Narrow" w:hAnsi="Arial Narrow"/>
                <w:sz w:val="18"/>
                <w:szCs w:val="18"/>
              </w:rPr>
              <w:t xml:space="preserve"> Supports </w:t>
            </w:r>
            <w:r w:rsidRPr="005722F7">
              <w:rPr>
                <w:rFonts w:ascii="Arial Narrow" w:hAnsi="Arial Narrow"/>
                <w:sz w:val="18"/>
                <w:szCs w:val="18"/>
              </w:rPr>
              <w:t>Government of Mongolia's (</w:t>
            </w:r>
            <w:proofErr w:type="spellStart"/>
            <w:r w:rsidRPr="005722F7">
              <w:rPr>
                <w:rFonts w:ascii="Arial Narrow" w:hAnsi="Arial Narrow"/>
                <w:sz w:val="18"/>
                <w:szCs w:val="18"/>
              </w:rPr>
              <w:t>GoM's</w:t>
            </w:r>
            <w:proofErr w:type="spellEnd"/>
            <w:r w:rsidRPr="005722F7">
              <w:rPr>
                <w:rFonts w:ascii="Arial Narrow" w:hAnsi="Arial Narrow"/>
                <w:sz w:val="18"/>
                <w:szCs w:val="18"/>
              </w:rPr>
              <w:t>), e-digitization strategy</w:t>
            </w:r>
            <w:r>
              <w:rPr>
                <w:rFonts w:ascii="Arial Narrow" w:hAnsi="Arial Narrow"/>
                <w:sz w:val="18"/>
                <w:szCs w:val="18"/>
              </w:rPr>
              <w:t xml:space="preserve"> and further strengthens </w:t>
            </w:r>
            <w:r w:rsidRPr="005722F7">
              <w:rPr>
                <w:rFonts w:ascii="Arial Narrow" w:hAnsi="Arial Narrow"/>
                <w:sz w:val="18"/>
                <w:szCs w:val="18"/>
              </w:rPr>
              <w:t>the National Geological Survey (NGS)</w:t>
            </w:r>
            <w:r>
              <w:rPr>
                <w:rFonts w:ascii="Arial Narrow" w:hAnsi="Arial Narrow"/>
                <w:sz w:val="18"/>
                <w:szCs w:val="18"/>
              </w:rPr>
              <w:t xml:space="preserve">. </w:t>
            </w:r>
            <w:r w:rsidRPr="005722F7">
              <w:rPr>
                <w:rFonts w:ascii="Arial Narrow" w:hAnsi="Arial Narrow"/>
                <w:sz w:val="18"/>
                <w:szCs w:val="18"/>
              </w:rPr>
              <w:t xml:space="preserve">A team of geologists engaged by AMEP </w:t>
            </w:r>
            <w:r>
              <w:rPr>
                <w:rFonts w:ascii="Arial Narrow" w:hAnsi="Arial Narrow"/>
                <w:sz w:val="18"/>
                <w:szCs w:val="18"/>
              </w:rPr>
              <w:t xml:space="preserve">II </w:t>
            </w:r>
            <w:r w:rsidRPr="005722F7">
              <w:rPr>
                <w:rFonts w:ascii="Arial Narrow" w:hAnsi="Arial Narrow"/>
                <w:sz w:val="18"/>
                <w:szCs w:val="18"/>
              </w:rPr>
              <w:t xml:space="preserve">processed reports from privately funded exploration activities to prepare key data sets for entry into the NGDB and </w:t>
            </w:r>
            <w:proofErr w:type="spellStart"/>
            <w:r w:rsidRPr="005722F7">
              <w:rPr>
                <w:rFonts w:ascii="Arial Narrow" w:hAnsi="Arial Narrow"/>
                <w:sz w:val="18"/>
                <w:szCs w:val="18"/>
              </w:rPr>
              <w:t>MonGeoCat</w:t>
            </w:r>
            <w:proofErr w:type="spellEnd"/>
            <w:r>
              <w:rPr>
                <w:rFonts w:ascii="Arial Narrow" w:hAnsi="Arial Narrow"/>
                <w:sz w:val="18"/>
                <w:szCs w:val="18"/>
              </w:rPr>
              <w:t>. Thereby promoting access to data online.</w:t>
            </w:r>
          </w:p>
        </w:tc>
      </w:tr>
      <w:tr w:rsidR="00687E35" w:rsidRPr="007A77FB" w14:paraId="42BD9A1F" w14:textId="77777777" w:rsidTr="00687E35">
        <w:trPr>
          <w:trHeight w:val="1042"/>
        </w:trPr>
        <w:tc>
          <w:tcPr>
            <w:tcW w:w="1322" w:type="pct"/>
          </w:tcPr>
          <w:p w14:paraId="7B0AF93F" w14:textId="77777777" w:rsidR="00687E35" w:rsidRPr="007A77FB" w:rsidRDefault="00687E35" w:rsidP="0051779E">
            <w:pPr>
              <w:rPr>
                <w:rFonts w:ascii="Arial Narrow" w:hAnsi="Arial Narrow"/>
                <w:b/>
                <w:bCs/>
                <w:sz w:val="18"/>
                <w:szCs w:val="18"/>
              </w:rPr>
            </w:pPr>
            <w:r w:rsidRPr="007A77FB">
              <w:rPr>
                <w:rFonts w:ascii="Arial Narrow" w:hAnsi="Arial Narrow"/>
                <w:b/>
                <w:bCs/>
                <w:sz w:val="18"/>
                <w:szCs w:val="18"/>
              </w:rPr>
              <w:t>Support to MONVAL Committee-Production of Guidance for Mineral Valuation and Training</w:t>
            </w:r>
          </w:p>
        </w:tc>
        <w:tc>
          <w:tcPr>
            <w:tcW w:w="3678" w:type="pct"/>
          </w:tcPr>
          <w:p w14:paraId="6F08E171" w14:textId="77777777" w:rsidR="00687E35" w:rsidRPr="007A77FB" w:rsidRDefault="00687E35" w:rsidP="0051779E">
            <w:pPr>
              <w:rPr>
                <w:rFonts w:ascii="Arial Narrow" w:hAnsi="Arial Narrow"/>
                <w:sz w:val="18"/>
                <w:szCs w:val="18"/>
              </w:rPr>
            </w:pPr>
            <w:r w:rsidRPr="000C30A6">
              <w:rPr>
                <w:rFonts w:ascii="Arial Narrow" w:hAnsi="Arial Narrow"/>
                <w:sz w:val="18"/>
                <w:szCs w:val="18"/>
              </w:rPr>
              <w:t>The MONVAL Code which was drafted in January 2020 sets out requirements for the technical assessment and valuation of mineral assets and securities for independent expert reports and provides guidance for mineral assets, securities, and financial markets</w:t>
            </w:r>
            <w:r>
              <w:rPr>
                <w:rFonts w:ascii="Arial Narrow" w:hAnsi="Arial Narrow"/>
                <w:sz w:val="18"/>
                <w:szCs w:val="18"/>
              </w:rPr>
              <w:t xml:space="preserve">. </w:t>
            </w:r>
            <w:r w:rsidRPr="000C30A6">
              <w:rPr>
                <w:rFonts w:ascii="Arial Narrow" w:hAnsi="Arial Narrow"/>
                <w:sz w:val="18"/>
                <w:szCs w:val="18"/>
              </w:rPr>
              <w:t>AMEP</w:t>
            </w:r>
            <w:r>
              <w:rPr>
                <w:rFonts w:ascii="Arial Narrow" w:hAnsi="Arial Narrow"/>
                <w:sz w:val="18"/>
                <w:szCs w:val="18"/>
              </w:rPr>
              <w:t xml:space="preserve"> II</w:t>
            </w:r>
            <w:r w:rsidRPr="000C30A6">
              <w:rPr>
                <w:rFonts w:ascii="Arial Narrow" w:hAnsi="Arial Narrow"/>
                <w:sz w:val="18"/>
                <w:szCs w:val="18"/>
              </w:rPr>
              <w:t xml:space="preserve"> developed the guidance on methodologies</w:t>
            </w:r>
            <w:r>
              <w:rPr>
                <w:rFonts w:ascii="Arial Narrow" w:hAnsi="Arial Narrow"/>
                <w:sz w:val="18"/>
                <w:szCs w:val="18"/>
              </w:rPr>
              <w:t xml:space="preserve">, and also </w:t>
            </w:r>
            <w:r w:rsidRPr="000C30A6">
              <w:rPr>
                <w:rFonts w:ascii="Arial Narrow" w:hAnsi="Arial Narrow"/>
                <w:sz w:val="18"/>
                <w:szCs w:val="18"/>
              </w:rPr>
              <w:t xml:space="preserve">provided internationally recognized AUSIMM training on VALMIN (Australasian Code for Public Reporting of Technical Assessments and Valuations of Mineral Assets) Code reporting and the guidance on methodologies of MONVAL Code.  </w:t>
            </w:r>
          </w:p>
        </w:tc>
      </w:tr>
      <w:tr w:rsidR="00687E35" w:rsidRPr="00C274C9" w14:paraId="2829F9B1" w14:textId="77777777" w:rsidTr="00687E35">
        <w:trPr>
          <w:trHeight w:val="988"/>
        </w:trPr>
        <w:tc>
          <w:tcPr>
            <w:tcW w:w="1322" w:type="pct"/>
          </w:tcPr>
          <w:p w14:paraId="7ECE6AA7" w14:textId="77777777" w:rsidR="00687E35" w:rsidRPr="00F431DE" w:rsidRDefault="00687E35" w:rsidP="0051779E">
            <w:pPr>
              <w:rPr>
                <w:rFonts w:ascii="Arial Narrow" w:hAnsi="Arial Narrow"/>
                <w:b/>
                <w:bCs/>
                <w:sz w:val="18"/>
                <w:szCs w:val="18"/>
              </w:rPr>
            </w:pPr>
            <w:r w:rsidRPr="00F431DE">
              <w:rPr>
                <w:rFonts w:ascii="Arial Narrow" w:hAnsi="Arial Narrow"/>
                <w:b/>
                <w:bCs/>
                <w:sz w:val="18"/>
                <w:szCs w:val="18"/>
              </w:rPr>
              <w:t>Digitization and Tendering Process (as part of the Development of regulations and Guidance Materials for Implementing the New Minerals Law)</w:t>
            </w:r>
          </w:p>
        </w:tc>
        <w:tc>
          <w:tcPr>
            <w:tcW w:w="3678" w:type="pct"/>
          </w:tcPr>
          <w:p w14:paraId="4FDE8F3D" w14:textId="77777777" w:rsidR="00687E35" w:rsidRPr="00C274C9" w:rsidRDefault="00687E35" w:rsidP="0051779E">
            <w:pPr>
              <w:rPr>
                <w:rFonts w:ascii="Arial Narrow" w:hAnsi="Arial Narrow"/>
                <w:b/>
                <w:bCs/>
                <w:sz w:val="18"/>
                <w:szCs w:val="18"/>
              </w:rPr>
            </w:pPr>
            <w:r>
              <w:rPr>
                <w:rFonts w:ascii="Arial Narrow" w:hAnsi="Arial Narrow"/>
                <w:sz w:val="18"/>
                <w:szCs w:val="18"/>
              </w:rPr>
              <w:t>Activity provided an</w:t>
            </w:r>
            <w:r w:rsidRPr="000C30A6">
              <w:rPr>
                <w:rFonts w:ascii="Arial Narrow" w:hAnsi="Arial Narrow"/>
                <w:sz w:val="18"/>
                <w:szCs w:val="18"/>
              </w:rPr>
              <w:t xml:space="preserve"> add-on sub-menu was developed for the system and web interface</w:t>
            </w:r>
            <w:r>
              <w:rPr>
                <w:rFonts w:ascii="Arial Narrow" w:hAnsi="Arial Narrow"/>
                <w:sz w:val="18"/>
                <w:szCs w:val="18"/>
              </w:rPr>
              <w:t xml:space="preserve"> for the </w:t>
            </w:r>
            <w:r w:rsidRPr="000C30A6">
              <w:rPr>
                <w:rFonts w:ascii="Arial Narrow" w:hAnsi="Arial Narrow"/>
                <w:sz w:val="18"/>
                <w:szCs w:val="18"/>
              </w:rPr>
              <w:t>State Procurement Agency (SPA) www.tender.gov.mn platform</w:t>
            </w:r>
            <w:r>
              <w:rPr>
                <w:rFonts w:ascii="Arial Narrow" w:hAnsi="Arial Narrow"/>
                <w:sz w:val="18"/>
                <w:szCs w:val="18"/>
              </w:rPr>
              <w:t xml:space="preserve">. </w:t>
            </w:r>
            <w:r w:rsidRPr="000C30A6">
              <w:rPr>
                <w:rFonts w:ascii="Arial Narrow" w:hAnsi="Arial Narrow"/>
                <w:sz w:val="18"/>
                <w:szCs w:val="18"/>
              </w:rPr>
              <w:t xml:space="preserve">The menu is an enabler for interested investors who </w:t>
            </w:r>
            <w:r>
              <w:rPr>
                <w:rFonts w:ascii="Arial Narrow" w:hAnsi="Arial Narrow"/>
                <w:sz w:val="18"/>
                <w:szCs w:val="18"/>
              </w:rPr>
              <w:t xml:space="preserve">now have </w:t>
            </w:r>
            <w:r w:rsidRPr="000C30A6">
              <w:rPr>
                <w:rFonts w:ascii="Arial Narrow" w:hAnsi="Arial Narrow"/>
                <w:sz w:val="18"/>
                <w:szCs w:val="18"/>
              </w:rPr>
              <w:t>access to the system and its features</w:t>
            </w:r>
            <w:r>
              <w:rPr>
                <w:rFonts w:ascii="Arial Narrow" w:hAnsi="Arial Narrow"/>
                <w:sz w:val="18"/>
                <w:szCs w:val="18"/>
              </w:rPr>
              <w:t xml:space="preserve">. </w:t>
            </w:r>
            <w:r w:rsidRPr="000C30A6">
              <w:rPr>
                <w:rFonts w:ascii="Arial Narrow" w:hAnsi="Arial Narrow"/>
                <w:sz w:val="18"/>
                <w:szCs w:val="18"/>
              </w:rPr>
              <w:t>The menu provide</w:t>
            </w:r>
            <w:r>
              <w:rPr>
                <w:rFonts w:ascii="Arial Narrow" w:hAnsi="Arial Narrow"/>
                <w:sz w:val="18"/>
                <w:szCs w:val="18"/>
              </w:rPr>
              <w:t>s</w:t>
            </w:r>
            <w:r w:rsidRPr="000C30A6">
              <w:rPr>
                <w:rFonts w:ascii="Arial Narrow" w:hAnsi="Arial Narrow"/>
                <w:sz w:val="18"/>
                <w:szCs w:val="18"/>
              </w:rPr>
              <w:t xml:space="preserve"> access to key areas within the licensing and tendering process framework.</w:t>
            </w:r>
            <w:r>
              <w:rPr>
                <w:rFonts w:ascii="Arial Narrow" w:hAnsi="Arial Narrow"/>
                <w:sz w:val="18"/>
                <w:szCs w:val="18"/>
              </w:rPr>
              <w:t xml:space="preserve"> Supports </w:t>
            </w:r>
            <w:proofErr w:type="spellStart"/>
            <w:r>
              <w:rPr>
                <w:rFonts w:ascii="Arial Narrow" w:hAnsi="Arial Narrow"/>
                <w:sz w:val="18"/>
                <w:szCs w:val="18"/>
              </w:rPr>
              <w:t>GoM’s</w:t>
            </w:r>
            <w:proofErr w:type="spellEnd"/>
            <w:r>
              <w:rPr>
                <w:rFonts w:ascii="Arial Narrow" w:hAnsi="Arial Narrow"/>
                <w:sz w:val="18"/>
                <w:szCs w:val="18"/>
              </w:rPr>
              <w:t xml:space="preserve"> ongoing efforts to promote </w:t>
            </w:r>
            <w:r w:rsidRPr="00407354">
              <w:rPr>
                <w:rFonts w:ascii="Arial Narrow" w:hAnsi="Arial Narrow"/>
                <w:sz w:val="18"/>
                <w:szCs w:val="18"/>
              </w:rPr>
              <w:t>digital license and tendering system</w:t>
            </w:r>
          </w:p>
        </w:tc>
      </w:tr>
      <w:tr w:rsidR="00687E35" w:rsidRPr="00A957B7" w14:paraId="207E04BA" w14:textId="77777777" w:rsidTr="00687E35">
        <w:trPr>
          <w:trHeight w:val="1601"/>
        </w:trPr>
        <w:tc>
          <w:tcPr>
            <w:tcW w:w="1322" w:type="pct"/>
          </w:tcPr>
          <w:p w14:paraId="6B6D865F" w14:textId="77777777" w:rsidR="00687E35" w:rsidRPr="00A957B7" w:rsidRDefault="00687E35" w:rsidP="0051779E">
            <w:pPr>
              <w:rPr>
                <w:rFonts w:ascii="Arial Narrow" w:hAnsi="Arial Narrow"/>
                <w:b/>
                <w:bCs/>
                <w:sz w:val="18"/>
                <w:szCs w:val="18"/>
              </w:rPr>
            </w:pPr>
            <w:r w:rsidRPr="00A957B7">
              <w:rPr>
                <w:rFonts w:ascii="Arial Narrow" w:hAnsi="Arial Narrow"/>
                <w:b/>
                <w:bCs/>
                <w:sz w:val="18"/>
                <w:szCs w:val="18"/>
              </w:rPr>
              <w:t>Supporting public participation in Environmental Impact Assessment</w:t>
            </w:r>
          </w:p>
        </w:tc>
        <w:tc>
          <w:tcPr>
            <w:tcW w:w="3678" w:type="pct"/>
          </w:tcPr>
          <w:p w14:paraId="63C8CD0A" w14:textId="77777777" w:rsidR="00687E35" w:rsidRPr="00A957B7" w:rsidRDefault="00687E35" w:rsidP="0051779E">
            <w:pPr>
              <w:rPr>
                <w:rFonts w:ascii="Arial Narrow" w:hAnsi="Arial Narrow"/>
                <w:sz w:val="18"/>
                <w:szCs w:val="18"/>
              </w:rPr>
            </w:pPr>
            <w:r>
              <w:rPr>
                <w:rFonts w:ascii="Arial Narrow" w:hAnsi="Arial Narrow"/>
                <w:sz w:val="18"/>
                <w:szCs w:val="18"/>
              </w:rPr>
              <w:t xml:space="preserve">Built on the previous work in 2020-2021 to help </w:t>
            </w:r>
            <w:proofErr w:type="spellStart"/>
            <w:r>
              <w:rPr>
                <w:rFonts w:ascii="Arial Narrow" w:hAnsi="Arial Narrow"/>
                <w:sz w:val="18"/>
                <w:szCs w:val="18"/>
              </w:rPr>
              <w:t>MoET</w:t>
            </w:r>
            <w:proofErr w:type="spellEnd"/>
            <w:r>
              <w:rPr>
                <w:rFonts w:ascii="Arial Narrow" w:hAnsi="Arial Narrow"/>
                <w:sz w:val="18"/>
                <w:szCs w:val="18"/>
              </w:rPr>
              <w:t xml:space="preserve"> </w:t>
            </w:r>
            <w:r w:rsidRPr="00AE167A">
              <w:rPr>
                <w:rFonts w:ascii="Arial Narrow" w:hAnsi="Arial Narrow"/>
                <w:sz w:val="18"/>
                <w:szCs w:val="18"/>
              </w:rPr>
              <w:t>improve the public participation process through frameworks such as the International Association of Public Participation IAP2 in the Environmental Impact Assessment (EIA) process</w:t>
            </w:r>
            <w:r>
              <w:rPr>
                <w:rFonts w:ascii="Arial Narrow" w:hAnsi="Arial Narrow"/>
                <w:sz w:val="18"/>
                <w:szCs w:val="18"/>
              </w:rPr>
              <w:t xml:space="preserve">. </w:t>
            </w:r>
            <w:proofErr w:type="spellStart"/>
            <w:r>
              <w:rPr>
                <w:rFonts w:ascii="Arial Narrow" w:hAnsi="Arial Narrow"/>
                <w:sz w:val="18"/>
                <w:szCs w:val="18"/>
              </w:rPr>
              <w:t>Activty</w:t>
            </w:r>
            <w:proofErr w:type="spellEnd"/>
            <w:r>
              <w:rPr>
                <w:rFonts w:ascii="Arial Narrow" w:hAnsi="Arial Narrow"/>
                <w:sz w:val="18"/>
                <w:szCs w:val="18"/>
              </w:rPr>
              <w:t xml:space="preserve"> conducted a series of c</w:t>
            </w:r>
            <w:r w:rsidRPr="00A957B7">
              <w:rPr>
                <w:rFonts w:ascii="Arial Narrow" w:hAnsi="Arial Narrow"/>
                <w:sz w:val="18"/>
                <w:szCs w:val="18"/>
              </w:rPr>
              <w:t>onsultations with key Stakeholders</w:t>
            </w:r>
            <w:r>
              <w:rPr>
                <w:rFonts w:ascii="Arial Narrow" w:hAnsi="Arial Narrow"/>
                <w:sz w:val="18"/>
                <w:szCs w:val="18"/>
              </w:rPr>
              <w:t xml:space="preserve"> to provide an </w:t>
            </w:r>
          </w:p>
          <w:p w14:paraId="296EF371" w14:textId="77777777" w:rsidR="00687E35" w:rsidRPr="00A957B7" w:rsidRDefault="00687E35" w:rsidP="0051779E">
            <w:pPr>
              <w:rPr>
                <w:rFonts w:ascii="Arial Narrow" w:hAnsi="Arial Narrow"/>
                <w:sz w:val="18"/>
                <w:szCs w:val="18"/>
              </w:rPr>
            </w:pPr>
            <w:r>
              <w:rPr>
                <w:rFonts w:ascii="Arial Narrow" w:hAnsi="Arial Narrow"/>
                <w:sz w:val="18"/>
                <w:szCs w:val="18"/>
              </w:rPr>
              <w:t>a</w:t>
            </w:r>
            <w:r w:rsidRPr="00A957B7">
              <w:rPr>
                <w:rFonts w:ascii="Arial Narrow" w:hAnsi="Arial Narrow"/>
                <w:sz w:val="18"/>
                <w:szCs w:val="18"/>
              </w:rPr>
              <w:t xml:space="preserve">ssessment of current </w:t>
            </w:r>
            <w:proofErr w:type="spellStart"/>
            <w:r w:rsidRPr="00A957B7">
              <w:rPr>
                <w:rFonts w:ascii="Arial Narrow" w:hAnsi="Arial Narrow"/>
                <w:sz w:val="18"/>
                <w:szCs w:val="18"/>
              </w:rPr>
              <w:t>MoET’s</w:t>
            </w:r>
            <w:proofErr w:type="spellEnd"/>
            <w:r w:rsidRPr="00A957B7">
              <w:rPr>
                <w:rFonts w:ascii="Arial Narrow" w:hAnsi="Arial Narrow"/>
                <w:sz w:val="18"/>
                <w:szCs w:val="18"/>
              </w:rPr>
              <w:t xml:space="preserve"> and others existing information systems/databases on Environmental Impact Assessment, Environmental Management Plan and other similar databases</w:t>
            </w:r>
            <w:r>
              <w:rPr>
                <w:rFonts w:ascii="Arial Narrow" w:hAnsi="Arial Narrow"/>
                <w:sz w:val="18"/>
                <w:szCs w:val="18"/>
              </w:rPr>
              <w:t xml:space="preserve">. Also provided an EIA database and roadmap for implementation of </w:t>
            </w:r>
            <w:proofErr w:type="spellStart"/>
            <w:r>
              <w:rPr>
                <w:rFonts w:ascii="Arial Narrow" w:hAnsi="Arial Narrow"/>
                <w:sz w:val="18"/>
                <w:szCs w:val="18"/>
              </w:rPr>
              <w:t>of</w:t>
            </w:r>
            <w:proofErr w:type="spellEnd"/>
            <w:r>
              <w:rPr>
                <w:rFonts w:ascii="Arial Narrow" w:hAnsi="Arial Narrow"/>
                <w:sz w:val="18"/>
                <w:szCs w:val="18"/>
              </w:rPr>
              <w:t xml:space="preserve"> ETI recommendations within the Mongolian context. In so doing the activity provided a practical application of EIA guidelines and tools for enhancing public participation.</w:t>
            </w:r>
          </w:p>
        </w:tc>
      </w:tr>
      <w:tr w:rsidR="00687E35" w14:paraId="132F2A07" w14:textId="77777777" w:rsidTr="00687E35">
        <w:trPr>
          <w:trHeight w:val="784"/>
        </w:trPr>
        <w:tc>
          <w:tcPr>
            <w:tcW w:w="1322" w:type="pct"/>
          </w:tcPr>
          <w:p w14:paraId="1D8822C6" w14:textId="77777777" w:rsidR="00687E35" w:rsidRPr="003F275E" w:rsidRDefault="00687E35" w:rsidP="0051779E">
            <w:pPr>
              <w:rPr>
                <w:rFonts w:ascii="Arial Narrow" w:hAnsi="Arial Narrow"/>
                <w:b/>
                <w:bCs/>
                <w:sz w:val="18"/>
                <w:szCs w:val="18"/>
              </w:rPr>
            </w:pPr>
            <w:r w:rsidRPr="003F275E">
              <w:rPr>
                <w:rFonts w:ascii="Arial Narrow" w:hAnsi="Arial Narrow"/>
                <w:b/>
                <w:bCs/>
                <w:sz w:val="18"/>
                <w:szCs w:val="18"/>
              </w:rPr>
              <w:t xml:space="preserve">Planning and facilitation of public consultation on the draft Minerals Law </w:t>
            </w:r>
          </w:p>
          <w:p w14:paraId="0AAAB92F" w14:textId="77777777" w:rsidR="00687E35" w:rsidRPr="003F275E" w:rsidRDefault="00687E35" w:rsidP="0051779E">
            <w:pPr>
              <w:rPr>
                <w:rFonts w:ascii="Arial Narrow" w:hAnsi="Arial Narrow"/>
                <w:b/>
                <w:bCs/>
                <w:sz w:val="18"/>
                <w:szCs w:val="18"/>
              </w:rPr>
            </w:pPr>
          </w:p>
          <w:p w14:paraId="528EFCD7" w14:textId="77777777" w:rsidR="00687E35" w:rsidRPr="003F275E" w:rsidRDefault="00687E35" w:rsidP="0051779E">
            <w:pPr>
              <w:rPr>
                <w:rFonts w:ascii="Arial Narrow" w:hAnsi="Arial Narrow"/>
                <w:b/>
                <w:bCs/>
                <w:sz w:val="18"/>
                <w:szCs w:val="18"/>
              </w:rPr>
            </w:pPr>
          </w:p>
        </w:tc>
        <w:tc>
          <w:tcPr>
            <w:tcW w:w="3678" w:type="pct"/>
          </w:tcPr>
          <w:p w14:paraId="5286A9DB" w14:textId="77777777" w:rsidR="00687E35" w:rsidRDefault="00687E35" w:rsidP="0051779E">
            <w:pPr>
              <w:rPr>
                <w:rFonts w:ascii="Arial Narrow" w:hAnsi="Arial Narrow"/>
                <w:sz w:val="18"/>
                <w:szCs w:val="18"/>
              </w:rPr>
            </w:pPr>
            <w:r w:rsidRPr="00681285">
              <w:rPr>
                <w:rFonts w:ascii="Arial Narrow" w:hAnsi="Arial Narrow"/>
                <w:sz w:val="18"/>
                <w:szCs w:val="18"/>
              </w:rPr>
              <w:t xml:space="preserve">Due to political issues and will this activity </w:t>
            </w:r>
            <w:proofErr w:type="gramStart"/>
            <w:r w:rsidRPr="00681285">
              <w:rPr>
                <w:rFonts w:ascii="Arial Narrow" w:hAnsi="Arial Narrow"/>
                <w:sz w:val="18"/>
                <w:szCs w:val="18"/>
              </w:rPr>
              <w:t>was</w:t>
            </w:r>
            <w:proofErr w:type="gramEnd"/>
            <w:r w:rsidRPr="00681285">
              <w:rPr>
                <w:rFonts w:ascii="Arial Narrow" w:hAnsi="Arial Narrow"/>
                <w:sz w:val="18"/>
                <w:szCs w:val="18"/>
              </w:rPr>
              <w:t xml:space="preserve"> only partially implemented, it has been revised is currently modified for the 2022-2023</w:t>
            </w:r>
            <w:r>
              <w:rPr>
                <w:rFonts w:ascii="Arial Narrow" w:hAnsi="Arial Narrow"/>
                <w:sz w:val="18"/>
                <w:szCs w:val="18"/>
              </w:rPr>
              <w:t xml:space="preserve">. The intention of this activity is that will allow AMEP II to demonstrate how a </w:t>
            </w:r>
            <w:r w:rsidRPr="00681285">
              <w:rPr>
                <w:rFonts w:ascii="Arial Narrow" w:hAnsi="Arial Narrow"/>
                <w:sz w:val="18"/>
                <w:szCs w:val="18"/>
              </w:rPr>
              <w:t xml:space="preserve">consultation framework process </w:t>
            </w:r>
            <w:r>
              <w:rPr>
                <w:rFonts w:ascii="Arial Narrow" w:hAnsi="Arial Narrow"/>
                <w:sz w:val="18"/>
                <w:szCs w:val="18"/>
              </w:rPr>
              <w:t xml:space="preserve">can be </w:t>
            </w:r>
            <w:r w:rsidRPr="00681285">
              <w:rPr>
                <w:rFonts w:ascii="Arial Narrow" w:hAnsi="Arial Narrow"/>
                <w:sz w:val="18"/>
                <w:szCs w:val="18"/>
              </w:rPr>
              <w:t>applied to draft laws in the mineral sector</w:t>
            </w:r>
            <w:r>
              <w:rPr>
                <w:rFonts w:ascii="Arial Narrow" w:hAnsi="Arial Narrow"/>
                <w:sz w:val="18"/>
                <w:szCs w:val="18"/>
              </w:rPr>
              <w:t xml:space="preserve"> </w:t>
            </w:r>
          </w:p>
        </w:tc>
      </w:tr>
      <w:tr w:rsidR="00687E35" w:rsidRPr="00C274C9" w14:paraId="2EED62F1" w14:textId="77777777" w:rsidTr="00687E35">
        <w:trPr>
          <w:trHeight w:val="802"/>
        </w:trPr>
        <w:tc>
          <w:tcPr>
            <w:tcW w:w="1322" w:type="pct"/>
          </w:tcPr>
          <w:p w14:paraId="136BFE80" w14:textId="77777777" w:rsidR="00687E35" w:rsidRPr="00214E3F" w:rsidRDefault="00687E35" w:rsidP="0051779E">
            <w:pPr>
              <w:rPr>
                <w:rFonts w:ascii="Arial Narrow" w:hAnsi="Arial Narrow"/>
                <w:b/>
                <w:bCs/>
                <w:sz w:val="18"/>
                <w:szCs w:val="18"/>
              </w:rPr>
            </w:pPr>
            <w:r w:rsidRPr="007357E0">
              <w:rPr>
                <w:rFonts w:ascii="Arial Narrow" w:hAnsi="Arial Narrow"/>
                <w:b/>
                <w:bCs/>
                <w:sz w:val="18"/>
                <w:szCs w:val="18"/>
              </w:rPr>
              <w:t>Development of guidelines for prospecting, exploration and reporting of resources and reserves for five key minerals</w:t>
            </w:r>
          </w:p>
        </w:tc>
        <w:tc>
          <w:tcPr>
            <w:tcW w:w="3678" w:type="pct"/>
          </w:tcPr>
          <w:p w14:paraId="310F3191" w14:textId="77777777" w:rsidR="00687E35" w:rsidRPr="00C274C9" w:rsidRDefault="00687E35" w:rsidP="0051779E">
            <w:pPr>
              <w:rPr>
                <w:rFonts w:ascii="Arial Narrow" w:hAnsi="Arial Narrow"/>
                <w:b/>
                <w:bCs/>
                <w:sz w:val="18"/>
                <w:szCs w:val="18"/>
              </w:rPr>
            </w:pPr>
            <w:r>
              <w:rPr>
                <w:rFonts w:ascii="Arial Narrow" w:hAnsi="Arial Narrow"/>
                <w:sz w:val="18"/>
                <w:szCs w:val="18"/>
              </w:rPr>
              <w:t>Activity developed guidelines for</w:t>
            </w:r>
            <w:r w:rsidRPr="00407354">
              <w:rPr>
                <w:rFonts w:ascii="Arial Narrow" w:hAnsi="Arial Narrow"/>
                <w:sz w:val="18"/>
                <w:szCs w:val="18"/>
              </w:rPr>
              <w:t xml:space="preserve"> planning, supervision, preparation and reporting of mineral resource and reserve estimates</w:t>
            </w:r>
            <w:r>
              <w:rPr>
                <w:rFonts w:ascii="Arial Narrow" w:hAnsi="Arial Narrow"/>
                <w:sz w:val="18"/>
                <w:szCs w:val="18"/>
              </w:rPr>
              <w:t xml:space="preserve">. By developing a standardised </w:t>
            </w:r>
            <w:r w:rsidRPr="00407354">
              <w:rPr>
                <w:rFonts w:ascii="Arial Narrow" w:hAnsi="Arial Narrow"/>
                <w:sz w:val="18"/>
                <w:szCs w:val="18"/>
              </w:rPr>
              <w:t xml:space="preserve">reporting framework for mineral reserves and resources </w:t>
            </w:r>
            <w:r>
              <w:rPr>
                <w:rFonts w:ascii="Arial Narrow" w:hAnsi="Arial Narrow"/>
                <w:sz w:val="18"/>
                <w:szCs w:val="18"/>
              </w:rPr>
              <w:t xml:space="preserve">helps improve the </w:t>
            </w:r>
            <w:r w:rsidRPr="00407354">
              <w:rPr>
                <w:rFonts w:ascii="Arial Narrow" w:hAnsi="Arial Narrow"/>
                <w:sz w:val="18"/>
                <w:szCs w:val="18"/>
              </w:rPr>
              <w:t xml:space="preserve">transparency of </w:t>
            </w:r>
            <w:r>
              <w:rPr>
                <w:rFonts w:ascii="Arial Narrow" w:hAnsi="Arial Narrow"/>
                <w:sz w:val="18"/>
                <w:szCs w:val="18"/>
              </w:rPr>
              <w:t xml:space="preserve">the </w:t>
            </w:r>
            <w:r w:rsidRPr="00407354">
              <w:rPr>
                <w:rFonts w:ascii="Arial Narrow" w:hAnsi="Arial Narrow"/>
                <w:sz w:val="18"/>
                <w:szCs w:val="18"/>
              </w:rPr>
              <w:t>registration process</w:t>
            </w:r>
            <w:r>
              <w:rPr>
                <w:rFonts w:ascii="Arial Narrow" w:hAnsi="Arial Narrow"/>
                <w:sz w:val="18"/>
                <w:szCs w:val="18"/>
              </w:rPr>
              <w:t>.</w:t>
            </w:r>
          </w:p>
        </w:tc>
      </w:tr>
      <w:tr w:rsidR="00687E35" w:rsidRPr="00C274C9" w14:paraId="03753709" w14:textId="77777777" w:rsidTr="00687E35">
        <w:trPr>
          <w:trHeight w:val="1126"/>
        </w:trPr>
        <w:tc>
          <w:tcPr>
            <w:tcW w:w="1322" w:type="pct"/>
          </w:tcPr>
          <w:p w14:paraId="63F9742A" w14:textId="77777777" w:rsidR="00687E35" w:rsidRPr="000F4169" w:rsidRDefault="00687E35" w:rsidP="0051779E">
            <w:pPr>
              <w:rPr>
                <w:rFonts w:ascii="Arial Narrow" w:hAnsi="Arial Narrow"/>
                <w:b/>
                <w:bCs/>
                <w:sz w:val="18"/>
                <w:szCs w:val="18"/>
              </w:rPr>
            </w:pPr>
            <w:r w:rsidRPr="000F4169">
              <w:rPr>
                <w:rFonts w:ascii="Arial Narrow" w:hAnsi="Arial Narrow"/>
                <w:b/>
                <w:bCs/>
                <w:sz w:val="18"/>
                <w:szCs w:val="18"/>
              </w:rPr>
              <w:t>Advice to Inform the Revision of the Law on Subsoil</w:t>
            </w:r>
          </w:p>
        </w:tc>
        <w:tc>
          <w:tcPr>
            <w:tcW w:w="3678" w:type="pct"/>
          </w:tcPr>
          <w:p w14:paraId="73EA6D6F" w14:textId="77777777" w:rsidR="00687E35" w:rsidRPr="00C274C9" w:rsidRDefault="00687E35" w:rsidP="0051779E">
            <w:pPr>
              <w:rPr>
                <w:rFonts w:ascii="Arial Narrow" w:hAnsi="Arial Narrow"/>
                <w:b/>
                <w:bCs/>
                <w:sz w:val="18"/>
                <w:szCs w:val="18"/>
              </w:rPr>
            </w:pPr>
            <w:r w:rsidRPr="00681285">
              <w:rPr>
                <w:rFonts w:ascii="Arial Narrow" w:hAnsi="Arial Narrow"/>
                <w:sz w:val="18"/>
                <w:szCs w:val="18"/>
              </w:rPr>
              <w:t>The Law on Subsoil is the fundamental legislation to “regulate issues related to use and protection of subsoil</w:t>
            </w:r>
            <w:r>
              <w:rPr>
                <w:rFonts w:ascii="Arial Narrow" w:hAnsi="Arial Narrow"/>
                <w:sz w:val="18"/>
                <w:szCs w:val="18"/>
              </w:rPr>
              <w:t xml:space="preserve">, as </w:t>
            </w:r>
            <w:r w:rsidRPr="00681285">
              <w:rPr>
                <w:rFonts w:ascii="Arial Narrow" w:hAnsi="Arial Narrow"/>
                <w:sz w:val="18"/>
                <w:szCs w:val="18"/>
              </w:rPr>
              <w:t>such, it defines the core regulatory framework of the geology sector</w:t>
            </w:r>
            <w:r>
              <w:rPr>
                <w:rFonts w:ascii="Arial Narrow" w:hAnsi="Arial Narrow"/>
                <w:sz w:val="18"/>
                <w:szCs w:val="18"/>
              </w:rPr>
              <w:t>. S</w:t>
            </w:r>
            <w:r w:rsidRPr="00681285">
              <w:rPr>
                <w:rFonts w:ascii="Arial Narrow" w:hAnsi="Arial Narrow"/>
                <w:sz w:val="18"/>
                <w:szCs w:val="18"/>
              </w:rPr>
              <w:t>ince its passage in 1988, subsequent sectoral laws, for example Minerals Law, Petroleum Law, Law on Water have made their own provisions for similar activities without corresponding amendments to the Law on Subsoil</w:t>
            </w:r>
            <w:r>
              <w:rPr>
                <w:rFonts w:ascii="Arial Narrow" w:hAnsi="Arial Narrow"/>
                <w:sz w:val="18"/>
                <w:szCs w:val="18"/>
              </w:rPr>
              <w:t>. This activity ensured that k</w:t>
            </w:r>
            <w:r w:rsidRPr="00171D61">
              <w:rPr>
                <w:rFonts w:ascii="Arial Narrow" w:hAnsi="Arial Narrow"/>
                <w:sz w:val="18"/>
                <w:szCs w:val="18"/>
              </w:rPr>
              <w:t>ey Ministries and agencies and regulators responsible for the subsoil law operate within the consistent legislative with clearly defined responsibilities</w:t>
            </w:r>
          </w:p>
        </w:tc>
      </w:tr>
      <w:tr w:rsidR="00687E35" w:rsidRPr="00C274C9" w14:paraId="0AA17AF7" w14:textId="77777777" w:rsidTr="00687E35">
        <w:trPr>
          <w:trHeight w:val="609"/>
        </w:trPr>
        <w:tc>
          <w:tcPr>
            <w:tcW w:w="1322" w:type="pct"/>
          </w:tcPr>
          <w:p w14:paraId="42CD038D" w14:textId="77777777" w:rsidR="00687E35" w:rsidRPr="00C274C9" w:rsidRDefault="00687E35" w:rsidP="0051779E">
            <w:pPr>
              <w:rPr>
                <w:rFonts w:ascii="Arial Narrow" w:hAnsi="Arial Narrow"/>
                <w:b/>
                <w:bCs/>
                <w:sz w:val="18"/>
                <w:szCs w:val="18"/>
              </w:rPr>
            </w:pPr>
            <w:r w:rsidRPr="00A957B7">
              <w:rPr>
                <w:rFonts w:ascii="Arial Narrow" w:hAnsi="Arial Narrow"/>
                <w:b/>
                <w:bCs/>
                <w:sz w:val="18"/>
                <w:szCs w:val="18"/>
              </w:rPr>
              <w:t>Development of e-learning program on gender issues in the mining sector</w:t>
            </w:r>
          </w:p>
        </w:tc>
        <w:tc>
          <w:tcPr>
            <w:tcW w:w="3678" w:type="pct"/>
          </w:tcPr>
          <w:p w14:paraId="4E0E034D" w14:textId="77777777" w:rsidR="00687E35" w:rsidRPr="00C274C9" w:rsidRDefault="00687E35" w:rsidP="0051779E">
            <w:pPr>
              <w:rPr>
                <w:rFonts w:ascii="Arial Narrow" w:hAnsi="Arial Narrow"/>
                <w:b/>
                <w:bCs/>
                <w:sz w:val="18"/>
                <w:szCs w:val="18"/>
              </w:rPr>
            </w:pPr>
            <w:r>
              <w:rPr>
                <w:rFonts w:ascii="Arial Narrow" w:hAnsi="Arial Narrow"/>
                <w:b/>
                <w:bCs/>
                <w:sz w:val="18"/>
                <w:szCs w:val="18"/>
              </w:rPr>
              <w:t xml:space="preserve">AMEP II assisted </w:t>
            </w:r>
            <w:r w:rsidRPr="00302F4E">
              <w:rPr>
                <w:rFonts w:ascii="Arial Narrow" w:hAnsi="Arial Narrow"/>
                <w:sz w:val="18"/>
                <w:szCs w:val="18"/>
              </w:rPr>
              <w:t xml:space="preserve">MMHI with the implementation of </w:t>
            </w:r>
            <w:r>
              <w:rPr>
                <w:rFonts w:ascii="Arial Narrow" w:hAnsi="Arial Narrow"/>
                <w:sz w:val="18"/>
                <w:szCs w:val="18"/>
              </w:rPr>
              <w:t xml:space="preserve">its </w:t>
            </w:r>
            <w:r w:rsidRPr="00302F4E">
              <w:rPr>
                <w:rFonts w:ascii="Arial Narrow" w:hAnsi="Arial Narrow"/>
                <w:sz w:val="18"/>
                <w:szCs w:val="18"/>
              </w:rPr>
              <w:t xml:space="preserve">Gender Policy, </w:t>
            </w:r>
            <w:r>
              <w:rPr>
                <w:rFonts w:ascii="Arial Narrow" w:hAnsi="Arial Narrow"/>
                <w:sz w:val="18"/>
                <w:szCs w:val="18"/>
              </w:rPr>
              <w:t xml:space="preserve">by helping with </w:t>
            </w:r>
            <w:r w:rsidRPr="00302F4E">
              <w:rPr>
                <w:rFonts w:ascii="Arial Narrow" w:hAnsi="Arial Narrow"/>
                <w:sz w:val="18"/>
                <w:szCs w:val="18"/>
              </w:rPr>
              <w:t xml:space="preserve">the development of an e-learning program on gender issues in the mining sector based on </w:t>
            </w:r>
            <w:r>
              <w:rPr>
                <w:rFonts w:ascii="Arial Narrow" w:hAnsi="Arial Narrow"/>
                <w:sz w:val="18"/>
                <w:szCs w:val="18"/>
              </w:rPr>
              <w:t xml:space="preserve">a </w:t>
            </w:r>
            <w:r w:rsidRPr="00302F4E">
              <w:rPr>
                <w:rFonts w:ascii="Arial Narrow" w:hAnsi="Arial Narrow"/>
                <w:sz w:val="18"/>
                <w:szCs w:val="18"/>
              </w:rPr>
              <w:t>training handbook.</w:t>
            </w:r>
            <w:r>
              <w:rPr>
                <w:rFonts w:ascii="Arial Narrow" w:hAnsi="Arial Narrow"/>
                <w:sz w:val="18"/>
                <w:szCs w:val="18"/>
              </w:rPr>
              <w:t xml:space="preserve"> This activity contributes to </w:t>
            </w:r>
            <w:r w:rsidRPr="00302F4E">
              <w:rPr>
                <w:rFonts w:ascii="Arial Narrow" w:hAnsi="Arial Narrow"/>
                <w:sz w:val="18"/>
                <w:szCs w:val="18"/>
              </w:rPr>
              <w:t>Improved practices around gender inclusion, diversity, and human rights within the sector</w:t>
            </w:r>
            <w:r>
              <w:rPr>
                <w:rFonts w:ascii="Arial Narrow" w:hAnsi="Arial Narrow"/>
                <w:sz w:val="18"/>
                <w:szCs w:val="18"/>
              </w:rPr>
              <w:t>.</w:t>
            </w:r>
          </w:p>
        </w:tc>
      </w:tr>
      <w:tr w:rsidR="00687E35" w:rsidRPr="007E4041" w14:paraId="5F2D40F5" w14:textId="77777777" w:rsidTr="00687E35">
        <w:trPr>
          <w:trHeight w:val="1184"/>
        </w:trPr>
        <w:tc>
          <w:tcPr>
            <w:tcW w:w="1322" w:type="pct"/>
          </w:tcPr>
          <w:p w14:paraId="15D7D132" w14:textId="77777777" w:rsidR="00687E35" w:rsidRPr="00C274C9" w:rsidRDefault="00687E35" w:rsidP="0051779E">
            <w:pPr>
              <w:rPr>
                <w:rFonts w:ascii="Arial Narrow" w:hAnsi="Arial Narrow"/>
                <w:b/>
                <w:bCs/>
                <w:sz w:val="18"/>
                <w:szCs w:val="18"/>
              </w:rPr>
            </w:pPr>
            <w:r w:rsidRPr="00D05643">
              <w:rPr>
                <w:rFonts w:ascii="Arial Narrow" w:hAnsi="Arial Narrow"/>
                <w:b/>
                <w:bCs/>
                <w:sz w:val="18"/>
                <w:szCs w:val="18"/>
              </w:rPr>
              <w:t>Improved Geoscience Data for Coalbed Methane</w:t>
            </w:r>
          </w:p>
        </w:tc>
        <w:tc>
          <w:tcPr>
            <w:tcW w:w="3678" w:type="pct"/>
          </w:tcPr>
          <w:p w14:paraId="13813725" w14:textId="77777777" w:rsidR="00687E35" w:rsidRPr="007E4041" w:rsidRDefault="00687E35" w:rsidP="0051779E">
            <w:pPr>
              <w:rPr>
                <w:rFonts w:ascii="Arial Narrow" w:hAnsi="Arial Narrow"/>
                <w:sz w:val="18"/>
                <w:szCs w:val="18"/>
              </w:rPr>
            </w:pPr>
            <w:r w:rsidRPr="007E4041">
              <w:rPr>
                <w:rFonts w:ascii="Arial Narrow" w:hAnsi="Arial Narrow"/>
                <w:sz w:val="18"/>
                <w:szCs w:val="18"/>
              </w:rPr>
              <w:t xml:space="preserve">This activity builds on AMEP II support in 2020-2021, and has contributed to improving the quality of geo-science data available to potential investors in the coal bed methane (CBM) sector. The activity included collecting </w:t>
            </w:r>
            <w:r>
              <w:rPr>
                <w:rFonts w:ascii="Arial Narrow" w:hAnsi="Arial Narrow"/>
                <w:sz w:val="18"/>
                <w:szCs w:val="18"/>
              </w:rPr>
              <w:t xml:space="preserve">relevant CBM </w:t>
            </w:r>
            <w:r w:rsidRPr="007E4041">
              <w:rPr>
                <w:rFonts w:ascii="Arial Narrow" w:hAnsi="Arial Narrow"/>
                <w:sz w:val="18"/>
                <w:szCs w:val="18"/>
              </w:rPr>
              <w:t>geo data and metadata</w:t>
            </w:r>
            <w:r>
              <w:rPr>
                <w:rFonts w:ascii="Arial Narrow" w:hAnsi="Arial Narrow"/>
                <w:sz w:val="18"/>
                <w:szCs w:val="18"/>
              </w:rPr>
              <w:t>, which was then</w:t>
            </w:r>
            <w:r w:rsidRPr="007E4041">
              <w:rPr>
                <w:rFonts w:ascii="Arial Narrow" w:hAnsi="Arial Narrow"/>
                <w:sz w:val="18"/>
                <w:szCs w:val="18"/>
              </w:rPr>
              <w:t xml:space="preserve"> entered to the NGDB and </w:t>
            </w:r>
            <w:proofErr w:type="spellStart"/>
            <w:r w:rsidRPr="007E4041">
              <w:rPr>
                <w:rFonts w:ascii="Arial Narrow" w:hAnsi="Arial Narrow"/>
                <w:sz w:val="18"/>
                <w:szCs w:val="18"/>
              </w:rPr>
              <w:t>MonGeoCat</w:t>
            </w:r>
            <w:proofErr w:type="spellEnd"/>
            <w:r>
              <w:rPr>
                <w:rFonts w:ascii="Arial Narrow" w:hAnsi="Arial Narrow"/>
                <w:sz w:val="18"/>
                <w:szCs w:val="18"/>
              </w:rPr>
              <w:t xml:space="preserve">. This activity also aligns with </w:t>
            </w:r>
            <w:r w:rsidRPr="00FD66DF">
              <w:rPr>
                <w:rFonts w:ascii="Arial Narrow" w:hAnsi="Arial Narrow"/>
                <w:sz w:val="18"/>
                <w:szCs w:val="18"/>
              </w:rPr>
              <w:t>the Ministry of Energy’s efforts, supported by the Asian Development Bank, to examine the possibilities CBM offers for cleaner energy, particularly for Ulaanbaatar</w:t>
            </w:r>
            <w:r>
              <w:rPr>
                <w:rFonts w:ascii="Arial Narrow" w:hAnsi="Arial Narrow"/>
                <w:sz w:val="18"/>
                <w:szCs w:val="18"/>
              </w:rPr>
              <w:t>.</w:t>
            </w:r>
          </w:p>
        </w:tc>
      </w:tr>
      <w:tr w:rsidR="00687E35" w:rsidRPr="007E4041" w14:paraId="7E05683F" w14:textId="77777777" w:rsidTr="00687E35">
        <w:trPr>
          <w:trHeight w:val="988"/>
        </w:trPr>
        <w:tc>
          <w:tcPr>
            <w:tcW w:w="1322" w:type="pct"/>
          </w:tcPr>
          <w:p w14:paraId="6621F1E2" w14:textId="77777777" w:rsidR="00687E35" w:rsidRPr="007E4041" w:rsidRDefault="00687E35" w:rsidP="0051779E">
            <w:pPr>
              <w:rPr>
                <w:rFonts w:ascii="Arial Narrow" w:hAnsi="Arial Narrow"/>
                <w:b/>
                <w:bCs/>
                <w:sz w:val="18"/>
                <w:szCs w:val="18"/>
              </w:rPr>
            </w:pPr>
            <w:r w:rsidRPr="007E4041">
              <w:rPr>
                <w:rFonts w:ascii="Arial Narrow" w:hAnsi="Arial Narrow"/>
                <w:b/>
                <w:bCs/>
                <w:sz w:val="18"/>
                <w:szCs w:val="18"/>
              </w:rPr>
              <w:lastRenderedPageBreak/>
              <w:t>Data Processing and Quality Assurance on Rare Earth Element Rock Samples</w:t>
            </w:r>
          </w:p>
        </w:tc>
        <w:tc>
          <w:tcPr>
            <w:tcW w:w="3678" w:type="pct"/>
          </w:tcPr>
          <w:p w14:paraId="3F49671C" w14:textId="77777777" w:rsidR="00687E35" w:rsidRPr="007E4041" w:rsidRDefault="00687E35" w:rsidP="0051779E">
            <w:pPr>
              <w:rPr>
                <w:rFonts w:ascii="Arial Narrow" w:hAnsi="Arial Narrow"/>
                <w:sz w:val="18"/>
                <w:szCs w:val="18"/>
              </w:rPr>
            </w:pPr>
            <w:r w:rsidRPr="00FD66DF">
              <w:rPr>
                <w:rFonts w:ascii="Arial Narrow" w:hAnsi="Arial Narrow"/>
                <w:sz w:val="18"/>
                <w:szCs w:val="18"/>
              </w:rPr>
              <w:t xml:space="preserve">NGS requested </w:t>
            </w:r>
            <w:r>
              <w:rPr>
                <w:rFonts w:ascii="Arial Narrow" w:hAnsi="Arial Narrow"/>
                <w:sz w:val="18"/>
                <w:szCs w:val="18"/>
              </w:rPr>
              <w:t>AMEP II</w:t>
            </w:r>
            <w:r w:rsidRPr="00FD66DF">
              <w:rPr>
                <w:rFonts w:ascii="Arial Narrow" w:hAnsi="Arial Narrow"/>
                <w:sz w:val="18"/>
                <w:szCs w:val="18"/>
              </w:rPr>
              <w:t xml:space="preserve"> review the laboratory data relating to rock samples and, where necessary, to carry out updated geochemical/</w:t>
            </w:r>
            <w:r>
              <w:rPr>
                <w:rFonts w:ascii="Arial Narrow" w:hAnsi="Arial Narrow"/>
                <w:sz w:val="18"/>
                <w:szCs w:val="18"/>
              </w:rPr>
              <w:t xml:space="preserve"> </w:t>
            </w:r>
            <w:r w:rsidRPr="00FD66DF">
              <w:rPr>
                <w:rFonts w:ascii="Arial Narrow" w:hAnsi="Arial Narrow"/>
                <w:sz w:val="18"/>
                <w:szCs w:val="18"/>
              </w:rPr>
              <w:t>geophysical/</w:t>
            </w:r>
            <w:r>
              <w:rPr>
                <w:rFonts w:ascii="Arial Narrow" w:hAnsi="Arial Narrow"/>
                <w:sz w:val="18"/>
                <w:szCs w:val="18"/>
              </w:rPr>
              <w:t xml:space="preserve"> </w:t>
            </w:r>
            <w:r w:rsidRPr="00FD66DF">
              <w:rPr>
                <w:rFonts w:ascii="Arial Narrow" w:hAnsi="Arial Narrow"/>
                <w:sz w:val="18"/>
                <w:szCs w:val="18"/>
              </w:rPr>
              <w:t xml:space="preserve">geochronological studies.  </w:t>
            </w:r>
            <w:r>
              <w:rPr>
                <w:rFonts w:ascii="Arial Narrow" w:hAnsi="Arial Narrow"/>
                <w:sz w:val="18"/>
                <w:szCs w:val="18"/>
              </w:rPr>
              <w:t>This activity contributes to ensuring</w:t>
            </w:r>
            <w:r w:rsidRPr="00FD66DF">
              <w:rPr>
                <w:rFonts w:ascii="Arial Narrow" w:hAnsi="Arial Narrow"/>
                <w:sz w:val="18"/>
                <w:szCs w:val="18"/>
              </w:rPr>
              <w:t xml:space="preserve"> the accuracy of previous laboratory analysis and enhance the quality of data presented on the geo-database with the use of new technology</w:t>
            </w:r>
            <w:r>
              <w:rPr>
                <w:rFonts w:ascii="Arial Narrow" w:hAnsi="Arial Narrow"/>
                <w:sz w:val="18"/>
                <w:szCs w:val="18"/>
              </w:rPr>
              <w:t xml:space="preserve">. Relevant metadata was entered into the NGDB and </w:t>
            </w:r>
            <w:proofErr w:type="spellStart"/>
            <w:r w:rsidRPr="00FD66DF">
              <w:rPr>
                <w:rFonts w:ascii="Arial Narrow" w:hAnsi="Arial Narrow"/>
                <w:sz w:val="18"/>
                <w:szCs w:val="18"/>
              </w:rPr>
              <w:t>MonGeoCat</w:t>
            </w:r>
            <w:proofErr w:type="spellEnd"/>
            <w:r>
              <w:rPr>
                <w:rFonts w:ascii="Arial Narrow" w:hAnsi="Arial Narrow"/>
                <w:sz w:val="18"/>
                <w:szCs w:val="18"/>
              </w:rPr>
              <w:t>.</w:t>
            </w:r>
          </w:p>
        </w:tc>
      </w:tr>
    </w:tbl>
    <w:p w14:paraId="300753F3" w14:textId="776BA9F5" w:rsidR="0032527C" w:rsidRPr="00B677B4" w:rsidRDefault="0032527C" w:rsidP="00687E35">
      <w:pPr>
        <w:rPr>
          <w:rStyle w:val="Heading"/>
        </w:rPr>
      </w:pPr>
    </w:p>
    <w:sectPr w:rsidR="0032527C" w:rsidRPr="00B677B4" w:rsidSect="002B57E3">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8EF8" w14:textId="77777777" w:rsidR="00DA6ED2" w:rsidRDefault="00DA6ED2" w:rsidP="00C73CEA">
      <w:r>
        <w:separator/>
      </w:r>
    </w:p>
  </w:endnote>
  <w:endnote w:type="continuationSeparator" w:id="0">
    <w:p w14:paraId="0A5A1954" w14:textId="77777777" w:rsidR="00DA6ED2" w:rsidRDefault="00DA6ED2" w:rsidP="00C73CEA">
      <w:r>
        <w:continuationSeparator/>
      </w:r>
    </w:p>
  </w:endnote>
  <w:endnote w:type="continuationNotice" w:id="1">
    <w:p w14:paraId="7E7F7E0E" w14:textId="77777777" w:rsidR="00DA6ED2" w:rsidRDefault="00DA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swald Light">
    <w:altName w:val="Arial Narrow"/>
    <w:charset w:val="00"/>
    <w:family w:val="auto"/>
    <w:pitch w:val="variable"/>
    <w:sig w:usb0="2000020F" w:usb1="00000000"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Oswald">
    <w:altName w:val="Oswald"/>
    <w:charset w:val="00"/>
    <w:family w:val="auto"/>
    <w:pitch w:val="variable"/>
    <w:sig w:usb0="2000020F" w:usb1="00000000" w:usb2="00000000" w:usb3="00000000" w:csb0="00000197" w:csb1="00000000"/>
  </w:font>
  <w:font w:name="Minion Pro">
    <w:altName w:val="Cambria"/>
    <w:charset w:val="00"/>
    <w:family w:val="roman"/>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Bahnschrift Ligh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5EF9" w14:textId="58900381" w:rsidR="00CA4FF8" w:rsidRDefault="00FD30F3" w:rsidP="00F35C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C376D">
      <w:rPr>
        <w:rStyle w:val="PageNumber"/>
        <w:noProof/>
      </w:rPr>
      <w:t>2</w:t>
    </w:r>
    <w:r>
      <w:rPr>
        <w:rStyle w:val="PageNumber"/>
      </w:rPr>
      <w:fldChar w:fldCharType="end"/>
    </w:r>
  </w:p>
  <w:p w14:paraId="694F5517" w14:textId="53EA8817" w:rsidR="00CA4FF8" w:rsidRDefault="00FD30F3" w:rsidP="00F35CD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C376D">
      <w:rPr>
        <w:rStyle w:val="PageNumber"/>
        <w:noProof/>
      </w:rPr>
      <w:t>2</w:t>
    </w:r>
    <w:r>
      <w:rPr>
        <w:rStyle w:val="PageNumber"/>
      </w:rPr>
      <w:fldChar w:fldCharType="end"/>
    </w:r>
  </w:p>
  <w:p w14:paraId="23803D02" w14:textId="77777777" w:rsidR="00CA4FF8" w:rsidRDefault="00CA4FF8" w:rsidP="00CA4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351659"/>
      <w:docPartObj>
        <w:docPartGallery w:val="Page Numbers (Bottom of Page)"/>
        <w:docPartUnique/>
      </w:docPartObj>
    </w:sdtPr>
    <w:sdtContent>
      <w:p w14:paraId="6D2D3A0F" w14:textId="77777777" w:rsidR="00CA4FF8" w:rsidRDefault="00FD30F3" w:rsidP="00CA4FF8">
        <w:pPr>
          <w:pStyle w:val="Subheading"/>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19485B" w14:textId="7F1EBB9A" w:rsidR="00CA4FF8" w:rsidRPr="009247F0" w:rsidRDefault="009247F0" w:rsidP="009247F0">
    <w:pPr>
      <w:rPr>
        <w:rFonts w:ascii="Oswald" w:hAnsi="Oswald"/>
        <w:sz w:val="13"/>
        <w:szCs w:val="13"/>
      </w:rPr>
    </w:pPr>
    <w:r w:rsidRPr="009247F0">
      <w:rPr>
        <w:rFonts w:ascii="Oswald" w:hAnsi="Oswald" w:cs="Times New Roman (Body CS)"/>
        <w:spacing w:val="80"/>
        <w:sz w:val="13"/>
        <w:szCs w:val="13"/>
      </w:rPr>
      <w:t>FORWARD THINKING PROJECTS. THRIVING COMMUNITIES.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897F" w14:textId="67FBE5EB" w:rsidR="00CA4FF8" w:rsidRPr="009247F0" w:rsidRDefault="009247F0" w:rsidP="009247F0">
    <w:pPr>
      <w:rPr>
        <w:rFonts w:ascii="Oswald" w:hAnsi="Oswald"/>
        <w:sz w:val="13"/>
        <w:szCs w:val="13"/>
      </w:rPr>
    </w:pPr>
    <w:r w:rsidRPr="009247F0">
      <w:rPr>
        <w:rFonts w:ascii="Oswald" w:hAnsi="Oswald" w:cs="Times New Roman (Body CS)"/>
        <w:spacing w:val="80"/>
        <w:sz w:val="13"/>
        <w:szCs w:val="13"/>
      </w:rPr>
      <w:t>FORWARD THINKING PROJECTS. THRIVING COMMUNITIE</w:t>
    </w:r>
    <w:r w:rsidRPr="009247F0">
      <w:rPr>
        <w:rFonts w:ascii="Oswald" w:hAnsi="Oswald" w:cs="Times New Roman (Body CS)"/>
        <w:spacing w:val="80"/>
        <w:sz w:val="13"/>
        <w:szCs w:val="13"/>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AD8" w14:textId="77777777" w:rsidR="00DA6ED2" w:rsidRDefault="00DA6ED2" w:rsidP="00C73CEA">
      <w:r>
        <w:separator/>
      </w:r>
    </w:p>
  </w:footnote>
  <w:footnote w:type="continuationSeparator" w:id="0">
    <w:p w14:paraId="73FD17E4" w14:textId="77777777" w:rsidR="00DA6ED2" w:rsidRDefault="00DA6ED2" w:rsidP="00C73CEA">
      <w:r>
        <w:continuationSeparator/>
      </w:r>
    </w:p>
  </w:footnote>
  <w:footnote w:type="continuationNotice" w:id="1">
    <w:p w14:paraId="0F1F7FD9" w14:textId="77777777" w:rsidR="00DA6ED2" w:rsidRDefault="00DA6ED2"/>
  </w:footnote>
  <w:footnote w:id="2">
    <w:p w14:paraId="3E76D4D6" w14:textId="61EBE436" w:rsidR="0049770F" w:rsidRPr="0049770F" w:rsidRDefault="0049770F">
      <w:pPr>
        <w:pStyle w:val="FootnoteText"/>
        <w:rPr>
          <w:lang w:val="en-GB"/>
        </w:rPr>
      </w:pPr>
      <w:r>
        <w:rPr>
          <w:rStyle w:val="FootnoteReference"/>
        </w:rPr>
        <w:footnoteRef/>
      </w:r>
      <w:r>
        <w:t xml:space="preserve"> </w:t>
      </w:r>
      <w:r w:rsidR="00414F78">
        <w:rPr>
          <w:lang w:val="en-GB"/>
        </w:rPr>
        <w:t>The</w:t>
      </w:r>
      <w:r>
        <w:rPr>
          <w:lang w:val="en-GB"/>
        </w:rPr>
        <w:t xml:space="preserve"> AMEP II Annual Report (2021 -22) notes – Mongolia is 75</w:t>
      </w:r>
      <w:r w:rsidRPr="0049770F">
        <w:rPr>
          <w:vertAlign w:val="superscript"/>
          <w:lang w:val="en-GB"/>
        </w:rPr>
        <w:t>th</w:t>
      </w:r>
      <w:r>
        <w:rPr>
          <w:lang w:val="en-GB"/>
        </w:rPr>
        <w:t xml:space="preserve"> on the Fraser Institute’s Annual Mining Survey for its poor policies that inhibit investment in the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5E23" w14:textId="77777777" w:rsidR="00C73CEA" w:rsidRDefault="00C73CEA">
    <w:pPr>
      <w:pStyle w:val="Header"/>
    </w:pPr>
    <w:r>
      <w:rPr>
        <w:noProof/>
      </w:rPr>
      <w:drawing>
        <wp:inline distT="0" distB="0" distL="0" distR="0" wp14:anchorId="0ACE8D2E" wp14:editId="4B081AAD">
          <wp:extent cx="346841" cy="346841"/>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6DC66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45pt;height:145pt" o:bullet="t">
        <v:imagedata r:id="rId1" o:title="Triangles"/>
      </v:shape>
    </w:pict>
  </w:numPicBullet>
  <w:abstractNum w:abstractNumId="0" w15:restartNumberingAfterBreak="0">
    <w:nsid w:val="0285509F"/>
    <w:multiLevelType w:val="hybridMultilevel"/>
    <w:tmpl w:val="5AC46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30055"/>
    <w:multiLevelType w:val="hybridMultilevel"/>
    <w:tmpl w:val="F9C6A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2040E"/>
    <w:multiLevelType w:val="hybridMultilevel"/>
    <w:tmpl w:val="76727522"/>
    <w:lvl w:ilvl="0" w:tplc="638A16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5755E0"/>
    <w:multiLevelType w:val="multilevel"/>
    <w:tmpl w:val="0D82B9E6"/>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B1A45"/>
    <w:multiLevelType w:val="hybridMultilevel"/>
    <w:tmpl w:val="D3DE7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897F30"/>
    <w:multiLevelType w:val="hybridMultilevel"/>
    <w:tmpl w:val="99CEF05A"/>
    <w:lvl w:ilvl="0" w:tplc="8FAC1FF8">
      <w:start w:val="1"/>
      <w:numFmt w:val="bullet"/>
      <w:lvlText w:val=""/>
      <w:lvlPicBulletId w:val="0"/>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F4458"/>
    <w:multiLevelType w:val="hybridMultilevel"/>
    <w:tmpl w:val="4A68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40572"/>
    <w:multiLevelType w:val="hybridMultilevel"/>
    <w:tmpl w:val="34F61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01809"/>
    <w:multiLevelType w:val="hybridMultilevel"/>
    <w:tmpl w:val="135E5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32D4F"/>
    <w:multiLevelType w:val="hybridMultilevel"/>
    <w:tmpl w:val="148E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790255"/>
    <w:multiLevelType w:val="hybridMultilevel"/>
    <w:tmpl w:val="48B24352"/>
    <w:lvl w:ilvl="0" w:tplc="7B90EAE8">
      <w:start w:val="7"/>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9322524"/>
    <w:multiLevelType w:val="hybridMultilevel"/>
    <w:tmpl w:val="35B0EF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9B6666"/>
    <w:multiLevelType w:val="hybridMultilevel"/>
    <w:tmpl w:val="55E47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C4EC0"/>
    <w:multiLevelType w:val="hybridMultilevel"/>
    <w:tmpl w:val="053C075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081C86"/>
    <w:multiLevelType w:val="hybridMultilevel"/>
    <w:tmpl w:val="DF28BF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C797C"/>
    <w:multiLevelType w:val="hybridMultilevel"/>
    <w:tmpl w:val="3C4CAC02"/>
    <w:lvl w:ilvl="0" w:tplc="0A4C79AC">
      <w:start w:val="1"/>
      <w:numFmt w:val="bullet"/>
      <w:lvlText w:val=""/>
      <w:lvlJc w:val="left"/>
      <w:pPr>
        <w:ind w:left="720" w:hanging="360"/>
      </w:pPr>
      <w:rPr>
        <w:rFonts w:ascii="Symbol" w:hAnsi="Symbol" w:hint="default"/>
        <w:color w:val="00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E439DB"/>
    <w:multiLevelType w:val="hybridMultilevel"/>
    <w:tmpl w:val="93F8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659FC"/>
    <w:multiLevelType w:val="multilevel"/>
    <w:tmpl w:val="911A2E9C"/>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AE6B65"/>
    <w:multiLevelType w:val="multilevel"/>
    <w:tmpl w:val="038A024A"/>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9" w15:restartNumberingAfterBreak="0">
    <w:nsid w:val="404B391D"/>
    <w:multiLevelType w:val="hybridMultilevel"/>
    <w:tmpl w:val="BD98F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40AC2"/>
    <w:multiLevelType w:val="multilevel"/>
    <w:tmpl w:val="DF28BFCA"/>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B69BA"/>
    <w:multiLevelType w:val="hybridMultilevel"/>
    <w:tmpl w:val="DF28B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D70BC7"/>
    <w:multiLevelType w:val="hybridMultilevel"/>
    <w:tmpl w:val="7EA89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35E5F"/>
    <w:multiLevelType w:val="multilevel"/>
    <w:tmpl w:val="7A5A2C9C"/>
    <w:lvl w:ilvl="0">
      <w:start w:val="1"/>
      <w:numFmt w:val="bullet"/>
      <w:lvlText w:val=""/>
      <w:lvlJc w:val="left"/>
      <w:pPr>
        <w:ind w:left="840" w:hanging="210"/>
      </w:pPr>
      <w:rPr>
        <w:rFonts w:ascii="Wingdings" w:hAnsi="Wingdings" w:hint="default"/>
        <w:b/>
        <w:i w:val="0"/>
        <w:color w:val="auto"/>
        <w:sz w:val="22"/>
      </w:rPr>
    </w:lvl>
    <w:lvl w:ilvl="1">
      <w:start w:val="1"/>
      <w:numFmt w:val="bullet"/>
      <w:lvlRestart w:val="0"/>
      <w:suff w:val="space"/>
      <w:lvlText w:val="–"/>
      <w:lvlJc w:val="left"/>
      <w:pPr>
        <w:ind w:left="1061" w:hanging="204"/>
      </w:pPr>
      <w:rPr>
        <w:rFonts w:ascii="Calibri" w:hAnsi="Calibri" w:hint="default"/>
        <w:b/>
        <w:i w:val="0"/>
        <w:color w:val="27306C"/>
        <w:sz w:val="22"/>
      </w:rPr>
    </w:lvl>
    <w:lvl w:ilvl="2">
      <w:start w:val="1"/>
      <w:numFmt w:val="bullet"/>
      <w:lvlRestart w:val="0"/>
      <w:lvlText w:val=""/>
      <w:lvlJc w:val="left"/>
      <w:pPr>
        <w:ind w:left="1288" w:hanging="205"/>
      </w:pPr>
      <w:rPr>
        <w:rFonts w:ascii="Symbol" w:hAnsi="Symbol" w:hint="default"/>
        <w:b/>
        <w:i w:val="0"/>
        <w:color w:val="auto"/>
        <w:sz w:val="22"/>
      </w:rPr>
    </w:lvl>
    <w:lvl w:ilvl="3">
      <w:start w:val="1"/>
      <w:numFmt w:val="bullet"/>
      <w:lvlRestart w:val="0"/>
      <w:lvlText w:val="–"/>
      <w:lvlJc w:val="left"/>
      <w:pPr>
        <w:ind w:left="1537" w:hanging="227"/>
      </w:pPr>
      <w:rPr>
        <w:rFonts w:ascii="Calibri" w:hAnsi="Calibri" w:hint="default"/>
        <w:b/>
        <w:i w:val="0"/>
        <w:color w:val="27306C"/>
        <w:sz w:val="22"/>
      </w:rPr>
    </w:lvl>
    <w:lvl w:ilvl="4">
      <w:start w:val="1"/>
      <w:numFmt w:val="bullet"/>
      <w:lvlText w:val=""/>
      <w:lvlJc w:val="left"/>
      <w:pPr>
        <w:tabs>
          <w:tab w:val="num" w:pos="4003"/>
        </w:tabs>
        <w:ind w:left="4003" w:hanging="360"/>
      </w:pPr>
      <w:rPr>
        <w:rFonts w:ascii="Symbol" w:hAnsi="Symbol" w:hint="default"/>
        <w:color w:val="auto"/>
      </w:rPr>
    </w:lvl>
    <w:lvl w:ilvl="5">
      <w:start w:val="1"/>
      <w:numFmt w:val="bullet"/>
      <w:lvlText w:val=""/>
      <w:lvlJc w:val="left"/>
      <w:pPr>
        <w:tabs>
          <w:tab w:val="num" w:pos="4723"/>
        </w:tabs>
        <w:ind w:left="4723" w:hanging="360"/>
      </w:pPr>
      <w:rPr>
        <w:rFonts w:ascii="Wingdings" w:hAnsi="Wingdings" w:hint="default"/>
      </w:rPr>
    </w:lvl>
    <w:lvl w:ilvl="6">
      <w:start w:val="1"/>
      <w:numFmt w:val="bullet"/>
      <w:lvlText w:val=""/>
      <w:lvlJc w:val="left"/>
      <w:pPr>
        <w:tabs>
          <w:tab w:val="num" w:pos="5443"/>
        </w:tabs>
        <w:ind w:left="5443" w:hanging="360"/>
      </w:pPr>
      <w:rPr>
        <w:rFonts w:ascii="Symbol" w:hAnsi="Symbol" w:hint="default"/>
      </w:rPr>
    </w:lvl>
    <w:lvl w:ilvl="7">
      <w:start w:val="1"/>
      <w:numFmt w:val="bullet"/>
      <w:lvlText w:val="o"/>
      <w:lvlJc w:val="left"/>
      <w:pPr>
        <w:tabs>
          <w:tab w:val="num" w:pos="6163"/>
        </w:tabs>
        <w:ind w:left="6163" w:hanging="360"/>
      </w:pPr>
      <w:rPr>
        <w:rFonts w:ascii="Courier New" w:hAnsi="Courier New" w:hint="default"/>
      </w:rPr>
    </w:lvl>
    <w:lvl w:ilvl="8">
      <w:start w:val="1"/>
      <w:numFmt w:val="bullet"/>
      <w:lvlText w:val=""/>
      <w:lvlJc w:val="left"/>
      <w:pPr>
        <w:tabs>
          <w:tab w:val="num" w:pos="6883"/>
        </w:tabs>
        <w:ind w:left="6883" w:hanging="360"/>
      </w:pPr>
      <w:rPr>
        <w:rFonts w:ascii="Wingdings" w:hAnsi="Wingdings" w:hint="default"/>
      </w:rPr>
    </w:lvl>
  </w:abstractNum>
  <w:abstractNum w:abstractNumId="24" w15:restartNumberingAfterBreak="0">
    <w:nsid w:val="4795638E"/>
    <w:multiLevelType w:val="multilevel"/>
    <w:tmpl w:val="2BC8E9DA"/>
    <w:lvl w:ilvl="0">
      <w:start w:val="1"/>
      <w:numFmt w:val="decimal"/>
      <w:pStyle w:val="WFPKparno"/>
      <w:lvlText w:val="%1."/>
      <w:lvlJc w:val="left"/>
      <w:pPr>
        <w:ind w:left="360" w:hanging="360"/>
      </w:pPr>
      <w:rPr>
        <w:rFonts w:hint="default"/>
        <w:b w:val="0"/>
        <w:i w:val="0"/>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4725BD"/>
    <w:multiLevelType w:val="hybridMultilevel"/>
    <w:tmpl w:val="07440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706A7E"/>
    <w:multiLevelType w:val="multilevel"/>
    <w:tmpl w:val="1DC0D26C"/>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A60E04"/>
    <w:multiLevelType w:val="hybridMultilevel"/>
    <w:tmpl w:val="B3C88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7493A"/>
    <w:multiLevelType w:val="hybridMultilevel"/>
    <w:tmpl w:val="F25EBC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78B3470"/>
    <w:multiLevelType w:val="hybridMultilevel"/>
    <w:tmpl w:val="E0C0C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D13B7C"/>
    <w:multiLevelType w:val="hybridMultilevel"/>
    <w:tmpl w:val="8D7E8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824325"/>
    <w:multiLevelType w:val="hybridMultilevel"/>
    <w:tmpl w:val="45FE8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0B71C9"/>
    <w:multiLevelType w:val="hybridMultilevel"/>
    <w:tmpl w:val="1EE48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522B77"/>
    <w:multiLevelType w:val="multilevel"/>
    <w:tmpl w:val="0D82B9E6"/>
    <w:styleLink w:val="CurrentList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DF4EDB"/>
    <w:multiLevelType w:val="multilevel"/>
    <w:tmpl w:val="167007B6"/>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5" w15:restartNumberingAfterBreak="0">
    <w:nsid w:val="69AB086F"/>
    <w:multiLevelType w:val="hybridMultilevel"/>
    <w:tmpl w:val="8B84A94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D8C6680"/>
    <w:multiLevelType w:val="multilevel"/>
    <w:tmpl w:val="20FA9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8A6154"/>
    <w:multiLevelType w:val="hybridMultilevel"/>
    <w:tmpl w:val="3F2E1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20564"/>
    <w:multiLevelType w:val="hybridMultilevel"/>
    <w:tmpl w:val="698461F2"/>
    <w:lvl w:ilvl="0" w:tplc="05A83A62">
      <w:start w:val="1"/>
      <w:numFmt w:val="decimal"/>
      <w:pStyle w:val="Heading8"/>
      <w:lvlText w:val="Table %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9" w15:restartNumberingAfterBreak="0">
    <w:nsid w:val="75C276F4"/>
    <w:multiLevelType w:val="hybridMultilevel"/>
    <w:tmpl w:val="8892C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82C5D"/>
    <w:multiLevelType w:val="hybridMultilevel"/>
    <w:tmpl w:val="4EC09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EC34C1"/>
    <w:multiLevelType w:val="multilevel"/>
    <w:tmpl w:val="12F0CB4A"/>
    <w:lvl w:ilvl="0">
      <w:start w:val="1"/>
      <w:numFmt w:val="bullet"/>
      <w:pStyle w:val="ASIBulletPoint"/>
      <w:lvlText w:val=""/>
      <w:lvlJc w:val="left"/>
      <w:pPr>
        <w:ind w:left="210" w:hanging="210"/>
      </w:pPr>
      <w:rPr>
        <w:rFonts w:ascii="Symbol" w:hAnsi="Symbol" w:hint="default"/>
        <w:b/>
        <w:i w:val="0"/>
        <w:color w:val="auto"/>
        <w:sz w:val="22"/>
      </w:rPr>
    </w:lvl>
    <w:lvl w:ilvl="1">
      <w:start w:val="1"/>
      <w:numFmt w:val="bullet"/>
      <w:lvlRestart w:val="0"/>
      <w:suff w:val="space"/>
      <w:lvlText w:val="–"/>
      <w:lvlJc w:val="left"/>
      <w:pPr>
        <w:ind w:left="431" w:hanging="204"/>
      </w:pPr>
      <w:rPr>
        <w:rFonts w:ascii="Calibri" w:hAnsi="Calibri" w:hint="default"/>
        <w:b/>
        <w:i w:val="0"/>
        <w:color w:val="27306C"/>
        <w:sz w:val="22"/>
      </w:rPr>
    </w:lvl>
    <w:lvl w:ilvl="2">
      <w:start w:val="1"/>
      <w:numFmt w:val="bullet"/>
      <w:lvlRestart w:val="0"/>
      <w:lvlText w:val=""/>
      <w:lvlJc w:val="left"/>
      <w:pPr>
        <w:ind w:left="658" w:hanging="205"/>
      </w:pPr>
      <w:rPr>
        <w:rFonts w:ascii="Symbol" w:hAnsi="Symbol" w:hint="default"/>
        <w:b/>
        <w:i w:val="0"/>
        <w:color w:val="auto"/>
        <w:sz w:val="22"/>
      </w:rPr>
    </w:lvl>
    <w:lvl w:ilvl="3">
      <w:start w:val="1"/>
      <w:numFmt w:val="bullet"/>
      <w:lvlRestart w:val="0"/>
      <w:lvlText w:val="–"/>
      <w:lvlJc w:val="left"/>
      <w:pPr>
        <w:ind w:left="907" w:hanging="227"/>
      </w:pPr>
      <w:rPr>
        <w:rFonts w:ascii="Calibri" w:hAnsi="Calibri" w:hint="default"/>
        <w:b/>
        <w:i w:val="0"/>
        <w:color w:val="27306C"/>
        <w:sz w:val="22"/>
      </w:rPr>
    </w:lvl>
    <w:lvl w:ilvl="4">
      <w:start w:val="1"/>
      <w:numFmt w:val="bullet"/>
      <w:lvlText w:val=""/>
      <w:lvlJc w:val="left"/>
      <w:pPr>
        <w:tabs>
          <w:tab w:val="num" w:pos="3373"/>
        </w:tabs>
        <w:ind w:left="3373" w:hanging="360"/>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42" w15:restartNumberingAfterBreak="0">
    <w:nsid w:val="7A7B0A0F"/>
    <w:multiLevelType w:val="hybridMultilevel"/>
    <w:tmpl w:val="82A6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A01EC"/>
    <w:multiLevelType w:val="hybridMultilevel"/>
    <w:tmpl w:val="1FD2FBD2"/>
    <w:lvl w:ilvl="0" w:tplc="638A167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132FA2"/>
    <w:multiLevelType w:val="hybridMultilevel"/>
    <w:tmpl w:val="5DD4E48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num w:numId="1" w16cid:durableId="97795772">
    <w:abstractNumId w:val="24"/>
  </w:num>
  <w:num w:numId="2" w16cid:durableId="1379743231">
    <w:abstractNumId w:val="38"/>
  </w:num>
  <w:num w:numId="3" w16cid:durableId="1875385787">
    <w:abstractNumId w:val="18"/>
  </w:num>
  <w:num w:numId="4" w16cid:durableId="662318273">
    <w:abstractNumId w:val="5"/>
  </w:num>
  <w:num w:numId="5" w16cid:durableId="1150757468">
    <w:abstractNumId w:val="36"/>
  </w:num>
  <w:num w:numId="6" w16cid:durableId="699669859">
    <w:abstractNumId w:val="27"/>
  </w:num>
  <w:num w:numId="7" w16cid:durableId="822477453">
    <w:abstractNumId w:val="2"/>
  </w:num>
  <w:num w:numId="8" w16cid:durableId="1361854682">
    <w:abstractNumId w:val="9"/>
  </w:num>
  <w:num w:numId="9" w16cid:durableId="980423757">
    <w:abstractNumId w:val="15"/>
  </w:num>
  <w:num w:numId="10" w16cid:durableId="150609229">
    <w:abstractNumId w:val="34"/>
  </w:num>
  <w:num w:numId="11" w16cid:durableId="1052004605">
    <w:abstractNumId w:val="28"/>
  </w:num>
  <w:num w:numId="12" w16cid:durableId="271865686">
    <w:abstractNumId w:val="42"/>
  </w:num>
  <w:num w:numId="13" w16cid:durableId="27682487">
    <w:abstractNumId w:val="11"/>
  </w:num>
  <w:num w:numId="14" w16cid:durableId="379482469">
    <w:abstractNumId w:val="44"/>
  </w:num>
  <w:num w:numId="15" w16cid:durableId="2132284743">
    <w:abstractNumId w:val="35"/>
  </w:num>
  <w:num w:numId="16" w16cid:durableId="1967268978">
    <w:abstractNumId w:val="10"/>
  </w:num>
  <w:num w:numId="17" w16cid:durableId="1482700006">
    <w:abstractNumId w:val="12"/>
  </w:num>
  <w:num w:numId="18" w16cid:durableId="716122202">
    <w:abstractNumId w:val="30"/>
  </w:num>
  <w:num w:numId="19" w16cid:durableId="893583439">
    <w:abstractNumId w:val="40"/>
  </w:num>
  <w:num w:numId="20" w16cid:durableId="1151025566">
    <w:abstractNumId w:val="26"/>
  </w:num>
  <w:num w:numId="21" w16cid:durableId="1437868111">
    <w:abstractNumId w:val="3"/>
  </w:num>
  <w:num w:numId="22" w16cid:durableId="1746604846">
    <w:abstractNumId w:val="43"/>
  </w:num>
  <w:num w:numId="23" w16cid:durableId="1433932630">
    <w:abstractNumId w:val="1"/>
  </w:num>
  <w:num w:numId="24" w16cid:durableId="2013756366">
    <w:abstractNumId w:val="32"/>
  </w:num>
  <w:num w:numId="25" w16cid:durableId="1522546801">
    <w:abstractNumId w:val="41"/>
  </w:num>
  <w:num w:numId="26" w16cid:durableId="259486060">
    <w:abstractNumId w:val="23"/>
  </w:num>
  <w:num w:numId="27" w16cid:durableId="2089305881">
    <w:abstractNumId w:val="31"/>
  </w:num>
  <w:num w:numId="28" w16cid:durableId="932514592">
    <w:abstractNumId w:val="25"/>
  </w:num>
  <w:num w:numId="29" w16cid:durableId="1926693548">
    <w:abstractNumId w:val="29"/>
  </w:num>
  <w:num w:numId="30" w16cid:durableId="2003313348">
    <w:abstractNumId w:val="0"/>
  </w:num>
  <w:num w:numId="31" w16cid:durableId="275260488">
    <w:abstractNumId w:val="7"/>
  </w:num>
  <w:num w:numId="32" w16cid:durableId="1618831067">
    <w:abstractNumId w:val="39"/>
  </w:num>
  <w:num w:numId="33" w16cid:durableId="1883784275">
    <w:abstractNumId w:val="33"/>
  </w:num>
  <w:num w:numId="34" w16cid:durableId="1240866018">
    <w:abstractNumId w:val="17"/>
  </w:num>
  <w:num w:numId="35" w16cid:durableId="2138446531">
    <w:abstractNumId w:val="4"/>
  </w:num>
  <w:num w:numId="36" w16cid:durableId="1005283533">
    <w:abstractNumId w:val="14"/>
  </w:num>
  <w:num w:numId="37" w16cid:durableId="1391924334">
    <w:abstractNumId w:val="16"/>
  </w:num>
  <w:num w:numId="38" w16cid:durableId="847406695">
    <w:abstractNumId w:val="20"/>
  </w:num>
  <w:num w:numId="39" w16cid:durableId="19859382">
    <w:abstractNumId w:val="13"/>
  </w:num>
  <w:num w:numId="40" w16cid:durableId="565804235">
    <w:abstractNumId w:val="21"/>
  </w:num>
  <w:num w:numId="41" w16cid:durableId="1001737241">
    <w:abstractNumId w:val="6"/>
  </w:num>
  <w:num w:numId="42" w16cid:durableId="1613898318">
    <w:abstractNumId w:val="22"/>
  </w:num>
  <w:num w:numId="43" w16cid:durableId="749935555">
    <w:abstractNumId w:val="19"/>
  </w:num>
  <w:num w:numId="44" w16cid:durableId="273707798">
    <w:abstractNumId w:val="37"/>
  </w:num>
  <w:num w:numId="45" w16cid:durableId="113568330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EA"/>
    <w:rsid w:val="00000773"/>
    <w:rsid w:val="000024EB"/>
    <w:rsid w:val="00003F91"/>
    <w:rsid w:val="00006E14"/>
    <w:rsid w:val="00011A68"/>
    <w:rsid w:val="00023D18"/>
    <w:rsid w:val="00026773"/>
    <w:rsid w:val="00026AA9"/>
    <w:rsid w:val="00031587"/>
    <w:rsid w:val="000424AF"/>
    <w:rsid w:val="0004595A"/>
    <w:rsid w:val="000520E1"/>
    <w:rsid w:val="00053C06"/>
    <w:rsid w:val="0005675E"/>
    <w:rsid w:val="0006635C"/>
    <w:rsid w:val="000761F3"/>
    <w:rsid w:val="000832A6"/>
    <w:rsid w:val="00084DAE"/>
    <w:rsid w:val="00090A3F"/>
    <w:rsid w:val="00091853"/>
    <w:rsid w:val="00093380"/>
    <w:rsid w:val="00096975"/>
    <w:rsid w:val="00097866"/>
    <w:rsid w:val="000A12F7"/>
    <w:rsid w:val="000A3212"/>
    <w:rsid w:val="000A45EE"/>
    <w:rsid w:val="000A7FAE"/>
    <w:rsid w:val="000B4AC4"/>
    <w:rsid w:val="000B6D7A"/>
    <w:rsid w:val="000C3A8C"/>
    <w:rsid w:val="000D2423"/>
    <w:rsid w:val="000D30D1"/>
    <w:rsid w:val="000D5082"/>
    <w:rsid w:val="000E2464"/>
    <w:rsid w:val="000E44D2"/>
    <w:rsid w:val="000E6A67"/>
    <w:rsid w:val="000E6DAF"/>
    <w:rsid w:val="000F046C"/>
    <w:rsid w:val="00103F90"/>
    <w:rsid w:val="001050CC"/>
    <w:rsid w:val="00110513"/>
    <w:rsid w:val="001116BF"/>
    <w:rsid w:val="00126A6C"/>
    <w:rsid w:val="001302F7"/>
    <w:rsid w:val="00132BAB"/>
    <w:rsid w:val="00141DC1"/>
    <w:rsid w:val="00142F4D"/>
    <w:rsid w:val="001435CD"/>
    <w:rsid w:val="00145848"/>
    <w:rsid w:val="00154722"/>
    <w:rsid w:val="00160F27"/>
    <w:rsid w:val="00161E74"/>
    <w:rsid w:val="00167098"/>
    <w:rsid w:val="00172987"/>
    <w:rsid w:val="00173735"/>
    <w:rsid w:val="00180F27"/>
    <w:rsid w:val="001838EB"/>
    <w:rsid w:val="00185CC3"/>
    <w:rsid w:val="00197ED8"/>
    <w:rsid w:val="001A1C93"/>
    <w:rsid w:val="001A6227"/>
    <w:rsid w:val="001C2008"/>
    <w:rsid w:val="001C31B0"/>
    <w:rsid w:val="001D0E57"/>
    <w:rsid w:val="001D293F"/>
    <w:rsid w:val="001D3442"/>
    <w:rsid w:val="001D3974"/>
    <w:rsid w:val="001D6811"/>
    <w:rsid w:val="001E3C60"/>
    <w:rsid w:val="001F7FA8"/>
    <w:rsid w:val="00203EB5"/>
    <w:rsid w:val="00205812"/>
    <w:rsid w:val="00210461"/>
    <w:rsid w:val="00210689"/>
    <w:rsid w:val="00213B28"/>
    <w:rsid w:val="00215078"/>
    <w:rsid w:val="00216100"/>
    <w:rsid w:val="002175A0"/>
    <w:rsid w:val="0022219B"/>
    <w:rsid w:val="002325E6"/>
    <w:rsid w:val="00241E7D"/>
    <w:rsid w:val="0024355E"/>
    <w:rsid w:val="00253082"/>
    <w:rsid w:val="0025469B"/>
    <w:rsid w:val="00254A8A"/>
    <w:rsid w:val="0026064A"/>
    <w:rsid w:val="00262D38"/>
    <w:rsid w:val="00263DDD"/>
    <w:rsid w:val="00267C4A"/>
    <w:rsid w:val="0027089D"/>
    <w:rsid w:val="00271342"/>
    <w:rsid w:val="0027167A"/>
    <w:rsid w:val="002718A3"/>
    <w:rsid w:val="0028236C"/>
    <w:rsid w:val="00284E12"/>
    <w:rsid w:val="0028692A"/>
    <w:rsid w:val="00287BFC"/>
    <w:rsid w:val="00292339"/>
    <w:rsid w:val="00294DAD"/>
    <w:rsid w:val="002A4C32"/>
    <w:rsid w:val="002B57E3"/>
    <w:rsid w:val="002C11C6"/>
    <w:rsid w:val="002C376D"/>
    <w:rsid w:val="002C7579"/>
    <w:rsid w:val="002D38FD"/>
    <w:rsid w:val="002D5B78"/>
    <w:rsid w:val="002E16BC"/>
    <w:rsid w:val="002E20CC"/>
    <w:rsid w:val="002F1D6C"/>
    <w:rsid w:val="002F7B6E"/>
    <w:rsid w:val="00302262"/>
    <w:rsid w:val="00306412"/>
    <w:rsid w:val="00306F2B"/>
    <w:rsid w:val="003107E5"/>
    <w:rsid w:val="00310E54"/>
    <w:rsid w:val="00311E8D"/>
    <w:rsid w:val="00312463"/>
    <w:rsid w:val="00314052"/>
    <w:rsid w:val="00315328"/>
    <w:rsid w:val="00321614"/>
    <w:rsid w:val="0032527C"/>
    <w:rsid w:val="00325B7F"/>
    <w:rsid w:val="00337CC3"/>
    <w:rsid w:val="0034212E"/>
    <w:rsid w:val="00346B43"/>
    <w:rsid w:val="0034777D"/>
    <w:rsid w:val="0035150D"/>
    <w:rsid w:val="003538AD"/>
    <w:rsid w:val="00354425"/>
    <w:rsid w:val="0035505F"/>
    <w:rsid w:val="00361889"/>
    <w:rsid w:val="003618DB"/>
    <w:rsid w:val="003641D5"/>
    <w:rsid w:val="0036456B"/>
    <w:rsid w:val="003668F5"/>
    <w:rsid w:val="00366C9B"/>
    <w:rsid w:val="00373635"/>
    <w:rsid w:val="0037419A"/>
    <w:rsid w:val="0037474F"/>
    <w:rsid w:val="003747E0"/>
    <w:rsid w:val="0037531E"/>
    <w:rsid w:val="00376CF7"/>
    <w:rsid w:val="003821E3"/>
    <w:rsid w:val="00391279"/>
    <w:rsid w:val="0039252B"/>
    <w:rsid w:val="00392820"/>
    <w:rsid w:val="0039354B"/>
    <w:rsid w:val="00396DDD"/>
    <w:rsid w:val="003A268C"/>
    <w:rsid w:val="003A305D"/>
    <w:rsid w:val="003B1C22"/>
    <w:rsid w:val="003B456E"/>
    <w:rsid w:val="003C1862"/>
    <w:rsid w:val="003C6568"/>
    <w:rsid w:val="003C72D4"/>
    <w:rsid w:val="003C7445"/>
    <w:rsid w:val="003C74CD"/>
    <w:rsid w:val="003D2589"/>
    <w:rsid w:val="003E4DE1"/>
    <w:rsid w:val="003F275E"/>
    <w:rsid w:val="00400F20"/>
    <w:rsid w:val="00403735"/>
    <w:rsid w:val="0040662A"/>
    <w:rsid w:val="0040674F"/>
    <w:rsid w:val="00414079"/>
    <w:rsid w:val="00414F78"/>
    <w:rsid w:val="00415D7B"/>
    <w:rsid w:val="00435D84"/>
    <w:rsid w:val="00436B73"/>
    <w:rsid w:val="00436F0F"/>
    <w:rsid w:val="00442B2E"/>
    <w:rsid w:val="00443E30"/>
    <w:rsid w:val="004476F8"/>
    <w:rsid w:val="00452AAF"/>
    <w:rsid w:val="00453C84"/>
    <w:rsid w:val="00457442"/>
    <w:rsid w:val="00462CA1"/>
    <w:rsid w:val="0046389E"/>
    <w:rsid w:val="00466867"/>
    <w:rsid w:val="00466941"/>
    <w:rsid w:val="004669FC"/>
    <w:rsid w:val="004718E7"/>
    <w:rsid w:val="00472A69"/>
    <w:rsid w:val="00472D6B"/>
    <w:rsid w:val="00473B2C"/>
    <w:rsid w:val="004839A0"/>
    <w:rsid w:val="004854A8"/>
    <w:rsid w:val="00495DD7"/>
    <w:rsid w:val="004961D2"/>
    <w:rsid w:val="0049770F"/>
    <w:rsid w:val="004A0439"/>
    <w:rsid w:val="004B088A"/>
    <w:rsid w:val="004C0A1D"/>
    <w:rsid w:val="004C3334"/>
    <w:rsid w:val="004C641C"/>
    <w:rsid w:val="004E2873"/>
    <w:rsid w:val="004E53F9"/>
    <w:rsid w:val="004E5793"/>
    <w:rsid w:val="004E6442"/>
    <w:rsid w:val="004F0784"/>
    <w:rsid w:val="004F090C"/>
    <w:rsid w:val="004F4AFE"/>
    <w:rsid w:val="00501C7A"/>
    <w:rsid w:val="00502AFA"/>
    <w:rsid w:val="00503304"/>
    <w:rsid w:val="00513007"/>
    <w:rsid w:val="005135FF"/>
    <w:rsid w:val="00514652"/>
    <w:rsid w:val="00517924"/>
    <w:rsid w:val="005200D3"/>
    <w:rsid w:val="00533DE6"/>
    <w:rsid w:val="00542862"/>
    <w:rsid w:val="005457D6"/>
    <w:rsid w:val="00545F4B"/>
    <w:rsid w:val="00547854"/>
    <w:rsid w:val="00552C7D"/>
    <w:rsid w:val="005537B6"/>
    <w:rsid w:val="00556CFE"/>
    <w:rsid w:val="005606BD"/>
    <w:rsid w:val="00562B40"/>
    <w:rsid w:val="005631DC"/>
    <w:rsid w:val="0056401C"/>
    <w:rsid w:val="00565676"/>
    <w:rsid w:val="00570A88"/>
    <w:rsid w:val="005735AF"/>
    <w:rsid w:val="00574EBF"/>
    <w:rsid w:val="00582777"/>
    <w:rsid w:val="00585AC7"/>
    <w:rsid w:val="005871F3"/>
    <w:rsid w:val="00595036"/>
    <w:rsid w:val="00595493"/>
    <w:rsid w:val="005A3EAB"/>
    <w:rsid w:val="005A43F8"/>
    <w:rsid w:val="005A59B7"/>
    <w:rsid w:val="005B715C"/>
    <w:rsid w:val="005C0297"/>
    <w:rsid w:val="005C111B"/>
    <w:rsid w:val="005C1E09"/>
    <w:rsid w:val="005C46F5"/>
    <w:rsid w:val="005C48E3"/>
    <w:rsid w:val="005D3270"/>
    <w:rsid w:val="005D5312"/>
    <w:rsid w:val="005D559A"/>
    <w:rsid w:val="005D58CA"/>
    <w:rsid w:val="005E19B1"/>
    <w:rsid w:val="005E2662"/>
    <w:rsid w:val="005E530C"/>
    <w:rsid w:val="005F69C1"/>
    <w:rsid w:val="005F6EEF"/>
    <w:rsid w:val="005F6F41"/>
    <w:rsid w:val="00607A53"/>
    <w:rsid w:val="00612DBA"/>
    <w:rsid w:val="006145E2"/>
    <w:rsid w:val="00623E34"/>
    <w:rsid w:val="006302B5"/>
    <w:rsid w:val="006325E7"/>
    <w:rsid w:val="0063367B"/>
    <w:rsid w:val="00634A36"/>
    <w:rsid w:val="0063563D"/>
    <w:rsid w:val="00636B9D"/>
    <w:rsid w:val="00636DD5"/>
    <w:rsid w:val="006409B5"/>
    <w:rsid w:val="00647128"/>
    <w:rsid w:val="00650C8E"/>
    <w:rsid w:val="0065296F"/>
    <w:rsid w:val="00656D53"/>
    <w:rsid w:val="00657C68"/>
    <w:rsid w:val="0066020B"/>
    <w:rsid w:val="0066174B"/>
    <w:rsid w:val="0067071B"/>
    <w:rsid w:val="00684E2F"/>
    <w:rsid w:val="006866D5"/>
    <w:rsid w:val="00687E35"/>
    <w:rsid w:val="00696F79"/>
    <w:rsid w:val="006A1A83"/>
    <w:rsid w:val="006A4877"/>
    <w:rsid w:val="006A54EA"/>
    <w:rsid w:val="006B0B7D"/>
    <w:rsid w:val="006B2901"/>
    <w:rsid w:val="006B7348"/>
    <w:rsid w:val="006C2E3E"/>
    <w:rsid w:val="006C3E05"/>
    <w:rsid w:val="006C4A4A"/>
    <w:rsid w:val="006C5782"/>
    <w:rsid w:val="006C669B"/>
    <w:rsid w:val="006C6E83"/>
    <w:rsid w:val="006E064B"/>
    <w:rsid w:val="006E31B9"/>
    <w:rsid w:val="006E725C"/>
    <w:rsid w:val="006F6A64"/>
    <w:rsid w:val="00701EC6"/>
    <w:rsid w:val="00703E4C"/>
    <w:rsid w:val="00715B80"/>
    <w:rsid w:val="007202DB"/>
    <w:rsid w:val="00733AA3"/>
    <w:rsid w:val="0073589D"/>
    <w:rsid w:val="00742AD7"/>
    <w:rsid w:val="00744540"/>
    <w:rsid w:val="00750CE7"/>
    <w:rsid w:val="007535BF"/>
    <w:rsid w:val="00757B82"/>
    <w:rsid w:val="0076059A"/>
    <w:rsid w:val="00763201"/>
    <w:rsid w:val="00763EDB"/>
    <w:rsid w:val="00767078"/>
    <w:rsid w:val="007672E0"/>
    <w:rsid w:val="00773307"/>
    <w:rsid w:val="00775738"/>
    <w:rsid w:val="007807D2"/>
    <w:rsid w:val="0078115D"/>
    <w:rsid w:val="007841E2"/>
    <w:rsid w:val="00787215"/>
    <w:rsid w:val="007937B7"/>
    <w:rsid w:val="00796D3B"/>
    <w:rsid w:val="007A2132"/>
    <w:rsid w:val="007A4E50"/>
    <w:rsid w:val="007A539C"/>
    <w:rsid w:val="007B5468"/>
    <w:rsid w:val="007B60DA"/>
    <w:rsid w:val="007B7328"/>
    <w:rsid w:val="007C7FC4"/>
    <w:rsid w:val="007D5420"/>
    <w:rsid w:val="007E0DCD"/>
    <w:rsid w:val="007E4457"/>
    <w:rsid w:val="007E5DF6"/>
    <w:rsid w:val="007E66B1"/>
    <w:rsid w:val="007E6BF2"/>
    <w:rsid w:val="007F0A4D"/>
    <w:rsid w:val="0080108F"/>
    <w:rsid w:val="00814037"/>
    <w:rsid w:val="008175E4"/>
    <w:rsid w:val="008178EC"/>
    <w:rsid w:val="00822E8F"/>
    <w:rsid w:val="00830688"/>
    <w:rsid w:val="008310CE"/>
    <w:rsid w:val="00832ABD"/>
    <w:rsid w:val="0083328B"/>
    <w:rsid w:val="008336D1"/>
    <w:rsid w:val="00850092"/>
    <w:rsid w:val="008503E4"/>
    <w:rsid w:val="0086212F"/>
    <w:rsid w:val="00864949"/>
    <w:rsid w:val="00873D1A"/>
    <w:rsid w:val="008742E3"/>
    <w:rsid w:val="0088004D"/>
    <w:rsid w:val="0088128A"/>
    <w:rsid w:val="0088375D"/>
    <w:rsid w:val="00883DC1"/>
    <w:rsid w:val="008847D7"/>
    <w:rsid w:val="00892295"/>
    <w:rsid w:val="008A1505"/>
    <w:rsid w:val="008A435B"/>
    <w:rsid w:val="008C0D7E"/>
    <w:rsid w:val="008D043F"/>
    <w:rsid w:val="008D1E3B"/>
    <w:rsid w:val="008D3015"/>
    <w:rsid w:val="008D75F9"/>
    <w:rsid w:val="008E1DFE"/>
    <w:rsid w:val="008E22A9"/>
    <w:rsid w:val="008E457A"/>
    <w:rsid w:val="008E5220"/>
    <w:rsid w:val="008E5ACF"/>
    <w:rsid w:val="008F0437"/>
    <w:rsid w:val="008F1B76"/>
    <w:rsid w:val="008F3AAC"/>
    <w:rsid w:val="008F7868"/>
    <w:rsid w:val="009002FA"/>
    <w:rsid w:val="00901672"/>
    <w:rsid w:val="00901C11"/>
    <w:rsid w:val="00904C45"/>
    <w:rsid w:val="00907F0D"/>
    <w:rsid w:val="009104D3"/>
    <w:rsid w:val="009126F0"/>
    <w:rsid w:val="00914125"/>
    <w:rsid w:val="00916168"/>
    <w:rsid w:val="00916880"/>
    <w:rsid w:val="00916A91"/>
    <w:rsid w:val="009247F0"/>
    <w:rsid w:val="0093246F"/>
    <w:rsid w:val="00933D4D"/>
    <w:rsid w:val="00933E68"/>
    <w:rsid w:val="00935AA5"/>
    <w:rsid w:val="00936656"/>
    <w:rsid w:val="009411EA"/>
    <w:rsid w:val="009420A3"/>
    <w:rsid w:val="00945EF1"/>
    <w:rsid w:val="00950012"/>
    <w:rsid w:val="00952F24"/>
    <w:rsid w:val="0095407F"/>
    <w:rsid w:val="00963CF7"/>
    <w:rsid w:val="00964C1B"/>
    <w:rsid w:val="00972DE4"/>
    <w:rsid w:val="0097640E"/>
    <w:rsid w:val="00976415"/>
    <w:rsid w:val="00976723"/>
    <w:rsid w:val="009775DD"/>
    <w:rsid w:val="00981433"/>
    <w:rsid w:val="00981A48"/>
    <w:rsid w:val="00981D3B"/>
    <w:rsid w:val="00986D1C"/>
    <w:rsid w:val="00987173"/>
    <w:rsid w:val="00991535"/>
    <w:rsid w:val="00991BEA"/>
    <w:rsid w:val="00992FA0"/>
    <w:rsid w:val="00995BAC"/>
    <w:rsid w:val="0099688D"/>
    <w:rsid w:val="009A3CC4"/>
    <w:rsid w:val="009B2BEF"/>
    <w:rsid w:val="009B472B"/>
    <w:rsid w:val="009B7FD5"/>
    <w:rsid w:val="009C57D9"/>
    <w:rsid w:val="009C6334"/>
    <w:rsid w:val="009C6854"/>
    <w:rsid w:val="009D408F"/>
    <w:rsid w:val="009D46C6"/>
    <w:rsid w:val="009D501C"/>
    <w:rsid w:val="009D65ED"/>
    <w:rsid w:val="009D6F1C"/>
    <w:rsid w:val="009E1D36"/>
    <w:rsid w:val="009E28E4"/>
    <w:rsid w:val="009E33C9"/>
    <w:rsid w:val="009E38C5"/>
    <w:rsid w:val="009E39E5"/>
    <w:rsid w:val="009E5882"/>
    <w:rsid w:val="009E6492"/>
    <w:rsid w:val="009E66CE"/>
    <w:rsid w:val="009E681A"/>
    <w:rsid w:val="009E69E3"/>
    <w:rsid w:val="009E7740"/>
    <w:rsid w:val="009F37FB"/>
    <w:rsid w:val="009F3951"/>
    <w:rsid w:val="009F4CB5"/>
    <w:rsid w:val="009F4EE3"/>
    <w:rsid w:val="00A00A65"/>
    <w:rsid w:val="00A15B21"/>
    <w:rsid w:val="00A15FE4"/>
    <w:rsid w:val="00A20A71"/>
    <w:rsid w:val="00A2299E"/>
    <w:rsid w:val="00A31A49"/>
    <w:rsid w:val="00A3462C"/>
    <w:rsid w:val="00A42504"/>
    <w:rsid w:val="00A440B1"/>
    <w:rsid w:val="00A56171"/>
    <w:rsid w:val="00A56443"/>
    <w:rsid w:val="00A573C7"/>
    <w:rsid w:val="00A6153D"/>
    <w:rsid w:val="00A63A2C"/>
    <w:rsid w:val="00A63D07"/>
    <w:rsid w:val="00A67675"/>
    <w:rsid w:val="00A67A0F"/>
    <w:rsid w:val="00A70A09"/>
    <w:rsid w:val="00A73392"/>
    <w:rsid w:val="00A754E1"/>
    <w:rsid w:val="00A76476"/>
    <w:rsid w:val="00A8324C"/>
    <w:rsid w:val="00A832FA"/>
    <w:rsid w:val="00A83F24"/>
    <w:rsid w:val="00A87F4C"/>
    <w:rsid w:val="00A97905"/>
    <w:rsid w:val="00AA0ACD"/>
    <w:rsid w:val="00AA0E0E"/>
    <w:rsid w:val="00AA3221"/>
    <w:rsid w:val="00AA41D7"/>
    <w:rsid w:val="00AB3543"/>
    <w:rsid w:val="00AB6F67"/>
    <w:rsid w:val="00AC560D"/>
    <w:rsid w:val="00AD50BE"/>
    <w:rsid w:val="00AD660D"/>
    <w:rsid w:val="00AE439B"/>
    <w:rsid w:val="00AE7154"/>
    <w:rsid w:val="00AF4300"/>
    <w:rsid w:val="00B00A2A"/>
    <w:rsid w:val="00B043D3"/>
    <w:rsid w:val="00B115AF"/>
    <w:rsid w:val="00B11D12"/>
    <w:rsid w:val="00B146A3"/>
    <w:rsid w:val="00B308A9"/>
    <w:rsid w:val="00B30E70"/>
    <w:rsid w:val="00B33608"/>
    <w:rsid w:val="00B337A2"/>
    <w:rsid w:val="00B34402"/>
    <w:rsid w:val="00B36BBA"/>
    <w:rsid w:val="00B418E5"/>
    <w:rsid w:val="00B47610"/>
    <w:rsid w:val="00B5221F"/>
    <w:rsid w:val="00B538FC"/>
    <w:rsid w:val="00B657D9"/>
    <w:rsid w:val="00B66BFD"/>
    <w:rsid w:val="00B67516"/>
    <w:rsid w:val="00B677B4"/>
    <w:rsid w:val="00B73A3C"/>
    <w:rsid w:val="00B77959"/>
    <w:rsid w:val="00B81CA3"/>
    <w:rsid w:val="00B82DC8"/>
    <w:rsid w:val="00B82F33"/>
    <w:rsid w:val="00B86152"/>
    <w:rsid w:val="00B875F9"/>
    <w:rsid w:val="00B901D1"/>
    <w:rsid w:val="00B95E92"/>
    <w:rsid w:val="00BA764A"/>
    <w:rsid w:val="00BA79FF"/>
    <w:rsid w:val="00BB3157"/>
    <w:rsid w:val="00BB3296"/>
    <w:rsid w:val="00BB4ECE"/>
    <w:rsid w:val="00BC10AB"/>
    <w:rsid w:val="00BD0C5D"/>
    <w:rsid w:val="00BD5B0A"/>
    <w:rsid w:val="00BD797C"/>
    <w:rsid w:val="00BE0616"/>
    <w:rsid w:val="00BE0CA1"/>
    <w:rsid w:val="00BF0BC0"/>
    <w:rsid w:val="00BF13EE"/>
    <w:rsid w:val="00C021BA"/>
    <w:rsid w:val="00C036F7"/>
    <w:rsid w:val="00C11778"/>
    <w:rsid w:val="00C12425"/>
    <w:rsid w:val="00C14C78"/>
    <w:rsid w:val="00C155A1"/>
    <w:rsid w:val="00C15829"/>
    <w:rsid w:val="00C17943"/>
    <w:rsid w:val="00C230D5"/>
    <w:rsid w:val="00C24B1E"/>
    <w:rsid w:val="00C24C94"/>
    <w:rsid w:val="00C32B1B"/>
    <w:rsid w:val="00C3543D"/>
    <w:rsid w:val="00C4115B"/>
    <w:rsid w:val="00C43782"/>
    <w:rsid w:val="00C43BF4"/>
    <w:rsid w:val="00C50C41"/>
    <w:rsid w:val="00C512C8"/>
    <w:rsid w:val="00C533C7"/>
    <w:rsid w:val="00C53BCA"/>
    <w:rsid w:val="00C56B26"/>
    <w:rsid w:val="00C702CE"/>
    <w:rsid w:val="00C7129F"/>
    <w:rsid w:val="00C72DC8"/>
    <w:rsid w:val="00C73CEA"/>
    <w:rsid w:val="00C763C1"/>
    <w:rsid w:val="00C84851"/>
    <w:rsid w:val="00C8767A"/>
    <w:rsid w:val="00C90ED0"/>
    <w:rsid w:val="00C921B4"/>
    <w:rsid w:val="00C936F8"/>
    <w:rsid w:val="00C93742"/>
    <w:rsid w:val="00C94C47"/>
    <w:rsid w:val="00CA0DB2"/>
    <w:rsid w:val="00CA3007"/>
    <w:rsid w:val="00CA327E"/>
    <w:rsid w:val="00CA4FF8"/>
    <w:rsid w:val="00CA699B"/>
    <w:rsid w:val="00CA6F21"/>
    <w:rsid w:val="00CB1F4E"/>
    <w:rsid w:val="00CB2342"/>
    <w:rsid w:val="00CB5DF6"/>
    <w:rsid w:val="00CB6C16"/>
    <w:rsid w:val="00CC1A78"/>
    <w:rsid w:val="00CC643D"/>
    <w:rsid w:val="00CD121E"/>
    <w:rsid w:val="00CD14A4"/>
    <w:rsid w:val="00CD1FB7"/>
    <w:rsid w:val="00CD7A26"/>
    <w:rsid w:val="00CE0B4F"/>
    <w:rsid w:val="00CE2F5B"/>
    <w:rsid w:val="00CE324E"/>
    <w:rsid w:val="00CE55DC"/>
    <w:rsid w:val="00CF0FEC"/>
    <w:rsid w:val="00CF1F15"/>
    <w:rsid w:val="00CF31B5"/>
    <w:rsid w:val="00CF73F9"/>
    <w:rsid w:val="00D00257"/>
    <w:rsid w:val="00D02DAA"/>
    <w:rsid w:val="00D22691"/>
    <w:rsid w:val="00D47BC5"/>
    <w:rsid w:val="00D53B7B"/>
    <w:rsid w:val="00D6034E"/>
    <w:rsid w:val="00D60571"/>
    <w:rsid w:val="00D61BCA"/>
    <w:rsid w:val="00D63F8B"/>
    <w:rsid w:val="00D67B79"/>
    <w:rsid w:val="00D84C74"/>
    <w:rsid w:val="00D85919"/>
    <w:rsid w:val="00D87FF5"/>
    <w:rsid w:val="00D95857"/>
    <w:rsid w:val="00DA22CB"/>
    <w:rsid w:val="00DA6ED2"/>
    <w:rsid w:val="00DA7232"/>
    <w:rsid w:val="00DA7DA6"/>
    <w:rsid w:val="00DB2175"/>
    <w:rsid w:val="00DC02E7"/>
    <w:rsid w:val="00DC0E07"/>
    <w:rsid w:val="00DC486D"/>
    <w:rsid w:val="00DD439B"/>
    <w:rsid w:val="00DD4553"/>
    <w:rsid w:val="00DD4D72"/>
    <w:rsid w:val="00DD5A02"/>
    <w:rsid w:val="00DD5EB5"/>
    <w:rsid w:val="00DE07FB"/>
    <w:rsid w:val="00DE3668"/>
    <w:rsid w:val="00DF1422"/>
    <w:rsid w:val="00DF2372"/>
    <w:rsid w:val="00E00CF9"/>
    <w:rsid w:val="00E01CC3"/>
    <w:rsid w:val="00E02930"/>
    <w:rsid w:val="00E128F1"/>
    <w:rsid w:val="00E131D1"/>
    <w:rsid w:val="00E136D0"/>
    <w:rsid w:val="00E13B88"/>
    <w:rsid w:val="00E13E07"/>
    <w:rsid w:val="00E15306"/>
    <w:rsid w:val="00E17ABB"/>
    <w:rsid w:val="00E21399"/>
    <w:rsid w:val="00E26CE6"/>
    <w:rsid w:val="00E26E57"/>
    <w:rsid w:val="00E45EA3"/>
    <w:rsid w:val="00E5359C"/>
    <w:rsid w:val="00E5410F"/>
    <w:rsid w:val="00E55D43"/>
    <w:rsid w:val="00E60B5F"/>
    <w:rsid w:val="00E61DD3"/>
    <w:rsid w:val="00E62472"/>
    <w:rsid w:val="00E7335D"/>
    <w:rsid w:val="00E832DC"/>
    <w:rsid w:val="00E8358D"/>
    <w:rsid w:val="00E85FA8"/>
    <w:rsid w:val="00E921CC"/>
    <w:rsid w:val="00EA27E0"/>
    <w:rsid w:val="00EA358E"/>
    <w:rsid w:val="00EA3968"/>
    <w:rsid w:val="00EA5252"/>
    <w:rsid w:val="00EA58FD"/>
    <w:rsid w:val="00EA6B69"/>
    <w:rsid w:val="00EB159B"/>
    <w:rsid w:val="00EB3AD8"/>
    <w:rsid w:val="00EC13B8"/>
    <w:rsid w:val="00EC22FF"/>
    <w:rsid w:val="00EC4538"/>
    <w:rsid w:val="00ED3EC5"/>
    <w:rsid w:val="00ED7A97"/>
    <w:rsid w:val="00EE52C0"/>
    <w:rsid w:val="00EE598B"/>
    <w:rsid w:val="00EF0F9E"/>
    <w:rsid w:val="00EF280F"/>
    <w:rsid w:val="00EF36A4"/>
    <w:rsid w:val="00EF4A6F"/>
    <w:rsid w:val="00F04A63"/>
    <w:rsid w:val="00F06763"/>
    <w:rsid w:val="00F12336"/>
    <w:rsid w:val="00F15834"/>
    <w:rsid w:val="00F20B1D"/>
    <w:rsid w:val="00F25E2C"/>
    <w:rsid w:val="00F3215B"/>
    <w:rsid w:val="00F32D53"/>
    <w:rsid w:val="00F3325E"/>
    <w:rsid w:val="00F35AAB"/>
    <w:rsid w:val="00F35CD8"/>
    <w:rsid w:val="00F46648"/>
    <w:rsid w:val="00F512B7"/>
    <w:rsid w:val="00F540E4"/>
    <w:rsid w:val="00F54908"/>
    <w:rsid w:val="00F61CEB"/>
    <w:rsid w:val="00F62A48"/>
    <w:rsid w:val="00F65DCB"/>
    <w:rsid w:val="00F70884"/>
    <w:rsid w:val="00F7213B"/>
    <w:rsid w:val="00F82036"/>
    <w:rsid w:val="00F905B8"/>
    <w:rsid w:val="00F90BF8"/>
    <w:rsid w:val="00FA08B5"/>
    <w:rsid w:val="00FA21E9"/>
    <w:rsid w:val="00FA3246"/>
    <w:rsid w:val="00FA3332"/>
    <w:rsid w:val="00FA440E"/>
    <w:rsid w:val="00FA583F"/>
    <w:rsid w:val="00FA5BB7"/>
    <w:rsid w:val="00FA7CB4"/>
    <w:rsid w:val="00FB3C8F"/>
    <w:rsid w:val="00FB3FAD"/>
    <w:rsid w:val="00FC4250"/>
    <w:rsid w:val="00FC5E11"/>
    <w:rsid w:val="00FC64EA"/>
    <w:rsid w:val="00FC6DA4"/>
    <w:rsid w:val="00FD029A"/>
    <w:rsid w:val="00FD30F3"/>
    <w:rsid w:val="00FD3346"/>
    <w:rsid w:val="00FD3F3B"/>
    <w:rsid w:val="00FD68DE"/>
    <w:rsid w:val="00FD6FFF"/>
    <w:rsid w:val="00FF3A19"/>
    <w:rsid w:val="00FF4F27"/>
    <w:rsid w:val="00FF6C41"/>
    <w:rsid w:val="00FF6F24"/>
    <w:rsid w:val="0144100F"/>
    <w:rsid w:val="06574E1D"/>
    <w:rsid w:val="069C2B81"/>
    <w:rsid w:val="07F31E7E"/>
    <w:rsid w:val="0833C308"/>
    <w:rsid w:val="0A90A217"/>
    <w:rsid w:val="0BA5CF2C"/>
    <w:rsid w:val="0DF1AD72"/>
    <w:rsid w:val="0F34C560"/>
    <w:rsid w:val="17D162E3"/>
    <w:rsid w:val="18435847"/>
    <w:rsid w:val="1902C552"/>
    <w:rsid w:val="1C569E38"/>
    <w:rsid w:val="1C857C5F"/>
    <w:rsid w:val="1E277C0A"/>
    <w:rsid w:val="1E2CECE7"/>
    <w:rsid w:val="1FB7E6BC"/>
    <w:rsid w:val="21565757"/>
    <w:rsid w:val="239D6A8B"/>
    <w:rsid w:val="23CD6D21"/>
    <w:rsid w:val="25519A65"/>
    <w:rsid w:val="25FB42A7"/>
    <w:rsid w:val="285FF0C4"/>
    <w:rsid w:val="297BBC63"/>
    <w:rsid w:val="29F59D52"/>
    <w:rsid w:val="2A2CD327"/>
    <w:rsid w:val="2A771A01"/>
    <w:rsid w:val="2CE59772"/>
    <w:rsid w:val="2D959266"/>
    <w:rsid w:val="2EF87CAB"/>
    <w:rsid w:val="3051CD07"/>
    <w:rsid w:val="3211E34A"/>
    <w:rsid w:val="32690389"/>
    <w:rsid w:val="32AE908B"/>
    <w:rsid w:val="33B69E1C"/>
    <w:rsid w:val="3416802E"/>
    <w:rsid w:val="34965919"/>
    <w:rsid w:val="35174DE5"/>
    <w:rsid w:val="38863694"/>
    <w:rsid w:val="39015F9E"/>
    <w:rsid w:val="3BBDD756"/>
    <w:rsid w:val="3C13D746"/>
    <w:rsid w:val="3D59A7B7"/>
    <w:rsid w:val="3EBE302B"/>
    <w:rsid w:val="406FDE57"/>
    <w:rsid w:val="4102B0D8"/>
    <w:rsid w:val="47F7464F"/>
    <w:rsid w:val="4A79F91B"/>
    <w:rsid w:val="4C39ACD0"/>
    <w:rsid w:val="52FD2907"/>
    <w:rsid w:val="58A1AB58"/>
    <w:rsid w:val="5B78E947"/>
    <w:rsid w:val="5D3D6C87"/>
    <w:rsid w:val="5E5017EE"/>
    <w:rsid w:val="656A6BF7"/>
    <w:rsid w:val="65EE9E19"/>
    <w:rsid w:val="66310947"/>
    <w:rsid w:val="67DEBD8C"/>
    <w:rsid w:val="6CE2CAD0"/>
    <w:rsid w:val="6F5C3281"/>
    <w:rsid w:val="6F8F0252"/>
    <w:rsid w:val="7009F99F"/>
    <w:rsid w:val="71E0DB95"/>
    <w:rsid w:val="72C15EAE"/>
    <w:rsid w:val="749D6C6B"/>
    <w:rsid w:val="767D04CB"/>
    <w:rsid w:val="7970DD8E"/>
    <w:rsid w:val="79B4D707"/>
    <w:rsid w:val="7A9BE86E"/>
    <w:rsid w:val="7B0CADEF"/>
    <w:rsid w:val="7C37B8CF"/>
    <w:rsid w:val="7D3D7B77"/>
    <w:rsid w:val="7F969432"/>
    <w:rsid w:val="7FF3B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152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128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4115B"/>
    <w:pPr>
      <w:keepNext/>
      <w:keepLines/>
      <w:spacing w:before="240"/>
      <w:outlineLvl w:val="0"/>
    </w:pPr>
    <w:rPr>
      <w:rFonts w:asciiTheme="majorHAnsi" w:eastAsiaTheme="majorEastAsia" w:hAnsiTheme="majorHAnsi" w:cstheme="majorBidi"/>
      <w:color w:val="2F5496" w:themeColor="accent1" w:themeShade="BF"/>
      <w:sz w:val="32"/>
      <w:szCs w:val="32"/>
      <w:lang w:val="en-AU" w:eastAsia="en-US"/>
    </w:rPr>
  </w:style>
  <w:style w:type="paragraph" w:styleId="Heading2">
    <w:name w:val="heading 2"/>
    <w:basedOn w:val="Normal"/>
    <w:next w:val="Normal"/>
    <w:link w:val="Heading2Char"/>
    <w:uiPriority w:val="9"/>
    <w:semiHidden/>
    <w:unhideWhenUsed/>
    <w:qFormat/>
    <w:rsid w:val="001050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aliases w:val="Table"/>
    <w:basedOn w:val="Normal"/>
    <w:next w:val="Normal"/>
    <w:link w:val="Heading8Char"/>
    <w:uiPriority w:val="9"/>
    <w:unhideWhenUsed/>
    <w:qFormat/>
    <w:rsid w:val="00FC5E11"/>
    <w:pPr>
      <w:keepNext/>
      <w:keepLines/>
      <w:numPr>
        <w:numId w:val="2"/>
      </w:numPr>
      <w:spacing w:before="240" w:after="60"/>
      <w:ind w:left="0" w:firstLine="0"/>
      <w:jc w:val="center"/>
      <w:outlineLvl w:val="7"/>
    </w:pPr>
    <w:rPr>
      <w:rFonts w:ascii="Open Sans" w:eastAsiaTheme="majorEastAsia" w:hAnsi="Open Sans" w:cstheme="majorBidi"/>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3CEA"/>
    <w:rPr>
      <w:rFonts w:eastAsiaTheme="minorEastAsia"/>
      <w:sz w:val="22"/>
      <w:szCs w:val="22"/>
      <w:lang w:val="en-US" w:eastAsia="zh-CN"/>
    </w:rPr>
  </w:style>
  <w:style w:type="character" w:customStyle="1" w:styleId="NoSpacingChar">
    <w:name w:val="No Spacing Char"/>
    <w:basedOn w:val="DefaultParagraphFont"/>
    <w:link w:val="NoSpacing"/>
    <w:uiPriority w:val="1"/>
    <w:rsid w:val="00C73CEA"/>
    <w:rPr>
      <w:rFonts w:eastAsiaTheme="minorEastAsia"/>
      <w:sz w:val="22"/>
      <w:szCs w:val="22"/>
      <w:lang w:val="en-US" w:eastAsia="zh-CN"/>
    </w:rPr>
  </w:style>
  <w:style w:type="paragraph" w:customStyle="1" w:styleId="Subheading">
    <w:name w:val="Subheading"/>
    <w:basedOn w:val="Normal"/>
    <w:qFormat/>
    <w:rsid w:val="00C73CEA"/>
    <w:pPr>
      <w:tabs>
        <w:tab w:val="left" w:pos="7780"/>
      </w:tabs>
    </w:pPr>
    <w:rPr>
      <w:rFonts w:ascii="Oswald Light" w:eastAsiaTheme="minorHAnsi" w:hAnsi="Oswald Light" w:cs="Times New Roman (Body CS)"/>
      <w:color w:val="B7432A"/>
      <w:spacing w:val="30"/>
      <w:sz w:val="22"/>
      <w:szCs w:val="22"/>
      <w:lang w:val="en-AU" w:eastAsia="en-US"/>
    </w:rPr>
  </w:style>
  <w:style w:type="character" w:customStyle="1" w:styleId="MajorHeading">
    <w:name w:val="Major Heading"/>
    <w:basedOn w:val="DefaultParagraphFont"/>
    <w:uiPriority w:val="1"/>
    <w:qFormat/>
    <w:rsid w:val="00C73CEA"/>
    <w:rPr>
      <w:rFonts w:ascii="Oswald" w:hAnsi="Oswald" w:cs="Times New Roman (Body CS)"/>
      <w:b/>
      <w:color w:val="0E1428"/>
      <w:spacing w:val="120"/>
      <w:sz w:val="52"/>
      <w:szCs w:val="52"/>
    </w:rPr>
  </w:style>
  <w:style w:type="character" w:customStyle="1" w:styleId="Heading">
    <w:name w:val="Heading"/>
    <w:basedOn w:val="DefaultParagraphFont"/>
    <w:uiPriority w:val="1"/>
    <w:qFormat/>
    <w:rsid w:val="00C73CEA"/>
    <w:rPr>
      <w:rFonts w:ascii="Oswald Light" w:hAnsi="Oswald Light" w:cs="Times New Roman (Body CS)"/>
      <w:color w:val="0E1428"/>
      <w:sz w:val="36"/>
      <w:szCs w:val="36"/>
    </w:rPr>
  </w:style>
  <w:style w:type="paragraph" w:styleId="Header">
    <w:name w:val="header"/>
    <w:basedOn w:val="Normal"/>
    <w:link w:val="HeaderChar"/>
    <w:uiPriority w:val="99"/>
    <w:unhideWhenUsed/>
    <w:rsid w:val="00C73CEA"/>
    <w:pPr>
      <w:tabs>
        <w:tab w:val="center" w:pos="4680"/>
        <w:tab w:val="right" w:pos="9360"/>
      </w:tabs>
    </w:pPr>
    <w:rPr>
      <w:rFonts w:asciiTheme="minorHAnsi" w:eastAsiaTheme="minorHAnsi" w:hAnsiTheme="minorHAnsi" w:cstheme="minorBidi"/>
      <w:lang w:val="en-AU" w:eastAsia="en-US"/>
    </w:rPr>
  </w:style>
  <w:style w:type="character" w:customStyle="1" w:styleId="HeaderChar">
    <w:name w:val="Header Char"/>
    <w:basedOn w:val="DefaultParagraphFont"/>
    <w:link w:val="Header"/>
    <w:uiPriority w:val="99"/>
    <w:rsid w:val="00C73CEA"/>
    <w:rPr>
      <w:lang w:val="en-AU"/>
    </w:rPr>
  </w:style>
  <w:style w:type="paragraph" w:styleId="Footer">
    <w:name w:val="footer"/>
    <w:basedOn w:val="Normal"/>
    <w:link w:val="FooterChar"/>
    <w:uiPriority w:val="99"/>
    <w:unhideWhenUsed/>
    <w:rsid w:val="00C73CEA"/>
    <w:pPr>
      <w:tabs>
        <w:tab w:val="center" w:pos="4680"/>
        <w:tab w:val="right" w:pos="9360"/>
      </w:tabs>
    </w:pPr>
    <w:rPr>
      <w:rFonts w:asciiTheme="minorHAnsi" w:eastAsiaTheme="minorHAnsi" w:hAnsiTheme="minorHAnsi" w:cstheme="minorBidi"/>
      <w:lang w:val="en-AU" w:eastAsia="en-US"/>
    </w:rPr>
  </w:style>
  <w:style w:type="character" w:customStyle="1" w:styleId="FooterChar">
    <w:name w:val="Footer Char"/>
    <w:basedOn w:val="DefaultParagraphFont"/>
    <w:link w:val="Footer"/>
    <w:uiPriority w:val="99"/>
    <w:rsid w:val="00C73CEA"/>
    <w:rPr>
      <w:lang w:val="en-AU"/>
    </w:rPr>
  </w:style>
  <w:style w:type="character" w:styleId="PageNumber">
    <w:name w:val="page number"/>
    <w:basedOn w:val="DefaultParagraphFont"/>
    <w:uiPriority w:val="99"/>
    <w:semiHidden/>
    <w:unhideWhenUsed/>
    <w:rsid w:val="00C73CEA"/>
  </w:style>
  <w:style w:type="paragraph" w:customStyle="1" w:styleId="BasicParagraph">
    <w:name w:val="[Basic Paragraph]"/>
    <w:basedOn w:val="Normal"/>
    <w:uiPriority w:val="99"/>
    <w:rsid w:val="00C73CEA"/>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paragraph" w:customStyle="1" w:styleId="Bodycopy">
    <w:name w:val="Body copy"/>
    <w:basedOn w:val="BasicParagraph"/>
    <w:qFormat/>
    <w:rsid w:val="00C73CEA"/>
    <w:pPr>
      <w:tabs>
        <w:tab w:val="left" w:pos="454"/>
      </w:tabs>
      <w:suppressAutoHyphens/>
    </w:pPr>
    <w:rPr>
      <w:rFonts w:ascii="Roboto Light" w:hAnsi="Roboto Light" w:cs="Roboto Light"/>
      <w:color w:val="0E1428"/>
      <w:sz w:val="18"/>
      <w:szCs w:val="18"/>
    </w:rPr>
  </w:style>
  <w:style w:type="paragraph" w:styleId="NormalWeb">
    <w:name w:val="Normal (Web)"/>
    <w:basedOn w:val="Normal"/>
    <w:uiPriority w:val="99"/>
    <w:unhideWhenUsed/>
    <w:rsid w:val="00C73CEA"/>
    <w:pPr>
      <w:spacing w:before="100" w:beforeAutospacing="1" w:after="100" w:afterAutospacing="1"/>
    </w:p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L,lp1,3"/>
    <w:basedOn w:val="Normal"/>
    <w:link w:val="ListParagraphChar"/>
    <w:uiPriority w:val="34"/>
    <w:qFormat/>
    <w:rsid w:val="00C73CEA"/>
    <w:pPr>
      <w:ind w:left="720"/>
    </w:pPr>
    <w:rPr>
      <w:rFonts w:ascii="Calibri" w:eastAsiaTheme="minorHAnsi" w:hAnsi="Calibri" w:cs="Calibri"/>
      <w:sz w:val="22"/>
      <w:szCs w:val="22"/>
      <w:lang w:val="en-AU" w:eastAsia="en-US"/>
    </w:rPr>
  </w:style>
  <w:style w:type="table" w:styleId="TableGrid">
    <w:name w:val="Table Grid"/>
    <w:basedOn w:val="TableNormal"/>
    <w:uiPriority w:val="39"/>
    <w:rsid w:val="00C73CEA"/>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L Char,lp1 Char"/>
    <w:basedOn w:val="DefaultParagraphFont"/>
    <w:link w:val="ListParagraph"/>
    <w:uiPriority w:val="34"/>
    <w:qFormat/>
    <w:locked/>
    <w:rsid w:val="00C73CEA"/>
    <w:rPr>
      <w:rFonts w:ascii="Calibri" w:hAnsi="Calibri" w:cs="Calibri"/>
      <w:sz w:val="22"/>
      <w:szCs w:val="22"/>
      <w:lang w:val="en-AU"/>
    </w:rPr>
  </w:style>
  <w:style w:type="character" w:styleId="CommentReference">
    <w:name w:val="annotation reference"/>
    <w:basedOn w:val="DefaultParagraphFont"/>
    <w:uiPriority w:val="99"/>
    <w:semiHidden/>
    <w:unhideWhenUsed/>
    <w:rsid w:val="00C73CEA"/>
    <w:rPr>
      <w:sz w:val="16"/>
      <w:szCs w:val="16"/>
    </w:rPr>
  </w:style>
  <w:style w:type="paragraph" w:styleId="CommentText">
    <w:name w:val="annotation text"/>
    <w:basedOn w:val="Normal"/>
    <w:link w:val="CommentTextChar"/>
    <w:uiPriority w:val="99"/>
    <w:unhideWhenUsed/>
    <w:rsid w:val="00C73CEA"/>
    <w:rPr>
      <w:rFonts w:ascii="Gill Sans MT" w:eastAsiaTheme="minorHAnsi" w:hAnsi="Gill Sans MT" w:cstheme="minorBidi"/>
      <w:sz w:val="20"/>
      <w:szCs w:val="20"/>
      <w:lang w:val="en-US" w:eastAsia="en-US"/>
    </w:rPr>
  </w:style>
  <w:style w:type="character" w:customStyle="1" w:styleId="CommentTextChar">
    <w:name w:val="Comment Text Char"/>
    <w:basedOn w:val="DefaultParagraphFont"/>
    <w:link w:val="CommentText"/>
    <w:uiPriority w:val="99"/>
    <w:rsid w:val="00C73CEA"/>
    <w:rPr>
      <w:rFonts w:ascii="Gill Sans MT" w:hAnsi="Gill Sans MT"/>
      <w:sz w:val="20"/>
      <w:szCs w:val="20"/>
      <w:lang w:val="en-US"/>
    </w:rPr>
  </w:style>
  <w:style w:type="character" w:styleId="Hyperlink">
    <w:name w:val="Hyperlink"/>
    <w:basedOn w:val="DefaultParagraphFont"/>
    <w:uiPriority w:val="99"/>
    <w:unhideWhenUsed/>
    <w:rsid w:val="00C73CEA"/>
    <w:rPr>
      <w:color w:val="0563C1" w:themeColor="hyperlink"/>
      <w:u w:val="single"/>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footnote text,ADB"/>
    <w:basedOn w:val="Normal"/>
    <w:link w:val="FootnoteTextChar"/>
    <w:uiPriority w:val="99"/>
    <w:unhideWhenUsed/>
    <w:rsid w:val="00C73CEA"/>
    <w:rPr>
      <w:rFonts w:asciiTheme="minorHAnsi" w:eastAsiaTheme="minorHAnsi" w:hAnsiTheme="minorHAnsi" w:cstheme="minorBidi"/>
      <w:sz w:val="20"/>
      <w:szCs w:val="20"/>
      <w:lang w:val="en-AU" w:eastAsia="en-US"/>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footnote text Char"/>
    <w:basedOn w:val="DefaultParagraphFont"/>
    <w:link w:val="FootnoteText"/>
    <w:uiPriority w:val="99"/>
    <w:rsid w:val="00C73CEA"/>
    <w:rPr>
      <w:sz w:val="20"/>
      <w:szCs w:val="20"/>
      <w:lang w:val="en-AU"/>
    </w:rPr>
  </w:style>
  <w:style w:type="character" w:styleId="FootnoteReference">
    <w:name w:val="footnote reference"/>
    <w:aliases w:val="Footnote text,Footnotes refss,Ref,de nota al pie,ftref,16 Point,Superscript 6 Point,BVI fnr,SBN footnote,Normal + Font:9 Point,Superscript 3 Point Times,Footnote,Footnote Reference Number,Footnote Reference_LVL6, Char Char, BVI fnr,fr"/>
    <w:basedOn w:val="DefaultParagraphFont"/>
    <w:link w:val="SBNFootnote"/>
    <w:uiPriority w:val="99"/>
    <w:unhideWhenUsed/>
    <w:qFormat/>
    <w:rsid w:val="00C73CEA"/>
    <w:rPr>
      <w:vertAlign w:val="superscript"/>
    </w:rPr>
  </w:style>
  <w:style w:type="paragraph" w:styleId="CommentSubject">
    <w:name w:val="annotation subject"/>
    <w:basedOn w:val="CommentText"/>
    <w:next w:val="CommentText"/>
    <w:link w:val="CommentSubjectChar"/>
    <w:uiPriority w:val="99"/>
    <w:semiHidden/>
    <w:unhideWhenUsed/>
    <w:rsid w:val="00210689"/>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210689"/>
    <w:rPr>
      <w:rFonts w:ascii="Gill Sans MT" w:hAnsi="Gill Sans MT"/>
      <w:b/>
      <w:bCs/>
      <w:sz w:val="20"/>
      <w:szCs w:val="20"/>
      <w:lang w:val="en-AU"/>
    </w:rPr>
  </w:style>
  <w:style w:type="paragraph" w:styleId="BalloonText">
    <w:name w:val="Balloon Text"/>
    <w:basedOn w:val="Normal"/>
    <w:link w:val="BalloonTextChar"/>
    <w:uiPriority w:val="99"/>
    <w:semiHidden/>
    <w:unhideWhenUsed/>
    <w:rsid w:val="006302B5"/>
    <w:rPr>
      <w:rFonts w:eastAsiaTheme="minorHAnsi"/>
      <w:sz w:val="18"/>
      <w:szCs w:val="18"/>
      <w:lang w:val="en-AU" w:eastAsia="en-US"/>
    </w:rPr>
  </w:style>
  <w:style w:type="character" w:customStyle="1" w:styleId="BalloonTextChar">
    <w:name w:val="Balloon Text Char"/>
    <w:basedOn w:val="DefaultParagraphFont"/>
    <w:link w:val="BalloonText"/>
    <w:uiPriority w:val="99"/>
    <w:semiHidden/>
    <w:rsid w:val="006302B5"/>
    <w:rPr>
      <w:rFonts w:ascii="Times New Roman" w:hAnsi="Times New Roman" w:cs="Times New Roman"/>
      <w:sz w:val="18"/>
      <w:szCs w:val="18"/>
      <w:lang w:val="en-AU"/>
    </w:rPr>
  </w:style>
  <w:style w:type="paragraph" w:styleId="Revision">
    <w:name w:val="Revision"/>
    <w:hidden/>
    <w:uiPriority w:val="99"/>
    <w:semiHidden/>
    <w:rsid w:val="00BB4ECE"/>
    <w:rPr>
      <w:lang w:val="en-AU"/>
    </w:rPr>
  </w:style>
  <w:style w:type="character" w:styleId="Mention">
    <w:name w:val="Mention"/>
    <w:basedOn w:val="DefaultParagraphFont"/>
    <w:uiPriority w:val="99"/>
    <w:unhideWhenUsed/>
    <w:rsid w:val="004C3334"/>
    <w:rPr>
      <w:color w:val="2B579A"/>
      <w:shd w:val="clear" w:color="auto" w:fill="E1DFDD"/>
    </w:rPr>
  </w:style>
  <w:style w:type="character" w:customStyle="1" w:styleId="apple-converted-space">
    <w:name w:val="apple-converted-space"/>
    <w:basedOn w:val="DefaultParagraphFont"/>
    <w:rsid w:val="007807D2"/>
  </w:style>
  <w:style w:type="character" w:customStyle="1" w:styleId="Heading8Char">
    <w:name w:val="Heading 8 Char"/>
    <w:aliases w:val="Table Char"/>
    <w:basedOn w:val="DefaultParagraphFont"/>
    <w:link w:val="Heading8"/>
    <w:uiPriority w:val="9"/>
    <w:rsid w:val="00FC5E11"/>
    <w:rPr>
      <w:rFonts w:ascii="Open Sans" w:eastAsiaTheme="majorEastAsia" w:hAnsi="Open Sans" w:cstheme="majorBidi"/>
      <w:b/>
      <w:sz w:val="20"/>
      <w:szCs w:val="22"/>
    </w:rPr>
  </w:style>
  <w:style w:type="paragraph" w:customStyle="1" w:styleId="WFPKparno">
    <w:name w:val="WFP K par no."/>
    <w:basedOn w:val="Normal"/>
    <w:link w:val="WFPKparnoChar"/>
    <w:qFormat/>
    <w:rsid w:val="00FC5E11"/>
    <w:pPr>
      <w:numPr>
        <w:numId w:val="1"/>
      </w:numPr>
      <w:spacing w:before="120" w:after="120"/>
      <w:jc w:val="both"/>
    </w:pPr>
    <w:rPr>
      <w:rFonts w:ascii="Open Sans" w:hAnsi="Open Sans" w:cs="Open Sans"/>
      <w:sz w:val="20"/>
    </w:rPr>
  </w:style>
  <w:style w:type="character" w:customStyle="1" w:styleId="WFPKparnoChar">
    <w:name w:val="WFP K par no. Char"/>
    <w:basedOn w:val="DefaultParagraphFont"/>
    <w:link w:val="WFPKparno"/>
    <w:rsid w:val="00FC5E11"/>
    <w:rPr>
      <w:rFonts w:ascii="Open Sans" w:eastAsia="Times New Roman" w:hAnsi="Open Sans" w:cs="Open Sans"/>
      <w:sz w:val="20"/>
      <w:lang w:eastAsia="en-GB"/>
    </w:rPr>
  </w:style>
  <w:style w:type="table" w:customStyle="1" w:styleId="0000TableStyle1">
    <w:name w:val="0000 Table Style 1"/>
    <w:basedOn w:val="TableNormal"/>
    <w:uiPriority w:val="99"/>
    <w:rsid w:val="00FC5E11"/>
    <w:rPr>
      <w:sz w:val="22"/>
      <w:szCs w:val="22"/>
    </w:rPr>
    <w:tblPr>
      <w:tblBorders>
        <w:top w:val="single" w:sz="4" w:space="0" w:color="E0684B"/>
        <w:left w:val="single" w:sz="4" w:space="0" w:color="E0684B"/>
        <w:bottom w:val="single" w:sz="4" w:space="0" w:color="E0684B"/>
        <w:right w:val="single" w:sz="4" w:space="0" w:color="E0684B"/>
        <w:insideH w:val="single" w:sz="4" w:space="0" w:color="E0684B"/>
        <w:insideV w:val="single" w:sz="4" w:space="0" w:color="E0684B"/>
      </w:tblBorders>
    </w:tblPr>
    <w:tcPr>
      <w:shd w:val="clear" w:color="auto" w:fill="auto"/>
    </w:tcPr>
    <w:tblStylePr w:type="firstRow">
      <w:rPr>
        <w:rFonts w:ascii="Bahnschrift Light SemiCondensed" w:hAnsi="Bahnschrift Light SemiCondensed"/>
        <w:b/>
        <w:color w:val="FFFFFF"/>
        <w:sz w:val="22"/>
      </w:rPr>
      <w:tblPr/>
      <w:tcPr>
        <w:shd w:val="clear" w:color="auto" w:fill="3B4A6A"/>
      </w:tcPr>
    </w:tblStylePr>
  </w:style>
  <w:style w:type="paragraph" w:customStyle="1" w:styleId="Default">
    <w:name w:val="Default"/>
    <w:rsid w:val="0039252B"/>
    <w:pPr>
      <w:autoSpaceDE w:val="0"/>
      <w:autoSpaceDN w:val="0"/>
      <w:adjustRightInd w:val="0"/>
    </w:pPr>
    <w:rPr>
      <w:rFonts w:ascii="Calibri" w:hAnsi="Calibri" w:cs="Calibri"/>
      <w:color w:val="000000"/>
      <w:lang w:val="en-AU"/>
    </w:rPr>
  </w:style>
  <w:style w:type="paragraph" w:customStyle="1" w:styleId="SBNNumberedListParagraph">
    <w:name w:val="SBN Numbered List Paragraph"/>
    <w:basedOn w:val="ListParagraph"/>
    <w:link w:val="SBNNumberedListParagraphChar"/>
    <w:qFormat/>
    <w:rsid w:val="0039252B"/>
    <w:pPr>
      <w:spacing w:after="120" w:line="276" w:lineRule="auto"/>
      <w:ind w:left="0"/>
    </w:pPr>
    <w:rPr>
      <w:rFonts w:ascii="Tahoma" w:eastAsia="Calibri" w:hAnsi="Tahoma" w:cs="Tahoma"/>
      <w:lang w:val="en-GB"/>
    </w:rPr>
  </w:style>
  <w:style w:type="character" w:customStyle="1" w:styleId="SBNNumberedListParagraphChar">
    <w:name w:val="SBN Numbered List Paragraph Char"/>
    <w:basedOn w:val="DefaultParagraphFont"/>
    <w:link w:val="SBNNumberedListParagraph"/>
    <w:rsid w:val="0039252B"/>
    <w:rPr>
      <w:rFonts w:ascii="Tahoma" w:eastAsia="Calibri" w:hAnsi="Tahoma" w:cs="Tahoma"/>
      <w:sz w:val="22"/>
      <w:szCs w:val="22"/>
    </w:rPr>
  </w:style>
  <w:style w:type="paragraph" w:customStyle="1" w:styleId="SBNFootnote">
    <w:name w:val="SBN Footnote"/>
    <w:basedOn w:val="Normal"/>
    <w:link w:val="FootnoteReference"/>
    <w:uiPriority w:val="99"/>
    <w:rsid w:val="0039252B"/>
    <w:pPr>
      <w:spacing w:after="60"/>
      <w:jc w:val="both"/>
    </w:pPr>
    <w:rPr>
      <w:rFonts w:asciiTheme="minorHAnsi" w:eastAsiaTheme="minorHAnsi" w:hAnsiTheme="minorHAnsi" w:cstheme="minorBidi"/>
      <w:vertAlign w:val="superscript"/>
      <w:lang w:eastAsia="en-US"/>
    </w:rPr>
  </w:style>
  <w:style w:type="paragraph" w:customStyle="1" w:styleId="table-text">
    <w:name w:val="table-text"/>
    <w:basedOn w:val="Normal"/>
    <w:qFormat/>
    <w:rsid w:val="003618DB"/>
    <w:pPr>
      <w:spacing w:line="280" w:lineRule="atLeast"/>
    </w:pPr>
    <w:rPr>
      <w:rFonts w:ascii="Arial" w:hAnsi="Arial"/>
      <w:sz w:val="16"/>
      <w:lang w:eastAsia="nl-NL"/>
    </w:rPr>
  </w:style>
  <w:style w:type="paragraph" w:customStyle="1" w:styleId="list-bullet-color-table">
    <w:name w:val="list-bullet-color-table"/>
    <w:basedOn w:val="Normal"/>
    <w:link w:val="list-bullet-color-tableChar"/>
    <w:rsid w:val="003618DB"/>
    <w:pPr>
      <w:numPr>
        <w:numId w:val="3"/>
      </w:numPr>
      <w:spacing w:line="280" w:lineRule="atLeast"/>
    </w:pPr>
    <w:rPr>
      <w:rFonts w:ascii="Arial" w:hAnsi="Arial"/>
      <w:sz w:val="16"/>
      <w:lang w:eastAsia="nl-NL"/>
    </w:rPr>
  </w:style>
  <w:style w:type="character" w:customStyle="1" w:styleId="list-bullet-color-tableChar">
    <w:name w:val="list-bullet-color-table Char"/>
    <w:basedOn w:val="DefaultParagraphFont"/>
    <w:link w:val="list-bullet-color-table"/>
    <w:rsid w:val="003618DB"/>
    <w:rPr>
      <w:rFonts w:ascii="Arial" w:eastAsia="Times New Roman" w:hAnsi="Arial" w:cs="Times New Roman"/>
      <w:sz w:val="16"/>
      <w:lang w:eastAsia="nl-NL"/>
    </w:rPr>
  </w:style>
  <w:style w:type="table" w:customStyle="1" w:styleId="table-style-blauw-100-outline101">
    <w:name w:val="table-style-blauw-100-outline101"/>
    <w:basedOn w:val="TableNormal"/>
    <w:rsid w:val="003618DB"/>
    <w:pPr>
      <w:spacing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styleId="TOC1">
    <w:name w:val="toc 1"/>
    <w:basedOn w:val="Normal"/>
    <w:next w:val="Normal"/>
    <w:autoRedefine/>
    <w:uiPriority w:val="39"/>
    <w:unhideWhenUsed/>
    <w:rsid w:val="00B86152"/>
    <w:pPr>
      <w:spacing w:before="360"/>
    </w:pPr>
    <w:rPr>
      <w:rFonts w:asciiTheme="majorHAnsi" w:eastAsiaTheme="minorHAnsi" w:hAnsiTheme="majorHAnsi" w:cstheme="majorHAnsi"/>
      <w:b/>
      <w:bCs/>
      <w:caps/>
      <w:lang w:val="en-AU" w:eastAsia="en-US"/>
    </w:rPr>
  </w:style>
  <w:style w:type="paragraph" w:styleId="TOC2">
    <w:name w:val="toc 2"/>
    <w:basedOn w:val="Normal"/>
    <w:next w:val="Normal"/>
    <w:autoRedefine/>
    <w:uiPriority w:val="39"/>
    <w:unhideWhenUsed/>
    <w:rsid w:val="00C4115B"/>
    <w:pPr>
      <w:spacing w:before="240"/>
    </w:pPr>
    <w:rPr>
      <w:rFonts w:asciiTheme="minorHAnsi" w:eastAsiaTheme="minorHAnsi" w:hAnsiTheme="minorHAnsi" w:cstheme="minorHAnsi"/>
      <w:b/>
      <w:bCs/>
      <w:sz w:val="20"/>
      <w:szCs w:val="20"/>
      <w:lang w:val="en-AU" w:eastAsia="en-US"/>
    </w:rPr>
  </w:style>
  <w:style w:type="paragraph" w:styleId="TOC3">
    <w:name w:val="toc 3"/>
    <w:basedOn w:val="Normal"/>
    <w:next w:val="Normal"/>
    <w:autoRedefine/>
    <w:uiPriority w:val="39"/>
    <w:unhideWhenUsed/>
    <w:rsid w:val="00B86152"/>
    <w:pPr>
      <w:ind w:left="240"/>
    </w:pPr>
    <w:rPr>
      <w:rFonts w:asciiTheme="minorHAnsi" w:eastAsiaTheme="minorHAnsi" w:hAnsiTheme="minorHAnsi" w:cstheme="minorHAnsi"/>
      <w:sz w:val="20"/>
      <w:szCs w:val="20"/>
      <w:lang w:val="en-AU" w:eastAsia="en-US"/>
    </w:rPr>
  </w:style>
  <w:style w:type="paragraph" w:styleId="TOC4">
    <w:name w:val="toc 4"/>
    <w:basedOn w:val="Normal"/>
    <w:next w:val="Normal"/>
    <w:autoRedefine/>
    <w:uiPriority w:val="39"/>
    <w:unhideWhenUsed/>
    <w:rsid w:val="00B86152"/>
    <w:pPr>
      <w:ind w:left="480"/>
    </w:pPr>
    <w:rPr>
      <w:rFonts w:asciiTheme="minorHAnsi" w:eastAsiaTheme="minorHAnsi" w:hAnsiTheme="minorHAnsi" w:cstheme="minorHAnsi"/>
      <w:sz w:val="20"/>
      <w:szCs w:val="20"/>
      <w:lang w:val="en-AU" w:eastAsia="en-US"/>
    </w:rPr>
  </w:style>
  <w:style w:type="paragraph" w:styleId="TOC5">
    <w:name w:val="toc 5"/>
    <w:basedOn w:val="Normal"/>
    <w:next w:val="Normal"/>
    <w:autoRedefine/>
    <w:uiPriority w:val="39"/>
    <w:unhideWhenUsed/>
    <w:rsid w:val="00B86152"/>
    <w:pPr>
      <w:ind w:left="720"/>
    </w:pPr>
    <w:rPr>
      <w:rFonts w:asciiTheme="minorHAnsi" w:eastAsiaTheme="minorHAnsi" w:hAnsiTheme="minorHAnsi" w:cstheme="minorHAnsi"/>
      <w:sz w:val="20"/>
      <w:szCs w:val="20"/>
      <w:lang w:val="en-AU" w:eastAsia="en-US"/>
    </w:rPr>
  </w:style>
  <w:style w:type="paragraph" w:styleId="TOC6">
    <w:name w:val="toc 6"/>
    <w:basedOn w:val="Normal"/>
    <w:next w:val="Normal"/>
    <w:autoRedefine/>
    <w:uiPriority w:val="39"/>
    <w:unhideWhenUsed/>
    <w:rsid w:val="00B86152"/>
    <w:pPr>
      <w:ind w:left="960"/>
    </w:pPr>
    <w:rPr>
      <w:rFonts w:asciiTheme="minorHAnsi" w:eastAsiaTheme="minorHAnsi" w:hAnsiTheme="minorHAnsi" w:cstheme="minorHAnsi"/>
      <w:sz w:val="20"/>
      <w:szCs w:val="20"/>
      <w:lang w:val="en-AU" w:eastAsia="en-US"/>
    </w:rPr>
  </w:style>
  <w:style w:type="paragraph" w:styleId="TOC7">
    <w:name w:val="toc 7"/>
    <w:basedOn w:val="Normal"/>
    <w:next w:val="Normal"/>
    <w:autoRedefine/>
    <w:uiPriority w:val="39"/>
    <w:unhideWhenUsed/>
    <w:rsid w:val="00B86152"/>
    <w:pPr>
      <w:ind w:left="1200"/>
    </w:pPr>
    <w:rPr>
      <w:rFonts w:asciiTheme="minorHAnsi" w:eastAsiaTheme="minorHAnsi" w:hAnsiTheme="minorHAnsi" w:cstheme="minorHAnsi"/>
      <w:sz w:val="20"/>
      <w:szCs w:val="20"/>
      <w:lang w:val="en-AU" w:eastAsia="en-US"/>
    </w:rPr>
  </w:style>
  <w:style w:type="paragraph" w:styleId="TOC8">
    <w:name w:val="toc 8"/>
    <w:basedOn w:val="Normal"/>
    <w:next w:val="Normal"/>
    <w:autoRedefine/>
    <w:uiPriority w:val="39"/>
    <w:unhideWhenUsed/>
    <w:rsid w:val="00B86152"/>
    <w:pPr>
      <w:ind w:left="1440"/>
    </w:pPr>
    <w:rPr>
      <w:rFonts w:asciiTheme="minorHAnsi" w:eastAsiaTheme="minorHAnsi" w:hAnsiTheme="minorHAnsi" w:cstheme="minorHAnsi"/>
      <w:sz w:val="20"/>
      <w:szCs w:val="20"/>
      <w:lang w:val="en-AU" w:eastAsia="en-US"/>
    </w:rPr>
  </w:style>
  <w:style w:type="paragraph" w:styleId="TOC9">
    <w:name w:val="toc 9"/>
    <w:basedOn w:val="Normal"/>
    <w:next w:val="Normal"/>
    <w:autoRedefine/>
    <w:uiPriority w:val="39"/>
    <w:unhideWhenUsed/>
    <w:rsid w:val="00B86152"/>
    <w:pPr>
      <w:ind w:left="1680"/>
    </w:pPr>
    <w:rPr>
      <w:rFonts w:asciiTheme="minorHAnsi" w:eastAsiaTheme="minorHAnsi" w:hAnsiTheme="minorHAnsi" w:cstheme="minorHAnsi"/>
      <w:sz w:val="20"/>
      <w:szCs w:val="20"/>
      <w:lang w:val="en-AU" w:eastAsia="en-US"/>
    </w:rPr>
  </w:style>
  <w:style w:type="character" w:customStyle="1" w:styleId="Heading1Char">
    <w:name w:val="Heading 1 Char"/>
    <w:basedOn w:val="DefaultParagraphFont"/>
    <w:link w:val="Heading1"/>
    <w:uiPriority w:val="9"/>
    <w:rsid w:val="00C4115B"/>
    <w:rPr>
      <w:rFonts w:asciiTheme="majorHAnsi" w:eastAsiaTheme="majorEastAsia" w:hAnsiTheme="majorHAnsi" w:cstheme="majorBidi"/>
      <w:color w:val="2F5496" w:themeColor="accent1" w:themeShade="BF"/>
      <w:sz w:val="32"/>
      <w:szCs w:val="32"/>
      <w:lang w:val="en-AU"/>
    </w:rPr>
  </w:style>
  <w:style w:type="paragraph" w:styleId="Caption">
    <w:name w:val="caption"/>
    <w:basedOn w:val="Normal"/>
    <w:next w:val="Normal"/>
    <w:uiPriority w:val="35"/>
    <w:unhideWhenUsed/>
    <w:qFormat/>
    <w:rsid w:val="00FA583F"/>
    <w:pPr>
      <w:spacing w:after="200"/>
    </w:pPr>
    <w:rPr>
      <w:rFonts w:asciiTheme="minorHAnsi" w:eastAsiaTheme="minorHAnsi" w:hAnsiTheme="minorHAnsi" w:cstheme="minorBidi"/>
      <w:i/>
      <w:iCs/>
      <w:color w:val="44546A" w:themeColor="text2"/>
      <w:sz w:val="18"/>
      <w:szCs w:val="18"/>
      <w:lang w:val="en-AU" w:eastAsia="en-US"/>
    </w:rPr>
  </w:style>
  <w:style w:type="paragraph" w:customStyle="1" w:styleId="PacificWomenstyle-body">
    <w:name w:val="Pacific Women style - body"/>
    <w:basedOn w:val="Normal"/>
    <w:link w:val="PacificWomenstyle-bodyChar"/>
    <w:qFormat/>
    <w:rsid w:val="00CA3007"/>
    <w:pPr>
      <w:spacing w:before="120" w:after="120" w:line="240" w:lineRule="atLeast"/>
      <w:jc w:val="both"/>
    </w:pPr>
    <w:rPr>
      <w:rFonts w:asciiTheme="minorHAnsi" w:eastAsiaTheme="minorEastAsia" w:hAnsiTheme="minorHAnsi" w:cstheme="minorHAnsi"/>
      <w:sz w:val="22"/>
      <w:szCs w:val="22"/>
      <w:lang w:val="en-AU" w:eastAsia="en-AU"/>
    </w:rPr>
  </w:style>
  <w:style w:type="character" w:customStyle="1" w:styleId="PacificWomenstyle-bodyChar">
    <w:name w:val="Pacific Women style - body Char"/>
    <w:basedOn w:val="DefaultParagraphFont"/>
    <w:link w:val="PacificWomenstyle-body"/>
    <w:rsid w:val="00CA3007"/>
    <w:rPr>
      <w:rFonts w:eastAsiaTheme="minorEastAsia" w:cstheme="minorHAnsi"/>
      <w:sz w:val="22"/>
      <w:szCs w:val="22"/>
      <w:lang w:val="en-AU" w:eastAsia="en-AU"/>
    </w:rPr>
  </w:style>
  <w:style w:type="table" w:styleId="GridTable4-Accent1">
    <w:name w:val="Grid Table 4 Accent 1"/>
    <w:basedOn w:val="TableNormal"/>
    <w:uiPriority w:val="49"/>
    <w:rsid w:val="00310E5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D84C74"/>
    <w:rPr>
      <w:color w:val="605E5C"/>
      <w:shd w:val="clear" w:color="auto" w:fill="E1DFDD"/>
    </w:rPr>
  </w:style>
  <w:style w:type="paragraph" w:customStyle="1" w:styleId="paragraph">
    <w:name w:val="paragraph"/>
    <w:basedOn w:val="Normal"/>
    <w:rsid w:val="00832ABD"/>
    <w:pPr>
      <w:spacing w:before="100" w:beforeAutospacing="1" w:after="100" w:afterAutospacing="1"/>
    </w:pPr>
    <w:rPr>
      <w:lang w:val="fr-FR" w:eastAsia="fr-FR"/>
    </w:rPr>
  </w:style>
  <w:style w:type="character" w:customStyle="1" w:styleId="normaltextrun">
    <w:name w:val="normaltextrun"/>
    <w:basedOn w:val="DefaultParagraphFont"/>
    <w:rsid w:val="00832ABD"/>
  </w:style>
  <w:style w:type="character" w:customStyle="1" w:styleId="eop">
    <w:name w:val="eop"/>
    <w:basedOn w:val="DefaultParagraphFont"/>
    <w:rsid w:val="00832ABD"/>
  </w:style>
  <w:style w:type="paragraph" w:customStyle="1" w:styleId="DefaultText">
    <w:name w:val="Default Text"/>
    <w:basedOn w:val="Normal"/>
    <w:link w:val="DefaultTextChar"/>
    <w:qFormat/>
    <w:rsid w:val="00B00A2A"/>
    <w:pPr>
      <w:spacing w:line="280" w:lineRule="atLeast"/>
      <w:jc w:val="both"/>
    </w:pPr>
    <w:rPr>
      <w:rFonts w:ascii="Arial" w:hAnsi="Arial"/>
      <w:sz w:val="18"/>
      <w:lang w:eastAsia="nl-NL"/>
    </w:rPr>
  </w:style>
  <w:style w:type="table" w:customStyle="1" w:styleId="table-style-blauw-100-outline">
    <w:name w:val="table-style-blauw-100-outline"/>
    <w:basedOn w:val="TableNormal"/>
    <w:rsid w:val="00B00A2A"/>
    <w:pPr>
      <w:spacing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DefaultTextChar">
    <w:name w:val="Default Text Char"/>
    <w:basedOn w:val="DefaultParagraphFont"/>
    <w:link w:val="DefaultText"/>
    <w:rsid w:val="00B00A2A"/>
    <w:rPr>
      <w:rFonts w:ascii="Arial" w:eastAsia="Times New Roman" w:hAnsi="Arial" w:cs="Times New Roman"/>
      <w:sz w:val="18"/>
      <w:lang w:eastAsia="nl-NL"/>
    </w:rPr>
  </w:style>
  <w:style w:type="character" w:styleId="FollowedHyperlink">
    <w:name w:val="FollowedHyperlink"/>
    <w:basedOn w:val="DefaultParagraphFont"/>
    <w:uiPriority w:val="99"/>
    <w:semiHidden/>
    <w:unhideWhenUsed/>
    <w:rsid w:val="003747E0"/>
    <w:rPr>
      <w:color w:val="954F72"/>
      <w:u w:val="single"/>
    </w:rPr>
  </w:style>
  <w:style w:type="paragraph" w:customStyle="1" w:styleId="msonormal0">
    <w:name w:val="msonormal"/>
    <w:basedOn w:val="Normal"/>
    <w:rsid w:val="003747E0"/>
    <w:pPr>
      <w:spacing w:before="100" w:beforeAutospacing="1" w:after="100" w:afterAutospacing="1"/>
    </w:pPr>
  </w:style>
  <w:style w:type="paragraph" w:customStyle="1" w:styleId="xl65">
    <w:name w:val="xl65"/>
    <w:basedOn w:val="Normal"/>
    <w:rsid w:val="003747E0"/>
    <w:pPr>
      <w:spacing w:before="100" w:beforeAutospacing="1" w:after="100" w:afterAutospacing="1"/>
      <w:jc w:val="center"/>
      <w:textAlignment w:val="center"/>
    </w:pPr>
  </w:style>
  <w:style w:type="paragraph" w:customStyle="1" w:styleId="xl66">
    <w:name w:val="xl66"/>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Normal"/>
    <w:rsid w:val="003747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8"/>
      <w:szCs w:val="28"/>
    </w:rPr>
  </w:style>
  <w:style w:type="paragraph" w:customStyle="1" w:styleId="xl69">
    <w:name w:val="xl69"/>
    <w:basedOn w:val="Normal"/>
    <w:rsid w:val="003747E0"/>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rPr>
  </w:style>
  <w:style w:type="paragraph" w:customStyle="1" w:styleId="xl70">
    <w:name w:val="xl70"/>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73">
    <w:name w:val="xl73"/>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rPr>
  </w:style>
  <w:style w:type="paragraph" w:customStyle="1" w:styleId="xl75">
    <w:name w:val="xl75"/>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rPr>
  </w:style>
  <w:style w:type="paragraph" w:customStyle="1" w:styleId="xl76">
    <w:name w:val="xl76"/>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style>
  <w:style w:type="paragraph" w:customStyle="1" w:styleId="xl77">
    <w:name w:val="xl77"/>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Normal"/>
    <w:rsid w:val="003747E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0"/>
      <w:szCs w:val="20"/>
    </w:rPr>
  </w:style>
  <w:style w:type="paragraph" w:customStyle="1" w:styleId="xl82">
    <w:name w:val="xl82"/>
    <w:basedOn w:val="Normal"/>
    <w:rsid w:val="003747E0"/>
    <w:pPr>
      <w:pBdr>
        <w:left w:val="single" w:sz="4" w:space="0" w:color="auto"/>
        <w:right w:val="single" w:sz="4" w:space="0" w:color="auto"/>
      </w:pBdr>
      <w:shd w:val="clear" w:color="000000" w:fill="375623"/>
      <w:spacing w:before="100" w:beforeAutospacing="1" w:after="100" w:afterAutospacing="1"/>
      <w:jc w:val="center"/>
      <w:textAlignment w:val="center"/>
    </w:pPr>
  </w:style>
  <w:style w:type="paragraph" w:customStyle="1" w:styleId="xl83">
    <w:name w:val="xl83"/>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textAlignment w:val="center"/>
    </w:pPr>
    <w:rPr>
      <w:rFonts w:ascii="Franklin Gothic Book" w:hAnsi="Franklin Gothic Book"/>
    </w:rPr>
  </w:style>
  <w:style w:type="paragraph" w:customStyle="1" w:styleId="xl84">
    <w:name w:val="xl84"/>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pPr>
  </w:style>
  <w:style w:type="paragraph" w:customStyle="1" w:styleId="xl85">
    <w:name w:val="xl85"/>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pPr>
  </w:style>
  <w:style w:type="paragraph" w:customStyle="1" w:styleId="xl86">
    <w:name w:val="xl86"/>
    <w:basedOn w:val="Normal"/>
    <w:rsid w:val="003747E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9">
    <w:name w:val="xl89"/>
    <w:basedOn w:val="Normal"/>
    <w:rsid w:val="003747E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rPr>
  </w:style>
  <w:style w:type="paragraph" w:customStyle="1" w:styleId="xl90">
    <w:name w:val="xl90"/>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91">
    <w:name w:val="xl91"/>
    <w:basedOn w:val="Normal"/>
    <w:rsid w:val="003747E0"/>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92">
    <w:name w:val="xl92"/>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93">
    <w:name w:val="xl93"/>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94">
    <w:name w:val="xl94"/>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20"/>
      <w:szCs w:val="20"/>
    </w:rPr>
  </w:style>
  <w:style w:type="paragraph" w:customStyle="1" w:styleId="xl95">
    <w:name w:val="xl95"/>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color w:val="000000"/>
      <w:sz w:val="20"/>
      <w:szCs w:val="20"/>
    </w:rPr>
  </w:style>
  <w:style w:type="paragraph" w:customStyle="1" w:styleId="xl96">
    <w:name w:val="xl96"/>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sz w:val="20"/>
      <w:szCs w:val="20"/>
    </w:rPr>
  </w:style>
  <w:style w:type="paragraph" w:customStyle="1" w:styleId="xl97">
    <w:name w:val="xl97"/>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99">
    <w:name w:val="xl99"/>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100">
    <w:name w:val="xl100"/>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101">
    <w:name w:val="xl101"/>
    <w:basedOn w:val="Normal"/>
    <w:rsid w:val="003747E0"/>
    <w:pPr>
      <w:pBdr>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style>
  <w:style w:type="paragraph" w:customStyle="1" w:styleId="xl102">
    <w:name w:val="xl102"/>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sz w:val="20"/>
      <w:szCs w:val="20"/>
    </w:rPr>
  </w:style>
  <w:style w:type="paragraph" w:customStyle="1" w:styleId="xl103">
    <w:name w:val="xl103"/>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style>
  <w:style w:type="paragraph" w:customStyle="1" w:styleId="xl104">
    <w:name w:val="xl104"/>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D2228"/>
      <w:sz w:val="20"/>
      <w:szCs w:val="20"/>
    </w:rPr>
  </w:style>
  <w:style w:type="paragraph" w:customStyle="1" w:styleId="xl105">
    <w:name w:val="xl105"/>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sz w:val="20"/>
      <w:szCs w:val="20"/>
    </w:rPr>
  </w:style>
  <w:style w:type="paragraph" w:customStyle="1" w:styleId="xl106">
    <w:name w:val="xl106"/>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sz w:val="20"/>
      <w:szCs w:val="20"/>
    </w:rPr>
  </w:style>
  <w:style w:type="paragraph" w:customStyle="1" w:styleId="xl107">
    <w:name w:val="xl107"/>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sz w:val="20"/>
      <w:szCs w:val="20"/>
    </w:rPr>
  </w:style>
  <w:style w:type="paragraph" w:customStyle="1" w:styleId="xl108">
    <w:name w:val="xl108"/>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sz w:val="20"/>
      <w:szCs w:val="20"/>
    </w:rPr>
  </w:style>
  <w:style w:type="paragraph" w:customStyle="1" w:styleId="xl109">
    <w:name w:val="xl109"/>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sz w:val="20"/>
      <w:szCs w:val="20"/>
    </w:rPr>
  </w:style>
  <w:style w:type="paragraph" w:customStyle="1" w:styleId="xl110">
    <w:name w:val="xl110"/>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11">
    <w:name w:val="xl111"/>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2">
    <w:name w:val="xl112"/>
    <w:basedOn w:val="Normal"/>
    <w:rsid w:val="003747E0"/>
    <w:pPr>
      <w:pBdr>
        <w:top w:val="single" w:sz="4" w:space="0" w:color="auto"/>
        <w:left w:val="single" w:sz="4" w:space="0" w:color="auto"/>
        <w:right w:val="single" w:sz="4" w:space="0" w:color="auto"/>
      </w:pBdr>
      <w:shd w:val="clear" w:color="000000" w:fill="375623"/>
      <w:spacing w:before="100" w:beforeAutospacing="1" w:after="100" w:afterAutospacing="1"/>
      <w:jc w:val="center"/>
      <w:textAlignment w:val="center"/>
    </w:pPr>
  </w:style>
  <w:style w:type="paragraph" w:customStyle="1" w:styleId="xl113">
    <w:name w:val="xl113"/>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20"/>
      <w:szCs w:val="20"/>
    </w:rPr>
  </w:style>
  <w:style w:type="paragraph" w:customStyle="1" w:styleId="xl114">
    <w:name w:val="xl114"/>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sz w:val="20"/>
      <w:szCs w:val="20"/>
    </w:rPr>
  </w:style>
  <w:style w:type="paragraph" w:customStyle="1" w:styleId="xl115">
    <w:name w:val="xl115"/>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ranklin Gothic Book" w:hAnsi="Franklin Gothic Book"/>
    </w:rPr>
  </w:style>
  <w:style w:type="paragraph" w:customStyle="1" w:styleId="xl116">
    <w:name w:val="xl116"/>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17">
    <w:name w:val="xl117"/>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18">
    <w:name w:val="xl118"/>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119">
    <w:name w:val="xl119"/>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textAlignment w:val="center"/>
    </w:pPr>
    <w:rPr>
      <w:rFonts w:ascii="Franklin Gothic Book" w:hAnsi="Franklin Gothic Book"/>
      <w:sz w:val="20"/>
      <w:szCs w:val="20"/>
    </w:rPr>
  </w:style>
  <w:style w:type="paragraph" w:customStyle="1" w:styleId="xl120">
    <w:name w:val="xl120"/>
    <w:basedOn w:val="Normal"/>
    <w:rsid w:val="003747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0"/>
      <w:szCs w:val="20"/>
    </w:rPr>
  </w:style>
  <w:style w:type="paragraph" w:customStyle="1" w:styleId="xl121">
    <w:name w:val="xl121"/>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sz w:val="20"/>
      <w:szCs w:val="20"/>
    </w:rPr>
  </w:style>
  <w:style w:type="paragraph" w:customStyle="1" w:styleId="xl122">
    <w:name w:val="xl122"/>
    <w:basedOn w:val="Normal"/>
    <w:rsid w:val="003747E0"/>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23">
    <w:name w:val="xl123"/>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Franklin Gothic Book" w:hAnsi="Franklin Gothic Book"/>
      <w:sz w:val="20"/>
      <w:szCs w:val="20"/>
    </w:rPr>
  </w:style>
  <w:style w:type="paragraph" w:customStyle="1" w:styleId="xl124">
    <w:name w:val="xl124"/>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25">
    <w:name w:val="xl125"/>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pPr>
    <w:rPr>
      <w:sz w:val="20"/>
      <w:szCs w:val="20"/>
    </w:rPr>
  </w:style>
  <w:style w:type="paragraph" w:customStyle="1" w:styleId="xl126">
    <w:name w:val="xl126"/>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7">
    <w:name w:val="xl127"/>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28">
    <w:name w:val="xl128"/>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sz w:val="20"/>
      <w:szCs w:val="20"/>
    </w:rPr>
  </w:style>
  <w:style w:type="paragraph" w:customStyle="1" w:styleId="xl129">
    <w:name w:val="xl129"/>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130">
    <w:name w:val="xl130"/>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ranklin Gothic Book" w:hAnsi="Franklin Gothic Book"/>
      <w:sz w:val="20"/>
      <w:szCs w:val="20"/>
    </w:rPr>
  </w:style>
  <w:style w:type="paragraph" w:customStyle="1" w:styleId="xl131">
    <w:name w:val="xl131"/>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sz w:val="20"/>
      <w:szCs w:val="20"/>
    </w:rPr>
  </w:style>
  <w:style w:type="paragraph" w:customStyle="1" w:styleId="xl132">
    <w:name w:val="xl132"/>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33">
    <w:name w:val="xl133"/>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0000"/>
      <w:sz w:val="20"/>
      <w:szCs w:val="20"/>
    </w:rPr>
  </w:style>
  <w:style w:type="paragraph" w:customStyle="1" w:styleId="xl134">
    <w:name w:val="xl134"/>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20"/>
      <w:szCs w:val="20"/>
    </w:rPr>
  </w:style>
  <w:style w:type="paragraph" w:customStyle="1" w:styleId="xl135">
    <w:name w:val="xl135"/>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20"/>
      <w:szCs w:val="20"/>
    </w:rPr>
  </w:style>
  <w:style w:type="paragraph" w:customStyle="1" w:styleId="xl136">
    <w:name w:val="xl136"/>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8">
    <w:name w:val="xl138"/>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sz w:val="20"/>
      <w:szCs w:val="20"/>
    </w:rPr>
  </w:style>
  <w:style w:type="paragraph" w:customStyle="1" w:styleId="xl139">
    <w:name w:val="xl139"/>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color w:val="000000"/>
      <w:sz w:val="20"/>
      <w:szCs w:val="20"/>
    </w:rPr>
  </w:style>
  <w:style w:type="paragraph" w:customStyle="1" w:styleId="xl140">
    <w:name w:val="xl140"/>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1D2228"/>
      <w:sz w:val="20"/>
      <w:szCs w:val="20"/>
    </w:rPr>
  </w:style>
  <w:style w:type="paragraph" w:customStyle="1" w:styleId="xl141">
    <w:name w:val="xl141"/>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0000"/>
      <w:sz w:val="20"/>
      <w:szCs w:val="20"/>
    </w:rPr>
  </w:style>
  <w:style w:type="paragraph" w:customStyle="1" w:styleId="xl142">
    <w:name w:val="xl142"/>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sz w:val="20"/>
      <w:szCs w:val="20"/>
    </w:rPr>
  </w:style>
  <w:style w:type="paragraph" w:customStyle="1" w:styleId="xl143">
    <w:name w:val="xl143"/>
    <w:basedOn w:val="Normal"/>
    <w:rsid w:val="003747E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0"/>
      <w:szCs w:val="20"/>
    </w:rPr>
  </w:style>
  <w:style w:type="paragraph" w:customStyle="1" w:styleId="xl144">
    <w:name w:val="xl144"/>
    <w:basedOn w:val="Normal"/>
    <w:rsid w:val="003747E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0"/>
      <w:szCs w:val="20"/>
    </w:rPr>
  </w:style>
  <w:style w:type="paragraph" w:customStyle="1" w:styleId="xl145">
    <w:name w:val="xl145"/>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sz w:val="20"/>
      <w:szCs w:val="20"/>
    </w:rPr>
  </w:style>
  <w:style w:type="paragraph" w:customStyle="1" w:styleId="xl147">
    <w:name w:val="xl147"/>
    <w:basedOn w:val="Normal"/>
    <w:rsid w:val="003747E0"/>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48">
    <w:name w:val="xl148"/>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49">
    <w:name w:val="xl149"/>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sz w:val="20"/>
      <w:szCs w:val="20"/>
    </w:rPr>
  </w:style>
  <w:style w:type="paragraph" w:customStyle="1" w:styleId="xl150">
    <w:name w:val="xl150"/>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sz w:val="20"/>
      <w:szCs w:val="20"/>
    </w:rPr>
  </w:style>
  <w:style w:type="paragraph" w:customStyle="1" w:styleId="xl151">
    <w:name w:val="xl151"/>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20"/>
      <w:szCs w:val="20"/>
    </w:rPr>
  </w:style>
  <w:style w:type="paragraph" w:customStyle="1" w:styleId="xl152">
    <w:name w:val="xl152"/>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153">
    <w:name w:val="xl153"/>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154">
    <w:name w:val="xl154"/>
    <w:basedOn w:val="Normal"/>
    <w:rsid w:val="003747E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rPr>
  </w:style>
  <w:style w:type="paragraph" w:customStyle="1" w:styleId="xl155">
    <w:name w:val="xl155"/>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Franklin Gothic Book" w:hAnsi="Franklin Gothic Book"/>
      <w:color w:val="0070C0"/>
      <w:sz w:val="20"/>
      <w:szCs w:val="20"/>
    </w:rPr>
  </w:style>
  <w:style w:type="paragraph" w:customStyle="1" w:styleId="xl156">
    <w:name w:val="xl156"/>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Franklin Gothic Book" w:hAnsi="Franklin Gothic Book"/>
      <w:sz w:val="20"/>
      <w:szCs w:val="20"/>
    </w:rPr>
  </w:style>
  <w:style w:type="paragraph" w:customStyle="1" w:styleId="xl157">
    <w:name w:val="xl157"/>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563C1"/>
      <w:sz w:val="20"/>
      <w:szCs w:val="20"/>
      <w:u w:val="single"/>
    </w:rPr>
  </w:style>
  <w:style w:type="paragraph" w:customStyle="1" w:styleId="xl158">
    <w:name w:val="xl158"/>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70C0"/>
      <w:sz w:val="20"/>
      <w:szCs w:val="20"/>
      <w:u w:val="single"/>
    </w:rPr>
  </w:style>
  <w:style w:type="paragraph" w:customStyle="1" w:styleId="xl159">
    <w:name w:val="xl159"/>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u w:val="single"/>
    </w:rPr>
  </w:style>
  <w:style w:type="paragraph" w:customStyle="1" w:styleId="xl160">
    <w:name w:val="xl160"/>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sz w:val="20"/>
      <w:szCs w:val="20"/>
      <w:u w:val="single"/>
    </w:rPr>
  </w:style>
  <w:style w:type="paragraph" w:customStyle="1" w:styleId="xl161">
    <w:name w:val="xl161"/>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70C0"/>
      <w:sz w:val="20"/>
      <w:szCs w:val="20"/>
      <w:u w:val="single"/>
    </w:rPr>
  </w:style>
  <w:style w:type="paragraph" w:customStyle="1" w:styleId="xl162">
    <w:name w:val="xl162"/>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70C0"/>
      <w:sz w:val="20"/>
      <w:szCs w:val="20"/>
      <w:u w:val="single"/>
    </w:rPr>
  </w:style>
  <w:style w:type="paragraph" w:customStyle="1" w:styleId="xl163">
    <w:name w:val="xl163"/>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4">
    <w:name w:val="xl164"/>
    <w:basedOn w:val="Normal"/>
    <w:rsid w:val="003747E0"/>
    <w:pPr>
      <w:pBdr>
        <w:left w:val="single" w:sz="4" w:space="0" w:color="auto"/>
        <w:right w:val="single" w:sz="4" w:space="0" w:color="auto"/>
      </w:pBdr>
      <w:shd w:val="clear" w:color="000000" w:fill="375623"/>
      <w:spacing w:before="100" w:beforeAutospacing="1" w:after="100" w:afterAutospacing="1"/>
      <w:jc w:val="center"/>
      <w:textAlignment w:val="center"/>
    </w:pPr>
    <w:rPr>
      <w:b/>
      <w:bCs/>
    </w:rPr>
  </w:style>
  <w:style w:type="paragraph" w:customStyle="1" w:styleId="xl165">
    <w:name w:val="xl165"/>
    <w:basedOn w:val="Normal"/>
    <w:rsid w:val="003747E0"/>
    <w:pPr>
      <w:pBdr>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b/>
      <w:bCs/>
    </w:rPr>
  </w:style>
  <w:style w:type="paragraph" w:customStyle="1" w:styleId="xl166">
    <w:name w:val="xl166"/>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pPr>
    <w:rPr>
      <w:b/>
      <w:bCs/>
    </w:rPr>
  </w:style>
  <w:style w:type="paragraph" w:customStyle="1" w:styleId="xl167">
    <w:name w:val="xl167"/>
    <w:basedOn w:val="Normal"/>
    <w:rsid w:val="003747E0"/>
    <w:pPr>
      <w:pBdr>
        <w:top w:val="single" w:sz="4" w:space="0" w:color="auto"/>
        <w:left w:val="single" w:sz="4" w:space="0" w:color="auto"/>
        <w:right w:val="single" w:sz="4" w:space="0" w:color="auto"/>
      </w:pBdr>
      <w:shd w:val="clear" w:color="000000" w:fill="375623"/>
      <w:spacing w:before="100" w:beforeAutospacing="1" w:after="100" w:afterAutospacing="1"/>
      <w:jc w:val="center"/>
    </w:pPr>
    <w:rPr>
      <w:b/>
      <w:bCs/>
    </w:rPr>
  </w:style>
  <w:style w:type="paragraph" w:customStyle="1" w:styleId="xl168">
    <w:name w:val="xl168"/>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9">
    <w:name w:val="xl169"/>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rPr>
  </w:style>
  <w:style w:type="paragraph" w:customStyle="1" w:styleId="xl170">
    <w:name w:val="xl170"/>
    <w:basedOn w:val="Normal"/>
    <w:rsid w:val="003747E0"/>
    <w:pPr>
      <w:spacing w:before="100" w:beforeAutospacing="1" w:after="100" w:afterAutospacing="1"/>
    </w:pPr>
    <w:rPr>
      <w:rFonts w:ascii="Franklin Gothic Book" w:hAnsi="Franklin Gothic Book"/>
    </w:rPr>
  </w:style>
  <w:style w:type="paragraph" w:customStyle="1" w:styleId="xl171">
    <w:name w:val="xl171"/>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textAlignment w:val="center"/>
    </w:pPr>
    <w:rPr>
      <w:rFonts w:ascii="Franklin Gothic Book" w:hAnsi="Franklin Gothic Book"/>
    </w:rPr>
  </w:style>
  <w:style w:type="paragraph" w:customStyle="1" w:styleId="xl172">
    <w:name w:val="xl172"/>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sz w:val="20"/>
      <w:szCs w:val="20"/>
    </w:rPr>
  </w:style>
  <w:style w:type="paragraph" w:customStyle="1" w:styleId="xl173">
    <w:name w:val="xl173"/>
    <w:basedOn w:val="Normal"/>
    <w:rsid w:val="003747E0"/>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74">
    <w:name w:val="xl174"/>
    <w:basedOn w:val="Normal"/>
    <w:rsid w:val="003747E0"/>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75">
    <w:name w:val="xl175"/>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563C1"/>
      <w:sz w:val="20"/>
      <w:szCs w:val="20"/>
      <w:u w:val="single"/>
    </w:rPr>
  </w:style>
  <w:style w:type="paragraph" w:customStyle="1" w:styleId="xl176">
    <w:name w:val="xl176"/>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Franklin Gothic Book" w:hAnsi="Franklin Gothic Book"/>
      <w:sz w:val="20"/>
      <w:szCs w:val="20"/>
    </w:rPr>
  </w:style>
  <w:style w:type="paragraph" w:customStyle="1" w:styleId="xl177">
    <w:name w:val="xl177"/>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178">
    <w:name w:val="xl178"/>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70C0"/>
      <w:sz w:val="20"/>
      <w:szCs w:val="20"/>
    </w:rPr>
  </w:style>
  <w:style w:type="paragraph" w:customStyle="1" w:styleId="xl179">
    <w:name w:val="xl179"/>
    <w:basedOn w:val="Normal"/>
    <w:rsid w:val="003747E0"/>
    <w:pPr>
      <w:shd w:val="clear" w:color="000000" w:fill="C6E0B4"/>
      <w:spacing w:before="100" w:beforeAutospacing="1" w:after="100" w:afterAutospacing="1"/>
      <w:jc w:val="center"/>
      <w:textAlignment w:val="center"/>
    </w:pPr>
    <w:rPr>
      <w:rFonts w:ascii="Franklin Gothic Book" w:hAnsi="Franklin Gothic Book"/>
      <w:color w:val="0563C1"/>
      <w:sz w:val="20"/>
      <w:szCs w:val="20"/>
      <w:u w:val="single"/>
    </w:rPr>
  </w:style>
  <w:style w:type="paragraph" w:customStyle="1" w:styleId="xl180">
    <w:name w:val="xl180"/>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u w:val="single"/>
    </w:rPr>
  </w:style>
  <w:style w:type="paragraph" w:customStyle="1" w:styleId="xl181">
    <w:name w:val="xl181"/>
    <w:basedOn w:val="Normal"/>
    <w:rsid w:val="003747E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70C0"/>
      <w:sz w:val="20"/>
      <w:szCs w:val="20"/>
      <w:u w:val="single"/>
    </w:rPr>
  </w:style>
  <w:style w:type="paragraph" w:customStyle="1" w:styleId="xl182">
    <w:name w:val="xl182"/>
    <w:basedOn w:val="Normal"/>
    <w:rsid w:val="003747E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70C0"/>
      <w:sz w:val="20"/>
      <w:szCs w:val="20"/>
      <w:u w:val="single"/>
    </w:rPr>
  </w:style>
  <w:style w:type="paragraph" w:customStyle="1" w:styleId="xl183">
    <w:name w:val="xl183"/>
    <w:basedOn w:val="Normal"/>
    <w:rsid w:val="003747E0"/>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Franklin Gothic Book" w:hAnsi="Franklin Gothic Book"/>
      <w:color w:val="0070C0"/>
      <w:sz w:val="20"/>
      <w:szCs w:val="20"/>
    </w:rPr>
  </w:style>
  <w:style w:type="paragraph" w:customStyle="1" w:styleId="xl184">
    <w:name w:val="xl184"/>
    <w:basedOn w:val="Normal"/>
    <w:rsid w:val="003747E0"/>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70C0"/>
      <w:sz w:val="20"/>
      <w:szCs w:val="20"/>
      <w:u w:val="single"/>
    </w:rPr>
  </w:style>
  <w:style w:type="paragraph" w:customStyle="1" w:styleId="xl185">
    <w:name w:val="xl185"/>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0070C0"/>
      <w:sz w:val="20"/>
      <w:szCs w:val="20"/>
    </w:rPr>
  </w:style>
  <w:style w:type="paragraph" w:customStyle="1" w:styleId="xl186">
    <w:name w:val="xl186"/>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ranklin Gothic Book" w:hAnsi="Franklin Gothic Book"/>
      <w:color w:val="0563C1"/>
      <w:sz w:val="20"/>
      <w:szCs w:val="20"/>
      <w:u w:val="single"/>
    </w:rPr>
  </w:style>
  <w:style w:type="paragraph" w:customStyle="1" w:styleId="xl187">
    <w:name w:val="xl187"/>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563C1"/>
      <w:sz w:val="20"/>
      <w:szCs w:val="20"/>
      <w:u w:val="single"/>
    </w:rPr>
  </w:style>
  <w:style w:type="paragraph" w:customStyle="1" w:styleId="xl188">
    <w:name w:val="xl188"/>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563C1"/>
      <w:sz w:val="20"/>
      <w:szCs w:val="20"/>
      <w:u w:val="single"/>
    </w:rPr>
  </w:style>
  <w:style w:type="paragraph" w:customStyle="1" w:styleId="xl189">
    <w:name w:val="xl189"/>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070C0"/>
      <w:sz w:val="20"/>
      <w:szCs w:val="20"/>
      <w:u w:val="single"/>
    </w:rPr>
  </w:style>
  <w:style w:type="paragraph" w:customStyle="1" w:styleId="xl190">
    <w:name w:val="xl190"/>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070C0"/>
      <w:u w:val="single"/>
    </w:rPr>
  </w:style>
  <w:style w:type="paragraph" w:customStyle="1" w:styleId="xl191">
    <w:name w:val="xl191"/>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070C0"/>
    </w:rPr>
  </w:style>
  <w:style w:type="paragraph" w:customStyle="1" w:styleId="xl192">
    <w:name w:val="xl192"/>
    <w:basedOn w:val="Normal"/>
    <w:rsid w:val="003747E0"/>
    <w:pPr>
      <w:pBdr>
        <w:left w:val="single" w:sz="4" w:space="0" w:color="auto"/>
        <w:right w:val="single" w:sz="4" w:space="0" w:color="auto"/>
      </w:pBdr>
      <w:shd w:val="clear" w:color="000000" w:fill="375623"/>
      <w:spacing w:before="100" w:beforeAutospacing="1" w:after="100" w:afterAutospacing="1"/>
      <w:textAlignment w:val="center"/>
    </w:pPr>
    <w:rPr>
      <w:b/>
      <w:bCs/>
    </w:rPr>
  </w:style>
  <w:style w:type="paragraph" w:customStyle="1" w:styleId="xl193">
    <w:name w:val="xl193"/>
    <w:basedOn w:val="Normal"/>
    <w:rsid w:val="003747E0"/>
    <w:pPr>
      <w:pBdr>
        <w:left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194">
    <w:name w:val="xl194"/>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color w:val="444444"/>
      <w:sz w:val="20"/>
      <w:szCs w:val="20"/>
    </w:rPr>
  </w:style>
  <w:style w:type="paragraph" w:customStyle="1" w:styleId="xl195">
    <w:name w:val="xl195"/>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20"/>
      <w:szCs w:val="20"/>
    </w:rPr>
  </w:style>
  <w:style w:type="paragraph" w:customStyle="1" w:styleId="xl196">
    <w:name w:val="xl196"/>
    <w:basedOn w:val="Normal"/>
    <w:rsid w:val="003747E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Franklin Gothic Book" w:hAnsi="Franklin Gothic Book"/>
      <w:sz w:val="20"/>
      <w:szCs w:val="20"/>
    </w:rPr>
  </w:style>
  <w:style w:type="paragraph" w:customStyle="1" w:styleId="xl197">
    <w:name w:val="xl197"/>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sz w:val="20"/>
      <w:szCs w:val="20"/>
    </w:rPr>
  </w:style>
  <w:style w:type="paragraph" w:customStyle="1" w:styleId="xl198">
    <w:name w:val="xl198"/>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sz w:val="20"/>
      <w:szCs w:val="20"/>
    </w:rPr>
  </w:style>
  <w:style w:type="paragraph" w:customStyle="1" w:styleId="xl199">
    <w:name w:val="xl199"/>
    <w:basedOn w:val="Normal"/>
    <w:rsid w:val="003747E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rFonts w:ascii="Franklin Gothic Book" w:hAnsi="Franklin Gothic Book"/>
    </w:rPr>
  </w:style>
  <w:style w:type="paragraph" w:customStyle="1" w:styleId="xl200">
    <w:name w:val="xl200"/>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ranklin Gothic Book" w:hAnsi="Franklin Gothic Book"/>
      <w:sz w:val="20"/>
      <w:szCs w:val="20"/>
    </w:rPr>
  </w:style>
  <w:style w:type="paragraph" w:customStyle="1" w:styleId="xl201">
    <w:name w:val="xl201"/>
    <w:basedOn w:val="Normal"/>
    <w:rsid w:val="003747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color w:val="000000"/>
      <w:sz w:val="20"/>
      <w:szCs w:val="20"/>
    </w:rPr>
  </w:style>
  <w:style w:type="paragraph" w:customStyle="1" w:styleId="xl202">
    <w:name w:val="xl202"/>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Franklin Gothic Book" w:hAnsi="Franklin Gothic Book"/>
      <w:color w:val="000000"/>
      <w:sz w:val="20"/>
      <w:szCs w:val="20"/>
    </w:rPr>
  </w:style>
  <w:style w:type="paragraph" w:customStyle="1" w:styleId="xl203">
    <w:name w:val="xl203"/>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sz w:val="20"/>
      <w:szCs w:val="20"/>
    </w:rPr>
  </w:style>
  <w:style w:type="paragraph" w:customStyle="1" w:styleId="xl204">
    <w:name w:val="xl204"/>
    <w:basedOn w:val="Normal"/>
    <w:rsid w:val="003747E0"/>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Franklin Gothic Book" w:hAnsi="Franklin Gothic Book"/>
      <w:color w:val="000000"/>
      <w:sz w:val="20"/>
      <w:szCs w:val="20"/>
      <w:u w:val="single"/>
    </w:rPr>
  </w:style>
  <w:style w:type="paragraph" w:customStyle="1" w:styleId="xl205">
    <w:name w:val="xl205"/>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206">
    <w:name w:val="xl206"/>
    <w:basedOn w:val="Normal"/>
    <w:rsid w:val="00374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0"/>
      <w:szCs w:val="20"/>
    </w:rPr>
  </w:style>
  <w:style w:type="paragraph" w:customStyle="1" w:styleId="xl207">
    <w:name w:val="xl207"/>
    <w:basedOn w:val="Normal"/>
    <w:rsid w:val="003747E0"/>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rPr>
  </w:style>
  <w:style w:type="paragraph" w:customStyle="1" w:styleId="xl208">
    <w:name w:val="xl208"/>
    <w:basedOn w:val="Normal"/>
    <w:rsid w:val="003747E0"/>
    <w:pPr>
      <w:spacing w:before="100" w:beforeAutospacing="1" w:after="100" w:afterAutospacing="1"/>
      <w:jc w:val="center"/>
      <w:textAlignment w:val="center"/>
    </w:pPr>
    <w:rPr>
      <w:rFonts w:ascii="Calibri" w:hAnsi="Calibri" w:cs="Calibri"/>
      <w:color w:val="444444"/>
    </w:rPr>
  </w:style>
  <w:style w:type="paragraph" w:customStyle="1" w:styleId="xl209">
    <w:name w:val="xl209"/>
    <w:basedOn w:val="Normal"/>
    <w:rsid w:val="003747E0"/>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Franklin Gothic Book" w:hAnsi="Franklin Gothic Book"/>
      <w:sz w:val="20"/>
      <w:szCs w:val="20"/>
      <w:u w:val="single"/>
    </w:rPr>
  </w:style>
  <w:style w:type="paragraph" w:customStyle="1" w:styleId="xl210">
    <w:name w:val="xl210"/>
    <w:basedOn w:val="Normal"/>
    <w:rsid w:val="00374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Normal"/>
    <w:rsid w:val="003747E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Normal"/>
    <w:rsid w:val="00374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Normal"/>
    <w:rsid w:val="003747E0"/>
    <w:pPr>
      <w:pBdr>
        <w:top w:val="single" w:sz="4" w:space="0" w:color="auto"/>
        <w:left w:val="single" w:sz="4" w:space="0" w:color="auto"/>
        <w:bottom w:val="single" w:sz="4" w:space="0" w:color="auto"/>
      </w:pBdr>
      <w:spacing w:before="100" w:beforeAutospacing="1" w:after="100" w:afterAutospacing="1"/>
      <w:jc w:val="center"/>
      <w:textAlignment w:val="center"/>
    </w:pPr>
    <w:rPr>
      <w:sz w:val="36"/>
      <w:szCs w:val="36"/>
    </w:rPr>
  </w:style>
  <w:style w:type="paragraph" w:customStyle="1" w:styleId="xl214">
    <w:name w:val="xl214"/>
    <w:basedOn w:val="Normal"/>
    <w:rsid w:val="003747E0"/>
    <w:pPr>
      <w:pBdr>
        <w:top w:val="single" w:sz="4" w:space="0" w:color="auto"/>
        <w:bottom w:val="single" w:sz="4" w:space="0" w:color="auto"/>
      </w:pBdr>
      <w:spacing w:before="100" w:beforeAutospacing="1" w:after="100" w:afterAutospacing="1"/>
      <w:jc w:val="center"/>
      <w:textAlignment w:val="center"/>
    </w:pPr>
    <w:rPr>
      <w:sz w:val="36"/>
      <w:szCs w:val="36"/>
    </w:rPr>
  </w:style>
  <w:style w:type="paragraph" w:customStyle="1" w:styleId="xl215">
    <w:name w:val="xl215"/>
    <w:basedOn w:val="Normal"/>
    <w:rsid w:val="003747E0"/>
    <w:pPr>
      <w:pBdr>
        <w:top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216">
    <w:name w:val="xl216"/>
    <w:basedOn w:val="Normal"/>
    <w:rsid w:val="003747E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17">
    <w:name w:val="xl217"/>
    <w:basedOn w:val="Normal"/>
    <w:rsid w:val="003747E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18">
    <w:name w:val="xl218"/>
    <w:basedOn w:val="Normal"/>
    <w:rsid w:val="003747E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9">
    <w:name w:val="xl219"/>
    <w:basedOn w:val="Normal"/>
    <w:rsid w:val="003747E0"/>
    <w:pPr>
      <w:pBdr>
        <w:left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220">
    <w:name w:val="xl220"/>
    <w:basedOn w:val="Normal"/>
    <w:rsid w:val="003747E0"/>
    <w:pPr>
      <w:pBdr>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221">
    <w:name w:val="xl221"/>
    <w:basedOn w:val="Normal"/>
    <w:rsid w:val="003747E0"/>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222">
    <w:name w:val="xl222"/>
    <w:basedOn w:val="Normal"/>
    <w:rsid w:val="003747E0"/>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223">
    <w:name w:val="xl223"/>
    <w:basedOn w:val="Normal"/>
    <w:rsid w:val="003747E0"/>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224">
    <w:name w:val="xl224"/>
    <w:basedOn w:val="Normal"/>
    <w:rsid w:val="003747E0"/>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225">
    <w:name w:val="xl225"/>
    <w:basedOn w:val="Normal"/>
    <w:rsid w:val="003747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Normal"/>
    <w:rsid w:val="003747E0"/>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7">
    <w:name w:val="xl227"/>
    <w:basedOn w:val="Normal"/>
    <w:rsid w:val="003747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Heading2Char">
    <w:name w:val="Heading 2 Char"/>
    <w:basedOn w:val="DefaultParagraphFont"/>
    <w:link w:val="Heading2"/>
    <w:uiPriority w:val="9"/>
    <w:semiHidden/>
    <w:rsid w:val="001050CC"/>
    <w:rPr>
      <w:rFonts w:asciiTheme="majorHAnsi" w:eastAsiaTheme="majorEastAsia" w:hAnsiTheme="majorHAnsi" w:cstheme="majorBidi"/>
      <w:color w:val="2F5496" w:themeColor="accent1" w:themeShade="BF"/>
      <w:sz w:val="26"/>
      <w:szCs w:val="26"/>
      <w:lang w:eastAsia="en-GB"/>
    </w:rPr>
  </w:style>
  <w:style w:type="paragraph" w:customStyle="1" w:styleId="list-bullet-color">
    <w:name w:val="list-bullet-color"/>
    <w:basedOn w:val="DefaultText"/>
    <w:link w:val="list-bullet-colorChar"/>
    <w:rsid w:val="00263DDD"/>
    <w:pPr>
      <w:numPr>
        <w:numId w:val="10"/>
      </w:numPr>
    </w:pPr>
  </w:style>
  <w:style w:type="character" w:customStyle="1" w:styleId="list-bullet-colorChar">
    <w:name w:val="list-bullet-color Char"/>
    <w:basedOn w:val="DefaultTextChar"/>
    <w:link w:val="list-bullet-color"/>
    <w:rsid w:val="00263DDD"/>
    <w:rPr>
      <w:rFonts w:ascii="Arial" w:eastAsia="Times New Roman" w:hAnsi="Arial" w:cs="Times New Roman"/>
      <w:sz w:val="18"/>
      <w:lang w:eastAsia="nl-NL"/>
    </w:rPr>
  </w:style>
  <w:style w:type="numbering" w:customStyle="1" w:styleId="CurrentList1">
    <w:name w:val="Current List1"/>
    <w:uiPriority w:val="99"/>
    <w:rsid w:val="005C48E3"/>
    <w:pPr>
      <w:numPr>
        <w:numId w:val="20"/>
      </w:numPr>
    </w:pPr>
  </w:style>
  <w:style w:type="numbering" w:customStyle="1" w:styleId="CurrentList2">
    <w:name w:val="Current List2"/>
    <w:uiPriority w:val="99"/>
    <w:rsid w:val="005C48E3"/>
    <w:pPr>
      <w:numPr>
        <w:numId w:val="21"/>
      </w:numPr>
    </w:pPr>
  </w:style>
  <w:style w:type="paragraph" w:customStyle="1" w:styleId="ASIBodyCopy">
    <w:name w:val="ASI Body Copy"/>
    <w:basedOn w:val="Normal"/>
    <w:link w:val="ASIBodyCopyChar"/>
    <w:qFormat/>
    <w:rsid w:val="00FB3FAD"/>
    <w:pPr>
      <w:spacing w:before="120" w:after="120" w:line="264" w:lineRule="auto"/>
      <w:jc w:val="both"/>
    </w:pPr>
    <w:rPr>
      <w:rFonts w:ascii="Arial" w:eastAsiaTheme="minorEastAsia" w:hAnsi="Arial"/>
      <w:color w:val="6D6E71"/>
      <w:sz w:val="20"/>
      <w:szCs w:val="18"/>
    </w:rPr>
  </w:style>
  <w:style w:type="character" w:customStyle="1" w:styleId="ASIBodyCopyChar">
    <w:name w:val="ASI Body Copy Char"/>
    <w:link w:val="ASIBodyCopy"/>
    <w:rsid w:val="00FB3FAD"/>
    <w:rPr>
      <w:rFonts w:ascii="Arial" w:eastAsiaTheme="minorEastAsia" w:hAnsi="Arial" w:cs="Times New Roman"/>
      <w:color w:val="6D6E71"/>
      <w:sz w:val="20"/>
      <w:szCs w:val="18"/>
      <w:lang w:eastAsia="en-GB"/>
    </w:rPr>
  </w:style>
  <w:style w:type="paragraph" w:customStyle="1" w:styleId="ASIBulletPoint">
    <w:name w:val="ASI Bullet Point"/>
    <w:basedOn w:val="Normal"/>
    <w:uiPriority w:val="99"/>
    <w:qFormat/>
    <w:rsid w:val="00FB3FAD"/>
    <w:pPr>
      <w:numPr>
        <w:numId w:val="25"/>
      </w:numPr>
      <w:spacing w:before="120" w:after="120" w:line="264" w:lineRule="auto"/>
    </w:pPr>
    <w:rPr>
      <w:rFonts w:ascii="Arial" w:eastAsiaTheme="minorEastAsia" w:hAnsi="Arial"/>
      <w:color w:val="6D6E71"/>
      <w:sz w:val="20"/>
      <w:szCs w:val="18"/>
    </w:rPr>
  </w:style>
  <w:style w:type="character" w:customStyle="1" w:styleId="ASIBoldBlack">
    <w:name w:val="ASI Bold Black"/>
    <w:qFormat/>
    <w:rsid w:val="00D87FF5"/>
    <w:rPr>
      <w:b/>
      <w:color w:val="000000"/>
      <w:sz w:val="24"/>
    </w:rPr>
  </w:style>
  <w:style w:type="numbering" w:customStyle="1" w:styleId="CurrentList3">
    <w:name w:val="Current List3"/>
    <w:uiPriority w:val="99"/>
    <w:rsid w:val="00DA22CB"/>
    <w:pPr>
      <w:numPr>
        <w:numId w:val="33"/>
      </w:numPr>
    </w:pPr>
  </w:style>
  <w:style w:type="numbering" w:customStyle="1" w:styleId="CurrentList4">
    <w:name w:val="Current List4"/>
    <w:uiPriority w:val="99"/>
    <w:rsid w:val="00DA22CB"/>
    <w:pPr>
      <w:numPr>
        <w:numId w:val="34"/>
      </w:numPr>
    </w:pPr>
  </w:style>
  <w:style w:type="numbering" w:customStyle="1" w:styleId="CurrentList5">
    <w:name w:val="Current List5"/>
    <w:uiPriority w:val="99"/>
    <w:rsid w:val="00AF4300"/>
    <w:pPr>
      <w:numPr>
        <w:numId w:val="38"/>
      </w:numPr>
    </w:pPr>
  </w:style>
  <w:style w:type="character" w:styleId="IntenseEmphasis">
    <w:name w:val="Intense Emphasis"/>
    <w:basedOn w:val="DefaultParagraphFont"/>
    <w:uiPriority w:val="21"/>
    <w:qFormat/>
    <w:rsid w:val="003C74C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1169">
      <w:bodyDiv w:val="1"/>
      <w:marLeft w:val="0"/>
      <w:marRight w:val="0"/>
      <w:marTop w:val="0"/>
      <w:marBottom w:val="0"/>
      <w:divBdr>
        <w:top w:val="none" w:sz="0" w:space="0" w:color="auto"/>
        <w:left w:val="none" w:sz="0" w:space="0" w:color="auto"/>
        <w:bottom w:val="none" w:sz="0" w:space="0" w:color="auto"/>
        <w:right w:val="none" w:sz="0" w:space="0" w:color="auto"/>
      </w:divBdr>
      <w:divsChild>
        <w:div w:id="228998232">
          <w:marLeft w:val="0"/>
          <w:marRight w:val="0"/>
          <w:marTop w:val="0"/>
          <w:marBottom w:val="0"/>
          <w:divBdr>
            <w:top w:val="none" w:sz="0" w:space="0" w:color="auto"/>
            <w:left w:val="none" w:sz="0" w:space="0" w:color="auto"/>
            <w:bottom w:val="none" w:sz="0" w:space="0" w:color="auto"/>
            <w:right w:val="none" w:sz="0" w:space="0" w:color="auto"/>
          </w:divBdr>
        </w:div>
        <w:div w:id="313804193">
          <w:marLeft w:val="0"/>
          <w:marRight w:val="0"/>
          <w:marTop w:val="0"/>
          <w:marBottom w:val="0"/>
          <w:divBdr>
            <w:top w:val="none" w:sz="0" w:space="0" w:color="auto"/>
            <w:left w:val="none" w:sz="0" w:space="0" w:color="auto"/>
            <w:bottom w:val="none" w:sz="0" w:space="0" w:color="auto"/>
            <w:right w:val="none" w:sz="0" w:space="0" w:color="auto"/>
          </w:divBdr>
        </w:div>
        <w:div w:id="1332099726">
          <w:marLeft w:val="0"/>
          <w:marRight w:val="0"/>
          <w:marTop w:val="0"/>
          <w:marBottom w:val="0"/>
          <w:divBdr>
            <w:top w:val="none" w:sz="0" w:space="0" w:color="auto"/>
            <w:left w:val="none" w:sz="0" w:space="0" w:color="auto"/>
            <w:bottom w:val="none" w:sz="0" w:space="0" w:color="auto"/>
            <w:right w:val="none" w:sz="0" w:space="0" w:color="auto"/>
          </w:divBdr>
        </w:div>
      </w:divsChild>
    </w:div>
    <w:div w:id="336923740">
      <w:bodyDiv w:val="1"/>
      <w:marLeft w:val="0"/>
      <w:marRight w:val="0"/>
      <w:marTop w:val="0"/>
      <w:marBottom w:val="0"/>
      <w:divBdr>
        <w:top w:val="none" w:sz="0" w:space="0" w:color="auto"/>
        <w:left w:val="none" w:sz="0" w:space="0" w:color="auto"/>
        <w:bottom w:val="none" w:sz="0" w:space="0" w:color="auto"/>
        <w:right w:val="none" w:sz="0" w:space="0" w:color="auto"/>
      </w:divBdr>
      <w:divsChild>
        <w:div w:id="1874075565">
          <w:marLeft w:val="0"/>
          <w:marRight w:val="0"/>
          <w:marTop w:val="0"/>
          <w:marBottom w:val="0"/>
          <w:divBdr>
            <w:top w:val="none" w:sz="0" w:space="0" w:color="auto"/>
            <w:left w:val="none" w:sz="0" w:space="0" w:color="auto"/>
            <w:bottom w:val="none" w:sz="0" w:space="0" w:color="auto"/>
            <w:right w:val="none" w:sz="0" w:space="0" w:color="auto"/>
          </w:divBdr>
          <w:divsChild>
            <w:div w:id="1188327435">
              <w:marLeft w:val="0"/>
              <w:marRight w:val="0"/>
              <w:marTop w:val="0"/>
              <w:marBottom w:val="0"/>
              <w:divBdr>
                <w:top w:val="none" w:sz="0" w:space="0" w:color="auto"/>
                <w:left w:val="none" w:sz="0" w:space="0" w:color="auto"/>
                <w:bottom w:val="none" w:sz="0" w:space="0" w:color="auto"/>
                <w:right w:val="none" w:sz="0" w:space="0" w:color="auto"/>
              </w:divBdr>
              <w:divsChild>
                <w:div w:id="641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7910">
          <w:marLeft w:val="0"/>
          <w:marRight w:val="0"/>
          <w:marTop w:val="0"/>
          <w:marBottom w:val="0"/>
          <w:divBdr>
            <w:top w:val="none" w:sz="0" w:space="0" w:color="auto"/>
            <w:left w:val="none" w:sz="0" w:space="0" w:color="auto"/>
            <w:bottom w:val="none" w:sz="0" w:space="0" w:color="auto"/>
            <w:right w:val="none" w:sz="0" w:space="0" w:color="auto"/>
          </w:divBdr>
          <w:divsChild>
            <w:div w:id="2013484375">
              <w:marLeft w:val="0"/>
              <w:marRight w:val="0"/>
              <w:marTop w:val="0"/>
              <w:marBottom w:val="0"/>
              <w:divBdr>
                <w:top w:val="none" w:sz="0" w:space="0" w:color="auto"/>
                <w:left w:val="none" w:sz="0" w:space="0" w:color="auto"/>
                <w:bottom w:val="none" w:sz="0" w:space="0" w:color="auto"/>
                <w:right w:val="none" w:sz="0" w:space="0" w:color="auto"/>
              </w:divBdr>
              <w:divsChild>
                <w:div w:id="12248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4900">
      <w:bodyDiv w:val="1"/>
      <w:marLeft w:val="0"/>
      <w:marRight w:val="0"/>
      <w:marTop w:val="0"/>
      <w:marBottom w:val="0"/>
      <w:divBdr>
        <w:top w:val="none" w:sz="0" w:space="0" w:color="auto"/>
        <w:left w:val="none" w:sz="0" w:space="0" w:color="auto"/>
        <w:bottom w:val="none" w:sz="0" w:space="0" w:color="auto"/>
        <w:right w:val="none" w:sz="0" w:space="0" w:color="auto"/>
      </w:divBdr>
      <w:divsChild>
        <w:div w:id="1794711061">
          <w:marLeft w:val="0"/>
          <w:marRight w:val="0"/>
          <w:marTop w:val="0"/>
          <w:marBottom w:val="0"/>
          <w:divBdr>
            <w:top w:val="none" w:sz="0" w:space="0" w:color="auto"/>
            <w:left w:val="none" w:sz="0" w:space="0" w:color="auto"/>
            <w:bottom w:val="none" w:sz="0" w:space="0" w:color="auto"/>
            <w:right w:val="none" w:sz="0" w:space="0" w:color="auto"/>
          </w:divBdr>
          <w:divsChild>
            <w:div w:id="133791115">
              <w:marLeft w:val="0"/>
              <w:marRight w:val="0"/>
              <w:marTop w:val="0"/>
              <w:marBottom w:val="0"/>
              <w:divBdr>
                <w:top w:val="none" w:sz="0" w:space="0" w:color="auto"/>
                <w:left w:val="none" w:sz="0" w:space="0" w:color="auto"/>
                <w:bottom w:val="none" w:sz="0" w:space="0" w:color="auto"/>
                <w:right w:val="none" w:sz="0" w:space="0" w:color="auto"/>
              </w:divBdr>
              <w:divsChild>
                <w:div w:id="14226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766">
      <w:bodyDiv w:val="1"/>
      <w:marLeft w:val="0"/>
      <w:marRight w:val="0"/>
      <w:marTop w:val="0"/>
      <w:marBottom w:val="0"/>
      <w:divBdr>
        <w:top w:val="none" w:sz="0" w:space="0" w:color="auto"/>
        <w:left w:val="none" w:sz="0" w:space="0" w:color="auto"/>
        <w:bottom w:val="none" w:sz="0" w:space="0" w:color="auto"/>
        <w:right w:val="none" w:sz="0" w:space="0" w:color="auto"/>
      </w:divBdr>
    </w:div>
    <w:div w:id="475102545">
      <w:bodyDiv w:val="1"/>
      <w:marLeft w:val="0"/>
      <w:marRight w:val="0"/>
      <w:marTop w:val="0"/>
      <w:marBottom w:val="0"/>
      <w:divBdr>
        <w:top w:val="none" w:sz="0" w:space="0" w:color="auto"/>
        <w:left w:val="none" w:sz="0" w:space="0" w:color="auto"/>
        <w:bottom w:val="none" w:sz="0" w:space="0" w:color="auto"/>
        <w:right w:val="none" w:sz="0" w:space="0" w:color="auto"/>
      </w:divBdr>
      <w:divsChild>
        <w:div w:id="345910469">
          <w:marLeft w:val="0"/>
          <w:marRight w:val="0"/>
          <w:marTop w:val="0"/>
          <w:marBottom w:val="0"/>
          <w:divBdr>
            <w:top w:val="none" w:sz="0" w:space="0" w:color="auto"/>
            <w:left w:val="none" w:sz="0" w:space="0" w:color="auto"/>
            <w:bottom w:val="none" w:sz="0" w:space="0" w:color="auto"/>
            <w:right w:val="none" w:sz="0" w:space="0" w:color="auto"/>
          </w:divBdr>
          <w:divsChild>
            <w:div w:id="1705590969">
              <w:marLeft w:val="0"/>
              <w:marRight w:val="0"/>
              <w:marTop w:val="0"/>
              <w:marBottom w:val="0"/>
              <w:divBdr>
                <w:top w:val="none" w:sz="0" w:space="0" w:color="auto"/>
                <w:left w:val="none" w:sz="0" w:space="0" w:color="auto"/>
                <w:bottom w:val="none" w:sz="0" w:space="0" w:color="auto"/>
                <w:right w:val="none" w:sz="0" w:space="0" w:color="auto"/>
              </w:divBdr>
              <w:divsChild>
                <w:div w:id="1870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45553">
      <w:bodyDiv w:val="1"/>
      <w:marLeft w:val="0"/>
      <w:marRight w:val="0"/>
      <w:marTop w:val="0"/>
      <w:marBottom w:val="0"/>
      <w:divBdr>
        <w:top w:val="none" w:sz="0" w:space="0" w:color="auto"/>
        <w:left w:val="none" w:sz="0" w:space="0" w:color="auto"/>
        <w:bottom w:val="none" w:sz="0" w:space="0" w:color="auto"/>
        <w:right w:val="none" w:sz="0" w:space="0" w:color="auto"/>
      </w:divBdr>
    </w:div>
    <w:div w:id="653680060">
      <w:bodyDiv w:val="1"/>
      <w:marLeft w:val="0"/>
      <w:marRight w:val="0"/>
      <w:marTop w:val="0"/>
      <w:marBottom w:val="0"/>
      <w:divBdr>
        <w:top w:val="none" w:sz="0" w:space="0" w:color="auto"/>
        <w:left w:val="none" w:sz="0" w:space="0" w:color="auto"/>
        <w:bottom w:val="none" w:sz="0" w:space="0" w:color="auto"/>
        <w:right w:val="none" w:sz="0" w:space="0" w:color="auto"/>
      </w:divBdr>
    </w:div>
    <w:div w:id="793132542">
      <w:bodyDiv w:val="1"/>
      <w:marLeft w:val="0"/>
      <w:marRight w:val="0"/>
      <w:marTop w:val="0"/>
      <w:marBottom w:val="0"/>
      <w:divBdr>
        <w:top w:val="none" w:sz="0" w:space="0" w:color="auto"/>
        <w:left w:val="none" w:sz="0" w:space="0" w:color="auto"/>
        <w:bottom w:val="none" w:sz="0" w:space="0" w:color="auto"/>
        <w:right w:val="none" w:sz="0" w:space="0" w:color="auto"/>
      </w:divBdr>
      <w:divsChild>
        <w:div w:id="1436706411">
          <w:marLeft w:val="0"/>
          <w:marRight w:val="0"/>
          <w:marTop w:val="0"/>
          <w:marBottom w:val="0"/>
          <w:divBdr>
            <w:top w:val="none" w:sz="0" w:space="0" w:color="auto"/>
            <w:left w:val="none" w:sz="0" w:space="0" w:color="auto"/>
            <w:bottom w:val="none" w:sz="0" w:space="0" w:color="auto"/>
            <w:right w:val="none" w:sz="0" w:space="0" w:color="auto"/>
          </w:divBdr>
          <w:divsChild>
            <w:div w:id="1499036986">
              <w:marLeft w:val="0"/>
              <w:marRight w:val="0"/>
              <w:marTop w:val="0"/>
              <w:marBottom w:val="0"/>
              <w:divBdr>
                <w:top w:val="none" w:sz="0" w:space="0" w:color="auto"/>
                <w:left w:val="none" w:sz="0" w:space="0" w:color="auto"/>
                <w:bottom w:val="none" w:sz="0" w:space="0" w:color="auto"/>
                <w:right w:val="none" w:sz="0" w:space="0" w:color="auto"/>
              </w:divBdr>
              <w:divsChild>
                <w:div w:id="9190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930">
      <w:bodyDiv w:val="1"/>
      <w:marLeft w:val="0"/>
      <w:marRight w:val="0"/>
      <w:marTop w:val="0"/>
      <w:marBottom w:val="0"/>
      <w:divBdr>
        <w:top w:val="none" w:sz="0" w:space="0" w:color="auto"/>
        <w:left w:val="none" w:sz="0" w:space="0" w:color="auto"/>
        <w:bottom w:val="none" w:sz="0" w:space="0" w:color="auto"/>
        <w:right w:val="none" w:sz="0" w:space="0" w:color="auto"/>
      </w:divBdr>
      <w:divsChild>
        <w:div w:id="1984650347">
          <w:marLeft w:val="0"/>
          <w:marRight w:val="0"/>
          <w:marTop w:val="0"/>
          <w:marBottom w:val="0"/>
          <w:divBdr>
            <w:top w:val="none" w:sz="0" w:space="0" w:color="auto"/>
            <w:left w:val="none" w:sz="0" w:space="0" w:color="auto"/>
            <w:bottom w:val="none" w:sz="0" w:space="0" w:color="auto"/>
            <w:right w:val="none" w:sz="0" w:space="0" w:color="auto"/>
          </w:divBdr>
          <w:divsChild>
            <w:div w:id="1936357870">
              <w:marLeft w:val="0"/>
              <w:marRight w:val="0"/>
              <w:marTop w:val="0"/>
              <w:marBottom w:val="0"/>
              <w:divBdr>
                <w:top w:val="none" w:sz="0" w:space="0" w:color="auto"/>
                <w:left w:val="none" w:sz="0" w:space="0" w:color="auto"/>
                <w:bottom w:val="none" w:sz="0" w:space="0" w:color="auto"/>
                <w:right w:val="none" w:sz="0" w:space="0" w:color="auto"/>
              </w:divBdr>
            </w:div>
            <w:div w:id="1174341387">
              <w:marLeft w:val="0"/>
              <w:marRight w:val="0"/>
              <w:marTop w:val="0"/>
              <w:marBottom w:val="0"/>
              <w:divBdr>
                <w:top w:val="none" w:sz="0" w:space="0" w:color="auto"/>
                <w:left w:val="none" w:sz="0" w:space="0" w:color="auto"/>
                <w:bottom w:val="none" w:sz="0" w:space="0" w:color="auto"/>
                <w:right w:val="none" w:sz="0" w:space="0" w:color="auto"/>
              </w:divBdr>
            </w:div>
            <w:div w:id="987054250">
              <w:marLeft w:val="0"/>
              <w:marRight w:val="0"/>
              <w:marTop w:val="0"/>
              <w:marBottom w:val="0"/>
              <w:divBdr>
                <w:top w:val="none" w:sz="0" w:space="0" w:color="auto"/>
                <w:left w:val="none" w:sz="0" w:space="0" w:color="auto"/>
                <w:bottom w:val="none" w:sz="0" w:space="0" w:color="auto"/>
                <w:right w:val="none" w:sz="0" w:space="0" w:color="auto"/>
              </w:divBdr>
            </w:div>
            <w:div w:id="1673144539">
              <w:marLeft w:val="0"/>
              <w:marRight w:val="0"/>
              <w:marTop w:val="0"/>
              <w:marBottom w:val="0"/>
              <w:divBdr>
                <w:top w:val="none" w:sz="0" w:space="0" w:color="auto"/>
                <w:left w:val="none" w:sz="0" w:space="0" w:color="auto"/>
                <w:bottom w:val="none" w:sz="0" w:space="0" w:color="auto"/>
                <w:right w:val="none" w:sz="0" w:space="0" w:color="auto"/>
              </w:divBdr>
            </w:div>
            <w:div w:id="1587418599">
              <w:marLeft w:val="0"/>
              <w:marRight w:val="0"/>
              <w:marTop w:val="0"/>
              <w:marBottom w:val="0"/>
              <w:divBdr>
                <w:top w:val="none" w:sz="0" w:space="0" w:color="auto"/>
                <w:left w:val="none" w:sz="0" w:space="0" w:color="auto"/>
                <w:bottom w:val="none" w:sz="0" w:space="0" w:color="auto"/>
                <w:right w:val="none" w:sz="0" w:space="0" w:color="auto"/>
              </w:divBdr>
            </w:div>
            <w:div w:id="1391268961">
              <w:marLeft w:val="0"/>
              <w:marRight w:val="0"/>
              <w:marTop w:val="0"/>
              <w:marBottom w:val="0"/>
              <w:divBdr>
                <w:top w:val="none" w:sz="0" w:space="0" w:color="auto"/>
                <w:left w:val="none" w:sz="0" w:space="0" w:color="auto"/>
                <w:bottom w:val="none" w:sz="0" w:space="0" w:color="auto"/>
                <w:right w:val="none" w:sz="0" w:space="0" w:color="auto"/>
              </w:divBdr>
            </w:div>
          </w:divsChild>
        </w:div>
        <w:div w:id="691541388">
          <w:marLeft w:val="0"/>
          <w:marRight w:val="0"/>
          <w:marTop w:val="0"/>
          <w:marBottom w:val="0"/>
          <w:divBdr>
            <w:top w:val="none" w:sz="0" w:space="0" w:color="auto"/>
            <w:left w:val="none" w:sz="0" w:space="0" w:color="auto"/>
            <w:bottom w:val="none" w:sz="0" w:space="0" w:color="auto"/>
            <w:right w:val="none" w:sz="0" w:space="0" w:color="auto"/>
          </w:divBdr>
          <w:divsChild>
            <w:div w:id="1080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7703">
      <w:bodyDiv w:val="1"/>
      <w:marLeft w:val="0"/>
      <w:marRight w:val="0"/>
      <w:marTop w:val="0"/>
      <w:marBottom w:val="0"/>
      <w:divBdr>
        <w:top w:val="none" w:sz="0" w:space="0" w:color="auto"/>
        <w:left w:val="none" w:sz="0" w:space="0" w:color="auto"/>
        <w:bottom w:val="none" w:sz="0" w:space="0" w:color="auto"/>
        <w:right w:val="none" w:sz="0" w:space="0" w:color="auto"/>
      </w:divBdr>
      <w:divsChild>
        <w:div w:id="1245992584">
          <w:marLeft w:val="0"/>
          <w:marRight w:val="0"/>
          <w:marTop w:val="0"/>
          <w:marBottom w:val="0"/>
          <w:divBdr>
            <w:top w:val="none" w:sz="0" w:space="0" w:color="auto"/>
            <w:left w:val="none" w:sz="0" w:space="0" w:color="auto"/>
            <w:bottom w:val="none" w:sz="0" w:space="0" w:color="auto"/>
            <w:right w:val="none" w:sz="0" w:space="0" w:color="auto"/>
          </w:divBdr>
          <w:divsChild>
            <w:div w:id="291257460">
              <w:marLeft w:val="0"/>
              <w:marRight w:val="0"/>
              <w:marTop w:val="0"/>
              <w:marBottom w:val="0"/>
              <w:divBdr>
                <w:top w:val="none" w:sz="0" w:space="0" w:color="auto"/>
                <w:left w:val="none" w:sz="0" w:space="0" w:color="auto"/>
                <w:bottom w:val="none" w:sz="0" w:space="0" w:color="auto"/>
                <w:right w:val="none" w:sz="0" w:space="0" w:color="auto"/>
              </w:divBdr>
              <w:divsChild>
                <w:div w:id="1511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0710">
      <w:bodyDiv w:val="1"/>
      <w:marLeft w:val="0"/>
      <w:marRight w:val="0"/>
      <w:marTop w:val="0"/>
      <w:marBottom w:val="0"/>
      <w:divBdr>
        <w:top w:val="none" w:sz="0" w:space="0" w:color="auto"/>
        <w:left w:val="none" w:sz="0" w:space="0" w:color="auto"/>
        <w:bottom w:val="none" w:sz="0" w:space="0" w:color="auto"/>
        <w:right w:val="none" w:sz="0" w:space="0" w:color="auto"/>
      </w:divBdr>
    </w:div>
    <w:div w:id="1002397379">
      <w:bodyDiv w:val="1"/>
      <w:marLeft w:val="0"/>
      <w:marRight w:val="0"/>
      <w:marTop w:val="0"/>
      <w:marBottom w:val="0"/>
      <w:divBdr>
        <w:top w:val="none" w:sz="0" w:space="0" w:color="auto"/>
        <w:left w:val="none" w:sz="0" w:space="0" w:color="auto"/>
        <w:bottom w:val="none" w:sz="0" w:space="0" w:color="auto"/>
        <w:right w:val="none" w:sz="0" w:space="0" w:color="auto"/>
      </w:divBdr>
      <w:divsChild>
        <w:div w:id="1566792542">
          <w:marLeft w:val="0"/>
          <w:marRight w:val="0"/>
          <w:marTop w:val="0"/>
          <w:marBottom w:val="0"/>
          <w:divBdr>
            <w:top w:val="none" w:sz="0" w:space="0" w:color="auto"/>
            <w:left w:val="none" w:sz="0" w:space="0" w:color="auto"/>
            <w:bottom w:val="none" w:sz="0" w:space="0" w:color="auto"/>
            <w:right w:val="none" w:sz="0" w:space="0" w:color="auto"/>
          </w:divBdr>
          <w:divsChild>
            <w:div w:id="2040472810">
              <w:marLeft w:val="0"/>
              <w:marRight w:val="0"/>
              <w:marTop w:val="0"/>
              <w:marBottom w:val="0"/>
              <w:divBdr>
                <w:top w:val="none" w:sz="0" w:space="0" w:color="auto"/>
                <w:left w:val="none" w:sz="0" w:space="0" w:color="auto"/>
                <w:bottom w:val="none" w:sz="0" w:space="0" w:color="auto"/>
                <w:right w:val="none" w:sz="0" w:space="0" w:color="auto"/>
              </w:divBdr>
              <w:divsChild>
                <w:div w:id="713583657">
                  <w:marLeft w:val="0"/>
                  <w:marRight w:val="0"/>
                  <w:marTop w:val="0"/>
                  <w:marBottom w:val="0"/>
                  <w:divBdr>
                    <w:top w:val="none" w:sz="0" w:space="0" w:color="auto"/>
                    <w:left w:val="none" w:sz="0" w:space="0" w:color="auto"/>
                    <w:bottom w:val="none" w:sz="0" w:space="0" w:color="auto"/>
                    <w:right w:val="none" w:sz="0" w:space="0" w:color="auto"/>
                  </w:divBdr>
                </w:div>
              </w:divsChild>
            </w:div>
            <w:div w:id="1900240605">
              <w:marLeft w:val="0"/>
              <w:marRight w:val="0"/>
              <w:marTop w:val="0"/>
              <w:marBottom w:val="0"/>
              <w:divBdr>
                <w:top w:val="none" w:sz="0" w:space="0" w:color="auto"/>
                <w:left w:val="none" w:sz="0" w:space="0" w:color="auto"/>
                <w:bottom w:val="none" w:sz="0" w:space="0" w:color="auto"/>
                <w:right w:val="none" w:sz="0" w:space="0" w:color="auto"/>
              </w:divBdr>
              <w:divsChild>
                <w:div w:id="1011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9467">
      <w:bodyDiv w:val="1"/>
      <w:marLeft w:val="0"/>
      <w:marRight w:val="0"/>
      <w:marTop w:val="0"/>
      <w:marBottom w:val="0"/>
      <w:divBdr>
        <w:top w:val="none" w:sz="0" w:space="0" w:color="auto"/>
        <w:left w:val="none" w:sz="0" w:space="0" w:color="auto"/>
        <w:bottom w:val="none" w:sz="0" w:space="0" w:color="auto"/>
        <w:right w:val="none" w:sz="0" w:space="0" w:color="auto"/>
      </w:divBdr>
      <w:divsChild>
        <w:div w:id="1048336095">
          <w:marLeft w:val="0"/>
          <w:marRight w:val="0"/>
          <w:marTop w:val="0"/>
          <w:marBottom w:val="0"/>
          <w:divBdr>
            <w:top w:val="none" w:sz="0" w:space="0" w:color="auto"/>
            <w:left w:val="none" w:sz="0" w:space="0" w:color="auto"/>
            <w:bottom w:val="none" w:sz="0" w:space="0" w:color="auto"/>
            <w:right w:val="none" w:sz="0" w:space="0" w:color="auto"/>
          </w:divBdr>
          <w:divsChild>
            <w:div w:id="484704424">
              <w:marLeft w:val="0"/>
              <w:marRight w:val="0"/>
              <w:marTop w:val="0"/>
              <w:marBottom w:val="0"/>
              <w:divBdr>
                <w:top w:val="none" w:sz="0" w:space="0" w:color="auto"/>
                <w:left w:val="none" w:sz="0" w:space="0" w:color="auto"/>
                <w:bottom w:val="none" w:sz="0" w:space="0" w:color="auto"/>
                <w:right w:val="none" w:sz="0" w:space="0" w:color="auto"/>
              </w:divBdr>
              <w:divsChild>
                <w:div w:id="844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0762">
      <w:bodyDiv w:val="1"/>
      <w:marLeft w:val="0"/>
      <w:marRight w:val="0"/>
      <w:marTop w:val="0"/>
      <w:marBottom w:val="0"/>
      <w:divBdr>
        <w:top w:val="none" w:sz="0" w:space="0" w:color="auto"/>
        <w:left w:val="none" w:sz="0" w:space="0" w:color="auto"/>
        <w:bottom w:val="none" w:sz="0" w:space="0" w:color="auto"/>
        <w:right w:val="none" w:sz="0" w:space="0" w:color="auto"/>
      </w:divBdr>
    </w:div>
    <w:div w:id="1228417568">
      <w:bodyDiv w:val="1"/>
      <w:marLeft w:val="0"/>
      <w:marRight w:val="0"/>
      <w:marTop w:val="0"/>
      <w:marBottom w:val="0"/>
      <w:divBdr>
        <w:top w:val="none" w:sz="0" w:space="0" w:color="auto"/>
        <w:left w:val="none" w:sz="0" w:space="0" w:color="auto"/>
        <w:bottom w:val="none" w:sz="0" w:space="0" w:color="auto"/>
        <w:right w:val="none" w:sz="0" w:space="0" w:color="auto"/>
      </w:divBdr>
      <w:divsChild>
        <w:div w:id="440106778">
          <w:marLeft w:val="0"/>
          <w:marRight w:val="0"/>
          <w:marTop w:val="0"/>
          <w:marBottom w:val="0"/>
          <w:divBdr>
            <w:top w:val="none" w:sz="0" w:space="0" w:color="auto"/>
            <w:left w:val="none" w:sz="0" w:space="0" w:color="auto"/>
            <w:bottom w:val="none" w:sz="0" w:space="0" w:color="auto"/>
            <w:right w:val="none" w:sz="0" w:space="0" w:color="auto"/>
          </w:divBdr>
          <w:divsChild>
            <w:div w:id="1508641286">
              <w:marLeft w:val="0"/>
              <w:marRight w:val="0"/>
              <w:marTop w:val="0"/>
              <w:marBottom w:val="0"/>
              <w:divBdr>
                <w:top w:val="none" w:sz="0" w:space="0" w:color="auto"/>
                <w:left w:val="none" w:sz="0" w:space="0" w:color="auto"/>
                <w:bottom w:val="none" w:sz="0" w:space="0" w:color="auto"/>
                <w:right w:val="none" w:sz="0" w:space="0" w:color="auto"/>
              </w:divBdr>
              <w:divsChild>
                <w:div w:id="1949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4435">
      <w:bodyDiv w:val="1"/>
      <w:marLeft w:val="0"/>
      <w:marRight w:val="0"/>
      <w:marTop w:val="0"/>
      <w:marBottom w:val="0"/>
      <w:divBdr>
        <w:top w:val="none" w:sz="0" w:space="0" w:color="auto"/>
        <w:left w:val="none" w:sz="0" w:space="0" w:color="auto"/>
        <w:bottom w:val="none" w:sz="0" w:space="0" w:color="auto"/>
        <w:right w:val="none" w:sz="0" w:space="0" w:color="auto"/>
      </w:divBdr>
      <w:divsChild>
        <w:div w:id="1463764018">
          <w:marLeft w:val="0"/>
          <w:marRight w:val="0"/>
          <w:marTop w:val="0"/>
          <w:marBottom w:val="0"/>
          <w:divBdr>
            <w:top w:val="none" w:sz="0" w:space="0" w:color="auto"/>
            <w:left w:val="none" w:sz="0" w:space="0" w:color="auto"/>
            <w:bottom w:val="none" w:sz="0" w:space="0" w:color="auto"/>
            <w:right w:val="none" w:sz="0" w:space="0" w:color="auto"/>
          </w:divBdr>
          <w:divsChild>
            <w:div w:id="1601260658">
              <w:marLeft w:val="0"/>
              <w:marRight w:val="0"/>
              <w:marTop w:val="0"/>
              <w:marBottom w:val="0"/>
              <w:divBdr>
                <w:top w:val="none" w:sz="0" w:space="0" w:color="auto"/>
                <w:left w:val="none" w:sz="0" w:space="0" w:color="auto"/>
                <w:bottom w:val="none" w:sz="0" w:space="0" w:color="auto"/>
                <w:right w:val="none" w:sz="0" w:space="0" w:color="auto"/>
              </w:divBdr>
              <w:divsChild>
                <w:div w:id="1630555109">
                  <w:marLeft w:val="0"/>
                  <w:marRight w:val="0"/>
                  <w:marTop w:val="0"/>
                  <w:marBottom w:val="0"/>
                  <w:divBdr>
                    <w:top w:val="none" w:sz="0" w:space="0" w:color="auto"/>
                    <w:left w:val="none" w:sz="0" w:space="0" w:color="auto"/>
                    <w:bottom w:val="none" w:sz="0" w:space="0" w:color="auto"/>
                    <w:right w:val="none" w:sz="0" w:space="0" w:color="auto"/>
                  </w:divBdr>
                  <w:divsChild>
                    <w:div w:id="1692294990">
                      <w:marLeft w:val="0"/>
                      <w:marRight w:val="0"/>
                      <w:marTop w:val="0"/>
                      <w:marBottom w:val="0"/>
                      <w:divBdr>
                        <w:top w:val="none" w:sz="0" w:space="0" w:color="auto"/>
                        <w:left w:val="none" w:sz="0" w:space="0" w:color="auto"/>
                        <w:bottom w:val="none" w:sz="0" w:space="0" w:color="auto"/>
                        <w:right w:val="none" w:sz="0" w:space="0" w:color="auto"/>
                      </w:divBdr>
                    </w:div>
                  </w:divsChild>
                </w:div>
                <w:div w:id="1569151223">
                  <w:marLeft w:val="0"/>
                  <w:marRight w:val="0"/>
                  <w:marTop w:val="0"/>
                  <w:marBottom w:val="0"/>
                  <w:divBdr>
                    <w:top w:val="none" w:sz="0" w:space="0" w:color="auto"/>
                    <w:left w:val="none" w:sz="0" w:space="0" w:color="auto"/>
                    <w:bottom w:val="none" w:sz="0" w:space="0" w:color="auto"/>
                    <w:right w:val="none" w:sz="0" w:space="0" w:color="auto"/>
                  </w:divBdr>
                  <w:divsChild>
                    <w:div w:id="908659718">
                      <w:marLeft w:val="0"/>
                      <w:marRight w:val="0"/>
                      <w:marTop w:val="0"/>
                      <w:marBottom w:val="0"/>
                      <w:divBdr>
                        <w:top w:val="none" w:sz="0" w:space="0" w:color="auto"/>
                        <w:left w:val="none" w:sz="0" w:space="0" w:color="auto"/>
                        <w:bottom w:val="none" w:sz="0" w:space="0" w:color="auto"/>
                        <w:right w:val="none" w:sz="0" w:space="0" w:color="auto"/>
                      </w:divBdr>
                    </w:div>
                  </w:divsChild>
                </w:div>
                <w:div w:id="1936864833">
                  <w:marLeft w:val="0"/>
                  <w:marRight w:val="0"/>
                  <w:marTop w:val="0"/>
                  <w:marBottom w:val="0"/>
                  <w:divBdr>
                    <w:top w:val="none" w:sz="0" w:space="0" w:color="auto"/>
                    <w:left w:val="none" w:sz="0" w:space="0" w:color="auto"/>
                    <w:bottom w:val="none" w:sz="0" w:space="0" w:color="auto"/>
                    <w:right w:val="none" w:sz="0" w:space="0" w:color="auto"/>
                  </w:divBdr>
                  <w:divsChild>
                    <w:div w:id="516390600">
                      <w:marLeft w:val="0"/>
                      <w:marRight w:val="0"/>
                      <w:marTop w:val="0"/>
                      <w:marBottom w:val="0"/>
                      <w:divBdr>
                        <w:top w:val="none" w:sz="0" w:space="0" w:color="auto"/>
                        <w:left w:val="none" w:sz="0" w:space="0" w:color="auto"/>
                        <w:bottom w:val="none" w:sz="0" w:space="0" w:color="auto"/>
                        <w:right w:val="none" w:sz="0" w:space="0" w:color="auto"/>
                      </w:divBdr>
                    </w:div>
                  </w:divsChild>
                </w:div>
                <w:div w:id="1013188884">
                  <w:marLeft w:val="0"/>
                  <w:marRight w:val="0"/>
                  <w:marTop w:val="0"/>
                  <w:marBottom w:val="0"/>
                  <w:divBdr>
                    <w:top w:val="none" w:sz="0" w:space="0" w:color="auto"/>
                    <w:left w:val="none" w:sz="0" w:space="0" w:color="auto"/>
                    <w:bottom w:val="none" w:sz="0" w:space="0" w:color="auto"/>
                    <w:right w:val="none" w:sz="0" w:space="0" w:color="auto"/>
                  </w:divBdr>
                  <w:divsChild>
                    <w:div w:id="20421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16902">
      <w:bodyDiv w:val="1"/>
      <w:marLeft w:val="0"/>
      <w:marRight w:val="0"/>
      <w:marTop w:val="0"/>
      <w:marBottom w:val="0"/>
      <w:divBdr>
        <w:top w:val="none" w:sz="0" w:space="0" w:color="auto"/>
        <w:left w:val="none" w:sz="0" w:space="0" w:color="auto"/>
        <w:bottom w:val="none" w:sz="0" w:space="0" w:color="auto"/>
        <w:right w:val="none" w:sz="0" w:space="0" w:color="auto"/>
      </w:divBdr>
      <w:divsChild>
        <w:div w:id="818426862">
          <w:marLeft w:val="0"/>
          <w:marRight w:val="0"/>
          <w:marTop w:val="0"/>
          <w:marBottom w:val="0"/>
          <w:divBdr>
            <w:top w:val="none" w:sz="0" w:space="0" w:color="auto"/>
            <w:left w:val="none" w:sz="0" w:space="0" w:color="auto"/>
            <w:bottom w:val="none" w:sz="0" w:space="0" w:color="auto"/>
            <w:right w:val="none" w:sz="0" w:space="0" w:color="auto"/>
          </w:divBdr>
          <w:divsChild>
            <w:div w:id="1569876400">
              <w:marLeft w:val="0"/>
              <w:marRight w:val="0"/>
              <w:marTop w:val="0"/>
              <w:marBottom w:val="0"/>
              <w:divBdr>
                <w:top w:val="none" w:sz="0" w:space="0" w:color="auto"/>
                <w:left w:val="none" w:sz="0" w:space="0" w:color="auto"/>
                <w:bottom w:val="none" w:sz="0" w:space="0" w:color="auto"/>
                <w:right w:val="none" w:sz="0" w:space="0" w:color="auto"/>
              </w:divBdr>
              <w:divsChild>
                <w:div w:id="12752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9227">
      <w:bodyDiv w:val="1"/>
      <w:marLeft w:val="0"/>
      <w:marRight w:val="0"/>
      <w:marTop w:val="0"/>
      <w:marBottom w:val="0"/>
      <w:divBdr>
        <w:top w:val="none" w:sz="0" w:space="0" w:color="auto"/>
        <w:left w:val="none" w:sz="0" w:space="0" w:color="auto"/>
        <w:bottom w:val="none" w:sz="0" w:space="0" w:color="auto"/>
        <w:right w:val="none" w:sz="0" w:space="0" w:color="auto"/>
      </w:divBdr>
    </w:div>
    <w:div w:id="1635596539">
      <w:bodyDiv w:val="1"/>
      <w:marLeft w:val="0"/>
      <w:marRight w:val="0"/>
      <w:marTop w:val="0"/>
      <w:marBottom w:val="0"/>
      <w:divBdr>
        <w:top w:val="none" w:sz="0" w:space="0" w:color="auto"/>
        <w:left w:val="none" w:sz="0" w:space="0" w:color="auto"/>
        <w:bottom w:val="none" w:sz="0" w:space="0" w:color="auto"/>
        <w:right w:val="none" w:sz="0" w:space="0" w:color="auto"/>
      </w:divBdr>
      <w:divsChild>
        <w:div w:id="1865711290">
          <w:marLeft w:val="0"/>
          <w:marRight w:val="0"/>
          <w:marTop w:val="0"/>
          <w:marBottom w:val="0"/>
          <w:divBdr>
            <w:top w:val="none" w:sz="0" w:space="0" w:color="auto"/>
            <w:left w:val="none" w:sz="0" w:space="0" w:color="auto"/>
            <w:bottom w:val="none" w:sz="0" w:space="0" w:color="auto"/>
            <w:right w:val="none" w:sz="0" w:space="0" w:color="auto"/>
          </w:divBdr>
          <w:divsChild>
            <w:div w:id="480082028">
              <w:marLeft w:val="0"/>
              <w:marRight w:val="0"/>
              <w:marTop w:val="0"/>
              <w:marBottom w:val="0"/>
              <w:divBdr>
                <w:top w:val="none" w:sz="0" w:space="0" w:color="auto"/>
                <w:left w:val="none" w:sz="0" w:space="0" w:color="auto"/>
                <w:bottom w:val="none" w:sz="0" w:space="0" w:color="auto"/>
                <w:right w:val="none" w:sz="0" w:space="0" w:color="auto"/>
              </w:divBdr>
              <w:divsChild>
                <w:div w:id="1739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45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767">
          <w:marLeft w:val="0"/>
          <w:marRight w:val="0"/>
          <w:marTop w:val="0"/>
          <w:marBottom w:val="0"/>
          <w:divBdr>
            <w:top w:val="none" w:sz="0" w:space="0" w:color="auto"/>
            <w:left w:val="none" w:sz="0" w:space="0" w:color="auto"/>
            <w:bottom w:val="none" w:sz="0" w:space="0" w:color="auto"/>
            <w:right w:val="none" w:sz="0" w:space="0" w:color="auto"/>
          </w:divBdr>
          <w:divsChild>
            <w:div w:id="1796677156">
              <w:marLeft w:val="0"/>
              <w:marRight w:val="0"/>
              <w:marTop w:val="0"/>
              <w:marBottom w:val="0"/>
              <w:divBdr>
                <w:top w:val="none" w:sz="0" w:space="0" w:color="auto"/>
                <w:left w:val="none" w:sz="0" w:space="0" w:color="auto"/>
                <w:bottom w:val="none" w:sz="0" w:space="0" w:color="auto"/>
                <w:right w:val="none" w:sz="0" w:space="0" w:color="auto"/>
              </w:divBdr>
              <w:divsChild>
                <w:div w:id="8030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802">
      <w:bodyDiv w:val="1"/>
      <w:marLeft w:val="0"/>
      <w:marRight w:val="0"/>
      <w:marTop w:val="0"/>
      <w:marBottom w:val="0"/>
      <w:divBdr>
        <w:top w:val="none" w:sz="0" w:space="0" w:color="auto"/>
        <w:left w:val="none" w:sz="0" w:space="0" w:color="auto"/>
        <w:bottom w:val="none" w:sz="0" w:space="0" w:color="auto"/>
        <w:right w:val="none" w:sz="0" w:space="0" w:color="auto"/>
      </w:divBdr>
      <w:divsChild>
        <w:div w:id="130223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11">
              <w:marLeft w:val="0"/>
              <w:marRight w:val="0"/>
              <w:marTop w:val="0"/>
              <w:marBottom w:val="0"/>
              <w:divBdr>
                <w:top w:val="none" w:sz="0" w:space="0" w:color="auto"/>
                <w:left w:val="none" w:sz="0" w:space="0" w:color="auto"/>
                <w:bottom w:val="none" w:sz="0" w:space="0" w:color="auto"/>
                <w:right w:val="none" w:sz="0" w:space="0" w:color="auto"/>
              </w:divBdr>
              <w:divsChild>
                <w:div w:id="10553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6824">
      <w:bodyDiv w:val="1"/>
      <w:marLeft w:val="0"/>
      <w:marRight w:val="0"/>
      <w:marTop w:val="0"/>
      <w:marBottom w:val="0"/>
      <w:divBdr>
        <w:top w:val="none" w:sz="0" w:space="0" w:color="auto"/>
        <w:left w:val="none" w:sz="0" w:space="0" w:color="auto"/>
        <w:bottom w:val="none" w:sz="0" w:space="0" w:color="auto"/>
        <w:right w:val="none" w:sz="0" w:space="0" w:color="auto"/>
      </w:divBdr>
    </w:div>
    <w:div w:id="1897282511">
      <w:bodyDiv w:val="1"/>
      <w:marLeft w:val="0"/>
      <w:marRight w:val="0"/>
      <w:marTop w:val="0"/>
      <w:marBottom w:val="0"/>
      <w:divBdr>
        <w:top w:val="none" w:sz="0" w:space="0" w:color="auto"/>
        <w:left w:val="none" w:sz="0" w:space="0" w:color="auto"/>
        <w:bottom w:val="none" w:sz="0" w:space="0" w:color="auto"/>
        <w:right w:val="none" w:sz="0" w:space="0" w:color="auto"/>
      </w:divBdr>
      <w:divsChild>
        <w:div w:id="10882349">
          <w:marLeft w:val="0"/>
          <w:marRight w:val="0"/>
          <w:marTop w:val="0"/>
          <w:marBottom w:val="0"/>
          <w:divBdr>
            <w:top w:val="none" w:sz="0" w:space="0" w:color="auto"/>
            <w:left w:val="none" w:sz="0" w:space="0" w:color="auto"/>
            <w:bottom w:val="none" w:sz="0" w:space="0" w:color="auto"/>
            <w:right w:val="none" w:sz="0" w:space="0" w:color="auto"/>
          </w:divBdr>
          <w:divsChild>
            <w:div w:id="487602387">
              <w:marLeft w:val="0"/>
              <w:marRight w:val="0"/>
              <w:marTop w:val="0"/>
              <w:marBottom w:val="0"/>
              <w:divBdr>
                <w:top w:val="none" w:sz="0" w:space="0" w:color="auto"/>
                <w:left w:val="none" w:sz="0" w:space="0" w:color="auto"/>
                <w:bottom w:val="none" w:sz="0" w:space="0" w:color="auto"/>
                <w:right w:val="none" w:sz="0" w:space="0" w:color="auto"/>
              </w:divBdr>
              <w:divsChild>
                <w:div w:id="81072198">
                  <w:marLeft w:val="0"/>
                  <w:marRight w:val="0"/>
                  <w:marTop w:val="0"/>
                  <w:marBottom w:val="0"/>
                  <w:divBdr>
                    <w:top w:val="none" w:sz="0" w:space="0" w:color="auto"/>
                    <w:left w:val="none" w:sz="0" w:space="0" w:color="auto"/>
                    <w:bottom w:val="none" w:sz="0" w:space="0" w:color="auto"/>
                    <w:right w:val="none" w:sz="0" w:space="0" w:color="auto"/>
                  </w:divBdr>
                  <w:divsChild>
                    <w:div w:id="1542205280">
                      <w:marLeft w:val="0"/>
                      <w:marRight w:val="0"/>
                      <w:marTop w:val="0"/>
                      <w:marBottom w:val="0"/>
                      <w:divBdr>
                        <w:top w:val="none" w:sz="0" w:space="0" w:color="auto"/>
                        <w:left w:val="none" w:sz="0" w:space="0" w:color="auto"/>
                        <w:bottom w:val="none" w:sz="0" w:space="0" w:color="auto"/>
                        <w:right w:val="none" w:sz="0" w:space="0" w:color="auto"/>
                      </w:divBdr>
                    </w:div>
                  </w:divsChild>
                </w:div>
                <w:div w:id="248194874">
                  <w:marLeft w:val="0"/>
                  <w:marRight w:val="0"/>
                  <w:marTop w:val="0"/>
                  <w:marBottom w:val="0"/>
                  <w:divBdr>
                    <w:top w:val="none" w:sz="0" w:space="0" w:color="auto"/>
                    <w:left w:val="none" w:sz="0" w:space="0" w:color="auto"/>
                    <w:bottom w:val="none" w:sz="0" w:space="0" w:color="auto"/>
                    <w:right w:val="none" w:sz="0" w:space="0" w:color="auto"/>
                  </w:divBdr>
                  <w:divsChild>
                    <w:div w:id="1631592721">
                      <w:marLeft w:val="0"/>
                      <w:marRight w:val="0"/>
                      <w:marTop w:val="0"/>
                      <w:marBottom w:val="0"/>
                      <w:divBdr>
                        <w:top w:val="none" w:sz="0" w:space="0" w:color="auto"/>
                        <w:left w:val="none" w:sz="0" w:space="0" w:color="auto"/>
                        <w:bottom w:val="none" w:sz="0" w:space="0" w:color="auto"/>
                        <w:right w:val="none" w:sz="0" w:space="0" w:color="auto"/>
                      </w:divBdr>
                    </w:div>
                  </w:divsChild>
                </w:div>
                <w:div w:id="1962422054">
                  <w:marLeft w:val="0"/>
                  <w:marRight w:val="0"/>
                  <w:marTop w:val="0"/>
                  <w:marBottom w:val="0"/>
                  <w:divBdr>
                    <w:top w:val="none" w:sz="0" w:space="0" w:color="auto"/>
                    <w:left w:val="none" w:sz="0" w:space="0" w:color="auto"/>
                    <w:bottom w:val="none" w:sz="0" w:space="0" w:color="auto"/>
                    <w:right w:val="none" w:sz="0" w:space="0" w:color="auto"/>
                  </w:divBdr>
                  <w:divsChild>
                    <w:div w:id="1792477748">
                      <w:marLeft w:val="0"/>
                      <w:marRight w:val="0"/>
                      <w:marTop w:val="0"/>
                      <w:marBottom w:val="0"/>
                      <w:divBdr>
                        <w:top w:val="none" w:sz="0" w:space="0" w:color="auto"/>
                        <w:left w:val="none" w:sz="0" w:space="0" w:color="auto"/>
                        <w:bottom w:val="none" w:sz="0" w:space="0" w:color="auto"/>
                        <w:right w:val="none" w:sz="0" w:space="0" w:color="auto"/>
                      </w:divBdr>
                    </w:div>
                  </w:divsChild>
                </w:div>
                <w:div w:id="543980324">
                  <w:marLeft w:val="0"/>
                  <w:marRight w:val="0"/>
                  <w:marTop w:val="0"/>
                  <w:marBottom w:val="0"/>
                  <w:divBdr>
                    <w:top w:val="none" w:sz="0" w:space="0" w:color="auto"/>
                    <w:left w:val="none" w:sz="0" w:space="0" w:color="auto"/>
                    <w:bottom w:val="none" w:sz="0" w:space="0" w:color="auto"/>
                    <w:right w:val="none" w:sz="0" w:space="0" w:color="auto"/>
                  </w:divBdr>
                  <w:divsChild>
                    <w:div w:id="1687051174">
                      <w:marLeft w:val="0"/>
                      <w:marRight w:val="0"/>
                      <w:marTop w:val="0"/>
                      <w:marBottom w:val="0"/>
                      <w:divBdr>
                        <w:top w:val="none" w:sz="0" w:space="0" w:color="auto"/>
                        <w:left w:val="none" w:sz="0" w:space="0" w:color="auto"/>
                        <w:bottom w:val="none" w:sz="0" w:space="0" w:color="auto"/>
                        <w:right w:val="none" w:sz="0" w:space="0" w:color="auto"/>
                      </w:divBdr>
                    </w:div>
                  </w:divsChild>
                </w:div>
                <w:div w:id="1554150731">
                  <w:marLeft w:val="0"/>
                  <w:marRight w:val="0"/>
                  <w:marTop w:val="0"/>
                  <w:marBottom w:val="0"/>
                  <w:divBdr>
                    <w:top w:val="none" w:sz="0" w:space="0" w:color="auto"/>
                    <w:left w:val="none" w:sz="0" w:space="0" w:color="auto"/>
                    <w:bottom w:val="none" w:sz="0" w:space="0" w:color="auto"/>
                    <w:right w:val="none" w:sz="0" w:space="0" w:color="auto"/>
                  </w:divBdr>
                  <w:divsChild>
                    <w:div w:id="1084759141">
                      <w:marLeft w:val="0"/>
                      <w:marRight w:val="0"/>
                      <w:marTop w:val="0"/>
                      <w:marBottom w:val="0"/>
                      <w:divBdr>
                        <w:top w:val="none" w:sz="0" w:space="0" w:color="auto"/>
                        <w:left w:val="none" w:sz="0" w:space="0" w:color="auto"/>
                        <w:bottom w:val="none" w:sz="0" w:space="0" w:color="auto"/>
                        <w:right w:val="none" w:sz="0" w:space="0" w:color="auto"/>
                      </w:divBdr>
                    </w:div>
                  </w:divsChild>
                </w:div>
                <w:div w:id="330262471">
                  <w:marLeft w:val="0"/>
                  <w:marRight w:val="0"/>
                  <w:marTop w:val="0"/>
                  <w:marBottom w:val="0"/>
                  <w:divBdr>
                    <w:top w:val="none" w:sz="0" w:space="0" w:color="auto"/>
                    <w:left w:val="none" w:sz="0" w:space="0" w:color="auto"/>
                    <w:bottom w:val="none" w:sz="0" w:space="0" w:color="auto"/>
                    <w:right w:val="none" w:sz="0" w:space="0" w:color="auto"/>
                  </w:divBdr>
                  <w:divsChild>
                    <w:div w:id="2081058340">
                      <w:marLeft w:val="0"/>
                      <w:marRight w:val="0"/>
                      <w:marTop w:val="0"/>
                      <w:marBottom w:val="0"/>
                      <w:divBdr>
                        <w:top w:val="none" w:sz="0" w:space="0" w:color="auto"/>
                        <w:left w:val="none" w:sz="0" w:space="0" w:color="auto"/>
                        <w:bottom w:val="none" w:sz="0" w:space="0" w:color="auto"/>
                        <w:right w:val="none" w:sz="0" w:space="0" w:color="auto"/>
                      </w:divBdr>
                    </w:div>
                  </w:divsChild>
                </w:div>
                <w:div w:id="539174156">
                  <w:marLeft w:val="0"/>
                  <w:marRight w:val="0"/>
                  <w:marTop w:val="0"/>
                  <w:marBottom w:val="0"/>
                  <w:divBdr>
                    <w:top w:val="none" w:sz="0" w:space="0" w:color="auto"/>
                    <w:left w:val="none" w:sz="0" w:space="0" w:color="auto"/>
                    <w:bottom w:val="none" w:sz="0" w:space="0" w:color="auto"/>
                    <w:right w:val="none" w:sz="0" w:space="0" w:color="auto"/>
                  </w:divBdr>
                  <w:divsChild>
                    <w:div w:id="1962229492">
                      <w:marLeft w:val="0"/>
                      <w:marRight w:val="0"/>
                      <w:marTop w:val="0"/>
                      <w:marBottom w:val="0"/>
                      <w:divBdr>
                        <w:top w:val="none" w:sz="0" w:space="0" w:color="auto"/>
                        <w:left w:val="none" w:sz="0" w:space="0" w:color="auto"/>
                        <w:bottom w:val="none" w:sz="0" w:space="0" w:color="auto"/>
                        <w:right w:val="none" w:sz="0" w:space="0" w:color="auto"/>
                      </w:divBdr>
                    </w:div>
                  </w:divsChild>
                </w:div>
                <w:div w:id="390352715">
                  <w:marLeft w:val="0"/>
                  <w:marRight w:val="0"/>
                  <w:marTop w:val="0"/>
                  <w:marBottom w:val="0"/>
                  <w:divBdr>
                    <w:top w:val="none" w:sz="0" w:space="0" w:color="auto"/>
                    <w:left w:val="none" w:sz="0" w:space="0" w:color="auto"/>
                    <w:bottom w:val="none" w:sz="0" w:space="0" w:color="auto"/>
                    <w:right w:val="none" w:sz="0" w:space="0" w:color="auto"/>
                  </w:divBdr>
                  <w:divsChild>
                    <w:div w:id="1508054728">
                      <w:marLeft w:val="0"/>
                      <w:marRight w:val="0"/>
                      <w:marTop w:val="0"/>
                      <w:marBottom w:val="0"/>
                      <w:divBdr>
                        <w:top w:val="none" w:sz="0" w:space="0" w:color="auto"/>
                        <w:left w:val="none" w:sz="0" w:space="0" w:color="auto"/>
                        <w:bottom w:val="none" w:sz="0" w:space="0" w:color="auto"/>
                        <w:right w:val="none" w:sz="0" w:space="0" w:color="auto"/>
                      </w:divBdr>
                    </w:div>
                  </w:divsChild>
                </w:div>
                <w:div w:id="1602954844">
                  <w:marLeft w:val="0"/>
                  <w:marRight w:val="0"/>
                  <w:marTop w:val="0"/>
                  <w:marBottom w:val="0"/>
                  <w:divBdr>
                    <w:top w:val="none" w:sz="0" w:space="0" w:color="auto"/>
                    <w:left w:val="none" w:sz="0" w:space="0" w:color="auto"/>
                    <w:bottom w:val="none" w:sz="0" w:space="0" w:color="auto"/>
                    <w:right w:val="none" w:sz="0" w:space="0" w:color="auto"/>
                  </w:divBdr>
                  <w:divsChild>
                    <w:div w:id="1558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6974">
      <w:bodyDiv w:val="1"/>
      <w:marLeft w:val="0"/>
      <w:marRight w:val="0"/>
      <w:marTop w:val="0"/>
      <w:marBottom w:val="0"/>
      <w:divBdr>
        <w:top w:val="none" w:sz="0" w:space="0" w:color="auto"/>
        <w:left w:val="none" w:sz="0" w:space="0" w:color="auto"/>
        <w:bottom w:val="none" w:sz="0" w:space="0" w:color="auto"/>
        <w:right w:val="none" w:sz="0" w:space="0" w:color="auto"/>
      </w:divBdr>
      <w:divsChild>
        <w:div w:id="1205941144">
          <w:marLeft w:val="0"/>
          <w:marRight w:val="0"/>
          <w:marTop w:val="0"/>
          <w:marBottom w:val="0"/>
          <w:divBdr>
            <w:top w:val="none" w:sz="0" w:space="0" w:color="auto"/>
            <w:left w:val="none" w:sz="0" w:space="0" w:color="auto"/>
            <w:bottom w:val="none" w:sz="0" w:space="0" w:color="auto"/>
            <w:right w:val="none" w:sz="0" w:space="0" w:color="auto"/>
          </w:divBdr>
          <w:divsChild>
            <w:div w:id="1976522420">
              <w:marLeft w:val="0"/>
              <w:marRight w:val="0"/>
              <w:marTop w:val="0"/>
              <w:marBottom w:val="0"/>
              <w:divBdr>
                <w:top w:val="none" w:sz="0" w:space="0" w:color="auto"/>
                <w:left w:val="none" w:sz="0" w:space="0" w:color="auto"/>
                <w:bottom w:val="none" w:sz="0" w:space="0" w:color="auto"/>
                <w:right w:val="none" w:sz="0" w:space="0" w:color="auto"/>
              </w:divBdr>
              <w:divsChild>
                <w:div w:id="12664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2281">
      <w:bodyDiv w:val="1"/>
      <w:marLeft w:val="0"/>
      <w:marRight w:val="0"/>
      <w:marTop w:val="0"/>
      <w:marBottom w:val="0"/>
      <w:divBdr>
        <w:top w:val="none" w:sz="0" w:space="0" w:color="auto"/>
        <w:left w:val="none" w:sz="0" w:space="0" w:color="auto"/>
        <w:bottom w:val="none" w:sz="0" w:space="0" w:color="auto"/>
        <w:right w:val="none" w:sz="0" w:space="0" w:color="auto"/>
      </w:divBdr>
    </w:div>
    <w:div w:id="21359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ve.Preston@dfat.gov.au" TargetMode="External"/><Relationship Id="rId18" Type="http://schemas.openxmlformats.org/officeDocument/2006/relationships/hyperlink" Target="mailto:developmentresults@gmail.com" TargetMode="External"/><Relationship Id="rId3" Type="http://schemas.openxmlformats.org/officeDocument/2006/relationships/styles" Target="styles.xml"/><Relationship Id="rId21" Type="http://schemas.openxmlformats.org/officeDocument/2006/relationships/hyperlink" Target="mailto:Baasantseren@amep.m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Julia.Baxter@amep.m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na.Guenduez@amep.mn" TargetMode="External"/><Relationship Id="rId20" Type="http://schemas.openxmlformats.org/officeDocument/2006/relationships/hyperlink" Target="mailto:Nasandelger.Zandan@amep.m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ndkhai.Bayarsaikhan@adamsmithinternational.com" TargetMode="External"/><Relationship Id="rId23" Type="http://schemas.openxmlformats.org/officeDocument/2006/relationships/hyperlink" Target="mailto:Uyanga@amep.mn" TargetMode="External"/><Relationship Id="rId10" Type="http://schemas.openxmlformats.org/officeDocument/2006/relationships/footer" Target="footer2.xml"/><Relationship Id="rId19" Type="http://schemas.openxmlformats.org/officeDocument/2006/relationships/hyperlink" Target="mailto:Enkhamgalan@amep.m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unkhjargal.Birvaa@dfat.gov.au" TargetMode="External"/><Relationship Id="rId22" Type="http://schemas.openxmlformats.org/officeDocument/2006/relationships/hyperlink" Target="mailto:solongo@amep.m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E06D-87B1-4670-A0A8-41EACFE8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16205</Words>
  <Characters>89943</Characters>
  <Application>Microsoft Office Word</Application>
  <DocSecurity>0</DocSecurity>
  <Lines>1873</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Mongolia Extractives Program (AMEP) II Mid-Term Review Final Report</dc:title>
  <dc:subject/>
  <dc:creator/>
  <cp:keywords>[SEC=OFFICIAL]</cp:keywords>
  <dc:description/>
  <cp:lastModifiedBy/>
  <cp:revision>1</cp:revision>
  <dcterms:created xsi:type="dcterms:W3CDTF">2023-02-09T23:55:00Z</dcterms:created>
  <dcterms:modified xsi:type="dcterms:W3CDTF">2023-02-09T23:55:00Z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80DC50FFDFC94DA191C8F1B7D1B031D8</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2023-02-09T23:55:11Z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B8FA72C10A738272ACD06BA40BBD4F95</vt:lpwstr>
  </property>
  <property fmtid="{D5CDD505-2E9C-101B-9397-08002B2CF9AE}" pid="21" name="PM_Hash_Salt">
    <vt:lpwstr>929D0AB3FD78070EC5239B30FE1FB02A</vt:lpwstr>
  </property>
  <property fmtid="{D5CDD505-2E9C-101B-9397-08002B2CF9AE}" pid="22" name="PM_Hash_SHA1">
    <vt:lpwstr>F24B01ADD033F6A6942DDCBFC7345B017A172BB8</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