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C36D" w14:textId="79257500" w:rsidR="00417528" w:rsidRPr="007451B9" w:rsidRDefault="0070144B" w:rsidP="0080141C">
      <w:pPr>
        <w:pStyle w:val="Heading1"/>
        <w:spacing w:before="0" w:after="0" w:line="240" w:lineRule="auto"/>
        <w:contextualSpacing w:val="0"/>
        <w:rPr>
          <w:color w:val="auto"/>
        </w:rPr>
      </w:pPr>
      <w:bookmarkStart w:id="0" w:name="_Toc475348267"/>
      <w:r>
        <w:rPr>
          <w:caps w:val="0"/>
          <w:color w:val="auto"/>
        </w:rPr>
        <w:t xml:space="preserve">Mid-Term Review </w:t>
      </w:r>
      <w:r w:rsidRPr="007451B9">
        <w:rPr>
          <w:caps w:val="0"/>
          <w:color w:val="auto"/>
        </w:rPr>
        <w:t xml:space="preserve">Management Response </w:t>
      </w:r>
      <w:bookmarkEnd w:id="0"/>
      <w:r>
        <w:rPr>
          <w:caps w:val="0"/>
          <w:color w:val="auto"/>
        </w:rPr>
        <w:t>– Australia Mongolia Extractives Program Phase I</w:t>
      </w:r>
      <w:r w:rsidR="003525D0">
        <w:rPr>
          <w:caps w:val="0"/>
          <w:color w:val="auto"/>
        </w:rPr>
        <w:t>I</w:t>
      </w:r>
    </w:p>
    <w:p w14:paraId="6269D3C9" w14:textId="77777777" w:rsidR="00417528" w:rsidRPr="002B1079" w:rsidRDefault="00417528" w:rsidP="00C03990">
      <w:pPr>
        <w:pStyle w:val="Heading3"/>
        <w:spacing w:before="240" w:line="240" w:lineRule="auto"/>
        <w:contextualSpacing w:val="0"/>
      </w:pPr>
      <w:r>
        <w:t>Summary of management r</w:t>
      </w:r>
      <w:r w:rsidRPr="002B1079">
        <w:t xml:space="preserve">esponse </w:t>
      </w:r>
    </w:p>
    <w:p w14:paraId="10EE9FC9" w14:textId="6F0F7AD1" w:rsidR="003413BC" w:rsidRDefault="003413BC" w:rsidP="003413BC">
      <w:r w:rsidRPr="003413BC">
        <w:t>We (</w:t>
      </w:r>
      <w:r w:rsidR="009F4416">
        <w:t>Ulaanbaatar</w:t>
      </w:r>
      <w:r w:rsidRPr="003413BC">
        <w:t xml:space="preserve"> Post) agree with the broad thrust of the evaluation’s findings, conclusions and recommendations </w:t>
      </w:r>
      <w:r w:rsidR="009F4416">
        <w:t>with these being</w:t>
      </w:r>
      <w:r w:rsidRPr="003413BC">
        <w:t xml:space="preserve"> used to </w:t>
      </w:r>
      <w:r w:rsidR="00F42B55" w:rsidRPr="003413BC">
        <w:t>guide activities over the</w:t>
      </w:r>
      <w:r w:rsidR="009F4416">
        <w:t xml:space="preserve"> over the remainder of this phase of the program</w:t>
      </w:r>
      <w:r w:rsidRPr="003413BC">
        <w:t>.</w:t>
      </w:r>
    </w:p>
    <w:tbl>
      <w:tblPr>
        <w:tblStyle w:val="TableGrid"/>
        <w:tblW w:w="15648" w:type="dxa"/>
        <w:tblInd w:w="-147" w:type="dxa"/>
        <w:tblLook w:val="04A0" w:firstRow="1" w:lastRow="0" w:firstColumn="1" w:lastColumn="0" w:noHBand="0" w:noVBand="1"/>
      </w:tblPr>
      <w:tblGrid>
        <w:gridCol w:w="4440"/>
        <w:gridCol w:w="1012"/>
        <w:gridCol w:w="7932"/>
        <w:gridCol w:w="2264"/>
      </w:tblGrid>
      <w:tr w:rsidR="00957C08" w:rsidRPr="00CA7BEF" w14:paraId="2B352A29" w14:textId="77777777" w:rsidTr="0070144B">
        <w:trPr>
          <w:tblHeader/>
        </w:trPr>
        <w:tc>
          <w:tcPr>
            <w:tcW w:w="4440" w:type="dxa"/>
          </w:tcPr>
          <w:p w14:paraId="467F2668" w14:textId="77777777" w:rsidR="00957C08" w:rsidRPr="00CA7BEF" w:rsidRDefault="00957C08" w:rsidP="009B60D3">
            <w:pPr>
              <w:spacing w:line="240" w:lineRule="auto"/>
              <w:rPr>
                <w:rFonts w:cstheme="minorHAnsi"/>
                <w:b/>
                <w:bCs/>
                <w:iCs/>
                <w:color w:val="auto"/>
                <w:sz w:val="20"/>
                <w:szCs w:val="20"/>
              </w:rPr>
            </w:pPr>
            <w:r w:rsidRPr="00CA7BEF">
              <w:rPr>
                <w:rFonts w:cstheme="minorHAnsi"/>
                <w:b/>
                <w:bCs/>
                <w:iCs/>
                <w:color w:val="auto"/>
                <w:sz w:val="20"/>
                <w:szCs w:val="20"/>
              </w:rPr>
              <w:t>Recommendation</w:t>
            </w:r>
          </w:p>
        </w:tc>
        <w:tc>
          <w:tcPr>
            <w:tcW w:w="1012" w:type="dxa"/>
          </w:tcPr>
          <w:p w14:paraId="16F14471" w14:textId="77777777" w:rsidR="00957C08" w:rsidRPr="00CA7BEF" w:rsidRDefault="00957C08" w:rsidP="009B60D3">
            <w:pPr>
              <w:spacing w:line="240" w:lineRule="auto"/>
              <w:rPr>
                <w:rFonts w:cstheme="minorHAnsi"/>
                <w:b/>
                <w:bCs/>
                <w:iCs/>
                <w:color w:val="auto"/>
                <w:sz w:val="20"/>
                <w:szCs w:val="20"/>
              </w:rPr>
            </w:pPr>
            <w:r w:rsidRPr="00CA7BEF">
              <w:rPr>
                <w:rFonts w:cstheme="minorHAnsi"/>
                <w:b/>
                <w:bCs/>
                <w:iCs/>
                <w:color w:val="auto"/>
                <w:sz w:val="20"/>
                <w:szCs w:val="20"/>
              </w:rPr>
              <w:t>Response</w:t>
            </w:r>
          </w:p>
        </w:tc>
        <w:tc>
          <w:tcPr>
            <w:tcW w:w="7932" w:type="dxa"/>
          </w:tcPr>
          <w:p w14:paraId="40DB62AA" w14:textId="77777777" w:rsidR="00957C08" w:rsidRPr="00CA7BEF" w:rsidRDefault="00957C08" w:rsidP="009B60D3">
            <w:pPr>
              <w:spacing w:line="240" w:lineRule="auto"/>
              <w:rPr>
                <w:rFonts w:cstheme="minorHAnsi"/>
                <w:b/>
                <w:bCs/>
                <w:iCs/>
                <w:color w:val="auto"/>
                <w:sz w:val="20"/>
                <w:szCs w:val="20"/>
              </w:rPr>
            </w:pPr>
            <w:r w:rsidRPr="00CA7BEF">
              <w:rPr>
                <w:rFonts w:cstheme="minorHAnsi"/>
                <w:b/>
                <w:bCs/>
                <w:iCs/>
                <w:color w:val="auto"/>
                <w:sz w:val="20"/>
                <w:szCs w:val="20"/>
              </w:rPr>
              <w:t>Action plan</w:t>
            </w:r>
          </w:p>
        </w:tc>
        <w:tc>
          <w:tcPr>
            <w:tcW w:w="2264" w:type="dxa"/>
          </w:tcPr>
          <w:p w14:paraId="3B64F5C4" w14:textId="77777777" w:rsidR="00957C08" w:rsidRPr="00CA7BEF" w:rsidRDefault="00957C08" w:rsidP="009B60D3">
            <w:pPr>
              <w:spacing w:line="240" w:lineRule="auto"/>
              <w:rPr>
                <w:rFonts w:cstheme="minorHAnsi"/>
                <w:b/>
                <w:bCs/>
                <w:iCs/>
                <w:color w:val="auto"/>
                <w:sz w:val="20"/>
                <w:szCs w:val="20"/>
              </w:rPr>
            </w:pPr>
            <w:r w:rsidRPr="00CA7BEF">
              <w:rPr>
                <w:rFonts w:cstheme="minorHAnsi"/>
                <w:b/>
                <w:bCs/>
                <w:iCs/>
                <w:color w:val="auto"/>
                <w:sz w:val="20"/>
                <w:szCs w:val="20"/>
              </w:rPr>
              <w:t>Timeframe</w:t>
            </w:r>
          </w:p>
        </w:tc>
      </w:tr>
      <w:tr w:rsidR="00957C08" w:rsidRPr="00CA7BEF" w14:paraId="3E0D5D06" w14:textId="77777777" w:rsidTr="00AA1A5C">
        <w:tc>
          <w:tcPr>
            <w:tcW w:w="4440" w:type="dxa"/>
          </w:tcPr>
          <w:p w14:paraId="0DB2268B" w14:textId="77777777" w:rsidR="00F334AD" w:rsidRDefault="00692A35" w:rsidP="00A4174E">
            <w:pPr>
              <w:pStyle w:val="Default"/>
              <w:spacing w:line="276" w:lineRule="auto"/>
              <w:rPr>
                <w:rFonts w:asciiTheme="minorHAnsi" w:hAnsiTheme="minorHAnsi" w:cstheme="minorHAnsi"/>
                <w:b/>
                <w:bCs/>
                <w:sz w:val="22"/>
                <w:szCs w:val="22"/>
                <w:lang w:val="en-GB"/>
              </w:rPr>
            </w:pPr>
            <w:r>
              <w:rPr>
                <w:rFonts w:asciiTheme="minorHAnsi" w:hAnsiTheme="minorHAnsi" w:cstheme="minorHAnsi"/>
                <w:b/>
                <w:bCs/>
                <w:sz w:val="22"/>
                <w:szCs w:val="22"/>
                <w:lang w:val="en-GB"/>
              </w:rPr>
              <w:t>Strengthening</w:t>
            </w:r>
            <w:r w:rsidR="00F334AD">
              <w:rPr>
                <w:rFonts w:asciiTheme="minorHAnsi" w:hAnsiTheme="minorHAnsi" w:cstheme="minorHAnsi"/>
                <w:b/>
                <w:bCs/>
                <w:sz w:val="22"/>
                <w:szCs w:val="22"/>
                <w:lang w:val="en-GB"/>
              </w:rPr>
              <w:t xml:space="preserve"> CSO engagement:</w:t>
            </w:r>
          </w:p>
          <w:p w14:paraId="35DB7267" w14:textId="6D310C4F" w:rsidR="00957C08" w:rsidRDefault="00957C08" w:rsidP="00A4174E">
            <w:pPr>
              <w:pStyle w:val="Default"/>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Over the final period there is a need for stronger focus/ greater emphasis on CSOs to ensure the objective of AMEP II is addressed fully.  In selecting activities going forward the focus on CSOs AMEP II could have a closer look at leveraging the success it has had in building partnerships with both government and industry to create opportunities for effective collaboration with CSOs on joint activities (such as around mining affected communities and/or the social dimension of mining drawing on the experiences, for instance, of OT and ERD Resources).</w:t>
            </w:r>
          </w:p>
          <w:p w14:paraId="319F2516" w14:textId="3EC0A03A" w:rsidR="00957C08" w:rsidRPr="00CA7BEF" w:rsidRDefault="00957C08" w:rsidP="009B60D3">
            <w:pPr>
              <w:spacing w:line="240" w:lineRule="auto"/>
              <w:rPr>
                <w:rFonts w:cstheme="minorHAnsi"/>
                <w:iCs/>
                <w:color w:val="auto"/>
                <w:sz w:val="20"/>
                <w:szCs w:val="20"/>
              </w:rPr>
            </w:pPr>
          </w:p>
        </w:tc>
        <w:tc>
          <w:tcPr>
            <w:tcW w:w="1012" w:type="dxa"/>
            <w:shd w:val="clear" w:color="auto" w:fill="92D050"/>
          </w:tcPr>
          <w:p w14:paraId="415E8DB1" w14:textId="77777777" w:rsidR="00957C08" w:rsidRPr="00CA7BEF" w:rsidRDefault="00957C08" w:rsidP="009B60D3">
            <w:pPr>
              <w:spacing w:line="240" w:lineRule="auto"/>
              <w:rPr>
                <w:rFonts w:cstheme="minorHAnsi"/>
                <w:iCs/>
                <w:color w:val="auto"/>
                <w:sz w:val="20"/>
                <w:szCs w:val="20"/>
              </w:rPr>
            </w:pPr>
            <w:r w:rsidRPr="00CA7BEF">
              <w:rPr>
                <w:rFonts w:cstheme="minorHAnsi"/>
                <w:iCs/>
                <w:color w:val="auto"/>
                <w:sz w:val="20"/>
                <w:szCs w:val="20"/>
              </w:rPr>
              <w:t>Agree</w:t>
            </w:r>
          </w:p>
        </w:tc>
        <w:tc>
          <w:tcPr>
            <w:tcW w:w="7932" w:type="dxa"/>
          </w:tcPr>
          <w:p w14:paraId="69B74CFB" w14:textId="75DCF286" w:rsidR="00957C08" w:rsidRPr="00843DD6" w:rsidRDefault="00957C08" w:rsidP="004A2E16">
            <w:pPr>
              <w:pStyle w:val="ListParagraph"/>
              <w:numPr>
                <w:ilvl w:val="0"/>
                <w:numId w:val="42"/>
              </w:numPr>
              <w:suppressAutoHyphens w:val="0"/>
              <w:spacing w:before="0" w:after="160" w:line="256" w:lineRule="auto"/>
              <w:rPr>
                <w:lang w:val="en-AU"/>
              </w:rPr>
            </w:pPr>
            <w:r w:rsidRPr="00843DD6">
              <w:t xml:space="preserve">AMEP II needs to better define and distinguish the difference between NGOs (Civil Society Organisations representing communities directly and indirectly affected by the mining) versus professional associations representing extractives sector professionals. It should make concrete plans for how to engage with each group more meaningfully and effectively so that they are empowered with a similar level of interaction to that which has been provided to government and industry. AMEP II should capture the results of this renewed emphasis the annual and final reporting. </w:t>
            </w:r>
          </w:p>
          <w:p w14:paraId="15DE924C" w14:textId="31135046" w:rsidR="00F1460F" w:rsidRPr="00843DD6" w:rsidRDefault="00F1460F" w:rsidP="00F1460F">
            <w:pPr>
              <w:pStyle w:val="ListParagraph"/>
              <w:numPr>
                <w:ilvl w:val="0"/>
                <w:numId w:val="42"/>
              </w:numPr>
              <w:suppressAutoHyphens w:val="0"/>
              <w:spacing w:before="0" w:after="160" w:line="256" w:lineRule="auto"/>
            </w:pPr>
            <w:r w:rsidRPr="00843DD6">
              <w:t xml:space="preserve">AMEP </w:t>
            </w:r>
            <w:r w:rsidR="009027C8" w:rsidRPr="00843DD6">
              <w:t>II</w:t>
            </w:r>
            <w:r w:rsidR="0061424E" w:rsidRPr="00843DD6">
              <w:t xml:space="preserve"> </w:t>
            </w:r>
            <w:r w:rsidRPr="00843DD6">
              <w:t xml:space="preserve">will </w:t>
            </w:r>
            <w:r w:rsidR="005355FB" w:rsidRPr="00843DD6">
              <w:t>place</w:t>
            </w:r>
            <w:r w:rsidR="00C300F3" w:rsidRPr="00843DD6">
              <w:t xml:space="preserve"> a stronger emphasis on </w:t>
            </w:r>
            <w:r w:rsidR="00F010E1" w:rsidRPr="00843DD6">
              <w:t xml:space="preserve">civil society organizations that </w:t>
            </w:r>
            <w:r w:rsidR="0054121C" w:rsidRPr="00843DD6">
              <w:t xml:space="preserve">are defined as </w:t>
            </w:r>
            <w:r w:rsidR="00AF211E" w:rsidRPr="00843DD6">
              <w:t xml:space="preserve">representing communities or public </w:t>
            </w:r>
            <w:r w:rsidR="005355FB" w:rsidRPr="00843DD6">
              <w:t xml:space="preserve">while </w:t>
            </w:r>
            <w:r w:rsidRPr="00843DD6">
              <w:t>continuing work</w:t>
            </w:r>
            <w:r w:rsidR="005355FB" w:rsidRPr="00843DD6">
              <w:t xml:space="preserve"> with </w:t>
            </w:r>
            <w:r w:rsidR="00AF211E" w:rsidRPr="00843DD6">
              <w:t>professional/thematic associations</w:t>
            </w:r>
            <w:r w:rsidR="008C0756" w:rsidRPr="00843DD6">
              <w:t xml:space="preserve">.  </w:t>
            </w:r>
          </w:p>
          <w:p w14:paraId="749F3DB4" w14:textId="33042C0D" w:rsidR="00603FF7" w:rsidRPr="00843DD6" w:rsidRDefault="007F7B32" w:rsidP="00F1460F">
            <w:pPr>
              <w:pStyle w:val="ListParagraph"/>
              <w:numPr>
                <w:ilvl w:val="0"/>
                <w:numId w:val="42"/>
              </w:numPr>
              <w:suppressAutoHyphens w:val="0"/>
              <w:spacing w:before="0" w:after="160" w:line="256" w:lineRule="auto"/>
            </w:pPr>
            <w:r w:rsidRPr="00843DD6">
              <w:t xml:space="preserve">AMEP II </w:t>
            </w:r>
            <w:r w:rsidR="007770F6" w:rsidRPr="00843DD6">
              <w:t>will develop a Civil Society Stakeholder Plan</w:t>
            </w:r>
            <w:r w:rsidR="00E55E25" w:rsidRPr="00843DD6">
              <w:t xml:space="preserve"> (CSS</w:t>
            </w:r>
            <w:r w:rsidR="00A07078" w:rsidRPr="00843DD6">
              <w:t>P</w:t>
            </w:r>
            <w:r w:rsidR="00E55E25" w:rsidRPr="00843DD6">
              <w:t>)</w:t>
            </w:r>
            <w:r w:rsidR="00AF211E" w:rsidRPr="00843DD6">
              <w:t xml:space="preserve"> to activate engagement with civic society </w:t>
            </w:r>
            <w:proofErr w:type="gramStart"/>
            <w:r w:rsidR="00AF211E" w:rsidRPr="00843DD6">
              <w:t>organisations .</w:t>
            </w:r>
            <w:proofErr w:type="gramEnd"/>
            <w:r w:rsidR="00AF211E" w:rsidRPr="00843DD6">
              <w:t xml:space="preserve"> The plan needs to be </w:t>
            </w:r>
            <w:r w:rsidR="00364192" w:rsidRPr="00843DD6">
              <w:t xml:space="preserve">aligned </w:t>
            </w:r>
            <w:r w:rsidR="00F1460F" w:rsidRPr="00843DD6">
              <w:t>with Stakeholder</w:t>
            </w:r>
            <w:r w:rsidR="00D50E1A" w:rsidRPr="00843DD6">
              <w:t xml:space="preserve"> </w:t>
            </w:r>
            <w:r w:rsidR="003D12D0" w:rsidRPr="00843DD6">
              <w:t>Gender and Inclusion Plan</w:t>
            </w:r>
            <w:r w:rsidR="00F51C63" w:rsidRPr="00843DD6">
              <w:t xml:space="preserve"> </w:t>
            </w:r>
            <w:r w:rsidR="00364192" w:rsidRPr="00843DD6">
              <w:t>(R</w:t>
            </w:r>
            <w:r w:rsidR="00F51C63" w:rsidRPr="00843DD6">
              <w:t>V</w:t>
            </w:r>
            <w:r w:rsidR="00364192" w:rsidRPr="00843DD6">
              <w:t>2)</w:t>
            </w:r>
            <w:r w:rsidR="00AF211E" w:rsidRPr="00843DD6">
              <w:t xml:space="preserve"> to </w:t>
            </w:r>
            <w:r w:rsidR="00F1460F" w:rsidRPr="00843DD6">
              <w:t>ensure inclusive</w:t>
            </w:r>
            <w:r w:rsidR="00607EDC" w:rsidRPr="00843DD6">
              <w:t xml:space="preserve"> </w:t>
            </w:r>
            <w:r w:rsidR="00FE30E2" w:rsidRPr="00843DD6">
              <w:t>engagement</w:t>
            </w:r>
            <w:r w:rsidR="00607EDC" w:rsidRPr="00843DD6">
              <w:t xml:space="preserve"> </w:t>
            </w:r>
            <w:r w:rsidR="007624AC" w:rsidRPr="00843DD6">
              <w:t xml:space="preserve">and collaboration </w:t>
            </w:r>
            <w:r w:rsidR="00607EDC" w:rsidRPr="00843DD6">
              <w:t>of the two</w:t>
            </w:r>
            <w:r w:rsidR="00DF29CE" w:rsidRPr="00843DD6">
              <w:t xml:space="preserve"> civil society </w:t>
            </w:r>
            <w:r w:rsidR="007624AC" w:rsidRPr="00843DD6">
              <w:t>stream</w:t>
            </w:r>
            <w:r w:rsidR="00364192" w:rsidRPr="00843DD6">
              <w:t>s</w:t>
            </w:r>
            <w:r w:rsidR="00AF211E" w:rsidRPr="00843DD6">
              <w:t xml:space="preserve"> for empowerment and active </w:t>
            </w:r>
            <w:r w:rsidR="005663CC" w:rsidRPr="00843DD6">
              <w:t xml:space="preserve">interaction </w:t>
            </w:r>
            <w:r w:rsidR="007F710E" w:rsidRPr="00843DD6">
              <w:t xml:space="preserve">and collaboration </w:t>
            </w:r>
            <w:r w:rsidR="00AF211E" w:rsidRPr="00843DD6">
              <w:t xml:space="preserve">with </w:t>
            </w:r>
            <w:r w:rsidR="005663CC" w:rsidRPr="00843DD6">
              <w:t>industry and government</w:t>
            </w:r>
            <w:r w:rsidR="00934E98" w:rsidRPr="00843DD6">
              <w:t xml:space="preserve">.  </w:t>
            </w:r>
          </w:p>
          <w:p w14:paraId="04132654" w14:textId="4E5B5E78" w:rsidR="0022371D" w:rsidRPr="00843DD6" w:rsidRDefault="006C59EB" w:rsidP="00F1460F">
            <w:pPr>
              <w:pStyle w:val="ListParagraph"/>
              <w:numPr>
                <w:ilvl w:val="0"/>
                <w:numId w:val="42"/>
              </w:numPr>
              <w:suppressAutoHyphens w:val="0"/>
              <w:spacing w:before="0" w:after="160" w:line="256" w:lineRule="auto"/>
            </w:pPr>
            <w:r w:rsidRPr="00843DD6">
              <w:t>AMEP</w:t>
            </w:r>
            <w:r w:rsidR="00F1460F" w:rsidRPr="00843DD6">
              <w:t xml:space="preserve"> </w:t>
            </w:r>
            <w:r w:rsidRPr="00843DD6">
              <w:t>II t</w:t>
            </w:r>
            <w:r w:rsidR="00934E98" w:rsidRPr="00843DD6">
              <w:t>h</w:t>
            </w:r>
            <w:r w:rsidR="00324880" w:rsidRPr="00843DD6">
              <w:t xml:space="preserve">rough </w:t>
            </w:r>
            <w:r w:rsidRPr="00843DD6">
              <w:t>its</w:t>
            </w:r>
            <w:r w:rsidR="00F809E9" w:rsidRPr="00843DD6">
              <w:t xml:space="preserve"> </w:t>
            </w:r>
            <w:r w:rsidR="00324880" w:rsidRPr="00843DD6">
              <w:t xml:space="preserve">current and ongoing consultations with CSOs, </w:t>
            </w:r>
            <w:r w:rsidR="00EE700B" w:rsidRPr="00843DD6">
              <w:t xml:space="preserve">will use </w:t>
            </w:r>
            <w:r w:rsidR="009B7370" w:rsidRPr="00843DD6">
              <w:t>th</w:t>
            </w:r>
            <w:r w:rsidR="00842F96" w:rsidRPr="00843DD6">
              <w:t>e</w:t>
            </w:r>
            <w:r w:rsidR="009B7370" w:rsidRPr="00843DD6">
              <w:t xml:space="preserve"> </w:t>
            </w:r>
            <w:r w:rsidR="00E55E25" w:rsidRPr="00843DD6">
              <w:t xml:space="preserve">CSSP </w:t>
            </w:r>
            <w:r w:rsidR="00EE700B" w:rsidRPr="00843DD6">
              <w:t>with the objective of</w:t>
            </w:r>
            <w:r w:rsidR="008A2CEB" w:rsidRPr="00843DD6">
              <w:t xml:space="preserve"> engag</w:t>
            </w:r>
            <w:r w:rsidR="00EE700B" w:rsidRPr="00843DD6">
              <w:t>ing</w:t>
            </w:r>
            <w:r w:rsidR="008A2CEB" w:rsidRPr="00843DD6">
              <w:t xml:space="preserve"> each group </w:t>
            </w:r>
            <w:r w:rsidR="00373F47" w:rsidRPr="00843DD6">
              <w:t xml:space="preserve">in meaningful </w:t>
            </w:r>
            <w:r w:rsidR="00937859" w:rsidRPr="00843DD6">
              <w:t>dialogue</w:t>
            </w:r>
            <w:r w:rsidR="00D75690" w:rsidRPr="00843DD6">
              <w:t xml:space="preserve">, </w:t>
            </w:r>
            <w:r w:rsidR="00BF594A" w:rsidRPr="00843DD6">
              <w:t xml:space="preserve">leading to </w:t>
            </w:r>
            <w:r w:rsidR="00DB566E" w:rsidRPr="00843DD6">
              <w:t xml:space="preserve">the development of </w:t>
            </w:r>
            <w:r w:rsidR="00717979" w:rsidRPr="00843DD6">
              <w:t xml:space="preserve">a key CSO focused </w:t>
            </w:r>
            <w:r w:rsidR="00D75690" w:rsidRPr="00843DD6">
              <w:t>activit</w:t>
            </w:r>
            <w:r w:rsidR="00717979" w:rsidRPr="00843DD6">
              <w:t>y</w:t>
            </w:r>
            <w:r w:rsidR="00D75690" w:rsidRPr="00843DD6">
              <w:t xml:space="preserve"> </w:t>
            </w:r>
            <w:r w:rsidR="00717979" w:rsidRPr="00843DD6">
              <w:t xml:space="preserve">to be included in the </w:t>
            </w:r>
            <w:r w:rsidR="00DB566E" w:rsidRPr="00843DD6">
              <w:t>AMEP</w:t>
            </w:r>
            <w:r w:rsidR="008357C9" w:rsidRPr="00843DD6">
              <w:t>II</w:t>
            </w:r>
            <w:r w:rsidR="00DB566E" w:rsidRPr="00843DD6">
              <w:t xml:space="preserve"> Annual Workplan</w:t>
            </w:r>
            <w:r w:rsidR="00281295" w:rsidRPr="00843DD6">
              <w:t xml:space="preserve"> 2023-20</w:t>
            </w:r>
            <w:r w:rsidR="000D0236" w:rsidRPr="00843DD6">
              <w:t>24</w:t>
            </w:r>
            <w:r w:rsidR="000D3BDB" w:rsidRPr="00843DD6">
              <w:t>.</w:t>
            </w:r>
          </w:p>
          <w:p w14:paraId="65E09BEB" w14:textId="463CB908" w:rsidR="00075088" w:rsidRPr="00843DD6" w:rsidRDefault="00934E98" w:rsidP="00EF5A2C">
            <w:pPr>
              <w:jc w:val="both"/>
            </w:pPr>
            <w:r w:rsidRPr="00843DD6">
              <w:t xml:space="preserve"> </w:t>
            </w:r>
          </w:p>
          <w:p w14:paraId="636E8AD4" w14:textId="5CC5B1AA" w:rsidR="00EF5A2C" w:rsidRPr="00843DD6" w:rsidRDefault="00EF5A2C" w:rsidP="00462CF8">
            <w:pPr>
              <w:jc w:val="both"/>
            </w:pPr>
          </w:p>
        </w:tc>
        <w:tc>
          <w:tcPr>
            <w:tcW w:w="2264" w:type="dxa"/>
          </w:tcPr>
          <w:p w14:paraId="22D0C474" w14:textId="4C447266" w:rsidR="00BF53C1" w:rsidRPr="00843DD6" w:rsidRDefault="00AA1A5C" w:rsidP="0012541D">
            <w:pPr>
              <w:spacing w:line="240" w:lineRule="auto"/>
              <w:rPr>
                <w:rFonts w:cstheme="minorHAnsi"/>
                <w:iCs/>
                <w:sz w:val="20"/>
                <w:szCs w:val="20"/>
              </w:rPr>
            </w:pPr>
            <w:r w:rsidRPr="00843DD6">
              <w:rPr>
                <w:rFonts w:cstheme="minorHAnsi"/>
                <w:b/>
                <w:bCs/>
                <w:iCs/>
                <w:sz w:val="20"/>
                <w:szCs w:val="20"/>
              </w:rPr>
              <w:t>Underway</w:t>
            </w:r>
            <w:r w:rsidR="00A00A41" w:rsidRPr="00843DD6">
              <w:rPr>
                <w:rFonts w:cstheme="minorHAnsi"/>
                <w:iCs/>
                <w:sz w:val="20"/>
                <w:szCs w:val="20"/>
              </w:rPr>
              <w:t xml:space="preserve"> in the</w:t>
            </w:r>
            <w:r w:rsidR="00AF211E" w:rsidRPr="00843DD6">
              <w:rPr>
                <w:rFonts w:cstheme="minorHAnsi"/>
                <w:iCs/>
                <w:sz w:val="20"/>
                <w:szCs w:val="20"/>
              </w:rPr>
              <w:t xml:space="preserve"> remaining period of the program </w:t>
            </w:r>
            <w:r w:rsidR="00BF53C1" w:rsidRPr="00843DD6">
              <w:rPr>
                <w:rFonts w:cstheme="minorHAnsi"/>
                <w:iCs/>
                <w:sz w:val="20"/>
                <w:szCs w:val="20"/>
              </w:rPr>
              <w:t xml:space="preserve">AMEP II will </w:t>
            </w:r>
            <w:r w:rsidR="00254ADF" w:rsidRPr="00843DD6">
              <w:rPr>
                <w:rFonts w:cstheme="minorHAnsi"/>
                <w:iCs/>
                <w:sz w:val="20"/>
                <w:szCs w:val="20"/>
              </w:rPr>
              <w:t>design and implement a CSO Stakeholder Consultation Plan</w:t>
            </w:r>
            <w:r w:rsidR="00AF211E" w:rsidRPr="00843DD6">
              <w:rPr>
                <w:rFonts w:cstheme="minorHAnsi"/>
                <w:iCs/>
                <w:sz w:val="20"/>
                <w:szCs w:val="20"/>
              </w:rPr>
              <w:t xml:space="preserve"> as an integral part of </w:t>
            </w:r>
            <w:r w:rsidR="005E6AE7" w:rsidRPr="00843DD6">
              <w:rPr>
                <w:rFonts w:cstheme="minorHAnsi"/>
                <w:iCs/>
                <w:sz w:val="20"/>
                <w:szCs w:val="20"/>
              </w:rPr>
              <w:t>AMEP 2 Annual Workplan</w:t>
            </w:r>
          </w:p>
        </w:tc>
      </w:tr>
      <w:tr w:rsidR="00F334AD" w:rsidRPr="00CA7BEF" w14:paraId="79CE82D2" w14:textId="77777777" w:rsidTr="00AA1A5C">
        <w:tc>
          <w:tcPr>
            <w:tcW w:w="4440" w:type="dxa"/>
          </w:tcPr>
          <w:p w14:paraId="645F2161" w14:textId="70594EE5" w:rsidR="003948A6" w:rsidRDefault="003948A6" w:rsidP="003948A6">
            <w:pPr>
              <w:pStyle w:val="Default"/>
              <w:spacing w:line="276" w:lineRule="auto"/>
              <w:rPr>
                <w:rFonts w:asciiTheme="minorHAnsi" w:hAnsiTheme="minorHAnsi" w:cstheme="minorHAnsi"/>
                <w:b/>
                <w:bCs/>
                <w:sz w:val="22"/>
                <w:szCs w:val="22"/>
                <w:lang w:val="en-GB"/>
              </w:rPr>
            </w:pPr>
            <w:r>
              <w:rPr>
                <w:rFonts w:asciiTheme="minorHAnsi" w:hAnsiTheme="minorHAnsi" w:cstheme="minorHAnsi"/>
                <w:b/>
                <w:bCs/>
                <w:sz w:val="22"/>
                <w:szCs w:val="22"/>
                <w:lang w:val="en-GB"/>
              </w:rPr>
              <w:lastRenderedPageBreak/>
              <w:t>Improved Transparency</w:t>
            </w:r>
            <w:r w:rsidR="001C1941">
              <w:rPr>
                <w:rFonts w:asciiTheme="minorHAnsi" w:hAnsiTheme="minorHAnsi" w:cstheme="minorHAnsi"/>
                <w:b/>
                <w:bCs/>
                <w:sz w:val="22"/>
                <w:szCs w:val="22"/>
                <w:lang w:val="en-GB"/>
              </w:rPr>
              <w:t>/Access</w:t>
            </w:r>
            <w:r>
              <w:rPr>
                <w:rFonts w:asciiTheme="minorHAnsi" w:hAnsiTheme="minorHAnsi" w:cstheme="minorHAnsi"/>
                <w:b/>
                <w:bCs/>
                <w:sz w:val="22"/>
                <w:szCs w:val="22"/>
                <w:lang w:val="en-GB"/>
              </w:rPr>
              <w:t>:</w:t>
            </w:r>
          </w:p>
          <w:p w14:paraId="14EFC364" w14:textId="52DF8787" w:rsidR="003948A6" w:rsidRDefault="003948A6" w:rsidP="003948A6">
            <w:pPr>
              <w:pStyle w:val="Default"/>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AMEP II needs to be transparent about the CfP process (</w:t>
            </w:r>
            <w:proofErr w:type="gramStart"/>
            <w:r>
              <w:rPr>
                <w:rFonts w:asciiTheme="minorHAnsi" w:hAnsiTheme="minorHAnsi" w:cstheme="minorHAnsi"/>
                <w:sz w:val="22"/>
                <w:szCs w:val="22"/>
                <w:lang w:val="en-GB"/>
              </w:rPr>
              <w:t>i.e.</w:t>
            </w:r>
            <w:proofErr w:type="gramEnd"/>
            <w:r>
              <w:rPr>
                <w:rFonts w:asciiTheme="minorHAnsi" w:hAnsiTheme="minorHAnsi" w:cstheme="minorHAnsi"/>
                <w:sz w:val="22"/>
                <w:szCs w:val="22"/>
                <w:lang w:val="en-GB"/>
              </w:rPr>
              <w:t xml:space="preserve"> be clear about the selection process, ensure selection is an inclusive process drawing on a wide range of all stakeholders, and provide follow-up information to applicants, especially those whose proposals were rejected). A regular follow-up on the selection process for all stakeholders including applicants would ensure transparency and build further trust with stakeholders. By demonstrating it is accountable the program will also address CSO concerns about a perceived lack of transparency. To enhance its role in the sector AMEP II should continue to ensure that decisions made (especially those related to project selection) are transparent, and that it communicates its decision making clearly to stakeholders. The program should consider including independent members of the Advisory Committee, and representation from MMHI and CSOs, in the selection process. This will further enhance transparency and trust-building with different stakeholder groups.</w:t>
            </w:r>
          </w:p>
          <w:p w14:paraId="76E27961" w14:textId="77777777" w:rsidR="00F334AD" w:rsidRDefault="00F334AD" w:rsidP="00A4174E">
            <w:pPr>
              <w:pStyle w:val="Default"/>
              <w:spacing w:line="276" w:lineRule="auto"/>
              <w:rPr>
                <w:rFonts w:asciiTheme="minorHAnsi" w:hAnsiTheme="minorHAnsi" w:cstheme="minorHAnsi"/>
                <w:b/>
                <w:bCs/>
                <w:sz w:val="22"/>
                <w:szCs w:val="22"/>
                <w:lang w:val="en-GB"/>
              </w:rPr>
            </w:pPr>
          </w:p>
        </w:tc>
        <w:tc>
          <w:tcPr>
            <w:tcW w:w="1012" w:type="dxa"/>
            <w:shd w:val="clear" w:color="auto" w:fill="92D050"/>
          </w:tcPr>
          <w:p w14:paraId="6957718D" w14:textId="09CA511D" w:rsidR="00F334AD" w:rsidRPr="00CA7BEF" w:rsidRDefault="000F47F8" w:rsidP="009B60D3">
            <w:pPr>
              <w:spacing w:line="240" w:lineRule="auto"/>
              <w:rPr>
                <w:rFonts w:cstheme="minorHAnsi"/>
                <w:iCs/>
                <w:color w:val="auto"/>
                <w:sz w:val="20"/>
                <w:szCs w:val="20"/>
              </w:rPr>
            </w:pPr>
            <w:r>
              <w:rPr>
                <w:rFonts w:cstheme="minorHAnsi"/>
                <w:iCs/>
                <w:color w:val="auto"/>
                <w:sz w:val="20"/>
                <w:szCs w:val="20"/>
              </w:rPr>
              <w:t>Agree</w:t>
            </w:r>
          </w:p>
        </w:tc>
        <w:tc>
          <w:tcPr>
            <w:tcW w:w="7932" w:type="dxa"/>
          </w:tcPr>
          <w:p w14:paraId="321EB54C" w14:textId="77777777" w:rsidR="0038227E" w:rsidRPr="00843DD6" w:rsidRDefault="0038227E" w:rsidP="000F47F8">
            <w:pPr>
              <w:pStyle w:val="ListParagraph"/>
              <w:numPr>
                <w:ilvl w:val="0"/>
                <w:numId w:val="42"/>
              </w:numPr>
              <w:suppressAutoHyphens w:val="0"/>
              <w:spacing w:before="0" w:after="160" w:line="256" w:lineRule="auto"/>
              <w:rPr>
                <w:lang w:val="en-AU"/>
              </w:rPr>
            </w:pPr>
            <w:r w:rsidRPr="00843DD6">
              <w:t xml:space="preserve">To ensure greater transparency, AMEP II should inform and consult with representatives of government, industries and CSOs as relevant when selecting and prioritising calls for proposals. </w:t>
            </w:r>
          </w:p>
          <w:p w14:paraId="2E209411" w14:textId="49D3EE3F" w:rsidR="000F47F8" w:rsidRPr="00843DD6" w:rsidRDefault="000F47F8" w:rsidP="000F47F8">
            <w:pPr>
              <w:pStyle w:val="ListParagraph"/>
              <w:numPr>
                <w:ilvl w:val="0"/>
                <w:numId w:val="42"/>
              </w:numPr>
              <w:suppressAutoHyphens w:val="0"/>
              <w:spacing w:before="0" w:after="160" w:line="256" w:lineRule="auto"/>
              <w:rPr>
                <w:lang w:val="en-AU"/>
              </w:rPr>
            </w:pPr>
            <w:r w:rsidRPr="00843DD6">
              <w:t xml:space="preserve">Post will seek, from AMEP II, a strengthening of the preliminary meeting including advice on who AMEP has consulted and what was the basis for selection of activities as part of the submission of the draft annual plan. </w:t>
            </w:r>
          </w:p>
          <w:p w14:paraId="6267D448" w14:textId="77CDC68E" w:rsidR="00F1460F" w:rsidRPr="00843DD6" w:rsidRDefault="00843DD6" w:rsidP="000F47F8">
            <w:pPr>
              <w:pStyle w:val="ListParagraph"/>
              <w:numPr>
                <w:ilvl w:val="0"/>
                <w:numId w:val="42"/>
              </w:numPr>
              <w:suppressAutoHyphens w:val="0"/>
              <w:spacing w:before="0" w:after="160" w:line="256" w:lineRule="auto"/>
              <w:rPr>
                <w:lang w:val="en-AU"/>
              </w:rPr>
            </w:pPr>
            <w:r w:rsidRPr="00843DD6">
              <w:t>AMEP II will review the need fort a formal call for proposal given the remaining time and need to focus on finalising the remainder of the program.</w:t>
            </w:r>
          </w:p>
          <w:p w14:paraId="1310041A" w14:textId="699C8AA9" w:rsidR="00915542" w:rsidRPr="00843DD6" w:rsidRDefault="00961501" w:rsidP="00843DD6">
            <w:pPr>
              <w:pStyle w:val="ListParagraph"/>
              <w:numPr>
                <w:ilvl w:val="0"/>
                <w:numId w:val="42"/>
              </w:numPr>
              <w:suppressAutoHyphens w:val="0"/>
              <w:spacing w:before="0" w:after="160" w:line="256" w:lineRule="auto"/>
              <w:jc w:val="both"/>
            </w:pPr>
            <w:r w:rsidRPr="00843DD6">
              <w:t>AMEP</w:t>
            </w:r>
            <w:r w:rsidR="00F1460F" w:rsidRPr="00843DD6">
              <w:t xml:space="preserve"> </w:t>
            </w:r>
            <w:r w:rsidRPr="00843DD6">
              <w:t xml:space="preserve">II </w:t>
            </w:r>
            <w:r w:rsidR="00144F86" w:rsidRPr="00843DD6">
              <w:t xml:space="preserve">will </w:t>
            </w:r>
            <w:r w:rsidRPr="00843DD6">
              <w:t xml:space="preserve">undertake a </w:t>
            </w:r>
            <w:r w:rsidR="00144F86" w:rsidRPr="00843DD6">
              <w:t>review and follow-up on past and current activities</w:t>
            </w:r>
            <w:r w:rsidR="00F1460F" w:rsidRPr="00843DD6">
              <w:t xml:space="preserve"> with a view to better</w:t>
            </w:r>
            <w:r w:rsidR="00843DD6" w:rsidRPr="00843DD6">
              <w:t xml:space="preserve"> highlighting the impacts of the program and improving the overall transparency and access especially for CSOs</w:t>
            </w:r>
            <w:r w:rsidR="00E1637B" w:rsidRPr="00843DD6">
              <w:t xml:space="preserve">.  </w:t>
            </w:r>
            <w:r w:rsidR="00843DD6" w:rsidRPr="00843DD6">
              <w:t>This may be through the</w:t>
            </w:r>
            <w:r w:rsidR="00144F86" w:rsidRPr="00843DD6">
              <w:t xml:space="preserve"> continuation of </w:t>
            </w:r>
            <w:r w:rsidR="004B21AA" w:rsidRPr="00843DD6">
              <w:t xml:space="preserve">its’ current </w:t>
            </w:r>
            <w:r w:rsidR="00144F86" w:rsidRPr="00843DD6">
              <w:t xml:space="preserve">“grassroots” community level </w:t>
            </w:r>
            <w:r w:rsidR="00E1637B" w:rsidRPr="00843DD6">
              <w:t>pilots</w:t>
            </w:r>
            <w:r w:rsidR="004B21AA" w:rsidRPr="00843DD6">
              <w:t>,</w:t>
            </w:r>
            <w:r w:rsidR="00E1637B" w:rsidRPr="00843DD6">
              <w:t xml:space="preserve"> with increased </w:t>
            </w:r>
            <w:r w:rsidR="00941279" w:rsidRPr="00843DD6">
              <w:t xml:space="preserve">levels of </w:t>
            </w:r>
            <w:r w:rsidR="00144F86" w:rsidRPr="00843DD6">
              <w:t>civil society and citizen</w:t>
            </w:r>
            <w:r w:rsidR="00E1637B" w:rsidRPr="00843DD6">
              <w:t xml:space="preserve"> </w:t>
            </w:r>
            <w:r w:rsidR="003F56DB" w:rsidRPr="00843DD6">
              <w:t>participation</w:t>
            </w:r>
            <w:r w:rsidR="00144F86" w:rsidRPr="00843DD6">
              <w:t xml:space="preserve">.  </w:t>
            </w:r>
          </w:p>
          <w:p w14:paraId="2FB2CFDC" w14:textId="77777777" w:rsidR="00915542" w:rsidRPr="00843DD6" w:rsidRDefault="00915542" w:rsidP="007C44E3">
            <w:pPr>
              <w:jc w:val="both"/>
            </w:pPr>
          </w:p>
          <w:p w14:paraId="5F5058E4" w14:textId="2F7B4A31" w:rsidR="000B0007" w:rsidRPr="00843DD6" w:rsidRDefault="00593522" w:rsidP="003F56DB">
            <w:pPr>
              <w:jc w:val="both"/>
            </w:pPr>
            <w:r w:rsidRPr="00843DD6">
              <w:t xml:space="preserve"> </w:t>
            </w:r>
          </w:p>
          <w:p w14:paraId="4DDA07D7" w14:textId="77777777" w:rsidR="00AF782F" w:rsidRPr="00843DD6" w:rsidRDefault="00AF782F" w:rsidP="007C44E3">
            <w:pPr>
              <w:jc w:val="both"/>
            </w:pPr>
          </w:p>
          <w:p w14:paraId="7EB53BF3" w14:textId="77777777" w:rsidR="00AF782F" w:rsidRPr="00843DD6" w:rsidRDefault="00AF782F" w:rsidP="007C44E3">
            <w:pPr>
              <w:jc w:val="both"/>
            </w:pPr>
          </w:p>
          <w:p w14:paraId="5AAC1D0A" w14:textId="3A80B128" w:rsidR="00F334AD" w:rsidRPr="00843DD6" w:rsidRDefault="00F334AD" w:rsidP="00522250">
            <w:pPr>
              <w:jc w:val="both"/>
            </w:pPr>
          </w:p>
        </w:tc>
        <w:tc>
          <w:tcPr>
            <w:tcW w:w="2264" w:type="dxa"/>
          </w:tcPr>
          <w:p w14:paraId="092A9C12" w14:textId="02860D3E" w:rsidR="008357C9" w:rsidRPr="00843DD6" w:rsidRDefault="0012541D" w:rsidP="009B60D3">
            <w:pPr>
              <w:spacing w:line="240" w:lineRule="auto"/>
              <w:rPr>
                <w:rFonts w:cstheme="minorHAnsi"/>
                <w:iCs/>
                <w:sz w:val="20"/>
                <w:szCs w:val="20"/>
              </w:rPr>
            </w:pPr>
            <w:r>
              <w:rPr>
                <w:rFonts w:cstheme="minorHAnsi"/>
                <w:iCs/>
                <w:sz w:val="20"/>
                <w:szCs w:val="20"/>
              </w:rPr>
              <w:t xml:space="preserve">In the next </w:t>
            </w:r>
            <w:r w:rsidRPr="0012541D">
              <w:rPr>
                <w:rFonts w:cstheme="minorHAnsi"/>
                <w:b/>
                <w:bCs/>
                <w:iCs/>
                <w:sz w:val="20"/>
                <w:szCs w:val="20"/>
              </w:rPr>
              <w:t>three months</w:t>
            </w:r>
            <w:r>
              <w:rPr>
                <w:rFonts w:cstheme="minorHAnsi"/>
                <w:b/>
                <w:bCs/>
                <w:iCs/>
                <w:sz w:val="20"/>
                <w:szCs w:val="20"/>
              </w:rPr>
              <w:t xml:space="preserve"> </w:t>
            </w:r>
            <w:r w:rsidRPr="00843DD6">
              <w:rPr>
                <w:rFonts w:cstheme="minorHAnsi"/>
                <w:iCs/>
                <w:sz w:val="20"/>
                <w:szCs w:val="20"/>
              </w:rPr>
              <w:t>by May 2023</w:t>
            </w:r>
            <w:r>
              <w:rPr>
                <w:rFonts w:cstheme="minorHAnsi"/>
                <w:iCs/>
                <w:sz w:val="20"/>
                <w:szCs w:val="20"/>
              </w:rPr>
              <w:t xml:space="preserve"> </w:t>
            </w:r>
            <w:r w:rsidR="008357C9" w:rsidRPr="00843DD6">
              <w:rPr>
                <w:rFonts w:cstheme="minorHAnsi"/>
                <w:iCs/>
                <w:sz w:val="20"/>
                <w:szCs w:val="20"/>
              </w:rPr>
              <w:t>AMEP II</w:t>
            </w:r>
            <w:r w:rsidR="00630DC6" w:rsidRPr="00843DD6">
              <w:rPr>
                <w:rFonts w:cstheme="minorHAnsi"/>
                <w:iCs/>
                <w:sz w:val="20"/>
                <w:szCs w:val="20"/>
              </w:rPr>
              <w:t xml:space="preserve"> will provide a Civil Society Stakeholder Plan (CSSP), that will </w:t>
            </w:r>
            <w:r>
              <w:rPr>
                <w:rFonts w:cstheme="minorHAnsi"/>
                <w:iCs/>
                <w:sz w:val="20"/>
                <w:szCs w:val="20"/>
              </w:rPr>
              <w:t>ensure</w:t>
            </w:r>
            <w:r w:rsidR="00C62317" w:rsidRPr="00843DD6">
              <w:rPr>
                <w:rFonts w:cstheme="minorHAnsi"/>
                <w:iCs/>
                <w:sz w:val="20"/>
                <w:szCs w:val="20"/>
              </w:rPr>
              <w:t xml:space="preserve"> greater </w:t>
            </w:r>
            <w:r w:rsidR="00630DC6" w:rsidRPr="00843DD6">
              <w:rPr>
                <w:rFonts w:cstheme="minorHAnsi"/>
                <w:iCs/>
                <w:sz w:val="20"/>
                <w:szCs w:val="20"/>
              </w:rPr>
              <w:t xml:space="preserve">CSO </w:t>
            </w:r>
            <w:r w:rsidR="00307B9B" w:rsidRPr="00843DD6">
              <w:rPr>
                <w:rFonts w:cstheme="minorHAnsi"/>
                <w:iCs/>
                <w:sz w:val="20"/>
                <w:szCs w:val="20"/>
              </w:rPr>
              <w:t>participation in</w:t>
            </w:r>
            <w:r w:rsidR="00630DC6" w:rsidRPr="00843DD6">
              <w:rPr>
                <w:rFonts w:cstheme="minorHAnsi"/>
                <w:iCs/>
                <w:sz w:val="20"/>
                <w:szCs w:val="20"/>
              </w:rPr>
              <w:t xml:space="preserve"> </w:t>
            </w:r>
            <w:r w:rsidR="00C62317" w:rsidRPr="00843DD6">
              <w:rPr>
                <w:rFonts w:cstheme="minorHAnsi"/>
                <w:iCs/>
                <w:sz w:val="20"/>
                <w:szCs w:val="20"/>
              </w:rPr>
              <w:t>the Annual Workplan for 2023-2024.</w:t>
            </w:r>
          </w:p>
          <w:p w14:paraId="5E370B6B" w14:textId="00BDFA37" w:rsidR="00307B9B" w:rsidRPr="00843DD6" w:rsidRDefault="00307B9B" w:rsidP="009B60D3">
            <w:pPr>
              <w:spacing w:line="240" w:lineRule="auto"/>
              <w:rPr>
                <w:rFonts w:cstheme="minorHAnsi"/>
                <w:iCs/>
                <w:sz w:val="20"/>
                <w:szCs w:val="20"/>
              </w:rPr>
            </w:pPr>
          </w:p>
          <w:p w14:paraId="1334CA81" w14:textId="06A2C122" w:rsidR="00307B9B" w:rsidRPr="00843DD6" w:rsidRDefault="00307B9B" w:rsidP="009B60D3">
            <w:pPr>
              <w:spacing w:line="240" w:lineRule="auto"/>
              <w:rPr>
                <w:rFonts w:cstheme="minorHAnsi"/>
                <w:iCs/>
                <w:sz w:val="20"/>
                <w:szCs w:val="20"/>
              </w:rPr>
            </w:pPr>
            <w:r w:rsidRPr="00843DD6">
              <w:rPr>
                <w:rFonts w:cstheme="minorHAnsi"/>
                <w:iCs/>
                <w:sz w:val="20"/>
                <w:szCs w:val="20"/>
              </w:rPr>
              <w:t>CSOs will design, manage</w:t>
            </w:r>
            <w:r w:rsidR="004348DC" w:rsidRPr="00843DD6">
              <w:rPr>
                <w:rFonts w:cstheme="minorHAnsi"/>
                <w:iCs/>
                <w:sz w:val="20"/>
                <w:szCs w:val="20"/>
              </w:rPr>
              <w:t xml:space="preserve">, </w:t>
            </w:r>
            <w:r w:rsidRPr="00843DD6">
              <w:rPr>
                <w:rFonts w:cstheme="minorHAnsi"/>
                <w:iCs/>
                <w:sz w:val="20"/>
                <w:szCs w:val="20"/>
              </w:rPr>
              <w:t>and implement a CSO focused activity to be included in the Annual Workplan for 2023-2024</w:t>
            </w:r>
          </w:p>
          <w:p w14:paraId="17E2FB47" w14:textId="2EE4C1F6" w:rsidR="001C1941" w:rsidRPr="00843DD6" w:rsidRDefault="001C1941" w:rsidP="009B60D3">
            <w:pPr>
              <w:spacing w:line="240" w:lineRule="auto"/>
              <w:rPr>
                <w:rFonts w:cstheme="minorHAnsi"/>
                <w:iCs/>
                <w:sz w:val="20"/>
                <w:szCs w:val="20"/>
              </w:rPr>
            </w:pPr>
          </w:p>
        </w:tc>
      </w:tr>
      <w:tr w:rsidR="00BC48B8" w:rsidRPr="00CA7BEF" w14:paraId="37617AB3" w14:textId="77777777" w:rsidTr="00AA1A5C">
        <w:tc>
          <w:tcPr>
            <w:tcW w:w="4440" w:type="dxa"/>
          </w:tcPr>
          <w:p w14:paraId="49B8BE80" w14:textId="77777777" w:rsidR="00BC48B8" w:rsidRDefault="00BC48B8" w:rsidP="003948A6">
            <w:pPr>
              <w:pStyle w:val="Default"/>
              <w:spacing w:line="276" w:lineRule="auto"/>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Improved Monitoring Framework </w:t>
            </w:r>
          </w:p>
          <w:p w14:paraId="447D93CE" w14:textId="4F710559" w:rsidR="00183142" w:rsidRDefault="00183142" w:rsidP="003948A6">
            <w:pPr>
              <w:pStyle w:val="Default"/>
              <w:spacing w:line="276" w:lineRule="auto"/>
              <w:rPr>
                <w:rFonts w:asciiTheme="minorHAnsi" w:hAnsiTheme="minorHAnsi" w:cstheme="minorHAnsi"/>
                <w:b/>
                <w:bCs/>
                <w:sz w:val="22"/>
                <w:szCs w:val="22"/>
                <w:lang w:val="en-GB"/>
              </w:rPr>
            </w:pPr>
            <w:r w:rsidRPr="00B677B4">
              <w:rPr>
                <w:rFonts w:asciiTheme="minorHAnsi" w:hAnsiTheme="minorHAnsi" w:cstheme="minorHAnsi"/>
                <w:sz w:val="22"/>
                <w:szCs w:val="22"/>
                <w:lang w:val="en-GB"/>
              </w:rPr>
              <w:t xml:space="preserve">Need for the updated ToC/ Logic Model to be revised in line with what has already been </w:t>
            </w:r>
            <w:r w:rsidRPr="00B677B4">
              <w:rPr>
                <w:rFonts w:asciiTheme="minorHAnsi" w:hAnsiTheme="minorHAnsi" w:cstheme="minorHAnsi"/>
                <w:sz w:val="22"/>
                <w:szCs w:val="22"/>
                <w:lang w:val="en-GB"/>
              </w:rPr>
              <w:lastRenderedPageBreak/>
              <w:t xml:space="preserve">spelt out in the most recent Annual Report, to ensure that it reflects that ambition of the program, and to ensure reporting is aligned with the revised logic model and </w:t>
            </w:r>
            <w:r>
              <w:rPr>
                <w:rFonts w:asciiTheme="minorHAnsi" w:hAnsiTheme="minorHAnsi" w:cstheme="minorHAnsi"/>
                <w:sz w:val="22"/>
                <w:szCs w:val="22"/>
                <w:lang w:val="en-GB"/>
              </w:rPr>
              <w:t>meets the</w:t>
            </w:r>
            <w:r w:rsidRPr="00B677B4">
              <w:rPr>
                <w:rFonts w:asciiTheme="minorHAnsi" w:hAnsiTheme="minorHAnsi" w:cstheme="minorHAnsi"/>
                <w:sz w:val="22"/>
                <w:szCs w:val="22"/>
                <w:lang w:val="en-GB"/>
              </w:rPr>
              <w:t xml:space="preserve"> reporting needs of DFAT, especially at outcome level</w:t>
            </w:r>
          </w:p>
        </w:tc>
        <w:tc>
          <w:tcPr>
            <w:tcW w:w="1012" w:type="dxa"/>
            <w:shd w:val="clear" w:color="auto" w:fill="92D050"/>
          </w:tcPr>
          <w:p w14:paraId="209C22E6" w14:textId="5CA12F0B" w:rsidR="00BC48B8" w:rsidRDefault="00183142" w:rsidP="009B60D3">
            <w:pPr>
              <w:spacing w:line="240" w:lineRule="auto"/>
              <w:rPr>
                <w:rFonts w:cstheme="minorHAnsi"/>
                <w:iCs/>
                <w:color w:val="auto"/>
                <w:sz w:val="20"/>
                <w:szCs w:val="20"/>
              </w:rPr>
            </w:pPr>
            <w:r>
              <w:rPr>
                <w:rFonts w:cstheme="minorHAnsi"/>
                <w:iCs/>
                <w:color w:val="auto"/>
                <w:sz w:val="20"/>
                <w:szCs w:val="20"/>
              </w:rPr>
              <w:lastRenderedPageBreak/>
              <w:t>Agree</w:t>
            </w:r>
          </w:p>
        </w:tc>
        <w:tc>
          <w:tcPr>
            <w:tcW w:w="7932" w:type="dxa"/>
          </w:tcPr>
          <w:p w14:paraId="40DC5C21" w14:textId="536E83AD" w:rsidR="00F464A2" w:rsidRPr="00843DD6" w:rsidRDefault="00F464A2" w:rsidP="00F464A2">
            <w:pPr>
              <w:pStyle w:val="ListParagraph"/>
              <w:numPr>
                <w:ilvl w:val="0"/>
                <w:numId w:val="42"/>
              </w:numPr>
              <w:suppressAutoHyphens w:val="0"/>
              <w:spacing w:before="0" w:after="160" w:line="256" w:lineRule="auto"/>
              <w:rPr>
                <w:lang w:val="en-AU"/>
              </w:rPr>
            </w:pPr>
            <w:r w:rsidRPr="00843DD6">
              <w:t>AMEP II should revise the Theory of Change and Logic Model and incorp</w:t>
            </w:r>
            <w:r w:rsidR="00C1480E" w:rsidRPr="00843DD6">
              <w:t>o</w:t>
            </w:r>
            <w:r w:rsidRPr="00843DD6">
              <w:t xml:space="preserve">rate these changes into the monitoring and evaluation framework to provide concrete and substantive indicators in line with the overall outcome and </w:t>
            </w:r>
            <w:r w:rsidRPr="00843DD6">
              <w:lastRenderedPageBreak/>
              <w:t xml:space="preserve">annual outcome/outputs. The indicators should use objective data and evidence assessed as accordingly with partners and implementers against the baseline indicators.  </w:t>
            </w:r>
          </w:p>
          <w:p w14:paraId="22CD7DAA" w14:textId="75A2B55D" w:rsidR="00BC48B8" w:rsidRDefault="00F464A2" w:rsidP="00F464A2">
            <w:pPr>
              <w:pStyle w:val="ListParagraph"/>
              <w:numPr>
                <w:ilvl w:val="0"/>
                <w:numId w:val="42"/>
              </w:numPr>
              <w:suppressAutoHyphens w:val="0"/>
              <w:spacing w:before="0" w:after="160" w:line="256" w:lineRule="auto"/>
            </w:pPr>
            <w:r w:rsidRPr="00843DD6">
              <w:t>The Risk Matrix needs to be updated with more substantive dat</w:t>
            </w:r>
            <w:r w:rsidR="0012541D">
              <w:t>a</w:t>
            </w:r>
            <w:r w:rsidRPr="00843DD6">
              <w:t xml:space="preserve"> rather than focusing on operational/logistics. Risks should be prioritized with ranks and rates and an explanation of the measures taken and their results</w:t>
            </w:r>
          </w:p>
          <w:p w14:paraId="7E14AE96" w14:textId="4810EC42" w:rsidR="0012541D" w:rsidRPr="00843DD6" w:rsidRDefault="0012541D" w:rsidP="00F464A2">
            <w:pPr>
              <w:pStyle w:val="ListParagraph"/>
              <w:numPr>
                <w:ilvl w:val="0"/>
                <w:numId w:val="42"/>
              </w:numPr>
              <w:suppressAutoHyphens w:val="0"/>
              <w:spacing w:before="0" w:after="160" w:line="256" w:lineRule="auto"/>
            </w:pPr>
            <w:r w:rsidRPr="0012541D">
              <w:t xml:space="preserve">AMEPII will strengthen the M&amp;E framework with the hiring of an external expert who will provide ongoing support to the national team and specifically the local M&amp;E Research Officer.  </w:t>
            </w:r>
          </w:p>
          <w:p w14:paraId="20F39BF6" w14:textId="75D6BF40" w:rsidR="00C34D0B" w:rsidRPr="00843DD6" w:rsidRDefault="00C34D0B" w:rsidP="00C34D0B">
            <w:pPr>
              <w:jc w:val="both"/>
            </w:pPr>
          </w:p>
        </w:tc>
        <w:tc>
          <w:tcPr>
            <w:tcW w:w="2264" w:type="dxa"/>
          </w:tcPr>
          <w:p w14:paraId="3CB2EE01" w14:textId="34D9B591" w:rsidR="00F464A2" w:rsidRPr="00843DD6" w:rsidRDefault="00F464A2" w:rsidP="0012541D">
            <w:pPr>
              <w:spacing w:line="240" w:lineRule="auto"/>
              <w:rPr>
                <w:rFonts w:cstheme="minorHAnsi"/>
                <w:iCs/>
                <w:sz w:val="20"/>
                <w:szCs w:val="20"/>
              </w:rPr>
            </w:pPr>
            <w:r w:rsidRPr="00843DD6">
              <w:rPr>
                <w:rFonts w:cstheme="minorHAnsi"/>
                <w:iCs/>
                <w:sz w:val="20"/>
                <w:szCs w:val="20"/>
              </w:rPr>
              <w:lastRenderedPageBreak/>
              <w:t xml:space="preserve">In the next </w:t>
            </w:r>
            <w:r w:rsidRPr="0012541D">
              <w:rPr>
                <w:rFonts w:cstheme="minorHAnsi"/>
                <w:b/>
                <w:bCs/>
                <w:iCs/>
                <w:sz w:val="20"/>
                <w:szCs w:val="20"/>
              </w:rPr>
              <w:t>three months</w:t>
            </w:r>
            <w:r w:rsidRPr="00843DD6">
              <w:rPr>
                <w:rFonts w:cstheme="minorHAnsi"/>
                <w:iCs/>
                <w:sz w:val="20"/>
                <w:szCs w:val="20"/>
              </w:rPr>
              <w:t xml:space="preserve"> by May 2023</w:t>
            </w:r>
            <w:r w:rsidR="0012541D">
              <w:rPr>
                <w:rFonts w:cstheme="minorHAnsi"/>
                <w:iCs/>
                <w:sz w:val="20"/>
                <w:szCs w:val="20"/>
              </w:rPr>
              <w:t xml:space="preserve"> AMEP II will revise the </w:t>
            </w:r>
            <w:r w:rsidRPr="00843DD6">
              <w:rPr>
                <w:rFonts w:cstheme="minorHAnsi"/>
                <w:iCs/>
                <w:sz w:val="20"/>
                <w:szCs w:val="20"/>
              </w:rPr>
              <w:t xml:space="preserve">d </w:t>
            </w:r>
            <w:r w:rsidRPr="00843DD6">
              <w:rPr>
                <w:rFonts w:cstheme="minorHAnsi"/>
                <w:iCs/>
                <w:sz w:val="20"/>
                <w:szCs w:val="20"/>
              </w:rPr>
              <w:lastRenderedPageBreak/>
              <w:t xml:space="preserve">M&amp;E </w:t>
            </w:r>
            <w:r w:rsidR="0012541D">
              <w:rPr>
                <w:rFonts w:cstheme="minorHAnsi"/>
                <w:iCs/>
                <w:sz w:val="20"/>
                <w:szCs w:val="20"/>
              </w:rPr>
              <w:t>that will</w:t>
            </w:r>
            <w:r w:rsidRPr="00843DD6">
              <w:rPr>
                <w:rFonts w:cstheme="minorHAnsi"/>
                <w:iCs/>
                <w:sz w:val="20"/>
                <w:szCs w:val="20"/>
              </w:rPr>
              <w:t xml:space="preserve"> reflect </w:t>
            </w:r>
            <w:r w:rsidR="0012541D">
              <w:rPr>
                <w:rFonts w:cstheme="minorHAnsi"/>
                <w:iCs/>
                <w:sz w:val="20"/>
                <w:szCs w:val="20"/>
              </w:rPr>
              <w:t>a</w:t>
            </w:r>
            <w:r w:rsidRPr="00843DD6">
              <w:rPr>
                <w:rFonts w:cstheme="minorHAnsi"/>
                <w:iCs/>
                <w:sz w:val="20"/>
                <w:szCs w:val="20"/>
              </w:rPr>
              <w:t>n improved quality of AMEP II reporting to Post</w:t>
            </w:r>
            <w:r w:rsidR="00C1480E" w:rsidRPr="00843DD6">
              <w:rPr>
                <w:rFonts w:cstheme="minorHAnsi"/>
                <w:iCs/>
                <w:sz w:val="20"/>
                <w:szCs w:val="20"/>
              </w:rPr>
              <w:t xml:space="preserve"> and inform whether original assumptions remain valid and </w:t>
            </w:r>
            <w:r w:rsidR="005B6074" w:rsidRPr="00843DD6">
              <w:rPr>
                <w:rFonts w:cstheme="minorHAnsi"/>
                <w:iCs/>
                <w:sz w:val="20"/>
                <w:szCs w:val="20"/>
              </w:rPr>
              <w:t>long-term</w:t>
            </w:r>
            <w:r w:rsidR="00C1480E" w:rsidRPr="00843DD6">
              <w:rPr>
                <w:rFonts w:cstheme="minorHAnsi"/>
                <w:iCs/>
                <w:sz w:val="20"/>
                <w:szCs w:val="20"/>
              </w:rPr>
              <w:t xml:space="preserve"> policy support is in </w:t>
            </w:r>
            <w:r w:rsidR="00412B4F" w:rsidRPr="00843DD6">
              <w:rPr>
                <w:rFonts w:cstheme="minorHAnsi"/>
                <w:iCs/>
                <w:sz w:val="20"/>
                <w:szCs w:val="20"/>
              </w:rPr>
              <w:t>place.</w:t>
            </w:r>
            <w:r w:rsidRPr="00843DD6">
              <w:rPr>
                <w:rFonts w:cstheme="minorHAnsi"/>
                <w:iCs/>
                <w:sz w:val="20"/>
                <w:szCs w:val="20"/>
              </w:rPr>
              <w:t xml:space="preserve"> </w:t>
            </w:r>
          </w:p>
        </w:tc>
      </w:tr>
      <w:tr w:rsidR="00BC48B8" w:rsidRPr="00CA7BEF" w14:paraId="6B0A2F10" w14:textId="77777777" w:rsidTr="00AA1A5C">
        <w:tc>
          <w:tcPr>
            <w:tcW w:w="4440" w:type="dxa"/>
          </w:tcPr>
          <w:p w14:paraId="6D3F1D0C" w14:textId="77777777" w:rsidR="00BC48B8" w:rsidRDefault="00BC48B8" w:rsidP="003948A6">
            <w:pPr>
              <w:pStyle w:val="Default"/>
              <w:spacing w:line="276" w:lineRule="auto"/>
              <w:rPr>
                <w:rFonts w:asciiTheme="minorHAnsi" w:hAnsiTheme="minorHAnsi" w:cstheme="minorHAnsi"/>
                <w:b/>
                <w:bCs/>
                <w:sz w:val="22"/>
                <w:szCs w:val="22"/>
                <w:lang w:val="en-GB"/>
              </w:rPr>
            </w:pPr>
            <w:r>
              <w:rPr>
                <w:rFonts w:asciiTheme="minorHAnsi" w:hAnsiTheme="minorHAnsi" w:cstheme="minorHAnsi"/>
                <w:b/>
                <w:bCs/>
                <w:sz w:val="22"/>
                <w:szCs w:val="22"/>
                <w:lang w:val="en-GB"/>
              </w:rPr>
              <w:lastRenderedPageBreak/>
              <w:t xml:space="preserve">Greater Visibility/Publicity </w:t>
            </w:r>
          </w:p>
          <w:p w14:paraId="3D500D59" w14:textId="77777777" w:rsidR="006B6C3E" w:rsidRPr="00B677B4" w:rsidRDefault="006B6C3E" w:rsidP="006B6C3E">
            <w:pPr>
              <w:pStyle w:val="Default"/>
              <w:spacing w:line="276" w:lineRule="auto"/>
              <w:rPr>
                <w:rFonts w:asciiTheme="minorHAnsi" w:hAnsiTheme="minorHAnsi" w:cstheme="minorHAnsi"/>
                <w:sz w:val="22"/>
                <w:szCs w:val="22"/>
                <w:lang w:val="en-GB"/>
              </w:rPr>
            </w:pPr>
            <w:r w:rsidRPr="00B677B4">
              <w:rPr>
                <w:rFonts w:asciiTheme="minorHAnsi" w:hAnsiTheme="minorHAnsi" w:cstheme="minorHAnsi"/>
                <w:sz w:val="22"/>
                <w:szCs w:val="22"/>
                <w:lang w:val="en-GB"/>
              </w:rPr>
              <w:t>Greater visibility/ publicity needed on key achievements (and a better sense of what still needs to be addressed in the sector). Bearing in mind that increased collaboration is an implicit outcome statement of the program, AMEP II could work on explicitly documenting the real change that project activities have contributed to (</w:t>
            </w:r>
            <w:proofErr w:type="gramStart"/>
            <w:r w:rsidRPr="00B677B4">
              <w:rPr>
                <w:rFonts w:asciiTheme="minorHAnsi" w:hAnsiTheme="minorHAnsi" w:cstheme="minorHAnsi"/>
                <w:sz w:val="22"/>
                <w:szCs w:val="22"/>
                <w:lang w:val="en-GB"/>
              </w:rPr>
              <w:t>i.e.</w:t>
            </w:r>
            <w:proofErr w:type="gramEnd"/>
            <w:r w:rsidRPr="00B677B4">
              <w:rPr>
                <w:rFonts w:asciiTheme="minorHAnsi" w:hAnsiTheme="minorHAnsi" w:cstheme="minorHAnsi"/>
                <w:sz w:val="22"/>
                <w:szCs w:val="22"/>
                <w:lang w:val="en-GB"/>
              </w:rPr>
              <w:t xml:space="preserve"> demonstrating the added value AMEP II has delivered to the sector). This could also include disseminating information/ publicising exemplary projects/ good practices, and sharing stories of the impact AMEP II is having on the sector (</w:t>
            </w:r>
            <w:proofErr w:type="gramStart"/>
            <w:r w:rsidRPr="00B677B4">
              <w:rPr>
                <w:rFonts w:asciiTheme="minorHAnsi" w:hAnsiTheme="minorHAnsi" w:cstheme="minorHAnsi"/>
                <w:sz w:val="22"/>
                <w:szCs w:val="22"/>
                <w:lang w:val="en-GB"/>
              </w:rPr>
              <w:t>i.e.</w:t>
            </w:r>
            <w:proofErr w:type="gramEnd"/>
            <w:r w:rsidRPr="00B677B4">
              <w:rPr>
                <w:rFonts w:asciiTheme="minorHAnsi" w:hAnsiTheme="minorHAnsi" w:cstheme="minorHAnsi"/>
                <w:sz w:val="22"/>
                <w:szCs w:val="22"/>
                <w:lang w:val="en-GB"/>
              </w:rPr>
              <w:t xml:space="preserve"> beyond the direct beneficiaries of activities). Furthermore, based on the Project experience (achievements and challenges with respect to collaboration), AMEP could produce a ‘documentary’ of real cases and practices on failed and </w:t>
            </w:r>
            <w:r>
              <w:rPr>
                <w:rFonts w:asciiTheme="minorHAnsi" w:hAnsiTheme="minorHAnsi" w:cstheme="minorHAnsi"/>
                <w:sz w:val="22"/>
                <w:szCs w:val="22"/>
                <w:lang w:val="en-GB"/>
              </w:rPr>
              <w:t>successful</w:t>
            </w:r>
            <w:r w:rsidRPr="00B677B4">
              <w:rPr>
                <w:rFonts w:asciiTheme="minorHAnsi" w:hAnsiTheme="minorHAnsi" w:cstheme="minorHAnsi"/>
                <w:sz w:val="22"/>
                <w:szCs w:val="22"/>
                <w:lang w:val="en-GB"/>
              </w:rPr>
              <w:t xml:space="preserve"> </w:t>
            </w:r>
            <w:r w:rsidRPr="00B677B4">
              <w:rPr>
                <w:rFonts w:asciiTheme="minorHAnsi" w:hAnsiTheme="minorHAnsi" w:cstheme="minorHAnsi"/>
                <w:sz w:val="22"/>
                <w:szCs w:val="22"/>
                <w:lang w:val="en-GB"/>
              </w:rPr>
              <w:lastRenderedPageBreak/>
              <w:t xml:space="preserve">collaborative efforts from which the sector can learn and leverage for future efforts </w:t>
            </w:r>
            <w:r>
              <w:rPr>
                <w:rFonts w:asciiTheme="minorHAnsi" w:hAnsiTheme="minorHAnsi" w:cstheme="minorHAnsi"/>
                <w:sz w:val="22"/>
                <w:szCs w:val="22"/>
                <w:lang w:val="en-GB"/>
              </w:rPr>
              <w:t xml:space="preserve">to improve the </w:t>
            </w:r>
            <w:r w:rsidRPr="00B677B4">
              <w:rPr>
                <w:rFonts w:asciiTheme="minorHAnsi" w:hAnsiTheme="minorHAnsi" w:cstheme="minorHAnsi"/>
                <w:sz w:val="22"/>
                <w:szCs w:val="22"/>
                <w:lang w:val="en-GB"/>
              </w:rPr>
              <w:t xml:space="preserve">investment environment. </w:t>
            </w:r>
          </w:p>
          <w:p w14:paraId="1C808144" w14:textId="1E563BC1" w:rsidR="006B6C3E" w:rsidRDefault="006B6C3E" w:rsidP="003948A6">
            <w:pPr>
              <w:pStyle w:val="Default"/>
              <w:spacing w:line="276" w:lineRule="auto"/>
              <w:rPr>
                <w:rFonts w:asciiTheme="minorHAnsi" w:hAnsiTheme="minorHAnsi" w:cstheme="minorHAnsi"/>
                <w:b/>
                <w:bCs/>
                <w:sz w:val="22"/>
                <w:szCs w:val="22"/>
                <w:lang w:val="en-GB"/>
              </w:rPr>
            </w:pPr>
          </w:p>
        </w:tc>
        <w:tc>
          <w:tcPr>
            <w:tcW w:w="1012" w:type="dxa"/>
            <w:shd w:val="clear" w:color="auto" w:fill="92D050"/>
          </w:tcPr>
          <w:p w14:paraId="08EBC049" w14:textId="41CABFEB" w:rsidR="00BC48B8" w:rsidRDefault="00183142" w:rsidP="009B60D3">
            <w:pPr>
              <w:spacing w:line="240" w:lineRule="auto"/>
              <w:rPr>
                <w:rFonts w:cstheme="minorHAnsi"/>
                <w:iCs/>
                <w:color w:val="auto"/>
                <w:sz w:val="20"/>
                <w:szCs w:val="20"/>
              </w:rPr>
            </w:pPr>
            <w:r>
              <w:rPr>
                <w:rFonts w:cstheme="minorHAnsi"/>
                <w:iCs/>
                <w:color w:val="auto"/>
                <w:sz w:val="20"/>
                <w:szCs w:val="20"/>
              </w:rPr>
              <w:lastRenderedPageBreak/>
              <w:t>Agree</w:t>
            </w:r>
          </w:p>
        </w:tc>
        <w:tc>
          <w:tcPr>
            <w:tcW w:w="7932" w:type="dxa"/>
          </w:tcPr>
          <w:p w14:paraId="6F602F1B" w14:textId="6776961F" w:rsidR="002B3B85" w:rsidRPr="00843DD6" w:rsidRDefault="002B3B85" w:rsidP="000F47F8">
            <w:pPr>
              <w:pStyle w:val="ListParagraph"/>
              <w:numPr>
                <w:ilvl w:val="0"/>
                <w:numId w:val="42"/>
              </w:numPr>
              <w:suppressAutoHyphens w:val="0"/>
              <w:spacing w:before="0" w:after="160" w:line="256" w:lineRule="auto"/>
            </w:pPr>
            <w:r w:rsidRPr="00843DD6">
              <w:t xml:space="preserve">Post will seek </w:t>
            </w:r>
            <w:r w:rsidR="00183142" w:rsidRPr="00843DD6">
              <w:t>from AMEP II efficient and effective c</w:t>
            </w:r>
            <w:r w:rsidRPr="00843DD6">
              <w:t xml:space="preserve">ommunications of the activities and results of AMEP II with due recognition of Australian aid contribution. The recognition should go beyond the use of Australian aid logo. </w:t>
            </w:r>
          </w:p>
          <w:p w14:paraId="24558288" w14:textId="77777777" w:rsidR="00BC48B8" w:rsidRPr="00843DD6" w:rsidRDefault="002B3B85" w:rsidP="000F47F8">
            <w:pPr>
              <w:pStyle w:val="ListParagraph"/>
              <w:numPr>
                <w:ilvl w:val="0"/>
                <w:numId w:val="42"/>
              </w:numPr>
              <w:suppressAutoHyphens w:val="0"/>
              <w:spacing w:before="0" w:after="160" w:line="256" w:lineRule="auto"/>
            </w:pPr>
            <w:r w:rsidRPr="00843DD6">
              <w:t xml:space="preserve">Post will seek from AMEP II reporting their key activities and results easily accessible to public through appropriate means as such as results workshops, social media and websites with improved access and “catchy” messages.   </w:t>
            </w:r>
          </w:p>
          <w:p w14:paraId="7F7D5792" w14:textId="72199C7B" w:rsidR="008212C2" w:rsidRPr="00843DD6" w:rsidRDefault="008212C2" w:rsidP="00843DD6">
            <w:pPr>
              <w:pStyle w:val="ListParagraph"/>
              <w:numPr>
                <w:ilvl w:val="0"/>
                <w:numId w:val="42"/>
              </w:numPr>
              <w:suppressAutoHyphens w:val="0"/>
              <w:spacing w:before="0" w:after="160" w:line="256" w:lineRule="auto"/>
            </w:pPr>
            <w:r w:rsidRPr="00843DD6">
              <w:t>AMEP</w:t>
            </w:r>
            <w:r w:rsidR="00622C79" w:rsidRPr="00843DD6">
              <w:t>II</w:t>
            </w:r>
            <w:r w:rsidRPr="00843DD6">
              <w:t xml:space="preserve"> </w:t>
            </w:r>
            <w:r w:rsidR="00DA02DF" w:rsidRPr="00843DD6">
              <w:t xml:space="preserve">will </w:t>
            </w:r>
            <w:r w:rsidRPr="00843DD6">
              <w:t>implement a separate activity during 2023-2024</w:t>
            </w:r>
            <w:r w:rsidR="00DA02DF" w:rsidRPr="00843DD6">
              <w:t xml:space="preserve"> </w:t>
            </w:r>
            <w:r w:rsidR="00622C79" w:rsidRPr="00843DD6">
              <w:t>focus</w:t>
            </w:r>
            <w:r w:rsidR="00DA02DF" w:rsidRPr="00843DD6">
              <w:t>ed</w:t>
            </w:r>
            <w:r w:rsidR="00622C79" w:rsidRPr="00843DD6">
              <w:t xml:space="preserve"> on communication </w:t>
            </w:r>
            <w:r w:rsidR="00541D6E" w:rsidRPr="00843DD6">
              <w:t xml:space="preserve">highlighting the </w:t>
            </w:r>
            <w:r w:rsidR="002C446C" w:rsidRPr="00843DD6">
              <w:t>program’s</w:t>
            </w:r>
            <w:r w:rsidR="00DA02DF" w:rsidRPr="00843DD6">
              <w:t xml:space="preserve"> </w:t>
            </w:r>
            <w:r w:rsidR="002C446C" w:rsidRPr="00843DD6">
              <w:t xml:space="preserve">collaborative initiatives, </w:t>
            </w:r>
            <w:r w:rsidRPr="00843DD6">
              <w:t>achievements, success, and lessons learned</w:t>
            </w:r>
            <w:r w:rsidR="00541D6E" w:rsidRPr="00843DD6">
              <w:t xml:space="preserve"> over the years</w:t>
            </w:r>
            <w:r w:rsidR="00BA11CB" w:rsidRPr="00843DD6">
              <w:t>.</w:t>
            </w:r>
          </w:p>
          <w:p w14:paraId="069576C7" w14:textId="14753B83" w:rsidR="008212C2" w:rsidRPr="00843DD6" w:rsidRDefault="008212C2" w:rsidP="00843DD6">
            <w:pPr>
              <w:pStyle w:val="ListParagraph"/>
              <w:numPr>
                <w:ilvl w:val="0"/>
                <w:numId w:val="42"/>
              </w:numPr>
              <w:suppressAutoHyphens w:val="0"/>
              <w:spacing w:before="0" w:after="160" w:line="256" w:lineRule="auto"/>
            </w:pPr>
            <w:r w:rsidRPr="00843DD6">
              <w:t>AMEP 2 will update its Communication</w:t>
            </w:r>
            <w:r w:rsidR="008F3CB9" w:rsidRPr="00843DD6">
              <w:t>s</w:t>
            </w:r>
            <w:r w:rsidRPr="00843DD6">
              <w:t xml:space="preserve"> Plan reflecting MTR recommendation.  </w:t>
            </w:r>
          </w:p>
          <w:p w14:paraId="3DD9E25A" w14:textId="77777777" w:rsidR="00B60E5C" w:rsidRPr="00843DD6" w:rsidRDefault="00B60E5C" w:rsidP="008212C2">
            <w:pPr>
              <w:jc w:val="both"/>
            </w:pPr>
          </w:p>
          <w:p w14:paraId="573C54EF" w14:textId="56B6227A" w:rsidR="008212C2" w:rsidRPr="00843DD6" w:rsidRDefault="008212C2" w:rsidP="007F52C8">
            <w:pPr>
              <w:jc w:val="both"/>
            </w:pPr>
          </w:p>
        </w:tc>
        <w:tc>
          <w:tcPr>
            <w:tcW w:w="2264" w:type="dxa"/>
          </w:tcPr>
          <w:p w14:paraId="407F2448" w14:textId="01FBACAB" w:rsidR="00BC48B8" w:rsidRPr="00843DD6" w:rsidRDefault="0012541D" w:rsidP="009B60D3">
            <w:pPr>
              <w:spacing w:line="240" w:lineRule="auto"/>
              <w:rPr>
                <w:rFonts w:cstheme="minorHAnsi"/>
                <w:iCs/>
                <w:sz w:val="20"/>
                <w:szCs w:val="20"/>
              </w:rPr>
            </w:pPr>
            <w:r w:rsidRPr="0012541D">
              <w:rPr>
                <w:rFonts w:cstheme="minorHAnsi"/>
                <w:b/>
                <w:bCs/>
                <w:iCs/>
                <w:sz w:val="20"/>
                <w:szCs w:val="20"/>
              </w:rPr>
              <w:t>Underway</w:t>
            </w:r>
            <w:r>
              <w:rPr>
                <w:rFonts w:cstheme="minorHAnsi"/>
                <w:iCs/>
                <w:sz w:val="20"/>
                <w:szCs w:val="20"/>
              </w:rPr>
              <w:t xml:space="preserve"> </w:t>
            </w:r>
            <w:r w:rsidR="002B3B85" w:rsidRPr="00843DD6">
              <w:rPr>
                <w:rFonts w:cstheme="minorHAnsi"/>
                <w:iCs/>
                <w:sz w:val="20"/>
                <w:szCs w:val="20"/>
              </w:rPr>
              <w:t>AMEP II will update or make communications plan as a part of existing FY22-</w:t>
            </w:r>
            <w:r w:rsidR="00412B4F" w:rsidRPr="00843DD6">
              <w:rPr>
                <w:rFonts w:cstheme="minorHAnsi"/>
                <w:iCs/>
                <w:sz w:val="20"/>
                <w:szCs w:val="20"/>
              </w:rPr>
              <w:t>23 and</w:t>
            </w:r>
            <w:r w:rsidR="002B3B85" w:rsidRPr="00843DD6">
              <w:rPr>
                <w:rFonts w:cstheme="minorHAnsi"/>
                <w:iCs/>
                <w:sz w:val="20"/>
                <w:szCs w:val="20"/>
              </w:rPr>
              <w:t xml:space="preserve"> upcoming 23-24 annual plans. The plan will aim to increase the access of reports, </w:t>
            </w:r>
            <w:r w:rsidR="00412B4F" w:rsidRPr="00843DD6">
              <w:rPr>
                <w:rFonts w:cstheme="minorHAnsi"/>
                <w:iCs/>
                <w:sz w:val="20"/>
                <w:szCs w:val="20"/>
              </w:rPr>
              <w:t>research</w:t>
            </w:r>
            <w:r w:rsidR="002B3B85" w:rsidRPr="00843DD6">
              <w:rPr>
                <w:rFonts w:cstheme="minorHAnsi"/>
                <w:iCs/>
                <w:sz w:val="20"/>
                <w:szCs w:val="20"/>
              </w:rPr>
              <w:t xml:space="preserve"> and other reference materials AMEP II has supported to produce and increase awareness of Australian aid visibility among partners and public.   </w:t>
            </w:r>
          </w:p>
          <w:p w14:paraId="4093394E" w14:textId="54240843" w:rsidR="00412B4F" w:rsidRPr="00843DD6" w:rsidRDefault="00412B4F" w:rsidP="009B60D3">
            <w:pPr>
              <w:spacing w:line="240" w:lineRule="auto"/>
              <w:rPr>
                <w:rFonts w:cstheme="minorHAnsi"/>
                <w:iCs/>
                <w:sz w:val="20"/>
                <w:szCs w:val="20"/>
              </w:rPr>
            </w:pPr>
            <w:r w:rsidRPr="00843DD6">
              <w:rPr>
                <w:rFonts w:cstheme="minorHAnsi"/>
                <w:iCs/>
                <w:sz w:val="20"/>
                <w:szCs w:val="20"/>
              </w:rPr>
              <w:t>AMEP will seek additional M&amp;E expertise to assist with this work. DFAT has approved a reduction in the number of activities to be undertaken in order to fund this role.</w:t>
            </w:r>
          </w:p>
        </w:tc>
      </w:tr>
      <w:tr w:rsidR="00BC48B8" w:rsidRPr="00CA7BEF" w14:paraId="0757BA72" w14:textId="77777777" w:rsidTr="00AA1A5C">
        <w:tc>
          <w:tcPr>
            <w:tcW w:w="4440" w:type="dxa"/>
          </w:tcPr>
          <w:p w14:paraId="1ECF6744" w14:textId="77777777" w:rsidR="00BC48B8" w:rsidRDefault="00BC48B8" w:rsidP="003948A6">
            <w:pPr>
              <w:pStyle w:val="Default"/>
              <w:spacing w:line="276" w:lineRule="auto"/>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Greater Public Diplomacy </w:t>
            </w:r>
          </w:p>
          <w:p w14:paraId="7D72E5CF" w14:textId="49F214AE" w:rsidR="006B6C3E" w:rsidRDefault="006B6C3E" w:rsidP="003948A6">
            <w:pPr>
              <w:pStyle w:val="Default"/>
              <w:spacing w:line="276" w:lineRule="auto"/>
              <w:rPr>
                <w:rFonts w:asciiTheme="minorHAnsi" w:hAnsiTheme="minorHAnsi" w:cstheme="minorHAnsi"/>
                <w:b/>
                <w:bCs/>
                <w:sz w:val="22"/>
                <w:szCs w:val="22"/>
                <w:lang w:val="en-GB"/>
              </w:rPr>
            </w:pPr>
            <w:r w:rsidRPr="00B677B4">
              <w:rPr>
                <w:rFonts w:asciiTheme="minorHAnsi" w:hAnsiTheme="minorHAnsi" w:cstheme="minorHAnsi"/>
                <w:sz w:val="22"/>
                <w:szCs w:val="22"/>
                <w:lang w:val="en-GB"/>
              </w:rPr>
              <w:t>To ensure greater public diplomacy value the program should engage more deliberately with the Embassy to ensure greater collaboration between AMEP II and the Embassy on issues of mutual interest, including promoting dialogue between key stakeholders in the extractives sector and the senior officials in the Embassy</w:t>
            </w:r>
            <w:r>
              <w:rPr>
                <w:rFonts w:asciiTheme="minorHAnsi" w:hAnsiTheme="minorHAnsi" w:cstheme="minorHAnsi"/>
                <w:sz w:val="22"/>
                <w:szCs w:val="22"/>
                <w:lang w:val="en-GB"/>
              </w:rPr>
              <w:t>. A</w:t>
            </w:r>
            <w:r w:rsidRPr="00B677B4">
              <w:rPr>
                <w:rFonts w:asciiTheme="minorHAnsi" w:hAnsiTheme="minorHAnsi" w:cstheme="minorHAnsi"/>
                <w:sz w:val="22"/>
                <w:szCs w:val="22"/>
                <w:lang w:val="en-GB"/>
              </w:rPr>
              <w:t xml:space="preserve"> practical way of doing this might be to convene a quarterly/bi-annual informal event where senior officials from the Embassy meet with the key lead implementing partners to exchange activity related information</w:t>
            </w:r>
            <w:r>
              <w:rPr>
                <w:rFonts w:asciiTheme="minorHAnsi" w:hAnsiTheme="minorHAnsi" w:cstheme="minorHAnsi"/>
                <w:sz w:val="22"/>
                <w:szCs w:val="22"/>
                <w:lang w:val="en-GB"/>
              </w:rPr>
              <w:t>.</w:t>
            </w:r>
          </w:p>
        </w:tc>
        <w:tc>
          <w:tcPr>
            <w:tcW w:w="1012" w:type="dxa"/>
            <w:shd w:val="clear" w:color="auto" w:fill="92D050"/>
          </w:tcPr>
          <w:p w14:paraId="3BE72F5C" w14:textId="2BE08B29" w:rsidR="00BC48B8" w:rsidRDefault="00F745F8" w:rsidP="009B60D3">
            <w:pPr>
              <w:spacing w:line="240" w:lineRule="auto"/>
              <w:rPr>
                <w:rFonts w:cstheme="minorHAnsi"/>
                <w:iCs/>
                <w:color w:val="auto"/>
                <w:sz w:val="20"/>
                <w:szCs w:val="20"/>
              </w:rPr>
            </w:pPr>
            <w:r>
              <w:rPr>
                <w:rFonts w:cstheme="minorHAnsi"/>
                <w:iCs/>
                <w:color w:val="auto"/>
                <w:sz w:val="20"/>
                <w:szCs w:val="20"/>
              </w:rPr>
              <w:t xml:space="preserve">Agree </w:t>
            </w:r>
          </w:p>
        </w:tc>
        <w:tc>
          <w:tcPr>
            <w:tcW w:w="7932" w:type="dxa"/>
          </w:tcPr>
          <w:p w14:paraId="4009CB46" w14:textId="77777777" w:rsidR="0012541D" w:rsidRDefault="00BD418A" w:rsidP="00F745F8">
            <w:pPr>
              <w:pStyle w:val="ListParagraph"/>
              <w:numPr>
                <w:ilvl w:val="0"/>
                <w:numId w:val="42"/>
              </w:numPr>
              <w:suppressAutoHyphens w:val="0"/>
              <w:spacing w:before="0" w:after="160" w:line="256" w:lineRule="auto"/>
            </w:pPr>
            <w:r w:rsidRPr="00843DD6">
              <w:t xml:space="preserve">Post will seek AMEP II improve public diplomacy/communications to enable Post </w:t>
            </w:r>
            <w:r w:rsidR="0012541D" w:rsidRPr="00843DD6">
              <w:t>to use</w:t>
            </w:r>
            <w:r w:rsidR="00F745F8" w:rsidRPr="00843DD6">
              <w:t xml:space="preserve"> the opportunity of enhancing the Australian aid recognition and networking among the stakeholders in the extractives sector and communities. </w:t>
            </w:r>
          </w:p>
          <w:p w14:paraId="1FF44C13" w14:textId="6CFE0387" w:rsidR="0012541D" w:rsidRDefault="00BD418A" w:rsidP="00F745F8">
            <w:pPr>
              <w:pStyle w:val="ListParagraph"/>
              <w:numPr>
                <w:ilvl w:val="0"/>
                <w:numId w:val="42"/>
              </w:numPr>
              <w:suppressAutoHyphens w:val="0"/>
              <w:spacing w:before="0" w:after="160" w:line="256" w:lineRule="auto"/>
            </w:pPr>
            <w:r w:rsidRPr="00843DD6">
              <w:t xml:space="preserve">AMEP II should plan monthly events where </w:t>
            </w:r>
            <w:r w:rsidR="00F745F8" w:rsidRPr="00843DD6">
              <w:t xml:space="preserve">Post </w:t>
            </w:r>
            <w:r w:rsidR="0012541D">
              <w:t>may be</w:t>
            </w:r>
            <w:r w:rsidR="00F745F8" w:rsidRPr="00843DD6">
              <w:t xml:space="preserve"> represented such as </w:t>
            </w:r>
            <w:r w:rsidRPr="00843DD6">
              <w:t>workshops</w:t>
            </w:r>
            <w:r w:rsidR="00F745F8" w:rsidRPr="00843DD6">
              <w:t xml:space="preserve"> </w:t>
            </w:r>
            <w:r w:rsidR="008C33AF" w:rsidRPr="00843DD6">
              <w:t>and consultative</w:t>
            </w:r>
            <w:r w:rsidR="00F745F8" w:rsidRPr="00843DD6">
              <w:t xml:space="preserve"> sessions. </w:t>
            </w:r>
          </w:p>
          <w:p w14:paraId="2FA90F2E" w14:textId="30D86EFB" w:rsidR="00BC48B8" w:rsidRPr="00843DD6" w:rsidRDefault="00F745F8" w:rsidP="00F745F8">
            <w:pPr>
              <w:pStyle w:val="ListParagraph"/>
              <w:numPr>
                <w:ilvl w:val="0"/>
                <w:numId w:val="42"/>
              </w:numPr>
              <w:suppressAutoHyphens w:val="0"/>
              <w:spacing w:before="0" w:after="160" w:line="256" w:lineRule="auto"/>
            </w:pPr>
            <w:r w:rsidRPr="00843DD6">
              <w:t xml:space="preserve">Post will seek AMEP II </w:t>
            </w:r>
            <w:r w:rsidR="0012541D">
              <w:t xml:space="preserve">to </w:t>
            </w:r>
            <w:r w:rsidRPr="00843DD6">
              <w:t>organise and hold quarterly meetings</w:t>
            </w:r>
            <w:r w:rsidR="00A77DE4" w:rsidRPr="00843DD6">
              <w:t xml:space="preserve"> for Post</w:t>
            </w:r>
            <w:r w:rsidRPr="00843DD6">
              <w:t xml:space="preserve"> with key implementing partners and </w:t>
            </w:r>
            <w:r w:rsidR="008C33AF" w:rsidRPr="00843DD6">
              <w:t>stakeholders to</w:t>
            </w:r>
            <w:r w:rsidRPr="00843DD6">
              <w:t xml:space="preserve"> share updates and exchange views. </w:t>
            </w:r>
          </w:p>
          <w:p w14:paraId="4B0FCE61" w14:textId="06319DF6" w:rsidR="00045FD8" w:rsidRPr="00843DD6" w:rsidRDefault="00045FD8" w:rsidP="00843DD6">
            <w:pPr>
              <w:pStyle w:val="ListParagraph"/>
              <w:numPr>
                <w:ilvl w:val="0"/>
                <w:numId w:val="42"/>
              </w:numPr>
              <w:suppressAutoHyphens w:val="0"/>
              <w:spacing w:before="0" w:after="160" w:line="256" w:lineRule="auto"/>
            </w:pPr>
            <w:r w:rsidRPr="00843DD6">
              <w:t xml:space="preserve">AMEP 2 will send a separate monthly update with a list of important events where Post </w:t>
            </w:r>
            <w:r w:rsidR="0012541D">
              <w:t>should</w:t>
            </w:r>
            <w:r w:rsidRPr="00843DD6">
              <w:t xml:space="preserve"> </w:t>
            </w:r>
            <w:proofErr w:type="gramStart"/>
            <w:r w:rsidRPr="00843DD6">
              <w:t>represented</w:t>
            </w:r>
            <w:proofErr w:type="gramEnd"/>
            <w:r w:rsidRPr="00843DD6">
              <w:t>.</w:t>
            </w:r>
            <w:r w:rsidR="005466E3" w:rsidRPr="00843DD6">
              <w:t xml:space="preserve"> </w:t>
            </w:r>
          </w:p>
          <w:p w14:paraId="2F10AB53" w14:textId="40845476" w:rsidR="00045FD8" w:rsidRPr="00843DD6" w:rsidRDefault="00045FD8" w:rsidP="00C03C57">
            <w:pPr>
              <w:jc w:val="both"/>
            </w:pPr>
          </w:p>
        </w:tc>
        <w:tc>
          <w:tcPr>
            <w:tcW w:w="2264" w:type="dxa"/>
          </w:tcPr>
          <w:p w14:paraId="2D894CE5" w14:textId="58AD50F4" w:rsidR="00BC48B8" w:rsidRPr="00843DD6" w:rsidRDefault="00412B4F" w:rsidP="0012541D">
            <w:pPr>
              <w:spacing w:line="240" w:lineRule="auto"/>
              <w:rPr>
                <w:rFonts w:cstheme="minorHAnsi"/>
                <w:iCs/>
                <w:sz w:val="20"/>
                <w:szCs w:val="20"/>
              </w:rPr>
            </w:pPr>
            <w:r w:rsidRPr="0012541D">
              <w:rPr>
                <w:rFonts w:cstheme="minorHAnsi"/>
                <w:b/>
                <w:bCs/>
                <w:iCs/>
                <w:sz w:val="20"/>
                <w:szCs w:val="20"/>
              </w:rPr>
              <w:t xml:space="preserve">Underway </w:t>
            </w:r>
            <w:r w:rsidR="00F745F8" w:rsidRPr="00843DD6">
              <w:rPr>
                <w:rFonts w:cstheme="minorHAnsi"/>
                <w:iCs/>
                <w:sz w:val="20"/>
                <w:szCs w:val="20"/>
              </w:rPr>
              <w:t xml:space="preserve">AMEP II will </w:t>
            </w:r>
            <w:r w:rsidR="0012541D">
              <w:rPr>
                <w:rFonts w:cstheme="minorHAnsi"/>
                <w:iCs/>
                <w:sz w:val="20"/>
                <w:szCs w:val="20"/>
              </w:rPr>
              <w:t>provide a regular update on Post/AMEP II representation opportunities and meetings</w:t>
            </w:r>
            <w:r w:rsidR="00F745F8" w:rsidRPr="00843DD6">
              <w:rPr>
                <w:rFonts w:cstheme="minorHAnsi"/>
                <w:iCs/>
                <w:sz w:val="20"/>
                <w:szCs w:val="20"/>
              </w:rPr>
              <w:t xml:space="preserve">. </w:t>
            </w:r>
          </w:p>
        </w:tc>
      </w:tr>
    </w:tbl>
    <w:p w14:paraId="7FEC3A25" w14:textId="4A597A8B" w:rsidR="001C0980" w:rsidRDefault="001C0980"/>
    <w:sectPr w:rsidR="001C0980" w:rsidSect="00BC71C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B99A" w14:textId="77777777" w:rsidR="00D11E1F" w:rsidRDefault="00D11E1F" w:rsidP="00A70DDC">
      <w:pPr>
        <w:spacing w:before="0" w:after="0" w:line="240" w:lineRule="auto"/>
      </w:pPr>
      <w:r>
        <w:separator/>
      </w:r>
    </w:p>
  </w:endnote>
  <w:endnote w:type="continuationSeparator" w:id="0">
    <w:p w14:paraId="53D00F9B" w14:textId="77777777" w:rsidR="00D11E1F" w:rsidRDefault="00D11E1F" w:rsidP="00A70D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7C5F" w14:textId="77777777" w:rsidR="00386513" w:rsidRDefault="0038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356999"/>
      <w:docPartObj>
        <w:docPartGallery w:val="Page Numbers (Bottom of Page)"/>
        <w:docPartUnique/>
      </w:docPartObj>
    </w:sdtPr>
    <w:sdtContent>
      <w:sdt>
        <w:sdtPr>
          <w:id w:val="-438066234"/>
          <w:docPartObj>
            <w:docPartGallery w:val="Page Numbers (Top of Page)"/>
            <w:docPartUnique/>
          </w:docPartObj>
        </w:sdtPr>
        <w:sdtContent>
          <w:p w14:paraId="1D9143BB" w14:textId="77777777" w:rsidR="009321E2" w:rsidRDefault="009321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8651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6513">
              <w:rPr>
                <w:b/>
                <w:bCs/>
                <w:noProof/>
              </w:rPr>
              <w:t>9</w:t>
            </w:r>
            <w:r>
              <w:rPr>
                <w:b/>
                <w:bCs/>
                <w:sz w:val="24"/>
                <w:szCs w:val="24"/>
              </w:rPr>
              <w:fldChar w:fldCharType="end"/>
            </w:r>
          </w:p>
        </w:sdtContent>
      </w:sdt>
    </w:sdtContent>
  </w:sdt>
  <w:p w14:paraId="68E01BB9" w14:textId="3405BEBD" w:rsidR="009321E2" w:rsidRDefault="009321E2">
    <w:pPr>
      <w:pStyle w:val="Footer"/>
    </w:pPr>
    <w:r>
      <w:t xml:space="preserve">Version </w:t>
    </w:r>
    <w:r>
      <w:fldChar w:fldCharType="begin"/>
    </w:r>
    <w:r>
      <w:rPr>
        <w:lang w:val="en-AU"/>
      </w:rPr>
      <w:instrText xml:space="preserve"> DATE \@ "d/MM/yyyy h:mm am/pm" </w:instrText>
    </w:r>
    <w:r>
      <w:fldChar w:fldCharType="separate"/>
    </w:r>
    <w:r w:rsidR="003525D0">
      <w:rPr>
        <w:noProof/>
        <w:lang w:val="en-AU"/>
      </w:rPr>
      <w:t>10/02/2023 11:03 AM</w:t>
    </w:r>
    <w:r>
      <w:fldChar w:fldCharType="end"/>
    </w:r>
  </w:p>
  <w:p w14:paraId="78946A49" w14:textId="77777777" w:rsidR="00B33E55" w:rsidRDefault="00B33E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7408"/>
      <w:docPartObj>
        <w:docPartGallery w:val="Page Numbers (Bottom of Page)"/>
        <w:docPartUnique/>
      </w:docPartObj>
    </w:sdtPr>
    <w:sdtContent>
      <w:sdt>
        <w:sdtPr>
          <w:id w:val="-658463839"/>
          <w:docPartObj>
            <w:docPartGallery w:val="Page Numbers (Top of Page)"/>
            <w:docPartUnique/>
          </w:docPartObj>
        </w:sdtPr>
        <w:sdtContent>
          <w:p w14:paraId="058A98F5" w14:textId="77777777" w:rsidR="009321E2" w:rsidRDefault="009321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8651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6513">
              <w:rPr>
                <w:b/>
                <w:bCs/>
                <w:noProof/>
              </w:rPr>
              <w:t>9</w:t>
            </w:r>
            <w:r>
              <w:rPr>
                <w:b/>
                <w:bCs/>
                <w:sz w:val="24"/>
                <w:szCs w:val="24"/>
              </w:rPr>
              <w:fldChar w:fldCharType="end"/>
            </w:r>
          </w:p>
        </w:sdtContent>
      </w:sdt>
    </w:sdtContent>
  </w:sdt>
  <w:p w14:paraId="311AB3B7" w14:textId="77777777" w:rsidR="009321E2" w:rsidRDefault="0093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0106" w14:textId="77777777" w:rsidR="00D11E1F" w:rsidRDefault="00D11E1F" w:rsidP="00A70DDC">
      <w:pPr>
        <w:spacing w:before="0" w:after="0" w:line="240" w:lineRule="auto"/>
      </w:pPr>
      <w:r>
        <w:separator/>
      </w:r>
    </w:p>
  </w:footnote>
  <w:footnote w:type="continuationSeparator" w:id="0">
    <w:p w14:paraId="586142F3" w14:textId="77777777" w:rsidR="00D11E1F" w:rsidRDefault="00D11E1F" w:rsidP="00A70D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4296" w14:textId="77777777" w:rsidR="00386513" w:rsidRDefault="0038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59AF" w14:textId="77777777" w:rsidR="00386513" w:rsidRDefault="0038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E445" w14:textId="77777777" w:rsidR="00386513" w:rsidRDefault="0038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FE"/>
    <w:multiLevelType w:val="hybridMultilevel"/>
    <w:tmpl w:val="4BE4F3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991CF2"/>
    <w:multiLevelType w:val="hybridMultilevel"/>
    <w:tmpl w:val="4CACC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E2BCD"/>
    <w:multiLevelType w:val="hybridMultilevel"/>
    <w:tmpl w:val="C492C4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D71333"/>
    <w:multiLevelType w:val="hybridMultilevel"/>
    <w:tmpl w:val="DBEEE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94A1B"/>
    <w:multiLevelType w:val="hybridMultilevel"/>
    <w:tmpl w:val="7E10BF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33612F"/>
    <w:multiLevelType w:val="hybridMultilevel"/>
    <w:tmpl w:val="1F72D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7B368D"/>
    <w:multiLevelType w:val="hybridMultilevel"/>
    <w:tmpl w:val="67302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03583C"/>
    <w:multiLevelType w:val="hybridMultilevel"/>
    <w:tmpl w:val="978661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6026E4F"/>
    <w:multiLevelType w:val="hybridMultilevel"/>
    <w:tmpl w:val="27EE1E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41742A"/>
    <w:multiLevelType w:val="hybridMultilevel"/>
    <w:tmpl w:val="9612B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33C47"/>
    <w:multiLevelType w:val="hybridMultilevel"/>
    <w:tmpl w:val="5E8A5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F27670"/>
    <w:multiLevelType w:val="hybridMultilevel"/>
    <w:tmpl w:val="525AA1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622AB8"/>
    <w:multiLevelType w:val="hybridMultilevel"/>
    <w:tmpl w:val="25DCDAE2"/>
    <w:lvl w:ilvl="0" w:tplc="D160FB6A">
      <w:start w:val="1"/>
      <w:numFmt w:val="bullet"/>
      <w:lvlText w:val="•"/>
      <w:lvlJc w:val="left"/>
      <w:pPr>
        <w:tabs>
          <w:tab w:val="num" w:pos="720"/>
        </w:tabs>
        <w:ind w:left="720" w:hanging="360"/>
      </w:pPr>
      <w:rPr>
        <w:rFonts w:ascii="Arial" w:hAnsi="Arial" w:hint="default"/>
      </w:rPr>
    </w:lvl>
    <w:lvl w:ilvl="1" w:tplc="D4D0DAA2">
      <w:start w:val="1"/>
      <w:numFmt w:val="bullet"/>
      <w:lvlText w:val="•"/>
      <w:lvlJc w:val="left"/>
      <w:pPr>
        <w:tabs>
          <w:tab w:val="num" w:pos="1440"/>
        </w:tabs>
        <w:ind w:left="1440" w:hanging="360"/>
      </w:pPr>
      <w:rPr>
        <w:rFonts w:ascii="Arial" w:hAnsi="Arial" w:hint="default"/>
      </w:rPr>
    </w:lvl>
    <w:lvl w:ilvl="2" w:tplc="0C546E76">
      <w:start w:val="1"/>
      <w:numFmt w:val="bullet"/>
      <w:lvlText w:val="•"/>
      <w:lvlJc w:val="left"/>
      <w:pPr>
        <w:tabs>
          <w:tab w:val="num" w:pos="2160"/>
        </w:tabs>
        <w:ind w:left="2160" w:hanging="360"/>
      </w:pPr>
      <w:rPr>
        <w:rFonts w:ascii="Arial" w:hAnsi="Arial" w:hint="default"/>
      </w:rPr>
    </w:lvl>
    <w:lvl w:ilvl="3" w:tplc="06CAE166" w:tentative="1">
      <w:start w:val="1"/>
      <w:numFmt w:val="bullet"/>
      <w:lvlText w:val="•"/>
      <w:lvlJc w:val="left"/>
      <w:pPr>
        <w:tabs>
          <w:tab w:val="num" w:pos="2880"/>
        </w:tabs>
        <w:ind w:left="2880" w:hanging="360"/>
      </w:pPr>
      <w:rPr>
        <w:rFonts w:ascii="Arial" w:hAnsi="Arial" w:hint="default"/>
      </w:rPr>
    </w:lvl>
    <w:lvl w:ilvl="4" w:tplc="A56CCCF4" w:tentative="1">
      <w:start w:val="1"/>
      <w:numFmt w:val="bullet"/>
      <w:lvlText w:val="•"/>
      <w:lvlJc w:val="left"/>
      <w:pPr>
        <w:tabs>
          <w:tab w:val="num" w:pos="3600"/>
        </w:tabs>
        <w:ind w:left="3600" w:hanging="360"/>
      </w:pPr>
      <w:rPr>
        <w:rFonts w:ascii="Arial" w:hAnsi="Arial" w:hint="default"/>
      </w:rPr>
    </w:lvl>
    <w:lvl w:ilvl="5" w:tplc="69A67818" w:tentative="1">
      <w:start w:val="1"/>
      <w:numFmt w:val="bullet"/>
      <w:lvlText w:val="•"/>
      <w:lvlJc w:val="left"/>
      <w:pPr>
        <w:tabs>
          <w:tab w:val="num" w:pos="4320"/>
        </w:tabs>
        <w:ind w:left="4320" w:hanging="360"/>
      </w:pPr>
      <w:rPr>
        <w:rFonts w:ascii="Arial" w:hAnsi="Arial" w:hint="default"/>
      </w:rPr>
    </w:lvl>
    <w:lvl w:ilvl="6" w:tplc="D11A770A" w:tentative="1">
      <w:start w:val="1"/>
      <w:numFmt w:val="bullet"/>
      <w:lvlText w:val="•"/>
      <w:lvlJc w:val="left"/>
      <w:pPr>
        <w:tabs>
          <w:tab w:val="num" w:pos="5040"/>
        </w:tabs>
        <w:ind w:left="5040" w:hanging="360"/>
      </w:pPr>
      <w:rPr>
        <w:rFonts w:ascii="Arial" w:hAnsi="Arial" w:hint="default"/>
      </w:rPr>
    </w:lvl>
    <w:lvl w:ilvl="7" w:tplc="42342388" w:tentative="1">
      <w:start w:val="1"/>
      <w:numFmt w:val="bullet"/>
      <w:lvlText w:val="•"/>
      <w:lvlJc w:val="left"/>
      <w:pPr>
        <w:tabs>
          <w:tab w:val="num" w:pos="5760"/>
        </w:tabs>
        <w:ind w:left="5760" w:hanging="360"/>
      </w:pPr>
      <w:rPr>
        <w:rFonts w:ascii="Arial" w:hAnsi="Arial" w:hint="default"/>
      </w:rPr>
    </w:lvl>
    <w:lvl w:ilvl="8" w:tplc="59C40A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E54FC3"/>
    <w:multiLevelType w:val="hybridMultilevel"/>
    <w:tmpl w:val="4872A3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E511EE"/>
    <w:multiLevelType w:val="hybridMultilevel"/>
    <w:tmpl w:val="02165A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E01DA4"/>
    <w:multiLevelType w:val="hybridMultilevel"/>
    <w:tmpl w:val="31B8D7D2"/>
    <w:lvl w:ilvl="0" w:tplc="A084988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7900A52"/>
    <w:multiLevelType w:val="hybridMultilevel"/>
    <w:tmpl w:val="2B3CF1D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7663BA"/>
    <w:multiLevelType w:val="hybridMultilevel"/>
    <w:tmpl w:val="3BC2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081C86"/>
    <w:multiLevelType w:val="hybridMultilevel"/>
    <w:tmpl w:val="DF28BFC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BAD4AA9"/>
    <w:multiLevelType w:val="hybridMultilevel"/>
    <w:tmpl w:val="108E5DC2"/>
    <w:lvl w:ilvl="0" w:tplc="03CC0116">
      <w:numFmt w:val="bullet"/>
      <w:lvlText w:val="-"/>
      <w:lvlJc w:val="left"/>
      <w:pPr>
        <w:ind w:left="717" w:hanging="360"/>
      </w:pPr>
      <w:rPr>
        <w:rFonts w:ascii="Calibri Light" w:eastAsiaTheme="majorEastAsia" w:hAnsi="Calibri Light" w:cs="Calibri Light"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2CF90F83"/>
    <w:multiLevelType w:val="hybridMultilevel"/>
    <w:tmpl w:val="7C741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DBA73E4"/>
    <w:multiLevelType w:val="hybridMultilevel"/>
    <w:tmpl w:val="860AC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1F0F44"/>
    <w:multiLevelType w:val="hybridMultilevel"/>
    <w:tmpl w:val="9F0E8A6E"/>
    <w:lvl w:ilvl="0" w:tplc="32BA9152">
      <w:start w:val="1"/>
      <w:numFmt w:val="bullet"/>
      <w:lvlText w:val="•"/>
      <w:lvlJc w:val="left"/>
      <w:pPr>
        <w:tabs>
          <w:tab w:val="num" w:pos="360"/>
        </w:tabs>
        <w:ind w:left="360" w:hanging="360"/>
      </w:pPr>
      <w:rPr>
        <w:rFonts w:ascii="Arial" w:hAnsi="Arial" w:hint="default"/>
      </w:rPr>
    </w:lvl>
    <w:lvl w:ilvl="1" w:tplc="9796D548">
      <w:start w:val="1"/>
      <w:numFmt w:val="bullet"/>
      <w:lvlText w:val="•"/>
      <w:lvlJc w:val="left"/>
      <w:pPr>
        <w:tabs>
          <w:tab w:val="num" w:pos="1080"/>
        </w:tabs>
        <w:ind w:left="1080" w:hanging="360"/>
      </w:pPr>
      <w:rPr>
        <w:rFonts w:ascii="Arial" w:hAnsi="Arial" w:hint="default"/>
      </w:rPr>
    </w:lvl>
    <w:lvl w:ilvl="2" w:tplc="C3FE9E2A" w:tentative="1">
      <w:start w:val="1"/>
      <w:numFmt w:val="bullet"/>
      <w:lvlText w:val="•"/>
      <w:lvlJc w:val="left"/>
      <w:pPr>
        <w:tabs>
          <w:tab w:val="num" w:pos="1800"/>
        </w:tabs>
        <w:ind w:left="1800" w:hanging="360"/>
      </w:pPr>
      <w:rPr>
        <w:rFonts w:ascii="Arial" w:hAnsi="Arial" w:hint="default"/>
      </w:rPr>
    </w:lvl>
    <w:lvl w:ilvl="3" w:tplc="61182F9C" w:tentative="1">
      <w:start w:val="1"/>
      <w:numFmt w:val="bullet"/>
      <w:lvlText w:val="•"/>
      <w:lvlJc w:val="left"/>
      <w:pPr>
        <w:tabs>
          <w:tab w:val="num" w:pos="2520"/>
        </w:tabs>
        <w:ind w:left="2520" w:hanging="360"/>
      </w:pPr>
      <w:rPr>
        <w:rFonts w:ascii="Arial" w:hAnsi="Arial" w:hint="default"/>
      </w:rPr>
    </w:lvl>
    <w:lvl w:ilvl="4" w:tplc="FE0EF978" w:tentative="1">
      <w:start w:val="1"/>
      <w:numFmt w:val="bullet"/>
      <w:lvlText w:val="•"/>
      <w:lvlJc w:val="left"/>
      <w:pPr>
        <w:tabs>
          <w:tab w:val="num" w:pos="3240"/>
        </w:tabs>
        <w:ind w:left="3240" w:hanging="360"/>
      </w:pPr>
      <w:rPr>
        <w:rFonts w:ascii="Arial" w:hAnsi="Arial" w:hint="default"/>
      </w:rPr>
    </w:lvl>
    <w:lvl w:ilvl="5" w:tplc="324614F8" w:tentative="1">
      <w:start w:val="1"/>
      <w:numFmt w:val="bullet"/>
      <w:lvlText w:val="•"/>
      <w:lvlJc w:val="left"/>
      <w:pPr>
        <w:tabs>
          <w:tab w:val="num" w:pos="3960"/>
        </w:tabs>
        <w:ind w:left="3960" w:hanging="360"/>
      </w:pPr>
      <w:rPr>
        <w:rFonts w:ascii="Arial" w:hAnsi="Arial" w:hint="default"/>
      </w:rPr>
    </w:lvl>
    <w:lvl w:ilvl="6" w:tplc="DC7AC53E" w:tentative="1">
      <w:start w:val="1"/>
      <w:numFmt w:val="bullet"/>
      <w:lvlText w:val="•"/>
      <w:lvlJc w:val="left"/>
      <w:pPr>
        <w:tabs>
          <w:tab w:val="num" w:pos="4680"/>
        </w:tabs>
        <w:ind w:left="4680" w:hanging="360"/>
      </w:pPr>
      <w:rPr>
        <w:rFonts w:ascii="Arial" w:hAnsi="Arial" w:hint="default"/>
      </w:rPr>
    </w:lvl>
    <w:lvl w:ilvl="7" w:tplc="8E3E7F48" w:tentative="1">
      <w:start w:val="1"/>
      <w:numFmt w:val="bullet"/>
      <w:lvlText w:val="•"/>
      <w:lvlJc w:val="left"/>
      <w:pPr>
        <w:tabs>
          <w:tab w:val="num" w:pos="5400"/>
        </w:tabs>
        <w:ind w:left="5400" w:hanging="360"/>
      </w:pPr>
      <w:rPr>
        <w:rFonts w:ascii="Arial" w:hAnsi="Arial" w:hint="default"/>
      </w:rPr>
    </w:lvl>
    <w:lvl w:ilvl="8" w:tplc="55AE4A8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3EC2B7F"/>
    <w:multiLevelType w:val="hybridMultilevel"/>
    <w:tmpl w:val="AB149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D15700"/>
    <w:multiLevelType w:val="hybridMultilevel"/>
    <w:tmpl w:val="C92C32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AC6326"/>
    <w:multiLevelType w:val="hybridMultilevel"/>
    <w:tmpl w:val="C492C4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3BB22C9"/>
    <w:multiLevelType w:val="hybridMultilevel"/>
    <w:tmpl w:val="25D245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8786A50"/>
    <w:multiLevelType w:val="hybridMultilevel"/>
    <w:tmpl w:val="87E62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022603"/>
    <w:multiLevelType w:val="hybridMultilevel"/>
    <w:tmpl w:val="E5B02B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AC94784"/>
    <w:multiLevelType w:val="hybridMultilevel"/>
    <w:tmpl w:val="D2F21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5463B6"/>
    <w:multiLevelType w:val="hybridMultilevel"/>
    <w:tmpl w:val="C492C4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D8110A9"/>
    <w:multiLevelType w:val="hybridMultilevel"/>
    <w:tmpl w:val="525AA1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2942E1A"/>
    <w:multiLevelType w:val="hybridMultilevel"/>
    <w:tmpl w:val="D3AA9822"/>
    <w:lvl w:ilvl="0" w:tplc="0C090003">
      <w:start w:val="1"/>
      <w:numFmt w:val="bullet"/>
      <w:lvlText w:val="o"/>
      <w:lvlJc w:val="left"/>
      <w:pPr>
        <w:ind w:left="540" w:hanging="360"/>
      </w:pPr>
      <w:rPr>
        <w:rFonts w:ascii="Courier New" w:hAnsi="Courier New" w:cs="Courier New"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33" w15:restartNumberingAfterBreak="0">
    <w:nsid w:val="549B0B1A"/>
    <w:multiLevelType w:val="hybridMultilevel"/>
    <w:tmpl w:val="672460D6"/>
    <w:lvl w:ilvl="0" w:tplc="0C090003">
      <w:start w:val="1"/>
      <w:numFmt w:val="bullet"/>
      <w:lvlText w:val="o"/>
      <w:lvlJc w:val="left"/>
      <w:pPr>
        <w:ind w:left="610" w:hanging="360"/>
      </w:pPr>
      <w:rPr>
        <w:rFonts w:ascii="Courier New" w:hAnsi="Courier New" w:cs="Courier New" w:hint="default"/>
      </w:rPr>
    </w:lvl>
    <w:lvl w:ilvl="1" w:tplc="0C090003" w:tentative="1">
      <w:start w:val="1"/>
      <w:numFmt w:val="bullet"/>
      <w:lvlText w:val="o"/>
      <w:lvlJc w:val="left"/>
      <w:pPr>
        <w:ind w:left="1330" w:hanging="360"/>
      </w:pPr>
      <w:rPr>
        <w:rFonts w:ascii="Courier New" w:hAnsi="Courier New" w:cs="Courier New" w:hint="default"/>
      </w:rPr>
    </w:lvl>
    <w:lvl w:ilvl="2" w:tplc="0C090005" w:tentative="1">
      <w:start w:val="1"/>
      <w:numFmt w:val="bullet"/>
      <w:lvlText w:val=""/>
      <w:lvlJc w:val="left"/>
      <w:pPr>
        <w:ind w:left="2050" w:hanging="360"/>
      </w:pPr>
      <w:rPr>
        <w:rFonts w:ascii="Wingdings" w:hAnsi="Wingdings" w:hint="default"/>
      </w:rPr>
    </w:lvl>
    <w:lvl w:ilvl="3" w:tplc="0C090001" w:tentative="1">
      <w:start w:val="1"/>
      <w:numFmt w:val="bullet"/>
      <w:lvlText w:val=""/>
      <w:lvlJc w:val="left"/>
      <w:pPr>
        <w:ind w:left="2770" w:hanging="360"/>
      </w:pPr>
      <w:rPr>
        <w:rFonts w:ascii="Symbol" w:hAnsi="Symbol" w:hint="default"/>
      </w:rPr>
    </w:lvl>
    <w:lvl w:ilvl="4" w:tplc="0C090003" w:tentative="1">
      <w:start w:val="1"/>
      <w:numFmt w:val="bullet"/>
      <w:lvlText w:val="o"/>
      <w:lvlJc w:val="left"/>
      <w:pPr>
        <w:ind w:left="3490" w:hanging="360"/>
      </w:pPr>
      <w:rPr>
        <w:rFonts w:ascii="Courier New" w:hAnsi="Courier New" w:cs="Courier New" w:hint="default"/>
      </w:rPr>
    </w:lvl>
    <w:lvl w:ilvl="5" w:tplc="0C090005" w:tentative="1">
      <w:start w:val="1"/>
      <w:numFmt w:val="bullet"/>
      <w:lvlText w:val=""/>
      <w:lvlJc w:val="left"/>
      <w:pPr>
        <w:ind w:left="4210" w:hanging="360"/>
      </w:pPr>
      <w:rPr>
        <w:rFonts w:ascii="Wingdings" w:hAnsi="Wingdings" w:hint="default"/>
      </w:rPr>
    </w:lvl>
    <w:lvl w:ilvl="6" w:tplc="0C090001" w:tentative="1">
      <w:start w:val="1"/>
      <w:numFmt w:val="bullet"/>
      <w:lvlText w:val=""/>
      <w:lvlJc w:val="left"/>
      <w:pPr>
        <w:ind w:left="4930" w:hanging="360"/>
      </w:pPr>
      <w:rPr>
        <w:rFonts w:ascii="Symbol" w:hAnsi="Symbol" w:hint="default"/>
      </w:rPr>
    </w:lvl>
    <w:lvl w:ilvl="7" w:tplc="0C090003" w:tentative="1">
      <w:start w:val="1"/>
      <w:numFmt w:val="bullet"/>
      <w:lvlText w:val="o"/>
      <w:lvlJc w:val="left"/>
      <w:pPr>
        <w:ind w:left="5650" w:hanging="360"/>
      </w:pPr>
      <w:rPr>
        <w:rFonts w:ascii="Courier New" w:hAnsi="Courier New" w:cs="Courier New" w:hint="default"/>
      </w:rPr>
    </w:lvl>
    <w:lvl w:ilvl="8" w:tplc="0C090005" w:tentative="1">
      <w:start w:val="1"/>
      <w:numFmt w:val="bullet"/>
      <w:lvlText w:val=""/>
      <w:lvlJc w:val="left"/>
      <w:pPr>
        <w:ind w:left="6370" w:hanging="360"/>
      </w:pPr>
      <w:rPr>
        <w:rFonts w:ascii="Wingdings" w:hAnsi="Wingdings" w:hint="default"/>
      </w:rPr>
    </w:lvl>
  </w:abstractNum>
  <w:abstractNum w:abstractNumId="34" w15:restartNumberingAfterBreak="0">
    <w:nsid w:val="585A308F"/>
    <w:multiLevelType w:val="hybridMultilevel"/>
    <w:tmpl w:val="25D245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D56043A"/>
    <w:multiLevelType w:val="multilevel"/>
    <w:tmpl w:val="69AEB596"/>
    <w:numStyleLink w:val="BulletsList"/>
  </w:abstractNum>
  <w:abstractNum w:abstractNumId="36" w15:restartNumberingAfterBreak="0">
    <w:nsid w:val="5F8718EB"/>
    <w:multiLevelType w:val="hybridMultilevel"/>
    <w:tmpl w:val="4BE4F3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C30362"/>
    <w:multiLevelType w:val="hybridMultilevel"/>
    <w:tmpl w:val="D742A6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082465"/>
    <w:multiLevelType w:val="hybridMultilevel"/>
    <w:tmpl w:val="C3CCF30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0" w15:restartNumberingAfterBreak="0">
    <w:nsid w:val="76405115"/>
    <w:multiLevelType w:val="hybridMultilevel"/>
    <w:tmpl w:val="5932406A"/>
    <w:lvl w:ilvl="0" w:tplc="0C090003">
      <w:start w:val="1"/>
      <w:numFmt w:val="bullet"/>
      <w:lvlText w:val="o"/>
      <w:lvlJc w:val="left"/>
      <w:pPr>
        <w:ind w:left="682" w:hanging="360"/>
      </w:pPr>
      <w:rPr>
        <w:rFonts w:ascii="Courier New" w:hAnsi="Courier New" w:cs="Courier New" w:hint="default"/>
      </w:rPr>
    </w:lvl>
    <w:lvl w:ilvl="1" w:tplc="0C090003" w:tentative="1">
      <w:start w:val="1"/>
      <w:numFmt w:val="bullet"/>
      <w:lvlText w:val="o"/>
      <w:lvlJc w:val="left"/>
      <w:pPr>
        <w:ind w:left="1402" w:hanging="360"/>
      </w:pPr>
      <w:rPr>
        <w:rFonts w:ascii="Courier New" w:hAnsi="Courier New" w:cs="Courier New" w:hint="default"/>
      </w:rPr>
    </w:lvl>
    <w:lvl w:ilvl="2" w:tplc="0C090005" w:tentative="1">
      <w:start w:val="1"/>
      <w:numFmt w:val="bullet"/>
      <w:lvlText w:val=""/>
      <w:lvlJc w:val="left"/>
      <w:pPr>
        <w:ind w:left="2122" w:hanging="360"/>
      </w:pPr>
      <w:rPr>
        <w:rFonts w:ascii="Wingdings" w:hAnsi="Wingdings" w:hint="default"/>
      </w:rPr>
    </w:lvl>
    <w:lvl w:ilvl="3" w:tplc="0C090001" w:tentative="1">
      <w:start w:val="1"/>
      <w:numFmt w:val="bullet"/>
      <w:lvlText w:val=""/>
      <w:lvlJc w:val="left"/>
      <w:pPr>
        <w:ind w:left="2842" w:hanging="360"/>
      </w:pPr>
      <w:rPr>
        <w:rFonts w:ascii="Symbol" w:hAnsi="Symbol" w:hint="default"/>
      </w:rPr>
    </w:lvl>
    <w:lvl w:ilvl="4" w:tplc="0C090003" w:tentative="1">
      <w:start w:val="1"/>
      <w:numFmt w:val="bullet"/>
      <w:lvlText w:val="o"/>
      <w:lvlJc w:val="left"/>
      <w:pPr>
        <w:ind w:left="3562" w:hanging="360"/>
      </w:pPr>
      <w:rPr>
        <w:rFonts w:ascii="Courier New" w:hAnsi="Courier New" w:cs="Courier New" w:hint="default"/>
      </w:rPr>
    </w:lvl>
    <w:lvl w:ilvl="5" w:tplc="0C090005" w:tentative="1">
      <w:start w:val="1"/>
      <w:numFmt w:val="bullet"/>
      <w:lvlText w:val=""/>
      <w:lvlJc w:val="left"/>
      <w:pPr>
        <w:ind w:left="4282" w:hanging="360"/>
      </w:pPr>
      <w:rPr>
        <w:rFonts w:ascii="Wingdings" w:hAnsi="Wingdings" w:hint="default"/>
      </w:rPr>
    </w:lvl>
    <w:lvl w:ilvl="6" w:tplc="0C090001" w:tentative="1">
      <w:start w:val="1"/>
      <w:numFmt w:val="bullet"/>
      <w:lvlText w:val=""/>
      <w:lvlJc w:val="left"/>
      <w:pPr>
        <w:ind w:left="5002" w:hanging="360"/>
      </w:pPr>
      <w:rPr>
        <w:rFonts w:ascii="Symbol" w:hAnsi="Symbol" w:hint="default"/>
      </w:rPr>
    </w:lvl>
    <w:lvl w:ilvl="7" w:tplc="0C090003" w:tentative="1">
      <w:start w:val="1"/>
      <w:numFmt w:val="bullet"/>
      <w:lvlText w:val="o"/>
      <w:lvlJc w:val="left"/>
      <w:pPr>
        <w:ind w:left="5722" w:hanging="360"/>
      </w:pPr>
      <w:rPr>
        <w:rFonts w:ascii="Courier New" w:hAnsi="Courier New" w:cs="Courier New" w:hint="default"/>
      </w:rPr>
    </w:lvl>
    <w:lvl w:ilvl="8" w:tplc="0C090005" w:tentative="1">
      <w:start w:val="1"/>
      <w:numFmt w:val="bullet"/>
      <w:lvlText w:val=""/>
      <w:lvlJc w:val="left"/>
      <w:pPr>
        <w:ind w:left="6442" w:hanging="360"/>
      </w:pPr>
      <w:rPr>
        <w:rFonts w:ascii="Wingdings" w:hAnsi="Wingdings" w:hint="default"/>
      </w:rPr>
    </w:lvl>
  </w:abstractNum>
  <w:abstractNum w:abstractNumId="41" w15:restartNumberingAfterBreak="0">
    <w:nsid w:val="76E32132"/>
    <w:multiLevelType w:val="hybridMultilevel"/>
    <w:tmpl w:val="5AE43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D53207C"/>
    <w:multiLevelType w:val="hybridMultilevel"/>
    <w:tmpl w:val="1AD840C6"/>
    <w:lvl w:ilvl="0" w:tplc="AF2CD8A2">
      <w:start w:val="1"/>
      <w:numFmt w:val="decimal"/>
      <w:pStyle w:val="SDAnumberedlist"/>
      <w:lvlText w:val="%1"/>
      <w:lvlJc w:val="left"/>
      <w:pPr>
        <w:ind w:left="1080" w:hanging="360"/>
      </w:pPr>
      <w:rPr>
        <w:rFonts w:hint="default"/>
        <w:b/>
        <w:color w:val="CF5D2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038579210">
    <w:abstractNumId w:val="39"/>
  </w:num>
  <w:num w:numId="2" w16cid:durableId="237525058">
    <w:abstractNumId w:val="35"/>
  </w:num>
  <w:num w:numId="3" w16cid:durableId="621300318">
    <w:abstractNumId w:val="12"/>
  </w:num>
  <w:num w:numId="4" w16cid:durableId="1436825209">
    <w:abstractNumId w:val="22"/>
  </w:num>
  <w:num w:numId="5" w16cid:durableId="1910992794">
    <w:abstractNumId w:val="19"/>
  </w:num>
  <w:num w:numId="6" w16cid:durableId="1922835474">
    <w:abstractNumId w:val="42"/>
  </w:num>
  <w:num w:numId="7" w16cid:durableId="865673296">
    <w:abstractNumId w:val="41"/>
  </w:num>
  <w:num w:numId="8" w16cid:durableId="733894713">
    <w:abstractNumId w:val="38"/>
  </w:num>
  <w:num w:numId="9" w16cid:durableId="610865018">
    <w:abstractNumId w:val="24"/>
  </w:num>
  <w:num w:numId="10" w16cid:durableId="1370255050">
    <w:abstractNumId w:val="32"/>
  </w:num>
  <w:num w:numId="11" w16cid:durableId="908468483">
    <w:abstractNumId w:val="1"/>
  </w:num>
  <w:num w:numId="12" w16cid:durableId="307368588">
    <w:abstractNumId w:val="40"/>
  </w:num>
  <w:num w:numId="13" w16cid:durableId="404188944">
    <w:abstractNumId w:val="26"/>
  </w:num>
  <w:num w:numId="14" w16cid:durableId="1539657561">
    <w:abstractNumId w:val="30"/>
  </w:num>
  <w:num w:numId="15" w16cid:durableId="557204614">
    <w:abstractNumId w:val="2"/>
  </w:num>
  <w:num w:numId="16" w16cid:durableId="358238256">
    <w:abstractNumId w:val="13"/>
  </w:num>
  <w:num w:numId="17" w16cid:durableId="113672039">
    <w:abstractNumId w:val="34"/>
  </w:num>
  <w:num w:numId="18" w16cid:durableId="38360449">
    <w:abstractNumId w:val="31"/>
  </w:num>
  <w:num w:numId="19" w16cid:durableId="249631423">
    <w:abstractNumId w:val="36"/>
  </w:num>
  <w:num w:numId="20" w16cid:durableId="1701197610">
    <w:abstractNumId w:val="0"/>
  </w:num>
  <w:num w:numId="21" w16cid:durableId="1724714398">
    <w:abstractNumId w:val="8"/>
  </w:num>
  <w:num w:numId="22" w16cid:durableId="1781416853">
    <w:abstractNumId w:val="14"/>
  </w:num>
  <w:num w:numId="23" w16cid:durableId="327557541">
    <w:abstractNumId w:val="33"/>
  </w:num>
  <w:num w:numId="24" w16cid:durableId="647132619">
    <w:abstractNumId w:val="28"/>
  </w:num>
  <w:num w:numId="25" w16cid:durableId="312567595">
    <w:abstractNumId w:val="4"/>
  </w:num>
  <w:num w:numId="26" w16cid:durableId="721909591">
    <w:abstractNumId w:val="7"/>
  </w:num>
  <w:num w:numId="27" w16cid:durableId="1197279758">
    <w:abstractNumId w:val="25"/>
  </w:num>
  <w:num w:numId="28" w16cid:durableId="583806807">
    <w:abstractNumId w:val="20"/>
  </w:num>
  <w:num w:numId="29" w16cid:durableId="55247113">
    <w:abstractNumId w:val="29"/>
  </w:num>
  <w:num w:numId="30" w16cid:durableId="557597909">
    <w:abstractNumId w:val="23"/>
  </w:num>
  <w:num w:numId="31" w16cid:durableId="992221780">
    <w:abstractNumId w:val="6"/>
  </w:num>
  <w:num w:numId="32" w16cid:durableId="778599457">
    <w:abstractNumId w:val="37"/>
  </w:num>
  <w:num w:numId="33" w16cid:durableId="226307145">
    <w:abstractNumId w:val="21"/>
  </w:num>
  <w:num w:numId="34" w16cid:durableId="1505319589">
    <w:abstractNumId w:val="16"/>
  </w:num>
  <w:num w:numId="35" w16cid:durableId="869104997">
    <w:abstractNumId w:val="9"/>
  </w:num>
  <w:num w:numId="36" w16cid:durableId="555164017">
    <w:abstractNumId w:val="17"/>
  </w:num>
  <w:num w:numId="37" w16cid:durableId="959992219">
    <w:abstractNumId w:val="11"/>
  </w:num>
  <w:num w:numId="38" w16cid:durableId="1310594732">
    <w:abstractNumId w:val="5"/>
  </w:num>
  <w:num w:numId="39" w16cid:durableId="445732472">
    <w:abstractNumId w:val="3"/>
  </w:num>
  <w:num w:numId="40" w16cid:durableId="242380573">
    <w:abstractNumId w:val="27"/>
  </w:num>
  <w:num w:numId="41" w16cid:durableId="459035358">
    <w:abstractNumId w:val="10"/>
  </w:num>
  <w:num w:numId="42" w16cid:durableId="1541212245">
    <w:abstractNumId w:val="15"/>
  </w:num>
  <w:num w:numId="43" w16cid:durableId="337586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9892734">
    <w:abstractNumId w:val="15"/>
  </w:num>
  <w:num w:numId="45" w16cid:durableId="1786535779">
    <w:abstractNumId w:val="18"/>
  </w:num>
  <w:num w:numId="46" w16cid:durableId="102115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28"/>
    <w:rsid w:val="00000E42"/>
    <w:rsid w:val="000050C5"/>
    <w:rsid w:val="00022179"/>
    <w:rsid w:val="00022F75"/>
    <w:rsid w:val="00024736"/>
    <w:rsid w:val="000261F9"/>
    <w:rsid w:val="00033AF3"/>
    <w:rsid w:val="0004430C"/>
    <w:rsid w:val="00045FD8"/>
    <w:rsid w:val="00046AB2"/>
    <w:rsid w:val="00060857"/>
    <w:rsid w:val="00066DE5"/>
    <w:rsid w:val="00067015"/>
    <w:rsid w:val="00070035"/>
    <w:rsid w:val="00070172"/>
    <w:rsid w:val="00073132"/>
    <w:rsid w:val="00074E6B"/>
    <w:rsid w:val="00075088"/>
    <w:rsid w:val="00081ED2"/>
    <w:rsid w:val="000A4711"/>
    <w:rsid w:val="000B0007"/>
    <w:rsid w:val="000D0236"/>
    <w:rsid w:val="000D3BDB"/>
    <w:rsid w:val="000E311F"/>
    <w:rsid w:val="000E5837"/>
    <w:rsid w:val="000E65F0"/>
    <w:rsid w:val="000E7074"/>
    <w:rsid w:val="000F47F8"/>
    <w:rsid w:val="001000FF"/>
    <w:rsid w:val="00102C25"/>
    <w:rsid w:val="00103A0E"/>
    <w:rsid w:val="00104052"/>
    <w:rsid w:val="001043ED"/>
    <w:rsid w:val="001125F8"/>
    <w:rsid w:val="00113063"/>
    <w:rsid w:val="00117454"/>
    <w:rsid w:val="00117F8E"/>
    <w:rsid w:val="001211AF"/>
    <w:rsid w:val="001221EA"/>
    <w:rsid w:val="00124ED4"/>
    <w:rsid w:val="0012541D"/>
    <w:rsid w:val="00130766"/>
    <w:rsid w:val="00133EAB"/>
    <w:rsid w:val="0013547F"/>
    <w:rsid w:val="0014049A"/>
    <w:rsid w:val="00144F86"/>
    <w:rsid w:val="00153674"/>
    <w:rsid w:val="00157044"/>
    <w:rsid w:val="00157813"/>
    <w:rsid w:val="00157B06"/>
    <w:rsid w:val="00181FB8"/>
    <w:rsid w:val="00183142"/>
    <w:rsid w:val="00184A4C"/>
    <w:rsid w:val="00186DD9"/>
    <w:rsid w:val="00191F21"/>
    <w:rsid w:val="001940C2"/>
    <w:rsid w:val="00195750"/>
    <w:rsid w:val="001A6A1D"/>
    <w:rsid w:val="001A7B01"/>
    <w:rsid w:val="001B3CB5"/>
    <w:rsid w:val="001B4D46"/>
    <w:rsid w:val="001B5F7D"/>
    <w:rsid w:val="001C0980"/>
    <w:rsid w:val="001C1941"/>
    <w:rsid w:val="001C6DA3"/>
    <w:rsid w:val="001D27FA"/>
    <w:rsid w:val="001D48A8"/>
    <w:rsid w:val="001E6CE9"/>
    <w:rsid w:val="001F2C53"/>
    <w:rsid w:val="001F5E2D"/>
    <w:rsid w:val="002004DD"/>
    <w:rsid w:val="00201AEE"/>
    <w:rsid w:val="002060CD"/>
    <w:rsid w:val="0020657D"/>
    <w:rsid w:val="00210427"/>
    <w:rsid w:val="002122DD"/>
    <w:rsid w:val="00214AD8"/>
    <w:rsid w:val="0021622B"/>
    <w:rsid w:val="002172A5"/>
    <w:rsid w:val="0022371D"/>
    <w:rsid w:val="002265F9"/>
    <w:rsid w:val="00233390"/>
    <w:rsid w:val="00240226"/>
    <w:rsid w:val="0024567A"/>
    <w:rsid w:val="00245C6C"/>
    <w:rsid w:val="00254AA1"/>
    <w:rsid w:val="00254ADF"/>
    <w:rsid w:val="00277ED1"/>
    <w:rsid w:val="00281295"/>
    <w:rsid w:val="00291DC7"/>
    <w:rsid w:val="00295765"/>
    <w:rsid w:val="00296297"/>
    <w:rsid w:val="002A204A"/>
    <w:rsid w:val="002B3B85"/>
    <w:rsid w:val="002C103D"/>
    <w:rsid w:val="002C446C"/>
    <w:rsid w:val="002D734F"/>
    <w:rsid w:val="002E1774"/>
    <w:rsid w:val="002E444F"/>
    <w:rsid w:val="002E7517"/>
    <w:rsid w:val="002F0789"/>
    <w:rsid w:val="002F3B10"/>
    <w:rsid w:val="003015BF"/>
    <w:rsid w:val="0030288C"/>
    <w:rsid w:val="00302F0B"/>
    <w:rsid w:val="00307B9B"/>
    <w:rsid w:val="00320668"/>
    <w:rsid w:val="00321BC8"/>
    <w:rsid w:val="00324880"/>
    <w:rsid w:val="003413BC"/>
    <w:rsid w:val="0034249A"/>
    <w:rsid w:val="00350B05"/>
    <w:rsid w:val="003525D0"/>
    <w:rsid w:val="00353D7B"/>
    <w:rsid w:val="003625FC"/>
    <w:rsid w:val="00364192"/>
    <w:rsid w:val="00366FD5"/>
    <w:rsid w:val="00372535"/>
    <w:rsid w:val="00373F47"/>
    <w:rsid w:val="0037433E"/>
    <w:rsid w:val="00374505"/>
    <w:rsid w:val="00376F7B"/>
    <w:rsid w:val="0038227E"/>
    <w:rsid w:val="00386513"/>
    <w:rsid w:val="00387F10"/>
    <w:rsid w:val="0039084B"/>
    <w:rsid w:val="00393912"/>
    <w:rsid w:val="00393956"/>
    <w:rsid w:val="003948A6"/>
    <w:rsid w:val="00395022"/>
    <w:rsid w:val="003A367A"/>
    <w:rsid w:val="003B09EB"/>
    <w:rsid w:val="003C2B83"/>
    <w:rsid w:val="003D03DC"/>
    <w:rsid w:val="003D12D0"/>
    <w:rsid w:val="003F31C8"/>
    <w:rsid w:val="003F476F"/>
    <w:rsid w:val="003F56DB"/>
    <w:rsid w:val="003F5DE5"/>
    <w:rsid w:val="004028B8"/>
    <w:rsid w:val="00406CBC"/>
    <w:rsid w:val="00410821"/>
    <w:rsid w:val="00412B4F"/>
    <w:rsid w:val="00412FB8"/>
    <w:rsid w:val="00416D95"/>
    <w:rsid w:val="00416FC7"/>
    <w:rsid w:val="00417528"/>
    <w:rsid w:val="0042256F"/>
    <w:rsid w:val="004348DC"/>
    <w:rsid w:val="00436A65"/>
    <w:rsid w:val="00443951"/>
    <w:rsid w:val="00445B46"/>
    <w:rsid w:val="00462CF8"/>
    <w:rsid w:val="00466B82"/>
    <w:rsid w:val="00482B0E"/>
    <w:rsid w:val="00490AD0"/>
    <w:rsid w:val="004B21AA"/>
    <w:rsid w:val="004B6AAF"/>
    <w:rsid w:val="004E1CF9"/>
    <w:rsid w:val="004E55A6"/>
    <w:rsid w:val="00500611"/>
    <w:rsid w:val="005024CD"/>
    <w:rsid w:val="005165FC"/>
    <w:rsid w:val="00522250"/>
    <w:rsid w:val="0052405E"/>
    <w:rsid w:val="00524168"/>
    <w:rsid w:val="00527048"/>
    <w:rsid w:val="00527993"/>
    <w:rsid w:val="005279D4"/>
    <w:rsid w:val="00533C45"/>
    <w:rsid w:val="005355FB"/>
    <w:rsid w:val="0054121C"/>
    <w:rsid w:val="00541D6E"/>
    <w:rsid w:val="00545904"/>
    <w:rsid w:val="005466E3"/>
    <w:rsid w:val="00550134"/>
    <w:rsid w:val="00561001"/>
    <w:rsid w:val="00561056"/>
    <w:rsid w:val="005646D8"/>
    <w:rsid w:val="005663CC"/>
    <w:rsid w:val="0058243B"/>
    <w:rsid w:val="00582E86"/>
    <w:rsid w:val="005843BC"/>
    <w:rsid w:val="00586200"/>
    <w:rsid w:val="005868C1"/>
    <w:rsid w:val="00593522"/>
    <w:rsid w:val="00594BAA"/>
    <w:rsid w:val="00596E27"/>
    <w:rsid w:val="005973D2"/>
    <w:rsid w:val="005A26C3"/>
    <w:rsid w:val="005A3843"/>
    <w:rsid w:val="005B0B46"/>
    <w:rsid w:val="005B40DC"/>
    <w:rsid w:val="005B6074"/>
    <w:rsid w:val="005D7573"/>
    <w:rsid w:val="005E36B1"/>
    <w:rsid w:val="005E4B03"/>
    <w:rsid w:val="005E6AE7"/>
    <w:rsid w:val="005F0A87"/>
    <w:rsid w:val="00603FF7"/>
    <w:rsid w:val="00607EDC"/>
    <w:rsid w:val="0061424E"/>
    <w:rsid w:val="00622AE8"/>
    <w:rsid w:val="00622C79"/>
    <w:rsid w:val="00625282"/>
    <w:rsid w:val="00630DC6"/>
    <w:rsid w:val="006434F0"/>
    <w:rsid w:val="00645E64"/>
    <w:rsid w:val="0066201F"/>
    <w:rsid w:val="00662615"/>
    <w:rsid w:val="0066735C"/>
    <w:rsid w:val="006738E1"/>
    <w:rsid w:val="00683E4E"/>
    <w:rsid w:val="00692A35"/>
    <w:rsid w:val="00697C07"/>
    <w:rsid w:val="006A45D1"/>
    <w:rsid w:val="006B6C3E"/>
    <w:rsid w:val="006C3036"/>
    <w:rsid w:val="006C59EB"/>
    <w:rsid w:val="006D0763"/>
    <w:rsid w:val="006D2B55"/>
    <w:rsid w:val="006F1FA5"/>
    <w:rsid w:val="006F32C8"/>
    <w:rsid w:val="006F62C4"/>
    <w:rsid w:val="0070144B"/>
    <w:rsid w:val="00701E4F"/>
    <w:rsid w:val="00707AA2"/>
    <w:rsid w:val="00717979"/>
    <w:rsid w:val="00724355"/>
    <w:rsid w:val="007323E0"/>
    <w:rsid w:val="00733A9C"/>
    <w:rsid w:val="007458B7"/>
    <w:rsid w:val="007621BD"/>
    <w:rsid w:val="007624AC"/>
    <w:rsid w:val="0076743C"/>
    <w:rsid w:val="007770F6"/>
    <w:rsid w:val="00783197"/>
    <w:rsid w:val="00783FF0"/>
    <w:rsid w:val="007859D0"/>
    <w:rsid w:val="007947DB"/>
    <w:rsid w:val="00795EAE"/>
    <w:rsid w:val="007C33DC"/>
    <w:rsid w:val="007C44E3"/>
    <w:rsid w:val="007F52C8"/>
    <w:rsid w:val="007F710E"/>
    <w:rsid w:val="007F7B32"/>
    <w:rsid w:val="0080141C"/>
    <w:rsid w:val="0081162B"/>
    <w:rsid w:val="008200E3"/>
    <w:rsid w:val="008212C2"/>
    <w:rsid w:val="00822D6E"/>
    <w:rsid w:val="008303E6"/>
    <w:rsid w:val="00831ED1"/>
    <w:rsid w:val="008338C4"/>
    <w:rsid w:val="008357C9"/>
    <w:rsid w:val="00842F96"/>
    <w:rsid w:val="00843DD6"/>
    <w:rsid w:val="008475B3"/>
    <w:rsid w:val="00854C5B"/>
    <w:rsid w:val="00862445"/>
    <w:rsid w:val="00863682"/>
    <w:rsid w:val="0087399D"/>
    <w:rsid w:val="008776D7"/>
    <w:rsid w:val="00877DDF"/>
    <w:rsid w:val="008A2CEB"/>
    <w:rsid w:val="008A450B"/>
    <w:rsid w:val="008A698E"/>
    <w:rsid w:val="008B27CC"/>
    <w:rsid w:val="008C0756"/>
    <w:rsid w:val="008C33AF"/>
    <w:rsid w:val="008D64AF"/>
    <w:rsid w:val="008D7235"/>
    <w:rsid w:val="008D7D9E"/>
    <w:rsid w:val="008F2AEB"/>
    <w:rsid w:val="008F3CB9"/>
    <w:rsid w:val="008F6E59"/>
    <w:rsid w:val="009006BE"/>
    <w:rsid w:val="009027C8"/>
    <w:rsid w:val="009041CD"/>
    <w:rsid w:val="00904252"/>
    <w:rsid w:val="00915542"/>
    <w:rsid w:val="00915EF8"/>
    <w:rsid w:val="00923AC6"/>
    <w:rsid w:val="00923C87"/>
    <w:rsid w:val="00926699"/>
    <w:rsid w:val="009321E2"/>
    <w:rsid w:val="00934E98"/>
    <w:rsid w:val="00937859"/>
    <w:rsid w:val="00940529"/>
    <w:rsid w:val="00941279"/>
    <w:rsid w:val="00957746"/>
    <w:rsid w:val="00957C08"/>
    <w:rsid w:val="00961501"/>
    <w:rsid w:val="00966F12"/>
    <w:rsid w:val="00970147"/>
    <w:rsid w:val="009711DD"/>
    <w:rsid w:val="009724A5"/>
    <w:rsid w:val="0098026E"/>
    <w:rsid w:val="009854EC"/>
    <w:rsid w:val="009865E2"/>
    <w:rsid w:val="00992FD3"/>
    <w:rsid w:val="0099410C"/>
    <w:rsid w:val="00996DFD"/>
    <w:rsid w:val="00996F9F"/>
    <w:rsid w:val="009A115A"/>
    <w:rsid w:val="009A2F15"/>
    <w:rsid w:val="009B1473"/>
    <w:rsid w:val="009B652E"/>
    <w:rsid w:val="009B7370"/>
    <w:rsid w:val="009D3A79"/>
    <w:rsid w:val="009D4803"/>
    <w:rsid w:val="009D5568"/>
    <w:rsid w:val="009D7041"/>
    <w:rsid w:val="009E4886"/>
    <w:rsid w:val="009F08EA"/>
    <w:rsid w:val="009F4416"/>
    <w:rsid w:val="009F44B9"/>
    <w:rsid w:val="009F74BD"/>
    <w:rsid w:val="00A00A41"/>
    <w:rsid w:val="00A06C79"/>
    <w:rsid w:val="00A07078"/>
    <w:rsid w:val="00A108FE"/>
    <w:rsid w:val="00A222FF"/>
    <w:rsid w:val="00A22680"/>
    <w:rsid w:val="00A4174E"/>
    <w:rsid w:val="00A5057F"/>
    <w:rsid w:val="00A56692"/>
    <w:rsid w:val="00A60B54"/>
    <w:rsid w:val="00A63D3D"/>
    <w:rsid w:val="00A70DDC"/>
    <w:rsid w:val="00A731D9"/>
    <w:rsid w:val="00A73A1E"/>
    <w:rsid w:val="00A746D6"/>
    <w:rsid w:val="00A749CA"/>
    <w:rsid w:val="00A776B8"/>
    <w:rsid w:val="00A77DE4"/>
    <w:rsid w:val="00A824C9"/>
    <w:rsid w:val="00A84A80"/>
    <w:rsid w:val="00A864FC"/>
    <w:rsid w:val="00A912E8"/>
    <w:rsid w:val="00A92E78"/>
    <w:rsid w:val="00AA1A5C"/>
    <w:rsid w:val="00AB2864"/>
    <w:rsid w:val="00AB3D51"/>
    <w:rsid w:val="00AC24DA"/>
    <w:rsid w:val="00AE455E"/>
    <w:rsid w:val="00AE69BE"/>
    <w:rsid w:val="00AE7F34"/>
    <w:rsid w:val="00AF0016"/>
    <w:rsid w:val="00AF211E"/>
    <w:rsid w:val="00AF782F"/>
    <w:rsid w:val="00B06337"/>
    <w:rsid w:val="00B23FF1"/>
    <w:rsid w:val="00B33E55"/>
    <w:rsid w:val="00B53073"/>
    <w:rsid w:val="00B60E5C"/>
    <w:rsid w:val="00B63374"/>
    <w:rsid w:val="00B7452B"/>
    <w:rsid w:val="00B746F2"/>
    <w:rsid w:val="00B84834"/>
    <w:rsid w:val="00B84EF9"/>
    <w:rsid w:val="00B85FD4"/>
    <w:rsid w:val="00B85FF3"/>
    <w:rsid w:val="00B91AC1"/>
    <w:rsid w:val="00B93E10"/>
    <w:rsid w:val="00BA11CB"/>
    <w:rsid w:val="00BB1C84"/>
    <w:rsid w:val="00BC2C6C"/>
    <w:rsid w:val="00BC48B8"/>
    <w:rsid w:val="00BC71C0"/>
    <w:rsid w:val="00BD0A22"/>
    <w:rsid w:val="00BD418A"/>
    <w:rsid w:val="00BE07E7"/>
    <w:rsid w:val="00BF392B"/>
    <w:rsid w:val="00BF53C1"/>
    <w:rsid w:val="00BF594A"/>
    <w:rsid w:val="00C02279"/>
    <w:rsid w:val="00C03990"/>
    <w:rsid w:val="00C03C57"/>
    <w:rsid w:val="00C076B4"/>
    <w:rsid w:val="00C127D1"/>
    <w:rsid w:val="00C145AF"/>
    <w:rsid w:val="00C1480E"/>
    <w:rsid w:val="00C1613A"/>
    <w:rsid w:val="00C24B49"/>
    <w:rsid w:val="00C300F3"/>
    <w:rsid w:val="00C34D0B"/>
    <w:rsid w:val="00C41BD6"/>
    <w:rsid w:val="00C454BB"/>
    <w:rsid w:val="00C53ED1"/>
    <w:rsid w:val="00C57764"/>
    <w:rsid w:val="00C62317"/>
    <w:rsid w:val="00C63959"/>
    <w:rsid w:val="00C70622"/>
    <w:rsid w:val="00C817B9"/>
    <w:rsid w:val="00C81F83"/>
    <w:rsid w:val="00C82C4F"/>
    <w:rsid w:val="00C8739D"/>
    <w:rsid w:val="00C94A32"/>
    <w:rsid w:val="00CA6A9D"/>
    <w:rsid w:val="00CC07AD"/>
    <w:rsid w:val="00CC492B"/>
    <w:rsid w:val="00CD6B7B"/>
    <w:rsid w:val="00CE27AD"/>
    <w:rsid w:val="00CE35BC"/>
    <w:rsid w:val="00CE529F"/>
    <w:rsid w:val="00CE6A84"/>
    <w:rsid w:val="00CF02AF"/>
    <w:rsid w:val="00CF0395"/>
    <w:rsid w:val="00D03CFA"/>
    <w:rsid w:val="00D05681"/>
    <w:rsid w:val="00D11E1F"/>
    <w:rsid w:val="00D12251"/>
    <w:rsid w:val="00D14F37"/>
    <w:rsid w:val="00D1629B"/>
    <w:rsid w:val="00D176CA"/>
    <w:rsid w:val="00D26B64"/>
    <w:rsid w:val="00D50E1A"/>
    <w:rsid w:val="00D547D1"/>
    <w:rsid w:val="00D61DF3"/>
    <w:rsid w:val="00D6292F"/>
    <w:rsid w:val="00D66ED5"/>
    <w:rsid w:val="00D746C3"/>
    <w:rsid w:val="00D75690"/>
    <w:rsid w:val="00D8336C"/>
    <w:rsid w:val="00D971AE"/>
    <w:rsid w:val="00DA02DF"/>
    <w:rsid w:val="00DA7A40"/>
    <w:rsid w:val="00DA7B5D"/>
    <w:rsid w:val="00DB566E"/>
    <w:rsid w:val="00DB7AEE"/>
    <w:rsid w:val="00DC0FBD"/>
    <w:rsid w:val="00DC177A"/>
    <w:rsid w:val="00DC637F"/>
    <w:rsid w:val="00DD4984"/>
    <w:rsid w:val="00DE5907"/>
    <w:rsid w:val="00DF29CE"/>
    <w:rsid w:val="00E060B1"/>
    <w:rsid w:val="00E064D5"/>
    <w:rsid w:val="00E142F0"/>
    <w:rsid w:val="00E1637B"/>
    <w:rsid w:val="00E26E63"/>
    <w:rsid w:val="00E30E0E"/>
    <w:rsid w:val="00E36595"/>
    <w:rsid w:val="00E411BE"/>
    <w:rsid w:val="00E55D29"/>
    <w:rsid w:val="00E55E25"/>
    <w:rsid w:val="00E66210"/>
    <w:rsid w:val="00E716FA"/>
    <w:rsid w:val="00E769B7"/>
    <w:rsid w:val="00E77B59"/>
    <w:rsid w:val="00E92CFB"/>
    <w:rsid w:val="00EA2E0D"/>
    <w:rsid w:val="00EA537B"/>
    <w:rsid w:val="00EA5830"/>
    <w:rsid w:val="00EC173A"/>
    <w:rsid w:val="00EC29B3"/>
    <w:rsid w:val="00ED0317"/>
    <w:rsid w:val="00ED5018"/>
    <w:rsid w:val="00EE281F"/>
    <w:rsid w:val="00EE2F79"/>
    <w:rsid w:val="00EE43CC"/>
    <w:rsid w:val="00EE700B"/>
    <w:rsid w:val="00EF2FF6"/>
    <w:rsid w:val="00EF5A2C"/>
    <w:rsid w:val="00F010E1"/>
    <w:rsid w:val="00F11C5E"/>
    <w:rsid w:val="00F145BC"/>
    <w:rsid w:val="00F1460F"/>
    <w:rsid w:val="00F16F2B"/>
    <w:rsid w:val="00F23B4C"/>
    <w:rsid w:val="00F27F8D"/>
    <w:rsid w:val="00F334AD"/>
    <w:rsid w:val="00F33E5C"/>
    <w:rsid w:val="00F42B55"/>
    <w:rsid w:val="00F464A2"/>
    <w:rsid w:val="00F504F0"/>
    <w:rsid w:val="00F511D9"/>
    <w:rsid w:val="00F51C63"/>
    <w:rsid w:val="00F54069"/>
    <w:rsid w:val="00F57A86"/>
    <w:rsid w:val="00F7063B"/>
    <w:rsid w:val="00F71CB8"/>
    <w:rsid w:val="00F745F8"/>
    <w:rsid w:val="00F77A6F"/>
    <w:rsid w:val="00F809E9"/>
    <w:rsid w:val="00F81778"/>
    <w:rsid w:val="00F85704"/>
    <w:rsid w:val="00F96CED"/>
    <w:rsid w:val="00FA5D5B"/>
    <w:rsid w:val="00FB26F4"/>
    <w:rsid w:val="00FB53CE"/>
    <w:rsid w:val="00FB60F4"/>
    <w:rsid w:val="00FB7E73"/>
    <w:rsid w:val="00FC68C9"/>
    <w:rsid w:val="00FE30E2"/>
    <w:rsid w:val="00FF4B5C"/>
    <w:rsid w:val="00FF6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3F0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528"/>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17528"/>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4175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17528"/>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528"/>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17528"/>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17528"/>
    <w:pPr>
      <w:numPr>
        <w:numId w:val="2"/>
      </w:numPr>
      <w:tabs>
        <w:tab w:val="left" w:pos="567"/>
      </w:tabs>
      <w:spacing w:before="60"/>
    </w:pPr>
  </w:style>
  <w:style w:type="paragraph" w:customStyle="1" w:styleId="Bullet2">
    <w:name w:val="Bullet 2"/>
    <w:basedOn w:val="Bullet1"/>
    <w:qFormat/>
    <w:rsid w:val="00417528"/>
    <w:pPr>
      <w:numPr>
        <w:ilvl w:val="1"/>
      </w:numPr>
      <w:tabs>
        <w:tab w:val="clear" w:pos="568"/>
        <w:tab w:val="left" w:pos="851"/>
      </w:tabs>
    </w:pPr>
  </w:style>
  <w:style w:type="paragraph" w:customStyle="1" w:styleId="Bullet3">
    <w:name w:val="Bullet 3"/>
    <w:basedOn w:val="Bullet2"/>
    <w:qFormat/>
    <w:rsid w:val="00417528"/>
    <w:pPr>
      <w:numPr>
        <w:ilvl w:val="2"/>
      </w:numPr>
      <w:tabs>
        <w:tab w:val="clear" w:pos="852"/>
        <w:tab w:val="left" w:pos="1134"/>
      </w:tabs>
    </w:pPr>
  </w:style>
  <w:style w:type="numbering" w:customStyle="1" w:styleId="BulletsList">
    <w:name w:val="Bullets List"/>
    <w:uiPriority w:val="99"/>
    <w:rsid w:val="00417528"/>
    <w:pPr>
      <w:numPr>
        <w:numId w:val="1"/>
      </w:numPr>
    </w:pPr>
  </w:style>
  <w:style w:type="paragraph" w:customStyle="1" w:styleId="TableHeaderRow">
    <w:name w:val="Table Header Row"/>
    <w:basedOn w:val="Normal"/>
    <w:qFormat/>
    <w:rsid w:val="00417528"/>
    <w:pPr>
      <w:spacing w:before="60"/>
    </w:pPr>
    <w:rPr>
      <w:rFonts w:ascii="Calibri" w:hAnsi="Calibri"/>
      <w:b/>
      <w:color w:val="FFFFFF" w:themeColor="background1"/>
      <w:szCs w:val="21"/>
    </w:rPr>
  </w:style>
  <w:style w:type="table" w:customStyle="1" w:styleId="DFATTable1">
    <w:name w:val="DFAT Table 1"/>
    <w:basedOn w:val="TableNormal"/>
    <w:uiPriority w:val="99"/>
    <w:rsid w:val="00417528"/>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17528"/>
  </w:style>
  <w:style w:type="character" w:customStyle="1" w:styleId="BodyTextChar">
    <w:name w:val="Body Text Char"/>
    <w:basedOn w:val="DefaultParagraphFont"/>
    <w:link w:val="BodyText"/>
    <w:uiPriority w:val="99"/>
    <w:rsid w:val="00417528"/>
    <w:rPr>
      <w:color w:val="44546A" w:themeColor="text2"/>
      <w:lang w:val="en-GB"/>
    </w:rPr>
  </w:style>
  <w:style w:type="character" w:customStyle="1" w:styleId="Heading2Char">
    <w:name w:val="Heading 2 Char"/>
    <w:basedOn w:val="DefaultParagraphFont"/>
    <w:link w:val="Heading2"/>
    <w:uiPriority w:val="9"/>
    <w:semiHidden/>
    <w:rsid w:val="00417528"/>
    <w:rPr>
      <w:rFonts w:asciiTheme="majorHAnsi" w:eastAsiaTheme="majorEastAsia" w:hAnsiTheme="majorHAnsi" w:cstheme="majorBidi"/>
      <w:color w:val="2E74B5" w:themeColor="accent1" w:themeShade="BF"/>
      <w:sz w:val="26"/>
      <w:szCs w:val="26"/>
      <w:lang w:val="en-GB"/>
    </w:rPr>
  </w:style>
  <w:style w:type="paragraph" w:styleId="BalloonText">
    <w:name w:val="Balloon Text"/>
    <w:basedOn w:val="Normal"/>
    <w:link w:val="BalloonTextChar"/>
    <w:uiPriority w:val="99"/>
    <w:semiHidden/>
    <w:unhideWhenUsed/>
    <w:rsid w:val="0041752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28"/>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A70D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70DDC"/>
    <w:rPr>
      <w:color w:val="44546A" w:themeColor="text2"/>
      <w:lang w:val="en-GB"/>
    </w:rPr>
  </w:style>
  <w:style w:type="paragraph" w:styleId="Footer">
    <w:name w:val="footer"/>
    <w:basedOn w:val="Normal"/>
    <w:link w:val="FooterChar"/>
    <w:uiPriority w:val="99"/>
    <w:unhideWhenUsed/>
    <w:rsid w:val="00A70D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70DDC"/>
    <w:rPr>
      <w:color w:val="44546A" w:themeColor="text2"/>
      <w:lang w:val="en-GB"/>
    </w:rPr>
  </w:style>
  <w:style w:type="paragraph" w:styleId="FootnoteText">
    <w:name w:val="footnote text"/>
    <w:aliases w:val="single space,FOOTNOTES,fn,Footnote Text Char Char Char Char,Footnote Text Char Char Char,footnote text,ADB,Footnote Text Char Char Char Char Char,Footnote Text Char Char1,Footnote Text Char Char Char Char Char Char Char"/>
    <w:basedOn w:val="Normal"/>
    <w:link w:val="FootnoteTextChar"/>
    <w:uiPriority w:val="99"/>
    <w:unhideWhenUsed/>
    <w:rsid w:val="00A70DDC"/>
    <w:pPr>
      <w:suppressAutoHyphens w:val="0"/>
      <w:spacing w:before="0" w:after="0" w:line="240" w:lineRule="auto"/>
    </w:pPr>
    <w:rPr>
      <w:color w:val="auto"/>
      <w:sz w:val="20"/>
      <w:szCs w:val="20"/>
    </w:rPr>
  </w:style>
  <w:style w:type="character" w:customStyle="1" w:styleId="FootnoteTextChar">
    <w:name w:val="Footnote Text Char"/>
    <w:aliases w:val="single space Char,FOOTNOTES Char,fn Char,Footnote Text Char Char Char Char Char1,Footnote Text Char Char Char Char1,footnote text Char,ADB Char,Footnote Text Char Char Char Char Char Char,Footnote Text Char Char1 Char"/>
    <w:basedOn w:val="DefaultParagraphFont"/>
    <w:link w:val="FootnoteText"/>
    <w:uiPriority w:val="99"/>
    <w:rsid w:val="00A70DDC"/>
    <w:rPr>
      <w:sz w:val="20"/>
      <w:szCs w:val="20"/>
      <w:lang w:val="en-GB"/>
    </w:rPr>
  </w:style>
  <w:style w:type="character" w:styleId="FootnoteReference">
    <w:name w:val="footnote reference"/>
    <w:aliases w:val="de nota al pie,Ref,Normal + Font:9 Point,Superscript 3 Point Times,ftref,BVI fnr, BVI fnr,Footnote,16 Point,Superscript 6 Point,Footnote Reference Number,Footnote Reference_LVL6,Footnote Reference_LVL61,Footnote Reference_LVL62,fr"/>
    <w:basedOn w:val="DefaultParagraphFont"/>
    <w:link w:val="zzFootnotre"/>
    <w:uiPriority w:val="99"/>
    <w:unhideWhenUsed/>
    <w:qFormat/>
    <w:rsid w:val="00A70DDC"/>
    <w:rPr>
      <w:vertAlign w:val="superscript"/>
    </w:rPr>
  </w:style>
  <w:style w:type="paragraph" w:customStyle="1" w:styleId="zzFootnotre">
    <w:name w:val="zz Footnot re"/>
    <w:basedOn w:val="Normal"/>
    <w:link w:val="FootnoteReference"/>
    <w:uiPriority w:val="99"/>
    <w:rsid w:val="00A70DDC"/>
    <w:pPr>
      <w:suppressAutoHyphens w:val="0"/>
      <w:spacing w:after="160" w:line="240" w:lineRule="exact"/>
      <w:ind w:left="432"/>
    </w:pPr>
    <w:rPr>
      <w:color w:val="auto"/>
      <w:vertAlign w:val="superscript"/>
      <w:lang w:val="en-AU"/>
    </w:rPr>
  </w:style>
  <w:style w:type="paragraph" w:customStyle="1" w:styleId="SDAnumberedlist">
    <w:name w:val="SDA numbered list"/>
    <w:basedOn w:val="Normal"/>
    <w:qFormat/>
    <w:rsid w:val="00A70DDC"/>
    <w:pPr>
      <w:numPr>
        <w:numId w:val="6"/>
      </w:numPr>
      <w:suppressAutoHyphens w:val="0"/>
      <w:spacing w:after="120" w:line="240" w:lineRule="auto"/>
    </w:pPr>
    <w:rPr>
      <w:color w:val="auto"/>
    </w:rPr>
  </w:style>
  <w:style w:type="paragraph" w:styleId="ListParagraph">
    <w:name w:val="List Paragraph"/>
    <w:basedOn w:val="Normal"/>
    <w:uiPriority w:val="34"/>
    <w:qFormat/>
    <w:rsid w:val="00915EF8"/>
    <w:pPr>
      <w:ind w:left="720"/>
      <w:contextualSpacing/>
    </w:pPr>
  </w:style>
  <w:style w:type="table" w:styleId="GridTable3-Accent1">
    <w:name w:val="Grid Table 3 Accent 1"/>
    <w:basedOn w:val="TableNormal"/>
    <w:uiPriority w:val="48"/>
    <w:rsid w:val="00E064D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Default">
    <w:name w:val="Default"/>
    <w:rsid w:val="004B6AA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5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204A"/>
    <w:rPr>
      <w:sz w:val="16"/>
      <w:szCs w:val="16"/>
    </w:rPr>
  </w:style>
  <w:style w:type="paragraph" w:styleId="CommentText">
    <w:name w:val="annotation text"/>
    <w:basedOn w:val="Normal"/>
    <w:link w:val="CommentTextChar"/>
    <w:uiPriority w:val="99"/>
    <w:unhideWhenUsed/>
    <w:rsid w:val="002A204A"/>
    <w:pPr>
      <w:spacing w:line="240" w:lineRule="auto"/>
    </w:pPr>
    <w:rPr>
      <w:sz w:val="20"/>
      <w:szCs w:val="20"/>
    </w:rPr>
  </w:style>
  <w:style w:type="character" w:customStyle="1" w:styleId="CommentTextChar">
    <w:name w:val="Comment Text Char"/>
    <w:basedOn w:val="DefaultParagraphFont"/>
    <w:link w:val="CommentText"/>
    <w:uiPriority w:val="99"/>
    <w:rsid w:val="002A204A"/>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2A204A"/>
    <w:rPr>
      <w:b/>
      <w:bCs/>
    </w:rPr>
  </w:style>
  <w:style w:type="character" w:customStyle="1" w:styleId="CommentSubjectChar">
    <w:name w:val="Comment Subject Char"/>
    <w:basedOn w:val="CommentTextChar"/>
    <w:link w:val="CommentSubject"/>
    <w:uiPriority w:val="99"/>
    <w:semiHidden/>
    <w:rsid w:val="002A204A"/>
    <w:rPr>
      <w:b/>
      <w:bCs/>
      <w:color w:val="44546A" w:themeColor="text2"/>
      <w:sz w:val="20"/>
      <w:szCs w:val="20"/>
      <w:lang w:val="en-GB"/>
    </w:rPr>
  </w:style>
  <w:style w:type="paragraph" w:styleId="Revision">
    <w:name w:val="Revision"/>
    <w:hidden/>
    <w:uiPriority w:val="99"/>
    <w:semiHidden/>
    <w:rsid w:val="00F1460F"/>
    <w:pPr>
      <w:spacing w:after="0" w:line="240" w:lineRule="auto"/>
    </w:pPr>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116">
      <w:bodyDiv w:val="1"/>
      <w:marLeft w:val="0"/>
      <w:marRight w:val="0"/>
      <w:marTop w:val="0"/>
      <w:marBottom w:val="0"/>
      <w:divBdr>
        <w:top w:val="none" w:sz="0" w:space="0" w:color="auto"/>
        <w:left w:val="none" w:sz="0" w:space="0" w:color="auto"/>
        <w:bottom w:val="none" w:sz="0" w:space="0" w:color="auto"/>
        <w:right w:val="none" w:sz="0" w:space="0" w:color="auto"/>
      </w:divBdr>
    </w:div>
    <w:div w:id="255552247">
      <w:bodyDiv w:val="1"/>
      <w:marLeft w:val="0"/>
      <w:marRight w:val="0"/>
      <w:marTop w:val="0"/>
      <w:marBottom w:val="0"/>
      <w:divBdr>
        <w:top w:val="none" w:sz="0" w:space="0" w:color="auto"/>
        <w:left w:val="none" w:sz="0" w:space="0" w:color="auto"/>
        <w:bottom w:val="none" w:sz="0" w:space="0" w:color="auto"/>
        <w:right w:val="none" w:sz="0" w:space="0" w:color="auto"/>
      </w:divBdr>
    </w:div>
    <w:div w:id="336540541">
      <w:bodyDiv w:val="1"/>
      <w:marLeft w:val="0"/>
      <w:marRight w:val="0"/>
      <w:marTop w:val="0"/>
      <w:marBottom w:val="0"/>
      <w:divBdr>
        <w:top w:val="none" w:sz="0" w:space="0" w:color="auto"/>
        <w:left w:val="none" w:sz="0" w:space="0" w:color="auto"/>
        <w:bottom w:val="none" w:sz="0" w:space="0" w:color="auto"/>
        <w:right w:val="none" w:sz="0" w:space="0" w:color="auto"/>
      </w:divBdr>
    </w:div>
    <w:div w:id="361638095">
      <w:bodyDiv w:val="1"/>
      <w:marLeft w:val="0"/>
      <w:marRight w:val="0"/>
      <w:marTop w:val="0"/>
      <w:marBottom w:val="0"/>
      <w:divBdr>
        <w:top w:val="none" w:sz="0" w:space="0" w:color="auto"/>
        <w:left w:val="none" w:sz="0" w:space="0" w:color="auto"/>
        <w:bottom w:val="none" w:sz="0" w:space="0" w:color="auto"/>
        <w:right w:val="none" w:sz="0" w:space="0" w:color="auto"/>
      </w:divBdr>
    </w:div>
    <w:div w:id="372119844">
      <w:bodyDiv w:val="1"/>
      <w:marLeft w:val="0"/>
      <w:marRight w:val="0"/>
      <w:marTop w:val="0"/>
      <w:marBottom w:val="0"/>
      <w:divBdr>
        <w:top w:val="none" w:sz="0" w:space="0" w:color="auto"/>
        <w:left w:val="none" w:sz="0" w:space="0" w:color="auto"/>
        <w:bottom w:val="none" w:sz="0" w:space="0" w:color="auto"/>
        <w:right w:val="none" w:sz="0" w:space="0" w:color="auto"/>
      </w:divBdr>
    </w:div>
    <w:div w:id="449856335">
      <w:bodyDiv w:val="1"/>
      <w:marLeft w:val="0"/>
      <w:marRight w:val="0"/>
      <w:marTop w:val="0"/>
      <w:marBottom w:val="0"/>
      <w:divBdr>
        <w:top w:val="none" w:sz="0" w:space="0" w:color="auto"/>
        <w:left w:val="none" w:sz="0" w:space="0" w:color="auto"/>
        <w:bottom w:val="none" w:sz="0" w:space="0" w:color="auto"/>
        <w:right w:val="none" w:sz="0" w:space="0" w:color="auto"/>
      </w:divBdr>
    </w:div>
    <w:div w:id="483005945">
      <w:bodyDiv w:val="1"/>
      <w:marLeft w:val="0"/>
      <w:marRight w:val="0"/>
      <w:marTop w:val="0"/>
      <w:marBottom w:val="0"/>
      <w:divBdr>
        <w:top w:val="none" w:sz="0" w:space="0" w:color="auto"/>
        <w:left w:val="none" w:sz="0" w:space="0" w:color="auto"/>
        <w:bottom w:val="none" w:sz="0" w:space="0" w:color="auto"/>
        <w:right w:val="none" w:sz="0" w:space="0" w:color="auto"/>
      </w:divBdr>
    </w:div>
    <w:div w:id="599141720">
      <w:bodyDiv w:val="1"/>
      <w:marLeft w:val="0"/>
      <w:marRight w:val="0"/>
      <w:marTop w:val="0"/>
      <w:marBottom w:val="0"/>
      <w:divBdr>
        <w:top w:val="none" w:sz="0" w:space="0" w:color="auto"/>
        <w:left w:val="none" w:sz="0" w:space="0" w:color="auto"/>
        <w:bottom w:val="none" w:sz="0" w:space="0" w:color="auto"/>
        <w:right w:val="none" w:sz="0" w:space="0" w:color="auto"/>
      </w:divBdr>
    </w:div>
    <w:div w:id="1057053384">
      <w:bodyDiv w:val="1"/>
      <w:marLeft w:val="0"/>
      <w:marRight w:val="0"/>
      <w:marTop w:val="0"/>
      <w:marBottom w:val="0"/>
      <w:divBdr>
        <w:top w:val="none" w:sz="0" w:space="0" w:color="auto"/>
        <w:left w:val="none" w:sz="0" w:space="0" w:color="auto"/>
        <w:bottom w:val="none" w:sz="0" w:space="0" w:color="auto"/>
        <w:right w:val="none" w:sz="0" w:space="0" w:color="auto"/>
      </w:divBdr>
    </w:div>
    <w:div w:id="1189756627">
      <w:bodyDiv w:val="1"/>
      <w:marLeft w:val="0"/>
      <w:marRight w:val="0"/>
      <w:marTop w:val="0"/>
      <w:marBottom w:val="0"/>
      <w:divBdr>
        <w:top w:val="none" w:sz="0" w:space="0" w:color="auto"/>
        <w:left w:val="none" w:sz="0" w:space="0" w:color="auto"/>
        <w:bottom w:val="none" w:sz="0" w:space="0" w:color="auto"/>
        <w:right w:val="none" w:sz="0" w:space="0" w:color="auto"/>
      </w:divBdr>
    </w:div>
    <w:div w:id="1226720061">
      <w:bodyDiv w:val="1"/>
      <w:marLeft w:val="0"/>
      <w:marRight w:val="0"/>
      <w:marTop w:val="0"/>
      <w:marBottom w:val="0"/>
      <w:divBdr>
        <w:top w:val="none" w:sz="0" w:space="0" w:color="auto"/>
        <w:left w:val="none" w:sz="0" w:space="0" w:color="auto"/>
        <w:bottom w:val="none" w:sz="0" w:space="0" w:color="auto"/>
        <w:right w:val="none" w:sz="0" w:space="0" w:color="auto"/>
      </w:divBdr>
    </w:div>
    <w:div w:id="1256016616">
      <w:bodyDiv w:val="1"/>
      <w:marLeft w:val="0"/>
      <w:marRight w:val="0"/>
      <w:marTop w:val="0"/>
      <w:marBottom w:val="0"/>
      <w:divBdr>
        <w:top w:val="none" w:sz="0" w:space="0" w:color="auto"/>
        <w:left w:val="none" w:sz="0" w:space="0" w:color="auto"/>
        <w:bottom w:val="none" w:sz="0" w:space="0" w:color="auto"/>
        <w:right w:val="none" w:sz="0" w:space="0" w:color="auto"/>
      </w:divBdr>
    </w:div>
    <w:div w:id="1321622030">
      <w:bodyDiv w:val="1"/>
      <w:marLeft w:val="0"/>
      <w:marRight w:val="0"/>
      <w:marTop w:val="0"/>
      <w:marBottom w:val="0"/>
      <w:divBdr>
        <w:top w:val="none" w:sz="0" w:space="0" w:color="auto"/>
        <w:left w:val="none" w:sz="0" w:space="0" w:color="auto"/>
        <w:bottom w:val="none" w:sz="0" w:space="0" w:color="auto"/>
        <w:right w:val="none" w:sz="0" w:space="0" w:color="auto"/>
      </w:divBdr>
    </w:div>
    <w:div w:id="18456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136CA39E8DF4C9D30D8B571CC21ED" ma:contentTypeVersion="17" ma:contentTypeDescription="Create a new document." ma:contentTypeScope="" ma:versionID="430de0365084c64033b92cfc6e3c4a16">
  <xsd:schema xmlns:xsd="http://www.w3.org/2001/XMLSchema" xmlns:xs="http://www.w3.org/2001/XMLSchema" xmlns:p="http://schemas.microsoft.com/office/2006/metadata/properties" xmlns:ns2="44b3160e-3813-48d1-8b42-0f911474f306" xmlns:ns3="49b5f28b-49c8-4dba-be3c-7724c9af66f4" targetNamespace="http://schemas.microsoft.com/office/2006/metadata/properties" ma:root="true" ma:fieldsID="aba46f42bbbbd821e93180ce2e815c38" ns2:_="" ns3:_="">
    <xsd:import namespace="44b3160e-3813-48d1-8b42-0f911474f306"/>
    <xsd:import namespace="49b5f28b-49c8-4dba-be3c-7724c9af66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3160e-3813-48d1-8b42-0f911474f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2833b8-91a1-40a2-ab3e-f7b62cd97da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5f28b-49c8-4dba-be3c-7724c9af66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c6b092-507e-4072-9622-befea414bf8d}" ma:internalName="TaxCatchAll" ma:showField="CatchAllData" ma:web="49b5f28b-49c8-4dba-be3c-7724c9af6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48051-394E-4CBC-96D8-B1E8D33EA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3160e-3813-48d1-8b42-0f911474f306"/>
    <ds:schemaRef ds:uri="49b5f28b-49c8-4dba-be3c-7724c9af6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0F8E8-8D50-499F-9A86-4DA1489B772E}">
  <ds:schemaRefs>
    <ds:schemaRef ds:uri="http://schemas.microsoft.com/sharepoint/v3/contenttype/forms"/>
  </ds:schemaRefs>
</ds:datastoreItem>
</file>

<file path=docMetadata/LabelInfo.xml><?xml version="1.0" encoding="utf-8"?>
<clbl:labelList xmlns:clbl="http://schemas.microsoft.com/office/2020/mipLabelMetadata">
  <clbl:label id="{33f3783f-cdd2-442a-a9d2-1183fd1c4316}" enabled="0" method="" siteId="{33f3783f-cdd2-442a-a9d2-1183fd1c431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8168</Characters>
  <Application>Microsoft Office Word</Application>
  <DocSecurity>0</DocSecurity>
  <Lines>243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Management Response – Australia Mongolia Extractives Program Phase Ii</dc:title>
  <dc:subject/>
  <dc:creator/>
  <cp:keywords>[SEC=OFFICIAL]</cp:keywords>
  <dc:description/>
  <cp:lastModifiedBy/>
  <cp:revision>1</cp:revision>
  <dcterms:created xsi:type="dcterms:W3CDTF">2023-02-09T03:34:00Z</dcterms:created>
  <dcterms:modified xsi:type="dcterms:W3CDTF">2023-02-10T00:04:00Z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798f47d8-823e-477c-8a0e-5c8e0e7f07e3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B55C8128854F4AB59A054F1F9D4C81CB</vt:lpwstr>
  </property>
  <property fmtid="{D5CDD505-2E9C-101B-9397-08002B2CF9AE}" pid="11" name="PM_ProtectiveMarkingValue_Footer">
    <vt:lpwstr>OFFICIAL</vt:lpwstr>
  </property>
  <property fmtid="{D5CDD505-2E9C-101B-9397-08002B2CF9AE}" pid="12" name="PM_Originator_Hash_SHA1">
    <vt:lpwstr>260D391A355C0F7895D53005377AC1700003BFA9</vt:lpwstr>
  </property>
  <property fmtid="{D5CDD505-2E9C-101B-9397-08002B2CF9AE}" pid="13" name="PM_OriginationTimeStamp">
    <vt:lpwstr>2023-02-10T00:04:12Z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Uuid">
    <vt:lpwstr>ABBFF5E2-9674-55C9-B08D-C9980002FD58</vt:lpwstr>
  </property>
  <property fmtid="{D5CDD505-2E9C-101B-9397-08002B2CF9AE}" pid="22" name="PMUuidVer">
    <vt:lpwstr>2022.1</vt:lpwstr>
  </property>
  <property fmtid="{D5CDD505-2E9C-101B-9397-08002B2CF9AE}" pid="23" name="PM_Hash_Version">
    <vt:lpwstr>2018.0</vt:lpwstr>
  </property>
  <property fmtid="{D5CDD505-2E9C-101B-9397-08002B2CF9AE}" pid="24" name="PM_Hash_Salt_Prev">
    <vt:lpwstr>7AA0EEAB9194E24A069543E911A47B2D</vt:lpwstr>
  </property>
  <property fmtid="{D5CDD505-2E9C-101B-9397-08002B2CF9AE}" pid="25" name="PM_Hash_Salt">
    <vt:lpwstr>1542CC2FB92D8E4BCF8DC8C1C99B21FC</vt:lpwstr>
  </property>
  <property fmtid="{D5CDD505-2E9C-101B-9397-08002B2CF9AE}" pid="26" name="PM_Hash_SHA1">
    <vt:lpwstr>708B28427DE59DA8E20609EDCAD2E4F2D00D52C4</vt:lpwstr>
  </property>
  <property fmtid="{D5CDD505-2E9C-101B-9397-08002B2CF9AE}" pid="27" name="PM_OriginatorUserAccountName_SHA256">
    <vt:lpwstr>3F6D732A650B4EC715B623E0D837FB2B96AB69551124ACFE30889A7938FDE719</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PM_SecurityClassification_Prev">
    <vt:lpwstr>OFFICIAL</vt:lpwstr>
  </property>
  <property fmtid="{D5CDD505-2E9C-101B-9397-08002B2CF9AE}" pid="31" name="PM_Qualifier_Prev">
    <vt:lpwstr/>
  </property>
</Properties>
</file>