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EA" w:rsidRPr="000A3BA8" w:rsidRDefault="008D19B8" w:rsidP="00B24E55">
      <w:pPr>
        <w:pStyle w:val="BoxHeading"/>
      </w:pPr>
      <w:r>
        <w:t xml:space="preserve">Investment </w:t>
      </w:r>
      <w:r w:rsidR="000F0509">
        <w:t>Concept for AIP-Rural (</w:t>
      </w:r>
      <w:r w:rsidR="00B24E55">
        <w:t>Phase II</w:t>
      </w:r>
      <w:r w:rsidR="000F0509">
        <w:t>)</w:t>
      </w:r>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4C10EA" w:rsidRPr="00BD306C" w:rsidTr="00A03AF2">
        <w:trPr>
          <w:cantSplit w:val="0"/>
        </w:trPr>
        <w:tc>
          <w:tcPr>
            <w:tcW w:w="9498" w:type="dxa"/>
            <w:tcBorders>
              <w:bottom w:val="single" w:sz="4" w:space="0" w:color="808080"/>
            </w:tcBorders>
            <w:shd w:val="clear" w:color="auto" w:fill="E0F3EF" w:themeFill="accent1" w:themeFillTint="33"/>
          </w:tcPr>
          <w:p w:rsidR="004C10EA" w:rsidRPr="00485ECB" w:rsidRDefault="004C10EA" w:rsidP="002D6CE0">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A:  Investment Concept Title:</w:t>
            </w:r>
            <w:r w:rsidR="00DD5F1A">
              <w:t xml:space="preserve"> </w:t>
            </w:r>
            <w:r w:rsidR="00DD5F1A" w:rsidRPr="00DD5F1A">
              <w:rPr>
                <w:rFonts w:ascii="Franklin Gothic Book" w:hAnsi="Franklin Gothic Book" w:cs="Arial"/>
                <w:b/>
                <w:sz w:val="22"/>
                <w:szCs w:val="22"/>
                <w:lang w:eastAsia="en-US"/>
              </w:rPr>
              <w:t>Australia-Indonesia Partnership for Rural Economic Development Phase II</w:t>
            </w:r>
          </w:p>
        </w:tc>
      </w:tr>
      <w:tr w:rsidR="004C10EA" w:rsidRPr="00BD306C" w:rsidTr="00A03AF2">
        <w:trPr>
          <w:cantSplit w:val="0"/>
        </w:trPr>
        <w:tc>
          <w:tcPr>
            <w:tcW w:w="9498" w:type="dxa"/>
            <w:shd w:val="clear" w:color="auto" w:fill="E0F3EF" w:themeFill="accent1" w:themeFillTint="33"/>
          </w:tcPr>
          <w:p w:rsidR="004C10EA" w:rsidRPr="00485ECB" w:rsidRDefault="004C10EA" w:rsidP="002D6CE0">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Proposed investment start date and timeframe</w:t>
            </w:r>
            <w:r w:rsidR="007B147F">
              <w:rPr>
                <w:rFonts w:ascii="Franklin Gothic Book" w:hAnsi="Franklin Gothic Book" w:cs="Arial"/>
                <w:b/>
                <w:sz w:val="22"/>
                <w:szCs w:val="22"/>
                <w:lang w:eastAsia="en-US"/>
              </w:rPr>
              <w:t>:</w:t>
            </w:r>
            <w:r w:rsidR="00DD5F1A">
              <w:t xml:space="preserve"> </w:t>
            </w:r>
            <w:r w:rsidR="00DD5F1A" w:rsidRPr="00DD5F1A">
              <w:rPr>
                <w:rFonts w:ascii="Franklin Gothic Book" w:hAnsi="Franklin Gothic Book" w:cs="Arial"/>
                <w:b/>
                <w:sz w:val="22"/>
                <w:szCs w:val="22"/>
                <w:lang w:eastAsia="en-US"/>
              </w:rPr>
              <w:t>January 2019 – December 2023</w:t>
            </w:r>
          </w:p>
        </w:tc>
      </w:tr>
      <w:tr w:rsidR="004C10EA" w:rsidRPr="00BD306C" w:rsidTr="00A03AF2">
        <w:trPr>
          <w:cantSplit w:val="0"/>
        </w:trPr>
        <w:tc>
          <w:tcPr>
            <w:tcW w:w="9498" w:type="dxa"/>
            <w:shd w:val="clear" w:color="auto" w:fill="E0F3EF" w:themeFill="accent1" w:themeFillTint="33"/>
          </w:tcPr>
          <w:p w:rsidR="004C10EA" w:rsidRPr="00485ECB" w:rsidRDefault="004C10EA" w:rsidP="002D6CE0">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Proposed funding allocation</w:t>
            </w:r>
            <w:r w:rsidR="007B147F">
              <w:rPr>
                <w:rFonts w:ascii="Franklin Gothic Book" w:hAnsi="Franklin Gothic Book" w:cs="Arial"/>
                <w:b/>
                <w:sz w:val="22"/>
                <w:szCs w:val="22"/>
                <w:lang w:eastAsia="en-US"/>
              </w:rPr>
              <w:t>:</w:t>
            </w:r>
            <w:r w:rsidR="00DD5F1A">
              <w:rPr>
                <w:rFonts w:ascii="Franklin Gothic Book" w:hAnsi="Franklin Gothic Book" w:cs="Arial"/>
                <w:b/>
                <w:sz w:val="22"/>
                <w:szCs w:val="22"/>
                <w:lang w:eastAsia="en-US"/>
              </w:rPr>
              <w:t xml:space="preserve"> </w:t>
            </w:r>
            <w:r w:rsidR="00DD5F1A" w:rsidRPr="00DD5F1A">
              <w:rPr>
                <w:rFonts w:ascii="Franklin Gothic Book" w:hAnsi="Franklin Gothic Book" w:cs="Arial"/>
                <w:b/>
                <w:sz w:val="22"/>
                <w:szCs w:val="22"/>
                <w:lang w:eastAsia="en-US"/>
              </w:rPr>
              <w:t>AUD95 m over five years</w:t>
            </w:r>
          </w:p>
          <w:p w:rsidR="004C10EA" w:rsidRPr="00485ECB" w:rsidRDefault="004C10EA" w:rsidP="002D6CE0">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Current program fund annual allocation</w:t>
            </w:r>
            <w:r w:rsidR="007B147F">
              <w:rPr>
                <w:rFonts w:ascii="Franklin Gothic Book" w:hAnsi="Franklin Gothic Book" w:cs="Arial"/>
                <w:b/>
                <w:sz w:val="22"/>
                <w:szCs w:val="22"/>
                <w:lang w:eastAsia="en-US"/>
              </w:rPr>
              <w:t>:</w:t>
            </w:r>
            <w:r w:rsidRPr="00485ECB">
              <w:rPr>
                <w:rFonts w:ascii="Franklin Gothic Book" w:hAnsi="Franklin Gothic Book" w:cs="Arial"/>
                <w:b/>
                <w:sz w:val="22"/>
                <w:szCs w:val="22"/>
                <w:lang w:eastAsia="en-US"/>
              </w:rPr>
              <w:softHyphen/>
            </w:r>
            <w:r w:rsidRPr="00485ECB">
              <w:rPr>
                <w:rFonts w:ascii="Franklin Gothic Book" w:hAnsi="Franklin Gothic Book" w:cs="Arial"/>
                <w:b/>
                <w:sz w:val="22"/>
                <w:szCs w:val="22"/>
                <w:lang w:eastAsia="en-US"/>
              </w:rPr>
              <w:softHyphen/>
            </w:r>
            <w:r w:rsidR="00DD5F1A">
              <w:t xml:space="preserve"> </w:t>
            </w:r>
            <w:r w:rsidR="00DD5F1A" w:rsidRPr="00DD5F1A">
              <w:rPr>
                <w:rFonts w:ascii="Franklin Gothic Book" w:hAnsi="Franklin Gothic Book" w:cs="Arial"/>
                <w:b/>
                <w:sz w:val="22"/>
                <w:szCs w:val="22"/>
                <w:lang w:eastAsia="en-US"/>
              </w:rPr>
              <w:t>AUD112 m (2013 – 2018)</w:t>
            </w:r>
          </w:p>
        </w:tc>
      </w:tr>
      <w:tr w:rsidR="004C10EA" w:rsidRPr="00BD306C" w:rsidTr="00A03AF2">
        <w:trPr>
          <w:cantSplit w:val="0"/>
        </w:trPr>
        <w:tc>
          <w:tcPr>
            <w:tcW w:w="9498" w:type="dxa"/>
            <w:shd w:val="clear" w:color="auto" w:fill="E0F3EF" w:themeFill="accent1" w:themeFillTint="33"/>
          </w:tcPr>
          <w:p w:rsidR="004C10EA" w:rsidRPr="00485ECB" w:rsidRDefault="004C10EA" w:rsidP="00DD5F1A">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Risk</w:t>
            </w:r>
            <w:r w:rsidR="00DD5F1A">
              <w:rPr>
                <w:rFonts w:ascii="Franklin Gothic Book" w:hAnsi="Franklin Gothic Book" w:cs="Arial"/>
                <w:b/>
                <w:sz w:val="22"/>
                <w:szCs w:val="22"/>
                <w:lang w:eastAsia="en-US"/>
              </w:rPr>
              <w:t xml:space="preserve"> and Value assessment result: Moderate Risk / High</w:t>
            </w:r>
            <w:r w:rsidRPr="00485ECB">
              <w:rPr>
                <w:rFonts w:ascii="Franklin Gothic Book" w:hAnsi="Franklin Gothic Book" w:cs="Arial"/>
                <w:b/>
                <w:sz w:val="22"/>
                <w:szCs w:val="22"/>
                <w:lang w:eastAsia="en-US"/>
              </w:rPr>
              <w:softHyphen/>
              <w:t xml:space="preserve"> Value</w:t>
            </w:r>
          </w:p>
        </w:tc>
      </w:tr>
      <w:tr w:rsidR="004C10EA" w:rsidRPr="00BD306C" w:rsidTr="00A03AF2">
        <w:trPr>
          <w:cantSplit w:val="0"/>
        </w:trPr>
        <w:tc>
          <w:tcPr>
            <w:tcW w:w="9498" w:type="dxa"/>
            <w:shd w:val="clear" w:color="auto" w:fill="E0F3EF" w:themeFill="accent1" w:themeFillTint="33"/>
          </w:tcPr>
          <w:p w:rsidR="004C10EA" w:rsidRPr="00485ECB" w:rsidRDefault="004C10EA" w:rsidP="000F0509">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Consultation:</w:t>
            </w:r>
            <w:r w:rsidR="00E71022">
              <w:rPr>
                <w:rFonts w:ascii="Franklin Gothic Book" w:hAnsi="Franklin Gothic Book" w:cs="Arial"/>
                <w:b/>
                <w:sz w:val="22"/>
                <w:szCs w:val="22"/>
                <w:lang w:eastAsia="en-US"/>
              </w:rPr>
              <w:t xml:space="preserve"> SED, </w:t>
            </w:r>
            <w:r w:rsidR="000F0509">
              <w:rPr>
                <w:rFonts w:ascii="Franklin Gothic Book" w:hAnsi="Franklin Gothic Book" w:cs="Arial"/>
                <w:b/>
                <w:sz w:val="22"/>
                <w:szCs w:val="22"/>
                <w:lang w:eastAsia="en-US"/>
              </w:rPr>
              <w:t xml:space="preserve">ACD, </w:t>
            </w:r>
            <w:r w:rsidR="00E71022">
              <w:rPr>
                <w:rFonts w:ascii="Franklin Gothic Book" w:hAnsi="Franklin Gothic Book" w:cs="Arial"/>
                <w:b/>
                <w:sz w:val="22"/>
                <w:szCs w:val="22"/>
                <w:lang w:eastAsia="en-US"/>
              </w:rPr>
              <w:t>MDD</w:t>
            </w:r>
          </w:p>
        </w:tc>
      </w:tr>
      <w:tr w:rsidR="004C10EA" w:rsidRPr="00BD306C" w:rsidTr="00A03AF2">
        <w:trPr>
          <w:cantSplit w:val="0"/>
        </w:trPr>
        <w:tc>
          <w:tcPr>
            <w:tcW w:w="9498" w:type="dxa"/>
            <w:shd w:val="clear" w:color="auto" w:fill="E0F3EF" w:themeFill="accent1" w:themeFillTint="33"/>
          </w:tcPr>
          <w:p w:rsidR="004C10EA" w:rsidRPr="00485ECB" w:rsidRDefault="004C10EA" w:rsidP="003B60AE">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 xml:space="preserve">Proposed Design Pathway: </w:t>
            </w:r>
            <w:r w:rsidR="003B60AE" w:rsidRPr="003B60AE">
              <w:rPr>
                <w:rFonts w:ascii="Franklin Gothic Book" w:hAnsi="Franklin Gothic Book" w:cs="Arial"/>
                <w:b/>
                <w:sz w:val="22"/>
                <w:szCs w:val="22"/>
                <w:lang w:eastAsia="en-US"/>
              </w:rPr>
              <w:t>DFAT-facilitated</w:t>
            </w:r>
            <w:r w:rsidR="00DD5F1A" w:rsidRPr="003B60AE">
              <w:rPr>
                <w:rFonts w:ascii="Franklin Gothic Book" w:hAnsi="Franklin Gothic Book" w:cs="Arial"/>
                <w:b/>
                <w:sz w:val="22"/>
                <w:szCs w:val="22"/>
                <w:lang w:eastAsia="en-US"/>
              </w:rPr>
              <w:t xml:space="preserve"> design,  </w:t>
            </w:r>
            <w:r w:rsidR="003B60AE">
              <w:rPr>
                <w:rFonts w:ascii="Franklin Gothic Book" w:hAnsi="Franklin Gothic Book" w:cs="Arial"/>
                <w:b/>
                <w:sz w:val="22"/>
                <w:szCs w:val="22"/>
                <w:lang w:eastAsia="en-US"/>
              </w:rPr>
              <w:t>Post Delegate review</w:t>
            </w:r>
          </w:p>
        </w:tc>
      </w:tr>
      <w:tr w:rsidR="004C10EA" w:rsidRPr="00BD306C" w:rsidTr="00A03AF2">
        <w:trPr>
          <w:cantSplit w:val="0"/>
        </w:trPr>
        <w:tc>
          <w:tcPr>
            <w:tcW w:w="9498" w:type="dxa"/>
            <w:shd w:val="clear" w:color="auto" w:fill="E0F3EF" w:themeFill="accent1" w:themeFillTint="33"/>
          </w:tcPr>
          <w:p w:rsidR="004C10EA" w:rsidRPr="00485ECB" w:rsidRDefault="004C10EA" w:rsidP="007B147F">
            <w:pPr>
              <w:tabs>
                <w:tab w:val="num" w:pos="568"/>
              </w:tabs>
              <w:spacing w:line="276" w:lineRule="auto"/>
              <w:rPr>
                <w:rFonts w:ascii="Franklin Gothic Book" w:hAnsi="Franklin Gothic Book" w:cs="Arial"/>
                <w:b/>
                <w:sz w:val="22"/>
                <w:szCs w:val="22"/>
                <w:lang w:eastAsia="en-US"/>
              </w:rPr>
            </w:pPr>
            <w:r w:rsidRPr="00485ECB">
              <w:rPr>
                <w:rFonts w:ascii="Franklin Gothic Book" w:hAnsi="Franklin Gothic Book" w:cs="Arial"/>
                <w:b/>
                <w:sz w:val="22"/>
                <w:szCs w:val="22"/>
                <w:lang w:eastAsia="en-US"/>
              </w:rPr>
              <w:t xml:space="preserve">Draft </w:t>
            </w:r>
            <w:proofErr w:type="spellStart"/>
            <w:r w:rsidRPr="00485ECB">
              <w:rPr>
                <w:rFonts w:ascii="Franklin Gothic Book" w:hAnsi="Franklin Gothic Book" w:cs="Arial"/>
                <w:b/>
                <w:sz w:val="22"/>
                <w:szCs w:val="22"/>
                <w:lang w:eastAsia="en-US"/>
              </w:rPr>
              <w:t>AidWorks</w:t>
            </w:r>
            <w:proofErr w:type="spellEnd"/>
            <w:r w:rsidRPr="00485ECB">
              <w:rPr>
                <w:rFonts w:ascii="Franklin Gothic Book" w:hAnsi="Franklin Gothic Book" w:cs="Arial"/>
                <w:b/>
                <w:sz w:val="22"/>
                <w:szCs w:val="22"/>
                <w:lang w:eastAsia="en-US"/>
              </w:rPr>
              <w:t xml:space="preserve"> </w:t>
            </w:r>
            <w:r w:rsidR="007B147F">
              <w:rPr>
                <w:rFonts w:ascii="Franklin Gothic Book" w:hAnsi="Franklin Gothic Book" w:cs="Arial"/>
                <w:b/>
                <w:sz w:val="22"/>
                <w:szCs w:val="22"/>
                <w:lang w:eastAsia="en-US"/>
              </w:rPr>
              <w:t>Investment</w:t>
            </w:r>
            <w:r w:rsidRPr="00485ECB">
              <w:rPr>
                <w:rFonts w:ascii="Franklin Gothic Book" w:hAnsi="Franklin Gothic Book" w:cs="Arial"/>
                <w:b/>
                <w:sz w:val="22"/>
                <w:szCs w:val="22"/>
                <w:lang w:eastAsia="en-US"/>
              </w:rPr>
              <w:t xml:space="preserve"> number:</w:t>
            </w:r>
          </w:p>
        </w:tc>
      </w:tr>
    </w:tbl>
    <w:p w:rsidR="004C10EA" w:rsidRPr="00BD306C" w:rsidRDefault="004C10EA" w:rsidP="004C10EA">
      <w:pPr>
        <w:tabs>
          <w:tab w:val="num" w:pos="568"/>
        </w:tabs>
        <w:spacing w:line="276" w:lineRule="auto"/>
        <w:rPr>
          <w:rFonts w:ascii="Franklin Gothic Book" w:eastAsia="Times New Roman" w:hAnsi="Franklin Gothic Book" w:cs="Arial"/>
        </w:rPr>
      </w:pPr>
    </w:p>
    <w:tbl>
      <w:tblPr>
        <w:tblStyle w:val="Tablewithnoheader"/>
        <w:tblW w:w="0" w:type="auto"/>
        <w:tblLook w:val="04A0" w:firstRow="1" w:lastRow="0" w:firstColumn="1" w:lastColumn="0" w:noHBand="0" w:noVBand="1"/>
      </w:tblPr>
      <w:tblGrid>
        <w:gridCol w:w="9606"/>
      </w:tblGrid>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4C10EA" w:rsidP="002D6CE0">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t xml:space="preserve">B: Problem/Issue definition and rationale for investment (Why)  </w:t>
            </w:r>
          </w:p>
        </w:tc>
      </w:tr>
      <w:tr w:rsidR="004C10EA" w:rsidRPr="00BD306C" w:rsidTr="00DC348A">
        <w:trPr>
          <w:cantSplit w:val="0"/>
        </w:trPr>
        <w:tc>
          <w:tcPr>
            <w:tcW w:w="9606" w:type="dxa"/>
          </w:tcPr>
          <w:p w:rsidR="006662F1" w:rsidRPr="006662F1"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Agriculture is an important source of jobs, incomes, exports and food security in Indonesia and, as such, represents the best pathway out of poverty for many in Indonesia. 83 per cent of Indonesia’s poor live in rural areas, with 65 per cent of poor households in rural areas working in agriculture and more than 60 per cent of household income in rural areas derived from agriculture. The agriculture sector accounts for approximately 35 per cent of overall employment in Indonesia.</w:t>
            </w:r>
          </w:p>
          <w:p w:rsidR="006662F1" w:rsidRPr="006662F1"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Agriculture represents nearly 15 per cent of Indonesia’s GDP, despite low average productivity rates compared to other countries</w:t>
            </w:r>
            <w:r w:rsidR="00A4408E">
              <w:rPr>
                <w:rFonts w:ascii="Franklin Gothic Book" w:hAnsi="Franklin Gothic Book" w:cs="Arial"/>
                <w:lang w:eastAsia="en-US"/>
              </w:rPr>
              <w:t xml:space="preserve"> in the region</w:t>
            </w:r>
            <w:r w:rsidRPr="006662F1">
              <w:rPr>
                <w:rFonts w:ascii="Franklin Gothic Book" w:hAnsi="Franklin Gothic Book" w:cs="Arial"/>
                <w:lang w:eastAsia="en-US"/>
              </w:rPr>
              <w:t>. Food remains an important</w:t>
            </w:r>
            <w:r w:rsidR="0051314C">
              <w:rPr>
                <w:rFonts w:ascii="Franklin Gothic Book" w:hAnsi="Franklin Gothic Book" w:cs="Arial"/>
                <w:lang w:eastAsia="en-US"/>
              </w:rPr>
              <w:t xml:space="preserve"> political issue for Indonesia, with f</w:t>
            </w:r>
            <w:r w:rsidRPr="006662F1">
              <w:rPr>
                <w:rFonts w:ascii="Franklin Gothic Book" w:hAnsi="Franklin Gothic Book" w:cs="Arial"/>
                <w:lang w:eastAsia="en-US"/>
              </w:rPr>
              <w:t>ood price volatility ha</w:t>
            </w:r>
            <w:r w:rsidR="0051314C">
              <w:rPr>
                <w:rFonts w:ascii="Franklin Gothic Book" w:hAnsi="Franklin Gothic Book" w:cs="Arial"/>
                <w:lang w:eastAsia="en-US"/>
              </w:rPr>
              <w:t>ving</w:t>
            </w:r>
            <w:r w:rsidRPr="006662F1">
              <w:rPr>
                <w:rFonts w:ascii="Franklin Gothic Book" w:hAnsi="Franklin Gothic Book" w:cs="Arial"/>
                <w:lang w:eastAsia="en-US"/>
              </w:rPr>
              <w:t xml:space="preserve"> a significant impact on the poor, for whom food spending can consume up to a 1/3 of household expenditure.</w:t>
            </w:r>
          </w:p>
          <w:p w:rsidR="006662F1" w:rsidRPr="006662F1"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The Indonesia Aid Investment Plan notes the development program will encourage inclusive economic growth by strengthening the operation of agricultural markets, improving food security, raising agricultural productivity, a</w:t>
            </w:r>
            <w:r w:rsidR="00330CF4">
              <w:rPr>
                <w:rFonts w:ascii="Franklin Gothic Book" w:hAnsi="Franklin Gothic Book" w:cs="Arial"/>
                <w:lang w:eastAsia="en-US"/>
              </w:rPr>
              <w:t>nd helping to boost poor farmer</w:t>
            </w:r>
            <w:r w:rsidRPr="006662F1">
              <w:rPr>
                <w:rFonts w:ascii="Franklin Gothic Book" w:hAnsi="Franklin Gothic Book" w:cs="Arial"/>
                <w:lang w:eastAsia="en-US"/>
              </w:rPr>
              <w:t>s</w:t>
            </w:r>
            <w:r w:rsidR="00330CF4">
              <w:rPr>
                <w:rFonts w:ascii="Franklin Gothic Book" w:hAnsi="Franklin Gothic Book" w:cs="Arial"/>
                <w:lang w:eastAsia="en-US"/>
              </w:rPr>
              <w:t>’</w:t>
            </w:r>
            <w:r w:rsidRPr="006662F1">
              <w:rPr>
                <w:rFonts w:ascii="Franklin Gothic Book" w:hAnsi="Franklin Gothic Book" w:cs="Arial"/>
                <w:lang w:eastAsia="en-US"/>
              </w:rPr>
              <w:t xml:space="preserve"> incomes and employment by addressing constraints such as access to loans.  AIP-Rural aligns closely with the Strategy for Australia’s Aid Investments in Agriculture, Fisheries and Water through its focus on strengthening markets and innovations to increase productivity</w:t>
            </w:r>
            <w:r w:rsidR="00A4408E">
              <w:rPr>
                <w:rFonts w:ascii="Franklin Gothic Book" w:hAnsi="Franklin Gothic Book" w:cs="Arial"/>
                <w:lang w:eastAsia="en-US"/>
              </w:rPr>
              <w:t xml:space="preserve"> and market opportunities for the poor</w:t>
            </w:r>
            <w:r w:rsidRPr="006662F1">
              <w:rPr>
                <w:rFonts w:ascii="Franklin Gothic Book" w:hAnsi="Franklin Gothic Book" w:cs="Arial"/>
                <w:lang w:eastAsia="en-US"/>
              </w:rPr>
              <w:t xml:space="preserve">.  The program contributes significantly to our aid for trade target (99% of AIP-Rural is counted as aid for trade). The program is a key example of Australia’s innovation and private sector engagement strategies in action; AIP-Rural leverages co-investment from the private sector for every intervention and introduces agricultural innovations to farmers to increase quality and productivity. </w:t>
            </w:r>
          </w:p>
          <w:p w:rsidR="006662F1" w:rsidRPr="006662F1"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 xml:space="preserve">For the Government of Indonesia, AIP-Rural contributes to </w:t>
            </w:r>
            <w:r w:rsidR="000F0509">
              <w:rPr>
                <w:rFonts w:ascii="Franklin Gothic Book" w:hAnsi="Franklin Gothic Book" w:cs="Arial"/>
                <w:lang w:eastAsia="en-US"/>
              </w:rPr>
              <w:t xml:space="preserve">the President’s </w:t>
            </w:r>
            <w:proofErr w:type="spellStart"/>
            <w:r w:rsidR="000F0509">
              <w:rPr>
                <w:rFonts w:ascii="Franklin Gothic Book" w:hAnsi="Franklin Gothic Book" w:cs="Arial"/>
                <w:lang w:eastAsia="en-US"/>
              </w:rPr>
              <w:t>Nawacita</w:t>
            </w:r>
            <w:proofErr w:type="spellEnd"/>
            <w:r w:rsidR="000F0509">
              <w:rPr>
                <w:rFonts w:ascii="Franklin Gothic Book" w:hAnsi="Franklin Gothic Book" w:cs="Arial"/>
                <w:lang w:eastAsia="en-US"/>
              </w:rPr>
              <w:t xml:space="preserve"> Plan and </w:t>
            </w:r>
            <w:r w:rsidRPr="006662F1">
              <w:rPr>
                <w:rFonts w:ascii="Franklin Gothic Book" w:hAnsi="Franklin Gothic Book" w:cs="Arial"/>
                <w:lang w:eastAsia="en-US"/>
              </w:rPr>
              <w:t>the Medium-Term Development Plan (RPJMN 2015-2019), including: accelerating productivity, competitiveness and inclusive development, poverty reduction and inclusive growth, and addressing regional disparity between the east and west by focusing on eastern Indonesia.</w:t>
            </w:r>
          </w:p>
          <w:p w:rsidR="006662F1" w:rsidRPr="006662F1" w:rsidRDefault="006662F1" w:rsidP="00FD738A">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 xml:space="preserve">The Australia-Indonesia Partnership for Rural Economic Development (AIP-Rural) was </w:t>
            </w:r>
            <w:r w:rsidR="008D19B8">
              <w:rPr>
                <w:rFonts w:ascii="Franklin Gothic Book" w:hAnsi="Franklin Gothic Book" w:cs="Arial"/>
                <w:lang w:eastAsia="en-US"/>
              </w:rPr>
              <w:t xml:space="preserve">planned as a 10 year program </w:t>
            </w:r>
            <w:r w:rsidRPr="006662F1">
              <w:rPr>
                <w:rFonts w:ascii="Franklin Gothic Book" w:hAnsi="Franklin Gothic Book" w:cs="Arial"/>
                <w:lang w:eastAsia="en-US"/>
              </w:rPr>
              <w:t xml:space="preserve">in two five year phases. The first phase of AIP-Rural aims to increase the incomes of 300,000 smallholder farm households by 30% through stimulating greater private and public sector investments that </w:t>
            </w:r>
            <w:r w:rsidRPr="006662F1">
              <w:rPr>
                <w:rFonts w:ascii="Franklin Gothic Book" w:hAnsi="Franklin Gothic Book" w:cs="Arial"/>
                <w:lang w:eastAsia="en-US"/>
              </w:rPr>
              <w:lastRenderedPageBreak/>
              <w:t>create better access for farmers to inputs and markets. It does this by using a market system development approach. It operates in five provinces of Indonesia: East Java, NTB, NTT, Papua and West Papua. It consists of four components:</w:t>
            </w:r>
          </w:p>
          <w:p w:rsidR="006662F1" w:rsidRPr="006662F1" w:rsidRDefault="006662F1" w:rsidP="006662F1">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t>PRISMA (AUD77m, Oct 2013-Dec 2018): an agribusiness program which facilitates private sector investment to increase productivity and farmers’ incomes in selected commodities.</w:t>
            </w:r>
          </w:p>
          <w:p w:rsidR="006662F1" w:rsidRPr="006662F1" w:rsidRDefault="006662F1" w:rsidP="006662F1">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t xml:space="preserve">ARISA (AUD7m, Jan 2015-Dec 2018): an innovation in agriculture program </w:t>
            </w:r>
            <w:r w:rsidR="00E71022">
              <w:rPr>
                <w:rFonts w:ascii="Franklin Gothic Book" w:hAnsi="Franklin Gothic Book" w:cs="Arial"/>
                <w:lang w:eastAsia="en-US"/>
              </w:rPr>
              <w:t xml:space="preserve">implemented by CSIRO </w:t>
            </w:r>
            <w:r w:rsidRPr="006662F1">
              <w:rPr>
                <w:rFonts w:ascii="Franklin Gothic Book" w:hAnsi="Franklin Gothic Book" w:cs="Arial"/>
                <w:lang w:eastAsia="en-US"/>
              </w:rPr>
              <w:t>which develops partnerships between research institutions and the private sector to commercialise agricultural research.</w:t>
            </w:r>
          </w:p>
          <w:p w:rsidR="006662F1" w:rsidRPr="006662F1" w:rsidRDefault="006662F1" w:rsidP="006662F1">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t>TIRTA (AUD9.5m, Jul 2015-Dec 2018): a tertiary irrigation program aimed at stimulating private investment to address dry season irrigation needs of farmers.</w:t>
            </w:r>
          </w:p>
          <w:p w:rsidR="006662F1" w:rsidRPr="006662F1" w:rsidRDefault="006662F1" w:rsidP="00E71022">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t>SAFIRA (AUD4m, Nov 2015-Dec 2018): a financial inclusion program aimed at increasing farmer access to credit through value chain financing.</w:t>
            </w:r>
          </w:p>
          <w:p w:rsidR="000F0509"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 xml:space="preserve">A Mid-Term Review (MTR) conducted in September 2016 confirmed that the AIP-Rural approach is working, is </w:t>
            </w:r>
            <w:r w:rsidR="00E71022">
              <w:rPr>
                <w:rFonts w:ascii="Franklin Gothic Book" w:hAnsi="Franklin Gothic Book" w:cs="Arial"/>
                <w:lang w:eastAsia="en-US"/>
              </w:rPr>
              <w:t>achieving</w:t>
            </w:r>
            <w:r w:rsidR="008D19B8">
              <w:rPr>
                <w:rFonts w:ascii="Franklin Gothic Book" w:hAnsi="Franklin Gothic Book" w:cs="Arial"/>
                <w:lang w:eastAsia="en-US"/>
              </w:rPr>
              <w:t xml:space="preserve"> strong progress toward </w:t>
            </w:r>
            <w:r w:rsidRPr="006662F1">
              <w:rPr>
                <w:rFonts w:ascii="Franklin Gothic Book" w:hAnsi="Franklin Gothic Book" w:cs="Arial"/>
                <w:lang w:eastAsia="en-US"/>
              </w:rPr>
              <w:t>its ambitious targets, and is making important contributions to reducing rural poverty and supporting the development of competitive markets</w:t>
            </w:r>
            <w:r w:rsidR="00E71022">
              <w:rPr>
                <w:rFonts w:ascii="Franklin Gothic Book" w:hAnsi="Franklin Gothic Book" w:cs="Arial"/>
                <w:lang w:eastAsia="en-US"/>
              </w:rPr>
              <w:t xml:space="preserve"> in the agricultural sector in e</w:t>
            </w:r>
            <w:r w:rsidRPr="006662F1">
              <w:rPr>
                <w:rFonts w:ascii="Franklin Gothic Book" w:hAnsi="Franklin Gothic Book" w:cs="Arial"/>
                <w:lang w:eastAsia="en-US"/>
              </w:rPr>
              <w:t>astern Indonesia.</w:t>
            </w:r>
            <w:r w:rsidR="000F0509">
              <w:rPr>
                <w:rFonts w:ascii="Franklin Gothic Book" w:hAnsi="Franklin Gothic Book" w:cs="Arial"/>
                <w:lang w:eastAsia="en-US"/>
              </w:rPr>
              <w:t xml:space="preserve"> Achievements to date include:</w:t>
            </w:r>
          </w:p>
          <w:p w:rsidR="000F0509" w:rsidRDefault="000F0509" w:rsidP="000F0509">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Pr>
                <w:rFonts w:ascii="Franklin Gothic Book" w:hAnsi="Franklin Gothic Book" w:cs="Arial"/>
                <w:lang w:eastAsia="en-US"/>
              </w:rPr>
              <w:tab/>
            </w:r>
            <w:r w:rsidRPr="000F0509">
              <w:rPr>
                <w:rFonts w:ascii="Franklin Gothic Book" w:hAnsi="Franklin Gothic Book" w:cs="Arial"/>
              </w:rPr>
              <w:t>increasing incomes for more t</w:t>
            </w:r>
            <w:r w:rsidR="00900E50">
              <w:rPr>
                <w:rFonts w:ascii="Franklin Gothic Book" w:hAnsi="Franklin Gothic Book" w:cs="Arial"/>
              </w:rPr>
              <w:t>han 22,000 households by 35% (a net total of</w:t>
            </w:r>
            <w:r w:rsidRPr="000F0509">
              <w:rPr>
                <w:rFonts w:ascii="Franklin Gothic Book" w:hAnsi="Franklin Gothic Book" w:cs="Arial"/>
              </w:rPr>
              <w:t xml:space="preserve"> AUD4.3 million)</w:t>
            </w:r>
          </w:p>
          <w:p w:rsidR="000F0509" w:rsidRPr="000F0509" w:rsidRDefault="000F0509" w:rsidP="000F0509">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Pr>
                <w:rFonts w:ascii="Franklin Gothic Book" w:hAnsi="Franklin Gothic Book" w:cs="Arial"/>
                <w:lang w:eastAsia="en-US"/>
              </w:rPr>
              <w:tab/>
            </w:r>
            <w:proofErr w:type="gramStart"/>
            <w:r w:rsidRPr="000F0509">
              <w:rPr>
                <w:rFonts w:ascii="Franklin Gothic Book" w:hAnsi="Franklin Gothic Book" w:cs="Arial"/>
                <w:lang w:eastAsia="en-US"/>
              </w:rPr>
              <w:t>of</w:t>
            </w:r>
            <w:proofErr w:type="gramEnd"/>
            <w:r w:rsidRPr="000F0509">
              <w:rPr>
                <w:rFonts w:ascii="Franklin Gothic Book" w:hAnsi="Franklin Gothic Book" w:cs="Arial"/>
                <w:lang w:eastAsia="en-US"/>
              </w:rPr>
              <w:t xml:space="preserve"> these beneficiaries, 45% are poor households living on less than USD2/day and 32% are women.</w:t>
            </w:r>
          </w:p>
          <w:p w:rsidR="000F0509" w:rsidRPr="006662F1" w:rsidRDefault="000F0509" w:rsidP="000F0509">
            <w:pPr>
              <w:suppressAutoHyphens w:val="0"/>
              <w:spacing w:after="0" w:line="276" w:lineRule="auto"/>
              <w:ind w:left="360"/>
              <w:rPr>
                <w:rFonts w:ascii="Franklin Gothic Book" w:hAnsi="Franklin Gothic Book" w:cs="Arial"/>
                <w:lang w:eastAsia="en-US"/>
              </w:rPr>
            </w:pPr>
            <w:r>
              <w:rPr>
                <w:rFonts w:ascii="Franklin Gothic Book" w:hAnsi="Franklin Gothic Book" w:cs="Arial"/>
                <w:lang w:eastAsia="en-US"/>
              </w:rPr>
              <w:t>•</w:t>
            </w:r>
            <w:r>
              <w:rPr>
                <w:rFonts w:ascii="Franklin Gothic Book" w:hAnsi="Franklin Gothic Book" w:cs="Arial"/>
                <w:lang w:eastAsia="en-US"/>
              </w:rPr>
              <w:tab/>
            </w:r>
            <w:r w:rsidRPr="000F0509">
              <w:rPr>
                <w:rFonts w:ascii="Franklin Gothic Book" w:hAnsi="Franklin Gothic Book" w:cs="Arial"/>
                <w:lang w:eastAsia="en-US"/>
              </w:rPr>
              <w:t>increasing access to innovations for more than 100,000 households</w:t>
            </w:r>
          </w:p>
          <w:p w:rsidR="000F0509" w:rsidRPr="006662F1" w:rsidRDefault="000F0509" w:rsidP="000F0509">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r>
            <w:r w:rsidRPr="000F0509">
              <w:rPr>
                <w:rFonts w:ascii="Franklin Gothic Book" w:hAnsi="Franklin Gothic Book" w:cs="Arial"/>
                <w:lang w:eastAsia="en-US"/>
              </w:rPr>
              <w:t xml:space="preserve">commencing 55 interventions with 47 private sector partners, </w:t>
            </w:r>
            <w:r>
              <w:rPr>
                <w:rFonts w:ascii="Franklin Gothic Book" w:hAnsi="Franklin Gothic Book" w:cs="Arial"/>
                <w:lang w:eastAsia="en-US"/>
              </w:rPr>
              <w:t>who co-invested</w:t>
            </w:r>
            <w:r w:rsidRPr="000F0509">
              <w:rPr>
                <w:rFonts w:ascii="Franklin Gothic Book" w:hAnsi="Franklin Gothic Book" w:cs="Arial"/>
                <w:lang w:eastAsia="en-US"/>
              </w:rPr>
              <w:t xml:space="preserve"> a total of AUD1.5million</w:t>
            </w:r>
            <w:r w:rsidRPr="006662F1">
              <w:rPr>
                <w:rFonts w:ascii="Franklin Gothic Book" w:hAnsi="Franklin Gothic Book" w:cs="Arial"/>
                <w:lang w:eastAsia="en-US"/>
              </w:rPr>
              <w:t xml:space="preserve"> </w:t>
            </w:r>
          </w:p>
          <w:p w:rsidR="000F0509" w:rsidRPr="006662F1" w:rsidRDefault="000F0509" w:rsidP="000F0509">
            <w:pPr>
              <w:suppressAutoHyphens w:val="0"/>
              <w:spacing w:after="0" w:line="276" w:lineRule="auto"/>
              <w:ind w:left="360"/>
              <w:rPr>
                <w:rFonts w:ascii="Franklin Gothic Book" w:hAnsi="Franklin Gothic Book" w:cs="Arial"/>
                <w:lang w:eastAsia="en-US"/>
              </w:rPr>
            </w:pPr>
            <w:r w:rsidRPr="006662F1">
              <w:rPr>
                <w:rFonts w:ascii="Franklin Gothic Book" w:hAnsi="Franklin Gothic Book" w:cs="Arial"/>
                <w:lang w:eastAsia="en-US"/>
              </w:rPr>
              <w:t>•</w:t>
            </w:r>
            <w:r w:rsidRPr="006662F1">
              <w:rPr>
                <w:rFonts w:ascii="Franklin Gothic Book" w:hAnsi="Franklin Gothic Book" w:cs="Arial"/>
                <w:lang w:eastAsia="en-US"/>
              </w:rPr>
              <w:tab/>
            </w:r>
            <w:proofErr w:type="gramStart"/>
            <w:r w:rsidRPr="000F0509">
              <w:rPr>
                <w:rFonts w:ascii="Franklin Gothic Book" w:hAnsi="Franklin Gothic Book" w:cs="Arial"/>
                <w:lang w:eastAsia="en-US"/>
              </w:rPr>
              <w:t>increasing</w:t>
            </w:r>
            <w:proofErr w:type="gramEnd"/>
            <w:r w:rsidRPr="000F0509">
              <w:rPr>
                <w:rFonts w:ascii="Franklin Gothic Book" w:hAnsi="Franklin Gothic Book" w:cs="Arial"/>
                <w:lang w:eastAsia="en-US"/>
              </w:rPr>
              <w:t xml:space="preserve"> turnover for 578 small businesses in Indonesia.</w:t>
            </w:r>
          </w:p>
          <w:p w:rsidR="006662F1" w:rsidRPr="006662F1" w:rsidRDefault="006662F1" w:rsidP="00E71022">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 xml:space="preserve">The review concluded that PRISMA’s plans to scale up successful interventions are appropriate and its monitoring and evaluation system is robust and credible, giving DFAT confidence that the program’s poverty reduction targets are on track. </w:t>
            </w:r>
            <w:r w:rsidR="00AA42BC">
              <w:rPr>
                <w:rFonts w:ascii="Franklin Gothic Book" w:hAnsi="Franklin Gothic Book" w:cs="Arial"/>
                <w:lang w:eastAsia="en-US"/>
              </w:rPr>
              <w:t>In particular, the programs’ focus on partnering with the private sector and leveraging private sector funds to achieve development outcomes represents a viable, sustainable and value for money way of wo</w:t>
            </w:r>
            <w:r w:rsidR="00FE5814">
              <w:rPr>
                <w:rFonts w:ascii="Franklin Gothic Book" w:hAnsi="Franklin Gothic Book" w:cs="Arial"/>
                <w:lang w:eastAsia="en-US"/>
              </w:rPr>
              <w:t>rking for donors and Government</w:t>
            </w:r>
            <w:r w:rsidR="00AA42BC">
              <w:rPr>
                <w:rFonts w:ascii="Franklin Gothic Book" w:hAnsi="Franklin Gothic Book" w:cs="Arial"/>
                <w:lang w:eastAsia="en-US"/>
              </w:rPr>
              <w:t xml:space="preserve">. </w:t>
            </w:r>
            <w:r w:rsidRPr="006662F1">
              <w:rPr>
                <w:rFonts w:ascii="Franklin Gothic Book" w:hAnsi="Franklin Gothic Book" w:cs="Arial"/>
                <w:lang w:eastAsia="en-US"/>
              </w:rPr>
              <w:t xml:space="preserve">The </w:t>
            </w:r>
            <w:r w:rsidR="00E71022">
              <w:rPr>
                <w:rFonts w:ascii="Franklin Gothic Book" w:hAnsi="Franklin Gothic Book" w:cs="Arial"/>
                <w:lang w:eastAsia="en-US"/>
              </w:rPr>
              <w:t>MTR</w:t>
            </w:r>
            <w:r w:rsidRPr="006662F1">
              <w:rPr>
                <w:rFonts w:ascii="Franklin Gothic Book" w:hAnsi="Franklin Gothic Book" w:cs="Arial"/>
                <w:lang w:eastAsia="en-US"/>
              </w:rPr>
              <w:t xml:space="preserve"> recommended DFAT consider a second phase of AIP-Rural with a target of increasing incomes for a further 700,000 smallholder farm households by 30% by 2023. </w:t>
            </w:r>
          </w:p>
          <w:p w:rsidR="006662F1" w:rsidRPr="00BD306C" w:rsidRDefault="006662F1" w:rsidP="00900E50">
            <w:pPr>
              <w:suppressAutoHyphens w:val="0"/>
              <w:spacing w:after="0" w:line="276" w:lineRule="auto"/>
              <w:rPr>
                <w:rFonts w:ascii="Franklin Gothic Book" w:hAnsi="Franklin Gothic Book" w:cs="Arial"/>
                <w:lang w:eastAsia="en-US"/>
              </w:rPr>
            </w:pPr>
            <w:r w:rsidRPr="006662F1">
              <w:rPr>
                <w:rFonts w:ascii="Franklin Gothic Book" w:hAnsi="Franklin Gothic Book" w:cs="Arial"/>
                <w:lang w:eastAsia="en-US"/>
              </w:rPr>
              <w:t xml:space="preserve">The three smaller programs – ARISA (managed by CSIRO), TIRTA, and SAFIRA – are at earlier stages and their progress to date has been slower than anticipated.  The review recommended that the focus for the remainder of </w:t>
            </w:r>
            <w:r w:rsidR="00900E50">
              <w:rPr>
                <w:rFonts w:ascii="Franklin Gothic Book" w:hAnsi="Franklin Gothic Book" w:cs="Arial"/>
                <w:lang w:eastAsia="en-US"/>
              </w:rPr>
              <w:t>P</w:t>
            </w:r>
            <w:r w:rsidRPr="006662F1">
              <w:rPr>
                <w:rFonts w:ascii="Franklin Gothic Book" w:hAnsi="Franklin Gothic Book" w:cs="Arial"/>
                <w:lang w:eastAsia="en-US"/>
              </w:rPr>
              <w:t>hase 1 be on proving the viability of the models and assessing possibilities for scale-up, in order to inform DFAT’s consideration of including them in any subsequent phase of AIP-Rural.</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4C10EA" w:rsidP="002D6CE0">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 xml:space="preserve">C: Proposed outcomes and investment options (What)   </w:t>
            </w:r>
          </w:p>
        </w:tc>
      </w:tr>
      <w:tr w:rsidR="004C10EA" w:rsidRPr="00BD306C" w:rsidTr="00DC348A">
        <w:trPr>
          <w:cantSplit w:val="0"/>
        </w:trPr>
        <w:tc>
          <w:tcPr>
            <w:tcW w:w="9606" w:type="dxa"/>
          </w:tcPr>
          <w:p w:rsidR="006662F1" w:rsidRDefault="006662F1" w:rsidP="006662F1">
            <w:pPr>
              <w:rPr>
                <w:rFonts w:ascii="Franklin Gothic Book" w:hAnsi="Franklin Gothic Book"/>
                <w:lang w:val="en-US"/>
              </w:rPr>
            </w:pPr>
            <w:r>
              <w:rPr>
                <w:rFonts w:ascii="Franklin Gothic Book" w:hAnsi="Franklin Gothic Book"/>
                <w:lang w:val="en-US"/>
              </w:rPr>
              <w:t xml:space="preserve">AIP-Rural Phase II will aim to increase incomes for </w:t>
            </w:r>
            <w:r w:rsidR="008D19B8">
              <w:rPr>
                <w:rFonts w:ascii="Franklin Gothic Book" w:hAnsi="Franklin Gothic Book"/>
                <w:lang w:val="en-US"/>
              </w:rPr>
              <w:t>an additional 700,000</w:t>
            </w:r>
            <w:r>
              <w:rPr>
                <w:rFonts w:ascii="Franklin Gothic Book" w:hAnsi="Franklin Gothic Book"/>
                <w:lang w:val="en-US"/>
              </w:rPr>
              <w:t xml:space="preserve"> smallholder farm households by 30% (</w:t>
            </w:r>
            <w:r w:rsidR="008D19B8">
              <w:rPr>
                <w:rFonts w:ascii="Franklin Gothic Book" w:hAnsi="Franklin Gothic Book"/>
                <w:lang w:val="en-US"/>
              </w:rPr>
              <w:t>bringing the program total to 1 million hous</w:t>
            </w:r>
            <w:r w:rsidR="00E71022">
              <w:rPr>
                <w:rFonts w:ascii="Franklin Gothic Book" w:hAnsi="Franklin Gothic Book"/>
                <w:lang w:val="en-US"/>
              </w:rPr>
              <w:t>e</w:t>
            </w:r>
            <w:r w:rsidR="008D19B8">
              <w:rPr>
                <w:rFonts w:ascii="Franklin Gothic Book" w:hAnsi="Franklin Gothic Book"/>
                <w:lang w:val="en-US"/>
              </w:rPr>
              <w:t>holds</w:t>
            </w:r>
            <w:r>
              <w:rPr>
                <w:rFonts w:ascii="Franklin Gothic Book" w:hAnsi="Franklin Gothic Book"/>
                <w:lang w:val="en-US"/>
              </w:rPr>
              <w:t>). During the second phase, it is expected that AIP-Rural will be able to contribute more broadly to functioning, competitive agricultural markets and increased productivity in key commodities in Indonesia.</w:t>
            </w:r>
            <w:r w:rsidR="00A4408E">
              <w:rPr>
                <w:rFonts w:ascii="Franklin Gothic Book" w:hAnsi="Franklin Gothic Book"/>
                <w:lang w:val="en-US"/>
              </w:rPr>
              <w:t xml:space="preserve"> </w:t>
            </w:r>
            <w:r w:rsidR="00EC6197">
              <w:rPr>
                <w:rFonts w:ascii="Franklin Gothic Book" w:hAnsi="Franklin Gothic Book"/>
                <w:lang w:val="en-US"/>
              </w:rPr>
              <w:t>Phase II will be submitted to market in a competitive tender.</w:t>
            </w:r>
          </w:p>
          <w:p w:rsidR="006662F1" w:rsidRPr="00E71022" w:rsidRDefault="006662F1" w:rsidP="006662F1">
            <w:pPr>
              <w:rPr>
                <w:rFonts w:ascii="Franklin Gothic Book" w:hAnsi="Franklin Gothic Book"/>
                <w:lang w:val="en-US"/>
              </w:rPr>
            </w:pPr>
            <w:r w:rsidRPr="00E71022">
              <w:rPr>
                <w:rFonts w:ascii="Franklin Gothic Book" w:hAnsi="Franklin Gothic Book"/>
                <w:lang w:val="en-US"/>
              </w:rPr>
              <w:t>Phase II will focus on:</w:t>
            </w:r>
          </w:p>
          <w:p w:rsidR="006662F1" w:rsidRPr="00E71022" w:rsidRDefault="006662F1" w:rsidP="006662F1">
            <w:pPr>
              <w:pStyle w:val="ListParagraph"/>
              <w:numPr>
                <w:ilvl w:val="0"/>
                <w:numId w:val="42"/>
              </w:numPr>
              <w:rPr>
                <w:rFonts w:ascii="Franklin Gothic Book" w:hAnsi="Franklin Gothic Book"/>
                <w:color w:val="495965" w:themeColor="text2"/>
                <w:sz w:val="20"/>
                <w:szCs w:val="20"/>
                <w:lang w:val="en-US"/>
              </w:rPr>
            </w:pPr>
            <w:r w:rsidRPr="00E71022">
              <w:rPr>
                <w:rFonts w:ascii="Franklin Gothic Book" w:hAnsi="Franklin Gothic Book"/>
                <w:b/>
                <w:color w:val="495965" w:themeColor="text2"/>
                <w:sz w:val="20"/>
                <w:szCs w:val="20"/>
                <w:lang w:val="en-US"/>
              </w:rPr>
              <w:t>Continuing a market development approach to increase farmer incomes and improve profitability and competitiveness of the private sector.</w:t>
            </w:r>
            <w:r w:rsidRPr="00E71022">
              <w:rPr>
                <w:rFonts w:ascii="Franklin Gothic Book" w:hAnsi="Franklin Gothic Book"/>
                <w:color w:val="495965" w:themeColor="text2"/>
                <w:sz w:val="20"/>
                <w:szCs w:val="20"/>
                <w:lang w:val="en-US"/>
              </w:rPr>
              <w:t xml:space="preserve"> The MTR found that the program’s Making Markets Work for the Poor approach is cost effective and efficiently and sustainably facilitates private sector firms to deliver innovations that increase the income and resilience of farming households in eastern Indonesia.</w:t>
            </w:r>
            <w:r w:rsidR="00900E50">
              <w:rPr>
                <w:rFonts w:ascii="Franklin Gothic Book" w:hAnsi="Franklin Gothic Book"/>
                <w:color w:val="495965" w:themeColor="text2"/>
                <w:sz w:val="20"/>
                <w:szCs w:val="20"/>
                <w:lang w:val="en-US"/>
              </w:rPr>
              <w:t xml:space="preserve"> Phase II will continue to partner with business to introduce agricultural innovations to farmers in a way that increases profits for farmers and businesses alike.</w:t>
            </w:r>
          </w:p>
          <w:p w:rsidR="006662F1" w:rsidRPr="00E71022" w:rsidRDefault="006662F1" w:rsidP="006662F1">
            <w:pPr>
              <w:pStyle w:val="ListParagraph"/>
              <w:numPr>
                <w:ilvl w:val="0"/>
                <w:numId w:val="42"/>
              </w:numPr>
              <w:rPr>
                <w:rFonts w:ascii="Franklin Gothic Book" w:hAnsi="Franklin Gothic Book"/>
                <w:color w:val="495965" w:themeColor="text2"/>
                <w:sz w:val="20"/>
                <w:szCs w:val="20"/>
                <w:lang w:val="en-US"/>
              </w:rPr>
            </w:pPr>
            <w:r w:rsidRPr="00E71022">
              <w:rPr>
                <w:rFonts w:ascii="Franklin Gothic Book" w:hAnsi="Franklin Gothic Book"/>
                <w:b/>
                <w:color w:val="495965" w:themeColor="text2"/>
                <w:sz w:val="20"/>
                <w:szCs w:val="20"/>
                <w:lang w:val="en-US"/>
              </w:rPr>
              <w:lastRenderedPageBreak/>
              <w:t>Scaling up to reach a total</w:t>
            </w:r>
            <w:r w:rsidR="00AA42BC">
              <w:rPr>
                <w:rFonts w:ascii="Franklin Gothic Book" w:hAnsi="Franklin Gothic Book"/>
                <w:b/>
                <w:color w:val="495965" w:themeColor="text2"/>
                <w:sz w:val="20"/>
                <w:szCs w:val="20"/>
                <w:lang w:val="en-US"/>
              </w:rPr>
              <w:t xml:space="preserve"> of</w:t>
            </w:r>
            <w:r w:rsidRPr="00E71022">
              <w:rPr>
                <w:rFonts w:ascii="Franklin Gothic Book" w:hAnsi="Franklin Gothic Book"/>
                <w:b/>
                <w:color w:val="495965" w:themeColor="text2"/>
                <w:sz w:val="20"/>
                <w:szCs w:val="20"/>
                <w:lang w:val="en-US"/>
              </w:rPr>
              <w:t xml:space="preserve"> 1 million smallholder farmers.</w:t>
            </w:r>
            <w:r w:rsidRPr="00E71022">
              <w:rPr>
                <w:rFonts w:ascii="Franklin Gothic Book" w:hAnsi="Franklin Gothic Book"/>
                <w:color w:val="495965" w:themeColor="text2"/>
                <w:sz w:val="20"/>
                <w:szCs w:val="20"/>
                <w:lang w:val="en-US"/>
              </w:rPr>
              <w:t xml:space="preserve"> The MTR recommended that the second phase consider increased reach and coverage to achieve a new target of an additional 700,000 beneficiaries. Identification of new target provinces in Indonesia will be necessary to achieve this.</w:t>
            </w:r>
          </w:p>
          <w:p w:rsidR="006662F1" w:rsidRPr="00E71022" w:rsidRDefault="008D19B8" w:rsidP="006662F1">
            <w:pPr>
              <w:pStyle w:val="ListParagraph"/>
              <w:numPr>
                <w:ilvl w:val="0"/>
                <w:numId w:val="42"/>
              </w:numPr>
              <w:rPr>
                <w:rFonts w:ascii="Franklin Gothic Book" w:hAnsi="Franklin Gothic Book"/>
                <w:color w:val="495965" w:themeColor="text2"/>
                <w:sz w:val="20"/>
                <w:szCs w:val="20"/>
                <w:lang w:val="en-US"/>
              </w:rPr>
            </w:pPr>
            <w:r w:rsidRPr="00E71022">
              <w:rPr>
                <w:rFonts w:ascii="Franklin Gothic Book" w:hAnsi="Franklin Gothic Book"/>
                <w:b/>
                <w:color w:val="495965" w:themeColor="text2"/>
                <w:sz w:val="20"/>
                <w:szCs w:val="20"/>
                <w:lang w:val="en-US"/>
              </w:rPr>
              <w:t>System</w:t>
            </w:r>
            <w:r w:rsidR="006662F1" w:rsidRPr="00E71022">
              <w:rPr>
                <w:rFonts w:ascii="Franklin Gothic Book" w:hAnsi="Franklin Gothic Book"/>
                <w:b/>
                <w:color w:val="495965" w:themeColor="text2"/>
                <w:sz w:val="20"/>
                <w:szCs w:val="20"/>
                <w:lang w:val="en-US"/>
              </w:rPr>
              <w:t>ic change.</w:t>
            </w:r>
            <w:r w:rsidR="006662F1" w:rsidRPr="00E71022">
              <w:rPr>
                <w:rFonts w:ascii="Franklin Gothic Book" w:hAnsi="Franklin Gothic Book"/>
                <w:color w:val="495965" w:themeColor="text2"/>
                <w:sz w:val="20"/>
                <w:szCs w:val="20"/>
                <w:lang w:val="en-US"/>
              </w:rPr>
              <w:t xml:space="preserve"> Whilst Phase I continues to lay the groundwork </w:t>
            </w:r>
            <w:r w:rsidRPr="00E71022">
              <w:rPr>
                <w:rFonts w:ascii="Franklin Gothic Book" w:hAnsi="Franklin Gothic Book"/>
                <w:color w:val="495965" w:themeColor="text2"/>
                <w:sz w:val="20"/>
                <w:szCs w:val="20"/>
                <w:lang w:val="en-US"/>
              </w:rPr>
              <w:t xml:space="preserve">through a broad array of </w:t>
            </w:r>
            <w:r w:rsidR="00AA42BC">
              <w:rPr>
                <w:rFonts w:ascii="Franklin Gothic Book" w:hAnsi="Franklin Gothic Book"/>
                <w:color w:val="495965" w:themeColor="text2"/>
                <w:sz w:val="20"/>
                <w:szCs w:val="20"/>
                <w:lang w:val="en-US"/>
              </w:rPr>
              <w:t>carefully targeted partnerships</w:t>
            </w:r>
            <w:r w:rsidRPr="00E71022">
              <w:rPr>
                <w:rFonts w:ascii="Franklin Gothic Book" w:hAnsi="Franklin Gothic Book"/>
                <w:color w:val="495965" w:themeColor="text2"/>
                <w:sz w:val="20"/>
                <w:szCs w:val="20"/>
                <w:lang w:val="en-US"/>
              </w:rPr>
              <w:t xml:space="preserve"> informed by in depth sector analyses, </w:t>
            </w:r>
            <w:r w:rsidR="006662F1" w:rsidRPr="00E71022">
              <w:rPr>
                <w:rFonts w:ascii="Franklin Gothic Book" w:hAnsi="Franklin Gothic Book"/>
                <w:color w:val="495965" w:themeColor="text2"/>
                <w:sz w:val="20"/>
                <w:szCs w:val="20"/>
                <w:lang w:val="en-US"/>
              </w:rPr>
              <w:t xml:space="preserve">Phase II will be expected to translate this into </w:t>
            </w:r>
            <w:r w:rsidRPr="00E71022">
              <w:rPr>
                <w:rFonts w:ascii="Franklin Gothic Book" w:hAnsi="Franklin Gothic Book"/>
                <w:color w:val="495965" w:themeColor="text2"/>
                <w:sz w:val="20"/>
                <w:szCs w:val="20"/>
                <w:lang w:val="en-US"/>
              </w:rPr>
              <w:t xml:space="preserve">wider systemic change </w:t>
            </w:r>
            <w:proofErr w:type="spellStart"/>
            <w:r w:rsidRPr="00E71022">
              <w:rPr>
                <w:rFonts w:ascii="Franklin Gothic Book" w:hAnsi="Franklin Gothic Book"/>
                <w:color w:val="495965" w:themeColor="text2"/>
                <w:sz w:val="20"/>
                <w:szCs w:val="20"/>
                <w:lang w:val="en-US"/>
              </w:rPr>
              <w:t>ie</w:t>
            </w:r>
            <w:proofErr w:type="spellEnd"/>
            <w:r w:rsidRPr="00E71022">
              <w:rPr>
                <w:rFonts w:ascii="Franklin Gothic Book" w:hAnsi="Franklin Gothic Book"/>
                <w:color w:val="495965" w:themeColor="text2"/>
                <w:sz w:val="20"/>
                <w:szCs w:val="20"/>
                <w:lang w:val="en-US"/>
              </w:rPr>
              <w:t xml:space="preserve">. </w:t>
            </w:r>
            <w:proofErr w:type="gramStart"/>
            <w:r w:rsidR="006662F1" w:rsidRPr="00E71022">
              <w:rPr>
                <w:rFonts w:ascii="Franklin Gothic Book" w:hAnsi="Franklin Gothic Book"/>
                <w:color w:val="495965" w:themeColor="text2"/>
                <w:sz w:val="20"/>
                <w:szCs w:val="20"/>
                <w:lang w:val="en-US"/>
              </w:rPr>
              <w:t>tangible</w:t>
            </w:r>
            <w:proofErr w:type="gramEnd"/>
            <w:r w:rsidR="006662F1" w:rsidRPr="00E71022">
              <w:rPr>
                <w:rFonts w:ascii="Franklin Gothic Book" w:hAnsi="Franklin Gothic Book"/>
                <w:color w:val="495965" w:themeColor="text2"/>
                <w:sz w:val="20"/>
                <w:szCs w:val="20"/>
                <w:lang w:val="en-US"/>
              </w:rPr>
              <w:t xml:space="preserve"> and widespread impact on agricultural markets and productivity.</w:t>
            </w:r>
          </w:p>
          <w:p w:rsidR="006662F1" w:rsidRPr="00AA42BC" w:rsidRDefault="006662F1" w:rsidP="006662F1">
            <w:pPr>
              <w:pStyle w:val="ListParagraph"/>
              <w:numPr>
                <w:ilvl w:val="0"/>
                <w:numId w:val="42"/>
              </w:numPr>
              <w:rPr>
                <w:rFonts w:ascii="Franklin Gothic Book" w:hAnsi="Franklin Gothic Book"/>
                <w:color w:val="495965" w:themeColor="text2"/>
                <w:sz w:val="20"/>
                <w:szCs w:val="20"/>
                <w:lang w:val="en-US"/>
              </w:rPr>
            </w:pPr>
            <w:r w:rsidRPr="00AA42BC">
              <w:rPr>
                <w:rFonts w:ascii="Franklin Gothic Book" w:hAnsi="Franklin Gothic Book"/>
                <w:b/>
                <w:color w:val="495965" w:themeColor="text2"/>
                <w:sz w:val="20"/>
                <w:szCs w:val="20"/>
                <w:lang w:val="en-US"/>
              </w:rPr>
              <w:t>Consolidation and refinement of the current program.</w:t>
            </w:r>
            <w:r w:rsidRPr="00AA42BC">
              <w:rPr>
                <w:rFonts w:ascii="Franklin Gothic Book" w:hAnsi="Franklin Gothic Book"/>
                <w:color w:val="495965" w:themeColor="text2"/>
                <w:sz w:val="20"/>
                <w:szCs w:val="20"/>
                <w:lang w:val="en-US"/>
              </w:rPr>
              <w:t xml:space="preserve"> The MTR recommended DFAT consider simplification and consolidation of the current program to retain focus and allow for easier program management </w:t>
            </w:r>
            <w:proofErr w:type="spellStart"/>
            <w:r w:rsidRPr="00AA42BC">
              <w:rPr>
                <w:rFonts w:ascii="Franklin Gothic Book" w:hAnsi="Franklin Gothic Book"/>
                <w:color w:val="495965" w:themeColor="text2"/>
                <w:sz w:val="20"/>
                <w:szCs w:val="20"/>
                <w:lang w:val="en-US"/>
              </w:rPr>
              <w:t>eg</w:t>
            </w:r>
            <w:proofErr w:type="spellEnd"/>
            <w:r w:rsidRPr="00AA42BC">
              <w:rPr>
                <w:rFonts w:ascii="Franklin Gothic Book" w:hAnsi="Franklin Gothic Book"/>
                <w:color w:val="495965" w:themeColor="text2"/>
                <w:sz w:val="20"/>
                <w:szCs w:val="20"/>
                <w:lang w:val="en-US"/>
              </w:rPr>
              <w:t xml:space="preserve">. </w:t>
            </w:r>
            <w:proofErr w:type="gramStart"/>
            <w:r w:rsidRPr="00AA42BC">
              <w:rPr>
                <w:rFonts w:ascii="Franklin Gothic Book" w:hAnsi="Franklin Gothic Book"/>
                <w:color w:val="495965" w:themeColor="text2"/>
                <w:sz w:val="20"/>
                <w:szCs w:val="20"/>
                <w:lang w:val="en-US"/>
              </w:rPr>
              <w:t>one</w:t>
            </w:r>
            <w:proofErr w:type="gramEnd"/>
            <w:r w:rsidRPr="00AA42BC">
              <w:rPr>
                <w:rFonts w:ascii="Franklin Gothic Book" w:hAnsi="Franklin Gothic Book"/>
                <w:color w:val="495965" w:themeColor="text2"/>
                <w:sz w:val="20"/>
                <w:szCs w:val="20"/>
                <w:lang w:val="en-US"/>
              </w:rPr>
              <w:t xml:space="preserve"> initiative, one implementation partner, and one contractual arrangement.</w:t>
            </w:r>
          </w:p>
          <w:p w:rsidR="00FD738A" w:rsidRPr="00AA42BC" w:rsidRDefault="008214DA" w:rsidP="00AA42BC">
            <w:pPr>
              <w:pStyle w:val="ListParagraph"/>
              <w:numPr>
                <w:ilvl w:val="0"/>
                <w:numId w:val="42"/>
              </w:numPr>
              <w:rPr>
                <w:rFonts w:ascii="Franklin Gothic Book" w:hAnsi="Franklin Gothic Book"/>
                <w:color w:val="495965" w:themeColor="text2"/>
                <w:sz w:val="20"/>
                <w:szCs w:val="20"/>
                <w:lang w:val="en-US"/>
              </w:rPr>
            </w:pPr>
            <w:r w:rsidRPr="00AA42BC">
              <w:rPr>
                <w:rFonts w:ascii="Franklin Gothic Book" w:hAnsi="Franklin Gothic Book"/>
                <w:b/>
                <w:color w:val="495965" w:themeColor="text2"/>
                <w:sz w:val="20"/>
                <w:szCs w:val="20"/>
                <w:lang w:val="en-US"/>
              </w:rPr>
              <w:t>Increased focus on policy change.</w:t>
            </w:r>
            <w:r w:rsidRPr="00AA42BC">
              <w:rPr>
                <w:rFonts w:ascii="Franklin Gothic Book" w:hAnsi="Franklin Gothic Book"/>
                <w:color w:val="495965" w:themeColor="text2"/>
                <w:sz w:val="20"/>
                <w:szCs w:val="20"/>
                <w:lang w:val="en-US"/>
              </w:rPr>
              <w:t xml:space="preserve"> As the program continues to </w:t>
            </w:r>
            <w:r w:rsidR="00AA42BC" w:rsidRPr="00AA42BC">
              <w:rPr>
                <w:rFonts w:ascii="Franklin Gothic Book" w:hAnsi="Franklin Gothic Book"/>
                <w:color w:val="495965" w:themeColor="text2"/>
                <w:sz w:val="20"/>
                <w:szCs w:val="20"/>
                <w:lang w:val="en-US"/>
              </w:rPr>
              <w:t>generate good results</w:t>
            </w:r>
            <w:r w:rsidRPr="00AA42BC">
              <w:rPr>
                <w:rFonts w:ascii="Franklin Gothic Book" w:hAnsi="Franklin Gothic Book"/>
                <w:color w:val="495965" w:themeColor="text2"/>
                <w:sz w:val="20"/>
                <w:szCs w:val="20"/>
                <w:lang w:val="en-US"/>
              </w:rPr>
              <w:t xml:space="preserve">, it </w:t>
            </w:r>
            <w:r w:rsidR="00AA42BC" w:rsidRPr="00AA42BC">
              <w:rPr>
                <w:rFonts w:ascii="Franklin Gothic Book" w:hAnsi="Franklin Gothic Book"/>
                <w:color w:val="495965" w:themeColor="text2"/>
                <w:sz w:val="20"/>
                <w:szCs w:val="20"/>
                <w:lang w:val="en-US"/>
              </w:rPr>
              <w:t xml:space="preserve">will need to </w:t>
            </w:r>
            <w:r w:rsidR="00AA42BC">
              <w:rPr>
                <w:rFonts w:ascii="Franklin Gothic Book" w:hAnsi="Franklin Gothic Book"/>
                <w:color w:val="495965" w:themeColor="text2"/>
                <w:sz w:val="20"/>
                <w:szCs w:val="20"/>
                <w:lang w:val="en-US"/>
              </w:rPr>
              <w:t xml:space="preserve">increase its focus on using </w:t>
            </w:r>
            <w:r w:rsidR="00AA42BC" w:rsidRPr="00AA42BC">
              <w:rPr>
                <w:rFonts w:ascii="Franklin Gothic Book" w:hAnsi="Franklin Gothic Book"/>
                <w:color w:val="495965" w:themeColor="text2"/>
                <w:sz w:val="20"/>
                <w:szCs w:val="20"/>
                <w:lang w:val="en-US"/>
              </w:rPr>
              <w:t>program evidence</w:t>
            </w:r>
            <w:r w:rsidRPr="00AA42BC">
              <w:rPr>
                <w:rFonts w:ascii="Franklin Gothic Book" w:hAnsi="Franklin Gothic Book"/>
                <w:color w:val="495965" w:themeColor="text2"/>
                <w:sz w:val="20"/>
                <w:szCs w:val="20"/>
                <w:lang w:val="en-US"/>
              </w:rPr>
              <w:t xml:space="preserve"> to influence positive market development policies in </w:t>
            </w:r>
            <w:proofErr w:type="spellStart"/>
            <w:r w:rsidRPr="00AA42BC">
              <w:rPr>
                <w:rFonts w:ascii="Franklin Gothic Book" w:hAnsi="Franklin Gothic Book"/>
                <w:color w:val="495965" w:themeColor="text2"/>
                <w:sz w:val="20"/>
                <w:szCs w:val="20"/>
                <w:lang w:val="en-US"/>
              </w:rPr>
              <w:t>GoI</w:t>
            </w:r>
            <w:proofErr w:type="spellEnd"/>
            <w:r w:rsidRPr="00AA42BC">
              <w:rPr>
                <w:rFonts w:ascii="Franklin Gothic Book" w:hAnsi="Franklin Gothic Book"/>
                <w:color w:val="495965" w:themeColor="text2"/>
                <w:sz w:val="20"/>
                <w:szCs w:val="20"/>
                <w:lang w:val="en-US"/>
              </w:rPr>
              <w:t>.</w:t>
            </w:r>
          </w:p>
          <w:p w:rsidR="006662F1" w:rsidRPr="00366F80" w:rsidRDefault="006662F1" w:rsidP="006662F1">
            <w:pPr>
              <w:rPr>
                <w:rFonts w:ascii="Franklin Gothic Book" w:hAnsi="Franklin Gothic Book"/>
                <w:lang w:val="en-US"/>
              </w:rPr>
            </w:pPr>
            <w:r>
              <w:rPr>
                <w:rFonts w:ascii="Franklin Gothic Book" w:hAnsi="Franklin Gothic Book"/>
                <w:lang w:val="en-US"/>
              </w:rPr>
              <w:t>The remainder of Phase I will be used to lay the groundwork for expanded scale and systematic change in PRISMA and provide ‘</w:t>
            </w:r>
            <w:r w:rsidR="0051314C">
              <w:rPr>
                <w:rFonts w:ascii="Franklin Gothic Book" w:hAnsi="Franklin Gothic Book"/>
                <w:lang w:val="en-US"/>
              </w:rPr>
              <w:t xml:space="preserve">proof of concept’ for TIRTA, ARISA and </w:t>
            </w:r>
            <w:r>
              <w:rPr>
                <w:rFonts w:ascii="Franklin Gothic Book" w:hAnsi="Franklin Gothic Book"/>
                <w:lang w:val="en-US"/>
              </w:rPr>
              <w:t>SAFIRA</w:t>
            </w:r>
            <w:r w:rsidR="00A4408E">
              <w:rPr>
                <w:rFonts w:ascii="Franklin Gothic Book" w:hAnsi="Franklin Gothic Book"/>
                <w:lang w:val="en-US"/>
              </w:rPr>
              <w:t>, which will be assessed by the program’s Strategic Review Panel in June 2017</w:t>
            </w:r>
            <w:r>
              <w:rPr>
                <w:rFonts w:ascii="Franklin Gothic Book" w:hAnsi="Franklin Gothic Book"/>
                <w:lang w:val="en-US"/>
              </w:rPr>
              <w:t>. The design team will</w:t>
            </w:r>
            <w:r w:rsidRPr="00366F80">
              <w:rPr>
                <w:rFonts w:ascii="Franklin Gothic Book" w:hAnsi="Franklin Gothic Book"/>
                <w:lang w:val="en-US"/>
              </w:rPr>
              <w:t xml:space="preserve"> </w:t>
            </w:r>
            <w:r w:rsidR="00AA42BC">
              <w:rPr>
                <w:rFonts w:ascii="Franklin Gothic Book" w:hAnsi="Franklin Gothic Book"/>
                <w:lang w:val="en-US"/>
              </w:rPr>
              <w:t xml:space="preserve">then determine </w:t>
            </w:r>
            <w:r w:rsidRPr="00366F80">
              <w:rPr>
                <w:rFonts w:ascii="Franklin Gothic Book" w:hAnsi="Franklin Gothic Book"/>
                <w:lang w:val="en-US"/>
              </w:rPr>
              <w:t>whether to continu</w:t>
            </w:r>
            <w:r>
              <w:rPr>
                <w:rFonts w:ascii="Franklin Gothic Book" w:hAnsi="Franklin Gothic Book"/>
                <w:lang w:val="en-US"/>
              </w:rPr>
              <w:t xml:space="preserve">e with these elements in Phase II depending on progress in the </w:t>
            </w:r>
            <w:r w:rsidR="0051314C">
              <w:rPr>
                <w:rFonts w:ascii="Franklin Gothic Book" w:hAnsi="Franklin Gothic Book"/>
                <w:lang w:val="en-US"/>
              </w:rPr>
              <w:t xml:space="preserve">next 6-12 months. </w:t>
            </w:r>
          </w:p>
          <w:p w:rsidR="006662F1" w:rsidRPr="00BD306C" w:rsidRDefault="006662F1" w:rsidP="00FD738A">
            <w:pPr>
              <w:suppressAutoHyphens w:val="0"/>
              <w:spacing w:after="0" w:line="276" w:lineRule="auto"/>
              <w:rPr>
                <w:rFonts w:ascii="Franklin Gothic Book" w:hAnsi="Franklin Gothic Book" w:cs="Arial"/>
                <w:b/>
              </w:rPr>
            </w:pPr>
            <w:r>
              <w:rPr>
                <w:rFonts w:ascii="Franklin Gothic Book" w:hAnsi="Franklin Gothic Book"/>
                <w:lang w:val="en-US"/>
              </w:rPr>
              <w:t>A</w:t>
            </w:r>
            <w:r w:rsidRPr="00366F80">
              <w:rPr>
                <w:rFonts w:ascii="Franklin Gothic Book" w:hAnsi="Franklin Gothic Book"/>
                <w:lang w:val="en-US"/>
              </w:rPr>
              <w:t xml:space="preserve"> small reduction in the current level of funding beyond 2018-19</w:t>
            </w:r>
            <w:r>
              <w:rPr>
                <w:rFonts w:ascii="Franklin Gothic Book" w:hAnsi="Franklin Gothic Book"/>
                <w:lang w:val="en-US"/>
              </w:rPr>
              <w:t xml:space="preserve"> is envisaged for the second phase of AIP-Rural,</w:t>
            </w:r>
            <w:r w:rsidRPr="00366F80">
              <w:rPr>
                <w:rFonts w:ascii="Franklin Gothic Book" w:hAnsi="Franklin Gothic Book"/>
                <w:lang w:val="en-US"/>
              </w:rPr>
              <w:t xml:space="preserve"> based on consolidation of the four programs.</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4C10EA" w:rsidP="002D6CE0">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lastRenderedPageBreak/>
              <w:t xml:space="preserve">D: Implementation/delivery approach (How and with whom?)  </w:t>
            </w:r>
          </w:p>
        </w:tc>
      </w:tr>
      <w:tr w:rsidR="004C10EA" w:rsidRPr="00BD306C" w:rsidTr="00DC348A">
        <w:trPr>
          <w:cantSplit w:val="0"/>
        </w:trPr>
        <w:tc>
          <w:tcPr>
            <w:tcW w:w="9606" w:type="dxa"/>
          </w:tcPr>
          <w:p w:rsidR="006662F1" w:rsidRDefault="006662F1" w:rsidP="006662F1">
            <w:pPr>
              <w:spacing w:line="276" w:lineRule="auto"/>
              <w:rPr>
                <w:rFonts w:ascii="Franklin Gothic Book" w:hAnsi="Franklin Gothic Book" w:cs="Arial"/>
              </w:rPr>
            </w:pPr>
            <w:r>
              <w:rPr>
                <w:rFonts w:ascii="Franklin Gothic Book" w:hAnsi="Franklin Gothic Book" w:cs="Arial"/>
              </w:rPr>
              <w:t>The MTR confirmed the efficiency and effectiveness of the delivery approach used in AIP-Rural Phase I, particularly as demonstrated by PRISMA, but recommended greater simplification and consolidation of the delivery approach for Phase II. Design of Phase II will consider:</w:t>
            </w:r>
          </w:p>
          <w:p w:rsidR="004C76DF" w:rsidRPr="004C76DF" w:rsidRDefault="004C76DF" w:rsidP="004C76DF">
            <w:pPr>
              <w:pStyle w:val="ListParagraph"/>
              <w:numPr>
                <w:ilvl w:val="0"/>
                <w:numId w:val="43"/>
              </w:numPr>
              <w:spacing w:before="120" w:line="276" w:lineRule="auto"/>
              <w:ind w:left="284" w:hanging="284"/>
              <w:rPr>
                <w:rFonts w:ascii="Franklin Gothic Book" w:hAnsi="Franklin Gothic Book" w:cs="Arial"/>
                <w:color w:val="495965" w:themeColor="text2"/>
                <w:sz w:val="20"/>
                <w:szCs w:val="20"/>
              </w:rPr>
            </w:pPr>
            <w:proofErr w:type="gramStart"/>
            <w:r w:rsidRPr="00343838">
              <w:rPr>
                <w:rFonts w:ascii="Franklin Gothic Book" w:hAnsi="Franklin Gothic Book" w:cs="Arial"/>
                <w:b/>
                <w:bCs/>
                <w:color w:val="495965" w:themeColor="text2"/>
                <w:sz w:val="20"/>
                <w:szCs w:val="20"/>
              </w:rPr>
              <w:t>one</w:t>
            </w:r>
            <w:proofErr w:type="gramEnd"/>
            <w:r w:rsidRPr="00343838">
              <w:rPr>
                <w:rFonts w:ascii="Franklin Gothic Book" w:hAnsi="Franklin Gothic Book" w:cs="Arial"/>
                <w:b/>
                <w:bCs/>
                <w:color w:val="495965" w:themeColor="text2"/>
                <w:sz w:val="20"/>
                <w:szCs w:val="20"/>
              </w:rPr>
              <w:t xml:space="preserve"> program approach and goal</w:t>
            </w:r>
            <w:r w:rsidRPr="00343838">
              <w:rPr>
                <w:rFonts w:ascii="Franklin Gothic Book" w:hAnsi="Franklin Gothic Book" w:cs="Arial"/>
                <w:color w:val="495965" w:themeColor="text2"/>
                <w:sz w:val="20"/>
                <w:szCs w:val="20"/>
              </w:rPr>
              <w:t xml:space="preserve"> – focusing the design and related arrangements on the common goal of private sector investment in agriculture to benefit </w:t>
            </w:r>
            <w:r>
              <w:rPr>
                <w:rFonts w:ascii="Franklin Gothic Book" w:hAnsi="Franklin Gothic Book" w:cs="Arial"/>
                <w:color w:val="495965" w:themeColor="text2"/>
                <w:sz w:val="20"/>
                <w:szCs w:val="20"/>
              </w:rPr>
              <w:t xml:space="preserve">1 million </w:t>
            </w:r>
            <w:r w:rsidRPr="00343838">
              <w:rPr>
                <w:rFonts w:ascii="Franklin Gothic Book" w:hAnsi="Franklin Gothic Book" w:cs="Arial"/>
                <w:color w:val="495965" w:themeColor="text2"/>
                <w:sz w:val="20"/>
                <w:szCs w:val="20"/>
              </w:rPr>
              <w:t>smallholder farmers in Indonesia.</w:t>
            </w:r>
            <w:r>
              <w:rPr>
                <w:rFonts w:ascii="Franklin Gothic Book" w:hAnsi="Franklin Gothic Book" w:cs="Arial"/>
                <w:color w:val="495965" w:themeColor="text2"/>
                <w:sz w:val="20"/>
                <w:szCs w:val="20"/>
              </w:rPr>
              <w:t xml:space="preserve"> This will require verification of the </w:t>
            </w:r>
            <w:r w:rsidR="00FA3525">
              <w:rPr>
                <w:rFonts w:ascii="Franklin Gothic Book" w:hAnsi="Franklin Gothic Book" w:cs="Arial"/>
                <w:color w:val="495965" w:themeColor="text2"/>
                <w:sz w:val="20"/>
                <w:szCs w:val="20"/>
              </w:rPr>
              <w:t xml:space="preserve">new </w:t>
            </w:r>
            <w:r>
              <w:rPr>
                <w:rFonts w:ascii="Franklin Gothic Book" w:hAnsi="Franklin Gothic Book" w:cs="Arial"/>
                <w:color w:val="495965" w:themeColor="text2"/>
                <w:sz w:val="20"/>
                <w:szCs w:val="20"/>
              </w:rPr>
              <w:t>target, scoping of new provinces, and consideration of management structures.</w:t>
            </w:r>
          </w:p>
          <w:p w:rsidR="006662F1" w:rsidRPr="00343838" w:rsidRDefault="006662F1" w:rsidP="006662F1">
            <w:pPr>
              <w:pStyle w:val="ListParagraph"/>
              <w:numPr>
                <w:ilvl w:val="0"/>
                <w:numId w:val="43"/>
              </w:numPr>
              <w:spacing w:before="120" w:line="276" w:lineRule="auto"/>
              <w:ind w:left="284" w:hanging="284"/>
              <w:rPr>
                <w:rFonts w:ascii="Franklin Gothic Book" w:hAnsi="Franklin Gothic Book" w:cs="Arial"/>
                <w:color w:val="495965" w:themeColor="text2"/>
                <w:sz w:val="20"/>
                <w:szCs w:val="20"/>
              </w:rPr>
            </w:pPr>
            <w:proofErr w:type="gramStart"/>
            <w:r w:rsidRPr="00343838">
              <w:rPr>
                <w:rFonts w:ascii="Franklin Gothic Book" w:hAnsi="Franklin Gothic Book" w:cs="Arial"/>
                <w:b/>
                <w:bCs/>
                <w:color w:val="495965" w:themeColor="text2"/>
                <w:sz w:val="20"/>
                <w:szCs w:val="20"/>
              </w:rPr>
              <w:t>one</w:t>
            </w:r>
            <w:proofErr w:type="gramEnd"/>
            <w:r w:rsidRPr="00343838">
              <w:rPr>
                <w:rFonts w:ascii="Franklin Gothic Book" w:hAnsi="Franklin Gothic Book" w:cs="Arial"/>
                <w:b/>
                <w:bCs/>
                <w:color w:val="495965" w:themeColor="text2"/>
                <w:sz w:val="20"/>
                <w:szCs w:val="20"/>
              </w:rPr>
              <w:t xml:space="preserve"> initiative</w:t>
            </w:r>
            <w:r w:rsidRPr="00343838">
              <w:rPr>
                <w:rFonts w:ascii="Franklin Gothic Book" w:hAnsi="Franklin Gothic Book" w:cs="Arial"/>
                <w:color w:val="495965" w:themeColor="text2"/>
                <w:sz w:val="20"/>
                <w:szCs w:val="20"/>
              </w:rPr>
              <w:t xml:space="preserve"> – currently th</w:t>
            </w:r>
            <w:r w:rsidR="008D19B8" w:rsidRPr="00343838">
              <w:rPr>
                <w:rFonts w:ascii="Franklin Gothic Book" w:hAnsi="Franklin Gothic Book" w:cs="Arial"/>
                <w:color w:val="495965" w:themeColor="text2"/>
                <w:sz w:val="20"/>
                <w:szCs w:val="20"/>
              </w:rPr>
              <w:t>ere are three separate contractual arrangements</w:t>
            </w:r>
            <w:r w:rsidRPr="00343838">
              <w:rPr>
                <w:rFonts w:ascii="Franklin Gothic Book" w:hAnsi="Franklin Gothic Book" w:cs="Arial"/>
                <w:color w:val="495965" w:themeColor="text2"/>
                <w:sz w:val="20"/>
                <w:szCs w:val="20"/>
              </w:rPr>
              <w:t xml:space="preserve"> under AIP-Rural, leading to complex management systems and barriers to collaboration between programs. Phase II will be implemented as one initiative, with either: a) three program components (PRISMA, SAFIRA, TIRTA</w:t>
            </w:r>
            <w:r w:rsidR="008D19B8" w:rsidRPr="00343838">
              <w:rPr>
                <w:rFonts w:ascii="Franklin Gothic Book" w:hAnsi="Franklin Gothic Book" w:cs="Arial"/>
                <w:color w:val="495965" w:themeColor="text2"/>
                <w:sz w:val="20"/>
                <w:szCs w:val="20"/>
              </w:rPr>
              <w:t>; with ARISA activities to be incorporated under PRISMA</w:t>
            </w:r>
            <w:r w:rsidRPr="00343838">
              <w:rPr>
                <w:rFonts w:ascii="Franklin Gothic Book" w:hAnsi="Franklin Gothic Book" w:cs="Arial"/>
                <w:color w:val="495965" w:themeColor="text2"/>
                <w:sz w:val="20"/>
                <w:szCs w:val="20"/>
              </w:rPr>
              <w:t>) or b) a single expanded program through integration of successful elements from TIRTA, SAFIRA and ARISA into PRISMA.</w:t>
            </w:r>
          </w:p>
          <w:p w:rsidR="006662F1" w:rsidRPr="00343838" w:rsidRDefault="006662F1" w:rsidP="006662F1">
            <w:pPr>
              <w:pStyle w:val="ListParagraph"/>
              <w:numPr>
                <w:ilvl w:val="0"/>
                <w:numId w:val="43"/>
              </w:numPr>
              <w:spacing w:before="120" w:line="276" w:lineRule="auto"/>
              <w:ind w:left="284" w:hanging="284"/>
              <w:rPr>
                <w:rFonts w:ascii="Franklin Gothic Book" w:hAnsi="Franklin Gothic Book" w:cs="Arial"/>
                <w:color w:val="495965" w:themeColor="text2"/>
                <w:sz w:val="20"/>
                <w:szCs w:val="20"/>
              </w:rPr>
            </w:pPr>
            <w:proofErr w:type="gramStart"/>
            <w:r w:rsidRPr="00343838">
              <w:rPr>
                <w:rFonts w:ascii="Franklin Gothic Book" w:hAnsi="Franklin Gothic Book" w:cs="Arial"/>
                <w:b/>
                <w:bCs/>
                <w:color w:val="495965" w:themeColor="text2"/>
                <w:sz w:val="20"/>
                <w:szCs w:val="20"/>
              </w:rPr>
              <w:t>one</w:t>
            </w:r>
            <w:proofErr w:type="gramEnd"/>
            <w:r w:rsidRPr="00343838">
              <w:rPr>
                <w:rFonts w:ascii="Franklin Gothic Book" w:hAnsi="Franklin Gothic Book" w:cs="Arial"/>
                <w:b/>
                <w:bCs/>
                <w:color w:val="495965" w:themeColor="text2"/>
                <w:sz w:val="20"/>
                <w:szCs w:val="20"/>
              </w:rPr>
              <w:t xml:space="preserve"> tender and implementation partner</w:t>
            </w:r>
            <w:r w:rsidRPr="00343838">
              <w:rPr>
                <w:rFonts w:ascii="Franklin Gothic Book" w:hAnsi="Franklin Gothic Book" w:cs="Arial"/>
                <w:color w:val="495965" w:themeColor="text2"/>
                <w:sz w:val="20"/>
                <w:szCs w:val="20"/>
              </w:rPr>
              <w:t xml:space="preserve"> – Phase II will be</w:t>
            </w:r>
            <w:r w:rsidR="00AA42BC">
              <w:rPr>
                <w:rFonts w:ascii="Franklin Gothic Book" w:hAnsi="Franklin Gothic Book" w:cs="Arial"/>
                <w:color w:val="495965" w:themeColor="text2"/>
                <w:sz w:val="20"/>
                <w:szCs w:val="20"/>
              </w:rPr>
              <w:t xml:space="preserve"> competitively</w:t>
            </w:r>
            <w:r w:rsidRPr="00343838">
              <w:rPr>
                <w:rFonts w:ascii="Franklin Gothic Book" w:hAnsi="Franklin Gothic Book" w:cs="Arial"/>
                <w:color w:val="495965" w:themeColor="text2"/>
                <w:sz w:val="20"/>
                <w:szCs w:val="20"/>
              </w:rPr>
              <w:t xml:space="preserve"> tendered and managed as a single program by one managing contractor leading to greater consolidation and value for money.</w:t>
            </w:r>
          </w:p>
          <w:p w:rsidR="004C76DF" w:rsidRPr="00343838" w:rsidRDefault="000F0509" w:rsidP="006662F1">
            <w:pPr>
              <w:pStyle w:val="ListParagraph"/>
              <w:numPr>
                <w:ilvl w:val="0"/>
                <w:numId w:val="43"/>
              </w:numPr>
              <w:spacing w:before="120" w:line="276" w:lineRule="auto"/>
              <w:ind w:left="284" w:hanging="284"/>
              <w:rPr>
                <w:rFonts w:ascii="Franklin Gothic Book" w:hAnsi="Franklin Gothic Book" w:cs="Arial"/>
                <w:color w:val="495965" w:themeColor="text2"/>
                <w:sz w:val="20"/>
                <w:szCs w:val="20"/>
              </w:rPr>
            </w:pPr>
            <w:proofErr w:type="gramStart"/>
            <w:r>
              <w:rPr>
                <w:rFonts w:ascii="Franklin Gothic Book" w:hAnsi="Franklin Gothic Book" w:cs="Arial"/>
                <w:b/>
                <w:color w:val="495965" w:themeColor="text2"/>
                <w:sz w:val="20"/>
                <w:szCs w:val="20"/>
              </w:rPr>
              <w:t>i</w:t>
            </w:r>
            <w:r w:rsidR="004C76DF">
              <w:rPr>
                <w:rFonts w:ascii="Franklin Gothic Book" w:hAnsi="Franklin Gothic Book" w:cs="Arial"/>
                <w:b/>
                <w:color w:val="495965" w:themeColor="text2"/>
                <w:sz w:val="20"/>
                <w:szCs w:val="20"/>
              </w:rPr>
              <w:t>ncreased</w:t>
            </w:r>
            <w:proofErr w:type="gramEnd"/>
            <w:r w:rsidR="004C76DF">
              <w:rPr>
                <w:rFonts w:ascii="Franklin Gothic Book" w:hAnsi="Franklin Gothic Book" w:cs="Arial"/>
                <w:b/>
                <w:color w:val="495965" w:themeColor="text2"/>
                <w:sz w:val="20"/>
                <w:szCs w:val="20"/>
              </w:rPr>
              <w:t xml:space="preserve"> focus on scale and systemic change </w:t>
            </w:r>
            <w:r w:rsidR="004C76DF">
              <w:rPr>
                <w:rFonts w:ascii="Franklin Gothic Book" w:hAnsi="Franklin Gothic Book" w:cs="Arial"/>
                <w:color w:val="495965" w:themeColor="text2"/>
                <w:sz w:val="20"/>
                <w:szCs w:val="20"/>
              </w:rPr>
              <w:t>– as the program moved into the second phase, we expect an increased focus on scale (1 million farmers), but also systemic change to agricultural markets.</w:t>
            </w:r>
          </w:p>
          <w:p w:rsidR="006662F1" w:rsidRPr="00F36EE9" w:rsidRDefault="006662F1" w:rsidP="006662F1">
            <w:pPr>
              <w:spacing w:line="276" w:lineRule="auto"/>
              <w:rPr>
                <w:rFonts w:ascii="Franklin Gothic Book" w:hAnsi="Franklin Gothic Book" w:cs="Arial"/>
              </w:rPr>
            </w:pPr>
            <w:r>
              <w:rPr>
                <w:rFonts w:ascii="Franklin Gothic Book" w:hAnsi="Franklin Gothic Book" w:cs="Arial"/>
              </w:rPr>
              <w:t xml:space="preserve">As in Phase I, AIP-Rural Phase II will continue to take a Making Markets Work for the Poor delivery approach. This involves selecting sectors and interventions for co-investment with private sector partners based on market opportunities in targeted geographies, income-generating potential for enterprises and farmers, and likelihood of systemic change.  Phase II will continue to use the same rigorous monitoring and results measurement systems developed by PRISMA and independently audited by DCED (the Donor Committee for Enterprise Development) to generate performance information. </w:t>
            </w:r>
          </w:p>
          <w:p w:rsidR="006662F1" w:rsidRPr="00AA42BC" w:rsidRDefault="006662F1" w:rsidP="00AA42BC">
            <w:pPr>
              <w:spacing w:line="276" w:lineRule="auto"/>
              <w:rPr>
                <w:rFonts w:ascii="Franklin Gothic Book" w:hAnsi="Franklin Gothic Book" w:cs="Arial"/>
              </w:rPr>
            </w:pPr>
            <w:r>
              <w:rPr>
                <w:rFonts w:ascii="Franklin Gothic Book" w:hAnsi="Franklin Gothic Book" w:cs="Arial"/>
              </w:rPr>
              <w:t xml:space="preserve">A </w:t>
            </w:r>
            <w:r w:rsidR="00AA42BC">
              <w:rPr>
                <w:rFonts w:ascii="Franklin Gothic Book" w:hAnsi="Franklin Gothic Book" w:cs="Arial"/>
              </w:rPr>
              <w:t xml:space="preserve">scaled up </w:t>
            </w:r>
            <w:r>
              <w:rPr>
                <w:rFonts w:ascii="Franklin Gothic Book" w:hAnsi="Franklin Gothic Book" w:cs="Arial"/>
              </w:rPr>
              <w:t>program</w:t>
            </w:r>
            <w:r w:rsidR="00AA42BC">
              <w:rPr>
                <w:rFonts w:ascii="Franklin Gothic Book" w:hAnsi="Franklin Gothic Book" w:cs="Arial"/>
              </w:rPr>
              <w:t xml:space="preserve"> team similar in structure</w:t>
            </w:r>
            <w:r>
              <w:rPr>
                <w:rFonts w:ascii="Franklin Gothic Book" w:hAnsi="Franklin Gothic Book" w:cs="Arial"/>
              </w:rPr>
              <w:t xml:space="preserve"> and distribution to that used in Phase I is likely to be needed, but the design process will review this to ensure value for money.  Surabaya has proved an efficient and effective location for the program </w:t>
            </w:r>
            <w:proofErr w:type="gramStart"/>
            <w:r>
              <w:rPr>
                <w:rFonts w:ascii="Franklin Gothic Book" w:hAnsi="Franklin Gothic Book" w:cs="Arial"/>
              </w:rPr>
              <w:t>office,</w:t>
            </w:r>
            <w:proofErr w:type="gramEnd"/>
            <w:r>
              <w:rPr>
                <w:rFonts w:ascii="Franklin Gothic Book" w:hAnsi="Franklin Gothic Book" w:cs="Arial"/>
              </w:rPr>
              <w:t xml:space="preserve"> however this will also be reviewed as part of the design process in light of any expanded geography proposed for Phase II.</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4C10EA" w:rsidP="002D6CE0">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t xml:space="preserve">E: Risk </w:t>
            </w:r>
            <w:r>
              <w:rPr>
                <w:rFonts w:ascii="Franklin Gothic Book" w:hAnsi="Franklin Gothic Book" w:cs="Arial"/>
                <w:b/>
                <w:sz w:val="22"/>
                <w:szCs w:val="22"/>
                <w:lang w:eastAsia="en-US"/>
              </w:rPr>
              <w:t>assessment approach</w:t>
            </w:r>
            <w:r w:rsidRPr="00BD306C">
              <w:rPr>
                <w:rFonts w:ascii="Franklin Gothic Book" w:hAnsi="Franklin Gothic Book" w:cs="Arial"/>
                <w:b/>
                <w:sz w:val="22"/>
                <w:szCs w:val="22"/>
                <w:lang w:eastAsia="en-US"/>
              </w:rPr>
              <w:t xml:space="preserve"> (What might go wrong?)  </w:t>
            </w:r>
          </w:p>
        </w:tc>
      </w:tr>
      <w:tr w:rsidR="004C10EA" w:rsidRPr="00BD306C" w:rsidTr="00DC348A">
        <w:trPr>
          <w:cantSplit w:val="0"/>
        </w:trPr>
        <w:tc>
          <w:tcPr>
            <w:tcW w:w="9606" w:type="dxa"/>
          </w:tcPr>
          <w:p w:rsidR="006662F1" w:rsidRDefault="006662F1" w:rsidP="006662F1">
            <w:pPr>
              <w:spacing w:after="120" w:line="276" w:lineRule="auto"/>
              <w:rPr>
                <w:rFonts w:ascii="Franklin Gothic Book" w:hAnsi="Franklin Gothic Book" w:cs="Arial"/>
              </w:rPr>
            </w:pPr>
            <w:r>
              <w:rPr>
                <w:rFonts w:ascii="Franklin Gothic Book" w:hAnsi="Franklin Gothic Book" w:cs="Arial"/>
              </w:rPr>
              <w:lastRenderedPageBreak/>
              <w:t>Market systems development programs share development (</w:t>
            </w:r>
            <w:r w:rsidRPr="00722D43">
              <w:rPr>
                <w:rFonts w:ascii="Franklin Gothic Book" w:hAnsi="Franklin Gothic Book" w:cs="Arial"/>
                <w:i/>
                <w:iCs/>
              </w:rPr>
              <w:t>i.e</w:t>
            </w:r>
            <w:r>
              <w:rPr>
                <w:rFonts w:ascii="Franklin Gothic Book" w:hAnsi="Franklin Gothic Book" w:cs="Arial"/>
              </w:rPr>
              <w:t xml:space="preserve">. market and organisational change) and reputational risks with private sector partners that co-invest in interventions and take them to scale with their own resources.  </w:t>
            </w:r>
          </w:p>
          <w:p w:rsidR="006662F1" w:rsidRDefault="006662F1" w:rsidP="006662F1">
            <w:pPr>
              <w:spacing w:after="120" w:line="276" w:lineRule="auto"/>
              <w:rPr>
                <w:rFonts w:ascii="Franklin Gothic Book" w:hAnsi="Franklin Gothic Book" w:cs="Arial"/>
              </w:rPr>
            </w:pPr>
            <w:r>
              <w:rPr>
                <w:rFonts w:ascii="Franklin Gothic Book" w:hAnsi="Franklin Gothic Book" w:cs="Arial"/>
              </w:rPr>
              <w:t>Phase II relies on continued investment by private sector companies providing inputs and services to the agriculture and food security sectors in Indonesia.  Phase I experience suggests that even with difficult contextual factors (</w:t>
            </w:r>
            <w:r w:rsidRPr="0031375D">
              <w:rPr>
                <w:rFonts w:ascii="Franklin Gothic Book" w:hAnsi="Franklin Gothic Book" w:cs="Arial"/>
                <w:i/>
                <w:iCs/>
              </w:rPr>
              <w:t>e.g</w:t>
            </w:r>
            <w:r>
              <w:rPr>
                <w:rFonts w:ascii="Franklin Gothic Book" w:hAnsi="Franklin Gothic Book" w:cs="Arial"/>
              </w:rPr>
              <w:t>. the El Niño weather event in 2015 and tightening global appetite for investment risk in 2016) AIP-Rural can leverage DFAT investment better than other programs in Indonesia or ASEAN</w:t>
            </w:r>
            <w:r w:rsidR="00FA3525">
              <w:rPr>
                <w:rFonts w:ascii="Franklin Gothic Book" w:hAnsi="Franklin Gothic Book" w:cs="Arial"/>
              </w:rPr>
              <w:t xml:space="preserve"> </w:t>
            </w:r>
            <w:r w:rsidR="005C21A5">
              <w:rPr>
                <w:rFonts w:ascii="Franklin Gothic Book" w:hAnsi="Franklin Gothic Book" w:cs="Arial"/>
              </w:rPr>
              <w:t>(currently AUD$1.5m leveraged or 26%), and this is expected to improve as the program continues.</w:t>
            </w:r>
            <w:r>
              <w:rPr>
                <w:rFonts w:ascii="Franklin Gothic Book" w:hAnsi="Franklin Gothic Book" w:cs="Arial"/>
              </w:rPr>
              <w:t xml:space="preserve">  A range of multinational, national and regional companies have been engaged in Phase I interventions and the appetite for engagement at mid-term was growing.</w:t>
            </w:r>
            <w:r w:rsidR="00D837D4">
              <w:rPr>
                <w:rFonts w:ascii="Franklin Gothic Book" w:hAnsi="Franklin Gothic Book" w:cs="Arial"/>
              </w:rPr>
              <w:t xml:space="preserve"> There remains a risk that even if good immediate results are achieved, these might prove insufficient to generate broader impacts on markets and sustainability.</w:t>
            </w:r>
          </w:p>
          <w:p w:rsidR="006662F1" w:rsidRDefault="006662F1" w:rsidP="006662F1">
            <w:pPr>
              <w:spacing w:after="120" w:line="276" w:lineRule="auto"/>
              <w:rPr>
                <w:rFonts w:ascii="Franklin Gothic Book" w:hAnsi="Franklin Gothic Book" w:cs="Arial"/>
              </w:rPr>
            </w:pPr>
            <w:r>
              <w:rPr>
                <w:rFonts w:ascii="Franklin Gothic Book" w:hAnsi="Franklin Gothic Book" w:cs="Arial"/>
              </w:rPr>
              <w:t xml:space="preserve">Indonesia has a mixed business environment, especially in eastern Indonesia.  The priority given to food security and development in eastern Indonesian suggests that there are opportunities for DFAT to engage with </w:t>
            </w:r>
            <w:proofErr w:type="spellStart"/>
            <w:r>
              <w:rPr>
                <w:rFonts w:ascii="Franklin Gothic Book" w:hAnsi="Franklin Gothic Book" w:cs="Arial"/>
              </w:rPr>
              <w:t>Bappenas</w:t>
            </w:r>
            <w:proofErr w:type="spellEnd"/>
            <w:r>
              <w:rPr>
                <w:rFonts w:ascii="Franklin Gothic Book" w:hAnsi="Franklin Gothic Book" w:cs="Arial"/>
              </w:rPr>
              <w:t xml:space="preserve"> and other central agencies </w:t>
            </w:r>
            <w:r w:rsidR="00761EB2">
              <w:rPr>
                <w:rFonts w:ascii="Franklin Gothic Book" w:hAnsi="Franklin Gothic Book" w:cs="Arial"/>
              </w:rPr>
              <w:t xml:space="preserve">(such as the Ministry of Finance) </w:t>
            </w:r>
            <w:r>
              <w:rPr>
                <w:rFonts w:ascii="Franklin Gothic Book" w:hAnsi="Franklin Gothic Book" w:cs="Arial"/>
              </w:rPr>
              <w:t xml:space="preserve">to strengthen the business enabling environment.  However, there is also a risk that national policies </w:t>
            </w:r>
            <w:r w:rsidR="00D400C2">
              <w:rPr>
                <w:rFonts w:ascii="Franklin Gothic Book" w:hAnsi="Franklin Gothic Book" w:cs="Arial"/>
              </w:rPr>
              <w:t>impact on</w:t>
            </w:r>
            <w:bookmarkStart w:id="0" w:name="_GoBack"/>
            <w:bookmarkEnd w:id="0"/>
            <w:r>
              <w:rPr>
                <w:rFonts w:ascii="Franklin Gothic Book" w:hAnsi="Franklin Gothic Book" w:cs="Arial"/>
              </w:rPr>
              <w:t xml:space="preserve"> the success of interventions or the motivation for private sector engagement in AIP-Rural.  Lessons from Phase I suggest these contextual risks are manageable because of market diversity and the range of enterprises, business strategies and product types competing for Indonesian and export demand, however Phase II will look more closely at using the evidence generated by the program to positively influence Government of Indonesia policy.</w:t>
            </w:r>
          </w:p>
          <w:p w:rsidR="006662F1" w:rsidRPr="006A73F7" w:rsidRDefault="006662F1" w:rsidP="006662F1">
            <w:pPr>
              <w:spacing w:after="120" w:line="276" w:lineRule="auto"/>
              <w:rPr>
                <w:rFonts w:ascii="Franklin Gothic Book" w:hAnsi="Franklin Gothic Book" w:cs="Arial"/>
              </w:rPr>
            </w:pPr>
            <w:r>
              <w:rPr>
                <w:rFonts w:ascii="Franklin Gothic Book" w:hAnsi="Franklin Gothic Book" w:cs="Arial"/>
              </w:rPr>
              <w:t>Environmental and social safeguard risks need to be actively managed within Indonesian and Australian policy requirements (</w:t>
            </w:r>
            <w:r w:rsidRPr="00722D43">
              <w:rPr>
                <w:rFonts w:ascii="Franklin Gothic Book" w:hAnsi="Franklin Gothic Book" w:cs="Arial"/>
                <w:i/>
                <w:iCs/>
              </w:rPr>
              <w:t>e.g</w:t>
            </w:r>
            <w:r>
              <w:rPr>
                <w:rFonts w:ascii="Franklin Gothic Book" w:hAnsi="Franklin Gothic Book" w:cs="Arial"/>
              </w:rPr>
              <w:t>. Environmental Protection and Biodiversity Conservation Act). AIP-Rural Phase I includes interventions that use agro-chemicals and extend existing irrigation systems using rivers and ground-water resources.  Environmental safeguards are therefore a consideration to be addressed in the design process – relying mostly on technical studies conducted during Phase I.  Mitigation of this risk factor will be important in design considerations of whether or not to include tertiary irrigation sector in AIP-Rural Phase II (interventions currently implemented under TIRTA).</w:t>
            </w:r>
            <w:r w:rsidR="005C21A5">
              <w:rPr>
                <w:rFonts w:ascii="Franklin Gothic Book" w:hAnsi="Franklin Gothic Book" w:cs="Arial"/>
              </w:rPr>
              <w:t xml:space="preserve"> The program will continue to take a proactive approach with regards to gender, </w:t>
            </w:r>
            <w:r w:rsidR="00330CF4">
              <w:rPr>
                <w:rFonts w:ascii="Franklin Gothic Book" w:hAnsi="Franklin Gothic Book" w:cs="Arial"/>
              </w:rPr>
              <w:t>disability, child protection,</w:t>
            </w:r>
            <w:r w:rsidR="005C21A5">
              <w:rPr>
                <w:rFonts w:ascii="Franklin Gothic Book" w:hAnsi="Franklin Gothic Book" w:cs="Arial"/>
              </w:rPr>
              <w:t xml:space="preserve"> Indigenous rights</w:t>
            </w:r>
            <w:r w:rsidR="00330CF4">
              <w:rPr>
                <w:rFonts w:ascii="Franklin Gothic Book" w:hAnsi="Franklin Gothic Book" w:cs="Arial"/>
              </w:rPr>
              <w:t xml:space="preserve"> and animal welfare</w:t>
            </w:r>
            <w:r w:rsidR="005C21A5">
              <w:rPr>
                <w:rFonts w:ascii="Franklin Gothic Book" w:hAnsi="Franklin Gothic Book" w:cs="Arial"/>
              </w:rPr>
              <w:t xml:space="preserve">, in accordance with DFAT’s strategies and safeguards. </w:t>
            </w:r>
          </w:p>
          <w:p w:rsidR="006662F1" w:rsidRDefault="006662F1" w:rsidP="006662F1">
            <w:pPr>
              <w:spacing w:after="120" w:line="276" w:lineRule="auto"/>
              <w:rPr>
                <w:rFonts w:ascii="Franklin Gothic Book" w:hAnsi="Franklin Gothic Book" w:cs="Arial"/>
              </w:rPr>
            </w:pPr>
            <w:r w:rsidRPr="00281CFD">
              <w:rPr>
                <w:rFonts w:ascii="Franklin Gothic Book" w:hAnsi="Franklin Gothic Book" w:cs="Arial"/>
              </w:rPr>
              <w:t xml:space="preserve">AIP-Rural Phase I </w:t>
            </w:r>
            <w:proofErr w:type="gramStart"/>
            <w:r>
              <w:rPr>
                <w:rFonts w:ascii="Franklin Gothic Book" w:hAnsi="Franklin Gothic Book" w:cs="Arial"/>
              </w:rPr>
              <w:t>has</w:t>
            </w:r>
            <w:proofErr w:type="gramEnd"/>
            <w:r>
              <w:rPr>
                <w:rFonts w:ascii="Franklin Gothic Book" w:hAnsi="Franklin Gothic Book" w:cs="Arial"/>
              </w:rPr>
              <w:t xml:space="preserve"> shown that high calibre h</w:t>
            </w:r>
            <w:r w:rsidRPr="00281CFD">
              <w:rPr>
                <w:rFonts w:ascii="Franklin Gothic Book" w:hAnsi="Franklin Gothic Book" w:cs="Arial"/>
              </w:rPr>
              <w:t xml:space="preserve">uman resources </w:t>
            </w:r>
            <w:r>
              <w:rPr>
                <w:rFonts w:ascii="Franklin Gothic Book" w:hAnsi="Franklin Gothic Book" w:cs="Arial"/>
              </w:rPr>
              <w:t xml:space="preserve">are </w:t>
            </w:r>
            <w:r w:rsidRPr="00281CFD">
              <w:rPr>
                <w:rFonts w:ascii="Franklin Gothic Book" w:hAnsi="Franklin Gothic Book" w:cs="Arial"/>
              </w:rPr>
              <w:t>required to deliver results</w:t>
            </w:r>
            <w:r>
              <w:rPr>
                <w:rFonts w:ascii="Franklin Gothic Book" w:hAnsi="Franklin Gothic Book" w:cs="Arial"/>
              </w:rPr>
              <w:t>. There is a risk to the delivery of Phase II if appropriate staff cannot be retained or hired in time, as a result of u</w:t>
            </w:r>
            <w:r w:rsidRPr="00281CFD">
              <w:rPr>
                <w:rFonts w:ascii="Franklin Gothic Book" w:hAnsi="Franklin Gothic Book" w:cs="Arial"/>
              </w:rPr>
              <w:t xml:space="preserve">ncertainty about program purpose or duration; economic growth in other parts of </w:t>
            </w:r>
            <w:r>
              <w:rPr>
                <w:rFonts w:ascii="Franklin Gothic Book" w:hAnsi="Franklin Gothic Book" w:cs="Arial"/>
              </w:rPr>
              <w:t xml:space="preserve">the country or economy attracting staff or new </w:t>
            </w:r>
            <w:r w:rsidRPr="00281CFD">
              <w:rPr>
                <w:rFonts w:ascii="Franklin Gothic Book" w:hAnsi="Franklin Gothic Book" w:cs="Arial"/>
              </w:rPr>
              <w:t xml:space="preserve">candidates </w:t>
            </w:r>
            <w:r>
              <w:rPr>
                <w:rFonts w:ascii="Franklin Gothic Book" w:hAnsi="Franklin Gothic Book" w:cs="Arial"/>
              </w:rPr>
              <w:t>away from AIP-Rural and its</w:t>
            </w:r>
            <w:r w:rsidRPr="00281CFD">
              <w:rPr>
                <w:rFonts w:ascii="Franklin Gothic Book" w:hAnsi="Franklin Gothic Book" w:cs="Arial"/>
              </w:rPr>
              <w:t xml:space="preserve"> locations; </w:t>
            </w:r>
            <w:r w:rsidR="005C21A5">
              <w:rPr>
                <w:rFonts w:ascii="Franklin Gothic Book" w:hAnsi="Franklin Gothic Book" w:cs="Arial"/>
              </w:rPr>
              <w:t xml:space="preserve">or </w:t>
            </w:r>
            <w:r w:rsidRPr="00281CFD">
              <w:rPr>
                <w:rFonts w:ascii="Franklin Gothic Book" w:hAnsi="Franklin Gothic Book" w:cs="Arial"/>
              </w:rPr>
              <w:t>delays in DFAT approvals for recruitment of senior positions (e.g. Heads of Portfolio)</w:t>
            </w:r>
            <w:r>
              <w:rPr>
                <w:rFonts w:ascii="Franklin Gothic Book" w:hAnsi="Franklin Gothic Book" w:cs="Arial"/>
              </w:rPr>
              <w:t>.</w:t>
            </w:r>
            <w:r w:rsidR="00D837D4">
              <w:rPr>
                <w:rFonts w:ascii="Franklin Gothic Book" w:hAnsi="Franklin Gothic Book" w:cs="Arial"/>
              </w:rPr>
              <w:t xml:space="preserve"> An expanded geographical focus also involves risks of staff being spread too thinly and potential for problems in new relationships with local government.</w:t>
            </w:r>
            <w:r w:rsidR="005C21A5">
              <w:rPr>
                <w:rFonts w:ascii="Franklin Gothic Book" w:hAnsi="Franklin Gothic Book" w:cs="Arial"/>
              </w:rPr>
              <w:t xml:space="preserve"> This will be a key consideration for the tender process.</w:t>
            </w:r>
          </w:p>
          <w:p w:rsidR="004C10EA" w:rsidRPr="0051314C" w:rsidRDefault="006662F1" w:rsidP="0051314C">
            <w:pPr>
              <w:spacing w:after="120" w:line="276" w:lineRule="auto"/>
              <w:rPr>
                <w:rFonts w:ascii="Franklin Gothic Book" w:hAnsi="Franklin Gothic Book" w:cs="Arial"/>
              </w:rPr>
            </w:pPr>
            <w:r>
              <w:rPr>
                <w:rFonts w:ascii="Franklin Gothic Book" w:hAnsi="Franklin Gothic Book" w:cs="Arial"/>
              </w:rPr>
              <w:t>There remains a reputational risk should the partnerships between AIP-Rural and the private sector be viewed negatively by the media or the public. High risk partnerships are always vetted by DFAT, and a risk mitigation approach taken.</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4C10EA" w:rsidP="002D6CE0">
            <w:pPr>
              <w:tabs>
                <w:tab w:val="num" w:pos="568"/>
              </w:tabs>
              <w:spacing w:line="276" w:lineRule="auto"/>
              <w:rPr>
                <w:rFonts w:ascii="Franklin Gothic Book" w:hAnsi="Franklin Gothic Book" w:cs="Arial"/>
                <w:sz w:val="22"/>
                <w:szCs w:val="22"/>
                <w:lang w:eastAsia="en-US"/>
              </w:rPr>
            </w:pPr>
            <w:r w:rsidRPr="00BD306C">
              <w:rPr>
                <w:rFonts w:ascii="Franklin Gothic Book" w:hAnsi="Franklin Gothic Book" w:cs="Arial"/>
                <w:b/>
                <w:sz w:val="22"/>
                <w:szCs w:val="22"/>
                <w:lang w:eastAsia="en-US"/>
              </w:rPr>
              <w:t>F</w:t>
            </w:r>
            <w:r w:rsidRPr="009C6F0A">
              <w:rPr>
                <w:rStyle w:val="FootnoteReference"/>
                <w:rFonts w:ascii="Franklin Gothic Book" w:hAnsi="Franklin Gothic Book"/>
              </w:rPr>
              <w:footnoteReference w:id="1"/>
            </w:r>
            <w:r w:rsidRPr="00BD306C">
              <w:rPr>
                <w:rFonts w:ascii="Franklin Gothic Book" w:hAnsi="Franklin Gothic Book" w:cs="Arial"/>
                <w:b/>
                <w:sz w:val="22"/>
                <w:szCs w:val="22"/>
                <w:lang w:eastAsia="en-US"/>
              </w:rPr>
              <w:t>: Proposed design and quality assurance process (What are the next steps?)</w:t>
            </w:r>
          </w:p>
        </w:tc>
      </w:tr>
      <w:tr w:rsidR="004C10EA" w:rsidRPr="00BD306C" w:rsidTr="00DC348A">
        <w:trPr>
          <w:cantSplit w:val="0"/>
        </w:trPr>
        <w:tc>
          <w:tcPr>
            <w:tcW w:w="9606" w:type="dxa"/>
          </w:tcPr>
          <w:p w:rsidR="006662F1" w:rsidRPr="00366F80" w:rsidRDefault="006662F1" w:rsidP="006662F1">
            <w:pPr>
              <w:rPr>
                <w:rFonts w:ascii="Franklin Gothic Book" w:hAnsi="Franklin Gothic Book"/>
                <w:lang w:val="en-US"/>
              </w:rPr>
            </w:pPr>
            <w:r w:rsidRPr="00366F80">
              <w:rPr>
                <w:rFonts w:ascii="Franklin Gothic Book" w:hAnsi="Franklin Gothic Book"/>
                <w:lang w:val="en-US"/>
              </w:rPr>
              <w:t xml:space="preserve">AIP-Rural was </w:t>
            </w:r>
            <w:r w:rsidR="00D837D4">
              <w:rPr>
                <w:rFonts w:ascii="Franklin Gothic Book" w:hAnsi="Franklin Gothic Book"/>
                <w:lang w:val="en-US"/>
              </w:rPr>
              <w:t>planned</w:t>
            </w:r>
            <w:r w:rsidRPr="00366F80">
              <w:rPr>
                <w:rFonts w:ascii="Franklin Gothic Book" w:hAnsi="Franklin Gothic Book"/>
                <w:lang w:val="en-US"/>
              </w:rPr>
              <w:t xml:space="preserve"> as a ten-year program in two five-year phases. Given the current phase of AIP-Rural is progressing well, we propose to commence a</w:t>
            </w:r>
            <w:r>
              <w:rPr>
                <w:rFonts w:ascii="Franklin Gothic Book" w:hAnsi="Franklin Gothic Book"/>
                <w:lang w:val="en-US"/>
              </w:rPr>
              <w:t xml:space="preserve"> 6-month</w:t>
            </w:r>
            <w:r w:rsidRPr="00366F80">
              <w:rPr>
                <w:rFonts w:ascii="Franklin Gothic Book" w:hAnsi="Franklin Gothic Book"/>
                <w:lang w:val="en-US"/>
              </w:rPr>
              <w:t xml:space="preserve"> ‘design update’ process in early 2017, focusing on key areas of improvement and scale up to reach new targets. </w:t>
            </w:r>
            <w:r>
              <w:rPr>
                <w:rFonts w:ascii="Franklin Gothic Book" w:hAnsi="Franklin Gothic Book"/>
                <w:lang w:val="en-US"/>
              </w:rPr>
              <w:t xml:space="preserve">The design will focus on updating key areas identified </w:t>
            </w:r>
            <w:r>
              <w:rPr>
                <w:rFonts w:ascii="Franklin Gothic Book" w:hAnsi="Franklin Gothic Book"/>
                <w:lang w:val="en-US"/>
              </w:rPr>
              <w:lastRenderedPageBreak/>
              <w:t>by the MTR for simplification or change (</w:t>
            </w:r>
            <w:proofErr w:type="spellStart"/>
            <w:r>
              <w:rPr>
                <w:rFonts w:ascii="Franklin Gothic Book" w:hAnsi="Franklin Gothic Book"/>
                <w:lang w:val="en-US"/>
              </w:rPr>
              <w:t>eg</w:t>
            </w:r>
            <w:proofErr w:type="spellEnd"/>
            <w:r>
              <w:rPr>
                <w:rFonts w:ascii="Franklin Gothic Book" w:hAnsi="Franklin Gothic Book"/>
                <w:lang w:val="en-US"/>
              </w:rPr>
              <w:t>. governance arrangements), scoping</w:t>
            </w:r>
            <w:r w:rsidRPr="00366F80">
              <w:rPr>
                <w:rFonts w:ascii="Franklin Gothic Book" w:hAnsi="Franklin Gothic Book"/>
                <w:lang w:val="en-US"/>
              </w:rPr>
              <w:t xml:space="preserve"> out addit</w:t>
            </w:r>
            <w:r>
              <w:rPr>
                <w:rFonts w:ascii="Franklin Gothic Book" w:hAnsi="Franklin Gothic Book"/>
                <w:lang w:val="en-US"/>
              </w:rPr>
              <w:t>ional scale up provinces, verifying</w:t>
            </w:r>
            <w:r w:rsidRPr="00366F80">
              <w:rPr>
                <w:rFonts w:ascii="Franklin Gothic Book" w:hAnsi="Franklin Gothic Book"/>
                <w:lang w:val="en-US"/>
              </w:rPr>
              <w:t xml:space="preserve"> projections</w:t>
            </w:r>
            <w:r>
              <w:rPr>
                <w:rFonts w:ascii="Franklin Gothic Book" w:hAnsi="Franklin Gothic Book"/>
                <w:lang w:val="en-US"/>
              </w:rPr>
              <w:t xml:space="preserve"> for new targets and consolidating </w:t>
            </w:r>
            <w:r w:rsidRPr="00366F80">
              <w:rPr>
                <w:rFonts w:ascii="Franklin Gothic Book" w:hAnsi="Franklin Gothic Book"/>
                <w:lang w:val="en-US"/>
              </w:rPr>
              <w:t>the four programs into one design/tender to provide greater eff</w:t>
            </w:r>
            <w:r>
              <w:rPr>
                <w:rFonts w:ascii="Franklin Gothic Book" w:hAnsi="Franklin Gothic Book"/>
                <w:lang w:val="en-US"/>
              </w:rPr>
              <w:t>iciencies and value for money. Aspects such as the overall program approach and logic, M&amp;E systems, and thematic focus, which have been verified as working well in the first phase, are not anticipated to change.</w:t>
            </w:r>
          </w:p>
          <w:p w:rsidR="006662F1" w:rsidRDefault="006662F1" w:rsidP="006662F1">
            <w:pPr>
              <w:spacing w:line="276" w:lineRule="auto"/>
              <w:rPr>
                <w:rFonts w:ascii="Franklin Gothic Book" w:hAnsi="Franklin Gothic Book" w:cs="Arial"/>
              </w:rPr>
            </w:pPr>
            <w:r>
              <w:rPr>
                <w:rFonts w:ascii="Franklin Gothic Book" w:hAnsi="Franklin Gothic Book" w:cs="Arial"/>
              </w:rPr>
              <w:t xml:space="preserve">The design update will be </w:t>
            </w:r>
            <w:r w:rsidR="00D837D4">
              <w:rPr>
                <w:rFonts w:ascii="Franklin Gothic Book" w:hAnsi="Franklin Gothic Book" w:cs="Arial"/>
              </w:rPr>
              <w:t xml:space="preserve">a </w:t>
            </w:r>
            <w:r>
              <w:rPr>
                <w:rFonts w:ascii="Franklin Gothic Book" w:hAnsi="Franklin Gothic Book" w:cs="Arial"/>
              </w:rPr>
              <w:t>DFAT facilitated design, led by a contracted design specialist and utilising existing in-house expertise in agriculture, market development and M&amp;E (</w:t>
            </w:r>
            <w:proofErr w:type="spellStart"/>
            <w:r>
              <w:rPr>
                <w:rFonts w:ascii="Franklin Gothic Book" w:hAnsi="Franklin Gothic Book" w:cs="Arial"/>
              </w:rPr>
              <w:t>ie</w:t>
            </w:r>
            <w:proofErr w:type="spellEnd"/>
            <w:r>
              <w:rPr>
                <w:rFonts w:ascii="Franklin Gothic Book" w:hAnsi="Franklin Gothic Book" w:cs="Arial"/>
              </w:rPr>
              <w:t xml:space="preserve">. the program’s Strategic Review Panel members and the Senior Program Adviser). </w:t>
            </w:r>
            <w:r w:rsidRPr="00C2315D">
              <w:rPr>
                <w:rFonts w:ascii="Franklin Gothic Book" w:hAnsi="Franklin Gothic Book" w:cs="Arial"/>
              </w:rPr>
              <w:t xml:space="preserve">The team will complement these skills with targeted inputs from gender, disability and </w:t>
            </w:r>
            <w:r>
              <w:rPr>
                <w:rFonts w:ascii="Franklin Gothic Book" w:hAnsi="Franklin Gothic Book" w:cs="Arial"/>
              </w:rPr>
              <w:t>other agricultural</w:t>
            </w:r>
            <w:r w:rsidRPr="00C2315D">
              <w:rPr>
                <w:rFonts w:ascii="Franklin Gothic Book" w:hAnsi="Franklin Gothic Book" w:cs="Arial"/>
              </w:rPr>
              <w:t xml:space="preserve"> specialists.</w:t>
            </w:r>
          </w:p>
          <w:p w:rsidR="004C10EA" w:rsidRPr="00042902" w:rsidRDefault="006662F1" w:rsidP="00330CF4">
            <w:pPr>
              <w:suppressAutoHyphens w:val="0"/>
              <w:spacing w:after="0" w:line="276" w:lineRule="auto"/>
              <w:rPr>
                <w:rFonts w:ascii="Franklin Gothic Book" w:hAnsi="Franklin Gothic Book" w:cs="Arial"/>
                <w:b/>
                <w:sz w:val="22"/>
                <w:szCs w:val="22"/>
              </w:rPr>
            </w:pPr>
            <w:r w:rsidRPr="00315EE0">
              <w:rPr>
                <w:rFonts w:ascii="Franklin Gothic Book" w:hAnsi="Franklin Gothic Book" w:cs="Arial"/>
              </w:rPr>
              <w:t xml:space="preserve">Internal consultation and review will occur with appropriate DFAT personnel including in </w:t>
            </w:r>
            <w:r>
              <w:rPr>
                <w:rFonts w:ascii="Franklin Gothic Book" w:hAnsi="Franklin Gothic Book" w:cs="Arial"/>
              </w:rPr>
              <w:t>the South-East Asia Maritime Division</w:t>
            </w:r>
            <w:r w:rsidRPr="00315EE0">
              <w:rPr>
                <w:rFonts w:ascii="Franklin Gothic Book" w:hAnsi="Franklin Gothic Book" w:cs="Arial"/>
              </w:rPr>
              <w:t>, Development Policy Division (EDC, DIS),</w:t>
            </w:r>
            <w:r>
              <w:rPr>
                <w:rFonts w:ascii="Franklin Gothic Book" w:hAnsi="Franklin Gothic Book" w:cs="Arial"/>
              </w:rPr>
              <w:t xml:space="preserve"> </w:t>
            </w:r>
            <w:r w:rsidR="005C21A5">
              <w:rPr>
                <w:rFonts w:ascii="Franklin Gothic Book" w:hAnsi="Franklin Gothic Book" w:cs="Arial"/>
              </w:rPr>
              <w:t>Multilateral Development and Finance Division (MD</w:t>
            </w:r>
            <w:r>
              <w:rPr>
                <w:rFonts w:ascii="Franklin Gothic Book" w:hAnsi="Franklin Gothic Book" w:cs="Arial"/>
              </w:rPr>
              <w:t>D),</w:t>
            </w:r>
            <w:r w:rsidRPr="00315EE0">
              <w:rPr>
                <w:rFonts w:ascii="Franklin Gothic Book" w:hAnsi="Franklin Gothic Book" w:cs="Arial"/>
              </w:rPr>
              <w:t xml:space="preserve"> </w:t>
            </w:r>
            <w:r>
              <w:rPr>
                <w:rFonts w:ascii="Franklin Gothic Book" w:hAnsi="Franklin Gothic Book" w:cs="Arial"/>
              </w:rPr>
              <w:t xml:space="preserve">and </w:t>
            </w:r>
            <w:r w:rsidRPr="00315EE0">
              <w:rPr>
                <w:rFonts w:ascii="Franklin Gothic Book" w:hAnsi="Franklin Gothic Book" w:cs="Arial"/>
              </w:rPr>
              <w:t xml:space="preserve">Contracting and Aid </w:t>
            </w:r>
            <w:r w:rsidR="005C21A5">
              <w:rPr>
                <w:rFonts w:ascii="Franklin Gothic Book" w:hAnsi="Franklin Gothic Book" w:cs="Arial"/>
              </w:rPr>
              <w:t>Management Division (IND, AOP</w:t>
            </w:r>
            <w:r w:rsidRPr="00315EE0">
              <w:rPr>
                <w:rFonts w:ascii="Franklin Gothic Book" w:hAnsi="Franklin Gothic Book" w:cs="Arial"/>
              </w:rPr>
              <w:t>). The draft I</w:t>
            </w:r>
            <w:r>
              <w:rPr>
                <w:rFonts w:ascii="Franklin Gothic Book" w:hAnsi="Franklin Gothic Book" w:cs="Arial"/>
              </w:rPr>
              <w:t>nvestment Design Document (IDD)</w:t>
            </w:r>
            <w:r w:rsidRPr="00315EE0">
              <w:rPr>
                <w:rFonts w:ascii="Franklin Gothic Book" w:hAnsi="Franklin Gothic Book" w:cs="Arial"/>
              </w:rPr>
              <w:t xml:space="preserve"> will be peer reviewed and independently appraised. It will then be revised as appropriate to incorporate final feedback from DFAT and </w:t>
            </w:r>
            <w:r>
              <w:rPr>
                <w:rFonts w:ascii="Franklin Gothic Book" w:hAnsi="Franklin Gothic Book" w:cs="Arial"/>
              </w:rPr>
              <w:t>Indonesian</w:t>
            </w:r>
            <w:r w:rsidRPr="00315EE0">
              <w:rPr>
                <w:rFonts w:ascii="Franklin Gothic Book" w:hAnsi="Franklin Gothic Book" w:cs="Arial"/>
              </w:rPr>
              <w:t xml:space="preserve"> stakeholders. The IDD is expected to be ready for approval</w:t>
            </w:r>
            <w:r>
              <w:rPr>
                <w:rFonts w:ascii="Franklin Gothic Book" w:hAnsi="Franklin Gothic Book" w:cs="Arial"/>
              </w:rPr>
              <w:t xml:space="preserve"> by the </w:t>
            </w:r>
            <w:r w:rsidR="003B60AE">
              <w:rPr>
                <w:rFonts w:ascii="Franklin Gothic Book" w:hAnsi="Franklin Gothic Book" w:cs="Arial"/>
              </w:rPr>
              <w:t xml:space="preserve">Indonesia Post </w:t>
            </w:r>
            <w:r w:rsidR="00330CF4">
              <w:rPr>
                <w:rFonts w:ascii="Franklin Gothic Book" w:hAnsi="Franklin Gothic Book" w:cs="Arial"/>
              </w:rPr>
              <w:t>delegate</w:t>
            </w:r>
            <w:r w:rsidRPr="00315EE0">
              <w:rPr>
                <w:rFonts w:ascii="Franklin Gothic Book" w:hAnsi="Franklin Gothic Book" w:cs="Arial"/>
              </w:rPr>
              <w:t xml:space="preserve"> by</w:t>
            </w:r>
            <w:r w:rsidR="005C21A5">
              <w:rPr>
                <w:rFonts w:ascii="Franklin Gothic Book" w:hAnsi="Franklin Gothic Book" w:cs="Arial"/>
              </w:rPr>
              <w:t xml:space="preserve"> September</w:t>
            </w:r>
            <w:r w:rsidRPr="00315EE0">
              <w:rPr>
                <w:rFonts w:ascii="Franklin Gothic Book" w:hAnsi="Franklin Gothic Book" w:cs="Arial"/>
              </w:rPr>
              <w:t xml:space="preserve"> 2017. Once approved, the design will go out to market in an open tender process.  </w:t>
            </w:r>
            <w:r>
              <w:rPr>
                <w:rFonts w:ascii="Franklin Gothic Book" w:hAnsi="Franklin Gothic Book" w:cs="Arial"/>
              </w:rPr>
              <w:t>AIP-Rural</w:t>
            </w:r>
            <w:r w:rsidRPr="00315EE0">
              <w:rPr>
                <w:rFonts w:ascii="Franklin Gothic Book" w:hAnsi="Franklin Gothic Book" w:cs="Arial"/>
              </w:rPr>
              <w:t xml:space="preserve"> </w:t>
            </w:r>
            <w:r>
              <w:rPr>
                <w:rFonts w:ascii="Franklin Gothic Book" w:hAnsi="Franklin Gothic Book" w:cs="Arial"/>
              </w:rPr>
              <w:t xml:space="preserve">Phase II </w:t>
            </w:r>
            <w:r w:rsidRPr="00315EE0">
              <w:rPr>
                <w:rFonts w:ascii="Franklin Gothic Book" w:hAnsi="Franklin Gothic Book" w:cs="Arial"/>
              </w:rPr>
              <w:t xml:space="preserve">is expected to </w:t>
            </w:r>
            <w:r w:rsidR="005C21A5">
              <w:rPr>
                <w:rFonts w:ascii="Franklin Gothic Book" w:hAnsi="Franklin Gothic Book" w:cs="Arial"/>
              </w:rPr>
              <w:t>mobilise mid/late-</w:t>
            </w:r>
            <w:r>
              <w:rPr>
                <w:rFonts w:ascii="Franklin Gothic Book" w:hAnsi="Franklin Gothic Book" w:cs="Arial"/>
              </w:rPr>
              <w:t xml:space="preserve">2018, ready to </w:t>
            </w:r>
            <w:r w:rsidRPr="00315EE0">
              <w:rPr>
                <w:rFonts w:ascii="Franklin Gothic Book" w:hAnsi="Franklin Gothic Book" w:cs="Arial"/>
              </w:rPr>
              <w:t xml:space="preserve">commence in </w:t>
            </w:r>
            <w:r>
              <w:rPr>
                <w:rFonts w:ascii="Franklin Gothic Book" w:hAnsi="Franklin Gothic Book" w:cs="Arial"/>
              </w:rPr>
              <w:t>January 2019</w:t>
            </w:r>
            <w:r w:rsidRPr="00315EE0">
              <w:rPr>
                <w:rFonts w:ascii="Franklin Gothic Book" w:hAnsi="Franklin Gothic Book" w:cs="Arial"/>
              </w:rPr>
              <w:t>.</w:t>
            </w:r>
            <w:r w:rsidR="004C10EA" w:rsidRPr="009C6F0A">
              <w:rPr>
                <w:rFonts w:ascii="Franklin Gothic Book" w:hAnsi="Franklin Gothic Book" w:cs="Arial"/>
              </w:rPr>
              <w:t xml:space="preserve"> </w:t>
            </w:r>
          </w:p>
        </w:tc>
      </w:tr>
    </w:tbl>
    <w:p w:rsidR="005C21A5" w:rsidRPr="0051314C" w:rsidRDefault="005C21A5" w:rsidP="0051314C">
      <w:pPr>
        <w:rPr>
          <w:rFonts w:eastAsia="Times New Roman" w:cs="Arial"/>
          <w:color w:val="124486"/>
          <w:kern w:val="28"/>
          <w:lang w:eastAsia="zh-CN"/>
        </w:rPr>
      </w:pPr>
    </w:p>
    <w:sectPr w:rsidR="005C21A5" w:rsidRPr="0051314C" w:rsidSect="004C10EA">
      <w:headerReference w:type="default" r:id="rId12"/>
      <w:footerReference w:type="default" r:id="rId13"/>
      <w:headerReference w:type="first" r:id="rId14"/>
      <w:footerReference w:type="first" r:id="rId15"/>
      <w:pgSz w:w="11907" w:h="16839"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EB" w:rsidRDefault="00347DEB" w:rsidP="00D37B04">
      <w:r>
        <w:separator/>
      </w:r>
    </w:p>
  </w:endnote>
  <w:endnote w:type="continuationSeparator" w:id="0">
    <w:p w:rsidR="00347DEB" w:rsidRDefault="00347DE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59914"/>
      <w:docPartObj>
        <w:docPartGallery w:val="Page Numbers (Bottom of Page)"/>
        <w:docPartUnique/>
      </w:docPartObj>
    </w:sdtPr>
    <w:sdtEndPr>
      <w:rPr>
        <w:noProof/>
      </w:rPr>
    </w:sdtEndPr>
    <w:sdtContent>
      <w:p w:rsidR="00AC6643" w:rsidRDefault="00AC6643">
        <w:pPr>
          <w:pStyle w:val="Footer"/>
          <w:jc w:val="right"/>
        </w:pPr>
        <w:r>
          <w:fldChar w:fldCharType="begin"/>
        </w:r>
        <w:r>
          <w:instrText xml:space="preserve"> PAGE   \* MERGEFORMAT </w:instrText>
        </w:r>
        <w:r>
          <w:fldChar w:fldCharType="separate"/>
        </w:r>
        <w:r w:rsidR="00D400C2">
          <w:rPr>
            <w:noProof/>
          </w:rPr>
          <w:t>5</w:t>
        </w:r>
        <w:r>
          <w:rPr>
            <w:noProof/>
          </w:rPr>
          <w:fldChar w:fldCharType="end"/>
        </w:r>
      </w:p>
    </w:sdtContent>
  </w:sdt>
  <w:p w:rsidR="00FC322F" w:rsidRPr="00FC322F" w:rsidRDefault="00FC322F" w:rsidP="00FC322F">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2F" w:rsidRPr="00FC322F" w:rsidRDefault="00FC322F" w:rsidP="00FC322F">
    <w:pPr>
      <w:pStyle w:val="Footer"/>
      <w:rPr>
        <w:b/>
      </w:rPr>
    </w:pPr>
    <w:r w:rsidRPr="00FC322F">
      <w:rPr>
        <w:b/>
        <w:noProof/>
        <w:lang w:val="en-AU" w:eastAsia="en-AU"/>
      </w:rPr>
      <w:drawing>
        <wp:inline distT="0" distB="0" distL="0" distR="0" wp14:anchorId="33F5C35D" wp14:editId="76548C9E">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EB" w:rsidRPr="008C5A0E" w:rsidRDefault="00347DEB" w:rsidP="00D37B04">
      <w:pPr>
        <w:pStyle w:val="Footer"/>
      </w:pPr>
    </w:p>
  </w:footnote>
  <w:footnote w:type="continuationSeparator" w:id="0">
    <w:p w:rsidR="00347DEB" w:rsidRDefault="00347DEB" w:rsidP="00D37B04">
      <w:r>
        <w:continuationSeparator/>
      </w:r>
    </w:p>
  </w:footnote>
  <w:footnote w:id="1">
    <w:p w:rsidR="004C10EA" w:rsidRPr="00B43671" w:rsidRDefault="004C10EA" w:rsidP="004C10EA">
      <w:pPr>
        <w:rPr>
          <w:rFonts w:ascii="Franklin Gothic Book" w:eastAsia="Times New Roman" w:hAnsi="Franklin Gothic Book" w:cs="Arial"/>
          <w:sz w:val="16"/>
          <w:szCs w:val="16"/>
        </w:rPr>
      </w:pPr>
      <w:r w:rsidRPr="009C6F0A">
        <w:rPr>
          <w:rStyle w:val="FootnoteReference"/>
          <w:rFonts w:ascii="Franklin Gothic Book" w:eastAsia="Times New Roman" w:hAnsi="Franklin Gothic Book" w:cs="Arial"/>
        </w:rPr>
        <w:footnoteRef/>
      </w:r>
      <w:r w:rsidRPr="009C6F0A">
        <w:rPr>
          <w:rStyle w:val="FootnoteReference"/>
          <w:rFonts w:ascii="Franklin Gothic Book" w:eastAsia="Times New Roman" w:hAnsi="Franklin Gothic Book" w:cs="Arial"/>
        </w:rPr>
        <w:t xml:space="preserve"> </w:t>
      </w:r>
      <w:r>
        <w:rPr>
          <w:rFonts w:ascii="Franklin Gothic Book" w:eastAsia="Times New Roman" w:hAnsi="Franklin Gothic Book" w:cs="Arial"/>
          <w:sz w:val="16"/>
          <w:szCs w:val="16"/>
        </w:rPr>
        <w:t>Aid Investment</w:t>
      </w:r>
      <w:r w:rsidRPr="00B43671">
        <w:rPr>
          <w:rFonts w:ascii="Franklin Gothic Book" w:eastAsia="Times New Roman" w:hAnsi="Franklin Gothic Book" w:cs="Arial"/>
          <w:sz w:val="16"/>
          <w:szCs w:val="16"/>
        </w:rPr>
        <w:t xml:space="preserve"> managers should refer to the advice on quality assurance options </w:t>
      </w:r>
      <w:r w:rsidR="004A6B58">
        <w:rPr>
          <w:rFonts w:ascii="Franklin Gothic Book" w:eastAsia="Times New Roman" w:hAnsi="Franklin Gothic Book" w:cs="Arial"/>
          <w:sz w:val="16"/>
          <w:szCs w:val="16"/>
        </w:rPr>
        <w:t xml:space="preserve">available on the intranet </w:t>
      </w:r>
      <w:r w:rsidRPr="00B43671">
        <w:rPr>
          <w:rFonts w:ascii="Franklin Gothic Book" w:eastAsia="Times New Roman" w:hAnsi="Franklin Gothic Book" w:cs="Arial"/>
          <w:sz w:val="16"/>
          <w:szCs w:val="16"/>
        </w:rPr>
        <w:t>to help ensure the investment will meet DFAT’s Investment Design Quality Standards</w:t>
      </w:r>
      <w:r>
        <w:rPr>
          <w:rFonts w:ascii="Franklin Gothic Book" w:eastAsia="Times New Roman" w:hAnsi="Franklin Gothic Book" w:cs="Arial"/>
          <w:sz w:val="16"/>
          <w:szCs w:val="16"/>
        </w:rPr>
        <w:t xml:space="preserve">. </w:t>
      </w:r>
    </w:p>
    <w:p w:rsidR="004C10EA" w:rsidRPr="00595AD7" w:rsidRDefault="004C10EA" w:rsidP="004C10EA">
      <w:pPr>
        <w:pStyle w:val="FootnoteText"/>
        <w:rPr>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12065</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200E1B">
      <w:rPr>
        <w:noProof/>
      </w:rPr>
      <w:t>February 2017</w:t>
    </w:r>
    <w:r w:rsidRPr="00943730">
      <w:fldChar w:fldCharType="end"/>
    </w:r>
    <w:r w:rsidRPr="00943730">
      <w:rPr>
        <w:noProof/>
        <w:lang w:val="en-AU" w:eastAsia="en-AU"/>
      </w:rPr>
      <w:drawing>
        <wp:anchor distT="0" distB="0" distL="114300" distR="114300" simplePos="0" relativeHeight="251656192" behindDoc="1" locked="1" layoutInCell="1" allowOverlap="1" wp14:anchorId="2412195B" wp14:editId="656377BF">
          <wp:simplePos x="0" y="0"/>
          <wp:positionH relativeFrom="page">
            <wp:posOffset>12700</wp:posOffset>
          </wp:positionH>
          <wp:positionV relativeFrom="page">
            <wp:posOffset>0</wp:posOffset>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9889FA"/>
    <w:lvl w:ilvl="0">
      <w:start w:val="1"/>
      <w:numFmt w:val="decimal"/>
      <w:lvlText w:val="%1."/>
      <w:lvlJc w:val="left"/>
      <w:pPr>
        <w:tabs>
          <w:tab w:val="num" w:pos="1492"/>
        </w:tabs>
        <w:ind w:left="1492" w:hanging="360"/>
      </w:pPr>
    </w:lvl>
  </w:abstractNum>
  <w:abstractNum w:abstractNumId="1">
    <w:nsid w:val="FFFFFF7D"/>
    <w:multiLevelType w:val="singleLevel"/>
    <w:tmpl w:val="1FCE8E2A"/>
    <w:lvl w:ilvl="0">
      <w:start w:val="1"/>
      <w:numFmt w:val="decimal"/>
      <w:lvlText w:val="%1."/>
      <w:lvlJc w:val="left"/>
      <w:pPr>
        <w:tabs>
          <w:tab w:val="num" w:pos="1209"/>
        </w:tabs>
        <w:ind w:left="1209" w:hanging="360"/>
      </w:pPr>
    </w:lvl>
  </w:abstractNum>
  <w:abstractNum w:abstractNumId="2">
    <w:nsid w:val="FFFFFF7E"/>
    <w:multiLevelType w:val="singleLevel"/>
    <w:tmpl w:val="8292C33A"/>
    <w:lvl w:ilvl="0">
      <w:start w:val="1"/>
      <w:numFmt w:val="decimal"/>
      <w:lvlText w:val="%1."/>
      <w:lvlJc w:val="left"/>
      <w:pPr>
        <w:tabs>
          <w:tab w:val="num" w:pos="926"/>
        </w:tabs>
        <w:ind w:left="926" w:hanging="360"/>
      </w:pPr>
    </w:lvl>
  </w:abstractNum>
  <w:abstractNum w:abstractNumId="3">
    <w:nsid w:val="FFFFFF7F"/>
    <w:multiLevelType w:val="singleLevel"/>
    <w:tmpl w:val="641E3CB8"/>
    <w:lvl w:ilvl="0">
      <w:start w:val="1"/>
      <w:numFmt w:val="decimal"/>
      <w:lvlText w:val="%1."/>
      <w:lvlJc w:val="left"/>
      <w:pPr>
        <w:tabs>
          <w:tab w:val="num" w:pos="643"/>
        </w:tabs>
        <w:ind w:left="643" w:hanging="360"/>
      </w:pPr>
    </w:lvl>
  </w:abstractNum>
  <w:abstractNum w:abstractNumId="4">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AE28C1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nsid w:val="1E4154EB"/>
    <w:multiLevelType w:val="hybridMultilevel"/>
    <w:tmpl w:val="0FDC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31B36F69"/>
    <w:multiLevelType w:val="hybridMultilevel"/>
    <w:tmpl w:val="D43CC24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7CC5671"/>
    <w:multiLevelType w:val="hybridMultilevel"/>
    <w:tmpl w:val="D7F6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382659"/>
    <w:multiLevelType w:val="hybridMultilevel"/>
    <w:tmpl w:val="CA5820F2"/>
    <w:lvl w:ilvl="0" w:tplc="04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3C1EA7"/>
    <w:multiLevelType w:val="multilevel"/>
    <w:tmpl w:val="43428892"/>
    <w:numStyleLink w:val="BulletsList"/>
  </w:abstractNum>
  <w:abstractNum w:abstractNumId="2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9">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8"/>
  </w:num>
  <w:num w:numId="23">
    <w:abstractNumId w:val="18"/>
  </w:num>
  <w:num w:numId="24">
    <w:abstractNumId w:val="26"/>
  </w:num>
  <w:num w:numId="25">
    <w:abstractNumId w:val="26"/>
  </w:num>
  <w:num w:numId="26">
    <w:abstractNumId w:val="26"/>
  </w:num>
  <w:num w:numId="27">
    <w:abstractNumId w:val="24"/>
  </w:num>
  <w:num w:numId="28">
    <w:abstractNumId w:val="11"/>
  </w:num>
  <w:num w:numId="29">
    <w:abstractNumId w:val="11"/>
  </w:num>
  <w:num w:numId="30">
    <w:abstractNumId w:val="11"/>
  </w:num>
  <w:num w:numId="31">
    <w:abstractNumId w:val="15"/>
  </w:num>
  <w:num w:numId="32">
    <w:abstractNumId w:val="30"/>
  </w:num>
  <w:num w:numId="33">
    <w:abstractNumId w:val="31"/>
  </w:num>
  <w:num w:numId="34">
    <w:abstractNumId w:val="32"/>
  </w:num>
  <w:num w:numId="35">
    <w:abstractNumId w:val="17"/>
  </w:num>
  <w:num w:numId="36">
    <w:abstractNumId w:val="25"/>
  </w:num>
  <w:num w:numId="37">
    <w:abstractNumId w:val="28"/>
  </w:num>
  <w:num w:numId="38">
    <w:abstractNumId w:val="22"/>
  </w:num>
  <w:num w:numId="39">
    <w:abstractNumId w:val="13"/>
  </w:num>
  <w:num w:numId="40">
    <w:abstractNumId w:val="23"/>
  </w:num>
  <w:num w:numId="41">
    <w:abstractNumId w:val="14"/>
  </w:num>
  <w:num w:numId="42">
    <w:abstractNumId w:val="16"/>
  </w:num>
  <w:num w:numId="43">
    <w:abstractNumId w:val="21"/>
  </w:num>
  <w:num w:numId="44">
    <w:abstractNumId w:val="19"/>
  </w:num>
  <w:num w:numId="45">
    <w:abstractNumId w:val="2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2080A"/>
    <w:rsid w:val="0002782F"/>
    <w:rsid w:val="00035BBF"/>
    <w:rsid w:val="00050806"/>
    <w:rsid w:val="000546D9"/>
    <w:rsid w:val="00054E4D"/>
    <w:rsid w:val="00060073"/>
    <w:rsid w:val="000616C6"/>
    <w:rsid w:val="00071392"/>
    <w:rsid w:val="000725CE"/>
    <w:rsid w:val="000854FD"/>
    <w:rsid w:val="000B37F5"/>
    <w:rsid w:val="000B667E"/>
    <w:rsid w:val="000C2276"/>
    <w:rsid w:val="000D66D6"/>
    <w:rsid w:val="000F0509"/>
    <w:rsid w:val="00113288"/>
    <w:rsid w:val="001214BE"/>
    <w:rsid w:val="0013101C"/>
    <w:rsid w:val="001461D6"/>
    <w:rsid w:val="001541EA"/>
    <w:rsid w:val="00154834"/>
    <w:rsid w:val="00193660"/>
    <w:rsid w:val="001D1FFB"/>
    <w:rsid w:val="001D663E"/>
    <w:rsid w:val="001E1DC0"/>
    <w:rsid w:val="001E269B"/>
    <w:rsid w:val="001F30A8"/>
    <w:rsid w:val="00200E1B"/>
    <w:rsid w:val="00203277"/>
    <w:rsid w:val="00206CEC"/>
    <w:rsid w:val="00252C04"/>
    <w:rsid w:val="0028602A"/>
    <w:rsid w:val="002B5E10"/>
    <w:rsid w:val="002C793D"/>
    <w:rsid w:val="002D5B25"/>
    <w:rsid w:val="002F4F2B"/>
    <w:rsid w:val="003002C0"/>
    <w:rsid w:val="00301144"/>
    <w:rsid w:val="003031C6"/>
    <w:rsid w:val="00304984"/>
    <w:rsid w:val="00312BF8"/>
    <w:rsid w:val="003148B7"/>
    <w:rsid w:val="003158C3"/>
    <w:rsid w:val="00326C85"/>
    <w:rsid w:val="003274CD"/>
    <w:rsid w:val="00330CF4"/>
    <w:rsid w:val="00333501"/>
    <w:rsid w:val="00336665"/>
    <w:rsid w:val="00343838"/>
    <w:rsid w:val="003457C4"/>
    <w:rsid w:val="00347DEB"/>
    <w:rsid w:val="0035119D"/>
    <w:rsid w:val="00384D40"/>
    <w:rsid w:val="0039344A"/>
    <w:rsid w:val="00395163"/>
    <w:rsid w:val="003B4F12"/>
    <w:rsid w:val="003B60AE"/>
    <w:rsid w:val="003F19C5"/>
    <w:rsid w:val="003F2041"/>
    <w:rsid w:val="003F70F3"/>
    <w:rsid w:val="00402ACC"/>
    <w:rsid w:val="004120EC"/>
    <w:rsid w:val="00423AC1"/>
    <w:rsid w:val="00423F31"/>
    <w:rsid w:val="00431899"/>
    <w:rsid w:val="00442055"/>
    <w:rsid w:val="00445056"/>
    <w:rsid w:val="004459E1"/>
    <w:rsid w:val="0047630A"/>
    <w:rsid w:val="00482AE8"/>
    <w:rsid w:val="00486804"/>
    <w:rsid w:val="004A6B58"/>
    <w:rsid w:val="004B3775"/>
    <w:rsid w:val="004C10EA"/>
    <w:rsid w:val="004C76DF"/>
    <w:rsid w:val="004D0BA0"/>
    <w:rsid w:val="004D1EBA"/>
    <w:rsid w:val="004E058F"/>
    <w:rsid w:val="004E3B87"/>
    <w:rsid w:val="00510921"/>
    <w:rsid w:val="00510AD3"/>
    <w:rsid w:val="0051314C"/>
    <w:rsid w:val="00513348"/>
    <w:rsid w:val="00513AD8"/>
    <w:rsid w:val="005204D2"/>
    <w:rsid w:val="00522396"/>
    <w:rsid w:val="00533B5D"/>
    <w:rsid w:val="00554636"/>
    <w:rsid w:val="005A20F6"/>
    <w:rsid w:val="005A4C57"/>
    <w:rsid w:val="005C21A5"/>
    <w:rsid w:val="005D3655"/>
    <w:rsid w:val="005E4830"/>
    <w:rsid w:val="005F6ECF"/>
    <w:rsid w:val="0061215C"/>
    <w:rsid w:val="00622B86"/>
    <w:rsid w:val="00623BA1"/>
    <w:rsid w:val="006346BC"/>
    <w:rsid w:val="006662F1"/>
    <w:rsid w:val="0066652A"/>
    <w:rsid w:val="006719C3"/>
    <w:rsid w:val="00680522"/>
    <w:rsid w:val="00682167"/>
    <w:rsid w:val="00687605"/>
    <w:rsid w:val="006A7F85"/>
    <w:rsid w:val="006C42AF"/>
    <w:rsid w:val="00711D8E"/>
    <w:rsid w:val="00712672"/>
    <w:rsid w:val="00734E3F"/>
    <w:rsid w:val="00736985"/>
    <w:rsid w:val="00745DF5"/>
    <w:rsid w:val="00752FAA"/>
    <w:rsid w:val="0075386D"/>
    <w:rsid w:val="00753F2F"/>
    <w:rsid w:val="0075515F"/>
    <w:rsid w:val="00757181"/>
    <w:rsid w:val="0076066C"/>
    <w:rsid w:val="00761EB2"/>
    <w:rsid w:val="0076250F"/>
    <w:rsid w:val="0077049B"/>
    <w:rsid w:val="00776009"/>
    <w:rsid w:val="00780FA5"/>
    <w:rsid w:val="007B147F"/>
    <w:rsid w:val="007B6200"/>
    <w:rsid w:val="007F3395"/>
    <w:rsid w:val="00801B9F"/>
    <w:rsid w:val="0080204D"/>
    <w:rsid w:val="008214DA"/>
    <w:rsid w:val="008475F0"/>
    <w:rsid w:val="008508D2"/>
    <w:rsid w:val="008528C8"/>
    <w:rsid w:val="008557A7"/>
    <w:rsid w:val="00864135"/>
    <w:rsid w:val="00870928"/>
    <w:rsid w:val="0089405C"/>
    <w:rsid w:val="00897FA2"/>
    <w:rsid w:val="008A5AFE"/>
    <w:rsid w:val="008B6D2D"/>
    <w:rsid w:val="008C4F1B"/>
    <w:rsid w:val="008C5A0E"/>
    <w:rsid w:val="008C67D5"/>
    <w:rsid w:val="008D19B8"/>
    <w:rsid w:val="008E0449"/>
    <w:rsid w:val="00900E50"/>
    <w:rsid w:val="00937F19"/>
    <w:rsid w:val="00943730"/>
    <w:rsid w:val="00955612"/>
    <w:rsid w:val="00963C90"/>
    <w:rsid w:val="00975CA5"/>
    <w:rsid w:val="00986590"/>
    <w:rsid w:val="00992C76"/>
    <w:rsid w:val="00994456"/>
    <w:rsid w:val="009969D6"/>
    <w:rsid w:val="009B4D3B"/>
    <w:rsid w:val="009D7407"/>
    <w:rsid w:val="009E0866"/>
    <w:rsid w:val="009E273C"/>
    <w:rsid w:val="009F1350"/>
    <w:rsid w:val="009F6423"/>
    <w:rsid w:val="00A03AF2"/>
    <w:rsid w:val="00A24A62"/>
    <w:rsid w:val="00A31C9F"/>
    <w:rsid w:val="00A347BA"/>
    <w:rsid w:val="00A4144F"/>
    <w:rsid w:val="00A4408E"/>
    <w:rsid w:val="00A61B4D"/>
    <w:rsid w:val="00A646D6"/>
    <w:rsid w:val="00A71388"/>
    <w:rsid w:val="00A80F95"/>
    <w:rsid w:val="00A94EF2"/>
    <w:rsid w:val="00A97BF1"/>
    <w:rsid w:val="00AA298A"/>
    <w:rsid w:val="00AA42BC"/>
    <w:rsid w:val="00AC164A"/>
    <w:rsid w:val="00AC6643"/>
    <w:rsid w:val="00AE448A"/>
    <w:rsid w:val="00AF2050"/>
    <w:rsid w:val="00B03CA8"/>
    <w:rsid w:val="00B24E55"/>
    <w:rsid w:val="00B33C0A"/>
    <w:rsid w:val="00B35AFC"/>
    <w:rsid w:val="00B55E19"/>
    <w:rsid w:val="00B668D6"/>
    <w:rsid w:val="00B900C3"/>
    <w:rsid w:val="00B93D75"/>
    <w:rsid w:val="00B94758"/>
    <w:rsid w:val="00BA4B6D"/>
    <w:rsid w:val="00BB26C5"/>
    <w:rsid w:val="00BF2F0F"/>
    <w:rsid w:val="00BF4DE6"/>
    <w:rsid w:val="00C06B13"/>
    <w:rsid w:val="00C27D25"/>
    <w:rsid w:val="00C42541"/>
    <w:rsid w:val="00C42CDE"/>
    <w:rsid w:val="00C5182A"/>
    <w:rsid w:val="00C63EE9"/>
    <w:rsid w:val="00CA16F3"/>
    <w:rsid w:val="00CA37B1"/>
    <w:rsid w:val="00CB1959"/>
    <w:rsid w:val="00CC741B"/>
    <w:rsid w:val="00CD0E4B"/>
    <w:rsid w:val="00CE4C89"/>
    <w:rsid w:val="00CF07BA"/>
    <w:rsid w:val="00CF4876"/>
    <w:rsid w:val="00D0296C"/>
    <w:rsid w:val="00D0701B"/>
    <w:rsid w:val="00D240B0"/>
    <w:rsid w:val="00D32D6F"/>
    <w:rsid w:val="00D37B04"/>
    <w:rsid w:val="00D400C2"/>
    <w:rsid w:val="00D444D4"/>
    <w:rsid w:val="00D540C6"/>
    <w:rsid w:val="00D64BD1"/>
    <w:rsid w:val="00D837D4"/>
    <w:rsid w:val="00D92254"/>
    <w:rsid w:val="00DC348A"/>
    <w:rsid w:val="00DD5F1A"/>
    <w:rsid w:val="00DD682B"/>
    <w:rsid w:val="00DE084C"/>
    <w:rsid w:val="00DF6AE5"/>
    <w:rsid w:val="00E01000"/>
    <w:rsid w:val="00E01422"/>
    <w:rsid w:val="00E14F51"/>
    <w:rsid w:val="00E357B7"/>
    <w:rsid w:val="00E3742D"/>
    <w:rsid w:val="00E53800"/>
    <w:rsid w:val="00E6081F"/>
    <w:rsid w:val="00E71022"/>
    <w:rsid w:val="00E8296D"/>
    <w:rsid w:val="00E8457B"/>
    <w:rsid w:val="00EA04B2"/>
    <w:rsid w:val="00EA20F3"/>
    <w:rsid w:val="00EC6197"/>
    <w:rsid w:val="00ED2831"/>
    <w:rsid w:val="00ED43D1"/>
    <w:rsid w:val="00EE4EE1"/>
    <w:rsid w:val="00EE6E2B"/>
    <w:rsid w:val="00EF4574"/>
    <w:rsid w:val="00F248FC"/>
    <w:rsid w:val="00F25A93"/>
    <w:rsid w:val="00F2684E"/>
    <w:rsid w:val="00F45EEE"/>
    <w:rsid w:val="00F5404C"/>
    <w:rsid w:val="00F729EF"/>
    <w:rsid w:val="00F77CAE"/>
    <w:rsid w:val="00F82271"/>
    <w:rsid w:val="00F83428"/>
    <w:rsid w:val="00F96BB9"/>
    <w:rsid w:val="00FA3525"/>
    <w:rsid w:val="00FC322F"/>
    <w:rsid w:val="00FD3CE0"/>
    <w:rsid w:val="00FD738A"/>
    <w:rsid w:val="00FE5814"/>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qFormat="1"/>
    <w:lsdException w:name="annotation text" w:locked="0" w:uiPriority="0"/>
    <w:lsdException w:name="header" w:locked="0"/>
    <w:lsdException w:name="footer" w:locked="0"/>
    <w:lsdException w:name="index heading" w:locked="0"/>
    <w:lsdException w:name="caption" w:locked="0" w:uiPriority="0" w:qFormat="1"/>
    <w:lsdException w:name="table of figures" w:locked="0"/>
    <w:lsdException w:name="footnote reference" w:locked="0" w:uiPriority="0"/>
    <w:lsdException w:name="annotation reference" w:locked="0"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uiPriority="0" w:qFormat="1"/>
    <w:lsdException w:name="List Number 2" w:uiPriority="0" w:qFormat="1"/>
    <w:lsdException w:name="Title" w:locked="0" w:semiHidden="0" w:uiPriority="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aliases w:val="D&amp;M Heading 2"/>
    <w:basedOn w:val="Heading1"/>
    <w:next w:val="Normal"/>
    <w:link w:val="Heading2Char"/>
    <w:unhideWhenUsed/>
    <w:qFormat/>
    <w:rsid w:val="00A4144F"/>
    <w:pPr>
      <w:spacing w:before="300" w:after="120"/>
      <w:outlineLvl w:val="1"/>
    </w:pPr>
    <w:rPr>
      <w:b w:val="0"/>
      <w:bCs w:val="0"/>
      <w:szCs w:val="26"/>
    </w:rPr>
  </w:style>
  <w:style w:type="paragraph" w:styleId="Heading3">
    <w:name w:val="heading 3"/>
    <w:basedOn w:val="Heading2"/>
    <w:next w:val="Normal"/>
    <w:link w:val="Heading3Char"/>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nhideWhenUsed/>
    <w:qFormat/>
    <w:rsid w:val="00A4144F"/>
    <w:pPr>
      <w:spacing w:before="240" w:line="280" w:lineRule="atLeast"/>
      <w:outlineLvl w:val="3"/>
    </w:pPr>
    <w:rPr>
      <w:iCs/>
      <w:sz w:val="24"/>
    </w:rPr>
  </w:style>
  <w:style w:type="paragraph" w:styleId="Heading5">
    <w:name w:val="heading 5"/>
    <w:basedOn w:val="Heading4"/>
    <w:next w:val="Normal"/>
    <w:link w:val="Heading5Char"/>
    <w:unhideWhenUsed/>
    <w:qFormat/>
    <w:rsid w:val="00A4144F"/>
    <w:pPr>
      <w:spacing w:line="200" w:lineRule="atLeast"/>
      <w:outlineLvl w:val="4"/>
    </w:pPr>
    <w:rPr>
      <w:b/>
      <w:sz w:val="16"/>
    </w:rPr>
  </w:style>
  <w:style w:type="paragraph" w:styleId="Heading6">
    <w:name w:val="heading 6"/>
    <w:basedOn w:val="Heading5"/>
    <w:next w:val="Normal"/>
    <w:link w:val="Heading6Char"/>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nhideWhenUsed/>
    <w:qFormat/>
    <w:locked/>
    <w:rsid w:val="00486804"/>
    <w:pPr>
      <w:outlineLvl w:val="6"/>
    </w:pPr>
    <w:rPr>
      <w:i/>
      <w:iCs w:val="0"/>
    </w:rPr>
  </w:style>
  <w:style w:type="paragraph" w:styleId="Heading8">
    <w:name w:val="heading 8"/>
    <w:basedOn w:val="Heading7"/>
    <w:next w:val="Normal"/>
    <w:link w:val="Heading8Char"/>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aliases w:val="D&amp;M 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Template1">
    <w:name w:val="Table Template1"/>
    <w:basedOn w:val="TableNormal"/>
    <w:next w:val="TableGrid"/>
    <w:rsid w:val="005A4C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F70F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qFormat="1"/>
    <w:lsdException w:name="annotation text" w:locked="0" w:uiPriority="0"/>
    <w:lsdException w:name="header" w:locked="0"/>
    <w:lsdException w:name="footer" w:locked="0"/>
    <w:lsdException w:name="index heading" w:locked="0"/>
    <w:lsdException w:name="caption" w:locked="0" w:uiPriority="0" w:qFormat="1"/>
    <w:lsdException w:name="table of figures" w:locked="0"/>
    <w:lsdException w:name="footnote reference" w:locked="0" w:uiPriority="0"/>
    <w:lsdException w:name="annotation reference" w:locked="0"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uiPriority="0" w:qFormat="1"/>
    <w:lsdException w:name="List Number 2" w:uiPriority="0" w:qFormat="1"/>
    <w:lsdException w:name="Title" w:locked="0" w:semiHidden="0" w:uiPriority="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aliases w:val="D&amp;M Heading 2"/>
    <w:basedOn w:val="Heading1"/>
    <w:next w:val="Normal"/>
    <w:link w:val="Heading2Char"/>
    <w:unhideWhenUsed/>
    <w:qFormat/>
    <w:rsid w:val="00A4144F"/>
    <w:pPr>
      <w:spacing w:before="300" w:after="120"/>
      <w:outlineLvl w:val="1"/>
    </w:pPr>
    <w:rPr>
      <w:b w:val="0"/>
      <w:bCs w:val="0"/>
      <w:szCs w:val="26"/>
    </w:rPr>
  </w:style>
  <w:style w:type="paragraph" w:styleId="Heading3">
    <w:name w:val="heading 3"/>
    <w:basedOn w:val="Heading2"/>
    <w:next w:val="Normal"/>
    <w:link w:val="Heading3Char"/>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nhideWhenUsed/>
    <w:qFormat/>
    <w:rsid w:val="00A4144F"/>
    <w:pPr>
      <w:spacing w:before="240" w:line="280" w:lineRule="atLeast"/>
      <w:outlineLvl w:val="3"/>
    </w:pPr>
    <w:rPr>
      <w:iCs/>
      <w:sz w:val="24"/>
    </w:rPr>
  </w:style>
  <w:style w:type="paragraph" w:styleId="Heading5">
    <w:name w:val="heading 5"/>
    <w:basedOn w:val="Heading4"/>
    <w:next w:val="Normal"/>
    <w:link w:val="Heading5Char"/>
    <w:unhideWhenUsed/>
    <w:qFormat/>
    <w:rsid w:val="00A4144F"/>
    <w:pPr>
      <w:spacing w:line="200" w:lineRule="atLeast"/>
      <w:outlineLvl w:val="4"/>
    </w:pPr>
    <w:rPr>
      <w:b/>
      <w:sz w:val="16"/>
    </w:rPr>
  </w:style>
  <w:style w:type="paragraph" w:styleId="Heading6">
    <w:name w:val="heading 6"/>
    <w:basedOn w:val="Heading5"/>
    <w:next w:val="Normal"/>
    <w:link w:val="Heading6Char"/>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nhideWhenUsed/>
    <w:qFormat/>
    <w:locked/>
    <w:rsid w:val="00486804"/>
    <w:pPr>
      <w:outlineLvl w:val="6"/>
    </w:pPr>
    <w:rPr>
      <w:i/>
      <w:iCs w:val="0"/>
    </w:rPr>
  </w:style>
  <w:style w:type="paragraph" w:styleId="Heading8">
    <w:name w:val="heading 8"/>
    <w:basedOn w:val="Heading7"/>
    <w:next w:val="Normal"/>
    <w:link w:val="Heading8Char"/>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aliases w:val="D&amp;M 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Template1">
    <w:name w:val="Table Template1"/>
    <w:basedOn w:val="TableNormal"/>
    <w:next w:val="TableGrid"/>
    <w:rsid w:val="005A4C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F70F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421A4-5BF5-43C0-9496-BBD669210B9D}"/>
</file>

<file path=customXml/itemProps2.xml><?xml version="1.0" encoding="utf-8"?>
<ds:datastoreItem xmlns:ds="http://schemas.openxmlformats.org/officeDocument/2006/customXml" ds:itemID="{4D45FEF3-636D-4AFE-BB07-37B6CE9B52EC}"/>
</file>

<file path=customXml/itemProps3.xml><?xml version="1.0" encoding="utf-8"?>
<ds:datastoreItem xmlns:ds="http://schemas.openxmlformats.org/officeDocument/2006/customXml" ds:itemID="{C9A8F58C-A1DA-451C-AB0C-48E3DECE79D4}"/>
</file>

<file path=customXml/itemProps4.xml><?xml version="1.0" encoding="utf-8"?>
<ds:datastoreItem xmlns:ds="http://schemas.openxmlformats.org/officeDocument/2006/customXml" ds:itemID="{EF1FECBB-0AA7-4443-9A6C-B92357DD516B}"/>
</file>

<file path=docProps/app.xml><?xml version="1.0" encoding="utf-8"?>
<Properties xmlns="http://schemas.openxmlformats.org/officeDocument/2006/extended-properties" xmlns:vt="http://schemas.openxmlformats.org/officeDocument/2006/docPropsVTypes">
  <Template>7A6289BB</Template>
  <TotalTime>11</TotalTime>
  <Pages>5</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Cook, Naomi</cp:lastModifiedBy>
  <cp:revision>3</cp:revision>
  <cp:lastPrinted>2013-10-29T09:49:00Z</cp:lastPrinted>
  <dcterms:created xsi:type="dcterms:W3CDTF">2017-02-07T07:59:00Z</dcterms:created>
  <dcterms:modified xsi:type="dcterms:W3CDTF">2017-02-07T08:10:00Z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867d06b7-1e8a-4b36-b98c-51decf81f164</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