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18544" w14:textId="75160A06" w:rsidR="000B4552" w:rsidRDefault="0082779F" w:rsidP="00794C57">
      <w:pPr>
        <w:pStyle w:val="BodyText"/>
        <w:rPr>
          <w:rFonts w:asciiTheme="majorHAnsi" w:hAnsiTheme="majorHAnsi"/>
        </w:rPr>
      </w:pPr>
      <w:r w:rsidRPr="000A74CF">
        <w:rPr>
          <w:noProof/>
          <w:lang w:eastAsia="en-AU"/>
        </w:rPr>
        <mc:AlternateContent>
          <mc:Choice Requires="wps">
            <w:drawing>
              <wp:anchor distT="0" distB="0" distL="114300" distR="114300" simplePos="0" relativeHeight="251678208" behindDoc="0" locked="0" layoutInCell="1" allowOverlap="1" wp14:anchorId="37352A83" wp14:editId="39FF96AB">
                <wp:simplePos x="0" y="0"/>
                <wp:positionH relativeFrom="margin">
                  <wp:posOffset>-709295</wp:posOffset>
                </wp:positionH>
                <wp:positionV relativeFrom="page">
                  <wp:posOffset>1597025</wp:posOffset>
                </wp:positionV>
                <wp:extent cx="7114540" cy="3520440"/>
                <wp:effectExtent l="0" t="0" r="0" b="381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520440"/>
                        </a:xfrm>
                        <a:prstGeom prst="rect">
                          <a:avLst/>
                        </a:prstGeom>
                        <a:noFill/>
                        <a:ln w="6350">
                          <a:noFill/>
                        </a:ln>
                        <a:effectLst/>
                      </wps:spPr>
                      <wps:txbx>
                        <w:txbxContent>
                          <w:p w14:paraId="7D845F56" w14:textId="6D3731F3" w:rsidR="00243660" w:rsidRDefault="00243660" w:rsidP="000B4552">
                            <w:pPr>
                              <w:pStyle w:val="Subtitle"/>
                              <w:rPr>
                                <w:rStyle w:val="TitleChar"/>
                                <w:caps w:val="0"/>
                                <w:sz w:val="52"/>
                                <w:szCs w:val="52"/>
                                <w:lang w:val="en-NZ"/>
                              </w:rPr>
                            </w:pPr>
                            <w:r>
                              <w:rPr>
                                <w:rStyle w:val="TitleChar"/>
                                <w:sz w:val="52"/>
                                <w:szCs w:val="52"/>
                                <w:lang w:val="en-NZ"/>
                              </w:rPr>
                              <w:t>Australia Indonesia Partnership for promoting rural incomes through support for markets in agriculture (AIP PRISMA-2)</w:t>
                            </w:r>
                          </w:p>
                          <w:p w14:paraId="5A4A623F" w14:textId="77777777" w:rsidR="00243660" w:rsidRDefault="00243660" w:rsidP="000B4552">
                            <w:pPr>
                              <w:pStyle w:val="Subtitle"/>
                            </w:pPr>
                            <w:r w:rsidRPr="00D94872">
                              <w:t xml:space="preserve">Investment </w:t>
                            </w:r>
                            <w:r>
                              <w:t>Design Document</w:t>
                            </w:r>
                          </w:p>
                          <w:p w14:paraId="72A7FC66" w14:textId="5EC4AB58" w:rsidR="00243660" w:rsidRPr="001A4379" w:rsidRDefault="00243660" w:rsidP="000B4552">
                            <w:pPr>
                              <w:pStyle w:val="Subtitle"/>
                            </w:pPr>
                            <w:r>
                              <w:t>17 November 2017</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55.85pt;margin-top:125.75pt;width:560.2pt;height:277.2pt;z-index:251678208;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" filled="f" stroked="f" strokeweight=".5pt">
                <v:path arrowok="t"/>
                <v:textbox inset="126pt,0,54pt,0">
                  <w:txbxContent>
                    <w:p w14:paraId="7D845F56" w14:textId="6D3731F3" w:rsidR="00243660" w:rsidRDefault="00243660" w:rsidP="000B4552">
                      <w:pPr>
                        <w:pStyle w:val="Subtitle"/>
                        <w:rPr>
                          <w:rStyle w:val="TitleChar"/>
                          <w:caps w:val="0"/>
                          <w:sz w:val="52"/>
                          <w:szCs w:val="52"/>
                          <w:lang w:val="en-NZ"/>
                        </w:rPr>
                      </w:pPr>
                      <w:r>
                        <w:rPr>
                          <w:rStyle w:val="TitleChar"/>
                          <w:sz w:val="52"/>
                          <w:szCs w:val="52"/>
                          <w:lang w:val="en-NZ"/>
                        </w:rPr>
                        <w:t>Australia Indonesia Partnership for promoting rural incomes through support for markets in agriculture (AIP PRISMA-2)</w:t>
                      </w:r>
                    </w:p>
                    <w:p w14:paraId="5A4A623F" w14:textId="77777777" w:rsidR="00243660" w:rsidRDefault="00243660" w:rsidP="000B4552">
                      <w:pPr>
                        <w:pStyle w:val="Subtitle"/>
                      </w:pPr>
                      <w:r w:rsidRPr="00D94872">
                        <w:t xml:space="preserve">Investment </w:t>
                      </w:r>
                      <w:r>
                        <w:t>Design Document</w:t>
                      </w:r>
                    </w:p>
                    <w:p w14:paraId="72A7FC66" w14:textId="5EC4AB58" w:rsidR="00243660" w:rsidRPr="001A4379" w:rsidRDefault="00243660" w:rsidP="000B4552">
                      <w:pPr>
                        <w:pStyle w:val="Subtitle"/>
                      </w:pPr>
                      <w:r>
                        <w:t>17 November 2017</w:t>
                      </w:r>
                    </w:p>
                  </w:txbxContent>
                </v:textbox>
                <w10:wrap type="square" anchorx="margin" anchory="page"/>
              </v:shape>
            </w:pict>
          </mc:Fallback>
        </mc:AlternateContent>
      </w:r>
    </w:p>
    <w:p w14:paraId="3CEBF66C" w14:textId="22C4DB19" w:rsidR="000B4552" w:rsidRDefault="000B4552" w:rsidP="00794C57">
      <w:pPr>
        <w:pStyle w:val="BodyText"/>
        <w:rPr>
          <w:rFonts w:asciiTheme="majorHAnsi" w:hAnsiTheme="majorHAnsi"/>
        </w:rPr>
      </w:pPr>
    </w:p>
    <w:p w14:paraId="388C9D6C" w14:textId="6559FB11" w:rsidR="000B4552" w:rsidRDefault="000B4552" w:rsidP="00794C57">
      <w:pPr>
        <w:pStyle w:val="BodyText"/>
        <w:rPr>
          <w:rFonts w:asciiTheme="majorHAnsi" w:hAnsiTheme="majorHAnsi"/>
        </w:rPr>
      </w:pPr>
    </w:p>
    <w:p w14:paraId="25065A92" w14:textId="36AD2066" w:rsidR="000B4552" w:rsidRDefault="000B4552" w:rsidP="00794C57">
      <w:pPr>
        <w:pStyle w:val="BodyText"/>
        <w:rPr>
          <w:rFonts w:asciiTheme="majorHAnsi" w:hAnsiTheme="majorHAnsi"/>
        </w:rPr>
      </w:pPr>
    </w:p>
    <w:p w14:paraId="24383DAC" w14:textId="5C4B1FF1" w:rsidR="00F81DB9" w:rsidRDefault="00F81DB9" w:rsidP="00794C57">
      <w:pPr>
        <w:pStyle w:val="BodyText"/>
        <w:rPr>
          <w:rFonts w:asciiTheme="majorHAnsi" w:hAnsiTheme="majorHAnsi"/>
        </w:rPr>
      </w:pPr>
    </w:p>
    <w:p w14:paraId="25DA24FF" w14:textId="326818BB" w:rsidR="000B4552" w:rsidRDefault="000B4552" w:rsidP="000B4552"/>
    <w:p w14:paraId="5E898111" w14:textId="508F2E1B" w:rsidR="000B4552" w:rsidRDefault="000B4552" w:rsidP="000B4552"/>
    <w:p w14:paraId="1FE8A325" w14:textId="4A6EF1F9" w:rsidR="000B4552" w:rsidRDefault="000B4552" w:rsidP="000B4552"/>
    <w:p w14:paraId="1D45B4C0" w14:textId="77777777" w:rsidR="000B4552" w:rsidRPr="000B4552" w:rsidRDefault="000B4552" w:rsidP="000B4552"/>
    <w:p w14:paraId="43EF8A08" w14:textId="20694481" w:rsidR="00514D91" w:rsidRDefault="00514D91">
      <w:r>
        <w:br w:type="page"/>
      </w:r>
    </w:p>
    <w:sdt>
      <w:sdtPr>
        <w:rPr>
          <w:rFonts w:asciiTheme="minorHAnsi" w:eastAsiaTheme="minorEastAsia" w:hAnsiTheme="minorHAnsi" w:cstheme="minorBidi"/>
          <w:color w:val="auto"/>
          <w:sz w:val="22"/>
          <w:szCs w:val="22"/>
        </w:rPr>
        <w:id w:val="1767565311"/>
        <w:docPartObj>
          <w:docPartGallery w:val="Table of Contents"/>
          <w:docPartUnique/>
        </w:docPartObj>
      </w:sdtPr>
      <w:sdtEndPr>
        <w:rPr>
          <w:b/>
          <w:bCs/>
          <w:noProof/>
        </w:rPr>
      </w:sdtEndPr>
      <w:sdtContent>
        <w:p w14:paraId="74BCA475" w14:textId="6B377964" w:rsidR="00F307A1" w:rsidRDefault="00F307A1">
          <w:pPr>
            <w:pStyle w:val="TOCHeading"/>
          </w:pPr>
          <w:r>
            <w:t>Contents</w:t>
          </w:r>
        </w:p>
        <w:p w14:paraId="47415EFD" w14:textId="77777777" w:rsidR="00274369" w:rsidRDefault="00F307A1">
          <w:pPr>
            <w:pStyle w:val="TOC1"/>
            <w:tabs>
              <w:tab w:val="left" w:pos="660"/>
            </w:tabs>
            <w:rPr>
              <w:b w:val="0"/>
              <w:caps w:val="0"/>
              <w:noProof/>
              <w:color w:val="auto"/>
              <w:sz w:val="22"/>
              <w:lang w:eastAsia="en-AU"/>
            </w:rPr>
          </w:pPr>
          <w:r>
            <w:fldChar w:fldCharType="begin"/>
          </w:r>
          <w:r>
            <w:instrText xml:space="preserve"> TOC \o "1-3" \h \z \u </w:instrText>
          </w:r>
          <w:r>
            <w:fldChar w:fldCharType="separate"/>
          </w:r>
          <w:hyperlink w:anchor="_Toc499298833" w:history="1">
            <w:r w:rsidR="00274369" w:rsidRPr="00473871">
              <w:rPr>
                <w:rStyle w:val="Hyperlink"/>
                <w:noProof/>
              </w:rPr>
              <w:t>1.</w:t>
            </w:r>
            <w:r w:rsidR="00274369">
              <w:rPr>
                <w:b w:val="0"/>
                <w:caps w:val="0"/>
                <w:noProof/>
                <w:color w:val="auto"/>
                <w:sz w:val="22"/>
                <w:lang w:eastAsia="en-AU"/>
              </w:rPr>
              <w:tab/>
            </w:r>
            <w:r w:rsidR="00274369" w:rsidRPr="00473871">
              <w:rPr>
                <w:rStyle w:val="Hyperlink"/>
                <w:noProof/>
              </w:rPr>
              <w:t>Executive Summary</w:t>
            </w:r>
            <w:r w:rsidR="00274369">
              <w:rPr>
                <w:noProof/>
                <w:webHidden/>
              </w:rPr>
              <w:tab/>
            </w:r>
            <w:r w:rsidR="00274369">
              <w:rPr>
                <w:noProof/>
                <w:webHidden/>
              </w:rPr>
              <w:fldChar w:fldCharType="begin"/>
            </w:r>
            <w:r w:rsidR="00274369">
              <w:rPr>
                <w:noProof/>
                <w:webHidden/>
              </w:rPr>
              <w:instrText xml:space="preserve"> PAGEREF _Toc499298833 \h </w:instrText>
            </w:r>
            <w:r w:rsidR="00274369">
              <w:rPr>
                <w:noProof/>
                <w:webHidden/>
              </w:rPr>
            </w:r>
            <w:r w:rsidR="00274369">
              <w:rPr>
                <w:noProof/>
                <w:webHidden/>
              </w:rPr>
              <w:fldChar w:fldCharType="separate"/>
            </w:r>
            <w:r w:rsidR="000E35E9">
              <w:rPr>
                <w:noProof/>
                <w:webHidden/>
              </w:rPr>
              <w:t>5</w:t>
            </w:r>
            <w:r w:rsidR="00274369">
              <w:rPr>
                <w:noProof/>
                <w:webHidden/>
              </w:rPr>
              <w:fldChar w:fldCharType="end"/>
            </w:r>
          </w:hyperlink>
        </w:p>
        <w:p w14:paraId="31E5ED59" w14:textId="77777777" w:rsidR="00274369" w:rsidRDefault="00274369">
          <w:pPr>
            <w:pStyle w:val="TOC1"/>
            <w:tabs>
              <w:tab w:val="left" w:pos="660"/>
            </w:tabs>
            <w:rPr>
              <w:b w:val="0"/>
              <w:caps w:val="0"/>
              <w:noProof/>
              <w:color w:val="auto"/>
              <w:sz w:val="22"/>
              <w:lang w:eastAsia="en-AU"/>
            </w:rPr>
          </w:pPr>
          <w:hyperlink w:anchor="_Toc499298834" w:history="1">
            <w:r w:rsidRPr="00473871">
              <w:rPr>
                <w:rStyle w:val="Hyperlink"/>
                <w:noProof/>
              </w:rPr>
              <w:t>2.</w:t>
            </w:r>
            <w:r>
              <w:rPr>
                <w:b w:val="0"/>
                <w:caps w:val="0"/>
                <w:noProof/>
                <w:color w:val="auto"/>
                <w:sz w:val="22"/>
                <w:lang w:eastAsia="en-AU"/>
              </w:rPr>
              <w:tab/>
            </w:r>
            <w:r w:rsidRPr="00473871">
              <w:rPr>
                <w:rStyle w:val="Hyperlink"/>
                <w:noProof/>
              </w:rPr>
              <w:t>Analysis and Strategic Context</w:t>
            </w:r>
            <w:r>
              <w:rPr>
                <w:noProof/>
                <w:webHidden/>
              </w:rPr>
              <w:tab/>
            </w:r>
            <w:r>
              <w:rPr>
                <w:noProof/>
                <w:webHidden/>
              </w:rPr>
              <w:fldChar w:fldCharType="begin"/>
            </w:r>
            <w:r>
              <w:rPr>
                <w:noProof/>
                <w:webHidden/>
              </w:rPr>
              <w:instrText xml:space="preserve"> PAGEREF _Toc499298834 \h </w:instrText>
            </w:r>
            <w:r>
              <w:rPr>
                <w:noProof/>
                <w:webHidden/>
              </w:rPr>
            </w:r>
            <w:r>
              <w:rPr>
                <w:noProof/>
                <w:webHidden/>
              </w:rPr>
              <w:fldChar w:fldCharType="separate"/>
            </w:r>
            <w:r w:rsidR="000E35E9">
              <w:rPr>
                <w:noProof/>
                <w:webHidden/>
              </w:rPr>
              <w:t>6</w:t>
            </w:r>
            <w:r>
              <w:rPr>
                <w:noProof/>
                <w:webHidden/>
              </w:rPr>
              <w:fldChar w:fldCharType="end"/>
            </w:r>
          </w:hyperlink>
        </w:p>
        <w:p w14:paraId="5CCF3636" w14:textId="77777777" w:rsidR="00274369" w:rsidRDefault="00274369">
          <w:pPr>
            <w:pStyle w:val="TOC3"/>
            <w:rPr>
              <w:noProof/>
              <w:lang w:eastAsia="en-AU"/>
            </w:rPr>
          </w:pPr>
          <w:hyperlink w:anchor="_Toc499298835" w:history="1">
            <w:r w:rsidRPr="00473871">
              <w:rPr>
                <w:rStyle w:val="Hyperlink"/>
                <w:noProof/>
              </w:rPr>
              <w:t>Introduction</w:t>
            </w:r>
            <w:r>
              <w:rPr>
                <w:noProof/>
                <w:webHidden/>
              </w:rPr>
              <w:tab/>
            </w:r>
            <w:r>
              <w:rPr>
                <w:noProof/>
                <w:webHidden/>
              </w:rPr>
              <w:fldChar w:fldCharType="begin"/>
            </w:r>
            <w:r>
              <w:rPr>
                <w:noProof/>
                <w:webHidden/>
              </w:rPr>
              <w:instrText xml:space="preserve"> PAGEREF _Toc499298835 \h </w:instrText>
            </w:r>
            <w:r>
              <w:rPr>
                <w:noProof/>
                <w:webHidden/>
              </w:rPr>
            </w:r>
            <w:r>
              <w:rPr>
                <w:noProof/>
                <w:webHidden/>
              </w:rPr>
              <w:fldChar w:fldCharType="separate"/>
            </w:r>
            <w:r w:rsidR="000E35E9">
              <w:rPr>
                <w:noProof/>
                <w:webHidden/>
              </w:rPr>
              <w:t>6</w:t>
            </w:r>
            <w:r>
              <w:rPr>
                <w:noProof/>
                <w:webHidden/>
              </w:rPr>
              <w:fldChar w:fldCharType="end"/>
            </w:r>
          </w:hyperlink>
        </w:p>
        <w:p w14:paraId="145FAF61" w14:textId="77777777" w:rsidR="00274369" w:rsidRDefault="00274369">
          <w:pPr>
            <w:pStyle w:val="TOC3"/>
            <w:rPr>
              <w:noProof/>
              <w:lang w:eastAsia="en-AU"/>
            </w:rPr>
          </w:pPr>
          <w:hyperlink w:anchor="_Toc499298836" w:history="1">
            <w:r w:rsidRPr="00473871">
              <w:rPr>
                <w:rStyle w:val="Hyperlink"/>
                <w:noProof/>
              </w:rPr>
              <w:t>Country and Sector Issues</w:t>
            </w:r>
            <w:r>
              <w:rPr>
                <w:noProof/>
                <w:webHidden/>
              </w:rPr>
              <w:tab/>
            </w:r>
            <w:r>
              <w:rPr>
                <w:noProof/>
                <w:webHidden/>
              </w:rPr>
              <w:fldChar w:fldCharType="begin"/>
            </w:r>
            <w:r>
              <w:rPr>
                <w:noProof/>
                <w:webHidden/>
              </w:rPr>
              <w:instrText xml:space="preserve"> PAGEREF _Toc499298836 \h </w:instrText>
            </w:r>
            <w:r>
              <w:rPr>
                <w:noProof/>
                <w:webHidden/>
              </w:rPr>
            </w:r>
            <w:r>
              <w:rPr>
                <w:noProof/>
                <w:webHidden/>
              </w:rPr>
              <w:fldChar w:fldCharType="separate"/>
            </w:r>
            <w:r w:rsidR="000E35E9">
              <w:rPr>
                <w:noProof/>
                <w:webHidden/>
              </w:rPr>
              <w:t>7</w:t>
            </w:r>
            <w:r>
              <w:rPr>
                <w:noProof/>
                <w:webHidden/>
              </w:rPr>
              <w:fldChar w:fldCharType="end"/>
            </w:r>
          </w:hyperlink>
        </w:p>
        <w:p w14:paraId="35D7D615" w14:textId="77777777" w:rsidR="00274369" w:rsidRDefault="00274369">
          <w:pPr>
            <w:pStyle w:val="TOC3"/>
            <w:rPr>
              <w:noProof/>
              <w:lang w:eastAsia="en-AU"/>
            </w:rPr>
          </w:pPr>
          <w:hyperlink w:anchor="_Toc499298837" w:history="1">
            <w:r w:rsidRPr="00473871">
              <w:rPr>
                <w:rStyle w:val="Hyperlink"/>
                <w:noProof/>
              </w:rPr>
              <w:t>Strategic Setting and Rationale for Australian Engagement</w:t>
            </w:r>
            <w:r>
              <w:rPr>
                <w:noProof/>
                <w:webHidden/>
              </w:rPr>
              <w:tab/>
            </w:r>
            <w:r>
              <w:rPr>
                <w:noProof/>
                <w:webHidden/>
              </w:rPr>
              <w:fldChar w:fldCharType="begin"/>
            </w:r>
            <w:r>
              <w:rPr>
                <w:noProof/>
                <w:webHidden/>
              </w:rPr>
              <w:instrText xml:space="preserve"> PAGEREF _Toc499298837 \h </w:instrText>
            </w:r>
            <w:r>
              <w:rPr>
                <w:noProof/>
                <w:webHidden/>
              </w:rPr>
            </w:r>
            <w:r>
              <w:rPr>
                <w:noProof/>
                <w:webHidden/>
              </w:rPr>
              <w:fldChar w:fldCharType="separate"/>
            </w:r>
            <w:r w:rsidR="000E35E9">
              <w:rPr>
                <w:noProof/>
                <w:webHidden/>
              </w:rPr>
              <w:t>11</w:t>
            </w:r>
            <w:r>
              <w:rPr>
                <w:noProof/>
                <w:webHidden/>
              </w:rPr>
              <w:fldChar w:fldCharType="end"/>
            </w:r>
          </w:hyperlink>
        </w:p>
        <w:p w14:paraId="343CC629" w14:textId="77777777" w:rsidR="00274369" w:rsidRDefault="00274369">
          <w:pPr>
            <w:pStyle w:val="TOC3"/>
            <w:rPr>
              <w:noProof/>
              <w:lang w:eastAsia="en-AU"/>
            </w:rPr>
          </w:pPr>
          <w:hyperlink w:anchor="_Toc499298838" w:history="1">
            <w:r w:rsidRPr="00473871">
              <w:rPr>
                <w:rStyle w:val="Hyperlink"/>
                <w:noProof/>
              </w:rPr>
              <w:t>Market Systems Development</w:t>
            </w:r>
            <w:r>
              <w:rPr>
                <w:noProof/>
                <w:webHidden/>
              </w:rPr>
              <w:tab/>
            </w:r>
            <w:r>
              <w:rPr>
                <w:noProof/>
                <w:webHidden/>
              </w:rPr>
              <w:fldChar w:fldCharType="begin"/>
            </w:r>
            <w:r>
              <w:rPr>
                <w:noProof/>
                <w:webHidden/>
              </w:rPr>
              <w:instrText xml:space="preserve"> PAGEREF _Toc499298838 \h </w:instrText>
            </w:r>
            <w:r>
              <w:rPr>
                <w:noProof/>
                <w:webHidden/>
              </w:rPr>
            </w:r>
            <w:r>
              <w:rPr>
                <w:noProof/>
                <w:webHidden/>
              </w:rPr>
              <w:fldChar w:fldCharType="separate"/>
            </w:r>
            <w:r w:rsidR="000E35E9">
              <w:rPr>
                <w:noProof/>
                <w:webHidden/>
              </w:rPr>
              <w:t>12</w:t>
            </w:r>
            <w:r>
              <w:rPr>
                <w:noProof/>
                <w:webHidden/>
              </w:rPr>
              <w:fldChar w:fldCharType="end"/>
            </w:r>
          </w:hyperlink>
        </w:p>
        <w:p w14:paraId="1A8AE744" w14:textId="77777777" w:rsidR="00274369" w:rsidRDefault="00274369">
          <w:pPr>
            <w:pStyle w:val="TOC3"/>
            <w:rPr>
              <w:noProof/>
              <w:lang w:eastAsia="en-AU"/>
            </w:rPr>
          </w:pPr>
          <w:hyperlink w:anchor="_Toc499298839" w:history="1">
            <w:r w:rsidRPr="00473871">
              <w:rPr>
                <w:rStyle w:val="Hyperlink"/>
                <w:noProof/>
              </w:rPr>
              <w:t>Lessons Learned</w:t>
            </w:r>
            <w:r>
              <w:rPr>
                <w:noProof/>
                <w:webHidden/>
              </w:rPr>
              <w:tab/>
            </w:r>
            <w:r>
              <w:rPr>
                <w:noProof/>
                <w:webHidden/>
              </w:rPr>
              <w:fldChar w:fldCharType="begin"/>
            </w:r>
            <w:r>
              <w:rPr>
                <w:noProof/>
                <w:webHidden/>
              </w:rPr>
              <w:instrText xml:space="preserve"> PAGEREF _Toc499298839 \h </w:instrText>
            </w:r>
            <w:r>
              <w:rPr>
                <w:noProof/>
                <w:webHidden/>
              </w:rPr>
            </w:r>
            <w:r>
              <w:rPr>
                <w:noProof/>
                <w:webHidden/>
              </w:rPr>
              <w:fldChar w:fldCharType="separate"/>
            </w:r>
            <w:r w:rsidR="000E35E9">
              <w:rPr>
                <w:noProof/>
                <w:webHidden/>
              </w:rPr>
              <w:t>16</w:t>
            </w:r>
            <w:r>
              <w:rPr>
                <w:noProof/>
                <w:webHidden/>
              </w:rPr>
              <w:fldChar w:fldCharType="end"/>
            </w:r>
          </w:hyperlink>
        </w:p>
        <w:p w14:paraId="5DD6E368" w14:textId="77777777" w:rsidR="00274369" w:rsidRDefault="00274369">
          <w:pPr>
            <w:pStyle w:val="TOC1"/>
            <w:tabs>
              <w:tab w:val="left" w:pos="660"/>
            </w:tabs>
            <w:rPr>
              <w:b w:val="0"/>
              <w:caps w:val="0"/>
              <w:noProof/>
              <w:color w:val="auto"/>
              <w:sz w:val="22"/>
              <w:lang w:eastAsia="en-AU"/>
            </w:rPr>
          </w:pPr>
          <w:hyperlink w:anchor="_Toc499298840" w:history="1">
            <w:r w:rsidRPr="00473871">
              <w:rPr>
                <w:rStyle w:val="Hyperlink"/>
                <w:noProof/>
              </w:rPr>
              <w:t>3.</w:t>
            </w:r>
            <w:r>
              <w:rPr>
                <w:b w:val="0"/>
                <w:caps w:val="0"/>
                <w:noProof/>
                <w:color w:val="auto"/>
                <w:sz w:val="22"/>
                <w:lang w:eastAsia="en-AU"/>
              </w:rPr>
              <w:tab/>
            </w:r>
            <w:r w:rsidRPr="00473871">
              <w:rPr>
                <w:rStyle w:val="Hyperlink"/>
                <w:noProof/>
              </w:rPr>
              <w:t>Investment Description</w:t>
            </w:r>
            <w:r>
              <w:rPr>
                <w:noProof/>
                <w:webHidden/>
              </w:rPr>
              <w:tab/>
            </w:r>
            <w:r>
              <w:rPr>
                <w:noProof/>
                <w:webHidden/>
              </w:rPr>
              <w:fldChar w:fldCharType="begin"/>
            </w:r>
            <w:r>
              <w:rPr>
                <w:noProof/>
                <w:webHidden/>
              </w:rPr>
              <w:instrText xml:space="preserve"> PAGEREF _Toc499298840 \h </w:instrText>
            </w:r>
            <w:r>
              <w:rPr>
                <w:noProof/>
                <w:webHidden/>
              </w:rPr>
            </w:r>
            <w:r>
              <w:rPr>
                <w:noProof/>
                <w:webHidden/>
              </w:rPr>
              <w:fldChar w:fldCharType="separate"/>
            </w:r>
            <w:r w:rsidR="000E35E9">
              <w:rPr>
                <w:noProof/>
                <w:webHidden/>
              </w:rPr>
              <w:t>17</w:t>
            </w:r>
            <w:r>
              <w:rPr>
                <w:noProof/>
                <w:webHidden/>
              </w:rPr>
              <w:fldChar w:fldCharType="end"/>
            </w:r>
          </w:hyperlink>
        </w:p>
        <w:p w14:paraId="17DF0678" w14:textId="77777777" w:rsidR="00274369" w:rsidRDefault="00274369">
          <w:pPr>
            <w:pStyle w:val="TOC3"/>
            <w:rPr>
              <w:noProof/>
              <w:lang w:eastAsia="en-AU"/>
            </w:rPr>
          </w:pPr>
          <w:hyperlink w:anchor="_Toc499298841" w:history="1">
            <w:r w:rsidRPr="00473871">
              <w:rPr>
                <w:rStyle w:val="Hyperlink"/>
                <w:noProof/>
              </w:rPr>
              <w:t>Logic and Expected Outcomes</w:t>
            </w:r>
            <w:r>
              <w:rPr>
                <w:noProof/>
                <w:webHidden/>
              </w:rPr>
              <w:tab/>
            </w:r>
            <w:r>
              <w:rPr>
                <w:noProof/>
                <w:webHidden/>
              </w:rPr>
              <w:fldChar w:fldCharType="begin"/>
            </w:r>
            <w:r>
              <w:rPr>
                <w:noProof/>
                <w:webHidden/>
              </w:rPr>
              <w:instrText xml:space="preserve"> PAGEREF _Toc499298841 \h </w:instrText>
            </w:r>
            <w:r>
              <w:rPr>
                <w:noProof/>
                <w:webHidden/>
              </w:rPr>
            </w:r>
            <w:r>
              <w:rPr>
                <w:noProof/>
                <w:webHidden/>
              </w:rPr>
              <w:fldChar w:fldCharType="separate"/>
            </w:r>
            <w:r w:rsidR="000E35E9">
              <w:rPr>
                <w:noProof/>
                <w:webHidden/>
              </w:rPr>
              <w:t>17</w:t>
            </w:r>
            <w:r>
              <w:rPr>
                <w:noProof/>
                <w:webHidden/>
              </w:rPr>
              <w:fldChar w:fldCharType="end"/>
            </w:r>
          </w:hyperlink>
        </w:p>
        <w:p w14:paraId="6207DC78" w14:textId="77777777" w:rsidR="00274369" w:rsidRDefault="00274369">
          <w:pPr>
            <w:pStyle w:val="TOC3"/>
            <w:rPr>
              <w:noProof/>
              <w:lang w:eastAsia="en-AU"/>
            </w:rPr>
          </w:pPr>
          <w:hyperlink w:anchor="_Toc499298842" w:history="1">
            <w:r w:rsidRPr="00473871">
              <w:rPr>
                <w:rStyle w:val="Hyperlink"/>
                <w:noProof/>
              </w:rPr>
              <w:t>Delivery Approach</w:t>
            </w:r>
            <w:r>
              <w:rPr>
                <w:noProof/>
                <w:webHidden/>
              </w:rPr>
              <w:tab/>
            </w:r>
            <w:r>
              <w:rPr>
                <w:noProof/>
                <w:webHidden/>
              </w:rPr>
              <w:fldChar w:fldCharType="begin"/>
            </w:r>
            <w:r>
              <w:rPr>
                <w:noProof/>
                <w:webHidden/>
              </w:rPr>
              <w:instrText xml:space="preserve"> PAGEREF _Toc499298842 \h </w:instrText>
            </w:r>
            <w:r>
              <w:rPr>
                <w:noProof/>
                <w:webHidden/>
              </w:rPr>
            </w:r>
            <w:r>
              <w:rPr>
                <w:noProof/>
                <w:webHidden/>
              </w:rPr>
              <w:fldChar w:fldCharType="separate"/>
            </w:r>
            <w:r w:rsidR="000E35E9">
              <w:rPr>
                <w:noProof/>
                <w:webHidden/>
              </w:rPr>
              <w:t>18</w:t>
            </w:r>
            <w:r>
              <w:rPr>
                <w:noProof/>
                <w:webHidden/>
              </w:rPr>
              <w:fldChar w:fldCharType="end"/>
            </w:r>
          </w:hyperlink>
        </w:p>
        <w:p w14:paraId="62A1CE3E" w14:textId="77777777" w:rsidR="00274369" w:rsidRDefault="00274369">
          <w:pPr>
            <w:pStyle w:val="TOC3"/>
            <w:rPr>
              <w:noProof/>
              <w:lang w:eastAsia="en-AU"/>
            </w:rPr>
          </w:pPr>
          <w:hyperlink w:anchor="_Toc499298843" w:history="1">
            <w:r w:rsidRPr="00473871">
              <w:rPr>
                <w:rStyle w:val="Hyperlink"/>
                <w:noProof/>
              </w:rPr>
              <w:t>Stakeholder relationships</w:t>
            </w:r>
            <w:r>
              <w:rPr>
                <w:noProof/>
                <w:webHidden/>
              </w:rPr>
              <w:tab/>
            </w:r>
            <w:r>
              <w:rPr>
                <w:noProof/>
                <w:webHidden/>
              </w:rPr>
              <w:fldChar w:fldCharType="begin"/>
            </w:r>
            <w:r>
              <w:rPr>
                <w:noProof/>
                <w:webHidden/>
              </w:rPr>
              <w:instrText xml:space="preserve"> PAGEREF _Toc499298843 \h </w:instrText>
            </w:r>
            <w:r>
              <w:rPr>
                <w:noProof/>
                <w:webHidden/>
              </w:rPr>
            </w:r>
            <w:r>
              <w:rPr>
                <w:noProof/>
                <w:webHidden/>
              </w:rPr>
              <w:fldChar w:fldCharType="separate"/>
            </w:r>
            <w:r w:rsidR="000E35E9">
              <w:rPr>
                <w:noProof/>
                <w:webHidden/>
              </w:rPr>
              <w:t>22</w:t>
            </w:r>
            <w:r>
              <w:rPr>
                <w:noProof/>
                <w:webHidden/>
              </w:rPr>
              <w:fldChar w:fldCharType="end"/>
            </w:r>
          </w:hyperlink>
        </w:p>
        <w:p w14:paraId="74721AE1" w14:textId="77777777" w:rsidR="00274369" w:rsidRDefault="00274369">
          <w:pPr>
            <w:pStyle w:val="TOC3"/>
            <w:rPr>
              <w:noProof/>
              <w:lang w:eastAsia="en-AU"/>
            </w:rPr>
          </w:pPr>
          <w:hyperlink w:anchor="_Toc499298844" w:history="1">
            <w:r w:rsidRPr="00473871">
              <w:rPr>
                <w:rStyle w:val="Hyperlink"/>
                <w:noProof/>
              </w:rPr>
              <w:t>Sustainability and Scale</w:t>
            </w:r>
            <w:r>
              <w:rPr>
                <w:noProof/>
                <w:webHidden/>
              </w:rPr>
              <w:tab/>
            </w:r>
            <w:r>
              <w:rPr>
                <w:noProof/>
                <w:webHidden/>
              </w:rPr>
              <w:fldChar w:fldCharType="begin"/>
            </w:r>
            <w:r>
              <w:rPr>
                <w:noProof/>
                <w:webHidden/>
              </w:rPr>
              <w:instrText xml:space="preserve"> PAGEREF _Toc499298844 \h </w:instrText>
            </w:r>
            <w:r>
              <w:rPr>
                <w:noProof/>
                <w:webHidden/>
              </w:rPr>
            </w:r>
            <w:r>
              <w:rPr>
                <w:noProof/>
                <w:webHidden/>
              </w:rPr>
              <w:fldChar w:fldCharType="separate"/>
            </w:r>
            <w:r w:rsidR="000E35E9">
              <w:rPr>
                <w:noProof/>
                <w:webHidden/>
              </w:rPr>
              <w:t>25</w:t>
            </w:r>
            <w:r>
              <w:rPr>
                <w:noProof/>
                <w:webHidden/>
              </w:rPr>
              <w:fldChar w:fldCharType="end"/>
            </w:r>
          </w:hyperlink>
        </w:p>
        <w:p w14:paraId="587E1B54" w14:textId="77777777" w:rsidR="00274369" w:rsidRDefault="00274369">
          <w:pPr>
            <w:pStyle w:val="TOC3"/>
            <w:rPr>
              <w:noProof/>
              <w:lang w:eastAsia="en-AU"/>
            </w:rPr>
          </w:pPr>
          <w:hyperlink w:anchor="_Toc499298845" w:history="1">
            <w:r w:rsidRPr="00473871">
              <w:rPr>
                <w:rStyle w:val="Hyperlink"/>
                <w:noProof/>
              </w:rPr>
              <w:t>Innovation</w:t>
            </w:r>
            <w:r>
              <w:rPr>
                <w:noProof/>
                <w:webHidden/>
              </w:rPr>
              <w:tab/>
            </w:r>
            <w:r>
              <w:rPr>
                <w:noProof/>
                <w:webHidden/>
              </w:rPr>
              <w:fldChar w:fldCharType="begin"/>
            </w:r>
            <w:r>
              <w:rPr>
                <w:noProof/>
                <w:webHidden/>
              </w:rPr>
              <w:instrText xml:space="preserve"> PAGEREF _Toc499298845 \h </w:instrText>
            </w:r>
            <w:r>
              <w:rPr>
                <w:noProof/>
                <w:webHidden/>
              </w:rPr>
            </w:r>
            <w:r>
              <w:rPr>
                <w:noProof/>
                <w:webHidden/>
              </w:rPr>
              <w:fldChar w:fldCharType="separate"/>
            </w:r>
            <w:r w:rsidR="000E35E9">
              <w:rPr>
                <w:noProof/>
                <w:webHidden/>
              </w:rPr>
              <w:t>30</w:t>
            </w:r>
            <w:r>
              <w:rPr>
                <w:noProof/>
                <w:webHidden/>
              </w:rPr>
              <w:fldChar w:fldCharType="end"/>
            </w:r>
          </w:hyperlink>
        </w:p>
        <w:p w14:paraId="78EB4D70" w14:textId="77777777" w:rsidR="00274369" w:rsidRDefault="00274369">
          <w:pPr>
            <w:pStyle w:val="TOC3"/>
            <w:rPr>
              <w:noProof/>
              <w:lang w:eastAsia="en-AU"/>
            </w:rPr>
          </w:pPr>
          <w:hyperlink w:anchor="_Toc499298846" w:history="1">
            <w:r w:rsidRPr="00473871">
              <w:rPr>
                <w:rStyle w:val="Hyperlink"/>
                <w:noProof/>
              </w:rPr>
              <w:t>Value for Money</w:t>
            </w:r>
            <w:r>
              <w:rPr>
                <w:noProof/>
                <w:webHidden/>
              </w:rPr>
              <w:tab/>
            </w:r>
            <w:r>
              <w:rPr>
                <w:noProof/>
                <w:webHidden/>
              </w:rPr>
              <w:fldChar w:fldCharType="begin"/>
            </w:r>
            <w:r>
              <w:rPr>
                <w:noProof/>
                <w:webHidden/>
              </w:rPr>
              <w:instrText xml:space="preserve"> PAGEREF _Toc499298846 \h </w:instrText>
            </w:r>
            <w:r>
              <w:rPr>
                <w:noProof/>
                <w:webHidden/>
              </w:rPr>
            </w:r>
            <w:r>
              <w:rPr>
                <w:noProof/>
                <w:webHidden/>
              </w:rPr>
              <w:fldChar w:fldCharType="separate"/>
            </w:r>
            <w:r w:rsidR="000E35E9">
              <w:rPr>
                <w:noProof/>
                <w:webHidden/>
              </w:rPr>
              <w:t>31</w:t>
            </w:r>
            <w:r>
              <w:rPr>
                <w:noProof/>
                <w:webHidden/>
              </w:rPr>
              <w:fldChar w:fldCharType="end"/>
            </w:r>
          </w:hyperlink>
        </w:p>
        <w:p w14:paraId="7606BF6A" w14:textId="77777777" w:rsidR="00274369" w:rsidRDefault="00274369">
          <w:pPr>
            <w:pStyle w:val="TOC3"/>
            <w:rPr>
              <w:noProof/>
              <w:lang w:eastAsia="en-AU"/>
            </w:rPr>
          </w:pPr>
          <w:hyperlink w:anchor="_Toc499298847" w:history="1">
            <w:r w:rsidRPr="00473871">
              <w:rPr>
                <w:rStyle w:val="Hyperlink"/>
                <w:noProof/>
              </w:rPr>
              <w:t>Implementation Mechanisms</w:t>
            </w:r>
            <w:r>
              <w:rPr>
                <w:noProof/>
                <w:webHidden/>
              </w:rPr>
              <w:tab/>
            </w:r>
            <w:r>
              <w:rPr>
                <w:noProof/>
                <w:webHidden/>
              </w:rPr>
              <w:fldChar w:fldCharType="begin"/>
            </w:r>
            <w:r>
              <w:rPr>
                <w:noProof/>
                <w:webHidden/>
              </w:rPr>
              <w:instrText xml:space="preserve"> PAGEREF _Toc499298847 \h </w:instrText>
            </w:r>
            <w:r>
              <w:rPr>
                <w:noProof/>
                <w:webHidden/>
              </w:rPr>
            </w:r>
            <w:r>
              <w:rPr>
                <w:noProof/>
                <w:webHidden/>
              </w:rPr>
              <w:fldChar w:fldCharType="separate"/>
            </w:r>
            <w:r w:rsidR="000E35E9">
              <w:rPr>
                <w:noProof/>
                <w:webHidden/>
              </w:rPr>
              <w:t>32</w:t>
            </w:r>
            <w:r>
              <w:rPr>
                <w:noProof/>
                <w:webHidden/>
              </w:rPr>
              <w:fldChar w:fldCharType="end"/>
            </w:r>
          </w:hyperlink>
        </w:p>
        <w:p w14:paraId="7BEA3DC4" w14:textId="77777777" w:rsidR="00274369" w:rsidRDefault="00274369">
          <w:pPr>
            <w:pStyle w:val="TOC3"/>
            <w:rPr>
              <w:noProof/>
              <w:lang w:eastAsia="en-AU"/>
            </w:rPr>
          </w:pPr>
          <w:hyperlink w:anchor="_Toc499298848" w:history="1">
            <w:r w:rsidRPr="00473871">
              <w:rPr>
                <w:rStyle w:val="Hyperlink"/>
                <w:noProof/>
              </w:rPr>
              <w:t>Budget and Timeframe</w:t>
            </w:r>
            <w:r>
              <w:rPr>
                <w:noProof/>
                <w:webHidden/>
              </w:rPr>
              <w:tab/>
            </w:r>
            <w:r>
              <w:rPr>
                <w:noProof/>
                <w:webHidden/>
              </w:rPr>
              <w:fldChar w:fldCharType="begin"/>
            </w:r>
            <w:r>
              <w:rPr>
                <w:noProof/>
                <w:webHidden/>
              </w:rPr>
              <w:instrText xml:space="preserve"> PAGEREF _Toc499298848 \h </w:instrText>
            </w:r>
            <w:r>
              <w:rPr>
                <w:noProof/>
                <w:webHidden/>
              </w:rPr>
            </w:r>
            <w:r>
              <w:rPr>
                <w:noProof/>
                <w:webHidden/>
              </w:rPr>
              <w:fldChar w:fldCharType="separate"/>
            </w:r>
            <w:r w:rsidR="000E35E9">
              <w:rPr>
                <w:noProof/>
                <w:webHidden/>
              </w:rPr>
              <w:t>32</w:t>
            </w:r>
            <w:r>
              <w:rPr>
                <w:noProof/>
                <w:webHidden/>
              </w:rPr>
              <w:fldChar w:fldCharType="end"/>
            </w:r>
          </w:hyperlink>
        </w:p>
        <w:p w14:paraId="64507692" w14:textId="77777777" w:rsidR="00274369" w:rsidRDefault="00274369">
          <w:pPr>
            <w:pStyle w:val="TOC1"/>
            <w:tabs>
              <w:tab w:val="left" w:pos="660"/>
            </w:tabs>
            <w:rPr>
              <w:b w:val="0"/>
              <w:caps w:val="0"/>
              <w:noProof/>
              <w:color w:val="auto"/>
              <w:sz w:val="22"/>
              <w:lang w:eastAsia="en-AU"/>
            </w:rPr>
          </w:pPr>
          <w:hyperlink w:anchor="_Toc499298849" w:history="1">
            <w:r w:rsidRPr="00473871">
              <w:rPr>
                <w:rStyle w:val="Hyperlink"/>
                <w:noProof/>
              </w:rPr>
              <w:t>4.</w:t>
            </w:r>
            <w:r>
              <w:rPr>
                <w:b w:val="0"/>
                <w:caps w:val="0"/>
                <w:noProof/>
                <w:color w:val="auto"/>
                <w:sz w:val="22"/>
                <w:lang w:eastAsia="en-AU"/>
              </w:rPr>
              <w:tab/>
            </w:r>
            <w:r w:rsidRPr="00473871">
              <w:rPr>
                <w:rStyle w:val="Hyperlink"/>
                <w:noProof/>
              </w:rPr>
              <w:t>Implementation Arrangements</w:t>
            </w:r>
            <w:r>
              <w:rPr>
                <w:noProof/>
                <w:webHidden/>
              </w:rPr>
              <w:tab/>
            </w:r>
            <w:r>
              <w:rPr>
                <w:noProof/>
                <w:webHidden/>
              </w:rPr>
              <w:fldChar w:fldCharType="begin"/>
            </w:r>
            <w:r>
              <w:rPr>
                <w:noProof/>
                <w:webHidden/>
              </w:rPr>
              <w:instrText xml:space="preserve"> PAGEREF _Toc499298849 \h </w:instrText>
            </w:r>
            <w:r>
              <w:rPr>
                <w:noProof/>
                <w:webHidden/>
              </w:rPr>
            </w:r>
            <w:r>
              <w:rPr>
                <w:noProof/>
                <w:webHidden/>
              </w:rPr>
              <w:fldChar w:fldCharType="separate"/>
            </w:r>
            <w:r w:rsidR="000E35E9">
              <w:rPr>
                <w:noProof/>
                <w:webHidden/>
              </w:rPr>
              <w:t>32</w:t>
            </w:r>
            <w:r>
              <w:rPr>
                <w:noProof/>
                <w:webHidden/>
              </w:rPr>
              <w:fldChar w:fldCharType="end"/>
            </w:r>
          </w:hyperlink>
        </w:p>
        <w:p w14:paraId="7DE1AE4E" w14:textId="77777777" w:rsidR="00274369" w:rsidRDefault="00274369">
          <w:pPr>
            <w:pStyle w:val="TOC3"/>
            <w:rPr>
              <w:noProof/>
              <w:lang w:eastAsia="en-AU"/>
            </w:rPr>
          </w:pPr>
          <w:hyperlink w:anchor="_Toc499298850" w:history="1">
            <w:r w:rsidRPr="00473871">
              <w:rPr>
                <w:rStyle w:val="Hyperlink"/>
                <w:noProof/>
              </w:rPr>
              <w:t>Key differences between AIP-Rural and PRISMA-2</w:t>
            </w:r>
            <w:r>
              <w:rPr>
                <w:noProof/>
                <w:webHidden/>
              </w:rPr>
              <w:tab/>
            </w:r>
            <w:r>
              <w:rPr>
                <w:noProof/>
                <w:webHidden/>
              </w:rPr>
              <w:fldChar w:fldCharType="begin"/>
            </w:r>
            <w:r>
              <w:rPr>
                <w:noProof/>
                <w:webHidden/>
              </w:rPr>
              <w:instrText xml:space="preserve"> PAGEREF _Toc499298850 \h </w:instrText>
            </w:r>
            <w:r>
              <w:rPr>
                <w:noProof/>
                <w:webHidden/>
              </w:rPr>
            </w:r>
            <w:r>
              <w:rPr>
                <w:noProof/>
                <w:webHidden/>
              </w:rPr>
              <w:fldChar w:fldCharType="separate"/>
            </w:r>
            <w:r w:rsidR="000E35E9">
              <w:rPr>
                <w:noProof/>
                <w:webHidden/>
              </w:rPr>
              <w:t>32</w:t>
            </w:r>
            <w:r>
              <w:rPr>
                <w:noProof/>
                <w:webHidden/>
              </w:rPr>
              <w:fldChar w:fldCharType="end"/>
            </w:r>
          </w:hyperlink>
        </w:p>
        <w:p w14:paraId="55E8DC6C" w14:textId="77777777" w:rsidR="00274369" w:rsidRDefault="00274369">
          <w:pPr>
            <w:pStyle w:val="TOC3"/>
            <w:rPr>
              <w:noProof/>
              <w:lang w:eastAsia="en-AU"/>
            </w:rPr>
          </w:pPr>
          <w:hyperlink w:anchor="_Toc499298851" w:history="1">
            <w:r w:rsidRPr="00473871">
              <w:rPr>
                <w:rStyle w:val="Hyperlink"/>
                <w:noProof/>
              </w:rPr>
              <w:t>Governance Arrangements and Structure</w:t>
            </w:r>
            <w:r>
              <w:rPr>
                <w:noProof/>
                <w:webHidden/>
              </w:rPr>
              <w:tab/>
            </w:r>
            <w:r>
              <w:rPr>
                <w:noProof/>
                <w:webHidden/>
              </w:rPr>
              <w:fldChar w:fldCharType="begin"/>
            </w:r>
            <w:r>
              <w:rPr>
                <w:noProof/>
                <w:webHidden/>
              </w:rPr>
              <w:instrText xml:space="preserve"> PAGEREF _Toc499298851 \h </w:instrText>
            </w:r>
            <w:r>
              <w:rPr>
                <w:noProof/>
                <w:webHidden/>
              </w:rPr>
            </w:r>
            <w:r>
              <w:rPr>
                <w:noProof/>
                <w:webHidden/>
              </w:rPr>
              <w:fldChar w:fldCharType="separate"/>
            </w:r>
            <w:r w:rsidR="000E35E9">
              <w:rPr>
                <w:noProof/>
                <w:webHidden/>
              </w:rPr>
              <w:t>33</w:t>
            </w:r>
            <w:r>
              <w:rPr>
                <w:noProof/>
                <w:webHidden/>
              </w:rPr>
              <w:fldChar w:fldCharType="end"/>
            </w:r>
          </w:hyperlink>
        </w:p>
        <w:p w14:paraId="615CFF43" w14:textId="77777777" w:rsidR="00274369" w:rsidRDefault="00274369">
          <w:pPr>
            <w:pStyle w:val="TOC3"/>
            <w:rPr>
              <w:noProof/>
              <w:lang w:eastAsia="en-AU"/>
            </w:rPr>
          </w:pPr>
          <w:hyperlink w:anchor="_Toc499298852" w:history="1">
            <w:r w:rsidRPr="00473871">
              <w:rPr>
                <w:rStyle w:val="Hyperlink"/>
                <w:noProof/>
              </w:rPr>
              <w:t>Appointment of a Contractor</w:t>
            </w:r>
            <w:r>
              <w:rPr>
                <w:noProof/>
                <w:webHidden/>
              </w:rPr>
              <w:tab/>
            </w:r>
            <w:r>
              <w:rPr>
                <w:noProof/>
                <w:webHidden/>
              </w:rPr>
              <w:fldChar w:fldCharType="begin"/>
            </w:r>
            <w:r>
              <w:rPr>
                <w:noProof/>
                <w:webHidden/>
              </w:rPr>
              <w:instrText xml:space="preserve"> PAGEREF _Toc499298852 \h </w:instrText>
            </w:r>
            <w:r>
              <w:rPr>
                <w:noProof/>
                <w:webHidden/>
              </w:rPr>
            </w:r>
            <w:r>
              <w:rPr>
                <w:noProof/>
                <w:webHidden/>
              </w:rPr>
              <w:fldChar w:fldCharType="separate"/>
            </w:r>
            <w:r w:rsidR="000E35E9">
              <w:rPr>
                <w:noProof/>
                <w:webHidden/>
              </w:rPr>
              <w:t>34</w:t>
            </w:r>
            <w:r>
              <w:rPr>
                <w:noProof/>
                <w:webHidden/>
              </w:rPr>
              <w:fldChar w:fldCharType="end"/>
            </w:r>
          </w:hyperlink>
        </w:p>
        <w:p w14:paraId="47B999FC" w14:textId="77777777" w:rsidR="00274369" w:rsidRDefault="00274369">
          <w:pPr>
            <w:pStyle w:val="TOC3"/>
            <w:rPr>
              <w:noProof/>
              <w:lang w:eastAsia="en-AU"/>
            </w:rPr>
          </w:pPr>
          <w:hyperlink w:anchor="_Toc499298853" w:history="1">
            <w:r w:rsidRPr="00473871">
              <w:rPr>
                <w:rStyle w:val="Hyperlink"/>
                <w:noProof/>
              </w:rPr>
              <w:t>Resourcing and Recruitment</w:t>
            </w:r>
            <w:r>
              <w:rPr>
                <w:noProof/>
                <w:webHidden/>
              </w:rPr>
              <w:tab/>
            </w:r>
            <w:r>
              <w:rPr>
                <w:noProof/>
                <w:webHidden/>
              </w:rPr>
              <w:fldChar w:fldCharType="begin"/>
            </w:r>
            <w:r>
              <w:rPr>
                <w:noProof/>
                <w:webHidden/>
              </w:rPr>
              <w:instrText xml:space="preserve"> PAGEREF _Toc499298853 \h </w:instrText>
            </w:r>
            <w:r>
              <w:rPr>
                <w:noProof/>
                <w:webHidden/>
              </w:rPr>
            </w:r>
            <w:r>
              <w:rPr>
                <w:noProof/>
                <w:webHidden/>
              </w:rPr>
              <w:fldChar w:fldCharType="separate"/>
            </w:r>
            <w:r w:rsidR="000E35E9">
              <w:rPr>
                <w:noProof/>
                <w:webHidden/>
              </w:rPr>
              <w:t>35</w:t>
            </w:r>
            <w:r>
              <w:rPr>
                <w:noProof/>
                <w:webHidden/>
              </w:rPr>
              <w:fldChar w:fldCharType="end"/>
            </w:r>
          </w:hyperlink>
        </w:p>
        <w:p w14:paraId="365540EC" w14:textId="77777777" w:rsidR="00274369" w:rsidRDefault="00274369">
          <w:pPr>
            <w:pStyle w:val="TOC3"/>
            <w:rPr>
              <w:noProof/>
              <w:lang w:eastAsia="en-AU"/>
            </w:rPr>
          </w:pPr>
          <w:hyperlink w:anchor="_Toc499298854" w:history="1">
            <w:r w:rsidRPr="00473871">
              <w:rPr>
                <w:rStyle w:val="Hyperlink"/>
                <w:noProof/>
              </w:rPr>
              <w:t>Program Transition</w:t>
            </w:r>
            <w:r>
              <w:rPr>
                <w:noProof/>
                <w:webHidden/>
              </w:rPr>
              <w:tab/>
            </w:r>
            <w:r>
              <w:rPr>
                <w:noProof/>
                <w:webHidden/>
              </w:rPr>
              <w:fldChar w:fldCharType="begin"/>
            </w:r>
            <w:r>
              <w:rPr>
                <w:noProof/>
                <w:webHidden/>
              </w:rPr>
              <w:instrText xml:space="preserve"> PAGEREF _Toc499298854 \h </w:instrText>
            </w:r>
            <w:r>
              <w:rPr>
                <w:noProof/>
                <w:webHidden/>
              </w:rPr>
            </w:r>
            <w:r>
              <w:rPr>
                <w:noProof/>
                <w:webHidden/>
              </w:rPr>
              <w:fldChar w:fldCharType="separate"/>
            </w:r>
            <w:r w:rsidR="000E35E9">
              <w:rPr>
                <w:noProof/>
                <w:webHidden/>
              </w:rPr>
              <w:t>36</w:t>
            </w:r>
            <w:r>
              <w:rPr>
                <w:noProof/>
                <w:webHidden/>
              </w:rPr>
              <w:fldChar w:fldCharType="end"/>
            </w:r>
          </w:hyperlink>
        </w:p>
        <w:p w14:paraId="7FA8788B" w14:textId="77777777" w:rsidR="00274369" w:rsidRDefault="00274369">
          <w:pPr>
            <w:pStyle w:val="TOC3"/>
            <w:rPr>
              <w:noProof/>
              <w:lang w:eastAsia="en-AU"/>
            </w:rPr>
          </w:pPr>
          <w:hyperlink w:anchor="_Toc499298855" w:history="1">
            <w:r w:rsidRPr="00473871">
              <w:rPr>
                <w:rStyle w:val="Hyperlink"/>
                <w:noProof/>
              </w:rPr>
              <w:t>Communications and Reporting</w:t>
            </w:r>
            <w:r>
              <w:rPr>
                <w:noProof/>
                <w:webHidden/>
              </w:rPr>
              <w:tab/>
            </w:r>
            <w:r>
              <w:rPr>
                <w:noProof/>
                <w:webHidden/>
              </w:rPr>
              <w:fldChar w:fldCharType="begin"/>
            </w:r>
            <w:r>
              <w:rPr>
                <w:noProof/>
                <w:webHidden/>
              </w:rPr>
              <w:instrText xml:space="preserve"> PAGEREF _Toc499298855 \h </w:instrText>
            </w:r>
            <w:r>
              <w:rPr>
                <w:noProof/>
                <w:webHidden/>
              </w:rPr>
            </w:r>
            <w:r>
              <w:rPr>
                <w:noProof/>
                <w:webHidden/>
              </w:rPr>
              <w:fldChar w:fldCharType="separate"/>
            </w:r>
            <w:r w:rsidR="000E35E9">
              <w:rPr>
                <w:noProof/>
                <w:webHidden/>
              </w:rPr>
              <w:t>36</w:t>
            </w:r>
            <w:r>
              <w:rPr>
                <w:noProof/>
                <w:webHidden/>
              </w:rPr>
              <w:fldChar w:fldCharType="end"/>
            </w:r>
          </w:hyperlink>
        </w:p>
        <w:p w14:paraId="7D257264" w14:textId="77777777" w:rsidR="00274369" w:rsidRDefault="00274369">
          <w:pPr>
            <w:pStyle w:val="TOC3"/>
            <w:rPr>
              <w:noProof/>
              <w:lang w:eastAsia="en-AU"/>
            </w:rPr>
          </w:pPr>
          <w:hyperlink w:anchor="_Toc499298856" w:history="1">
            <w:r w:rsidRPr="00473871">
              <w:rPr>
                <w:rStyle w:val="Hyperlink"/>
                <w:noProof/>
              </w:rPr>
              <w:t>Results Measurement, MIS and Evaluation</w:t>
            </w:r>
            <w:r>
              <w:rPr>
                <w:noProof/>
                <w:webHidden/>
              </w:rPr>
              <w:tab/>
            </w:r>
            <w:r>
              <w:rPr>
                <w:noProof/>
                <w:webHidden/>
              </w:rPr>
              <w:fldChar w:fldCharType="begin"/>
            </w:r>
            <w:r>
              <w:rPr>
                <w:noProof/>
                <w:webHidden/>
              </w:rPr>
              <w:instrText xml:space="preserve"> PAGEREF _Toc499298856 \h </w:instrText>
            </w:r>
            <w:r>
              <w:rPr>
                <w:noProof/>
                <w:webHidden/>
              </w:rPr>
            </w:r>
            <w:r>
              <w:rPr>
                <w:noProof/>
                <w:webHidden/>
              </w:rPr>
              <w:fldChar w:fldCharType="separate"/>
            </w:r>
            <w:r w:rsidR="000E35E9">
              <w:rPr>
                <w:noProof/>
                <w:webHidden/>
              </w:rPr>
              <w:t>37</w:t>
            </w:r>
            <w:r>
              <w:rPr>
                <w:noProof/>
                <w:webHidden/>
              </w:rPr>
              <w:fldChar w:fldCharType="end"/>
            </w:r>
          </w:hyperlink>
        </w:p>
        <w:p w14:paraId="20A256F3" w14:textId="77777777" w:rsidR="00274369" w:rsidRDefault="00274369">
          <w:pPr>
            <w:pStyle w:val="TOC3"/>
            <w:rPr>
              <w:noProof/>
              <w:lang w:eastAsia="en-AU"/>
            </w:rPr>
          </w:pPr>
          <w:hyperlink w:anchor="_Toc499298857" w:history="1">
            <w:r w:rsidRPr="00473871">
              <w:rPr>
                <w:rStyle w:val="Hyperlink"/>
                <w:noProof/>
              </w:rPr>
              <w:t>Gender Equality &amp; Women’s Economic Empowerment</w:t>
            </w:r>
            <w:r>
              <w:rPr>
                <w:noProof/>
                <w:webHidden/>
              </w:rPr>
              <w:tab/>
            </w:r>
            <w:r>
              <w:rPr>
                <w:noProof/>
                <w:webHidden/>
              </w:rPr>
              <w:fldChar w:fldCharType="begin"/>
            </w:r>
            <w:r>
              <w:rPr>
                <w:noProof/>
                <w:webHidden/>
              </w:rPr>
              <w:instrText xml:space="preserve"> PAGEREF _Toc499298857 \h </w:instrText>
            </w:r>
            <w:r>
              <w:rPr>
                <w:noProof/>
                <w:webHidden/>
              </w:rPr>
            </w:r>
            <w:r>
              <w:rPr>
                <w:noProof/>
                <w:webHidden/>
              </w:rPr>
              <w:fldChar w:fldCharType="separate"/>
            </w:r>
            <w:r w:rsidR="000E35E9">
              <w:rPr>
                <w:noProof/>
                <w:webHidden/>
              </w:rPr>
              <w:t>39</w:t>
            </w:r>
            <w:r>
              <w:rPr>
                <w:noProof/>
                <w:webHidden/>
              </w:rPr>
              <w:fldChar w:fldCharType="end"/>
            </w:r>
          </w:hyperlink>
        </w:p>
        <w:p w14:paraId="0EEE5C0E" w14:textId="77777777" w:rsidR="00274369" w:rsidRDefault="00274369">
          <w:pPr>
            <w:pStyle w:val="TOC3"/>
            <w:rPr>
              <w:noProof/>
              <w:lang w:eastAsia="en-AU"/>
            </w:rPr>
          </w:pPr>
          <w:hyperlink w:anchor="_Toc499298858" w:history="1">
            <w:r w:rsidRPr="00473871">
              <w:rPr>
                <w:rStyle w:val="Hyperlink"/>
                <w:noProof/>
              </w:rPr>
              <w:t>Inclusiveness</w:t>
            </w:r>
            <w:r>
              <w:rPr>
                <w:noProof/>
                <w:webHidden/>
              </w:rPr>
              <w:tab/>
            </w:r>
            <w:r>
              <w:rPr>
                <w:noProof/>
                <w:webHidden/>
              </w:rPr>
              <w:fldChar w:fldCharType="begin"/>
            </w:r>
            <w:r>
              <w:rPr>
                <w:noProof/>
                <w:webHidden/>
              </w:rPr>
              <w:instrText xml:space="preserve"> PAGEREF _Toc499298858 \h </w:instrText>
            </w:r>
            <w:r>
              <w:rPr>
                <w:noProof/>
                <w:webHidden/>
              </w:rPr>
            </w:r>
            <w:r>
              <w:rPr>
                <w:noProof/>
                <w:webHidden/>
              </w:rPr>
              <w:fldChar w:fldCharType="separate"/>
            </w:r>
            <w:r w:rsidR="000E35E9">
              <w:rPr>
                <w:noProof/>
                <w:webHidden/>
              </w:rPr>
              <w:t>40</w:t>
            </w:r>
            <w:r>
              <w:rPr>
                <w:noProof/>
                <w:webHidden/>
              </w:rPr>
              <w:fldChar w:fldCharType="end"/>
            </w:r>
          </w:hyperlink>
        </w:p>
        <w:p w14:paraId="694E4C44" w14:textId="77777777" w:rsidR="00274369" w:rsidRDefault="00274369">
          <w:pPr>
            <w:pStyle w:val="TOC3"/>
            <w:rPr>
              <w:noProof/>
              <w:lang w:eastAsia="en-AU"/>
            </w:rPr>
          </w:pPr>
          <w:hyperlink w:anchor="_Toc499298859" w:history="1">
            <w:r w:rsidRPr="00473871">
              <w:rPr>
                <w:rStyle w:val="Hyperlink"/>
                <w:noProof/>
              </w:rPr>
              <w:t>Child Protection</w:t>
            </w:r>
            <w:r>
              <w:rPr>
                <w:noProof/>
                <w:webHidden/>
              </w:rPr>
              <w:tab/>
            </w:r>
            <w:r>
              <w:rPr>
                <w:noProof/>
                <w:webHidden/>
              </w:rPr>
              <w:fldChar w:fldCharType="begin"/>
            </w:r>
            <w:r>
              <w:rPr>
                <w:noProof/>
                <w:webHidden/>
              </w:rPr>
              <w:instrText xml:space="preserve"> PAGEREF _Toc499298859 \h </w:instrText>
            </w:r>
            <w:r>
              <w:rPr>
                <w:noProof/>
                <w:webHidden/>
              </w:rPr>
            </w:r>
            <w:r>
              <w:rPr>
                <w:noProof/>
                <w:webHidden/>
              </w:rPr>
              <w:fldChar w:fldCharType="separate"/>
            </w:r>
            <w:r w:rsidR="000E35E9">
              <w:rPr>
                <w:noProof/>
                <w:webHidden/>
              </w:rPr>
              <w:t>42</w:t>
            </w:r>
            <w:r>
              <w:rPr>
                <w:noProof/>
                <w:webHidden/>
              </w:rPr>
              <w:fldChar w:fldCharType="end"/>
            </w:r>
          </w:hyperlink>
        </w:p>
        <w:p w14:paraId="7BD0BBF8" w14:textId="77777777" w:rsidR="00274369" w:rsidRDefault="00274369">
          <w:pPr>
            <w:pStyle w:val="TOC3"/>
            <w:rPr>
              <w:noProof/>
              <w:lang w:eastAsia="en-AU"/>
            </w:rPr>
          </w:pPr>
          <w:hyperlink w:anchor="_Toc499298860" w:history="1">
            <w:r w:rsidRPr="00473871">
              <w:rPr>
                <w:rStyle w:val="Hyperlink"/>
                <w:noProof/>
              </w:rPr>
              <w:t>Nutrition</w:t>
            </w:r>
            <w:r>
              <w:rPr>
                <w:noProof/>
                <w:webHidden/>
              </w:rPr>
              <w:tab/>
            </w:r>
            <w:r>
              <w:rPr>
                <w:noProof/>
                <w:webHidden/>
              </w:rPr>
              <w:fldChar w:fldCharType="begin"/>
            </w:r>
            <w:r>
              <w:rPr>
                <w:noProof/>
                <w:webHidden/>
              </w:rPr>
              <w:instrText xml:space="preserve"> PAGEREF _Toc499298860 \h </w:instrText>
            </w:r>
            <w:r>
              <w:rPr>
                <w:noProof/>
                <w:webHidden/>
              </w:rPr>
            </w:r>
            <w:r>
              <w:rPr>
                <w:noProof/>
                <w:webHidden/>
              </w:rPr>
              <w:fldChar w:fldCharType="separate"/>
            </w:r>
            <w:r w:rsidR="000E35E9">
              <w:rPr>
                <w:noProof/>
                <w:webHidden/>
              </w:rPr>
              <w:t>42</w:t>
            </w:r>
            <w:r>
              <w:rPr>
                <w:noProof/>
                <w:webHidden/>
              </w:rPr>
              <w:fldChar w:fldCharType="end"/>
            </w:r>
          </w:hyperlink>
        </w:p>
        <w:p w14:paraId="11C80F2F" w14:textId="77777777" w:rsidR="00274369" w:rsidRDefault="00274369">
          <w:pPr>
            <w:pStyle w:val="TOC3"/>
            <w:rPr>
              <w:noProof/>
              <w:lang w:eastAsia="en-AU"/>
            </w:rPr>
          </w:pPr>
          <w:hyperlink w:anchor="_Toc499298861" w:history="1">
            <w:r w:rsidRPr="00473871">
              <w:rPr>
                <w:rStyle w:val="Hyperlink"/>
                <w:noProof/>
              </w:rPr>
              <w:t>Safeguards</w:t>
            </w:r>
            <w:r>
              <w:rPr>
                <w:noProof/>
                <w:webHidden/>
              </w:rPr>
              <w:tab/>
            </w:r>
            <w:r>
              <w:rPr>
                <w:noProof/>
                <w:webHidden/>
              </w:rPr>
              <w:fldChar w:fldCharType="begin"/>
            </w:r>
            <w:r>
              <w:rPr>
                <w:noProof/>
                <w:webHidden/>
              </w:rPr>
              <w:instrText xml:space="preserve"> PAGEREF _Toc499298861 \h </w:instrText>
            </w:r>
            <w:r>
              <w:rPr>
                <w:noProof/>
                <w:webHidden/>
              </w:rPr>
            </w:r>
            <w:r>
              <w:rPr>
                <w:noProof/>
                <w:webHidden/>
              </w:rPr>
              <w:fldChar w:fldCharType="separate"/>
            </w:r>
            <w:r w:rsidR="000E35E9">
              <w:rPr>
                <w:noProof/>
                <w:webHidden/>
              </w:rPr>
              <w:t>42</w:t>
            </w:r>
            <w:r>
              <w:rPr>
                <w:noProof/>
                <w:webHidden/>
              </w:rPr>
              <w:fldChar w:fldCharType="end"/>
            </w:r>
          </w:hyperlink>
        </w:p>
        <w:p w14:paraId="42FB3BBE" w14:textId="77777777" w:rsidR="00274369" w:rsidRDefault="00274369">
          <w:pPr>
            <w:pStyle w:val="TOC3"/>
            <w:rPr>
              <w:noProof/>
              <w:lang w:eastAsia="en-AU"/>
            </w:rPr>
          </w:pPr>
          <w:hyperlink w:anchor="_Toc499298862" w:history="1">
            <w:r w:rsidRPr="00473871">
              <w:rPr>
                <w:rStyle w:val="Hyperlink"/>
                <w:noProof/>
              </w:rPr>
              <w:t>Risk Management</w:t>
            </w:r>
            <w:r>
              <w:rPr>
                <w:noProof/>
                <w:webHidden/>
              </w:rPr>
              <w:tab/>
            </w:r>
            <w:r>
              <w:rPr>
                <w:noProof/>
                <w:webHidden/>
              </w:rPr>
              <w:fldChar w:fldCharType="begin"/>
            </w:r>
            <w:r>
              <w:rPr>
                <w:noProof/>
                <w:webHidden/>
              </w:rPr>
              <w:instrText xml:space="preserve"> PAGEREF _Toc499298862 \h </w:instrText>
            </w:r>
            <w:r>
              <w:rPr>
                <w:noProof/>
                <w:webHidden/>
              </w:rPr>
            </w:r>
            <w:r>
              <w:rPr>
                <w:noProof/>
                <w:webHidden/>
              </w:rPr>
              <w:fldChar w:fldCharType="separate"/>
            </w:r>
            <w:r w:rsidR="000E35E9">
              <w:rPr>
                <w:noProof/>
                <w:webHidden/>
              </w:rPr>
              <w:t>43</w:t>
            </w:r>
            <w:r>
              <w:rPr>
                <w:noProof/>
                <w:webHidden/>
              </w:rPr>
              <w:fldChar w:fldCharType="end"/>
            </w:r>
          </w:hyperlink>
        </w:p>
        <w:p w14:paraId="3B2FAE4F" w14:textId="77777777" w:rsidR="00274369" w:rsidRDefault="00274369">
          <w:pPr>
            <w:pStyle w:val="TOC1"/>
            <w:tabs>
              <w:tab w:val="left" w:pos="660"/>
            </w:tabs>
            <w:rPr>
              <w:b w:val="0"/>
              <w:caps w:val="0"/>
              <w:noProof/>
              <w:color w:val="auto"/>
              <w:sz w:val="22"/>
              <w:lang w:eastAsia="en-AU"/>
            </w:rPr>
          </w:pPr>
          <w:hyperlink w:anchor="_Toc499298863" w:history="1">
            <w:r w:rsidRPr="00473871">
              <w:rPr>
                <w:rStyle w:val="Hyperlink"/>
                <w:noProof/>
              </w:rPr>
              <w:t>5.</w:t>
            </w:r>
            <w:r>
              <w:rPr>
                <w:b w:val="0"/>
                <w:caps w:val="0"/>
                <w:noProof/>
                <w:color w:val="auto"/>
                <w:sz w:val="22"/>
                <w:lang w:eastAsia="en-AU"/>
              </w:rPr>
              <w:tab/>
            </w:r>
            <w:r w:rsidRPr="00473871">
              <w:rPr>
                <w:rStyle w:val="Hyperlink"/>
                <w:noProof/>
              </w:rPr>
              <w:t>Annexes</w:t>
            </w:r>
            <w:r>
              <w:rPr>
                <w:noProof/>
                <w:webHidden/>
              </w:rPr>
              <w:tab/>
            </w:r>
            <w:r>
              <w:rPr>
                <w:noProof/>
                <w:webHidden/>
              </w:rPr>
              <w:fldChar w:fldCharType="begin"/>
            </w:r>
            <w:r>
              <w:rPr>
                <w:noProof/>
                <w:webHidden/>
              </w:rPr>
              <w:instrText xml:space="preserve"> PAGEREF _Toc499298863 \h </w:instrText>
            </w:r>
            <w:r>
              <w:rPr>
                <w:noProof/>
                <w:webHidden/>
              </w:rPr>
            </w:r>
            <w:r>
              <w:rPr>
                <w:noProof/>
                <w:webHidden/>
              </w:rPr>
              <w:fldChar w:fldCharType="separate"/>
            </w:r>
            <w:r w:rsidR="000E35E9">
              <w:rPr>
                <w:noProof/>
                <w:webHidden/>
              </w:rPr>
              <w:t>45</w:t>
            </w:r>
            <w:r>
              <w:rPr>
                <w:noProof/>
                <w:webHidden/>
              </w:rPr>
              <w:fldChar w:fldCharType="end"/>
            </w:r>
          </w:hyperlink>
        </w:p>
        <w:p w14:paraId="2F3ECEB6" w14:textId="77777777" w:rsidR="00274369" w:rsidRDefault="00274369">
          <w:pPr>
            <w:pStyle w:val="TOC3"/>
            <w:rPr>
              <w:noProof/>
              <w:lang w:eastAsia="en-AU"/>
            </w:rPr>
          </w:pPr>
          <w:hyperlink w:anchor="_Toc499298864" w:history="1">
            <w:r w:rsidRPr="00473871">
              <w:rPr>
                <w:rStyle w:val="Hyperlink"/>
                <w:noProof/>
              </w:rPr>
              <w:t>Annex 1: Approach to Poverty in PRISMA-2</w:t>
            </w:r>
            <w:r>
              <w:rPr>
                <w:noProof/>
                <w:webHidden/>
              </w:rPr>
              <w:tab/>
            </w:r>
            <w:r>
              <w:rPr>
                <w:noProof/>
                <w:webHidden/>
              </w:rPr>
              <w:fldChar w:fldCharType="begin"/>
            </w:r>
            <w:r>
              <w:rPr>
                <w:noProof/>
                <w:webHidden/>
              </w:rPr>
              <w:instrText xml:space="preserve"> PAGEREF _Toc499298864 \h </w:instrText>
            </w:r>
            <w:r>
              <w:rPr>
                <w:noProof/>
                <w:webHidden/>
              </w:rPr>
            </w:r>
            <w:r>
              <w:rPr>
                <w:noProof/>
                <w:webHidden/>
              </w:rPr>
              <w:fldChar w:fldCharType="separate"/>
            </w:r>
            <w:r w:rsidR="000E35E9">
              <w:rPr>
                <w:noProof/>
                <w:webHidden/>
              </w:rPr>
              <w:t>45</w:t>
            </w:r>
            <w:r>
              <w:rPr>
                <w:noProof/>
                <w:webHidden/>
              </w:rPr>
              <w:fldChar w:fldCharType="end"/>
            </w:r>
          </w:hyperlink>
        </w:p>
        <w:p w14:paraId="178CF6EF" w14:textId="77777777" w:rsidR="00274369" w:rsidRDefault="00274369">
          <w:pPr>
            <w:pStyle w:val="TOC3"/>
            <w:rPr>
              <w:noProof/>
              <w:lang w:eastAsia="en-AU"/>
            </w:rPr>
          </w:pPr>
          <w:hyperlink w:anchor="_Toc499298865" w:history="1">
            <w:r w:rsidRPr="00473871">
              <w:rPr>
                <w:rStyle w:val="Hyperlink"/>
                <w:noProof/>
              </w:rPr>
              <w:t>Annex 2: Matrix of Investment in Indonesia’s Agriculture Sector</w:t>
            </w:r>
            <w:r>
              <w:rPr>
                <w:noProof/>
                <w:webHidden/>
              </w:rPr>
              <w:tab/>
            </w:r>
            <w:r>
              <w:rPr>
                <w:noProof/>
                <w:webHidden/>
              </w:rPr>
              <w:fldChar w:fldCharType="begin"/>
            </w:r>
            <w:r>
              <w:rPr>
                <w:noProof/>
                <w:webHidden/>
              </w:rPr>
              <w:instrText xml:space="preserve"> PAGEREF _Toc499298865 \h </w:instrText>
            </w:r>
            <w:r>
              <w:rPr>
                <w:noProof/>
                <w:webHidden/>
              </w:rPr>
            </w:r>
            <w:r>
              <w:rPr>
                <w:noProof/>
                <w:webHidden/>
              </w:rPr>
              <w:fldChar w:fldCharType="separate"/>
            </w:r>
            <w:r w:rsidR="000E35E9">
              <w:rPr>
                <w:noProof/>
                <w:webHidden/>
              </w:rPr>
              <w:t>47</w:t>
            </w:r>
            <w:r>
              <w:rPr>
                <w:noProof/>
                <w:webHidden/>
              </w:rPr>
              <w:fldChar w:fldCharType="end"/>
            </w:r>
          </w:hyperlink>
        </w:p>
        <w:p w14:paraId="15E9E7FF" w14:textId="77777777" w:rsidR="00274369" w:rsidRDefault="00274369">
          <w:pPr>
            <w:pStyle w:val="TOC3"/>
            <w:rPr>
              <w:noProof/>
              <w:lang w:eastAsia="en-AU"/>
            </w:rPr>
          </w:pPr>
          <w:hyperlink w:anchor="_Toc499298866" w:history="1">
            <w:r w:rsidRPr="00473871">
              <w:rPr>
                <w:rStyle w:val="Hyperlink"/>
                <w:noProof/>
              </w:rPr>
              <w:t>Annex 3: Lessons Learned from Market Systems Development</w:t>
            </w:r>
            <w:r>
              <w:rPr>
                <w:noProof/>
                <w:webHidden/>
              </w:rPr>
              <w:tab/>
            </w:r>
            <w:r>
              <w:rPr>
                <w:noProof/>
                <w:webHidden/>
              </w:rPr>
              <w:fldChar w:fldCharType="begin"/>
            </w:r>
            <w:r>
              <w:rPr>
                <w:noProof/>
                <w:webHidden/>
              </w:rPr>
              <w:instrText xml:space="preserve"> PAGEREF _Toc499298866 \h </w:instrText>
            </w:r>
            <w:r>
              <w:rPr>
                <w:noProof/>
                <w:webHidden/>
              </w:rPr>
            </w:r>
            <w:r>
              <w:rPr>
                <w:noProof/>
                <w:webHidden/>
              </w:rPr>
              <w:fldChar w:fldCharType="separate"/>
            </w:r>
            <w:r w:rsidR="000E35E9">
              <w:rPr>
                <w:noProof/>
                <w:webHidden/>
              </w:rPr>
              <w:t>48</w:t>
            </w:r>
            <w:r>
              <w:rPr>
                <w:noProof/>
                <w:webHidden/>
              </w:rPr>
              <w:fldChar w:fldCharType="end"/>
            </w:r>
          </w:hyperlink>
        </w:p>
        <w:p w14:paraId="4975EBD1" w14:textId="77777777" w:rsidR="00274369" w:rsidRDefault="00274369">
          <w:pPr>
            <w:pStyle w:val="TOC3"/>
            <w:rPr>
              <w:noProof/>
              <w:lang w:eastAsia="en-AU"/>
            </w:rPr>
          </w:pPr>
          <w:hyperlink w:anchor="_Toc499298867" w:history="1">
            <w:r w:rsidRPr="00473871">
              <w:rPr>
                <w:rStyle w:val="Hyperlink"/>
                <w:noProof/>
              </w:rPr>
              <w:t>Annex 4: Summary Program Logic</w:t>
            </w:r>
            <w:r>
              <w:rPr>
                <w:noProof/>
                <w:webHidden/>
              </w:rPr>
              <w:tab/>
            </w:r>
            <w:r>
              <w:rPr>
                <w:noProof/>
                <w:webHidden/>
              </w:rPr>
              <w:fldChar w:fldCharType="begin"/>
            </w:r>
            <w:r>
              <w:rPr>
                <w:noProof/>
                <w:webHidden/>
              </w:rPr>
              <w:instrText xml:space="preserve"> PAGEREF _Toc499298867 \h </w:instrText>
            </w:r>
            <w:r>
              <w:rPr>
                <w:noProof/>
                <w:webHidden/>
              </w:rPr>
            </w:r>
            <w:r>
              <w:rPr>
                <w:noProof/>
                <w:webHidden/>
              </w:rPr>
              <w:fldChar w:fldCharType="separate"/>
            </w:r>
            <w:r w:rsidR="000E35E9">
              <w:rPr>
                <w:noProof/>
                <w:webHidden/>
              </w:rPr>
              <w:t>50</w:t>
            </w:r>
            <w:r>
              <w:rPr>
                <w:noProof/>
                <w:webHidden/>
              </w:rPr>
              <w:fldChar w:fldCharType="end"/>
            </w:r>
          </w:hyperlink>
        </w:p>
        <w:p w14:paraId="4BE48405" w14:textId="77777777" w:rsidR="00274369" w:rsidRDefault="00274369">
          <w:pPr>
            <w:pStyle w:val="TOC3"/>
            <w:rPr>
              <w:noProof/>
              <w:lang w:eastAsia="en-AU"/>
            </w:rPr>
          </w:pPr>
          <w:hyperlink w:anchor="_Toc499298868" w:history="1">
            <w:r w:rsidRPr="00473871">
              <w:rPr>
                <w:rStyle w:val="Hyperlink"/>
                <w:noProof/>
              </w:rPr>
              <w:t>Annex 5: Monitoring, Results Measurement and Evaluation</w:t>
            </w:r>
            <w:r>
              <w:rPr>
                <w:noProof/>
                <w:webHidden/>
              </w:rPr>
              <w:tab/>
            </w:r>
            <w:r>
              <w:rPr>
                <w:noProof/>
                <w:webHidden/>
              </w:rPr>
              <w:fldChar w:fldCharType="begin"/>
            </w:r>
            <w:r>
              <w:rPr>
                <w:noProof/>
                <w:webHidden/>
              </w:rPr>
              <w:instrText xml:space="preserve"> PAGEREF _Toc499298868 \h </w:instrText>
            </w:r>
            <w:r>
              <w:rPr>
                <w:noProof/>
                <w:webHidden/>
              </w:rPr>
            </w:r>
            <w:r>
              <w:rPr>
                <w:noProof/>
                <w:webHidden/>
              </w:rPr>
              <w:fldChar w:fldCharType="separate"/>
            </w:r>
            <w:r w:rsidR="000E35E9">
              <w:rPr>
                <w:noProof/>
                <w:webHidden/>
              </w:rPr>
              <w:t>51</w:t>
            </w:r>
            <w:r>
              <w:rPr>
                <w:noProof/>
                <w:webHidden/>
              </w:rPr>
              <w:fldChar w:fldCharType="end"/>
            </w:r>
          </w:hyperlink>
        </w:p>
        <w:p w14:paraId="18A99E84" w14:textId="77777777" w:rsidR="00274369" w:rsidRDefault="00274369">
          <w:pPr>
            <w:pStyle w:val="TOC3"/>
            <w:rPr>
              <w:noProof/>
              <w:lang w:eastAsia="en-AU"/>
            </w:rPr>
          </w:pPr>
          <w:hyperlink w:anchor="_Toc499298869" w:history="1">
            <w:r w:rsidRPr="00473871">
              <w:rPr>
                <w:rStyle w:val="Hyperlink"/>
                <w:noProof/>
              </w:rPr>
              <w:t>Annex 6: Geographic and Sector Focus</w:t>
            </w:r>
            <w:r>
              <w:rPr>
                <w:noProof/>
                <w:webHidden/>
              </w:rPr>
              <w:tab/>
            </w:r>
            <w:r>
              <w:rPr>
                <w:noProof/>
                <w:webHidden/>
              </w:rPr>
              <w:fldChar w:fldCharType="begin"/>
            </w:r>
            <w:r>
              <w:rPr>
                <w:noProof/>
                <w:webHidden/>
              </w:rPr>
              <w:instrText xml:space="preserve"> PAGEREF _Toc499298869 \h </w:instrText>
            </w:r>
            <w:r>
              <w:rPr>
                <w:noProof/>
                <w:webHidden/>
              </w:rPr>
            </w:r>
            <w:r>
              <w:rPr>
                <w:noProof/>
                <w:webHidden/>
              </w:rPr>
              <w:fldChar w:fldCharType="separate"/>
            </w:r>
            <w:r w:rsidR="000E35E9">
              <w:rPr>
                <w:noProof/>
                <w:webHidden/>
              </w:rPr>
              <w:t>57</w:t>
            </w:r>
            <w:r>
              <w:rPr>
                <w:noProof/>
                <w:webHidden/>
              </w:rPr>
              <w:fldChar w:fldCharType="end"/>
            </w:r>
          </w:hyperlink>
        </w:p>
        <w:p w14:paraId="3E32FA9B" w14:textId="77777777" w:rsidR="00274369" w:rsidRDefault="00274369">
          <w:pPr>
            <w:pStyle w:val="TOC3"/>
            <w:rPr>
              <w:noProof/>
              <w:lang w:eastAsia="en-AU"/>
            </w:rPr>
          </w:pPr>
          <w:hyperlink w:anchor="_Toc499298870" w:history="1">
            <w:r w:rsidRPr="00473871">
              <w:rPr>
                <w:rStyle w:val="Hyperlink"/>
                <w:noProof/>
              </w:rPr>
              <w:t>Annex 7: Budget</w:t>
            </w:r>
            <w:r>
              <w:rPr>
                <w:noProof/>
                <w:webHidden/>
              </w:rPr>
              <w:tab/>
            </w:r>
            <w:r>
              <w:rPr>
                <w:noProof/>
                <w:webHidden/>
              </w:rPr>
              <w:fldChar w:fldCharType="begin"/>
            </w:r>
            <w:r>
              <w:rPr>
                <w:noProof/>
                <w:webHidden/>
              </w:rPr>
              <w:instrText xml:space="preserve"> PAGEREF _Toc499298870 \h </w:instrText>
            </w:r>
            <w:r>
              <w:rPr>
                <w:noProof/>
                <w:webHidden/>
              </w:rPr>
            </w:r>
            <w:r>
              <w:rPr>
                <w:noProof/>
                <w:webHidden/>
              </w:rPr>
              <w:fldChar w:fldCharType="separate"/>
            </w:r>
            <w:r w:rsidR="000E35E9">
              <w:rPr>
                <w:noProof/>
                <w:webHidden/>
              </w:rPr>
              <w:t>64</w:t>
            </w:r>
            <w:r>
              <w:rPr>
                <w:noProof/>
                <w:webHidden/>
              </w:rPr>
              <w:fldChar w:fldCharType="end"/>
            </w:r>
          </w:hyperlink>
        </w:p>
        <w:p w14:paraId="44C4DF2E" w14:textId="77777777" w:rsidR="00274369" w:rsidRDefault="00274369">
          <w:pPr>
            <w:pStyle w:val="TOC3"/>
            <w:rPr>
              <w:noProof/>
              <w:lang w:eastAsia="en-AU"/>
            </w:rPr>
          </w:pPr>
          <w:hyperlink w:anchor="_Toc499298871" w:history="1">
            <w:r w:rsidRPr="00473871">
              <w:rPr>
                <w:rStyle w:val="Hyperlink"/>
                <w:noProof/>
              </w:rPr>
              <w:t>Annex 8: AIP-RURAL Governance &amp; Implementation Structure</w:t>
            </w:r>
            <w:r>
              <w:rPr>
                <w:noProof/>
                <w:webHidden/>
              </w:rPr>
              <w:tab/>
            </w:r>
            <w:r>
              <w:rPr>
                <w:noProof/>
                <w:webHidden/>
              </w:rPr>
              <w:fldChar w:fldCharType="begin"/>
            </w:r>
            <w:r>
              <w:rPr>
                <w:noProof/>
                <w:webHidden/>
              </w:rPr>
              <w:instrText xml:space="preserve"> PAGEREF _Toc499298871 \h </w:instrText>
            </w:r>
            <w:r>
              <w:rPr>
                <w:noProof/>
                <w:webHidden/>
              </w:rPr>
            </w:r>
            <w:r>
              <w:rPr>
                <w:noProof/>
                <w:webHidden/>
              </w:rPr>
              <w:fldChar w:fldCharType="separate"/>
            </w:r>
            <w:r w:rsidR="000E35E9">
              <w:rPr>
                <w:noProof/>
                <w:webHidden/>
              </w:rPr>
              <w:t>65</w:t>
            </w:r>
            <w:r>
              <w:rPr>
                <w:noProof/>
                <w:webHidden/>
              </w:rPr>
              <w:fldChar w:fldCharType="end"/>
            </w:r>
          </w:hyperlink>
        </w:p>
        <w:p w14:paraId="4FB2BD81" w14:textId="77777777" w:rsidR="00274369" w:rsidRDefault="00274369">
          <w:pPr>
            <w:pStyle w:val="TOC3"/>
            <w:rPr>
              <w:noProof/>
              <w:lang w:eastAsia="en-AU"/>
            </w:rPr>
          </w:pPr>
          <w:hyperlink w:anchor="_Toc499298872" w:history="1">
            <w:r w:rsidRPr="00473871">
              <w:rPr>
                <w:rStyle w:val="Hyperlink"/>
                <w:noProof/>
              </w:rPr>
              <w:t>Annex 9: Terms of Reference for Specified Personnel</w:t>
            </w:r>
            <w:r>
              <w:rPr>
                <w:noProof/>
                <w:webHidden/>
              </w:rPr>
              <w:tab/>
            </w:r>
            <w:r>
              <w:rPr>
                <w:noProof/>
                <w:webHidden/>
              </w:rPr>
              <w:fldChar w:fldCharType="begin"/>
            </w:r>
            <w:r>
              <w:rPr>
                <w:noProof/>
                <w:webHidden/>
              </w:rPr>
              <w:instrText xml:space="preserve"> PAGEREF _Toc499298872 \h </w:instrText>
            </w:r>
            <w:r>
              <w:rPr>
                <w:noProof/>
                <w:webHidden/>
              </w:rPr>
            </w:r>
            <w:r>
              <w:rPr>
                <w:noProof/>
                <w:webHidden/>
              </w:rPr>
              <w:fldChar w:fldCharType="separate"/>
            </w:r>
            <w:r w:rsidR="000E35E9">
              <w:rPr>
                <w:noProof/>
                <w:webHidden/>
              </w:rPr>
              <w:t>66</w:t>
            </w:r>
            <w:r>
              <w:rPr>
                <w:noProof/>
                <w:webHidden/>
              </w:rPr>
              <w:fldChar w:fldCharType="end"/>
            </w:r>
          </w:hyperlink>
        </w:p>
        <w:p w14:paraId="171CD6E2" w14:textId="77777777" w:rsidR="00274369" w:rsidRDefault="00274369">
          <w:pPr>
            <w:pStyle w:val="TOC3"/>
            <w:rPr>
              <w:noProof/>
              <w:lang w:eastAsia="en-AU"/>
            </w:rPr>
          </w:pPr>
          <w:hyperlink w:anchor="_Toc499298873" w:history="1">
            <w:r w:rsidRPr="00473871">
              <w:rPr>
                <w:rStyle w:val="Hyperlink"/>
                <w:noProof/>
              </w:rPr>
              <w:t>Annex 10: Gender Equality and Women’s Economic Empowerment</w:t>
            </w:r>
            <w:r>
              <w:rPr>
                <w:noProof/>
                <w:webHidden/>
              </w:rPr>
              <w:tab/>
            </w:r>
            <w:r>
              <w:rPr>
                <w:noProof/>
                <w:webHidden/>
              </w:rPr>
              <w:fldChar w:fldCharType="begin"/>
            </w:r>
            <w:r>
              <w:rPr>
                <w:noProof/>
                <w:webHidden/>
              </w:rPr>
              <w:instrText xml:space="preserve"> PAGEREF _Toc499298873 \h </w:instrText>
            </w:r>
            <w:r>
              <w:rPr>
                <w:noProof/>
                <w:webHidden/>
              </w:rPr>
            </w:r>
            <w:r>
              <w:rPr>
                <w:noProof/>
                <w:webHidden/>
              </w:rPr>
              <w:fldChar w:fldCharType="separate"/>
            </w:r>
            <w:r w:rsidR="000E35E9">
              <w:rPr>
                <w:noProof/>
                <w:webHidden/>
              </w:rPr>
              <w:t>73</w:t>
            </w:r>
            <w:r>
              <w:rPr>
                <w:noProof/>
                <w:webHidden/>
              </w:rPr>
              <w:fldChar w:fldCharType="end"/>
            </w:r>
          </w:hyperlink>
        </w:p>
        <w:p w14:paraId="486C477C" w14:textId="77777777" w:rsidR="00274369" w:rsidRDefault="00274369">
          <w:pPr>
            <w:pStyle w:val="TOC3"/>
            <w:rPr>
              <w:noProof/>
              <w:lang w:eastAsia="en-AU"/>
            </w:rPr>
          </w:pPr>
          <w:hyperlink w:anchor="_Toc499298874" w:history="1">
            <w:r w:rsidRPr="00473871">
              <w:rPr>
                <w:rStyle w:val="Hyperlink"/>
                <w:noProof/>
              </w:rPr>
              <w:t>Annex 11: Risk Matrix</w:t>
            </w:r>
            <w:r>
              <w:rPr>
                <w:noProof/>
                <w:webHidden/>
              </w:rPr>
              <w:tab/>
            </w:r>
            <w:r>
              <w:rPr>
                <w:noProof/>
                <w:webHidden/>
              </w:rPr>
              <w:fldChar w:fldCharType="begin"/>
            </w:r>
            <w:r>
              <w:rPr>
                <w:noProof/>
                <w:webHidden/>
              </w:rPr>
              <w:instrText xml:space="preserve"> PAGEREF _Toc499298874 \h </w:instrText>
            </w:r>
            <w:r>
              <w:rPr>
                <w:noProof/>
                <w:webHidden/>
              </w:rPr>
            </w:r>
            <w:r>
              <w:rPr>
                <w:noProof/>
                <w:webHidden/>
              </w:rPr>
              <w:fldChar w:fldCharType="separate"/>
            </w:r>
            <w:r w:rsidR="000E35E9">
              <w:rPr>
                <w:noProof/>
                <w:webHidden/>
              </w:rPr>
              <w:t>80</w:t>
            </w:r>
            <w:r>
              <w:rPr>
                <w:noProof/>
                <w:webHidden/>
              </w:rPr>
              <w:fldChar w:fldCharType="end"/>
            </w:r>
          </w:hyperlink>
        </w:p>
        <w:p w14:paraId="7CFF4067" w14:textId="77777777" w:rsidR="00274369" w:rsidRDefault="00274369">
          <w:pPr>
            <w:pStyle w:val="TOC3"/>
            <w:rPr>
              <w:noProof/>
              <w:lang w:eastAsia="en-AU"/>
            </w:rPr>
          </w:pPr>
          <w:hyperlink w:anchor="_Toc499298875" w:history="1">
            <w:r w:rsidRPr="00473871">
              <w:rPr>
                <w:rStyle w:val="Hyperlink"/>
                <w:noProof/>
              </w:rPr>
              <w:t>Annex 12: NGO Co-Facilitation</w:t>
            </w:r>
            <w:r>
              <w:rPr>
                <w:noProof/>
                <w:webHidden/>
              </w:rPr>
              <w:tab/>
            </w:r>
            <w:r>
              <w:rPr>
                <w:noProof/>
                <w:webHidden/>
              </w:rPr>
              <w:fldChar w:fldCharType="begin"/>
            </w:r>
            <w:r>
              <w:rPr>
                <w:noProof/>
                <w:webHidden/>
              </w:rPr>
              <w:instrText xml:space="preserve"> PAGEREF _Toc499298875 \h </w:instrText>
            </w:r>
            <w:r>
              <w:rPr>
                <w:noProof/>
                <w:webHidden/>
              </w:rPr>
            </w:r>
            <w:r>
              <w:rPr>
                <w:noProof/>
                <w:webHidden/>
              </w:rPr>
              <w:fldChar w:fldCharType="separate"/>
            </w:r>
            <w:r w:rsidR="000E35E9">
              <w:rPr>
                <w:noProof/>
                <w:webHidden/>
              </w:rPr>
              <w:t>83</w:t>
            </w:r>
            <w:r>
              <w:rPr>
                <w:noProof/>
                <w:webHidden/>
              </w:rPr>
              <w:fldChar w:fldCharType="end"/>
            </w:r>
          </w:hyperlink>
        </w:p>
        <w:p w14:paraId="03FE0CE6" w14:textId="2A42E0E8" w:rsidR="00F307A1" w:rsidRDefault="00F307A1">
          <w:r>
            <w:rPr>
              <w:b/>
              <w:bCs/>
              <w:noProof/>
            </w:rPr>
            <w:fldChar w:fldCharType="end"/>
          </w:r>
        </w:p>
      </w:sdtContent>
    </w:sdt>
    <w:p w14:paraId="1402151D" w14:textId="50534A77" w:rsidR="004659EA" w:rsidRPr="00C749BD" w:rsidRDefault="004659EA" w:rsidP="004659EA">
      <w:r w:rsidRPr="00C749BD">
        <w:t xml:space="preserve">The Department of Foreign Affairs and Trade (DFAT) design for </w:t>
      </w:r>
      <w:r w:rsidR="005D461A">
        <w:t>PRISMA-2</w:t>
      </w:r>
      <w:r>
        <w:t xml:space="preserve"> </w:t>
      </w:r>
      <w:r w:rsidR="007D0D7E">
        <w:t xml:space="preserve">was prepared </w:t>
      </w:r>
      <w:r w:rsidRPr="00C749BD">
        <w:t xml:space="preserve">between </w:t>
      </w:r>
      <w:r w:rsidR="000B4552">
        <w:t>February and August</w:t>
      </w:r>
      <w:r>
        <w:t xml:space="preserve"> 2017</w:t>
      </w:r>
      <w:r w:rsidRPr="00C749BD">
        <w:t>.  The design team included</w:t>
      </w:r>
      <w:r>
        <w:t xml:space="preserve"> representatives from DFAT and a team of independent contracted specialists.</w:t>
      </w:r>
    </w:p>
    <w:p w14:paraId="2EF0B75A" w14:textId="77777777" w:rsidR="004659EA" w:rsidRPr="00C749BD" w:rsidRDefault="004659EA" w:rsidP="004659EA">
      <w:r w:rsidRPr="00C749BD">
        <w:t>The views expressed in this document are those of the design team and do not necessarily reflect the views of the Australian Government or DFAT.</w:t>
      </w:r>
    </w:p>
    <w:p w14:paraId="63B6CBEA" w14:textId="68F0A62F" w:rsidR="004659EA" w:rsidRPr="00C749BD" w:rsidRDefault="004659EA" w:rsidP="004659EA">
      <w:r w:rsidRPr="00C749BD">
        <w:t>This document remains the property of DFAT.  It is not permissible to copy or use any of the material in this document without the expressed permission of DFAT.  Further information is available from</w:t>
      </w:r>
      <w:r w:rsidR="000D3792">
        <w:t xml:space="preserve"> naomi.cook@dfat.gov.au</w:t>
      </w:r>
      <w:r w:rsidR="00153765">
        <w:t>.</w:t>
      </w:r>
    </w:p>
    <w:p w14:paraId="27E89EA3" w14:textId="3C9A173F" w:rsidR="00153765" w:rsidRDefault="00243660" w:rsidP="004659EA">
      <w:hyperlink r:id="rId12" w:history="1">
        <w:r w:rsidR="00153765" w:rsidRPr="00F057B7">
          <w:rPr>
            <w:rStyle w:val="Hyperlink"/>
            <w:rFonts w:cstheme="minorBidi"/>
          </w:rPr>
          <w:t>www.dfat.gov.au</w:t>
        </w:r>
      </w:hyperlink>
    </w:p>
    <w:p w14:paraId="4CA730A4" w14:textId="29792762" w:rsidR="004659EA" w:rsidRPr="00C749BD" w:rsidRDefault="004659EA" w:rsidP="004659EA">
      <w:r w:rsidRPr="00C749BD">
        <w:t>©</w:t>
      </w:r>
      <w:r>
        <w:t xml:space="preserve"> DFAT 2017</w:t>
      </w:r>
    </w:p>
    <w:p w14:paraId="3C6F24FE" w14:textId="0F740DAE" w:rsidR="004659EA" w:rsidRDefault="004659EA" w:rsidP="00794C57">
      <w:pPr>
        <w:pStyle w:val="BodyText"/>
        <w:rPr>
          <w:rFonts w:asciiTheme="majorHAnsi" w:hAnsiTheme="majorHAnsi"/>
        </w:rPr>
      </w:pPr>
    </w:p>
    <w:p w14:paraId="723D805C" w14:textId="47DAF26C" w:rsidR="004D7E21" w:rsidRDefault="004D7E21" w:rsidP="00794C57">
      <w:pPr>
        <w:pStyle w:val="BodyText"/>
        <w:rPr>
          <w:rFonts w:asciiTheme="majorHAnsi" w:hAnsiTheme="majorHAnsi"/>
        </w:rPr>
      </w:pPr>
    </w:p>
    <w:p w14:paraId="3592E1D7" w14:textId="66D45149" w:rsidR="004D7E21" w:rsidRDefault="004D7E21" w:rsidP="00794C57">
      <w:pPr>
        <w:pStyle w:val="BodyText"/>
        <w:rPr>
          <w:rFonts w:asciiTheme="majorHAnsi" w:hAnsiTheme="majorHAnsi"/>
        </w:rPr>
      </w:pPr>
    </w:p>
    <w:p w14:paraId="7A3F4A63" w14:textId="7E10B710" w:rsidR="000B4552" w:rsidRDefault="000B4552" w:rsidP="00794C57">
      <w:pPr>
        <w:pStyle w:val="BodyText"/>
        <w:rPr>
          <w:rFonts w:asciiTheme="majorHAnsi" w:hAnsiTheme="majorHAnsi"/>
        </w:rPr>
      </w:pPr>
    </w:p>
    <w:p w14:paraId="624BCFA1" w14:textId="03482A0A" w:rsidR="000B4552" w:rsidRDefault="000B4552" w:rsidP="00794C57">
      <w:pPr>
        <w:pStyle w:val="BodyText"/>
        <w:rPr>
          <w:rFonts w:asciiTheme="majorHAnsi" w:hAnsiTheme="majorHAnsi"/>
        </w:rPr>
      </w:pPr>
    </w:p>
    <w:p w14:paraId="02817EB4" w14:textId="018870B8" w:rsidR="000B4552" w:rsidRDefault="000B4552" w:rsidP="00794C57">
      <w:pPr>
        <w:pStyle w:val="BodyText"/>
        <w:rPr>
          <w:rFonts w:asciiTheme="majorHAnsi" w:hAnsiTheme="majorHAnsi"/>
        </w:rPr>
      </w:pPr>
    </w:p>
    <w:p w14:paraId="6A58F08C" w14:textId="51A93AEE" w:rsidR="000B4552" w:rsidRDefault="000B4552" w:rsidP="00794C57">
      <w:pPr>
        <w:pStyle w:val="BodyText"/>
        <w:rPr>
          <w:rFonts w:asciiTheme="majorHAnsi" w:hAnsiTheme="majorHAnsi"/>
        </w:rPr>
      </w:pPr>
    </w:p>
    <w:p w14:paraId="64469A7C" w14:textId="57A43E56" w:rsidR="000B4552" w:rsidRDefault="000B4552" w:rsidP="00794C57">
      <w:pPr>
        <w:pStyle w:val="BodyText"/>
        <w:rPr>
          <w:rFonts w:asciiTheme="majorHAnsi" w:hAnsiTheme="majorHAnsi"/>
        </w:rPr>
      </w:pPr>
    </w:p>
    <w:p w14:paraId="52F85DC1" w14:textId="15154C28" w:rsidR="000B4552" w:rsidRDefault="000B4552" w:rsidP="00794C57">
      <w:pPr>
        <w:pStyle w:val="BodyText"/>
        <w:rPr>
          <w:rFonts w:asciiTheme="majorHAnsi" w:hAnsiTheme="majorHAnsi"/>
        </w:rPr>
      </w:pPr>
    </w:p>
    <w:p w14:paraId="6D175114" w14:textId="4C9ECBDB" w:rsidR="000B4552" w:rsidRDefault="000B4552" w:rsidP="00794C57">
      <w:pPr>
        <w:pStyle w:val="BodyText"/>
        <w:rPr>
          <w:rFonts w:asciiTheme="majorHAnsi" w:hAnsiTheme="majorHAnsi"/>
        </w:rPr>
      </w:pPr>
    </w:p>
    <w:p w14:paraId="02FF5F9D" w14:textId="77777777" w:rsidR="000B4552" w:rsidRDefault="000B4552" w:rsidP="00794C57">
      <w:pPr>
        <w:pStyle w:val="BodyText"/>
        <w:rPr>
          <w:rFonts w:asciiTheme="majorHAnsi" w:hAnsiTheme="majorHAnsi"/>
        </w:rPr>
      </w:pPr>
    </w:p>
    <w:p w14:paraId="58AB0A38" w14:textId="5ADA9134" w:rsidR="00963BE4" w:rsidRPr="004659EA" w:rsidRDefault="004659EA" w:rsidP="00794C57">
      <w:pPr>
        <w:pStyle w:val="BodyText"/>
        <w:rPr>
          <w:rFonts w:asciiTheme="majorHAnsi" w:hAnsiTheme="majorHAnsi"/>
          <w:b/>
          <w:sz w:val="28"/>
          <w:szCs w:val="28"/>
        </w:rPr>
      </w:pPr>
      <w:r w:rsidRPr="004659EA">
        <w:rPr>
          <w:rFonts w:asciiTheme="majorHAnsi" w:hAnsiTheme="majorHAnsi"/>
          <w:b/>
          <w:sz w:val="28"/>
          <w:szCs w:val="28"/>
        </w:rPr>
        <w:lastRenderedPageBreak/>
        <w:t>Acronyms</w:t>
      </w:r>
    </w:p>
    <w:tbl>
      <w:tblPr>
        <w:tblStyle w:val="GridTable3-Accent51"/>
        <w:tblW w:w="9214" w:type="dxa"/>
        <w:tblInd w:w="-34" w:type="dxa"/>
        <w:tblLook w:val="04A0" w:firstRow="1" w:lastRow="0" w:firstColumn="1" w:lastColumn="0" w:noHBand="0" w:noVBand="1"/>
      </w:tblPr>
      <w:tblGrid>
        <w:gridCol w:w="1571"/>
        <w:gridCol w:w="7643"/>
      </w:tblGrid>
      <w:tr w:rsidR="004659EA" w:rsidRPr="00C749BD" w14:paraId="2FF277CE" w14:textId="77777777" w:rsidTr="002928B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71" w:type="dxa"/>
            <w:tcBorders>
              <w:bottom w:val="single" w:sz="4" w:space="0" w:color="auto"/>
            </w:tcBorders>
          </w:tcPr>
          <w:p w14:paraId="42389A34" w14:textId="77777777" w:rsidR="004659EA" w:rsidRPr="00C749BD" w:rsidRDefault="004659EA" w:rsidP="007B1AA6">
            <w:r w:rsidRPr="00C749BD">
              <w:t>Acronym</w:t>
            </w:r>
          </w:p>
        </w:tc>
        <w:tc>
          <w:tcPr>
            <w:tcW w:w="7643" w:type="dxa"/>
            <w:tcBorders>
              <w:bottom w:val="single" w:sz="4" w:space="0" w:color="auto"/>
            </w:tcBorders>
          </w:tcPr>
          <w:p w14:paraId="10809576" w14:textId="77777777" w:rsidR="004659EA" w:rsidRPr="00C749BD" w:rsidRDefault="004659EA" w:rsidP="007B1AA6">
            <w:pPr>
              <w:cnfStyle w:val="100000000000" w:firstRow="1" w:lastRow="0" w:firstColumn="0" w:lastColumn="0" w:oddVBand="0" w:evenVBand="0" w:oddHBand="0" w:evenHBand="0" w:firstRowFirstColumn="0" w:firstRowLastColumn="0" w:lastRowFirstColumn="0" w:lastRowLastColumn="0"/>
            </w:pPr>
            <w:r w:rsidRPr="00C749BD">
              <w:t>Meaning</w:t>
            </w:r>
          </w:p>
        </w:tc>
      </w:tr>
      <w:tr w:rsidR="004659EA" w:rsidRPr="00C749BD" w14:paraId="22264D18"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03EAEC90" w14:textId="37CA8E71" w:rsidR="004659EA" w:rsidRPr="00C749BD" w:rsidRDefault="004659EA" w:rsidP="007B1AA6">
            <w:r>
              <w:t>ADB</w:t>
            </w:r>
          </w:p>
        </w:tc>
        <w:tc>
          <w:tcPr>
            <w:tcW w:w="7643" w:type="dxa"/>
            <w:tcBorders>
              <w:top w:val="single" w:sz="4" w:space="0" w:color="auto"/>
              <w:left w:val="single" w:sz="4" w:space="0" w:color="auto"/>
              <w:bottom w:val="single" w:sz="4" w:space="0" w:color="auto"/>
              <w:right w:val="single" w:sz="4" w:space="0" w:color="auto"/>
            </w:tcBorders>
          </w:tcPr>
          <w:p w14:paraId="6681F1CE" w14:textId="02AE6FA8" w:rsidR="004659EA" w:rsidRPr="00C749BD" w:rsidRDefault="004659EA" w:rsidP="007B1AA6">
            <w:pPr>
              <w:cnfStyle w:val="000000100000" w:firstRow="0" w:lastRow="0" w:firstColumn="0" w:lastColumn="0" w:oddVBand="0" w:evenVBand="0" w:oddHBand="1" w:evenHBand="0" w:firstRowFirstColumn="0" w:firstRowLastColumn="0" w:lastRowFirstColumn="0" w:lastRowLastColumn="0"/>
            </w:pPr>
            <w:r>
              <w:t>Asian Development Bank</w:t>
            </w:r>
          </w:p>
        </w:tc>
      </w:tr>
      <w:tr w:rsidR="00433B66" w:rsidRPr="00C749BD" w14:paraId="1E12321A"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75CCDB32" w14:textId="09DAC8F7" w:rsidR="00433B66" w:rsidRDefault="00433B66" w:rsidP="007B1AA6">
            <w:r>
              <w:t>AIPEG</w:t>
            </w:r>
          </w:p>
        </w:tc>
        <w:tc>
          <w:tcPr>
            <w:tcW w:w="7643" w:type="dxa"/>
            <w:tcBorders>
              <w:top w:val="single" w:sz="4" w:space="0" w:color="auto"/>
              <w:left w:val="single" w:sz="4" w:space="0" w:color="auto"/>
              <w:bottom w:val="single" w:sz="4" w:space="0" w:color="auto"/>
              <w:right w:val="single" w:sz="4" w:space="0" w:color="auto"/>
            </w:tcBorders>
          </w:tcPr>
          <w:p w14:paraId="4F0215FC" w14:textId="63C5A0C6" w:rsidR="00433B66" w:rsidRDefault="00433B66" w:rsidP="007B1AA6">
            <w:pPr>
              <w:cnfStyle w:val="000000000000" w:firstRow="0" w:lastRow="0" w:firstColumn="0" w:lastColumn="0" w:oddVBand="0" w:evenVBand="0" w:oddHBand="0" w:evenHBand="0" w:firstRowFirstColumn="0" w:firstRowLastColumn="0" w:lastRowFirstColumn="0" w:lastRowLastColumn="0"/>
            </w:pPr>
            <w:r>
              <w:t>Australia Indonesia Partnership for Economic Governance</w:t>
            </w:r>
          </w:p>
        </w:tc>
      </w:tr>
      <w:tr w:rsidR="006213D1" w:rsidRPr="00C749BD" w14:paraId="683ECD2D"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337A52D0" w14:textId="1C9C61A6" w:rsidR="006213D1" w:rsidRDefault="006213D1" w:rsidP="007B1AA6">
            <w:r>
              <w:t>AIP-Rural</w:t>
            </w:r>
          </w:p>
        </w:tc>
        <w:tc>
          <w:tcPr>
            <w:tcW w:w="7643" w:type="dxa"/>
            <w:tcBorders>
              <w:top w:val="single" w:sz="4" w:space="0" w:color="auto"/>
              <w:left w:val="single" w:sz="4" w:space="0" w:color="auto"/>
              <w:bottom w:val="single" w:sz="4" w:space="0" w:color="auto"/>
              <w:right w:val="single" w:sz="4" w:space="0" w:color="auto"/>
            </w:tcBorders>
          </w:tcPr>
          <w:p w14:paraId="76C7C0DD" w14:textId="04709B02" w:rsidR="006213D1" w:rsidRDefault="006213D1" w:rsidP="007B1AA6">
            <w:pPr>
              <w:cnfStyle w:val="000000100000" w:firstRow="0" w:lastRow="0" w:firstColumn="0" w:lastColumn="0" w:oddVBand="0" w:evenVBand="0" w:oddHBand="1" w:evenHBand="0" w:firstRowFirstColumn="0" w:firstRowLastColumn="0" w:lastRowFirstColumn="0" w:lastRowLastColumn="0"/>
            </w:pPr>
            <w:r>
              <w:t>Australia-Indonesia Partnership for Rural Development</w:t>
            </w:r>
          </w:p>
        </w:tc>
      </w:tr>
      <w:tr w:rsidR="002928BB" w:rsidRPr="00C749BD" w14:paraId="686FA9F4"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737D3C33" w14:textId="5D03ED4A" w:rsidR="002928BB" w:rsidRDefault="002928BB" w:rsidP="007B1AA6">
            <w:r>
              <w:t>ARISA</w:t>
            </w:r>
          </w:p>
        </w:tc>
        <w:tc>
          <w:tcPr>
            <w:tcW w:w="7643" w:type="dxa"/>
            <w:tcBorders>
              <w:top w:val="single" w:sz="4" w:space="0" w:color="auto"/>
              <w:left w:val="single" w:sz="4" w:space="0" w:color="auto"/>
              <w:bottom w:val="single" w:sz="4" w:space="0" w:color="auto"/>
              <w:right w:val="single" w:sz="4" w:space="0" w:color="auto"/>
            </w:tcBorders>
          </w:tcPr>
          <w:p w14:paraId="267B6F75" w14:textId="60AB6FBE" w:rsidR="002928BB" w:rsidRDefault="000D53D1" w:rsidP="000D53D1">
            <w:pPr>
              <w:cnfStyle w:val="000000000000" w:firstRow="0" w:lastRow="0" w:firstColumn="0" w:lastColumn="0" w:oddVBand="0" w:evenVBand="0" w:oddHBand="0" w:evenHBand="0" w:firstRowFirstColumn="0" w:firstRowLastColumn="0" w:lastRowFirstColumn="0" w:lastRowLastColumn="0"/>
            </w:pPr>
            <w:r>
              <w:t xml:space="preserve">DFAT’s </w:t>
            </w:r>
            <w:r w:rsidR="002928BB">
              <w:t>Applied Research and Innovation Systems in Agriculture</w:t>
            </w:r>
            <w:r>
              <w:t xml:space="preserve"> program, implemented by CSIRO under AIP-Rural</w:t>
            </w:r>
            <w:r w:rsidR="009730E0">
              <w:t xml:space="preserve"> (2014-2018)</w:t>
            </w:r>
          </w:p>
        </w:tc>
      </w:tr>
      <w:tr w:rsidR="00274659" w:rsidRPr="00C749BD" w14:paraId="6E55BA8D"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421DEA43" w14:textId="767903A3" w:rsidR="00274659" w:rsidRDefault="00274659" w:rsidP="007B1AA6">
            <w:r>
              <w:t>ASEAN</w:t>
            </w:r>
          </w:p>
        </w:tc>
        <w:tc>
          <w:tcPr>
            <w:tcW w:w="7643" w:type="dxa"/>
            <w:tcBorders>
              <w:top w:val="single" w:sz="4" w:space="0" w:color="auto"/>
              <w:left w:val="single" w:sz="4" w:space="0" w:color="auto"/>
              <w:bottom w:val="single" w:sz="4" w:space="0" w:color="auto"/>
              <w:right w:val="single" w:sz="4" w:space="0" w:color="auto"/>
            </w:tcBorders>
          </w:tcPr>
          <w:p w14:paraId="10B0EBE0" w14:textId="75A67134" w:rsidR="00274659" w:rsidRDefault="00E65B49" w:rsidP="007B1AA6">
            <w:pPr>
              <w:cnfStyle w:val="000000100000" w:firstRow="0" w:lastRow="0" w:firstColumn="0" w:lastColumn="0" w:oddVBand="0" w:evenVBand="0" w:oddHBand="1" w:evenHBand="0" w:firstRowFirstColumn="0" w:firstRowLastColumn="0" w:lastRowFirstColumn="0" w:lastRowLastColumn="0"/>
            </w:pPr>
            <w:r>
              <w:t>Association of South East Asian Nations</w:t>
            </w:r>
          </w:p>
        </w:tc>
      </w:tr>
      <w:tr w:rsidR="006213D1" w:rsidRPr="00C749BD" w14:paraId="78442E3D"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18206E8E" w14:textId="7CD36AE2" w:rsidR="006213D1" w:rsidRDefault="006213D1" w:rsidP="007B1AA6">
            <w:r>
              <w:t>BAPPENAS</w:t>
            </w:r>
          </w:p>
        </w:tc>
        <w:tc>
          <w:tcPr>
            <w:tcW w:w="7643" w:type="dxa"/>
            <w:tcBorders>
              <w:top w:val="single" w:sz="4" w:space="0" w:color="auto"/>
              <w:left w:val="single" w:sz="4" w:space="0" w:color="auto"/>
              <w:bottom w:val="single" w:sz="4" w:space="0" w:color="auto"/>
              <w:right w:val="single" w:sz="4" w:space="0" w:color="auto"/>
            </w:tcBorders>
          </w:tcPr>
          <w:p w14:paraId="2F3DFDF3" w14:textId="0ECB5BEF" w:rsidR="006213D1" w:rsidRDefault="00E65B49" w:rsidP="007B1AA6">
            <w:pPr>
              <w:cnfStyle w:val="000000000000" w:firstRow="0" w:lastRow="0" w:firstColumn="0" w:lastColumn="0" w:oddVBand="0" w:evenVBand="0" w:oddHBand="0" w:evenHBand="0" w:firstRowFirstColumn="0" w:firstRowLastColumn="0" w:lastRowFirstColumn="0" w:lastRowLastColumn="0"/>
            </w:pPr>
            <w:r>
              <w:t>Ministry of National Development Planning</w:t>
            </w:r>
          </w:p>
        </w:tc>
      </w:tr>
      <w:tr w:rsidR="00274659" w:rsidRPr="00C749BD" w14:paraId="5E9F671F"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13698D8E" w14:textId="64A6A25E" w:rsidR="00274659" w:rsidRDefault="00274659" w:rsidP="007B1AA6">
            <w:r>
              <w:t>BKPM</w:t>
            </w:r>
          </w:p>
        </w:tc>
        <w:tc>
          <w:tcPr>
            <w:tcW w:w="7643" w:type="dxa"/>
            <w:tcBorders>
              <w:top w:val="single" w:sz="4" w:space="0" w:color="auto"/>
              <w:left w:val="single" w:sz="4" w:space="0" w:color="auto"/>
              <w:bottom w:val="single" w:sz="4" w:space="0" w:color="auto"/>
              <w:right w:val="single" w:sz="4" w:space="0" w:color="auto"/>
            </w:tcBorders>
          </w:tcPr>
          <w:p w14:paraId="53682D51" w14:textId="021DF5AA" w:rsidR="00274659" w:rsidRDefault="00E65B49" w:rsidP="007B1AA6">
            <w:pPr>
              <w:cnfStyle w:val="000000100000" w:firstRow="0" w:lastRow="0" w:firstColumn="0" w:lastColumn="0" w:oddVBand="0" w:evenVBand="0" w:oddHBand="1" w:evenHBand="0" w:firstRowFirstColumn="0" w:firstRowLastColumn="0" w:lastRowFirstColumn="0" w:lastRowLastColumn="0"/>
            </w:pPr>
            <w:r>
              <w:t>Investment Coordination Board</w:t>
            </w:r>
          </w:p>
        </w:tc>
      </w:tr>
      <w:tr w:rsidR="00274659" w:rsidRPr="00C749BD" w14:paraId="2722AFDE"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617D8631" w14:textId="0C86FEE8" w:rsidR="00274659" w:rsidRDefault="00274659" w:rsidP="007B1AA6">
            <w:r>
              <w:t>CAVAC</w:t>
            </w:r>
          </w:p>
        </w:tc>
        <w:tc>
          <w:tcPr>
            <w:tcW w:w="7643" w:type="dxa"/>
            <w:tcBorders>
              <w:top w:val="single" w:sz="4" w:space="0" w:color="auto"/>
              <w:left w:val="single" w:sz="4" w:space="0" w:color="auto"/>
              <w:bottom w:val="single" w:sz="4" w:space="0" w:color="auto"/>
              <w:right w:val="single" w:sz="4" w:space="0" w:color="auto"/>
            </w:tcBorders>
          </w:tcPr>
          <w:p w14:paraId="2792004F" w14:textId="6F416022" w:rsidR="00274659" w:rsidRDefault="00E65B49" w:rsidP="007B1AA6">
            <w:pPr>
              <w:cnfStyle w:val="000000000000" w:firstRow="0" w:lastRow="0" w:firstColumn="0" w:lastColumn="0" w:oddVBand="0" w:evenVBand="0" w:oddHBand="0" w:evenHBand="0" w:firstRowFirstColumn="0" w:firstRowLastColumn="0" w:lastRowFirstColumn="0" w:lastRowLastColumn="0"/>
            </w:pPr>
            <w:r>
              <w:t>Cambodia Agricultural Value Chain Program</w:t>
            </w:r>
          </w:p>
        </w:tc>
      </w:tr>
      <w:tr w:rsidR="006213D1" w:rsidRPr="00C749BD" w14:paraId="4CAAB0A4"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4C41053C" w14:textId="485468AB" w:rsidR="006213D1" w:rsidRDefault="006213D1" w:rsidP="007B1AA6">
            <w:r>
              <w:t>CMEA</w:t>
            </w:r>
          </w:p>
        </w:tc>
        <w:tc>
          <w:tcPr>
            <w:tcW w:w="7643" w:type="dxa"/>
            <w:tcBorders>
              <w:top w:val="single" w:sz="4" w:space="0" w:color="auto"/>
              <w:left w:val="single" w:sz="4" w:space="0" w:color="auto"/>
              <w:bottom w:val="single" w:sz="4" w:space="0" w:color="auto"/>
              <w:right w:val="single" w:sz="4" w:space="0" w:color="auto"/>
            </w:tcBorders>
          </w:tcPr>
          <w:p w14:paraId="7572B585" w14:textId="1976F019" w:rsidR="006213D1" w:rsidRDefault="00E65B49" w:rsidP="007B1AA6">
            <w:pPr>
              <w:cnfStyle w:val="000000100000" w:firstRow="0" w:lastRow="0" w:firstColumn="0" w:lastColumn="0" w:oddVBand="0" w:evenVBand="0" w:oddHBand="1" w:evenHBand="0" w:firstRowFirstColumn="0" w:firstRowLastColumn="0" w:lastRowFirstColumn="0" w:lastRowLastColumn="0"/>
            </w:pPr>
            <w:r>
              <w:t>Coordinating Ministry for Economic Affairs</w:t>
            </w:r>
          </w:p>
        </w:tc>
      </w:tr>
      <w:tr w:rsidR="006213D1" w:rsidRPr="00C749BD" w14:paraId="3812934B"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228B324C" w14:textId="5CD63734" w:rsidR="006213D1" w:rsidRDefault="006213D1" w:rsidP="007B1AA6">
            <w:r>
              <w:t>CSR</w:t>
            </w:r>
          </w:p>
        </w:tc>
        <w:tc>
          <w:tcPr>
            <w:tcW w:w="7643" w:type="dxa"/>
            <w:tcBorders>
              <w:top w:val="single" w:sz="4" w:space="0" w:color="auto"/>
              <w:left w:val="single" w:sz="4" w:space="0" w:color="auto"/>
              <w:bottom w:val="single" w:sz="4" w:space="0" w:color="auto"/>
              <w:right w:val="single" w:sz="4" w:space="0" w:color="auto"/>
            </w:tcBorders>
          </w:tcPr>
          <w:p w14:paraId="5115455B" w14:textId="7AA6995D" w:rsidR="006213D1" w:rsidRDefault="00E65B49" w:rsidP="007B1AA6">
            <w:pPr>
              <w:cnfStyle w:val="000000000000" w:firstRow="0" w:lastRow="0" w:firstColumn="0" w:lastColumn="0" w:oddVBand="0" w:evenVBand="0" w:oddHBand="0" w:evenHBand="0" w:firstRowFirstColumn="0" w:firstRowLastColumn="0" w:lastRowFirstColumn="0" w:lastRowLastColumn="0"/>
            </w:pPr>
            <w:r>
              <w:t>Corporate Social Responsibility</w:t>
            </w:r>
          </w:p>
        </w:tc>
      </w:tr>
      <w:tr w:rsidR="00433B66" w:rsidRPr="00C749BD" w14:paraId="215ED1AA"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2C7415CA" w14:textId="3A6600AC" w:rsidR="00433B66" w:rsidRDefault="00433B66" w:rsidP="007B1AA6">
            <w:r>
              <w:t>DCED</w:t>
            </w:r>
          </w:p>
        </w:tc>
        <w:tc>
          <w:tcPr>
            <w:tcW w:w="7643" w:type="dxa"/>
            <w:tcBorders>
              <w:top w:val="single" w:sz="4" w:space="0" w:color="auto"/>
              <w:left w:val="single" w:sz="4" w:space="0" w:color="auto"/>
              <w:bottom w:val="single" w:sz="4" w:space="0" w:color="auto"/>
              <w:right w:val="single" w:sz="4" w:space="0" w:color="auto"/>
            </w:tcBorders>
          </w:tcPr>
          <w:p w14:paraId="7C74A159" w14:textId="63EB2431" w:rsidR="00433B66" w:rsidRDefault="00E65B49" w:rsidP="007B1AA6">
            <w:pPr>
              <w:cnfStyle w:val="000000100000" w:firstRow="0" w:lastRow="0" w:firstColumn="0" w:lastColumn="0" w:oddVBand="0" w:evenVBand="0" w:oddHBand="1" w:evenHBand="0" w:firstRowFirstColumn="0" w:firstRowLastColumn="0" w:lastRowFirstColumn="0" w:lastRowLastColumn="0"/>
            </w:pPr>
            <w:r>
              <w:t>Donor Committee for Enterprise Development</w:t>
            </w:r>
          </w:p>
        </w:tc>
      </w:tr>
      <w:tr w:rsidR="004659EA" w:rsidRPr="00C749BD" w14:paraId="3775C40E"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326862B8" w14:textId="12F4443B" w:rsidR="004659EA" w:rsidRPr="00C749BD" w:rsidRDefault="004659EA" w:rsidP="007B1AA6">
            <w:r>
              <w:t>DFAT</w:t>
            </w:r>
          </w:p>
        </w:tc>
        <w:tc>
          <w:tcPr>
            <w:tcW w:w="7643" w:type="dxa"/>
            <w:tcBorders>
              <w:top w:val="single" w:sz="4" w:space="0" w:color="auto"/>
              <w:left w:val="single" w:sz="4" w:space="0" w:color="auto"/>
              <w:bottom w:val="single" w:sz="4" w:space="0" w:color="auto"/>
              <w:right w:val="single" w:sz="4" w:space="0" w:color="auto"/>
            </w:tcBorders>
          </w:tcPr>
          <w:p w14:paraId="699FEDE1" w14:textId="3E28BE39" w:rsidR="004659EA" w:rsidRPr="00C749BD" w:rsidRDefault="00274659" w:rsidP="007B1AA6">
            <w:pPr>
              <w:cnfStyle w:val="000000000000" w:firstRow="0" w:lastRow="0" w:firstColumn="0" w:lastColumn="0" w:oddVBand="0" w:evenVBand="0" w:oddHBand="0" w:evenHBand="0" w:firstRowFirstColumn="0" w:firstRowLastColumn="0" w:lastRowFirstColumn="0" w:lastRowLastColumn="0"/>
            </w:pPr>
            <w:r>
              <w:t>Department of Foreign Affairs and Trade</w:t>
            </w:r>
          </w:p>
        </w:tc>
      </w:tr>
      <w:tr w:rsidR="00433B66" w:rsidRPr="00C749BD" w14:paraId="16D79917"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69D7AFD7" w14:textId="01009E6C" w:rsidR="00433B66" w:rsidRDefault="00433B66" w:rsidP="007B1AA6">
            <w:r>
              <w:t>GAP</w:t>
            </w:r>
          </w:p>
        </w:tc>
        <w:tc>
          <w:tcPr>
            <w:tcW w:w="7643" w:type="dxa"/>
            <w:tcBorders>
              <w:top w:val="single" w:sz="4" w:space="0" w:color="auto"/>
              <w:left w:val="single" w:sz="4" w:space="0" w:color="auto"/>
              <w:bottom w:val="single" w:sz="4" w:space="0" w:color="auto"/>
              <w:right w:val="single" w:sz="4" w:space="0" w:color="auto"/>
            </w:tcBorders>
          </w:tcPr>
          <w:p w14:paraId="1281C10C" w14:textId="5EEC48DA" w:rsidR="00433B66" w:rsidRDefault="00433B66" w:rsidP="007B1AA6">
            <w:pPr>
              <w:cnfStyle w:val="000000100000" w:firstRow="0" w:lastRow="0" w:firstColumn="0" w:lastColumn="0" w:oddVBand="0" w:evenVBand="0" w:oddHBand="1" w:evenHBand="0" w:firstRowFirstColumn="0" w:firstRowLastColumn="0" w:lastRowFirstColumn="0" w:lastRowLastColumn="0"/>
            </w:pPr>
            <w:r>
              <w:t>Good Agricultural Practice</w:t>
            </w:r>
          </w:p>
        </w:tc>
      </w:tr>
      <w:tr w:rsidR="004659EA" w:rsidRPr="00C749BD" w14:paraId="4213B56E"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3BEF1578" w14:textId="03640342" w:rsidR="004659EA" w:rsidRPr="00C749BD" w:rsidRDefault="00274659" w:rsidP="007B1AA6">
            <w:r>
              <w:t>GDP</w:t>
            </w:r>
          </w:p>
        </w:tc>
        <w:tc>
          <w:tcPr>
            <w:tcW w:w="7643" w:type="dxa"/>
            <w:tcBorders>
              <w:top w:val="single" w:sz="4" w:space="0" w:color="auto"/>
              <w:left w:val="single" w:sz="4" w:space="0" w:color="auto"/>
              <w:bottom w:val="single" w:sz="4" w:space="0" w:color="auto"/>
              <w:right w:val="single" w:sz="4" w:space="0" w:color="auto"/>
            </w:tcBorders>
          </w:tcPr>
          <w:p w14:paraId="5E1761E7" w14:textId="649F022E" w:rsidR="004659EA" w:rsidRPr="00C749BD" w:rsidRDefault="00274659" w:rsidP="007B1AA6">
            <w:pPr>
              <w:cnfStyle w:val="000000000000" w:firstRow="0" w:lastRow="0" w:firstColumn="0" w:lastColumn="0" w:oddVBand="0" w:evenVBand="0" w:oddHBand="0" w:evenHBand="0" w:firstRowFirstColumn="0" w:firstRowLastColumn="0" w:lastRowFirstColumn="0" w:lastRowLastColumn="0"/>
            </w:pPr>
            <w:r>
              <w:t>Gross Domestic Product</w:t>
            </w:r>
          </w:p>
        </w:tc>
      </w:tr>
      <w:tr w:rsidR="006213D1" w:rsidRPr="00C749BD" w14:paraId="7F5FD3BC"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67530B00" w14:textId="45CC1046" w:rsidR="006213D1" w:rsidRDefault="006213D1" w:rsidP="007B1AA6">
            <w:proofErr w:type="spellStart"/>
            <w:r>
              <w:t>GoI</w:t>
            </w:r>
            <w:proofErr w:type="spellEnd"/>
          </w:p>
        </w:tc>
        <w:tc>
          <w:tcPr>
            <w:tcW w:w="7643" w:type="dxa"/>
            <w:tcBorders>
              <w:top w:val="single" w:sz="4" w:space="0" w:color="auto"/>
              <w:left w:val="single" w:sz="4" w:space="0" w:color="auto"/>
              <w:bottom w:val="single" w:sz="4" w:space="0" w:color="auto"/>
              <w:right w:val="single" w:sz="4" w:space="0" w:color="auto"/>
            </w:tcBorders>
          </w:tcPr>
          <w:p w14:paraId="77D9F383" w14:textId="0B1FCD9A" w:rsidR="006213D1" w:rsidRDefault="006213D1" w:rsidP="007B1AA6">
            <w:pPr>
              <w:cnfStyle w:val="000000100000" w:firstRow="0" w:lastRow="0" w:firstColumn="0" w:lastColumn="0" w:oddVBand="0" w:evenVBand="0" w:oddHBand="1" w:evenHBand="0" w:firstRowFirstColumn="0" w:firstRowLastColumn="0" w:lastRowFirstColumn="0" w:lastRowLastColumn="0"/>
            </w:pPr>
            <w:r>
              <w:t>Government of Indonesia</w:t>
            </w:r>
          </w:p>
        </w:tc>
      </w:tr>
      <w:tr w:rsidR="00BB0F80" w:rsidRPr="00C749BD" w14:paraId="38790D0D"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25603C21" w14:textId="56828F5C" w:rsidR="00BB0F80" w:rsidRDefault="00BB0F80" w:rsidP="007B1AA6">
            <w:r>
              <w:t>ISP</w:t>
            </w:r>
          </w:p>
        </w:tc>
        <w:tc>
          <w:tcPr>
            <w:tcW w:w="7643" w:type="dxa"/>
            <w:tcBorders>
              <w:top w:val="single" w:sz="4" w:space="0" w:color="auto"/>
              <w:left w:val="single" w:sz="4" w:space="0" w:color="auto"/>
              <w:bottom w:val="single" w:sz="4" w:space="0" w:color="auto"/>
              <w:right w:val="single" w:sz="4" w:space="0" w:color="auto"/>
            </w:tcBorders>
          </w:tcPr>
          <w:p w14:paraId="77EF756F" w14:textId="51203D89" w:rsidR="00BB0F80" w:rsidRDefault="00BB0F80" w:rsidP="008F356E">
            <w:pPr>
              <w:cnfStyle w:val="000000000000" w:firstRow="0" w:lastRow="0" w:firstColumn="0" w:lastColumn="0" w:oddVBand="0" w:evenVBand="0" w:oddHBand="0" w:evenHBand="0" w:firstRowFirstColumn="0" w:firstRowLastColumn="0" w:lastRowFirstColumn="0" w:lastRowLastColumn="0"/>
            </w:pPr>
            <w:r>
              <w:t>Intermediate Service Provider</w:t>
            </w:r>
            <w:r w:rsidR="00E04435">
              <w:t xml:space="preserve"> (e.g. a local retailer selling seeds or fertiliser to farmers or a local provider of transport or advisory services)</w:t>
            </w:r>
          </w:p>
        </w:tc>
      </w:tr>
      <w:tr w:rsidR="006213D1" w:rsidRPr="00C749BD" w14:paraId="7BA06182"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21321984" w14:textId="43052429" w:rsidR="006213D1" w:rsidRDefault="006213D1" w:rsidP="007B1AA6">
            <w:r>
              <w:t>J-PAL</w:t>
            </w:r>
          </w:p>
        </w:tc>
        <w:tc>
          <w:tcPr>
            <w:tcW w:w="7643" w:type="dxa"/>
            <w:tcBorders>
              <w:top w:val="single" w:sz="4" w:space="0" w:color="auto"/>
              <w:left w:val="single" w:sz="4" w:space="0" w:color="auto"/>
              <w:bottom w:val="single" w:sz="4" w:space="0" w:color="auto"/>
              <w:right w:val="single" w:sz="4" w:space="0" w:color="auto"/>
            </w:tcBorders>
          </w:tcPr>
          <w:p w14:paraId="1A098E2F" w14:textId="7DD6BE0F" w:rsidR="006213D1" w:rsidRDefault="00E65B49" w:rsidP="007B1AA6">
            <w:pPr>
              <w:cnfStyle w:val="000000100000" w:firstRow="0" w:lastRow="0" w:firstColumn="0" w:lastColumn="0" w:oddVBand="0" w:evenVBand="0" w:oddHBand="1" w:evenHBand="0" w:firstRowFirstColumn="0" w:firstRowLastColumn="0" w:lastRowFirstColumn="0" w:lastRowLastColumn="0"/>
            </w:pPr>
            <w:r>
              <w:t xml:space="preserve">The Abdul </w:t>
            </w:r>
            <w:proofErr w:type="spellStart"/>
            <w:r>
              <w:t>Latief</w:t>
            </w:r>
            <w:proofErr w:type="spellEnd"/>
            <w:r>
              <w:t xml:space="preserve"> </w:t>
            </w:r>
            <w:proofErr w:type="spellStart"/>
            <w:r>
              <w:t>Jameel</w:t>
            </w:r>
            <w:proofErr w:type="spellEnd"/>
            <w:r>
              <w:t xml:space="preserve"> Poverty Action Lab</w:t>
            </w:r>
          </w:p>
        </w:tc>
      </w:tr>
      <w:tr w:rsidR="006213D1" w:rsidRPr="00C749BD" w14:paraId="39338281"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0F900BB8" w14:textId="4434F32B" w:rsidR="006213D1" w:rsidRDefault="006213D1" w:rsidP="007B1AA6">
            <w:proofErr w:type="spellStart"/>
            <w:r>
              <w:t>Kemenristekdikti</w:t>
            </w:r>
            <w:proofErr w:type="spellEnd"/>
          </w:p>
        </w:tc>
        <w:tc>
          <w:tcPr>
            <w:tcW w:w="7643" w:type="dxa"/>
            <w:tcBorders>
              <w:top w:val="single" w:sz="4" w:space="0" w:color="auto"/>
              <w:left w:val="single" w:sz="4" w:space="0" w:color="auto"/>
              <w:bottom w:val="single" w:sz="4" w:space="0" w:color="auto"/>
              <w:right w:val="single" w:sz="4" w:space="0" w:color="auto"/>
            </w:tcBorders>
          </w:tcPr>
          <w:p w14:paraId="241E4B17" w14:textId="64633BD3" w:rsidR="006213D1" w:rsidRDefault="00E65B49" w:rsidP="007B1AA6">
            <w:pPr>
              <w:cnfStyle w:val="000000000000" w:firstRow="0" w:lastRow="0" w:firstColumn="0" w:lastColumn="0" w:oddVBand="0" w:evenVBand="0" w:oddHBand="0" w:evenHBand="0" w:firstRowFirstColumn="0" w:firstRowLastColumn="0" w:lastRowFirstColumn="0" w:lastRowLastColumn="0"/>
            </w:pPr>
            <w:r>
              <w:t>Ministry of Research, Technology and Higher Education</w:t>
            </w:r>
          </w:p>
        </w:tc>
      </w:tr>
      <w:tr w:rsidR="006213D1" w:rsidRPr="00C749BD" w14:paraId="31F71246"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168AE044" w14:textId="121938F8" w:rsidR="006213D1" w:rsidRDefault="006213D1" w:rsidP="007B1AA6">
            <w:r>
              <w:t>KADIN</w:t>
            </w:r>
          </w:p>
        </w:tc>
        <w:tc>
          <w:tcPr>
            <w:tcW w:w="7643" w:type="dxa"/>
            <w:tcBorders>
              <w:top w:val="single" w:sz="4" w:space="0" w:color="auto"/>
              <w:left w:val="single" w:sz="4" w:space="0" w:color="auto"/>
              <w:bottom w:val="single" w:sz="4" w:space="0" w:color="auto"/>
              <w:right w:val="single" w:sz="4" w:space="0" w:color="auto"/>
            </w:tcBorders>
          </w:tcPr>
          <w:p w14:paraId="68CA3F9B" w14:textId="523B7009" w:rsidR="006213D1" w:rsidRDefault="00E65B49" w:rsidP="007B1AA6">
            <w:pPr>
              <w:cnfStyle w:val="000000100000" w:firstRow="0" w:lastRow="0" w:firstColumn="0" w:lastColumn="0" w:oddVBand="0" w:evenVBand="0" w:oddHBand="1" w:evenHBand="0" w:firstRowFirstColumn="0" w:firstRowLastColumn="0" w:lastRowFirstColumn="0" w:lastRowLastColumn="0"/>
            </w:pPr>
            <w:r>
              <w:t>Chamber of Commerce and Industry</w:t>
            </w:r>
          </w:p>
        </w:tc>
      </w:tr>
      <w:tr w:rsidR="00433B66" w:rsidRPr="00C749BD" w14:paraId="5714B32D"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518E7E0B" w14:textId="740131AA" w:rsidR="00433B66" w:rsidRDefault="00433B66" w:rsidP="007B1AA6">
            <w:r>
              <w:t>KOMPAK</w:t>
            </w:r>
          </w:p>
        </w:tc>
        <w:tc>
          <w:tcPr>
            <w:tcW w:w="7643" w:type="dxa"/>
            <w:tcBorders>
              <w:top w:val="single" w:sz="4" w:space="0" w:color="auto"/>
              <w:left w:val="single" w:sz="4" w:space="0" w:color="auto"/>
              <w:bottom w:val="single" w:sz="4" w:space="0" w:color="auto"/>
              <w:right w:val="single" w:sz="4" w:space="0" w:color="auto"/>
            </w:tcBorders>
          </w:tcPr>
          <w:p w14:paraId="62865917" w14:textId="51151E2E" w:rsidR="00433B66" w:rsidRDefault="00E65B49" w:rsidP="007B1AA6">
            <w:pPr>
              <w:cnfStyle w:val="000000000000" w:firstRow="0" w:lastRow="0" w:firstColumn="0" w:lastColumn="0" w:oddVBand="0" w:evenVBand="0" w:oddHBand="0" w:evenHBand="0" w:firstRowFirstColumn="0" w:firstRowLastColumn="0" w:lastRowFirstColumn="0" w:lastRowLastColumn="0"/>
            </w:pPr>
            <w:r>
              <w:t>Governance for Growth Program</w:t>
            </w:r>
          </w:p>
        </w:tc>
      </w:tr>
      <w:tr w:rsidR="006213D1" w:rsidRPr="00C749BD" w14:paraId="3B0D07B6"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0C0ED6ED" w14:textId="452E6828" w:rsidR="006213D1" w:rsidRDefault="006213D1" w:rsidP="007B1AA6">
            <w:r>
              <w:t>KPIs</w:t>
            </w:r>
          </w:p>
        </w:tc>
        <w:tc>
          <w:tcPr>
            <w:tcW w:w="7643" w:type="dxa"/>
            <w:tcBorders>
              <w:top w:val="single" w:sz="4" w:space="0" w:color="auto"/>
              <w:left w:val="single" w:sz="4" w:space="0" w:color="auto"/>
              <w:bottom w:val="single" w:sz="4" w:space="0" w:color="auto"/>
              <w:right w:val="single" w:sz="4" w:space="0" w:color="auto"/>
            </w:tcBorders>
          </w:tcPr>
          <w:p w14:paraId="30580037" w14:textId="23C5920F" w:rsidR="006213D1" w:rsidRDefault="006213D1" w:rsidP="007B1AA6">
            <w:pPr>
              <w:cnfStyle w:val="000000100000" w:firstRow="0" w:lastRow="0" w:firstColumn="0" w:lastColumn="0" w:oddVBand="0" w:evenVBand="0" w:oddHBand="1" w:evenHBand="0" w:firstRowFirstColumn="0" w:firstRowLastColumn="0" w:lastRowFirstColumn="0" w:lastRowLastColumn="0"/>
            </w:pPr>
            <w:r>
              <w:t>Key Performance Indicators</w:t>
            </w:r>
          </w:p>
        </w:tc>
      </w:tr>
      <w:tr w:rsidR="006213D1" w:rsidRPr="00C749BD" w14:paraId="03E8434D"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6A109758" w14:textId="10004BD9" w:rsidR="006213D1" w:rsidRDefault="006213D1" w:rsidP="007B1AA6">
            <w:r>
              <w:t>KSI</w:t>
            </w:r>
          </w:p>
        </w:tc>
        <w:tc>
          <w:tcPr>
            <w:tcW w:w="7643" w:type="dxa"/>
            <w:tcBorders>
              <w:top w:val="single" w:sz="4" w:space="0" w:color="auto"/>
              <w:left w:val="single" w:sz="4" w:space="0" w:color="auto"/>
              <w:bottom w:val="single" w:sz="4" w:space="0" w:color="auto"/>
              <w:right w:val="single" w:sz="4" w:space="0" w:color="auto"/>
            </w:tcBorders>
          </w:tcPr>
          <w:p w14:paraId="198AFBBD" w14:textId="54D3A4A1" w:rsidR="006213D1" w:rsidRDefault="006213D1" w:rsidP="007B1AA6">
            <w:pPr>
              <w:cnfStyle w:val="000000000000" w:firstRow="0" w:lastRow="0" w:firstColumn="0" w:lastColumn="0" w:oddVBand="0" w:evenVBand="0" w:oddHBand="0" w:evenHBand="0" w:firstRowFirstColumn="0" w:firstRowLastColumn="0" w:lastRowFirstColumn="0" w:lastRowLastColumn="0"/>
            </w:pPr>
            <w:r>
              <w:t xml:space="preserve">Knowledge Sector Initiative </w:t>
            </w:r>
          </w:p>
        </w:tc>
      </w:tr>
      <w:tr w:rsidR="006213D1" w:rsidRPr="00C749BD" w14:paraId="4E7A8353"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0E5E5933" w14:textId="28D79248" w:rsidR="006213D1" w:rsidRDefault="006213D1" w:rsidP="007B1AA6">
            <w:r>
              <w:t>KUR</w:t>
            </w:r>
          </w:p>
        </w:tc>
        <w:tc>
          <w:tcPr>
            <w:tcW w:w="7643" w:type="dxa"/>
            <w:tcBorders>
              <w:top w:val="single" w:sz="4" w:space="0" w:color="auto"/>
              <w:left w:val="single" w:sz="4" w:space="0" w:color="auto"/>
              <w:bottom w:val="single" w:sz="4" w:space="0" w:color="auto"/>
              <w:right w:val="single" w:sz="4" w:space="0" w:color="auto"/>
            </w:tcBorders>
          </w:tcPr>
          <w:p w14:paraId="5490B4F2" w14:textId="4057A127" w:rsidR="006213D1" w:rsidRDefault="00EB25E8" w:rsidP="007B1AA6">
            <w:pPr>
              <w:cnfStyle w:val="000000100000" w:firstRow="0" w:lastRow="0" w:firstColumn="0" w:lastColumn="0" w:oddVBand="0" w:evenVBand="0" w:oddHBand="1" w:evenHBand="0" w:firstRowFirstColumn="0" w:firstRowLastColumn="0" w:lastRowFirstColumn="0" w:lastRowLastColumn="0"/>
            </w:pPr>
            <w:r>
              <w:t xml:space="preserve">The Government of Indonesia’s </w:t>
            </w:r>
            <w:r w:rsidR="002928BB">
              <w:t>Micro-Credit Program</w:t>
            </w:r>
          </w:p>
        </w:tc>
      </w:tr>
      <w:tr w:rsidR="00433B66" w:rsidRPr="00C749BD" w14:paraId="4A7C0170"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6EE519CC" w14:textId="554E9553" w:rsidR="00433B66" w:rsidRDefault="00433B66" w:rsidP="00433B66">
            <w:pPr>
              <w:tabs>
                <w:tab w:val="center" w:pos="677"/>
                <w:tab w:val="right" w:pos="1355"/>
              </w:tabs>
            </w:pPr>
            <w:r>
              <w:t>MAHKOTA</w:t>
            </w:r>
          </w:p>
        </w:tc>
        <w:tc>
          <w:tcPr>
            <w:tcW w:w="7643" w:type="dxa"/>
            <w:tcBorders>
              <w:top w:val="single" w:sz="4" w:space="0" w:color="auto"/>
              <w:left w:val="single" w:sz="4" w:space="0" w:color="auto"/>
              <w:bottom w:val="single" w:sz="4" w:space="0" w:color="auto"/>
              <w:right w:val="single" w:sz="4" w:space="0" w:color="auto"/>
            </w:tcBorders>
          </w:tcPr>
          <w:p w14:paraId="661B904F" w14:textId="03ABCA8B" w:rsidR="00433B66" w:rsidRDefault="000D53D1" w:rsidP="007B1AA6">
            <w:pPr>
              <w:cnfStyle w:val="000000000000" w:firstRow="0" w:lastRow="0" w:firstColumn="0" w:lastColumn="0" w:oddVBand="0" w:evenVBand="0" w:oddHBand="0" w:evenHBand="0" w:firstRowFirstColumn="0" w:firstRowLastColumn="0" w:lastRowFirstColumn="0" w:lastRowLastColumn="0"/>
            </w:pPr>
            <w:r>
              <w:t xml:space="preserve">DFAT’s </w:t>
            </w:r>
            <w:r w:rsidR="002928BB">
              <w:t>Management of a Program Towards a Strong and Prosperous Indonesia</w:t>
            </w:r>
            <w:r>
              <w:t xml:space="preserve"> program</w:t>
            </w:r>
          </w:p>
        </w:tc>
      </w:tr>
      <w:tr w:rsidR="00274659" w:rsidRPr="00C749BD" w14:paraId="541B993B"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34C467FF" w14:textId="66FD5748" w:rsidR="00274659" w:rsidRDefault="00433B66" w:rsidP="00433B66">
            <w:pPr>
              <w:tabs>
                <w:tab w:val="center" w:pos="677"/>
                <w:tab w:val="right" w:pos="1355"/>
              </w:tabs>
            </w:pPr>
            <w:r>
              <w:tab/>
            </w:r>
            <w:r>
              <w:tab/>
            </w:r>
            <w:r w:rsidR="00274659">
              <w:t>MDF</w:t>
            </w:r>
          </w:p>
        </w:tc>
        <w:tc>
          <w:tcPr>
            <w:tcW w:w="7643" w:type="dxa"/>
            <w:tcBorders>
              <w:top w:val="single" w:sz="4" w:space="0" w:color="auto"/>
              <w:left w:val="single" w:sz="4" w:space="0" w:color="auto"/>
              <w:bottom w:val="single" w:sz="4" w:space="0" w:color="auto"/>
              <w:right w:val="single" w:sz="4" w:space="0" w:color="auto"/>
            </w:tcBorders>
          </w:tcPr>
          <w:p w14:paraId="6DD65F86" w14:textId="5E8C5831" w:rsidR="00274659" w:rsidRDefault="000D53D1" w:rsidP="007B1AA6">
            <w:pPr>
              <w:cnfStyle w:val="000000100000" w:firstRow="0" w:lastRow="0" w:firstColumn="0" w:lastColumn="0" w:oddVBand="0" w:evenVBand="0" w:oddHBand="1" w:evenHBand="0" w:firstRowFirstColumn="0" w:firstRowLastColumn="0" w:lastRowFirstColumn="0" w:lastRowLastColumn="0"/>
            </w:pPr>
            <w:r>
              <w:t xml:space="preserve">DFAT’s </w:t>
            </w:r>
            <w:r w:rsidR="00274659">
              <w:t>Market Development Facility</w:t>
            </w:r>
          </w:p>
        </w:tc>
      </w:tr>
      <w:tr w:rsidR="00433B66" w:rsidRPr="00C749BD" w14:paraId="56D868E8"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0396429D" w14:textId="0669A6E7" w:rsidR="00433B66" w:rsidRDefault="00433B66" w:rsidP="00274659">
            <w:r>
              <w:t>MIS</w:t>
            </w:r>
          </w:p>
        </w:tc>
        <w:tc>
          <w:tcPr>
            <w:tcW w:w="7643" w:type="dxa"/>
            <w:tcBorders>
              <w:top w:val="single" w:sz="4" w:space="0" w:color="auto"/>
              <w:left w:val="single" w:sz="4" w:space="0" w:color="auto"/>
              <w:bottom w:val="single" w:sz="4" w:space="0" w:color="auto"/>
              <w:right w:val="single" w:sz="4" w:space="0" w:color="auto"/>
            </w:tcBorders>
          </w:tcPr>
          <w:p w14:paraId="36863CD4" w14:textId="452F4565" w:rsidR="00433B66" w:rsidRDefault="00433B66" w:rsidP="007B1AA6">
            <w:pPr>
              <w:cnfStyle w:val="000000000000" w:firstRow="0" w:lastRow="0" w:firstColumn="0" w:lastColumn="0" w:oddVBand="0" w:evenVBand="0" w:oddHBand="0" w:evenHBand="0" w:firstRowFirstColumn="0" w:firstRowLastColumn="0" w:lastRowFirstColumn="0" w:lastRowLastColumn="0"/>
            </w:pPr>
            <w:r>
              <w:t>Management Information System</w:t>
            </w:r>
          </w:p>
        </w:tc>
      </w:tr>
      <w:tr w:rsidR="00433B66" w:rsidRPr="00C749BD" w14:paraId="1B4C1424"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5C27CE25" w14:textId="6F86615C" w:rsidR="00433B66" w:rsidRDefault="00433B66" w:rsidP="00274659">
            <w:r>
              <w:t>MRM</w:t>
            </w:r>
          </w:p>
        </w:tc>
        <w:tc>
          <w:tcPr>
            <w:tcW w:w="7643" w:type="dxa"/>
            <w:tcBorders>
              <w:top w:val="single" w:sz="4" w:space="0" w:color="auto"/>
              <w:left w:val="single" w:sz="4" w:space="0" w:color="auto"/>
              <w:bottom w:val="single" w:sz="4" w:space="0" w:color="auto"/>
              <w:right w:val="single" w:sz="4" w:space="0" w:color="auto"/>
            </w:tcBorders>
          </w:tcPr>
          <w:p w14:paraId="7E1C35E2" w14:textId="17226EF3" w:rsidR="00433B66" w:rsidRDefault="00433B66" w:rsidP="007B1AA6">
            <w:pPr>
              <w:cnfStyle w:val="000000100000" w:firstRow="0" w:lastRow="0" w:firstColumn="0" w:lastColumn="0" w:oddVBand="0" w:evenVBand="0" w:oddHBand="1" w:evenHBand="0" w:firstRowFirstColumn="0" w:firstRowLastColumn="0" w:lastRowFirstColumn="0" w:lastRowLastColumn="0"/>
            </w:pPr>
            <w:r>
              <w:t>Monitoring Results Measurement</w:t>
            </w:r>
          </w:p>
        </w:tc>
      </w:tr>
      <w:tr w:rsidR="00EC3772" w:rsidRPr="00C749BD" w14:paraId="0675D615"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3ED48163" w14:textId="5F6F42E5" w:rsidR="00EC3772" w:rsidRDefault="00EC3772" w:rsidP="00274659">
            <w:r>
              <w:t>MSD</w:t>
            </w:r>
          </w:p>
        </w:tc>
        <w:tc>
          <w:tcPr>
            <w:tcW w:w="7643" w:type="dxa"/>
            <w:tcBorders>
              <w:top w:val="single" w:sz="4" w:space="0" w:color="auto"/>
              <w:left w:val="single" w:sz="4" w:space="0" w:color="auto"/>
              <w:bottom w:val="single" w:sz="4" w:space="0" w:color="auto"/>
              <w:right w:val="single" w:sz="4" w:space="0" w:color="auto"/>
            </w:tcBorders>
          </w:tcPr>
          <w:p w14:paraId="79748742" w14:textId="1A6D70DA" w:rsidR="00EC3772" w:rsidRDefault="00EC3772" w:rsidP="007B1AA6">
            <w:pPr>
              <w:cnfStyle w:val="000000000000" w:firstRow="0" w:lastRow="0" w:firstColumn="0" w:lastColumn="0" w:oddVBand="0" w:evenVBand="0" w:oddHBand="0" w:evenHBand="0" w:firstRowFirstColumn="0" w:firstRowLastColumn="0" w:lastRowFirstColumn="0" w:lastRowLastColumn="0"/>
            </w:pPr>
            <w:r>
              <w:t>Market Systems Development</w:t>
            </w:r>
          </w:p>
        </w:tc>
      </w:tr>
      <w:tr w:rsidR="0026725E" w:rsidRPr="00C749BD" w14:paraId="788445D6"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3A19CF87" w14:textId="0935F11F" w:rsidR="0026725E" w:rsidRDefault="0026725E" w:rsidP="00274659">
            <w:r>
              <w:t>NTB</w:t>
            </w:r>
          </w:p>
        </w:tc>
        <w:tc>
          <w:tcPr>
            <w:tcW w:w="7643" w:type="dxa"/>
            <w:tcBorders>
              <w:top w:val="single" w:sz="4" w:space="0" w:color="auto"/>
              <w:left w:val="single" w:sz="4" w:space="0" w:color="auto"/>
              <w:bottom w:val="single" w:sz="4" w:space="0" w:color="auto"/>
              <w:right w:val="single" w:sz="4" w:space="0" w:color="auto"/>
            </w:tcBorders>
          </w:tcPr>
          <w:p w14:paraId="0B3B2EEF" w14:textId="7BF264F2" w:rsidR="0026725E" w:rsidRDefault="0026725E" w:rsidP="007B1AA6">
            <w:pPr>
              <w:cnfStyle w:val="000000100000" w:firstRow="0" w:lastRow="0" w:firstColumn="0" w:lastColumn="0" w:oddVBand="0" w:evenVBand="0" w:oddHBand="1" w:evenHBand="0" w:firstRowFirstColumn="0" w:firstRowLastColumn="0" w:lastRowFirstColumn="0" w:lastRowLastColumn="0"/>
            </w:pPr>
            <w:r>
              <w:t>Nusa Tenggara Barat/West Nusa Tenggara</w:t>
            </w:r>
          </w:p>
        </w:tc>
      </w:tr>
      <w:tr w:rsidR="006213D1" w:rsidRPr="00C749BD" w14:paraId="63DAC660"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0E636ABF" w14:textId="0719B444" w:rsidR="006213D1" w:rsidRDefault="006213D1" w:rsidP="00274659">
            <w:r>
              <w:t>NTT</w:t>
            </w:r>
          </w:p>
        </w:tc>
        <w:tc>
          <w:tcPr>
            <w:tcW w:w="7643" w:type="dxa"/>
            <w:tcBorders>
              <w:top w:val="single" w:sz="4" w:space="0" w:color="auto"/>
              <w:left w:val="single" w:sz="4" w:space="0" w:color="auto"/>
              <w:bottom w:val="single" w:sz="4" w:space="0" w:color="auto"/>
              <w:right w:val="single" w:sz="4" w:space="0" w:color="auto"/>
            </w:tcBorders>
          </w:tcPr>
          <w:p w14:paraId="1702DCBC" w14:textId="086A28C7" w:rsidR="006213D1" w:rsidRDefault="00433B66" w:rsidP="007B1AA6">
            <w:pPr>
              <w:cnfStyle w:val="000000000000" w:firstRow="0" w:lastRow="0" w:firstColumn="0" w:lastColumn="0" w:oddVBand="0" w:evenVBand="0" w:oddHBand="0" w:evenHBand="0" w:firstRowFirstColumn="0" w:firstRowLastColumn="0" w:lastRowFirstColumn="0" w:lastRowLastColumn="0"/>
            </w:pPr>
            <w:r>
              <w:t xml:space="preserve">Nusa Tenggara </w:t>
            </w:r>
            <w:proofErr w:type="spellStart"/>
            <w:r>
              <w:t>Timur</w:t>
            </w:r>
            <w:proofErr w:type="spellEnd"/>
            <w:r w:rsidR="0026725E">
              <w:t>/East Nusa Tenggara</w:t>
            </w:r>
          </w:p>
        </w:tc>
      </w:tr>
      <w:tr w:rsidR="00FE472C" w:rsidRPr="00C749BD" w14:paraId="7FE309B1"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09220282" w14:textId="756F6605" w:rsidR="00FE472C" w:rsidRDefault="00FE472C" w:rsidP="00274659">
            <w:r>
              <w:t>OECD</w:t>
            </w:r>
          </w:p>
        </w:tc>
        <w:tc>
          <w:tcPr>
            <w:tcW w:w="7643" w:type="dxa"/>
            <w:tcBorders>
              <w:top w:val="single" w:sz="4" w:space="0" w:color="auto"/>
              <w:left w:val="single" w:sz="4" w:space="0" w:color="auto"/>
              <w:bottom w:val="single" w:sz="4" w:space="0" w:color="auto"/>
              <w:right w:val="single" w:sz="4" w:space="0" w:color="auto"/>
            </w:tcBorders>
          </w:tcPr>
          <w:p w14:paraId="78C6DB96" w14:textId="03E08EB7" w:rsidR="00FE472C" w:rsidRDefault="00FE472C" w:rsidP="007B1AA6">
            <w:pPr>
              <w:cnfStyle w:val="000000100000" w:firstRow="0" w:lastRow="0" w:firstColumn="0" w:lastColumn="0" w:oddVBand="0" w:evenVBand="0" w:oddHBand="1" w:evenHBand="0" w:firstRowFirstColumn="0" w:firstRowLastColumn="0" w:lastRowFirstColumn="0" w:lastRowLastColumn="0"/>
            </w:pPr>
            <w:r>
              <w:t>Organisation for Economic Co-operation and Development</w:t>
            </w:r>
          </w:p>
        </w:tc>
      </w:tr>
      <w:tr w:rsidR="006213D1" w:rsidRPr="00C749BD" w14:paraId="76FF8C0A"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3C6B6B2F" w14:textId="4B60D757" w:rsidR="006213D1" w:rsidRDefault="006213D1" w:rsidP="00274659">
            <w:r>
              <w:t>OJK</w:t>
            </w:r>
          </w:p>
        </w:tc>
        <w:tc>
          <w:tcPr>
            <w:tcW w:w="7643" w:type="dxa"/>
            <w:tcBorders>
              <w:top w:val="single" w:sz="4" w:space="0" w:color="auto"/>
              <w:left w:val="single" w:sz="4" w:space="0" w:color="auto"/>
              <w:bottom w:val="single" w:sz="4" w:space="0" w:color="auto"/>
              <w:right w:val="single" w:sz="4" w:space="0" w:color="auto"/>
            </w:tcBorders>
          </w:tcPr>
          <w:p w14:paraId="7FFBB945" w14:textId="3A6E5453" w:rsidR="006213D1" w:rsidRDefault="00EB25E8" w:rsidP="007B1AA6">
            <w:pPr>
              <w:cnfStyle w:val="000000000000" w:firstRow="0" w:lastRow="0" w:firstColumn="0" w:lastColumn="0" w:oddVBand="0" w:evenVBand="0" w:oddHBand="0" w:evenHBand="0" w:firstRowFirstColumn="0" w:firstRowLastColumn="0" w:lastRowFirstColumn="0" w:lastRowLastColumn="0"/>
            </w:pPr>
            <w:r>
              <w:t xml:space="preserve">Indonesia’s </w:t>
            </w:r>
            <w:r w:rsidR="002928BB">
              <w:t>Financial Services Authority</w:t>
            </w:r>
          </w:p>
        </w:tc>
      </w:tr>
      <w:tr w:rsidR="006213D1" w:rsidRPr="00C749BD" w14:paraId="6A79D4A5"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16ACDACA" w14:textId="61B12EAB" w:rsidR="006213D1" w:rsidRDefault="006213D1" w:rsidP="00274659">
            <w:r>
              <w:t>PCC</w:t>
            </w:r>
          </w:p>
        </w:tc>
        <w:tc>
          <w:tcPr>
            <w:tcW w:w="7643" w:type="dxa"/>
            <w:tcBorders>
              <w:top w:val="single" w:sz="4" w:space="0" w:color="auto"/>
              <w:left w:val="single" w:sz="4" w:space="0" w:color="auto"/>
              <w:bottom w:val="single" w:sz="4" w:space="0" w:color="auto"/>
              <w:right w:val="single" w:sz="4" w:space="0" w:color="auto"/>
            </w:tcBorders>
          </w:tcPr>
          <w:p w14:paraId="0052259E" w14:textId="31E225A9" w:rsidR="006213D1" w:rsidRDefault="006213D1" w:rsidP="007B1AA6">
            <w:pPr>
              <w:cnfStyle w:val="000000100000" w:firstRow="0" w:lastRow="0" w:firstColumn="0" w:lastColumn="0" w:oddVBand="0" w:evenVBand="0" w:oddHBand="1" w:evenHBand="0" w:firstRowFirstColumn="0" w:firstRowLastColumn="0" w:lastRowFirstColumn="0" w:lastRowLastColumn="0"/>
            </w:pPr>
            <w:r>
              <w:t>Program Coordination Committee</w:t>
            </w:r>
          </w:p>
        </w:tc>
      </w:tr>
      <w:tr w:rsidR="0026725E" w:rsidRPr="00C749BD" w14:paraId="41A117A3"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14C9D5E7" w14:textId="31359163" w:rsidR="0026725E" w:rsidRDefault="0026725E" w:rsidP="00274659">
            <w:r>
              <w:t>PRISMA</w:t>
            </w:r>
          </w:p>
        </w:tc>
        <w:tc>
          <w:tcPr>
            <w:tcW w:w="7643" w:type="dxa"/>
            <w:tcBorders>
              <w:top w:val="single" w:sz="4" w:space="0" w:color="auto"/>
              <w:left w:val="single" w:sz="4" w:space="0" w:color="auto"/>
              <w:bottom w:val="single" w:sz="4" w:space="0" w:color="auto"/>
              <w:right w:val="single" w:sz="4" w:space="0" w:color="auto"/>
            </w:tcBorders>
          </w:tcPr>
          <w:p w14:paraId="1E1FB64B" w14:textId="2BEAC5DC" w:rsidR="0026725E" w:rsidRDefault="000D53D1" w:rsidP="007B1AA6">
            <w:pPr>
              <w:cnfStyle w:val="000000000000" w:firstRow="0" w:lastRow="0" w:firstColumn="0" w:lastColumn="0" w:oddVBand="0" w:evenVBand="0" w:oddHBand="0" w:evenHBand="0" w:firstRowFirstColumn="0" w:firstRowLastColumn="0" w:lastRowFirstColumn="0" w:lastRowLastColumn="0"/>
            </w:pPr>
            <w:r>
              <w:t xml:space="preserve">DFAT’s </w:t>
            </w:r>
            <w:r w:rsidR="0026725E">
              <w:t>Promoting Rural Incomes through Support for Markets in Agriculture</w:t>
            </w:r>
            <w:r>
              <w:t xml:space="preserve"> program, implemented under AIP-Rural</w:t>
            </w:r>
            <w:r w:rsidR="009730E0">
              <w:t xml:space="preserve"> (2013-18)</w:t>
            </w:r>
          </w:p>
        </w:tc>
      </w:tr>
      <w:tr w:rsidR="009730E0" w:rsidRPr="00C749BD" w14:paraId="732D67A6"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14C7E780" w14:textId="2FEE4CC8" w:rsidR="009730E0" w:rsidRDefault="009730E0" w:rsidP="00274659">
            <w:r>
              <w:t>PRISMA-2</w:t>
            </w:r>
          </w:p>
        </w:tc>
        <w:tc>
          <w:tcPr>
            <w:tcW w:w="7643" w:type="dxa"/>
            <w:tcBorders>
              <w:top w:val="single" w:sz="4" w:space="0" w:color="auto"/>
              <w:left w:val="single" w:sz="4" w:space="0" w:color="auto"/>
              <w:bottom w:val="single" w:sz="4" w:space="0" w:color="auto"/>
              <w:right w:val="single" w:sz="4" w:space="0" w:color="auto"/>
            </w:tcBorders>
          </w:tcPr>
          <w:p w14:paraId="5408DDAF" w14:textId="60D6D8A2" w:rsidR="009730E0" w:rsidRDefault="009730E0" w:rsidP="007B1AA6">
            <w:pPr>
              <w:cnfStyle w:val="000000100000" w:firstRow="0" w:lastRow="0" w:firstColumn="0" w:lastColumn="0" w:oddVBand="0" w:evenVBand="0" w:oddHBand="1" w:evenHBand="0" w:firstRowFirstColumn="0" w:firstRowLastColumn="0" w:lastRowFirstColumn="0" w:lastRowLastColumn="0"/>
            </w:pPr>
            <w:r>
              <w:t>DFAT’s Promoting Rural Incomes through Support for Markets in Agriculture program (2019-2023)</w:t>
            </w:r>
          </w:p>
        </w:tc>
      </w:tr>
      <w:tr w:rsidR="006213D1" w:rsidRPr="00C749BD" w14:paraId="5B57AF74"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35B7E4C7" w14:textId="19ACFED9" w:rsidR="006213D1" w:rsidRDefault="006213D1" w:rsidP="00274659">
            <w:r>
              <w:t>PT</w:t>
            </w:r>
          </w:p>
        </w:tc>
        <w:tc>
          <w:tcPr>
            <w:tcW w:w="7643" w:type="dxa"/>
            <w:tcBorders>
              <w:top w:val="single" w:sz="4" w:space="0" w:color="auto"/>
              <w:left w:val="single" w:sz="4" w:space="0" w:color="auto"/>
              <w:bottom w:val="single" w:sz="4" w:space="0" w:color="auto"/>
              <w:right w:val="single" w:sz="4" w:space="0" w:color="auto"/>
            </w:tcBorders>
          </w:tcPr>
          <w:p w14:paraId="6AD07CFC" w14:textId="3685C7CE" w:rsidR="006213D1" w:rsidRDefault="00EB25E8" w:rsidP="007B1AA6">
            <w:pPr>
              <w:cnfStyle w:val="000000000000" w:firstRow="0" w:lastRow="0" w:firstColumn="0" w:lastColumn="0" w:oddVBand="0" w:evenVBand="0" w:oddHBand="0" w:evenHBand="0" w:firstRowFirstColumn="0" w:firstRowLastColumn="0" w:lastRowFirstColumn="0" w:lastRowLastColumn="0"/>
            </w:pPr>
            <w:r>
              <w:t xml:space="preserve">A </w:t>
            </w:r>
            <w:r w:rsidR="002928BB">
              <w:t>Limited Liability Company</w:t>
            </w:r>
            <w:r>
              <w:t xml:space="preserve"> in Indonesia</w:t>
            </w:r>
          </w:p>
        </w:tc>
      </w:tr>
      <w:tr w:rsidR="002F2CF1" w:rsidRPr="00C749BD" w14:paraId="02E84359"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6D5404A9" w14:textId="6E1D6CA3" w:rsidR="002F2CF1" w:rsidRDefault="002F2CF1" w:rsidP="00274659">
            <w:r>
              <w:t>PRIPs</w:t>
            </w:r>
          </w:p>
        </w:tc>
        <w:tc>
          <w:tcPr>
            <w:tcW w:w="7643" w:type="dxa"/>
            <w:tcBorders>
              <w:top w:val="single" w:sz="4" w:space="0" w:color="auto"/>
              <w:left w:val="single" w:sz="4" w:space="0" w:color="auto"/>
              <w:bottom w:val="single" w:sz="4" w:space="0" w:color="auto"/>
              <w:right w:val="single" w:sz="4" w:space="0" w:color="auto"/>
            </w:tcBorders>
          </w:tcPr>
          <w:p w14:paraId="4B43CBA5" w14:textId="4CCDE90F" w:rsidR="002F2CF1" w:rsidRDefault="002F2CF1" w:rsidP="007B1AA6">
            <w:pPr>
              <w:cnfStyle w:val="000000100000" w:firstRow="0" w:lastRow="0" w:firstColumn="0" w:lastColumn="0" w:oddVBand="0" w:evenVBand="0" w:oddHBand="1" w:evenHBand="0" w:firstRowFirstColumn="0" w:firstRowLastColumn="0" w:lastRowFirstColumn="0" w:lastRowLastColumn="0"/>
            </w:pPr>
            <w:r>
              <w:t>Progress Reports and Implementation Plans</w:t>
            </w:r>
          </w:p>
        </w:tc>
      </w:tr>
      <w:tr w:rsidR="00382F87" w:rsidRPr="00C749BD" w14:paraId="25CE2E59"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19CD9B1C" w14:textId="79267665" w:rsidR="00382F87" w:rsidRDefault="00382F87" w:rsidP="00274659">
            <w:r>
              <w:t>RFT</w:t>
            </w:r>
          </w:p>
        </w:tc>
        <w:tc>
          <w:tcPr>
            <w:tcW w:w="7643" w:type="dxa"/>
            <w:tcBorders>
              <w:top w:val="single" w:sz="4" w:space="0" w:color="auto"/>
              <w:left w:val="single" w:sz="4" w:space="0" w:color="auto"/>
              <w:bottom w:val="single" w:sz="4" w:space="0" w:color="auto"/>
              <w:right w:val="single" w:sz="4" w:space="0" w:color="auto"/>
            </w:tcBorders>
          </w:tcPr>
          <w:p w14:paraId="7FC43911" w14:textId="2770E86D" w:rsidR="00382F87" w:rsidRDefault="00382F87" w:rsidP="007B1AA6">
            <w:pPr>
              <w:cnfStyle w:val="000000000000" w:firstRow="0" w:lastRow="0" w:firstColumn="0" w:lastColumn="0" w:oddVBand="0" w:evenVBand="0" w:oddHBand="0" w:evenHBand="0" w:firstRowFirstColumn="0" w:firstRowLastColumn="0" w:lastRowFirstColumn="0" w:lastRowLastColumn="0"/>
            </w:pPr>
            <w:r>
              <w:t>Request For Tender</w:t>
            </w:r>
          </w:p>
        </w:tc>
      </w:tr>
      <w:tr w:rsidR="004659EA" w:rsidRPr="00C749BD" w14:paraId="375C2537"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092426FD" w14:textId="3529FFFE" w:rsidR="004659EA" w:rsidRPr="00C749BD" w:rsidRDefault="00274659" w:rsidP="00274659">
            <w:r>
              <w:t xml:space="preserve">         </w:t>
            </w:r>
            <w:r w:rsidR="006213D1">
              <w:t xml:space="preserve">       </w:t>
            </w:r>
            <w:r>
              <w:t xml:space="preserve"> RPJMN</w:t>
            </w:r>
          </w:p>
        </w:tc>
        <w:tc>
          <w:tcPr>
            <w:tcW w:w="7643" w:type="dxa"/>
            <w:tcBorders>
              <w:top w:val="single" w:sz="4" w:space="0" w:color="auto"/>
              <w:left w:val="single" w:sz="4" w:space="0" w:color="auto"/>
              <w:bottom w:val="single" w:sz="4" w:space="0" w:color="auto"/>
              <w:right w:val="single" w:sz="4" w:space="0" w:color="auto"/>
            </w:tcBorders>
          </w:tcPr>
          <w:p w14:paraId="4AF86C36" w14:textId="26E4DF4F" w:rsidR="004659EA" w:rsidRPr="00C749BD" w:rsidRDefault="00EB25E8" w:rsidP="007B1AA6">
            <w:pPr>
              <w:cnfStyle w:val="000000100000" w:firstRow="0" w:lastRow="0" w:firstColumn="0" w:lastColumn="0" w:oddVBand="0" w:evenVBand="0" w:oddHBand="1" w:evenHBand="0" w:firstRowFirstColumn="0" w:firstRowLastColumn="0" w:lastRowFirstColumn="0" w:lastRowLastColumn="0"/>
            </w:pPr>
            <w:r>
              <w:t xml:space="preserve">Indonesia’s </w:t>
            </w:r>
            <w:r w:rsidR="00274659">
              <w:t>Medium Term Development Plan</w:t>
            </w:r>
          </w:p>
        </w:tc>
      </w:tr>
      <w:tr w:rsidR="00433B66" w:rsidRPr="00C749BD" w14:paraId="12C9A05B"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76F55A18" w14:textId="748F7500" w:rsidR="00433B66" w:rsidRDefault="00433B66" w:rsidP="007B1AA6">
            <w:r>
              <w:t>SA</w:t>
            </w:r>
          </w:p>
        </w:tc>
        <w:tc>
          <w:tcPr>
            <w:tcW w:w="7643" w:type="dxa"/>
            <w:tcBorders>
              <w:top w:val="single" w:sz="4" w:space="0" w:color="auto"/>
              <w:left w:val="single" w:sz="4" w:space="0" w:color="auto"/>
              <w:bottom w:val="single" w:sz="4" w:space="0" w:color="auto"/>
              <w:right w:val="single" w:sz="4" w:space="0" w:color="auto"/>
            </w:tcBorders>
          </w:tcPr>
          <w:p w14:paraId="3D8E2FB9" w14:textId="6A388B5B" w:rsidR="00433B66" w:rsidRDefault="00433B66" w:rsidP="007B1AA6">
            <w:pPr>
              <w:cnfStyle w:val="000000000000" w:firstRow="0" w:lastRow="0" w:firstColumn="0" w:lastColumn="0" w:oddVBand="0" w:evenVBand="0" w:oddHBand="0" w:evenHBand="0" w:firstRowFirstColumn="0" w:firstRowLastColumn="0" w:lastRowFirstColumn="0" w:lastRowLastColumn="0"/>
            </w:pPr>
            <w:r>
              <w:t>Subsidiary Arrangement</w:t>
            </w:r>
          </w:p>
        </w:tc>
      </w:tr>
      <w:tr w:rsidR="00433B66" w:rsidRPr="00C749BD" w14:paraId="1AC79704"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0D539278" w14:textId="64F09800" w:rsidR="00433B66" w:rsidRDefault="00433B66" w:rsidP="007B1AA6">
            <w:r>
              <w:t>SAFIRA</w:t>
            </w:r>
          </w:p>
        </w:tc>
        <w:tc>
          <w:tcPr>
            <w:tcW w:w="7643" w:type="dxa"/>
            <w:tcBorders>
              <w:top w:val="single" w:sz="4" w:space="0" w:color="auto"/>
              <w:left w:val="single" w:sz="4" w:space="0" w:color="auto"/>
              <w:bottom w:val="single" w:sz="4" w:space="0" w:color="auto"/>
              <w:right w:val="single" w:sz="4" w:space="0" w:color="auto"/>
            </w:tcBorders>
          </w:tcPr>
          <w:p w14:paraId="5A26BA58" w14:textId="52E38CC4" w:rsidR="00433B66" w:rsidRDefault="000D53D1" w:rsidP="009730E0">
            <w:pPr>
              <w:cnfStyle w:val="000000100000" w:firstRow="0" w:lastRow="0" w:firstColumn="0" w:lastColumn="0" w:oddVBand="0" w:evenVBand="0" w:oddHBand="1" w:evenHBand="0" w:firstRowFirstColumn="0" w:firstRowLastColumn="0" w:lastRowFirstColumn="0" w:lastRowLastColumn="0"/>
            </w:pPr>
            <w:r>
              <w:t xml:space="preserve">DFAT’s </w:t>
            </w:r>
            <w:r w:rsidR="002928BB">
              <w:t>Strengthening Agricultural Finance in Rural Areas</w:t>
            </w:r>
            <w:r>
              <w:t xml:space="preserve"> program, implemented under AIP-Rural</w:t>
            </w:r>
            <w:r w:rsidR="009730E0">
              <w:t xml:space="preserve"> (2015-18)</w:t>
            </w:r>
          </w:p>
        </w:tc>
      </w:tr>
      <w:tr w:rsidR="004659EA" w:rsidRPr="00C749BD" w14:paraId="77221094"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650C8166" w14:textId="0B0CC39D" w:rsidR="004659EA" w:rsidRPr="00C749BD" w:rsidRDefault="006213D1" w:rsidP="007B1AA6">
            <w:r>
              <w:t>SMEs</w:t>
            </w:r>
          </w:p>
        </w:tc>
        <w:tc>
          <w:tcPr>
            <w:tcW w:w="7643" w:type="dxa"/>
            <w:tcBorders>
              <w:top w:val="single" w:sz="4" w:space="0" w:color="auto"/>
              <w:left w:val="single" w:sz="4" w:space="0" w:color="auto"/>
              <w:bottom w:val="single" w:sz="4" w:space="0" w:color="auto"/>
              <w:right w:val="single" w:sz="4" w:space="0" w:color="auto"/>
            </w:tcBorders>
          </w:tcPr>
          <w:p w14:paraId="2BCD1EC4" w14:textId="633A6E3D" w:rsidR="004659EA" w:rsidRPr="00C749BD" w:rsidRDefault="006213D1" w:rsidP="007B1AA6">
            <w:pPr>
              <w:cnfStyle w:val="000000000000" w:firstRow="0" w:lastRow="0" w:firstColumn="0" w:lastColumn="0" w:oddVBand="0" w:evenVBand="0" w:oddHBand="0" w:evenHBand="0" w:firstRowFirstColumn="0" w:firstRowLastColumn="0" w:lastRowFirstColumn="0" w:lastRowLastColumn="0"/>
            </w:pPr>
            <w:r>
              <w:t>Small-Medium Enterprises</w:t>
            </w:r>
          </w:p>
        </w:tc>
      </w:tr>
      <w:tr w:rsidR="00433B66" w:rsidRPr="00C749BD" w14:paraId="3A38E9A1" w14:textId="77777777" w:rsidTr="00292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3BEEE331" w14:textId="5A621E12" w:rsidR="00433B66" w:rsidRDefault="00433B66" w:rsidP="007B1AA6">
            <w:r>
              <w:t>TIRTA</w:t>
            </w:r>
          </w:p>
        </w:tc>
        <w:tc>
          <w:tcPr>
            <w:tcW w:w="7643" w:type="dxa"/>
            <w:tcBorders>
              <w:top w:val="single" w:sz="4" w:space="0" w:color="auto"/>
              <w:left w:val="single" w:sz="4" w:space="0" w:color="auto"/>
              <w:bottom w:val="single" w:sz="4" w:space="0" w:color="auto"/>
              <w:right w:val="single" w:sz="4" w:space="0" w:color="auto"/>
            </w:tcBorders>
          </w:tcPr>
          <w:p w14:paraId="568EAABD" w14:textId="774F2C70" w:rsidR="00433B66" w:rsidRPr="00C749BD" w:rsidRDefault="000D53D1" w:rsidP="009730E0">
            <w:pPr>
              <w:cnfStyle w:val="000000100000" w:firstRow="0" w:lastRow="0" w:firstColumn="0" w:lastColumn="0" w:oddVBand="0" w:evenVBand="0" w:oddHBand="1" w:evenHBand="0" w:firstRowFirstColumn="0" w:firstRowLastColumn="0" w:lastRowFirstColumn="0" w:lastRowLastColumn="0"/>
            </w:pPr>
            <w:r>
              <w:t xml:space="preserve">DFAT’s </w:t>
            </w:r>
            <w:r w:rsidR="002928BB">
              <w:t>Tertiary Irrigation Technical Assistance</w:t>
            </w:r>
            <w:r>
              <w:t xml:space="preserve"> program, implemented under AIP-Rural</w:t>
            </w:r>
            <w:r w:rsidR="009730E0">
              <w:t xml:space="preserve"> (2015-18)</w:t>
            </w:r>
          </w:p>
        </w:tc>
      </w:tr>
      <w:tr w:rsidR="004659EA" w:rsidRPr="00C749BD" w14:paraId="2B604A28" w14:textId="77777777" w:rsidTr="002928BB">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left w:val="single" w:sz="4" w:space="0" w:color="auto"/>
              <w:bottom w:val="single" w:sz="4" w:space="0" w:color="auto"/>
              <w:right w:val="single" w:sz="4" w:space="0" w:color="auto"/>
            </w:tcBorders>
          </w:tcPr>
          <w:p w14:paraId="7B93FF38" w14:textId="21E06B66" w:rsidR="004659EA" w:rsidRPr="00C749BD" w:rsidRDefault="006213D1" w:rsidP="004659EA">
            <w:pPr>
              <w:jc w:val="center"/>
            </w:pPr>
            <w:r>
              <w:t xml:space="preserve">                      </w:t>
            </w:r>
            <w:proofErr w:type="spellStart"/>
            <w:r>
              <w:t>VfM</w:t>
            </w:r>
            <w:proofErr w:type="spellEnd"/>
          </w:p>
        </w:tc>
        <w:tc>
          <w:tcPr>
            <w:tcW w:w="7643" w:type="dxa"/>
            <w:tcBorders>
              <w:top w:val="single" w:sz="4" w:space="0" w:color="auto"/>
              <w:left w:val="single" w:sz="4" w:space="0" w:color="auto"/>
              <w:bottom w:val="single" w:sz="4" w:space="0" w:color="auto"/>
              <w:right w:val="single" w:sz="4" w:space="0" w:color="auto"/>
            </w:tcBorders>
          </w:tcPr>
          <w:p w14:paraId="77B30F56" w14:textId="6371D53A" w:rsidR="004659EA" w:rsidRPr="00C749BD" w:rsidRDefault="006213D1" w:rsidP="007B1AA6">
            <w:pPr>
              <w:cnfStyle w:val="000000000000" w:firstRow="0" w:lastRow="0" w:firstColumn="0" w:lastColumn="0" w:oddVBand="0" w:evenVBand="0" w:oddHBand="0" w:evenHBand="0" w:firstRowFirstColumn="0" w:firstRowLastColumn="0" w:lastRowFirstColumn="0" w:lastRowLastColumn="0"/>
            </w:pPr>
            <w:r>
              <w:t>Value for Money</w:t>
            </w:r>
          </w:p>
        </w:tc>
      </w:tr>
    </w:tbl>
    <w:p w14:paraId="4B8EB8B5" w14:textId="206C259E" w:rsidR="00963BE4" w:rsidRDefault="00963BE4" w:rsidP="00794C57">
      <w:pPr>
        <w:pStyle w:val="BodyText"/>
        <w:rPr>
          <w:rFonts w:asciiTheme="majorHAnsi" w:hAnsiTheme="majorHAnsi"/>
        </w:rPr>
      </w:pPr>
    </w:p>
    <w:p w14:paraId="41FC343C" w14:textId="7F98C211" w:rsidR="00DF04CF" w:rsidRDefault="00F81DB9" w:rsidP="00314E16">
      <w:pPr>
        <w:pStyle w:val="Heading1Numbered"/>
      </w:pPr>
      <w:bookmarkStart w:id="0" w:name="_Toc499298833"/>
      <w:r>
        <w:lastRenderedPageBreak/>
        <w:t>Executive Summary</w:t>
      </w:r>
      <w:bookmarkEnd w:id="0"/>
    </w:p>
    <w:p w14:paraId="6D34E3F8" w14:textId="7BC4347A" w:rsidR="00CC6E77" w:rsidRDefault="00F17C9C" w:rsidP="00794C57">
      <w:pPr>
        <w:pStyle w:val="BodyText"/>
      </w:pPr>
      <w:r>
        <w:t>The Australia-Indonesia Partnership for Promoting Rural Incomes through Support for Markets in Agriculture (PRISMA-2) will be a</w:t>
      </w:r>
      <w:r w:rsidR="0032076A">
        <w:t xml:space="preserve"> five</w:t>
      </w:r>
      <w:r>
        <w:t xml:space="preserve"> -year program </w:t>
      </w:r>
      <w:r w:rsidR="00E820B4">
        <w:t xml:space="preserve">(2019 – 2023) </w:t>
      </w:r>
      <w:r>
        <w:t xml:space="preserve">funded by the Australian Government’s aid program and implemented in cooperation with the Government of Indonesia. The program will build upon the achievements and results of the </w:t>
      </w:r>
      <w:r w:rsidR="00A71E88">
        <w:t xml:space="preserve">current </w:t>
      </w:r>
      <w:r>
        <w:t>AIP-Rural program</w:t>
      </w:r>
      <w:r w:rsidR="00EB25E8">
        <w:t xml:space="preserve"> (2013-2018)</w:t>
      </w:r>
      <w:r>
        <w:t>, us</w:t>
      </w:r>
      <w:r w:rsidR="00903930">
        <w:t>ing</w:t>
      </w:r>
      <w:r>
        <w:t xml:space="preserve"> the market systems development </w:t>
      </w:r>
      <w:r w:rsidR="00903930">
        <w:t xml:space="preserve">(MSD) </w:t>
      </w:r>
      <w:r>
        <w:t>approach to support inclusive economic gr</w:t>
      </w:r>
      <w:r w:rsidR="00A875D1">
        <w:t>owth in Indonesia’s agriculture,</w:t>
      </w:r>
      <w:r>
        <w:t xml:space="preserve"> </w:t>
      </w:r>
      <w:r w:rsidR="00A875D1">
        <w:t xml:space="preserve">horticulture, livestock and aquaculture </w:t>
      </w:r>
      <w:r>
        <w:t>sector</w:t>
      </w:r>
      <w:r w:rsidR="00A875D1">
        <w:t>s</w:t>
      </w:r>
      <w:r w:rsidR="00CC6E77">
        <w:t xml:space="preserve">. </w:t>
      </w:r>
    </w:p>
    <w:p w14:paraId="014A7A0A" w14:textId="4BBCC89A" w:rsidR="00D907B4" w:rsidRDefault="00845FF7" w:rsidP="00794C57">
      <w:pPr>
        <w:pStyle w:val="BodyText"/>
      </w:pPr>
      <w:r>
        <w:t>P</w:t>
      </w:r>
      <w:r w:rsidR="00F17C9C">
        <w:t>RISMA-2 will improve smallholder farmer</w:t>
      </w:r>
      <w:r w:rsidR="007D0D7E">
        <w:t>s</w:t>
      </w:r>
      <w:r w:rsidR="00F17C9C">
        <w:t>’ competitiveness and access to new markets, better inputs, know-how and technology. It will aim to achieve a sustainable 30</w:t>
      </w:r>
      <w:r w:rsidR="00DD03A3">
        <w:t>%</w:t>
      </w:r>
      <w:r w:rsidR="00F17C9C">
        <w:t xml:space="preserve"> increase in the net incomes of </w:t>
      </w:r>
      <w:r w:rsidR="00D472C0">
        <w:t xml:space="preserve">a further </w:t>
      </w:r>
      <w:r w:rsidR="00F17C9C">
        <w:t>700,000 smallholder farming households in Indonesia by 2023. The five</w:t>
      </w:r>
      <w:r w:rsidR="00A71E88">
        <w:t>-</w:t>
      </w:r>
      <w:r w:rsidR="00F17C9C">
        <w:t xml:space="preserve">year </w:t>
      </w:r>
      <w:r w:rsidR="00A71E88">
        <w:t xml:space="preserve">program has a budget of </w:t>
      </w:r>
      <w:r w:rsidR="005347E5">
        <w:t>AUD</w:t>
      </w:r>
      <w:r w:rsidR="00A71E88">
        <w:t xml:space="preserve">95 </w:t>
      </w:r>
      <w:r w:rsidR="00F17C9C">
        <w:t>million and</w:t>
      </w:r>
      <w:r w:rsidR="00A71E88">
        <w:t xml:space="preserve"> will operate</w:t>
      </w:r>
      <w:r w:rsidR="00F17C9C">
        <w:t xml:space="preserve"> in</w:t>
      </w:r>
      <w:r w:rsidR="00A71E88">
        <w:t xml:space="preserve"> six </w:t>
      </w:r>
      <w:r w:rsidR="00976BB4">
        <w:t>provinces:</w:t>
      </w:r>
      <w:r w:rsidR="00F17C9C">
        <w:t xml:space="preserve"> East Java, West Nusa Tenggara (NTB), East Nusa Ten</w:t>
      </w:r>
      <w:r w:rsidR="00A71E88">
        <w:t>ggara (NTT), Papua,</w:t>
      </w:r>
      <w:r w:rsidR="00F17C9C">
        <w:t xml:space="preserve"> West Papua</w:t>
      </w:r>
      <w:r w:rsidR="00A71E88">
        <w:t xml:space="preserve"> and Central Java</w:t>
      </w:r>
      <w:r w:rsidR="00F17C9C">
        <w:t>.</w:t>
      </w:r>
      <w:r w:rsidR="00D907B4">
        <w:t xml:space="preserve"> </w:t>
      </w:r>
    </w:p>
    <w:p w14:paraId="4118F32E" w14:textId="3923BD23" w:rsidR="00A71E88" w:rsidRPr="00B65AE2" w:rsidRDefault="00A71E88" w:rsidP="00A71E88">
      <w:pPr>
        <w:spacing w:after="0"/>
        <w:rPr>
          <w:rFonts w:cstheme="minorHAnsi"/>
        </w:rPr>
      </w:pPr>
      <w:r w:rsidRPr="00B65AE2">
        <w:rPr>
          <w:rFonts w:cstheme="minorHAnsi"/>
        </w:rPr>
        <w:t xml:space="preserve">The </w:t>
      </w:r>
      <w:r w:rsidRPr="00B65AE2">
        <w:rPr>
          <w:rFonts w:cstheme="minorHAnsi"/>
          <w:b/>
        </w:rPr>
        <w:t>end-of-program outcome</w:t>
      </w:r>
      <w:r w:rsidRPr="00B65AE2">
        <w:rPr>
          <w:rFonts w:cstheme="minorHAnsi"/>
        </w:rPr>
        <w:t xml:space="preserve"> for </w:t>
      </w:r>
      <w:r>
        <w:rPr>
          <w:rFonts w:cstheme="minorHAnsi"/>
        </w:rPr>
        <w:t>PRISMA-2</w:t>
      </w:r>
      <w:r w:rsidRPr="00B65AE2">
        <w:rPr>
          <w:rFonts w:cstheme="minorHAnsi"/>
        </w:rPr>
        <w:t xml:space="preserve"> is:</w:t>
      </w:r>
    </w:p>
    <w:p w14:paraId="337A2FAA" w14:textId="268E786B" w:rsidR="00A71E88" w:rsidRPr="00A71E88" w:rsidRDefault="00A71E88" w:rsidP="00A71E88">
      <w:pPr>
        <w:pStyle w:val="ListParagraph"/>
        <w:numPr>
          <w:ilvl w:val="0"/>
          <w:numId w:val="15"/>
        </w:numPr>
        <w:spacing w:after="0"/>
        <w:rPr>
          <w:rFonts w:cstheme="minorHAnsi"/>
        </w:rPr>
      </w:pPr>
      <w:r w:rsidRPr="00B65AE2">
        <w:rPr>
          <w:rFonts w:cstheme="minorHAnsi"/>
        </w:rPr>
        <w:t>A</w:t>
      </w:r>
      <w:r>
        <w:rPr>
          <w:rFonts w:cstheme="minorHAnsi"/>
        </w:rPr>
        <w:t xml:space="preserve"> minimum</w:t>
      </w:r>
      <w:r w:rsidRPr="00B65AE2">
        <w:rPr>
          <w:rFonts w:cstheme="minorHAnsi"/>
        </w:rPr>
        <w:t xml:space="preserve"> 30% increase in incomes for 700,000 smallholder </w:t>
      </w:r>
      <w:r>
        <w:rPr>
          <w:rFonts w:cstheme="minorHAnsi"/>
        </w:rPr>
        <w:t>farming household</w:t>
      </w:r>
      <w:r w:rsidRPr="00B65AE2">
        <w:rPr>
          <w:rFonts w:cstheme="minorHAnsi"/>
        </w:rPr>
        <w:t xml:space="preserve">s by </w:t>
      </w:r>
      <w:r>
        <w:rPr>
          <w:rFonts w:cstheme="minorHAnsi"/>
        </w:rPr>
        <w:t xml:space="preserve">December </w:t>
      </w:r>
      <w:r w:rsidRPr="00B65AE2">
        <w:rPr>
          <w:rFonts w:cstheme="minorHAnsi"/>
        </w:rPr>
        <w:t>2023.</w:t>
      </w:r>
    </w:p>
    <w:p w14:paraId="583247F3" w14:textId="77777777" w:rsidR="00E820B4" w:rsidRDefault="00E820B4" w:rsidP="00A71E88">
      <w:pPr>
        <w:spacing w:after="0"/>
        <w:rPr>
          <w:rFonts w:cstheme="minorHAnsi"/>
        </w:rPr>
      </w:pPr>
    </w:p>
    <w:p w14:paraId="71A3F0CC" w14:textId="330B4087" w:rsidR="007541AE" w:rsidRPr="007541AE" w:rsidRDefault="00E820B4" w:rsidP="00A71E88">
      <w:pPr>
        <w:spacing w:after="0"/>
      </w:pPr>
      <w:r>
        <w:rPr>
          <w:rFonts w:cstheme="minorHAnsi"/>
        </w:rPr>
        <w:t>A total</w:t>
      </w:r>
      <w:r w:rsidR="0066190F">
        <w:rPr>
          <w:rFonts w:cstheme="minorHAnsi"/>
        </w:rPr>
        <w:t xml:space="preserve"> of</w:t>
      </w:r>
      <w:r>
        <w:rPr>
          <w:rFonts w:cstheme="minorHAnsi"/>
        </w:rPr>
        <w:t xml:space="preserve"> 1 million smallholder farming households will benefit as a result of </w:t>
      </w:r>
      <w:r w:rsidR="007D0D7E">
        <w:rPr>
          <w:rFonts w:cstheme="minorHAnsi"/>
        </w:rPr>
        <w:t>Australia</w:t>
      </w:r>
      <w:r>
        <w:rPr>
          <w:rFonts w:cstheme="minorHAnsi"/>
        </w:rPr>
        <w:t xml:space="preserve">’s 10 year investment in the AIP-Rural and PRISMA-2 programs. </w:t>
      </w:r>
      <w:r w:rsidR="00A71E88">
        <w:rPr>
          <w:rFonts w:cstheme="minorHAnsi"/>
        </w:rPr>
        <w:t xml:space="preserve">Of the </w:t>
      </w:r>
      <w:r>
        <w:rPr>
          <w:rFonts w:cstheme="minorHAnsi"/>
        </w:rPr>
        <w:t xml:space="preserve">additional </w:t>
      </w:r>
      <w:r w:rsidR="00A71E88">
        <w:rPr>
          <w:rFonts w:cstheme="minorHAnsi"/>
        </w:rPr>
        <w:t>700,000 smallholder farming households targeted through PRISMA-2, a</w:t>
      </w:r>
      <w:r w:rsidR="00A71E88" w:rsidRPr="005D461A">
        <w:rPr>
          <w:rFonts w:cstheme="minorHAnsi"/>
        </w:rPr>
        <w:t xml:space="preserve">t least 60% will consist of people living below USD2.50 per day at PPP. </w:t>
      </w:r>
      <w:r w:rsidR="00A71E88">
        <w:t>While the majority of program beneficiaries will be classified as poor or near poor, PRISMA-2</w:t>
      </w:r>
      <w:r w:rsidR="00903930">
        <w:t>’s</w:t>
      </w:r>
      <w:r w:rsidR="00A71E88">
        <w:t xml:space="preserve"> impact will also reach non-poor farmers and other parts of the economy, given the wide-spread benefits of systemic change. </w:t>
      </w:r>
      <w:r w:rsidR="007541AE">
        <w:t xml:space="preserve">Smallholder farming households are commonly composed of both men and women who contribute to different components of their household farm enterprise.  </w:t>
      </w:r>
      <w:r w:rsidR="00115575">
        <w:t>PRISMA-2 will ensure that gender analysis is embedded into</w:t>
      </w:r>
      <w:r w:rsidR="007541AE">
        <w:t xml:space="preserve"> every stage of</w:t>
      </w:r>
      <w:r w:rsidR="00115575">
        <w:t xml:space="preserve"> intervention design and </w:t>
      </w:r>
      <w:r w:rsidR="007541AE">
        <w:t>quality processes</w:t>
      </w:r>
      <w:r w:rsidR="00115575">
        <w:t xml:space="preserve">, and </w:t>
      </w:r>
      <w:proofErr w:type="gramStart"/>
      <w:r w:rsidR="00115575">
        <w:t>that women</w:t>
      </w:r>
      <w:proofErr w:type="gramEnd"/>
      <w:r w:rsidR="00115575">
        <w:t xml:space="preserve"> farmers are specifically targeted in interventions to ensure men and women </w:t>
      </w:r>
      <w:r w:rsidR="00475E90">
        <w:t xml:space="preserve">both </w:t>
      </w:r>
      <w:r w:rsidR="00115575">
        <w:t>benefit from the Program.</w:t>
      </w:r>
    </w:p>
    <w:p w14:paraId="6640EBFF" w14:textId="77777777" w:rsidR="00A71E88" w:rsidRPr="00B65AE2" w:rsidRDefault="00A71E88" w:rsidP="00A71E88">
      <w:pPr>
        <w:spacing w:after="0"/>
        <w:rPr>
          <w:rFonts w:cstheme="minorHAnsi"/>
        </w:rPr>
      </w:pPr>
    </w:p>
    <w:p w14:paraId="63AA801C" w14:textId="3B1A0174" w:rsidR="00A71E88" w:rsidRPr="00B65AE2" w:rsidRDefault="00A71E88" w:rsidP="00A71E88">
      <w:pPr>
        <w:spacing w:after="0"/>
        <w:rPr>
          <w:rFonts w:cstheme="minorHAnsi"/>
        </w:rPr>
      </w:pPr>
      <w:r w:rsidRPr="00B65AE2">
        <w:rPr>
          <w:rFonts w:cstheme="minorHAnsi"/>
          <w:b/>
        </w:rPr>
        <w:t>Intermediate outcomes</w:t>
      </w:r>
      <w:r w:rsidRPr="00B65AE2">
        <w:rPr>
          <w:rFonts w:cstheme="minorHAnsi"/>
        </w:rPr>
        <w:t xml:space="preserve"> to</w:t>
      </w:r>
      <w:r>
        <w:rPr>
          <w:rFonts w:cstheme="minorHAnsi"/>
        </w:rPr>
        <w:t xml:space="preserve"> be achieved</w:t>
      </w:r>
      <w:r w:rsidRPr="00B65AE2">
        <w:rPr>
          <w:rFonts w:cstheme="minorHAnsi"/>
        </w:rPr>
        <w:t xml:space="preserve"> during implementation of </w:t>
      </w:r>
      <w:r>
        <w:rPr>
          <w:rFonts w:cstheme="minorHAnsi"/>
        </w:rPr>
        <w:t>PRISMA-2</w:t>
      </w:r>
      <w:r w:rsidRPr="00B65AE2">
        <w:rPr>
          <w:rFonts w:cstheme="minorHAnsi"/>
        </w:rPr>
        <w:t xml:space="preserve"> are:</w:t>
      </w:r>
    </w:p>
    <w:p w14:paraId="1F019049" w14:textId="77777777" w:rsidR="00A71E88" w:rsidRPr="00B65AE2" w:rsidRDefault="00A71E88" w:rsidP="00A71E88">
      <w:pPr>
        <w:pStyle w:val="ListParagraph"/>
        <w:numPr>
          <w:ilvl w:val="0"/>
          <w:numId w:val="14"/>
        </w:numPr>
        <w:spacing w:after="0"/>
        <w:rPr>
          <w:rFonts w:cstheme="minorHAnsi"/>
        </w:rPr>
      </w:pPr>
      <w:r w:rsidRPr="00B65AE2">
        <w:rPr>
          <w:rFonts w:cstheme="minorHAnsi"/>
        </w:rPr>
        <w:t>Targeted farm</w:t>
      </w:r>
      <w:r>
        <w:rPr>
          <w:rFonts w:cstheme="minorHAnsi"/>
        </w:rPr>
        <w:t>ing households</w:t>
      </w:r>
      <w:r w:rsidRPr="00B65AE2">
        <w:rPr>
          <w:rFonts w:cstheme="minorHAnsi"/>
        </w:rPr>
        <w:t xml:space="preserve"> </w:t>
      </w:r>
      <w:r>
        <w:rPr>
          <w:rFonts w:cstheme="minorHAnsi"/>
        </w:rPr>
        <w:t xml:space="preserve">achieve greater </w:t>
      </w:r>
      <w:r w:rsidRPr="00B65AE2">
        <w:rPr>
          <w:rFonts w:cstheme="minorHAnsi"/>
        </w:rPr>
        <w:t>access</w:t>
      </w:r>
      <w:r>
        <w:rPr>
          <w:rFonts w:cstheme="minorHAnsi"/>
        </w:rPr>
        <w:t xml:space="preserve"> to and</w:t>
      </w:r>
      <w:r w:rsidRPr="00B65AE2">
        <w:rPr>
          <w:rFonts w:cstheme="minorHAnsi"/>
        </w:rPr>
        <w:t xml:space="preserve"> </w:t>
      </w:r>
      <w:r>
        <w:rPr>
          <w:rFonts w:cstheme="minorHAnsi"/>
        </w:rPr>
        <w:t xml:space="preserve">improved </w:t>
      </w:r>
      <w:r w:rsidRPr="00B65AE2">
        <w:rPr>
          <w:rFonts w:cstheme="minorHAnsi"/>
        </w:rPr>
        <w:t>use</w:t>
      </w:r>
      <w:r>
        <w:rPr>
          <w:rFonts w:cstheme="minorHAnsi"/>
        </w:rPr>
        <w:t xml:space="preserve"> of</w:t>
      </w:r>
      <w:r w:rsidRPr="00B65AE2">
        <w:rPr>
          <w:rFonts w:cstheme="minorHAnsi"/>
        </w:rPr>
        <w:t xml:space="preserve"> new services, inputs and technologies supplied by private sector partners</w:t>
      </w:r>
      <w:r>
        <w:rPr>
          <w:rFonts w:cstheme="minorHAnsi"/>
        </w:rPr>
        <w:t xml:space="preserve"> and their</w:t>
      </w:r>
      <w:r w:rsidRPr="00B65AE2">
        <w:rPr>
          <w:rFonts w:cstheme="minorHAnsi"/>
        </w:rPr>
        <w:t xml:space="preserve"> intermediate</w:t>
      </w:r>
      <w:r>
        <w:rPr>
          <w:rFonts w:cstheme="minorHAnsi"/>
        </w:rPr>
        <w:t xml:space="preserve"> agents or</w:t>
      </w:r>
      <w:r w:rsidRPr="00B65AE2">
        <w:rPr>
          <w:rFonts w:cstheme="minorHAnsi"/>
        </w:rPr>
        <w:t xml:space="preserve"> service providers</w:t>
      </w:r>
      <w:r>
        <w:rPr>
          <w:rFonts w:cstheme="minorHAnsi"/>
        </w:rPr>
        <w:t>, such as retailers, traders and brokers</w:t>
      </w:r>
      <w:r w:rsidRPr="00B65AE2">
        <w:rPr>
          <w:rFonts w:cstheme="minorHAnsi"/>
        </w:rPr>
        <w:t>.</w:t>
      </w:r>
    </w:p>
    <w:p w14:paraId="556CDF07" w14:textId="77777777" w:rsidR="00265CF6" w:rsidRDefault="00A71E88" w:rsidP="00417375">
      <w:pPr>
        <w:pStyle w:val="ListParagraph"/>
        <w:numPr>
          <w:ilvl w:val="0"/>
          <w:numId w:val="14"/>
        </w:numPr>
        <w:spacing w:after="0"/>
        <w:rPr>
          <w:rFonts w:cstheme="minorHAnsi"/>
        </w:rPr>
      </w:pPr>
      <w:r>
        <w:rPr>
          <w:rFonts w:cstheme="minorHAnsi"/>
        </w:rPr>
        <w:t xml:space="preserve">An expanded pool of </w:t>
      </w:r>
      <w:r w:rsidRPr="00B65AE2">
        <w:rPr>
          <w:rFonts w:cstheme="minorHAnsi"/>
        </w:rPr>
        <w:t xml:space="preserve">private sector </w:t>
      </w:r>
      <w:r>
        <w:rPr>
          <w:rFonts w:cstheme="minorHAnsi"/>
        </w:rPr>
        <w:t xml:space="preserve">actors </w:t>
      </w:r>
      <w:r w:rsidRPr="00B65AE2">
        <w:rPr>
          <w:rFonts w:cstheme="minorHAnsi"/>
        </w:rPr>
        <w:t>systematically target</w:t>
      </w:r>
      <w:r>
        <w:rPr>
          <w:rFonts w:cstheme="minorHAnsi"/>
        </w:rPr>
        <w:t xml:space="preserve">ing </w:t>
      </w:r>
      <w:r w:rsidRPr="00B65AE2">
        <w:rPr>
          <w:rFonts w:cstheme="minorHAnsi"/>
        </w:rPr>
        <w:t>smallholder farm</w:t>
      </w:r>
      <w:r>
        <w:rPr>
          <w:rFonts w:cstheme="minorHAnsi"/>
        </w:rPr>
        <w:t>ing households</w:t>
      </w:r>
      <w:r w:rsidRPr="00B65AE2">
        <w:rPr>
          <w:rFonts w:cstheme="minorHAnsi"/>
        </w:rPr>
        <w:t xml:space="preserve"> in their business growth strategies</w:t>
      </w:r>
      <w:r w:rsidR="00E820B4">
        <w:rPr>
          <w:rFonts w:cstheme="minorHAnsi"/>
        </w:rPr>
        <w:t xml:space="preserve"> and increasing their profit as a result</w:t>
      </w:r>
      <w:r>
        <w:rPr>
          <w:rFonts w:cstheme="minorHAnsi"/>
        </w:rPr>
        <w:t>.</w:t>
      </w:r>
    </w:p>
    <w:p w14:paraId="15BDC3C8" w14:textId="2E3804E1" w:rsidR="00A71E88" w:rsidRPr="00265CF6" w:rsidRDefault="00265CF6" w:rsidP="00417375">
      <w:pPr>
        <w:pStyle w:val="ListParagraph"/>
        <w:numPr>
          <w:ilvl w:val="0"/>
          <w:numId w:val="14"/>
        </w:numPr>
        <w:spacing w:after="0"/>
        <w:rPr>
          <w:rFonts w:cstheme="minorHAnsi"/>
        </w:rPr>
      </w:pPr>
      <w:r>
        <w:t>Selected decision makers (e</w:t>
      </w:r>
      <w:r w:rsidR="00C13A1C">
        <w:t>.</w:t>
      </w:r>
      <w:r>
        <w:t>g. local and national government) and policy influencers (e</w:t>
      </w:r>
      <w:r w:rsidR="00C13A1C">
        <w:t>.</w:t>
      </w:r>
      <w:r>
        <w:t>g. businesses, industry groups, think tanks, consultants) are equipped with evidence to influence changes in the Indonesian business enabling environment at the national and local levels.</w:t>
      </w:r>
    </w:p>
    <w:p w14:paraId="54BD5703" w14:textId="77777777" w:rsidR="00265CF6" w:rsidRPr="00265CF6" w:rsidRDefault="00265CF6" w:rsidP="00265CF6">
      <w:pPr>
        <w:pStyle w:val="ListParagraph"/>
        <w:spacing w:after="0"/>
        <w:rPr>
          <w:rFonts w:cstheme="minorHAnsi"/>
        </w:rPr>
      </w:pPr>
    </w:p>
    <w:p w14:paraId="01688529" w14:textId="5126A929" w:rsidR="00B87FAE" w:rsidRDefault="00A71E88" w:rsidP="00794C57">
      <w:pPr>
        <w:pStyle w:val="BodyText"/>
        <w:rPr>
          <w:rFonts w:cstheme="minorHAnsi"/>
        </w:rPr>
      </w:pPr>
      <w:r>
        <w:rPr>
          <w:rFonts w:cstheme="minorHAnsi"/>
        </w:rPr>
        <w:t>PRISMA-2</w:t>
      </w:r>
      <w:r w:rsidRPr="00C651AA">
        <w:rPr>
          <w:rFonts w:cstheme="minorHAnsi"/>
        </w:rPr>
        <w:t xml:space="preserve"> will </w:t>
      </w:r>
      <w:r>
        <w:rPr>
          <w:rFonts w:cstheme="minorHAnsi"/>
        </w:rPr>
        <w:t>achieve impact by stimulating</w:t>
      </w:r>
      <w:r w:rsidRPr="00C651AA">
        <w:rPr>
          <w:rFonts w:cstheme="minorHAnsi"/>
        </w:rPr>
        <w:t xml:space="preserve"> market systems development</w:t>
      </w:r>
      <w:r w:rsidR="00A875D1">
        <w:rPr>
          <w:rFonts w:cstheme="minorHAnsi"/>
        </w:rPr>
        <w:t xml:space="preserve"> </w:t>
      </w:r>
      <w:r w:rsidRPr="00C651AA">
        <w:rPr>
          <w:rFonts w:cstheme="minorHAnsi"/>
        </w:rPr>
        <w:t xml:space="preserve">in the </w:t>
      </w:r>
      <w:r w:rsidR="00265CF6">
        <w:rPr>
          <w:rFonts w:cstheme="minorHAnsi"/>
        </w:rPr>
        <w:t xml:space="preserve">areas of </w:t>
      </w:r>
      <w:r w:rsidRPr="00C651AA">
        <w:rPr>
          <w:rFonts w:cstheme="minorHAnsi"/>
        </w:rPr>
        <w:t>agriculture</w:t>
      </w:r>
      <w:r w:rsidR="00265CF6">
        <w:rPr>
          <w:rFonts w:cstheme="minorHAnsi"/>
        </w:rPr>
        <w:t xml:space="preserve">, horticulture, livestock and </w:t>
      </w:r>
      <w:r w:rsidR="00962EBA">
        <w:rPr>
          <w:rFonts w:cstheme="minorHAnsi"/>
        </w:rPr>
        <w:t xml:space="preserve">aquaculture </w:t>
      </w:r>
      <w:r w:rsidR="00962EBA" w:rsidRPr="00C651AA">
        <w:rPr>
          <w:rFonts w:cstheme="minorHAnsi"/>
        </w:rPr>
        <w:t>where</w:t>
      </w:r>
      <w:r w:rsidR="00265CF6">
        <w:rPr>
          <w:rFonts w:cstheme="minorHAnsi"/>
        </w:rPr>
        <w:t xml:space="preserve"> they align with program objectives</w:t>
      </w:r>
      <w:r w:rsidR="00265CF6" w:rsidRPr="00A73E4E">
        <w:rPr>
          <w:rFonts w:cstheme="minorHAnsi"/>
        </w:rPr>
        <w:t xml:space="preserve">, based on analysis of pro-poor relevance, </w:t>
      </w:r>
      <w:r w:rsidR="00265CF6">
        <w:rPr>
          <w:rFonts w:cstheme="minorHAnsi"/>
        </w:rPr>
        <w:t xml:space="preserve">market </w:t>
      </w:r>
      <w:r w:rsidR="00265CF6" w:rsidRPr="00A73E4E">
        <w:rPr>
          <w:rFonts w:cstheme="minorHAnsi"/>
        </w:rPr>
        <w:t xml:space="preserve">opportunity and </w:t>
      </w:r>
      <w:r w:rsidR="00265CF6">
        <w:rPr>
          <w:rFonts w:cstheme="minorHAnsi"/>
        </w:rPr>
        <w:t xml:space="preserve">technical </w:t>
      </w:r>
      <w:r w:rsidR="00265CF6" w:rsidRPr="00A73E4E">
        <w:rPr>
          <w:rFonts w:cstheme="minorHAnsi"/>
        </w:rPr>
        <w:t xml:space="preserve">feasibility of addressing performance </w:t>
      </w:r>
      <w:r w:rsidR="005347E5">
        <w:rPr>
          <w:rFonts w:cstheme="minorHAnsi"/>
        </w:rPr>
        <w:t xml:space="preserve">constraints. </w:t>
      </w:r>
    </w:p>
    <w:p w14:paraId="0C1D7FDE" w14:textId="2343EA35" w:rsidR="00A71E88" w:rsidRDefault="00A71E88" w:rsidP="00794C57">
      <w:pPr>
        <w:pStyle w:val="BodyText"/>
        <w:rPr>
          <w:rFonts w:cstheme="minorHAnsi"/>
        </w:rPr>
      </w:pPr>
      <w:r w:rsidRPr="00A71E88">
        <w:rPr>
          <w:rFonts w:cstheme="minorHAnsi"/>
        </w:rPr>
        <w:t>PRISMA-2 will preserve AIP-</w:t>
      </w:r>
      <w:proofErr w:type="spellStart"/>
      <w:r w:rsidRPr="00A71E88">
        <w:rPr>
          <w:rFonts w:cstheme="minorHAnsi"/>
        </w:rPr>
        <w:t>Rural’s</w:t>
      </w:r>
      <w:proofErr w:type="spellEnd"/>
      <w:r w:rsidRPr="00A71E88">
        <w:rPr>
          <w:rFonts w:cstheme="minorHAnsi"/>
        </w:rPr>
        <w:t xml:space="preserve"> proven systems, whil</w:t>
      </w:r>
      <w:r w:rsidR="00A875D1">
        <w:rPr>
          <w:rFonts w:cstheme="minorHAnsi"/>
        </w:rPr>
        <w:t>e</w:t>
      </w:r>
      <w:r w:rsidRPr="00A71E88">
        <w:rPr>
          <w:rFonts w:cstheme="minorHAnsi"/>
        </w:rPr>
        <w:t xml:space="preserve"> retaining a flexible and adaptive management approach that continues to build on existing systems to manage new challenges in the future</w:t>
      </w:r>
      <w:r w:rsidR="007D0D7E">
        <w:rPr>
          <w:rFonts w:cstheme="minorHAnsi"/>
        </w:rPr>
        <w:t>. It will</w:t>
      </w:r>
      <w:r w:rsidR="00475E90">
        <w:rPr>
          <w:rFonts w:cstheme="minorHAnsi"/>
        </w:rPr>
        <w:t xml:space="preserve"> identify new opportunities to reach scale and systemic change and</w:t>
      </w:r>
      <w:r w:rsidRPr="00A71E88">
        <w:rPr>
          <w:rFonts w:cstheme="minorHAnsi"/>
        </w:rPr>
        <w:t xml:space="preserve"> continuously evolve and improve to retain </w:t>
      </w:r>
      <w:r w:rsidR="007D0D7E">
        <w:rPr>
          <w:rFonts w:cstheme="minorHAnsi"/>
        </w:rPr>
        <w:t>the Program’s</w:t>
      </w:r>
      <w:r w:rsidRPr="00A71E88">
        <w:rPr>
          <w:rFonts w:cstheme="minorHAnsi"/>
        </w:rPr>
        <w:t xml:space="preserve"> position at the forefront of</w:t>
      </w:r>
      <w:r w:rsidR="0032076A">
        <w:rPr>
          <w:rFonts w:cstheme="minorHAnsi"/>
        </w:rPr>
        <w:t xml:space="preserve"> </w:t>
      </w:r>
      <w:r w:rsidR="00A875D1">
        <w:rPr>
          <w:rFonts w:cstheme="minorHAnsi"/>
        </w:rPr>
        <w:t>MSD</w:t>
      </w:r>
      <w:r w:rsidRPr="00845FF7">
        <w:rPr>
          <w:rFonts w:cstheme="minorHAnsi"/>
        </w:rPr>
        <w:t xml:space="preserve"> innovation.</w:t>
      </w:r>
      <w:r w:rsidR="0014714E" w:rsidRPr="00845FF7">
        <w:rPr>
          <w:rFonts w:cstheme="minorHAnsi"/>
        </w:rPr>
        <w:t xml:space="preserve"> </w:t>
      </w:r>
      <w:r w:rsidR="00B87FAE">
        <w:rPr>
          <w:rFonts w:cstheme="minorHAnsi"/>
        </w:rPr>
        <w:t xml:space="preserve">Key changes between AIP-Rural and PRISMA-2 include: </w:t>
      </w:r>
    </w:p>
    <w:p w14:paraId="7A69ACB1" w14:textId="1B103BB6" w:rsidR="00B87FAE" w:rsidRPr="00343460" w:rsidRDefault="00B87FAE" w:rsidP="007A0995">
      <w:pPr>
        <w:pStyle w:val="ListParagraph"/>
        <w:numPr>
          <w:ilvl w:val="0"/>
          <w:numId w:val="63"/>
        </w:numPr>
        <w:rPr>
          <w:rFonts w:cstheme="minorHAnsi"/>
        </w:rPr>
      </w:pPr>
      <w:r w:rsidRPr="00C02AAA">
        <w:rPr>
          <w:rFonts w:cstheme="minorHAnsi"/>
          <w:b/>
        </w:rPr>
        <w:lastRenderedPageBreak/>
        <w:t>Moving from a four-project model to a single, integrated program with one Contractor:</w:t>
      </w:r>
      <w:r>
        <w:rPr>
          <w:rFonts w:cstheme="minorHAnsi"/>
        </w:rPr>
        <w:t xml:space="preserve"> PRISMA-2 will have the full flexibility to deliver a wide range of solutions using the ‘PRISMA model’ as its core program approach and drawing on solutions and evidence from the other three </w:t>
      </w:r>
      <w:r w:rsidR="00903930">
        <w:rPr>
          <w:rFonts w:cstheme="minorHAnsi"/>
        </w:rPr>
        <w:t xml:space="preserve">AIP-Rural </w:t>
      </w:r>
      <w:r>
        <w:rPr>
          <w:rFonts w:cstheme="minorHAnsi"/>
        </w:rPr>
        <w:t>projects where relevant to achieving objectives.</w:t>
      </w:r>
    </w:p>
    <w:p w14:paraId="4312ED86" w14:textId="581C6C3E" w:rsidR="00B87FAE" w:rsidRPr="00343460" w:rsidRDefault="007511C6" w:rsidP="007A0995">
      <w:pPr>
        <w:pStyle w:val="ListParagraph"/>
        <w:numPr>
          <w:ilvl w:val="0"/>
          <w:numId w:val="63"/>
        </w:numPr>
        <w:rPr>
          <w:rFonts w:cstheme="minorHAnsi"/>
        </w:rPr>
      </w:pPr>
      <w:r>
        <w:rPr>
          <w:rFonts w:cstheme="minorHAnsi"/>
          <w:b/>
        </w:rPr>
        <w:t>Scaling up to achieve new</w:t>
      </w:r>
      <w:r w:rsidR="00B87FAE" w:rsidRPr="00C02AAA">
        <w:rPr>
          <w:rFonts w:cstheme="minorHAnsi"/>
          <w:b/>
        </w:rPr>
        <w:t xml:space="preserve"> ambitious targets:</w:t>
      </w:r>
      <w:r w:rsidR="00B87FAE" w:rsidRPr="00343460">
        <w:rPr>
          <w:rFonts w:cstheme="minorHAnsi"/>
        </w:rPr>
        <w:t xml:space="preserve"> moving from an outreach of 300,000 </w:t>
      </w:r>
      <w:r w:rsidR="00B87FAE">
        <w:rPr>
          <w:rFonts w:cstheme="minorHAnsi"/>
        </w:rPr>
        <w:t xml:space="preserve">smallholder </w:t>
      </w:r>
      <w:r w:rsidR="00B87FAE" w:rsidRPr="00343460">
        <w:rPr>
          <w:rFonts w:cstheme="minorHAnsi"/>
        </w:rPr>
        <w:t>farming households</w:t>
      </w:r>
      <w:r w:rsidR="00B87FAE">
        <w:rPr>
          <w:rFonts w:cstheme="minorHAnsi"/>
        </w:rPr>
        <w:t xml:space="preserve"> (2013-2018)</w:t>
      </w:r>
      <w:r w:rsidR="00B87FAE" w:rsidRPr="00343460">
        <w:rPr>
          <w:rFonts w:cstheme="minorHAnsi"/>
        </w:rPr>
        <w:t xml:space="preserve"> to </w:t>
      </w:r>
      <w:r w:rsidR="00B87FAE">
        <w:rPr>
          <w:rFonts w:cstheme="minorHAnsi"/>
        </w:rPr>
        <w:t xml:space="preserve">an additional </w:t>
      </w:r>
      <w:r w:rsidR="00B87FAE" w:rsidRPr="00343460">
        <w:rPr>
          <w:rFonts w:cstheme="minorHAnsi"/>
        </w:rPr>
        <w:t>700,000 households</w:t>
      </w:r>
      <w:r w:rsidR="00B87FAE">
        <w:rPr>
          <w:rFonts w:cstheme="minorHAnsi"/>
        </w:rPr>
        <w:t xml:space="preserve"> (2019-2023)</w:t>
      </w:r>
      <w:r>
        <w:rPr>
          <w:rFonts w:cstheme="minorHAnsi"/>
        </w:rPr>
        <w:t>.</w:t>
      </w:r>
    </w:p>
    <w:p w14:paraId="482F04D2" w14:textId="259DF7A6" w:rsidR="00B87FAE" w:rsidRPr="00343460" w:rsidRDefault="00B87FAE" w:rsidP="007A0995">
      <w:pPr>
        <w:pStyle w:val="ListParagraph"/>
        <w:numPr>
          <w:ilvl w:val="0"/>
          <w:numId w:val="63"/>
        </w:numPr>
        <w:rPr>
          <w:rFonts w:cstheme="minorHAnsi"/>
        </w:rPr>
      </w:pPr>
      <w:r w:rsidRPr="00C02AAA">
        <w:rPr>
          <w:rFonts w:cstheme="minorHAnsi"/>
          <w:b/>
        </w:rPr>
        <w:t>Increasing the geographic coverage of the Program:</w:t>
      </w:r>
      <w:r w:rsidRPr="00343460">
        <w:rPr>
          <w:rFonts w:cstheme="minorHAnsi"/>
        </w:rPr>
        <w:t xml:space="preserve"> </w:t>
      </w:r>
      <w:r w:rsidR="007511C6">
        <w:rPr>
          <w:rFonts w:cstheme="minorHAnsi"/>
        </w:rPr>
        <w:t>adding Central Java to the existing five</w:t>
      </w:r>
      <w:r w:rsidRPr="00343460">
        <w:rPr>
          <w:rFonts w:cstheme="minorHAnsi"/>
        </w:rPr>
        <w:t xml:space="preserve"> provinces </w:t>
      </w:r>
      <w:r w:rsidR="007511C6">
        <w:rPr>
          <w:rFonts w:cstheme="minorHAnsi"/>
        </w:rPr>
        <w:t>of East Java, NTT, NTB, Papua and West Papua.</w:t>
      </w:r>
    </w:p>
    <w:p w14:paraId="54898F86" w14:textId="3E7D080F" w:rsidR="00B87FAE" w:rsidRPr="007511C6" w:rsidRDefault="00B87FAE" w:rsidP="007A0995">
      <w:pPr>
        <w:pStyle w:val="ListParagraph"/>
        <w:numPr>
          <w:ilvl w:val="0"/>
          <w:numId w:val="63"/>
        </w:numPr>
        <w:rPr>
          <w:rFonts w:cstheme="minorHAnsi"/>
        </w:rPr>
      </w:pPr>
      <w:r w:rsidRPr="00C02AAA">
        <w:rPr>
          <w:rFonts w:cstheme="minorHAnsi"/>
          <w:b/>
        </w:rPr>
        <w:t>Strengthening the focus on policy influence, the wider agri-business enabling environment</w:t>
      </w:r>
      <w:r>
        <w:rPr>
          <w:rFonts w:cstheme="minorHAnsi"/>
          <w:b/>
        </w:rPr>
        <w:t>, and systemic change</w:t>
      </w:r>
      <w:r>
        <w:rPr>
          <w:rFonts w:cstheme="minorHAnsi"/>
        </w:rPr>
        <w:t>:</w:t>
      </w:r>
      <w:r w:rsidRPr="00343460">
        <w:rPr>
          <w:rFonts w:cstheme="minorHAnsi"/>
        </w:rPr>
        <w:t xml:space="preserve"> through </w:t>
      </w:r>
      <w:r>
        <w:rPr>
          <w:rFonts w:cstheme="minorHAnsi"/>
        </w:rPr>
        <w:t xml:space="preserve">equipping decision makers with evidence and the development of </w:t>
      </w:r>
      <w:r w:rsidRPr="00343460">
        <w:rPr>
          <w:rFonts w:cstheme="minorHAnsi"/>
        </w:rPr>
        <w:t xml:space="preserve">strategic partnerships with key </w:t>
      </w:r>
      <w:r>
        <w:rPr>
          <w:rFonts w:cstheme="minorHAnsi"/>
        </w:rPr>
        <w:t>policy and agri-business influencers.</w:t>
      </w:r>
    </w:p>
    <w:p w14:paraId="03576EC7" w14:textId="78A37AA7" w:rsidR="00CA5BDC" w:rsidRDefault="00CA5BDC" w:rsidP="00794C57">
      <w:pPr>
        <w:pStyle w:val="BodyText"/>
        <w:rPr>
          <w:rFonts w:cstheme="minorHAnsi"/>
        </w:rPr>
      </w:pPr>
      <w:r w:rsidRPr="00CA5BDC">
        <w:rPr>
          <w:rFonts w:cstheme="minorHAnsi"/>
        </w:rPr>
        <w:t xml:space="preserve">PRISMA-2 will contribute to DFAT’s policy </w:t>
      </w:r>
      <w:r w:rsidR="00F25382">
        <w:rPr>
          <w:rFonts w:cstheme="minorHAnsi"/>
        </w:rPr>
        <w:t>support</w:t>
      </w:r>
      <w:r w:rsidR="00FC4FB5">
        <w:rPr>
          <w:rFonts w:cstheme="minorHAnsi"/>
        </w:rPr>
        <w:t xml:space="preserve"> to the Government of Indonesia</w:t>
      </w:r>
      <w:r w:rsidRPr="00CA5BDC">
        <w:rPr>
          <w:rFonts w:cstheme="minorHAnsi"/>
        </w:rPr>
        <w:t xml:space="preserve"> where</w:t>
      </w:r>
      <w:r w:rsidR="007D0D7E">
        <w:rPr>
          <w:rFonts w:cstheme="minorHAnsi"/>
        </w:rPr>
        <w:t xml:space="preserve"> appropriate</w:t>
      </w:r>
      <w:r w:rsidRPr="00CA5BDC">
        <w:rPr>
          <w:rFonts w:cstheme="minorHAnsi"/>
        </w:rPr>
        <w:t>, through its expertise, evidence and networks</w:t>
      </w:r>
      <w:r w:rsidR="00475E90">
        <w:rPr>
          <w:rFonts w:cstheme="minorHAnsi"/>
        </w:rPr>
        <w:t>,</w:t>
      </w:r>
      <w:r w:rsidR="00E8342F">
        <w:rPr>
          <w:rFonts w:cstheme="minorHAnsi"/>
        </w:rPr>
        <w:t xml:space="preserve"> and transfer of lessons learned</w:t>
      </w:r>
      <w:r w:rsidRPr="00CA5BDC">
        <w:rPr>
          <w:rFonts w:cstheme="minorHAnsi"/>
        </w:rPr>
        <w:t xml:space="preserve">. These contributions will be guided by clear strategies and </w:t>
      </w:r>
      <w:r w:rsidR="00475E90">
        <w:rPr>
          <w:rFonts w:cstheme="minorHAnsi"/>
        </w:rPr>
        <w:t>coalition</w:t>
      </w:r>
      <w:r w:rsidR="006B55D9">
        <w:rPr>
          <w:rFonts w:cstheme="minorHAnsi"/>
        </w:rPr>
        <w:t xml:space="preserve">s </w:t>
      </w:r>
      <w:r w:rsidRPr="00CA5BDC">
        <w:rPr>
          <w:rFonts w:cstheme="minorHAnsi"/>
        </w:rPr>
        <w:t xml:space="preserve">between </w:t>
      </w:r>
      <w:r w:rsidR="001F5B68" w:rsidRPr="00CA5BDC">
        <w:rPr>
          <w:rFonts w:cstheme="minorHAnsi"/>
        </w:rPr>
        <w:t>PRISMA-2</w:t>
      </w:r>
      <w:r w:rsidR="001F5B68">
        <w:rPr>
          <w:rFonts w:cstheme="minorHAnsi"/>
        </w:rPr>
        <w:t xml:space="preserve">, </w:t>
      </w:r>
      <w:r w:rsidRPr="00CA5BDC">
        <w:rPr>
          <w:rFonts w:cstheme="minorHAnsi"/>
        </w:rPr>
        <w:t xml:space="preserve">DFAT </w:t>
      </w:r>
      <w:r w:rsidR="007D0D7E">
        <w:rPr>
          <w:rFonts w:cstheme="minorHAnsi"/>
        </w:rPr>
        <w:t>staff</w:t>
      </w:r>
      <w:r w:rsidRPr="00CA5BDC">
        <w:rPr>
          <w:rFonts w:cstheme="minorHAnsi"/>
        </w:rPr>
        <w:t>, other DFAT-funded initiatives,</w:t>
      </w:r>
      <w:r w:rsidR="001F5B68">
        <w:rPr>
          <w:rFonts w:cstheme="minorHAnsi"/>
        </w:rPr>
        <w:t xml:space="preserve"> and other stakeholders</w:t>
      </w:r>
      <w:r w:rsidRPr="00CA5BDC">
        <w:rPr>
          <w:rFonts w:cstheme="minorHAnsi"/>
        </w:rPr>
        <w:t xml:space="preserve"> </w:t>
      </w:r>
      <w:r w:rsidR="006B55D9">
        <w:rPr>
          <w:rFonts w:cstheme="minorHAnsi"/>
        </w:rPr>
        <w:t>where appropriate</w:t>
      </w:r>
      <w:r w:rsidRPr="00CA5BDC">
        <w:rPr>
          <w:rFonts w:cstheme="minorHAnsi"/>
        </w:rPr>
        <w:t>.</w:t>
      </w:r>
      <w:r w:rsidR="00475E90">
        <w:rPr>
          <w:rFonts w:cstheme="minorHAnsi"/>
        </w:rPr>
        <w:t xml:space="preserve"> The Program will also adopt an ‘influence the influencers’ approach by identifying stakeholders who are well positioned to influence decision makers and ensure they have the right evidence and strategies to advocate for change.</w:t>
      </w:r>
    </w:p>
    <w:p w14:paraId="47FFB20D" w14:textId="3E6D1EAF" w:rsidR="007511C6" w:rsidRPr="007511C6" w:rsidRDefault="007511C6" w:rsidP="0014714E">
      <w:r>
        <w:rPr>
          <w:rFonts w:cstheme="minorHAnsi"/>
        </w:rPr>
        <w:t xml:space="preserve">The Program will be managed by a single Contractor </w:t>
      </w:r>
      <w:r w:rsidRPr="00343460">
        <w:rPr>
          <w:rFonts w:cstheme="minorHAnsi"/>
        </w:rPr>
        <w:t xml:space="preserve">responsible for the management of all </w:t>
      </w:r>
      <w:r>
        <w:rPr>
          <w:rFonts w:cstheme="minorHAnsi"/>
        </w:rPr>
        <w:t>PRISMA-2</w:t>
      </w:r>
      <w:r w:rsidRPr="00343460">
        <w:rPr>
          <w:rFonts w:cstheme="minorHAnsi"/>
        </w:rPr>
        <w:t xml:space="preserve"> funds, </w:t>
      </w:r>
      <w:r>
        <w:rPr>
          <w:rFonts w:cstheme="minorHAnsi"/>
        </w:rPr>
        <w:t>disbursed through</w:t>
      </w:r>
      <w:r w:rsidRPr="00343460">
        <w:rPr>
          <w:rFonts w:cstheme="minorHAnsi"/>
        </w:rPr>
        <w:t xml:space="preserve"> program interventions</w:t>
      </w:r>
      <w:r>
        <w:rPr>
          <w:rFonts w:cstheme="minorHAnsi"/>
        </w:rPr>
        <w:t>, and</w:t>
      </w:r>
      <w:r w:rsidRPr="00343460">
        <w:rPr>
          <w:rFonts w:cstheme="minorHAnsi"/>
        </w:rPr>
        <w:t xml:space="preserve"> delivered through Partnership Agreements with </w:t>
      </w:r>
      <w:r>
        <w:rPr>
          <w:rFonts w:cstheme="minorHAnsi"/>
        </w:rPr>
        <w:t xml:space="preserve">partners including </w:t>
      </w:r>
      <w:r w:rsidRPr="00343460">
        <w:rPr>
          <w:rFonts w:cstheme="minorHAnsi"/>
        </w:rPr>
        <w:t xml:space="preserve">key private sector partners, industry groups and </w:t>
      </w:r>
      <w:r w:rsidRPr="009128D0">
        <w:rPr>
          <w:rFonts w:cstheme="minorHAnsi"/>
        </w:rPr>
        <w:t>research/academic institut</w:t>
      </w:r>
      <w:r>
        <w:rPr>
          <w:rFonts w:cstheme="minorHAnsi"/>
        </w:rPr>
        <w:t>e</w:t>
      </w:r>
      <w:r w:rsidRPr="009128D0">
        <w:rPr>
          <w:rFonts w:cstheme="minorHAnsi"/>
        </w:rPr>
        <w:t>s</w:t>
      </w:r>
      <w:r>
        <w:rPr>
          <w:rFonts w:cstheme="minorHAnsi"/>
        </w:rPr>
        <w:t>. PRISMA-2 will bring together successful interventions, approaches and evidence from the four AIP-Rural sub-programs (PRISMA, SAFIRA, TIRTA and ARISA) where relevant to achieving PRISMA-2’s objectives.</w:t>
      </w:r>
    </w:p>
    <w:p w14:paraId="64F6F236" w14:textId="58907430" w:rsidR="00E8342F" w:rsidRDefault="00417375" w:rsidP="0014714E">
      <w:pPr>
        <w:rPr>
          <w:rFonts w:cstheme="minorHAnsi"/>
        </w:rPr>
      </w:pPr>
      <w:r>
        <w:rPr>
          <w:rFonts w:cstheme="minorHAnsi"/>
        </w:rPr>
        <w:t>PRISMA-2</w:t>
      </w:r>
      <w:r w:rsidRPr="00343460">
        <w:rPr>
          <w:rFonts w:cstheme="minorHAnsi"/>
        </w:rPr>
        <w:t xml:space="preserve"> will be implemented in accordance with the Australia-Indonesia bilateral </w:t>
      </w:r>
      <w:r>
        <w:rPr>
          <w:rFonts w:cstheme="minorHAnsi"/>
        </w:rPr>
        <w:t>General Agreement on Development Cooperation and</w:t>
      </w:r>
      <w:r w:rsidRPr="00343460">
        <w:rPr>
          <w:rFonts w:cstheme="minorHAnsi"/>
        </w:rPr>
        <w:t xml:space="preserve"> BAPPENAS </w:t>
      </w:r>
      <w:r>
        <w:rPr>
          <w:rFonts w:cstheme="minorHAnsi"/>
        </w:rPr>
        <w:t xml:space="preserve">will be the key Indonesian Counterpart. </w:t>
      </w:r>
      <w:r w:rsidRPr="00343460">
        <w:rPr>
          <w:rFonts w:cstheme="minorHAnsi"/>
        </w:rPr>
        <w:t xml:space="preserve">The </w:t>
      </w:r>
      <w:r w:rsidR="006B55D9">
        <w:rPr>
          <w:rFonts w:cstheme="minorHAnsi"/>
        </w:rPr>
        <w:t>P</w:t>
      </w:r>
      <w:r w:rsidRPr="00343460">
        <w:rPr>
          <w:rFonts w:cstheme="minorHAnsi"/>
        </w:rPr>
        <w:t xml:space="preserve">rogram will align with BAPPENAS priorities, </w:t>
      </w:r>
      <w:r>
        <w:rPr>
          <w:rFonts w:cstheme="minorHAnsi"/>
        </w:rPr>
        <w:t xml:space="preserve">outlined </w:t>
      </w:r>
      <w:r w:rsidRPr="00343460">
        <w:rPr>
          <w:rFonts w:cstheme="minorHAnsi"/>
        </w:rPr>
        <w:t>in the</w:t>
      </w:r>
      <w:r>
        <w:rPr>
          <w:rFonts w:cstheme="minorHAnsi"/>
        </w:rPr>
        <w:t xml:space="preserve"> </w:t>
      </w:r>
      <w:r w:rsidRPr="00343460">
        <w:rPr>
          <w:rFonts w:cstheme="minorHAnsi"/>
        </w:rPr>
        <w:t>RPJMN</w:t>
      </w:r>
      <w:r>
        <w:rPr>
          <w:rStyle w:val="FootnoteReference"/>
          <w:rFonts w:cstheme="minorHAnsi"/>
        </w:rPr>
        <w:footnoteReference w:id="1"/>
      </w:r>
      <w:r w:rsidRPr="00343460">
        <w:rPr>
          <w:rFonts w:cstheme="minorHAnsi"/>
        </w:rPr>
        <w:t xml:space="preserve">, to ensure </w:t>
      </w:r>
      <w:r>
        <w:rPr>
          <w:rFonts w:cstheme="minorHAnsi"/>
        </w:rPr>
        <w:t>PRISMA-2</w:t>
      </w:r>
      <w:r w:rsidRPr="00343460">
        <w:rPr>
          <w:rFonts w:cstheme="minorHAnsi"/>
        </w:rPr>
        <w:t xml:space="preserve"> supports development plans at the national and sub-national levels and to enable coordination with relevant key line agencies in each of the program provinces at the sub-national level.</w:t>
      </w:r>
      <w:r>
        <w:rPr>
          <w:rFonts w:cstheme="minorHAnsi"/>
        </w:rPr>
        <w:t xml:space="preserve"> </w:t>
      </w:r>
    </w:p>
    <w:p w14:paraId="64389CF9" w14:textId="4C11175A" w:rsidR="00F81DB9" w:rsidRPr="00314E16" w:rsidRDefault="00F81DB9" w:rsidP="00314E16">
      <w:pPr>
        <w:pStyle w:val="Heading1Numbered"/>
      </w:pPr>
      <w:bookmarkStart w:id="1" w:name="_Toc499298834"/>
      <w:r w:rsidRPr="00314E16">
        <w:t>Analysis and Strategic Context</w:t>
      </w:r>
      <w:bookmarkEnd w:id="1"/>
    </w:p>
    <w:p w14:paraId="0474F8FE" w14:textId="649AE421" w:rsidR="00287601" w:rsidRDefault="00287601" w:rsidP="00314E16">
      <w:pPr>
        <w:pStyle w:val="Heading3"/>
      </w:pPr>
      <w:bookmarkStart w:id="2" w:name="_Toc499298835"/>
      <w:r>
        <w:t>Introduction</w:t>
      </w:r>
      <w:bookmarkEnd w:id="2"/>
    </w:p>
    <w:p w14:paraId="3CC4FB22" w14:textId="68A5532E" w:rsidR="00FA0A9B" w:rsidRDefault="00FA0A9B" w:rsidP="007A0995">
      <w:pPr>
        <w:autoSpaceDE w:val="0"/>
        <w:autoSpaceDN w:val="0"/>
        <w:adjustRightInd w:val="0"/>
      </w:pPr>
      <w:r>
        <w:t xml:space="preserve">The </w:t>
      </w:r>
      <w:r w:rsidR="0026725E">
        <w:t>Australia-Indonesia Partnership for Promoting Rural Incomes through Support for Markets in Agriculture (</w:t>
      </w:r>
      <w:r w:rsidR="005D461A">
        <w:t>PRISMA-2</w:t>
      </w:r>
      <w:r w:rsidR="0026725E">
        <w:t>)</w:t>
      </w:r>
      <w:r w:rsidR="00287601">
        <w:t xml:space="preserve"> is a </w:t>
      </w:r>
      <w:r w:rsidR="006B55D9">
        <w:t>five</w:t>
      </w:r>
      <w:r w:rsidR="00287601">
        <w:t>-year program funded by the Australian Government’s aid program</w:t>
      </w:r>
      <w:r w:rsidR="009166F1">
        <w:t xml:space="preserve"> and implemented in cooperation with the Government of Indonesia. Australia’s contribution is </w:t>
      </w:r>
      <w:r w:rsidR="00287601">
        <w:t>managed by the Department of Foreign Affairs and Trade (</w:t>
      </w:r>
      <w:r w:rsidR="00444953">
        <w:t>DFAT</w:t>
      </w:r>
      <w:r w:rsidR="002B5FDB">
        <w:t>) in Indonesia. The P</w:t>
      </w:r>
      <w:r w:rsidR="00287601">
        <w:t>rogram will build upon the</w:t>
      </w:r>
      <w:r w:rsidR="00444953">
        <w:t xml:space="preserve"> achievements and results of the AIP-Rural program, continuing to use the </w:t>
      </w:r>
      <w:r w:rsidR="002B5FDB">
        <w:t>MSD</w:t>
      </w:r>
      <w:r w:rsidR="00444953">
        <w:t xml:space="preserve"> approach to support inclusive economic growth in </w:t>
      </w:r>
      <w:r w:rsidR="009166F1">
        <w:t>Indonesia’s</w:t>
      </w:r>
      <w:r w:rsidR="00444953">
        <w:t xml:space="preserve"> agricultur</w:t>
      </w:r>
      <w:r w:rsidR="002B5FDB">
        <w:t>e, horticulture, livestock and aquaculture sectors</w:t>
      </w:r>
      <w:r w:rsidR="00EC3772">
        <w:t>.</w:t>
      </w:r>
    </w:p>
    <w:p w14:paraId="198B97D9" w14:textId="61A8B0B5" w:rsidR="0026725E" w:rsidRDefault="002B5FDB">
      <w:pPr>
        <w:autoSpaceDE w:val="0"/>
        <w:autoSpaceDN w:val="0"/>
        <w:adjustRightInd w:val="0"/>
      </w:pPr>
      <w:r>
        <w:t xml:space="preserve">AIP-Rural uses an MSD or ‘making markets work for the poor’ </w:t>
      </w:r>
      <w:r w:rsidR="0026725E">
        <w:t>approach to improve smallholder farmer</w:t>
      </w:r>
      <w:r w:rsidR="002F7707">
        <w:t>s</w:t>
      </w:r>
      <w:r w:rsidR="0026725E">
        <w:t>’ competitiveness and access to new markets, better inputs, know-how and technology. It aims to achieve a sustainable 30</w:t>
      </w:r>
      <w:r w:rsidR="009F11E7">
        <w:t>%</w:t>
      </w:r>
      <w:r w:rsidR="0026725E">
        <w:t xml:space="preserve"> increase in the net incomes of 300,000 smallholder farming households in Indonesia by </w:t>
      </w:r>
      <w:r>
        <w:t xml:space="preserve">December </w:t>
      </w:r>
      <w:r w:rsidR="0026725E">
        <w:t xml:space="preserve">2018. The </w:t>
      </w:r>
      <w:r w:rsidR="00ED11DE">
        <w:t>five</w:t>
      </w:r>
      <w:r w:rsidR="00845FF7">
        <w:t>-</w:t>
      </w:r>
      <w:r w:rsidR="0026725E">
        <w:t xml:space="preserve">year AIP-Rural program has a budget of AUD </w:t>
      </w:r>
      <w:r w:rsidR="00FA0A9B">
        <w:t>112</w:t>
      </w:r>
      <w:r w:rsidR="0026725E">
        <w:t xml:space="preserve"> million and operates in East Java, West Nusa Tenggara (NTB), East Nusa Tenggara (NTT), Papua and West Papua.</w:t>
      </w:r>
    </w:p>
    <w:p w14:paraId="6F6919AB" w14:textId="04521E26" w:rsidR="00444953" w:rsidRDefault="00444953" w:rsidP="006F2CAB">
      <w:pPr>
        <w:autoSpaceDE w:val="0"/>
        <w:autoSpaceDN w:val="0"/>
        <w:adjustRightInd w:val="0"/>
      </w:pPr>
      <w:r>
        <w:lastRenderedPageBreak/>
        <w:t xml:space="preserve">AIP-Rural has made a significant contribution </w:t>
      </w:r>
      <w:r w:rsidR="009166F1">
        <w:t xml:space="preserve">to </w:t>
      </w:r>
      <w:r w:rsidR="00B91014">
        <w:t xml:space="preserve">increasing </w:t>
      </w:r>
      <w:r w:rsidR="002B5FDB">
        <w:t>smallholder farming</w:t>
      </w:r>
      <w:r>
        <w:t xml:space="preserve"> </w:t>
      </w:r>
      <w:r w:rsidR="0015685D">
        <w:t xml:space="preserve">household </w:t>
      </w:r>
      <w:r>
        <w:t>incomes</w:t>
      </w:r>
      <w:r w:rsidR="00B91014">
        <w:t xml:space="preserve"> by</w:t>
      </w:r>
      <w:r w:rsidR="00B91014" w:rsidRPr="00B91014">
        <w:t xml:space="preserve"> </w:t>
      </w:r>
      <w:r w:rsidR="00B91014">
        <w:t>improving market systems</w:t>
      </w:r>
      <w:r w:rsidR="009C3BBE">
        <w:t xml:space="preserve">, particularly </w:t>
      </w:r>
      <w:r w:rsidR="004918E6">
        <w:t xml:space="preserve">in </w:t>
      </w:r>
      <w:r w:rsidR="009C3BBE">
        <w:t>eastern Indonesia</w:t>
      </w:r>
      <w:r>
        <w:t>. Th</w:t>
      </w:r>
      <w:r w:rsidR="002B5FDB">
        <w:t>e P</w:t>
      </w:r>
      <w:r w:rsidR="00B91014">
        <w:t>rogram’s</w:t>
      </w:r>
      <w:r>
        <w:t xml:space="preserve"> interventions </w:t>
      </w:r>
      <w:r w:rsidR="0015685D">
        <w:t>ha</w:t>
      </w:r>
      <w:r w:rsidR="00B91014">
        <w:t>ve</w:t>
      </w:r>
      <w:r w:rsidR="0015685D">
        <w:t xml:space="preserve"> supported tangible</w:t>
      </w:r>
      <w:r w:rsidR="00B91014">
        <w:t xml:space="preserve"> and sustainable</w:t>
      </w:r>
      <w:r w:rsidR="0015685D">
        <w:t xml:space="preserve"> change</w:t>
      </w:r>
      <w:r w:rsidR="00B91014">
        <w:t>s</w:t>
      </w:r>
      <w:r w:rsidR="0015685D">
        <w:t xml:space="preserve"> in how private sector partners operate </w:t>
      </w:r>
      <w:r w:rsidR="009166F1">
        <w:t>while</w:t>
      </w:r>
      <w:r w:rsidR="0015685D">
        <w:t xml:space="preserve"> achiev</w:t>
      </w:r>
      <w:r w:rsidR="009166F1">
        <w:t>ing</w:t>
      </w:r>
      <w:r w:rsidR="0015685D">
        <w:t xml:space="preserve"> the following key pe</w:t>
      </w:r>
      <w:r w:rsidR="009D65A8">
        <w:t>rformance indicators (at end June</w:t>
      </w:r>
      <w:r w:rsidR="00C13A1C">
        <w:t xml:space="preserve"> 2017):</w:t>
      </w:r>
    </w:p>
    <w:p w14:paraId="3E07F2BE" w14:textId="4A31AE14" w:rsidR="00EA53FB" w:rsidRPr="009D65A8" w:rsidRDefault="00F25382" w:rsidP="004B220D">
      <w:pPr>
        <w:pStyle w:val="ListParagraph"/>
        <w:numPr>
          <w:ilvl w:val="0"/>
          <w:numId w:val="26"/>
        </w:numPr>
        <w:autoSpaceDE w:val="0"/>
        <w:autoSpaceDN w:val="0"/>
        <w:adjustRightInd w:val="0"/>
        <w:spacing w:after="0" w:line="240" w:lineRule="auto"/>
      </w:pPr>
      <w:r>
        <w:t>77,696</w:t>
      </w:r>
      <w:r w:rsidR="00E87FED">
        <w:t xml:space="preserve"> </w:t>
      </w:r>
      <w:r w:rsidR="00EA53FB" w:rsidRPr="00EC3772">
        <w:t>small</w:t>
      </w:r>
      <w:r w:rsidR="00EA53FB" w:rsidRPr="009D65A8">
        <w:t>-holder farming households</w:t>
      </w:r>
      <w:r w:rsidR="009166F1" w:rsidRPr="009D65A8">
        <w:rPr>
          <w:rStyle w:val="FootnoteReference"/>
        </w:rPr>
        <w:footnoteReference w:id="2"/>
      </w:r>
      <w:r w:rsidR="00EA53FB" w:rsidRPr="009D65A8">
        <w:t xml:space="preserve"> with </w:t>
      </w:r>
      <w:r w:rsidR="008F356E">
        <w:t xml:space="preserve">30% or more </w:t>
      </w:r>
      <w:r w:rsidR="00EA53FB" w:rsidRPr="009D65A8">
        <w:t>increased net income</w:t>
      </w:r>
      <w:r w:rsidR="000C7E61">
        <w:t>;</w:t>
      </w:r>
    </w:p>
    <w:p w14:paraId="51F8494D" w14:textId="57196A88" w:rsidR="00EA53FB" w:rsidRPr="009D65A8" w:rsidRDefault="00AF3FA2" w:rsidP="004B220D">
      <w:pPr>
        <w:pStyle w:val="ListParagraph"/>
        <w:numPr>
          <w:ilvl w:val="0"/>
          <w:numId w:val="26"/>
        </w:numPr>
        <w:autoSpaceDE w:val="0"/>
        <w:autoSpaceDN w:val="0"/>
        <w:adjustRightInd w:val="0"/>
        <w:spacing w:after="0" w:line="240" w:lineRule="auto"/>
      </w:pPr>
      <w:r w:rsidRPr="003B1DC4">
        <w:t>An estimated 32,000 women</w:t>
      </w:r>
      <w:r>
        <w:t xml:space="preserve"> were among the</w:t>
      </w:r>
      <w:r w:rsidR="00EA53FB" w:rsidRPr="009D65A8">
        <w:t xml:space="preserve"> farmers </w:t>
      </w:r>
      <w:r>
        <w:t xml:space="preserve">that directly </w:t>
      </w:r>
      <w:r w:rsidR="00EA53FB" w:rsidRPr="009D65A8">
        <w:t>benefited</w:t>
      </w:r>
      <w:r w:rsidR="000C7E61">
        <w:t>;</w:t>
      </w:r>
    </w:p>
    <w:p w14:paraId="3D20E67D" w14:textId="2AEADA92" w:rsidR="00EA53FB" w:rsidRPr="009D65A8" w:rsidRDefault="00EA53FB" w:rsidP="004B220D">
      <w:pPr>
        <w:pStyle w:val="ListParagraph"/>
        <w:numPr>
          <w:ilvl w:val="0"/>
          <w:numId w:val="26"/>
        </w:numPr>
        <w:autoSpaceDE w:val="0"/>
        <w:autoSpaceDN w:val="0"/>
        <w:adjustRightInd w:val="0"/>
        <w:spacing w:after="0" w:line="240" w:lineRule="auto"/>
      </w:pPr>
      <w:r w:rsidRPr="009D65A8">
        <w:t xml:space="preserve">Average net attributable income change (NAIC) of </w:t>
      </w:r>
      <w:r w:rsidR="00615987">
        <w:t>AUD320 per year increase for each benefiting farming household</w:t>
      </w:r>
      <w:r w:rsidR="000C7E61">
        <w:t>;</w:t>
      </w:r>
    </w:p>
    <w:p w14:paraId="3237293F" w14:textId="4C4956DE" w:rsidR="00EA53FB" w:rsidRPr="00EC3772" w:rsidRDefault="00615987" w:rsidP="004B220D">
      <w:pPr>
        <w:pStyle w:val="ListParagraph"/>
        <w:numPr>
          <w:ilvl w:val="0"/>
          <w:numId w:val="26"/>
        </w:numPr>
        <w:autoSpaceDE w:val="0"/>
        <w:autoSpaceDN w:val="0"/>
        <w:adjustRightInd w:val="0"/>
        <w:spacing w:after="0" w:line="240" w:lineRule="auto"/>
      </w:pPr>
      <w:r w:rsidRPr="00EC3772">
        <w:t>69</w:t>
      </w:r>
      <w:r w:rsidR="002B5FDB">
        <w:t>% of small</w:t>
      </w:r>
      <w:r w:rsidR="00EA53FB" w:rsidRPr="00EC3772">
        <w:t>holder farming households benefiting</w:t>
      </w:r>
      <w:r w:rsidR="00F93131" w:rsidRPr="00EC3772">
        <w:t xml:space="preserve"> consist of people</w:t>
      </w:r>
      <w:r w:rsidR="00EA53FB" w:rsidRPr="00EC3772">
        <w:t xml:space="preserve"> liv</w:t>
      </w:r>
      <w:r w:rsidR="00F93131" w:rsidRPr="00EC3772">
        <w:t>ing</w:t>
      </w:r>
      <w:r w:rsidR="00EA53FB" w:rsidRPr="00EC3772">
        <w:t xml:space="preserve"> below $2.50 per day (PPP)</w:t>
      </w:r>
      <w:r w:rsidR="000C7E61">
        <w:t>;</w:t>
      </w:r>
    </w:p>
    <w:p w14:paraId="09361594" w14:textId="522AB585" w:rsidR="00EA53FB" w:rsidRPr="00EC3772" w:rsidRDefault="00615987" w:rsidP="004B220D">
      <w:pPr>
        <w:pStyle w:val="ListParagraph"/>
        <w:numPr>
          <w:ilvl w:val="0"/>
          <w:numId w:val="26"/>
        </w:numPr>
        <w:autoSpaceDE w:val="0"/>
        <w:autoSpaceDN w:val="0"/>
        <w:adjustRightInd w:val="0"/>
        <w:spacing w:after="0" w:line="240" w:lineRule="auto"/>
      </w:pPr>
      <w:r w:rsidRPr="00EC3772">
        <w:t>105</w:t>
      </w:r>
      <w:r w:rsidR="00EA53FB" w:rsidRPr="00EC3772">
        <w:t xml:space="preserve"> private sector partners</w:t>
      </w:r>
      <w:r w:rsidR="000C7E61">
        <w:t>;</w:t>
      </w:r>
    </w:p>
    <w:p w14:paraId="7AE69160" w14:textId="1EDEE2C3" w:rsidR="00EA53FB" w:rsidRPr="009D65A8" w:rsidRDefault="00615987" w:rsidP="004B220D">
      <w:pPr>
        <w:pStyle w:val="ListParagraph"/>
        <w:numPr>
          <w:ilvl w:val="0"/>
          <w:numId w:val="26"/>
        </w:numPr>
        <w:autoSpaceDE w:val="0"/>
        <w:autoSpaceDN w:val="0"/>
        <w:adjustRightInd w:val="0"/>
        <w:spacing w:after="0" w:line="240" w:lineRule="auto"/>
      </w:pPr>
      <w:r w:rsidRPr="00EC3772">
        <w:t>1165</w:t>
      </w:r>
      <w:r w:rsidR="00EA53FB" w:rsidRPr="00EC3772">
        <w:t xml:space="preserve"> intermediate</w:t>
      </w:r>
      <w:r w:rsidR="00EA53FB" w:rsidRPr="009D65A8">
        <w:t xml:space="preserve"> service providers</w:t>
      </w:r>
      <w:r w:rsidR="000C7E61">
        <w:t>.</w:t>
      </w:r>
    </w:p>
    <w:p w14:paraId="1DA1CBA5" w14:textId="4A273851" w:rsidR="00444953" w:rsidRDefault="00444953" w:rsidP="00444953">
      <w:pPr>
        <w:autoSpaceDE w:val="0"/>
        <w:autoSpaceDN w:val="0"/>
        <w:adjustRightInd w:val="0"/>
        <w:spacing w:after="0" w:line="240" w:lineRule="auto"/>
      </w:pPr>
    </w:p>
    <w:p w14:paraId="1A959178" w14:textId="297509F8" w:rsidR="00314E16" w:rsidRDefault="009C3BBE" w:rsidP="00314E16">
      <w:pPr>
        <w:autoSpaceDE w:val="0"/>
        <w:autoSpaceDN w:val="0"/>
        <w:adjustRightInd w:val="0"/>
        <w:spacing w:after="0" w:line="240" w:lineRule="auto"/>
      </w:pPr>
      <w:r>
        <w:t xml:space="preserve">This Investment Design Document is a refinement </w:t>
      </w:r>
      <w:r w:rsidR="00ED11DE">
        <w:t xml:space="preserve">and update </w:t>
      </w:r>
      <w:r>
        <w:t>of the AIP-Rural design</w:t>
      </w:r>
      <w:r w:rsidR="008F356E">
        <w:t xml:space="preserve"> prepared in 2013. It</w:t>
      </w:r>
      <w:r>
        <w:t xml:space="preserve"> outlin</w:t>
      </w:r>
      <w:r w:rsidR="008F356E">
        <w:t>es</w:t>
      </w:r>
      <w:r>
        <w:t xml:space="preserve"> the next </w:t>
      </w:r>
      <w:r w:rsidR="00ED11DE">
        <w:t>five</w:t>
      </w:r>
      <w:r w:rsidR="00B91014">
        <w:t xml:space="preserve"> </w:t>
      </w:r>
      <w:r>
        <w:t xml:space="preserve">years of Australian </w:t>
      </w:r>
      <w:r w:rsidR="00ED11DE">
        <w:t>G</w:t>
      </w:r>
      <w:r>
        <w:t>overnment investment in rural development in Indonesia. The next phase of investment</w:t>
      </w:r>
      <w:r w:rsidR="00C33CAF">
        <w:t xml:space="preserve"> through </w:t>
      </w:r>
      <w:r w:rsidR="005D461A">
        <w:t>PRISMA-2</w:t>
      </w:r>
      <w:r>
        <w:t xml:space="preserve"> will take</w:t>
      </w:r>
      <w:r w:rsidR="007D0D7E">
        <w:t xml:space="preserve"> effective</w:t>
      </w:r>
      <w:r>
        <w:t xml:space="preserve"> </w:t>
      </w:r>
      <w:r w:rsidR="007D0D7E">
        <w:t xml:space="preserve">AIP-Rural </w:t>
      </w:r>
      <w:r>
        <w:t>in</w:t>
      </w:r>
      <w:r w:rsidR="007D0D7E">
        <w:t>terventions</w:t>
      </w:r>
      <w:r>
        <w:t xml:space="preserve"> to scale and have an increased focus on </w:t>
      </w:r>
      <w:r w:rsidR="00153E67">
        <w:t xml:space="preserve">systemic change </w:t>
      </w:r>
      <w:r>
        <w:t xml:space="preserve">and influencing </w:t>
      </w:r>
      <w:r w:rsidR="00C33CAF">
        <w:t xml:space="preserve">change in </w:t>
      </w:r>
      <w:r>
        <w:t xml:space="preserve">the agribusiness environment. It is expected that transition activities will commence in late 2018, with the </w:t>
      </w:r>
      <w:r w:rsidR="00EA53FB">
        <w:t>implementation of the new investment</w:t>
      </w:r>
      <w:r>
        <w:t xml:space="preserve"> </w:t>
      </w:r>
      <w:r w:rsidR="0068752D">
        <w:t>commencing</w:t>
      </w:r>
      <w:r w:rsidR="00EA53FB">
        <w:t xml:space="preserve"> </w:t>
      </w:r>
      <w:r>
        <w:t>in January 2019.</w:t>
      </w:r>
    </w:p>
    <w:p w14:paraId="3CD2B96D" w14:textId="77777777" w:rsidR="00314E16" w:rsidRDefault="00314E16" w:rsidP="00314E16">
      <w:pPr>
        <w:autoSpaceDE w:val="0"/>
        <w:autoSpaceDN w:val="0"/>
        <w:adjustRightInd w:val="0"/>
        <w:spacing w:after="0" w:line="240" w:lineRule="auto"/>
      </w:pPr>
    </w:p>
    <w:p w14:paraId="5A136D72" w14:textId="1A056738" w:rsidR="009C3BBE" w:rsidRPr="0054073C" w:rsidRDefault="00314E16" w:rsidP="006F2CAB">
      <w:pPr>
        <w:pStyle w:val="Heading3"/>
      </w:pPr>
      <w:bookmarkStart w:id="3" w:name="_Hlk494202592"/>
      <w:bookmarkStart w:id="4" w:name="_Toc499298836"/>
      <w:r w:rsidRPr="00314E16">
        <w:t>Country a</w:t>
      </w:r>
      <w:r w:rsidR="0002153D" w:rsidRPr="00314E16">
        <w:t>nd Sector Issues</w:t>
      </w:r>
      <w:bookmarkEnd w:id="4"/>
    </w:p>
    <w:bookmarkEnd w:id="3"/>
    <w:p w14:paraId="6D9AC77C" w14:textId="77777777" w:rsidR="00820236" w:rsidRDefault="00820236" w:rsidP="006F2CAB">
      <w:pPr>
        <w:pStyle w:val="Heading9"/>
      </w:pPr>
      <w:r w:rsidRPr="00963BE4">
        <w:t>Economic Growth,</w:t>
      </w:r>
      <w:r>
        <w:t xml:space="preserve"> Competitiveness and</w:t>
      </w:r>
      <w:r w:rsidRPr="00963BE4">
        <w:t xml:space="preserve"> Poverty</w:t>
      </w:r>
    </w:p>
    <w:p w14:paraId="62489DA6" w14:textId="6DF67899" w:rsidR="00820236" w:rsidRPr="00820236" w:rsidRDefault="00820236" w:rsidP="006F2CAB">
      <w:pPr>
        <w:autoSpaceDE w:val="0"/>
        <w:autoSpaceDN w:val="0"/>
        <w:adjustRightInd w:val="0"/>
      </w:pPr>
      <w:r>
        <w:t xml:space="preserve">Despite reasonably </w:t>
      </w:r>
      <w:r w:rsidR="007D0D7E">
        <w:t>stable economic growth rates of around 5</w:t>
      </w:r>
      <w:r>
        <w:t>%</w:t>
      </w:r>
      <w:r w:rsidR="007D0D7E">
        <w:t xml:space="preserve"> annually</w:t>
      </w:r>
      <w:r>
        <w:t xml:space="preserve">, health and education outcomes in Indonesia are low compared to other countries in South-East Asia, regional disparities are </w:t>
      </w:r>
      <w:proofErr w:type="gramStart"/>
      <w:r>
        <w:t>high,</w:t>
      </w:r>
      <w:proofErr w:type="gramEnd"/>
      <w:r>
        <w:t xml:space="preserve"> and high</w:t>
      </w:r>
      <w:r w:rsidR="002B5FDB">
        <w:t xml:space="preserve"> and volatile</w:t>
      </w:r>
      <w:r>
        <w:t xml:space="preserve"> food prices are a major constraint to poverty reduction. </w:t>
      </w:r>
      <w:r w:rsidR="005911FF">
        <w:t>Currently there are around 28 million people living below Indonesia’s national poverty line (10.6% of the population), and another 62 million considered vulnerable to shocks (23.9% of the population)</w:t>
      </w:r>
      <w:r w:rsidR="005911FF">
        <w:rPr>
          <w:rStyle w:val="FootnoteReference"/>
        </w:rPr>
        <w:footnoteReference w:id="3"/>
      </w:r>
      <w:r w:rsidR="005911FF">
        <w:t xml:space="preserve"> (see Annex 1).  </w:t>
      </w:r>
      <w:r>
        <w:rPr>
          <w:rFonts w:cstheme="minorHAnsi"/>
        </w:rPr>
        <w:t>37.2% of children under the age of 5 are stunted with the incidence of stunting increasing between 2010 (35.6%) and 2013 (37.2%)</w:t>
      </w:r>
      <w:r>
        <w:rPr>
          <w:rStyle w:val="FootnoteReference"/>
          <w:rFonts w:cstheme="minorHAnsi"/>
        </w:rPr>
        <w:footnoteReference w:id="4"/>
      </w:r>
      <w:r>
        <w:rPr>
          <w:rFonts w:cstheme="minorHAnsi"/>
        </w:rPr>
        <w:t>; and despite a steady decline in the unemployment rate, 5.6% of the labour force remains unemployed</w:t>
      </w:r>
      <w:r>
        <w:rPr>
          <w:rStyle w:val="FootnoteReference"/>
          <w:rFonts w:cstheme="minorHAnsi"/>
        </w:rPr>
        <w:footnoteReference w:id="5"/>
      </w:r>
      <w:r>
        <w:rPr>
          <w:rFonts w:cstheme="minorHAnsi"/>
        </w:rPr>
        <w:t>. M</w:t>
      </w:r>
      <w:r w:rsidRPr="00B65AE2">
        <w:rPr>
          <w:rFonts w:cstheme="minorHAnsi"/>
        </w:rPr>
        <w:t xml:space="preserve">ost poor people in Indonesia live on Java, </w:t>
      </w:r>
      <w:r>
        <w:rPr>
          <w:rFonts w:cstheme="minorHAnsi"/>
        </w:rPr>
        <w:t xml:space="preserve">but </w:t>
      </w:r>
      <w:r w:rsidRPr="00B65AE2">
        <w:rPr>
          <w:rFonts w:cstheme="minorHAnsi"/>
        </w:rPr>
        <w:t>the proportion of the population that is poor is higher in eastern Indonesia, especially for people who rely on agriculture for their livelihoods</w:t>
      </w:r>
      <w:r>
        <w:t>.</w:t>
      </w:r>
    </w:p>
    <w:p w14:paraId="2E7450F6" w14:textId="0ED692BF" w:rsidR="00820236" w:rsidRDefault="00820236" w:rsidP="006F2CAB">
      <w:pPr>
        <w:autoSpaceDE w:val="0"/>
        <w:autoSpaceDN w:val="0"/>
        <w:adjustRightInd w:val="0"/>
        <w:spacing w:before="240"/>
      </w:pPr>
      <w:r>
        <w:rPr>
          <w:rFonts w:cstheme="minorHAnsi"/>
        </w:rPr>
        <w:t>Over the past 15 years economic growth in Indonesia has coincided with rising inequality.</w:t>
      </w:r>
      <w:r w:rsidR="007408FE">
        <w:rPr>
          <w:rStyle w:val="FootnoteReference"/>
          <w:rFonts w:cstheme="minorHAnsi"/>
        </w:rPr>
        <w:footnoteReference w:id="6"/>
      </w:r>
      <w:r>
        <w:rPr>
          <w:rFonts w:cstheme="minorHAnsi"/>
        </w:rPr>
        <w:t xml:space="preserve"> </w:t>
      </w:r>
      <w:r w:rsidRPr="00972FB7">
        <w:rPr>
          <w:rFonts w:cstheme="minorHAnsi"/>
        </w:rPr>
        <w:t>Poverty reduction has begun to stagnate, with a near zero decline</w:t>
      </w:r>
      <w:r>
        <w:rPr>
          <w:rFonts w:cstheme="minorHAnsi"/>
        </w:rPr>
        <w:t xml:space="preserve"> </w:t>
      </w:r>
      <w:r w:rsidRPr="00972FB7">
        <w:rPr>
          <w:rFonts w:cstheme="minorHAnsi"/>
        </w:rPr>
        <w:t>in 2014</w:t>
      </w:r>
      <w:r>
        <w:rPr>
          <w:rStyle w:val="FootnoteReference"/>
          <w:rFonts w:cstheme="minorHAnsi"/>
        </w:rPr>
        <w:footnoteReference w:id="7"/>
      </w:r>
      <w:r w:rsidRPr="00972FB7">
        <w:rPr>
          <w:rFonts w:cstheme="minorHAnsi"/>
        </w:rPr>
        <w:t>. Income inequality is rapidly rising and up to one third is explained by inequality</w:t>
      </w:r>
      <w:r>
        <w:rPr>
          <w:rFonts w:cstheme="minorHAnsi"/>
        </w:rPr>
        <w:t xml:space="preserve"> </w:t>
      </w:r>
      <w:r w:rsidRPr="00972FB7">
        <w:rPr>
          <w:rFonts w:cstheme="minorHAnsi"/>
        </w:rPr>
        <w:t>of oppor</w:t>
      </w:r>
      <w:r>
        <w:rPr>
          <w:rFonts w:cstheme="minorHAnsi"/>
        </w:rPr>
        <w:t>tunities. Healthy and well-</w:t>
      </w:r>
      <w:r w:rsidRPr="00972FB7">
        <w:rPr>
          <w:rFonts w:cstheme="minorHAnsi"/>
        </w:rPr>
        <w:t>educated children live side by side with children</w:t>
      </w:r>
      <w:r>
        <w:rPr>
          <w:rFonts w:cstheme="minorHAnsi"/>
        </w:rPr>
        <w:t xml:space="preserve"> </w:t>
      </w:r>
      <w:r w:rsidRPr="00972FB7">
        <w:rPr>
          <w:rFonts w:cstheme="minorHAnsi"/>
        </w:rPr>
        <w:t>who suffer from malnutrition, learn little when they are in school, and drop out too early.</w:t>
      </w:r>
      <w:r>
        <w:rPr>
          <w:rFonts w:cstheme="minorHAnsi"/>
        </w:rPr>
        <w:t xml:space="preserve"> T</w:t>
      </w:r>
      <w:r w:rsidRPr="00972FB7">
        <w:rPr>
          <w:rFonts w:cstheme="minorHAnsi"/>
        </w:rPr>
        <w:t xml:space="preserve">here are </w:t>
      </w:r>
      <w:r>
        <w:rPr>
          <w:rFonts w:cstheme="minorHAnsi"/>
        </w:rPr>
        <w:t xml:space="preserve">also </w:t>
      </w:r>
      <w:r w:rsidRPr="00972FB7">
        <w:rPr>
          <w:rFonts w:cstheme="minorHAnsi"/>
        </w:rPr>
        <w:t>stark inequalities between regions; for example, 6</w:t>
      </w:r>
      <w:r>
        <w:rPr>
          <w:rFonts w:cstheme="minorHAnsi"/>
        </w:rPr>
        <w:t>%</w:t>
      </w:r>
      <w:r w:rsidRPr="00972FB7">
        <w:rPr>
          <w:rFonts w:cstheme="minorHAnsi"/>
        </w:rPr>
        <w:t xml:space="preserve"> of children in Jakarta</w:t>
      </w:r>
      <w:r>
        <w:rPr>
          <w:rFonts w:cstheme="minorHAnsi"/>
        </w:rPr>
        <w:t xml:space="preserve"> </w:t>
      </w:r>
      <w:r w:rsidRPr="00972FB7">
        <w:rPr>
          <w:rFonts w:cstheme="minorHAnsi"/>
        </w:rPr>
        <w:t xml:space="preserve">do not have access </w:t>
      </w:r>
      <w:r w:rsidRPr="00972FB7">
        <w:rPr>
          <w:rFonts w:cstheme="minorHAnsi"/>
        </w:rPr>
        <w:lastRenderedPageBreak/>
        <w:t>to proper sanitation</w:t>
      </w:r>
      <w:r>
        <w:rPr>
          <w:rFonts w:cstheme="minorHAnsi"/>
        </w:rPr>
        <w:t>,</w:t>
      </w:r>
      <w:r w:rsidRPr="00972FB7">
        <w:rPr>
          <w:rFonts w:cstheme="minorHAnsi"/>
        </w:rPr>
        <w:t xml:space="preserve"> while</w:t>
      </w:r>
      <w:r>
        <w:rPr>
          <w:rFonts w:cstheme="minorHAnsi"/>
        </w:rPr>
        <w:t xml:space="preserve"> </w:t>
      </w:r>
      <w:r w:rsidRPr="00972FB7">
        <w:rPr>
          <w:rFonts w:cstheme="minorHAnsi"/>
        </w:rPr>
        <w:t>98</w:t>
      </w:r>
      <w:r>
        <w:rPr>
          <w:rFonts w:cstheme="minorHAnsi"/>
        </w:rPr>
        <w:t>%</w:t>
      </w:r>
      <w:r w:rsidRPr="00972FB7">
        <w:rPr>
          <w:rFonts w:cstheme="minorHAnsi"/>
        </w:rPr>
        <w:t xml:space="preserve"> of children in</w:t>
      </w:r>
      <w:r>
        <w:rPr>
          <w:rFonts w:cstheme="minorHAnsi"/>
        </w:rPr>
        <w:t xml:space="preserve"> </w:t>
      </w:r>
      <w:r w:rsidRPr="00972FB7">
        <w:rPr>
          <w:rFonts w:cstheme="minorHAnsi"/>
        </w:rPr>
        <w:t>ru</w:t>
      </w:r>
      <w:r>
        <w:rPr>
          <w:rFonts w:cstheme="minorHAnsi"/>
        </w:rPr>
        <w:t xml:space="preserve">ral Papua have no </w:t>
      </w:r>
      <w:r w:rsidRPr="00B1788C">
        <w:rPr>
          <w:rFonts w:cstheme="minorHAnsi"/>
        </w:rPr>
        <w:t>access</w:t>
      </w:r>
      <w:r w:rsidRPr="00B1788C">
        <w:rPr>
          <w:rStyle w:val="FootnoteReference"/>
          <w:lang w:val="en-GB"/>
        </w:rPr>
        <w:footnoteReference w:id="8"/>
      </w:r>
      <w:r w:rsidRPr="00B1788C">
        <w:rPr>
          <w:lang w:val="en-GB"/>
        </w:rPr>
        <w:t>. Indonesia’s poor are vulnerable to economic and natural shocks that can push them below the poverty line and make it difficult to participate in the formal economy</w:t>
      </w:r>
      <w:r w:rsidRPr="00B1788C">
        <w:rPr>
          <w:rStyle w:val="FootnoteReference"/>
        </w:rPr>
        <w:footnoteReference w:id="9"/>
      </w:r>
      <w:r w:rsidR="005D17AB">
        <w:t>.</w:t>
      </w:r>
    </w:p>
    <w:p w14:paraId="3F52BAFE" w14:textId="148BC200" w:rsidR="00820236" w:rsidRDefault="00820236" w:rsidP="00820236">
      <w:pPr>
        <w:pStyle w:val="ListParagraph"/>
        <w:spacing w:before="240"/>
        <w:ind w:left="0"/>
      </w:pPr>
      <w:r>
        <w:t>A long-standing and well-documented range of constraints undermine market competitiveness, skew incentives and impede investment and innovation. The</w:t>
      </w:r>
      <w:r w:rsidR="002B5FDB">
        <w:t xml:space="preserve"> cost of doing business is high;</w:t>
      </w:r>
      <w:r>
        <w:t xml:space="preserve"> in 2017 t</w:t>
      </w:r>
      <w:r w:rsidRPr="00857B83">
        <w:t xml:space="preserve">he World Bank ranked Indonesia 91 out of 190 countries, with Malaysia at 23, </w:t>
      </w:r>
      <w:r>
        <w:t>Thailand at 46 and</w:t>
      </w:r>
      <w:r w:rsidRPr="00857B83">
        <w:t xml:space="preserve"> Rwanda at 56.</w:t>
      </w:r>
      <w:r>
        <w:t xml:space="preserve"> The financial sector is relatively shallow, and corruption and protection of domestic industries distort the business environment. Transport and power infrastructure is poor. Public investment at the national level is squeezed by high expenditure on subsidies and at the sub-national level by unbalanced expenditure on administrative functions and personnel. Government spending on infrastructure is less than 2-3% of GDP (2000-2014), about one third of regional peers.</w:t>
      </w:r>
      <w:r w:rsidRPr="0003424E">
        <w:t xml:space="preserve"> </w:t>
      </w:r>
      <w:r>
        <w:t>Spending on research and development</w:t>
      </w:r>
      <w:r w:rsidR="00A70EF7">
        <w:t xml:space="preserve"> (R&amp;D)</w:t>
      </w:r>
      <w:r>
        <w:t xml:space="preserve"> is also very low. Industry reports high labour cost</w:t>
      </w:r>
      <w:r w:rsidR="00C13A1C">
        <w:t>s but inadequate labour skills.</w:t>
      </w:r>
    </w:p>
    <w:p w14:paraId="1D9AAA50" w14:textId="5613094F" w:rsidR="00820236" w:rsidRDefault="00820236" w:rsidP="006F2CAB">
      <w:pPr>
        <w:spacing w:before="240"/>
      </w:pPr>
      <w:r>
        <w:t>Despite these constraints</w:t>
      </w:r>
      <w:r w:rsidR="00A70EF7">
        <w:t>, BKPM reports that the private sector</w:t>
      </w:r>
      <w:r>
        <w:t xml:space="preserve"> invested a total of USD44.7bn in Indonesia in 2016, a 12.4% increase over 2015 levels. Slightly more than half (</w:t>
      </w:r>
      <w:r w:rsidRPr="00860D67">
        <w:t>53.6%</w:t>
      </w:r>
      <w:r>
        <w:t xml:space="preserve">) of this investment was directed to </w:t>
      </w:r>
      <w:r w:rsidRPr="00860D67">
        <w:t>Java</w:t>
      </w:r>
      <w:r>
        <w:t>.</w:t>
      </w:r>
      <w:r w:rsidRPr="00860D67">
        <w:t xml:space="preserve"> </w:t>
      </w:r>
      <w:r>
        <w:t>In 2017 total private sector investment is projected to rise by over 10%</w:t>
      </w:r>
      <w:r w:rsidR="00A70EF7">
        <w:t xml:space="preserve"> </w:t>
      </w:r>
      <w:r>
        <w:t>to approximately USD49.5bn, with agriculture estimated to make up less than 8% of this. Foreign direct investment (FDI) accounts for 64.7% of this total. However, direct domestic investment (DDI) is growing at a faster rate than FDI. DDI increased by 20.5% over 2015 levels (to USD15.8bn); FDI increased by 8.4% during the same period (to USD28.9bn).</w:t>
      </w:r>
    </w:p>
    <w:p w14:paraId="51847695" w14:textId="77777777" w:rsidR="00820236" w:rsidRDefault="00820236" w:rsidP="006F2CAB">
      <w:pPr>
        <w:pStyle w:val="Heading9"/>
        <w:spacing w:before="0"/>
      </w:pPr>
      <w:r>
        <w:t>Agriculture</w:t>
      </w:r>
    </w:p>
    <w:p w14:paraId="0932B353" w14:textId="0A0C250C" w:rsidR="00820236" w:rsidRPr="006F2CAB" w:rsidRDefault="00820236" w:rsidP="006F2CAB">
      <w:pPr>
        <w:autoSpaceDE w:val="0"/>
        <w:autoSpaceDN w:val="0"/>
        <w:adjustRightInd w:val="0"/>
      </w:pPr>
      <w:r w:rsidRPr="009C3BBE">
        <w:t>The composition of Indonesia’s economy has changed significantly in the past 15 years</w:t>
      </w:r>
      <w:r>
        <w:t>;</w:t>
      </w:r>
      <w:r w:rsidRPr="009C3BBE">
        <w:t xml:space="preserve"> from dependence on agriculture to a more balanced economy with the industry and services sectors contributing the most to the</w:t>
      </w:r>
      <w:r>
        <w:t xml:space="preserve"> Gross Domestic Product</w:t>
      </w:r>
      <w:r w:rsidRPr="009C3BBE">
        <w:t xml:space="preserve"> </w:t>
      </w:r>
      <w:r>
        <w:t>(</w:t>
      </w:r>
      <w:r w:rsidRPr="009C3BBE">
        <w:t>GDP</w:t>
      </w:r>
      <w:r>
        <w:t>)</w:t>
      </w:r>
      <w:r w:rsidRPr="009C3BBE">
        <w:t>. According to 2014 World Bank data</w:t>
      </w:r>
      <w:r>
        <w:t xml:space="preserve">, </w:t>
      </w:r>
      <w:r w:rsidRPr="009C3BBE">
        <w:t>agriculture contributes 14% to the nation's GDP while the industry and services s</w:t>
      </w:r>
      <w:r>
        <w:t>ectors contribute about 43% each</w:t>
      </w:r>
      <w:r w:rsidRPr="009C3BBE">
        <w:t>.</w:t>
      </w:r>
      <w:r>
        <w:rPr>
          <w:rStyle w:val="FootnoteReference"/>
        </w:rPr>
        <w:footnoteReference w:id="10"/>
      </w:r>
      <w:r w:rsidRPr="008F356E">
        <w:t xml:space="preserve"> </w:t>
      </w:r>
      <w:r w:rsidRPr="009C3BBE">
        <w:t>However, agriculture rem</w:t>
      </w:r>
      <w:r>
        <w:t>ains an important employer (</w:t>
      </w:r>
      <w:r w:rsidRPr="009C3BBE">
        <w:t>33% of the workforce in 2015 compared to 22% in manufacturing and 45% in services) and continues to be the leading economic activity in eastern Indonesia</w:t>
      </w:r>
      <w:r>
        <w:rPr>
          <w:rStyle w:val="FootnoteReference"/>
        </w:rPr>
        <w:footnoteReference w:id="11"/>
      </w:r>
      <w:r>
        <w:t>.</w:t>
      </w:r>
      <w:r w:rsidRPr="00822A7F">
        <w:t xml:space="preserve"> </w:t>
      </w:r>
      <w:r>
        <w:t>A</w:t>
      </w:r>
      <w:r w:rsidRPr="009E478D">
        <w:t>gricultur</w:t>
      </w:r>
      <w:r>
        <w:t>e</w:t>
      </w:r>
      <w:r w:rsidRPr="009E478D">
        <w:t xml:space="preserve"> e</w:t>
      </w:r>
      <w:r w:rsidR="00A70EF7">
        <w:t>mploys</w:t>
      </w:r>
      <w:r w:rsidRPr="009E478D">
        <w:t xml:space="preserve"> an estimated 46m people</w:t>
      </w:r>
      <w:r w:rsidR="006B55D9">
        <w:t xml:space="preserve"> (</w:t>
      </w:r>
      <w:r w:rsidRPr="009E478D">
        <w:t xml:space="preserve">approximately </w:t>
      </w:r>
      <w:r w:rsidR="004C2A56">
        <w:t>32</w:t>
      </w:r>
      <w:r w:rsidR="001F5B68">
        <w:t>%</w:t>
      </w:r>
      <w:r w:rsidR="00475E90">
        <w:t xml:space="preserve"> women</w:t>
      </w:r>
      <w:r w:rsidR="006B55D9">
        <w:rPr>
          <w:rStyle w:val="FootnoteReference"/>
        </w:rPr>
        <w:footnoteReference w:id="12"/>
      </w:r>
      <w:r w:rsidR="006B55D9">
        <w:t>)</w:t>
      </w:r>
      <w:r w:rsidR="00475E90">
        <w:t xml:space="preserve">, </w:t>
      </w:r>
      <w:r w:rsidRPr="009E478D">
        <w:t xml:space="preserve">25m of which are farmers (owners and tenants) </w:t>
      </w:r>
      <w:r>
        <w:t>with another</w:t>
      </w:r>
      <w:r w:rsidRPr="009E478D">
        <w:t xml:space="preserve"> 21m </w:t>
      </w:r>
      <w:r w:rsidR="005347E5">
        <w:t>as part-</w:t>
      </w:r>
      <w:r>
        <w:t xml:space="preserve">time </w:t>
      </w:r>
      <w:r w:rsidR="005347E5">
        <w:t>labo</w:t>
      </w:r>
      <w:r w:rsidR="005347E5" w:rsidRPr="009E478D">
        <w:t>urers</w:t>
      </w:r>
      <w:r w:rsidRPr="009E478D">
        <w:t xml:space="preserve">. </w:t>
      </w:r>
      <w:r>
        <w:t>Some 44m hectares</w:t>
      </w:r>
      <w:r w:rsidRPr="00A947C3">
        <w:t xml:space="preserve"> </w:t>
      </w:r>
      <w:r>
        <w:t xml:space="preserve">of land are dedicated to agricultural production, with one third given over to low-value paddy. </w:t>
      </w:r>
      <w:r w:rsidRPr="009E478D">
        <w:t>Agriculture production</w:t>
      </w:r>
      <w:r>
        <w:t xml:space="preserve"> (excluding forestry)</w:t>
      </w:r>
      <w:r w:rsidRPr="009E478D">
        <w:t xml:space="preserve"> </w:t>
      </w:r>
      <w:r>
        <w:t>totalled USD116.5bn in 2016 (US</w:t>
      </w:r>
      <w:r w:rsidRPr="009E478D">
        <w:t xml:space="preserve">D78.1bn </w:t>
      </w:r>
      <w:r>
        <w:t xml:space="preserve">food </w:t>
      </w:r>
      <w:r w:rsidRPr="009E478D">
        <w:t xml:space="preserve">crops and plantations; USD38.4bn livestock and fisheries). </w:t>
      </w:r>
      <w:r>
        <w:t>Indonesia is the world’s largest producer and exporter of palm oil, the second largest rubber producer (accounting for almost 25% of global production), the third largest cocoa producer</w:t>
      </w:r>
      <w:r w:rsidR="006B55D9">
        <w:t>,</w:t>
      </w:r>
      <w:r>
        <w:t xml:space="preserve"> and the fourth largest coffee producer.</w:t>
      </w:r>
    </w:p>
    <w:p w14:paraId="63B8C549" w14:textId="0EF5E872" w:rsidR="00820236" w:rsidRDefault="00820236" w:rsidP="006F2CAB">
      <w:pPr>
        <w:autoSpaceDE w:val="0"/>
        <w:autoSpaceDN w:val="0"/>
        <w:adjustRightInd w:val="0"/>
        <w:spacing w:before="240"/>
      </w:pPr>
      <w:r w:rsidRPr="00873329">
        <w:rPr>
          <w:rFonts w:cstheme="minorHAnsi"/>
        </w:rPr>
        <w:t>Rajah and McCullough conclude that “rural agriculture is the most important pathway out of poverty rather than a trap from which the poor need to escape.”</w:t>
      </w:r>
      <w:r>
        <w:rPr>
          <w:rStyle w:val="FootnoteReference"/>
          <w:rFonts w:cstheme="minorHAnsi"/>
        </w:rPr>
        <w:footnoteReference w:id="13"/>
      </w:r>
      <w:r>
        <w:rPr>
          <w:rFonts w:cstheme="minorHAnsi"/>
        </w:rPr>
        <w:t xml:space="preserve"> </w:t>
      </w:r>
      <w:r>
        <w:t xml:space="preserve">The World Bank has found that GDP growth originating in agriculture is </w:t>
      </w:r>
      <w:r w:rsidRPr="00B1788C">
        <w:t>at least twice as effective</w:t>
      </w:r>
      <w:r>
        <w:t xml:space="preserve"> in reducing poverty as GDP growth originating outside </w:t>
      </w:r>
      <w:r>
        <w:lastRenderedPageBreak/>
        <w:t>agriculture</w:t>
      </w:r>
      <w:r>
        <w:rPr>
          <w:rStyle w:val="FootnoteReference"/>
        </w:rPr>
        <w:footnoteReference w:id="14"/>
      </w:r>
      <w:r>
        <w:t>. The ADB estimates that a 1% growth in agriculture reduces rural poverty by 2.9% and urban poverty by 1.1%</w:t>
      </w:r>
      <w:r>
        <w:rPr>
          <w:rStyle w:val="FootnoteReference"/>
        </w:rPr>
        <w:footnoteReference w:id="15"/>
      </w:r>
      <w:r>
        <w:t>. In Indonesia, studies indicate that agricultural growth of between 8-14% reduces the poverty headcount by 1%.</w:t>
      </w:r>
      <w:r>
        <w:rPr>
          <w:rStyle w:val="FootnoteReference"/>
        </w:rPr>
        <w:footnoteReference w:id="16"/>
      </w:r>
      <w:r>
        <w:t xml:space="preserve">  The challenge for Indonesia is </w:t>
      </w:r>
      <w:r w:rsidR="00A70EF7">
        <w:t>how to expand</w:t>
      </w:r>
      <w:r>
        <w:t xml:space="preserve"> economic growth in the agricultural sector and in regions outside Java in ways that are both sustainable and more equitable for all Indonesians – men, women, youth and p</w:t>
      </w:r>
      <w:r w:rsidR="00C13A1C">
        <w:t>eople living with a disability.</w:t>
      </w:r>
    </w:p>
    <w:p w14:paraId="427573C9" w14:textId="15CBB4B3" w:rsidR="00820236" w:rsidRDefault="00820236" w:rsidP="006F2CAB">
      <w:pPr>
        <w:spacing w:before="240"/>
      </w:pPr>
      <w:r>
        <w:t>Agriculture’s share of GDP has fallen from about 50% in the mid-1960s to its current share of 13.7%. It has experienced consistently lower growth than average GDP growth. However, over the past five years, the sector has performed more robustly, with total value added growing at an average of below 4% per year.</w:t>
      </w:r>
      <w:r>
        <w:rPr>
          <w:rStyle w:val="FootnoteReference"/>
        </w:rPr>
        <w:footnoteReference w:id="17"/>
      </w:r>
      <w:r>
        <w:t xml:space="preserve"> The government has set an annual target for agricultural growth at 3.8% </w:t>
      </w:r>
      <w:proofErr w:type="gramStart"/>
      <w:r>
        <w:t>between 2015-2019</w:t>
      </w:r>
      <w:proofErr w:type="gramEnd"/>
      <w:r>
        <w:t>. McKinsey</w:t>
      </w:r>
      <w:r>
        <w:rPr>
          <w:rStyle w:val="FootnoteReference"/>
        </w:rPr>
        <w:footnoteReference w:id="18"/>
      </w:r>
      <w:r>
        <w:t xml:space="preserve"> estimates that USD95bn in additional value added could be generated by 2030 if Indonesian agriculture could shift from</w:t>
      </w:r>
      <w:r w:rsidR="00C13A1C">
        <w:t xml:space="preserve"> low value to high value crops.</w:t>
      </w:r>
    </w:p>
    <w:p w14:paraId="57ABD267" w14:textId="0AE321E7" w:rsidR="00820236" w:rsidRDefault="00820236" w:rsidP="006F2CAB">
      <w:pPr>
        <w:pStyle w:val="BodyText"/>
        <w:spacing w:before="240"/>
        <w:rPr>
          <w:rFonts w:cstheme="minorHAnsi"/>
        </w:rPr>
      </w:pPr>
      <w:r w:rsidRPr="00B65AE2">
        <w:rPr>
          <w:rFonts w:cstheme="minorHAnsi"/>
        </w:rPr>
        <w:t xml:space="preserve">Food </w:t>
      </w:r>
      <w:r>
        <w:rPr>
          <w:rFonts w:cstheme="minorHAnsi"/>
        </w:rPr>
        <w:t>security remains</w:t>
      </w:r>
      <w:r w:rsidRPr="00B65AE2">
        <w:rPr>
          <w:rFonts w:cstheme="minorHAnsi"/>
        </w:rPr>
        <w:t xml:space="preserve"> an important political issue </w:t>
      </w:r>
      <w:r>
        <w:rPr>
          <w:rFonts w:cstheme="minorHAnsi"/>
        </w:rPr>
        <w:t>in</w:t>
      </w:r>
      <w:r w:rsidRPr="00B65AE2">
        <w:rPr>
          <w:rFonts w:cstheme="minorHAnsi"/>
        </w:rPr>
        <w:t xml:space="preserve"> </w:t>
      </w:r>
      <w:proofErr w:type="gramStart"/>
      <w:r w:rsidRPr="00B65AE2">
        <w:rPr>
          <w:rFonts w:cstheme="minorHAnsi"/>
        </w:rPr>
        <w:t>Indonesia</w:t>
      </w:r>
      <w:r w:rsidR="00A70EF7">
        <w:rPr>
          <w:rFonts w:cstheme="minorHAnsi"/>
        </w:rPr>
        <w:t>,</w:t>
      </w:r>
      <w:proofErr w:type="gramEnd"/>
      <w:r>
        <w:rPr>
          <w:rFonts w:cstheme="minorHAnsi"/>
        </w:rPr>
        <w:t xml:space="preserve"> however </w:t>
      </w:r>
      <w:r w:rsidRPr="00B65AE2">
        <w:rPr>
          <w:rFonts w:cstheme="minorHAnsi"/>
        </w:rPr>
        <w:t xml:space="preserve">anti-competitive policies on imports, investment and subsidies </w:t>
      </w:r>
      <w:r>
        <w:rPr>
          <w:rFonts w:cstheme="minorHAnsi"/>
        </w:rPr>
        <w:t>have contributed</w:t>
      </w:r>
      <w:r w:rsidRPr="00B65AE2">
        <w:rPr>
          <w:rFonts w:cstheme="minorHAnsi"/>
        </w:rPr>
        <w:t xml:space="preserve"> to dysfunctional </w:t>
      </w:r>
      <w:r>
        <w:rPr>
          <w:rFonts w:cstheme="minorHAnsi"/>
        </w:rPr>
        <w:t xml:space="preserve">agricultural </w:t>
      </w:r>
      <w:r w:rsidRPr="00B65AE2">
        <w:rPr>
          <w:rFonts w:cstheme="minorHAnsi"/>
        </w:rPr>
        <w:t>markets and food price volatility</w:t>
      </w:r>
      <w:r>
        <w:rPr>
          <w:rStyle w:val="FootnoteReference"/>
          <w:rFonts w:cstheme="minorHAnsi"/>
        </w:rPr>
        <w:footnoteReference w:id="19"/>
      </w:r>
      <w:r w:rsidRPr="00B65AE2">
        <w:rPr>
          <w:rFonts w:cstheme="minorHAnsi"/>
        </w:rPr>
        <w:t xml:space="preserve">. </w:t>
      </w:r>
      <w:r>
        <w:rPr>
          <w:rFonts w:cstheme="minorHAnsi"/>
        </w:rPr>
        <w:t xml:space="preserve">Indonesia has sought </w:t>
      </w:r>
      <w:r w:rsidRPr="00B11F41">
        <w:rPr>
          <w:rFonts w:cstheme="minorHAnsi"/>
        </w:rPr>
        <w:t>over the long term to achieve self-sufficiency in rice, and over the short term to ensure that the domestic price and available quantity of rice do not deviate g</w:t>
      </w:r>
      <w:r w:rsidR="00A70EF7">
        <w:rPr>
          <w:rFonts w:cstheme="minorHAnsi"/>
        </w:rPr>
        <w:t>reatly from their trend values.</w:t>
      </w:r>
      <w:r w:rsidRPr="00B11F41">
        <w:rPr>
          <w:rFonts w:cstheme="minorHAnsi"/>
        </w:rPr>
        <w:t xml:space="preserve"> In addition to rice, the 2012 Food Law broadened the self-sufficiency policy to cover other key foods and expanded how the government could influence domestic food markets. The </w:t>
      </w:r>
      <w:r>
        <w:rPr>
          <w:rFonts w:cstheme="minorHAnsi"/>
        </w:rPr>
        <w:t xml:space="preserve">Food </w:t>
      </w:r>
      <w:r w:rsidRPr="00B11F41">
        <w:rPr>
          <w:rFonts w:cstheme="minorHAnsi"/>
        </w:rPr>
        <w:t xml:space="preserve">Law aims to promote more equitable, stable and sustainable food outcomes as well as food sovereignty and food safety in </w:t>
      </w:r>
      <w:r>
        <w:rPr>
          <w:rFonts w:cstheme="minorHAnsi"/>
        </w:rPr>
        <w:t>Indonesia</w:t>
      </w:r>
      <w:r>
        <w:rPr>
          <w:rStyle w:val="FootnoteReference"/>
          <w:rFonts w:cstheme="minorHAnsi"/>
        </w:rPr>
        <w:footnoteReference w:id="20"/>
      </w:r>
      <w:r>
        <w:rPr>
          <w:rFonts w:cstheme="minorHAnsi"/>
        </w:rPr>
        <w:t>. The Law calls</w:t>
      </w:r>
      <w:r w:rsidRPr="00B11F41">
        <w:rPr>
          <w:rFonts w:cstheme="minorHAnsi"/>
        </w:rPr>
        <w:t xml:space="preserve"> for greater public investment in agricultural research and </w:t>
      </w:r>
      <w:r>
        <w:rPr>
          <w:rFonts w:cstheme="minorHAnsi"/>
        </w:rPr>
        <w:t>development and also includes</w:t>
      </w:r>
      <w:r w:rsidRPr="00B11F41">
        <w:rPr>
          <w:rFonts w:cstheme="minorHAnsi"/>
        </w:rPr>
        <w:t xml:space="preserve"> trade policy measures. These</w:t>
      </w:r>
      <w:r>
        <w:rPr>
          <w:rFonts w:cstheme="minorHAnsi"/>
        </w:rPr>
        <w:t xml:space="preserve"> measures</w:t>
      </w:r>
      <w:r w:rsidRPr="00B11F41">
        <w:rPr>
          <w:rFonts w:cstheme="minorHAnsi"/>
        </w:rPr>
        <w:t xml:space="preserve"> were proposed to address at least five of the law’s objectives: food self-sufficiency; higher incomes for producers; lower food costs for consumers; more diversity, higher quality and greater nutrition in the foods available to the consumer; and less volatility in the prices and available quantities of staple foods. Critics, however, </w:t>
      </w:r>
      <w:r>
        <w:rPr>
          <w:rFonts w:cstheme="minorHAnsi"/>
        </w:rPr>
        <w:t xml:space="preserve">point out </w:t>
      </w:r>
      <w:r w:rsidRPr="00B11F41">
        <w:rPr>
          <w:rFonts w:cstheme="minorHAnsi"/>
        </w:rPr>
        <w:t xml:space="preserve">that </w:t>
      </w:r>
      <w:r w:rsidR="00A46C77">
        <w:rPr>
          <w:rFonts w:cstheme="minorHAnsi"/>
        </w:rPr>
        <w:t>sel</w:t>
      </w:r>
      <w:r w:rsidR="006B505E">
        <w:rPr>
          <w:rFonts w:cstheme="minorHAnsi"/>
        </w:rPr>
        <w:t>f</w:t>
      </w:r>
      <w:r w:rsidR="00A46C77">
        <w:rPr>
          <w:rFonts w:cstheme="minorHAnsi"/>
        </w:rPr>
        <w:t>-sufficiency</w:t>
      </w:r>
      <w:r w:rsidR="00A46C77" w:rsidRPr="00B11F41">
        <w:rPr>
          <w:rFonts w:cstheme="minorHAnsi"/>
        </w:rPr>
        <w:t xml:space="preserve"> </w:t>
      </w:r>
      <w:r w:rsidRPr="00B11F41">
        <w:rPr>
          <w:rFonts w:cstheme="minorHAnsi"/>
        </w:rPr>
        <w:t xml:space="preserve">policies create uncertainty </w:t>
      </w:r>
      <w:r>
        <w:rPr>
          <w:rFonts w:cstheme="minorHAnsi"/>
        </w:rPr>
        <w:t>and</w:t>
      </w:r>
      <w:r w:rsidRPr="00B11F41">
        <w:rPr>
          <w:rFonts w:cstheme="minorHAnsi"/>
        </w:rPr>
        <w:t xml:space="preserve"> demand-supply gaps, leading t</w:t>
      </w:r>
      <w:r>
        <w:rPr>
          <w:rFonts w:cstheme="minorHAnsi"/>
        </w:rPr>
        <w:t>o price fluctuations</w:t>
      </w:r>
      <w:r w:rsidR="00A46C77">
        <w:rPr>
          <w:rFonts w:cstheme="minorHAnsi"/>
        </w:rPr>
        <w:t>, high food prices compared to other regional countries,</w:t>
      </w:r>
      <w:r>
        <w:rPr>
          <w:rFonts w:cstheme="minorHAnsi"/>
        </w:rPr>
        <w:t xml:space="preserve"> and</w:t>
      </w:r>
      <w:r w:rsidRPr="00B11F41">
        <w:rPr>
          <w:rFonts w:cstheme="minorHAnsi"/>
        </w:rPr>
        <w:t xml:space="preserve"> </w:t>
      </w:r>
      <w:r w:rsidR="005347E5">
        <w:rPr>
          <w:rFonts w:cstheme="minorHAnsi"/>
        </w:rPr>
        <w:t>fewer</w:t>
      </w:r>
      <w:r w:rsidRPr="00B11F41">
        <w:rPr>
          <w:rFonts w:cstheme="minorHAnsi"/>
        </w:rPr>
        <w:t xml:space="preserve"> incentives for private sector investment in agriculture</w:t>
      </w:r>
      <w:r>
        <w:rPr>
          <w:rFonts w:cstheme="minorHAnsi"/>
        </w:rPr>
        <w:t>, all of which have negative impacts on the lower income quartiles of the population</w:t>
      </w:r>
      <w:r>
        <w:rPr>
          <w:rStyle w:val="FootnoteReference"/>
          <w:rFonts w:cstheme="minorHAnsi"/>
        </w:rPr>
        <w:footnoteReference w:id="21"/>
      </w:r>
      <w:r>
        <w:rPr>
          <w:rFonts w:cstheme="minorHAnsi"/>
        </w:rPr>
        <w:t>.</w:t>
      </w:r>
      <w:r w:rsidRPr="00B11F41">
        <w:rPr>
          <w:rFonts w:cstheme="minorHAnsi"/>
        </w:rPr>
        <w:t xml:space="preserve"> </w:t>
      </w:r>
      <w:r>
        <w:rPr>
          <w:rFonts w:cstheme="minorHAnsi"/>
        </w:rPr>
        <w:t xml:space="preserve">For those in the lowest decile of per capita expenditure, food spending can consume up to two-thirds of household expenditure. Indonesian consumers continue to pay high prices for foods rich in protein and micronutrients and </w:t>
      </w:r>
      <w:r w:rsidR="004B55E3">
        <w:rPr>
          <w:rFonts w:cstheme="minorHAnsi"/>
        </w:rPr>
        <w:t xml:space="preserve">non-tariff measures </w:t>
      </w:r>
      <w:r>
        <w:rPr>
          <w:rFonts w:cstheme="minorHAnsi"/>
        </w:rPr>
        <w:t>for animal and horticultural products have not translated into higher incomes for farmers</w:t>
      </w:r>
      <w:r>
        <w:rPr>
          <w:rStyle w:val="FootnoteReference"/>
          <w:rFonts w:cstheme="minorHAnsi"/>
        </w:rPr>
        <w:footnoteReference w:id="22"/>
      </w:r>
      <w:r>
        <w:rPr>
          <w:rFonts w:cstheme="minorHAnsi"/>
        </w:rPr>
        <w:t>. This means that when food prices increase, the poor are forced to consume less nutritious foods, impacting nutrition levels.</w:t>
      </w:r>
    </w:p>
    <w:p w14:paraId="21DA0680" w14:textId="3F1AA93F" w:rsidR="00820236" w:rsidRDefault="00820236" w:rsidP="006F2CAB">
      <w:pPr>
        <w:pStyle w:val="BodyText"/>
        <w:spacing w:before="240"/>
        <w:rPr>
          <w:lang w:val="en-GB"/>
        </w:rPr>
      </w:pPr>
      <w:r>
        <w:t>Between</w:t>
      </w:r>
      <w:r w:rsidRPr="006B0B4B">
        <w:t xml:space="preserve"> 1976</w:t>
      </w:r>
      <w:r>
        <w:t xml:space="preserve"> and </w:t>
      </w:r>
      <w:r w:rsidRPr="006B0B4B">
        <w:t>2006</w:t>
      </w:r>
      <w:r>
        <w:t xml:space="preserve"> i</w:t>
      </w:r>
      <w:r w:rsidRPr="00F82040">
        <w:t>ncreased public spending on agriculture and infrastructure</w:t>
      </w:r>
      <w:r>
        <w:t xml:space="preserve"> had</w:t>
      </w:r>
      <w:r w:rsidRPr="006B0B4B">
        <w:t xml:space="preserve"> </w:t>
      </w:r>
      <w:r>
        <w:t xml:space="preserve">a </w:t>
      </w:r>
      <w:r w:rsidRPr="006B0B4B">
        <w:t>positive impact on ag</w:t>
      </w:r>
      <w:r>
        <w:t>ricultural</w:t>
      </w:r>
      <w:r w:rsidRPr="006B0B4B">
        <w:t xml:space="preserve"> growth</w:t>
      </w:r>
      <w:r>
        <w:t xml:space="preserve">. Thereafter, the effectiveness of government expenditure in the sector has proven to be less effective (for example, in terms of raising agricultural productivity), as expenditure has shifted markedly </w:t>
      </w:r>
      <w:r w:rsidRPr="00B273BD">
        <w:t xml:space="preserve">towards the </w:t>
      </w:r>
      <w:r w:rsidRPr="00CE37B6">
        <w:rPr>
          <w:b/>
          <w:i/>
        </w:rPr>
        <w:t>subsidy of private goods</w:t>
      </w:r>
      <w:r w:rsidRPr="00B273BD">
        <w:t xml:space="preserve"> rather than </w:t>
      </w:r>
      <w:r>
        <w:t xml:space="preserve">the </w:t>
      </w:r>
      <w:r w:rsidRPr="00B273BD">
        <w:t xml:space="preserve">provision of </w:t>
      </w:r>
      <w:r>
        <w:t xml:space="preserve">key </w:t>
      </w:r>
      <w:r w:rsidRPr="00B273BD">
        <w:t>public good</w:t>
      </w:r>
      <w:r>
        <w:t>s</w:t>
      </w:r>
      <w:r w:rsidRPr="00B273BD">
        <w:t>.</w:t>
      </w:r>
      <w:r>
        <w:t xml:space="preserve"> Between 2000 and 2010 the national</w:t>
      </w:r>
      <w:r w:rsidRPr="006B0B4B">
        <w:t xml:space="preserve"> budget</w:t>
      </w:r>
      <w:r>
        <w:t xml:space="preserve"> for agriculture </w:t>
      </w:r>
      <w:r w:rsidRPr="006B0B4B">
        <w:t>increased</w:t>
      </w:r>
      <w:r>
        <w:t xml:space="preserve"> by</w:t>
      </w:r>
      <w:r w:rsidRPr="006B0B4B">
        <w:t xml:space="preserve"> 12%</w:t>
      </w:r>
      <w:r>
        <w:t xml:space="preserve"> annually </w:t>
      </w:r>
      <w:r w:rsidRPr="006B0B4B">
        <w:t>in real terms</w:t>
      </w:r>
      <w:r>
        <w:t xml:space="preserve"> (from </w:t>
      </w:r>
      <w:r>
        <w:lastRenderedPageBreak/>
        <w:t>approximately USD1.2bn in 2000 to USD5.8bn in 2008).</w:t>
      </w:r>
      <w:r>
        <w:rPr>
          <w:rStyle w:val="FootnoteReference"/>
        </w:rPr>
        <w:footnoteReference w:id="23"/>
      </w:r>
      <w:r>
        <w:t xml:space="preserve"> Between 30 and 55% of the agriculture budget is </w:t>
      </w:r>
      <w:r w:rsidRPr="006B0B4B">
        <w:t xml:space="preserve">allocated to input </w:t>
      </w:r>
      <w:r>
        <w:t xml:space="preserve">(fertilizer, seeds) </w:t>
      </w:r>
      <w:r w:rsidRPr="006B0B4B">
        <w:t>sub</w:t>
      </w:r>
      <w:r>
        <w:t>sidies for food crop production</w:t>
      </w:r>
      <w:r w:rsidRPr="006B0B4B">
        <w:t xml:space="preserve">. </w:t>
      </w:r>
      <w:r>
        <w:rPr>
          <w:rFonts w:cstheme="minorHAnsi"/>
        </w:rPr>
        <w:t xml:space="preserve">Subsidies to </w:t>
      </w:r>
      <w:r w:rsidRPr="00B43F07">
        <w:rPr>
          <w:lang w:val="en-GB"/>
        </w:rPr>
        <w:t>various sectors of the Indonesian economy cost IDR160 trillion in 2016, of which IDR83 trillion or 0.6%</w:t>
      </w:r>
      <w:r>
        <w:rPr>
          <w:lang w:val="en-GB"/>
        </w:rPr>
        <w:t xml:space="preserve"> </w:t>
      </w:r>
      <w:r w:rsidRPr="00B43F07">
        <w:rPr>
          <w:lang w:val="en-GB"/>
        </w:rPr>
        <w:t>GDP were to non-energy sectors</w:t>
      </w:r>
      <w:r>
        <w:rPr>
          <w:rStyle w:val="FootnoteReference"/>
          <w:lang w:val="en-GB"/>
        </w:rPr>
        <w:footnoteReference w:id="24"/>
      </w:r>
      <w:r w:rsidR="00A70EF7">
        <w:rPr>
          <w:lang w:val="en-GB"/>
        </w:rPr>
        <w:t>.</w:t>
      </w:r>
      <w:r>
        <w:rPr>
          <w:color w:val="1F497D"/>
          <w:lang w:val="en-GB"/>
        </w:rPr>
        <w:t xml:space="preserve"> </w:t>
      </w:r>
      <w:r w:rsidRPr="00B43F07">
        <w:rPr>
          <w:lang w:val="en-GB"/>
        </w:rPr>
        <w:t>The majority of non-energy subsidies</w:t>
      </w:r>
      <w:r w:rsidR="00A70EF7">
        <w:rPr>
          <w:lang w:val="en-GB"/>
        </w:rPr>
        <w:t xml:space="preserve"> were for rice and fertilisers. </w:t>
      </w:r>
      <w:r>
        <w:rPr>
          <w:lang w:val="en-GB"/>
        </w:rPr>
        <w:t>The Organisation for Economic Cooperation and Development (</w:t>
      </w:r>
      <w:r w:rsidRPr="00B43F07">
        <w:rPr>
          <w:lang w:val="en-GB"/>
        </w:rPr>
        <w:t>OECD</w:t>
      </w:r>
      <w:r>
        <w:rPr>
          <w:lang w:val="en-GB"/>
        </w:rPr>
        <w:t>)</w:t>
      </w:r>
      <w:r w:rsidRPr="00B43F07">
        <w:rPr>
          <w:lang w:val="en-GB"/>
        </w:rPr>
        <w:t xml:space="preserve"> estimates that Indonesia’s producer support rose from 20% of gross farm receipts in 2013 to 29% in 2015.  Total support to agriculture is large, at 4% </w:t>
      </w:r>
      <w:r>
        <w:rPr>
          <w:lang w:val="en-GB"/>
        </w:rPr>
        <w:t xml:space="preserve">of </w:t>
      </w:r>
      <w:r w:rsidRPr="00B43F07">
        <w:rPr>
          <w:lang w:val="en-GB"/>
        </w:rPr>
        <w:t>GDP – the highest of 25 countries analysed.  Support provided in the form of payments to general services to agriculture is relatively low – av</w:t>
      </w:r>
      <w:r>
        <w:rPr>
          <w:lang w:val="en-GB"/>
        </w:rPr>
        <w:t xml:space="preserve">eraging 5.2% of total support </w:t>
      </w:r>
      <w:proofErr w:type="gramStart"/>
      <w:r>
        <w:rPr>
          <w:lang w:val="en-GB"/>
        </w:rPr>
        <w:t>between</w:t>
      </w:r>
      <w:r w:rsidRPr="00B43F07">
        <w:rPr>
          <w:lang w:val="en-GB"/>
        </w:rPr>
        <w:t xml:space="preserve"> 2013-2015</w:t>
      </w:r>
      <w:proofErr w:type="gramEnd"/>
      <w:r>
        <w:rPr>
          <w:rStyle w:val="FootnoteReference"/>
          <w:lang w:val="en-GB"/>
        </w:rPr>
        <w:footnoteReference w:id="25"/>
      </w:r>
      <w:r w:rsidR="00C13A1C">
        <w:rPr>
          <w:lang w:val="en-GB"/>
        </w:rPr>
        <w:t>.</w:t>
      </w:r>
    </w:p>
    <w:p w14:paraId="09761EFF" w14:textId="0761CBCD" w:rsidR="00820236" w:rsidRPr="00FB16BC" w:rsidRDefault="00820236" w:rsidP="006F2CAB">
      <w:pPr>
        <w:spacing w:before="240"/>
      </w:pPr>
      <w:r>
        <w:t xml:space="preserve">The </w:t>
      </w:r>
      <w:r w:rsidR="004B55E3">
        <w:t xml:space="preserve">focus on </w:t>
      </w:r>
      <w:r>
        <w:t xml:space="preserve">subsidised provision of private goods has </w:t>
      </w:r>
      <w:r w:rsidR="004B55E3">
        <w:t>been accompanied with</w:t>
      </w:r>
      <w:r>
        <w:t xml:space="preserve"> p</w:t>
      </w:r>
      <w:r w:rsidRPr="006B0B4B">
        <w:t xml:space="preserve">ublic investment in rural </w:t>
      </w:r>
      <w:r>
        <w:t>infrastructure</w:t>
      </w:r>
      <w:r w:rsidRPr="006B0B4B">
        <w:t xml:space="preserve"> and ag</w:t>
      </w:r>
      <w:r>
        <w:t>riculture support services falling</w:t>
      </w:r>
      <w:r w:rsidRPr="006B0B4B">
        <w:t xml:space="preserve"> to ‘exceptionally low’ levels</w:t>
      </w:r>
      <w:r>
        <w:t>, resulting in</w:t>
      </w:r>
      <w:r w:rsidRPr="006B0B4B">
        <w:t xml:space="preserve"> </w:t>
      </w:r>
      <w:r>
        <w:t>a d</w:t>
      </w:r>
      <w:r w:rsidRPr="006B0B4B">
        <w:t>eterioration in rural roads, irrigation</w:t>
      </w:r>
      <w:r>
        <w:t xml:space="preserve"> and</w:t>
      </w:r>
      <w:r w:rsidRPr="006B0B4B">
        <w:t xml:space="preserve"> extension</w:t>
      </w:r>
      <w:r>
        <w:t xml:space="preserve"> services, all vital to raising productivity</w:t>
      </w:r>
      <w:r w:rsidRPr="006B0B4B">
        <w:t>.</w:t>
      </w:r>
      <w:r>
        <w:rPr>
          <w:rStyle w:val="FootnoteReference"/>
        </w:rPr>
        <w:footnoteReference w:id="26"/>
      </w:r>
      <w:r w:rsidRPr="0031456F">
        <w:t xml:space="preserve"> </w:t>
      </w:r>
      <w:r>
        <w:t>I</w:t>
      </w:r>
      <w:r w:rsidRPr="00FB16BC">
        <w:t>rrigation</w:t>
      </w:r>
      <w:r>
        <w:t xml:space="preserve"> still only covers 10% of productive land and p</w:t>
      </w:r>
      <w:r w:rsidRPr="006B0B4B">
        <w:t xml:space="preserve">ublic spending on </w:t>
      </w:r>
      <w:r>
        <w:t xml:space="preserve">agricultural </w:t>
      </w:r>
      <w:r w:rsidRPr="006B0B4B">
        <w:t xml:space="preserve">R&amp;D </w:t>
      </w:r>
      <w:r>
        <w:t xml:space="preserve">is </w:t>
      </w:r>
      <w:r w:rsidRPr="006B0B4B">
        <w:t xml:space="preserve">extremely </w:t>
      </w:r>
      <w:r>
        <w:t xml:space="preserve">low </w:t>
      </w:r>
      <w:r w:rsidRPr="006B0B4B">
        <w:t xml:space="preserve">by </w:t>
      </w:r>
      <w:r w:rsidRPr="00B869C2">
        <w:t>regional and global standards</w:t>
      </w:r>
      <w:r>
        <w:t>, at</w:t>
      </w:r>
      <w:r w:rsidRPr="006B0B4B">
        <w:t xml:space="preserve"> 0.27% of GDP</w:t>
      </w:r>
      <w:r>
        <w:t>. For example,</w:t>
      </w:r>
      <w:r w:rsidRPr="00213FAF">
        <w:t xml:space="preserve"> </w:t>
      </w:r>
      <w:r>
        <w:t xml:space="preserve">in 2007 spending on R&amp;D was equivalent to only half of spending on seed subsidies. </w:t>
      </w:r>
      <w:r w:rsidRPr="00FB16BC">
        <w:t xml:space="preserve">Not only has this </w:t>
      </w:r>
      <w:r>
        <w:t>public investment regime</w:t>
      </w:r>
      <w:r w:rsidRPr="00FB16BC">
        <w:t xml:space="preserve"> undermined the development of a </w:t>
      </w:r>
      <w:proofErr w:type="gramStart"/>
      <w:r w:rsidRPr="00FB16BC">
        <w:t>conducive</w:t>
      </w:r>
      <w:proofErr w:type="gramEnd"/>
      <w:r w:rsidRPr="00FB16BC">
        <w:t xml:space="preserve"> business environment for agriculture and crowded out private investment, it has also failed to achieve its goal of raising productivity </w:t>
      </w:r>
      <w:r>
        <w:t xml:space="preserve">and self-sufficiency </w:t>
      </w:r>
      <w:r w:rsidRPr="00FB16BC">
        <w:t xml:space="preserve">to </w:t>
      </w:r>
      <w:r>
        <w:t>their</w:t>
      </w:r>
      <w:r w:rsidRPr="00FB16BC">
        <w:t xml:space="preserve"> intended level</w:t>
      </w:r>
      <w:r>
        <w:t>s</w:t>
      </w:r>
      <w:r w:rsidRPr="00FB16BC">
        <w:t>.</w:t>
      </w:r>
    </w:p>
    <w:p w14:paraId="138FD955" w14:textId="5ADB085D" w:rsidR="00820236" w:rsidRDefault="00820236" w:rsidP="006F2CAB">
      <w:pPr>
        <w:spacing w:before="240"/>
      </w:pPr>
      <w:r>
        <w:t xml:space="preserve">A range of other barriers affect private sector investment and operation in the agricultural sector. As is the case generally in Indonesia, </w:t>
      </w:r>
      <w:r w:rsidR="00A70EF7">
        <w:rPr>
          <w:b/>
          <w:i/>
        </w:rPr>
        <w:t xml:space="preserve">regulatory uncertainty </w:t>
      </w:r>
      <w:r w:rsidR="00A70EF7">
        <w:t xml:space="preserve">and </w:t>
      </w:r>
      <w:r w:rsidRPr="00CE37B6">
        <w:t>the availability of</w:t>
      </w:r>
      <w:r w:rsidRPr="00CE37B6">
        <w:rPr>
          <w:b/>
          <w:i/>
        </w:rPr>
        <w:t xml:space="preserve"> labo</w:t>
      </w:r>
      <w:r w:rsidR="005D17AB">
        <w:rPr>
          <w:b/>
          <w:i/>
        </w:rPr>
        <w:t>u</w:t>
      </w:r>
      <w:r w:rsidRPr="00CE37B6">
        <w:rPr>
          <w:b/>
          <w:i/>
        </w:rPr>
        <w:t xml:space="preserve">r </w:t>
      </w:r>
      <w:r>
        <w:rPr>
          <w:b/>
          <w:i/>
        </w:rPr>
        <w:t xml:space="preserve">and </w:t>
      </w:r>
      <w:r w:rsidRPr="00CE37B6">
        <w:rPr>
          <w:b/>
          <w:i/>
        </w:rPr>
        <w:t xml:space="preserve">domestic protection </w:t>
      </w:r>
      <w:r w:rsidRPr="00CE37B6">
        <w:t>are problematic</w:t>
      </w:r>
      <w:r>
        <w:t xml:space="preserve">. For example, the 2010 Horticulture Law discourages FDI in high-value crops, and the </w:t>
      </w:r>
      <w:r w:rsidRPr="00CE37B6">
        <w:t xml:space="preserve">Food Law </w:t>
      </w:r>
      <w:r>
        <w:t>prioritises ‘</w:t>
      </w:r>
      <w:r w:rsidRPr="00CE37B6">
        <w:t>food self-sufficiency</w:t>
      </w:r>
      <w:r>
        <w:t>’</w:t>
      </w:r>
      <w:r w:rsidRPr="00CE37B6">
        <w:t xml:space="preserve"> in sub</w:t>
      </w:r>
      <w:r>
        <w:t>-</w:t>
      </w:r>
      <w:r w:rsidRPr="00CE37B6">
        <w:t>sectors such as rice, maize, ch</w:t>
      </w:r>
      <w:r>
        <w:t>ilies, beef, shallots and sugar</w:t>
      </w:r>
      <w:r w:rsidRPr="00CE37B6">
        <w:t>.</w:t>
      </w:r>
      <w:r>
        <w:t xml:space="preserve"> </w:t>
      </w:r>
      <w:r w:rsidRPr="00CE37B6">
        <w:rPr>
          <w:b/>
          <w:i/>
        </w:rPr>
        <w:t>Land</w:t>
      </w:r>
      <w:r>
        <w:t xml:space="preserve"> prices and its availability are a particular problem in the sector, including legal restrictions on foreign ownership of agriculture land. Weak </w:t>
      </w:r>
      <w:r w:rsidRPr="00CE37B6">
        <w:rPr>
          <w:b/>
          <w:i/>
        </w:rPr>
        <w:t>land titling and registration</w:t>
      </w:r>
      <w:r>
        <w:t xml:space="preserve"> undermine investment security. With only 4-5% of their portfolios invested in agriculture, banks are extremely reluctant to lend to the sector. </w:t>
      </w:r>
      <w:proofErr w:type="gramStart"/>
      <w:r>
        <w:t xml:space="preserve">Small </w:t>
      </w:r>
      <w:r w:rsidRPr="00CE37B6">
        <w:rPr>
          <w:b/>
          <w:i/>
        </w:rPr>
        <w:t>farm size</w:t>
      </w:r>
      <w:r>
        <w:t xml:space="preserve">, a lack of </w:t>
      </w:r>
      <w:r w:rsidRPr="00CE37B6">
        <w:rPr>
          <w:b/>
          <w:i/>
        </w:rPr>
        <w:t>concentration</w:t>
      </w:r>
      <w:r>
        <w:t xml:space="preserve"> (e.g. commercial hubs) and </w:t>
      </w:r>
      <w:r w:rsidRPr="00CE37B6">
        <w:rPr>
          <w:b/>
          <w:i/>
        </w:rPr>
        <w:t>facilities</w:t>
      </w:r>
      <w:r>
        <w:t xml:space="preserve"> such as transport logistics and drying lead to trading inefficiency in </w:t>
      </w:r>
      <w:r w:rsidRPr="00E56031">
        <w:t>supply chain</w:t>
      </w:r>
      <w:r w:rsidR="00C13A1C">
        <w:t>s.</w:t>
      </w:r>
      <w:proofErr w:type="gramEnd"/>
    </w:p>
    <w:p w14:paraId="5C0FB967" w14:textId="5A0223ED" w:rsidR="00820236" w:rsidRPr="00820236" w:rsidRDefault="00820236" w:rsidP="007A0995">
      <w:r>
        <w:t xml:space="preserve">In spite of these barriers, </w:t>
      </w:r>
      <w:r w:rsidRPr="0084301E">
        <w:t>private sector investment in agriculture has grown. From 2010-2016, private investment totalled USD16</w:t>
      </w:r>
      <w:proofErr w:type="gramStart"/>
      <w:r w:rsidRPr="0084301E">
        <w:t>,762.82m</w:t>
      </w:r>
      <w:proofErr w:type="gramEnd"/>
      <w:r w:rsidRPr="0084301E">
        <w:rPr>
          <w:rStyle w:val="FootnoteReference"/>
        </w:rPr>
        <w:footnoteReference w:id="27"/>
      </w:r>
      <w:r w:rsidRPr="0084301E">
        <w:t xml:space="preserve">. </w:t>
      </w:r>
      <w:r>
        <w:t>Large-scale</w:t>
      </w:r>
      <w:r w:rsidRPr="0084301E">
        <w:t xml:space="preserve"> private investments in production are greatest in estate crops (palm, rubber, coffee, cocoa, sugar) and in poultry and aquaculture. Food crop production is overwhelmingly dominated by smallholders</w:t>
      </w:r>
      <w:r>
        <w:t xml:space="preserve"> and their investment is not recorded in official investment data. </w:t>
      </w:r>
      <w:r w:rsidRPr="00FB16BC">
        <w:t>The most significant investments, however, tend to go into inputs like crop protection and seeds, and into processing such as feeds, crude palm oil, rubber, cocoa, dairy and cassava. Rising economic nationalism appears to have tilted the playing field in favour of domestic invest</w:t>
      </w:r>
      <w:r>
        <w:t>ors</w:t>
      </w:r>
      <w:r w:rsidR="00C13A1C">
        <w:t>.</w:t>
      </w:r>
    </w:p>
    <w:p w14:paraId="04B844E3" w14:textId="75F52244" w:rsidR="00820236" w:rsidRPr="00FA3C4D" w:rsidRDefault="00A70EF7" w:rsidP="00FD06ED">
      <w:pPr>
        <w:spacing w:before="240"/>
        <w:rPr>
          <w:b/>
          <w:sz w:val="20"/>
          <w:szCs w:val="20"/>
        </w:rPr>
      </w:pPr>
      <w:r w:rsidRPr="00FB16BC">
        <w:t>The private sector has learnt to seek opportunities and operate in the substantial gaps that the government has left them. This is most notable in the crop protection market which government abandoned in 1985, but even in the highly</w:t>
      </w:r>
      <w:r>
        <w:t>-</w:t>
      </w:r>
      <w:r w:rsidRPr="00FB16BC">
        <w:t>subsidized fertilizer sub-sector</w:t>
      </w:r>
      <w:r>
        <w:t xml:space="preserve"> where</w:t>
      </w:r>
      <w:r w:rsidRPr="00FB16BC">
        <w:t xml:space="preserve"> the private sector’s share of the market may now be as high as 25%. Most </w:t>
      </w:r>
      <w:r>
        <w:t xml:space="preserve">existing </w:t>
      </w:r>
      <w:r w:rsidRPr="00FB16BC">
        <w:t xml:space="preserve">firms </w:t>
      </w:r>
      <w:r>
        <w:t>in this sector are cautiously</w:t>
      </w:r>
      <w:r w:rsidRPr="00FB16BC">
        <w:t xml:space="preserve"> optimistic about </w:t>
      </w:r>
      <w:r>
        <w:t xml:space="preserve">the </w:t>
      </w:r>
      <w:r w:rsidRPr="00FB16BC">
        <w:t xml:space="preserve">prospects </w:t>
      </w:r>
      <w:r>
        <w:t xml:space="preserve">for growth </w:t>
      </w:r>
      <w:r w:rsidRPr="00FB16BC">
        <w:t>in Indonesian agriculture.</w:t>
      </w:r>
      <w:r w:rsidR="00FD06ED">
        <w:t xml:space="preserve"> </w:t>
      </w:r>
      <w:r w:rsidR="00FD06ED" w:rsidRPr="00FB16BC">
        <w:t xml:space="preserve">They regard public sector withdrawal from markets like seeds and fertilizer as being ‘inevitable’ and the current trade restrictions as being unsupportable, in the long run, as </w:t>
      </w:r>
      <w:r w:rsidR="00FD06ED" w:rsidRPr="00FB16BC">
        <w:lastRenderedPageBreak/>
        <w:t xml:space="preserve">food shortages become more acute and price spikes more frequent. They point to (a) diminishing additional land being available for production and (b) increasing demand for food being the key drivers of the need to focus more on </w:t>
      </w:r>
      <w:r w:rsidR="00FD06ED">
        <w:t xml:space="preserve">national </w:t>
      </w:r>
      <w:r w:rsidR="00FD06ED" w:rsidRPr="00FB16BC">
        <w:t>productivity.</w:t>
      </w:r>
    </w:p>
    <w:p w14:paraId="5BBA6820" w14:textId="58307879" w:rsidR="00A70EF7" w:rsidRDefault="008E6FD4" w:rsidP="00FD06ED">
      <w:pPr>
        <w:spacing w:before="240"/>
      </w:pPr>
      <w:r>
        <w:rPr>
          <w:noProof/>
          <w:lang w:eastAsia="en-AU"/>
        </w:rPr>
        <mc:AlternateContent>
          <mc:Choice Requires="wps">
            <w:drawing>
              <wp:anchor distT="0" distB="0" distL="114300" distR="114300" simplePos="0" relativeHeight="251708928" behindDoc="0" locked="0" layoutInCell="1" allowOverlap="1" wp14:anchorId="7D262FA3" wp14:editId="6E5B7A2B">
                <wp:simplePos x="0" y="0"/>
                <wp:positionH relativeFrom="column">
                  <wp:posOffset>2777490</wp:posOffset>
                </wp:positionH>
                <wp:positionV relativeFrom="paragraph">
                  <wp:posOffset>-1376045</wp:posOffset>
                </wp:positionV>
                <wp:extent cx="3380740" cy="26289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262890"/>
                        </a:xfrm>
                        <a:prstGeom prst="rect">
                          <a:avLst/>
                        </a:prstGeom>
                        <a:solidFill>
                          <a:srgbClr val="FFFFFF"/>
                        </a:solidFill>
                        <a:ln w="9525">
                          <a:noFill/>
                          <a:miter lim="800000"/>
                          <a:headEnd/>
                          <a:tailEnd/>
                        </a:ln>
                      </wps:spPr>
                      <wps:txbx>
                        <w:txbxContent>
                          <w:p w14:paraId="01B66672" w14:textId="77777777" w:rsidR="00243660" w:rsidRDefault="00243660" w:rsidP="008E6FD4">
                            <w:r w:rsidRPr="00FA3C4D">
                              <w:rPr>
                                <w:b/>
                                <w:sz w:val="20"/>
                                <w:szCs w:val="20"/>
                              </w:rPr>
                              <w:t>Private sector investment in agriculture</w:t>
                            </w:r>
                            <w:r>
                              <w:rPr>
                                <w:b/>
                                <w:sz w:val="20"/>
                                <w:szCs w:val="20"/>
                              </w:rPr>
                              <w:t>, BKPM</w:t>
                            </w:r>
                            <w:r w:rsidRPr="00FA3C4D">
                              <w:rPr>
                                <w:b/>
                                <w:sz w:val="20"/>
                                <w:szCs w:val="20"/>
                              </w:rPr>
                              <w:t xml:space="preserve"> (2010-2016)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18.7pt;margin-top:-108.35pt;width:266.2pt;height:20.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" stroked="f">
                <v:textbox>
                  <w:txbxContent>
                    <w:p w14:paraId="01B66672" w14:textId="77777777" w:rsidR="00243660" w:rsidRDefault="00243660" w:rsidP="008E6FD4">
                      <w:r w:rsidRPr="00FA3C4D">
                        <w:rPr>
                          <w:b/>
                          <w:sz w:val="20"/>
                          <w:szCs w:val="20"/>
                        </w:rPr>
                        <w:t>Private sector investment in agriculture</w:t>
                      </w:r>
                      <w:r>
                        <w:rPr>
                          <w:b/>
                          <w:sz w:val="20"/>
                          <w:szCs w:val="20"/>
                        </w:rPr>
                        <w:t>, BKPM</w:t>
                      </w:r>
                      <w:r w:rsidRPr="00FA3C4D">
                        <w:rPr>
                          <w:b/>
                          <w:sz w:val="20"/>
                          <w:szCs w:val="20"/>
                        </w:rPr>
                        <w:t xml:space="preserve"> (2010-2016)</w:t>
                      </w:r>
                    </w:p>
                  </w:txbxContent>
                </v:textbox>
              </v:shape>
            </w:pict>
          </mc:Fallback>
        </mc:AlternateContent>
      </w:r>
      <w:r w:rsidR="007A0995" w:rsidRPr="00FC1263">
        <w:rPr>
          <w:noProof/>
          <w:lang w:eastAsia="en-AU"/>
        </w:rPr>
        <w:drawing>
          <wp:anchor distT="0" distB="0" distL="114300" distR="114300" simplePos="0" relativeHeight="251680256" behindDoc="1" locked="0" layoutInCell="1" allowOverlap="1" wp14:anchorId="6784F394" wp14:editId="07EF2F90">
            <wp:simplePos x="0" y="0"/>
            <wp:positionH relativeFrom="margin">
              <wp:posOffset>2721610</wp:posOffset>
            </wp:positionH>
            <wp:positionV relativeFrom="paragraph">
              <wp:posOffset>-470535</wp:posOffset>
            </wp:positionV>
            <wp:extent cx="3437890" cy="20662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7890" cy="2066290"/>
                    </a:xfrm>
                    <a:prstGeom prst="rect">
                      <a:avLst/>
                    </a:prstGeom>
                    <a:noFill/>
                  </pic:spPr>
                </pic:pic>
              </a:graphicData>
            </a:graphic>
            <wp14:sizeRelH relativeFrom="page">
              <wp14:pctWidth>0</wp14:pctWidth>
            </wp14:sizeRelH>
            <wp14:sizeRelV relativeFrom="page">
              <wp14:pctHeight>0</wp14:pctHeight>
            </wp14:sizeRelV>
          </wp:anchor>
        </w:drawing>
      </w:r>
      <w:r w:rsidR="00A70EF7">
        <w:t>More c</w:t>
      </w:r>
      <w:r w:rsidR="00A70EF7" w:rsidRPr="00EF5F7E">
        <w:t xml:space="preserve">ompetitive agriculture </w:t>
      </w:r>
      <w:r w:rsidR="00A70EF7">
        <w:t>markets are</w:t>
      </w:r>
      <w:r w:rsidR="00A70EF7" w:rsidRPr="00EF5F7E">
        <w:t xml:space="preserve"> needed to drive rural growth, reduce poverty and increase food security</w:t>
      </w:r>
      <w:r w:rsidR="00A70EF7">
        <w:t xml:space="preserve"> in Indonesia. Farming households need to increase productivity and quality, and to have better access to markets. For this to happen, a major challenge is to increase the level of private sector investment in agriculture and, correspondingly, to re-balance public sector efforts so that they support rather than inhibit private sector investment. This has been the focus of AIP-Rural and will continue under PRISMA-2, using the MSD approach.</w:t>
      </w:r>
      <w:r w:rsidR="00A70EF7" w:rsidRPr="00A70EF7">
        <w:t xml:space="preserve"> </w:t>
      </w:r>
      <w:r w:rsidR="00A70EF7">
        <w:t>A matrix of investment in food crops, plantations, livestock and fisheries can be found at Annex 2.</w:t>
      </w:r>
    </w:p>
    <w:p w14:paraId="381A62E7" w14:textId="467EA658" w:rsidR="004E7445" w:rsidRPr="00963BE4" w:rsidRDefault="004E7445" w:rsidP="004E7445">
      <w:pPr>
        <w:pStyle w:val="Heading3"/>
      </w:pPr>
      <w:bookmarkStart w:id="5" w:name="_Toc499298837"/>
      <w:r w:rsidRPr="00314E16">
        <w:t>Strategic Sett</w:t>
      </w:r>
      <w:r>
        <w:t>ing and Rationale for Australian</w:t>
      </w:r>
      <w:r w:rsidRPr="00314E16">
        <w:t xml:space="preserve"> Engagement</w:t>
      </w:r>
      <w:bookmarkEnd w:id="5"/>
    </w:p>
    <w:p w14:paraId="6751114E" w14:textId="23A19BE4" w:rsidR="004E7445" w:rsidRPr="0075763D" w:rsidRDefault="004E7445" w:rsidP="004E7445">
      <w:pPr>
        <w:rPr>
          <w:lang w:val="en-GB"/>
        </w:rPr>
      </w:pPr>
      <w:r w:rsidRPr="0075763D">
        <w:rPr>
          <w:rFonts w:ascii="Calibri" w:hAnsi="Calibri" w:cs="Calibri"/>
          <w:lang w:val="en-GB"/>
        </w:rPr>
        <w:t>As a close neighbour, Indonesia is a key partner in Australia’s bilateral, regional</w:t>
      </w:r>
      <w:r w:rsidR="004B55E3">
        <w:rPr>
          <w:rFonts w:ascii="Calibri" w:hAnsi="Calibri" w:cs="Calibri"/>
          <w:lang w:val="en-GB"/>
        </w:rPr>
        <w:t>,</w:t>
      </w:r>
      <w:r w:rsidRPr="0075763D">
        <w:rPr>
          <w:rFonts w:ascii="Calibri" w:hAnsi="Calibri" w:cs="Calibri"/>
          <w:lang w:val="en-GB"/>
        </w:rPr>
        <w:t xml:space="preserve"> and global interests. A prosperous, balanced and growing Indonesia supports stability, security, trade and cooperation in our shared region. Indonesia has reached middle income status and achieved substantial development progress in recent </w:t>
      </w:r>
      <w:proofErr w:type="gramStart"/>
      <w:r w:rsidRPr="0075763D">
        <w:rPr>
          <w:rFonts w:ascii="Calibri" w:hAnsi="Calibri" w:cs="Calibri"/>
          <w:lang w:val="en-GB"/>
        </w:rPr>
        <w:t>years,</w:t>
      </w:r>
      <w:proofErr w:type="gramEnd"/>
      <w:r w:rsidRPr="0075763D">
        <w:rPr>
          <w:rFonts w:ascii="Calibri" w:hAnsi="Calibri" w:cs="Calibri"/>
          <w:lang w:val="en-GB"/>
        </w:rPr>
        <w:t xml:space="preserve"> however challenges remain such as infrastructure bottlenecks, skills deficits and institutional weaknesses. To address these challenges Australia works with Indonesia to target fundamental constraints to Indonesia’s growth and poverty reduction, where Australia can add most value. </w:t>
      </w:r>
      <w:r>
        <w:rPr>
          <w:rFonts w:ascii="Calibri" w:hAnsi="Calibri" w:cs="Calibri"/>
          <w:lang w:val="en-GB"/>
        </w:rPr>
        <w:t xml:space="preserve">Australia </w:t>
      </w:r>
      <w:r w:rsidR="004B55E3">
        <w:rPr>
          <w:rFonts w:ascii="Calibri" w:hAnsi="Calibri" w:cs="Calibri"/>
          <w:lang w:val="en-GB"/>
        </w:rPr>
        <w:t xml:space="preserve">has increased support for aid for trade, </w:t>
      </w:r>
      <w:r w:rsidRPr="0075763D">
        <w:rPr>
          <w:rFonts w:ascii="Calibri" w:hAnsi="Calibri" w:cs="Calibri"/>
          <w:lang w:val="en-GB"/>
        </w:rPr>
        <w:t>contributing to the 20</w:t>
      </w:r>
      <w:r w:rsidR="00675B61">
        <w:rPr>
          <w:rFonts w:ascii="Calibri" w:hAnsi="Calibri" w:cs="Calibri"/>
          <w:lang w:val="en-GB"/>
        </w:rPr>
        <w:t>%</w:t>
      </w:r>
      <w:r w:rsidRPr="0075763D">
        <w:rPr>
          <w:rFonts w:ascii="Calibri" w:hAnsi="Calibri" w:cs="Calibri"/>
          <w:lang w:val="en-GB"/>
        </w:rPr>
        <w:t xml:space="preserve"> target </w:t>
      </w:r>
      <w:r w:rsidR="004B55E3">
        <w:rPr>
          <w:rFonts w:ascii="Calibri" w:hAnsi="Calibri" w:cs="Calibri"/>
          <w:lang w:val="en-GB"/>
        </w:rPr>
        <w:t>for Australian development program expenditure on aid for trade globally by 2020</w:t>
      </w:r>
      <w:r w:rsidRPr="0075763D">
        <w:rPr>
          <w:rFonts w:ascii="Calibri" w:hAnsi="Calibri" w:cs="Calibri"/>
          <w:lang w:val="en-GB"/>
        </w:rPr>
        <w:t>.</w:t>
      </w:r>
    </w:p>
    <w:p w14:paraId="2C11D1ED" w14:textId="146133B1" w:rsidR="004E7445" w:rsidRDefault="004E7445" w:rsidP="00321593">
      <w:pPr>
        <w:rPr>
          <w:lang w:val="en-GB"/>
        </w:rPr>
      </w:pPr>
      <w:r w:rsidRPr="00321593">
        <w:rPr>
          <w:rFonts w:ascii="Calibri" w:hAnsi="Calibri" w:cs="Calibri"/>
          <w:lang w:val="en-GB"/>
        </w:rPr>
        <w:t xml:space="preserve">The overarching goal of Australian development cooperation with Indonesia </w:t>
      </w:r>
      <w:r w:rsidR="00321593">
        <w:rPr>
          <w:rFonts w:ascii="Calibri" w:hAnsi="Calibri" w:cs="Calibri"/>
          <w:lang w:val="en-GB"/>
        </w:rPr>
        <w:t xml:space="preserve">is to boost inclusive growth by </w:t>
      </w:r>
      <w:r w:rsidRPr="00321593">
        <w:rPr>
          <w:rFonts w:ascii="Calibri" w:hAnsi="Calibri" w:cs="Calibri"/>
          <w:lang w:val="en-GB"/>
        </w:rPr>
        <w:t>improving Indonesia’s competitiveness. The Indonesia Aid Investment Plan (2015-19) notes the development program will encourage inclusive economic growth by strengthening the operation of agricultural markets, raising agricultural productivity, improving food security, and helping to boost poor farmers’ incomes and employment by addressing constraints such as access to loans. The current AIP-Rural investment and proposed</w:t>
      </w:r>
      <w:r w:rsidR="00044544">
        <w:rPr>
          <w:rFonts w:ascii="Calibri" w:hAnsi="Calibri" w:cs="Calibri"/>
          <w:lang w:val="en-GB"/>
        </w:rPr>
        <w:t xml:space="preserve"> </w:t>
      </w:r>
      <w:r w:rsidR="005D461A" w:rsidRPr="00321593">
        <w:rPr>
          <w:rFonts w:ascii="Calibri" w:hAnsi="Calibri" w:cs="Calibri"/>
          <w:lang w:val="en-GB"/>
        </w:rPr>
        <w:t>PRISMA-2</w:t>
      </w:r>
      <w:r w:rsidR="002F7707">
        <w:rPr>
          <w:rFonts w:ascii="Calibri" w:hAnsi="Calibri" w:cs="Calibri"/>
          <w:lang w:val="en-GB"/>
        </w:rPr>
        <w:t xml:space="preserve"> program align</w:t>
      </w:r>
      <w:r w:rsidRPr="00321593">
        <w:rPr>
          <w:rFonts w:ascii="Calibri" w:hAnsi="Calibri" w:cs="Calibri"/>
          <w:lang w:val="en-GB"/>
        </w:rPr>
        <w:t xml:space="preserve"> closely with the Strategy for Australia’s Aid Investments in Agriculture, Fisheries and Water through its focus on strengthening markets and innovations to increase productivity and market opportunities for</w:t>
      </w:r>
      <w:r w:rsidR="001E1078">
        <w:rPr>
          <w:rFonts w:ascii="Calibri" w:hAnsi="Calibri" w:cs="Calibri"/>
          <w:lang w:val="en-GB"/>
        </w:rPr>
        <w:t xml:space="preserve"> the poor. The P</w:t>
      </w:r>
      <w:r w:rsidRPr="00321593">
        <w:rPr>
          <w:rFonts w:ascii="Calibri" w:hAnsi="Calibri" w:cs="Calibri"/>
          <w:lang w:val="en-GB"/>
        </w:rPr>
        <w:t>rogram contributes significantly to aid for trade targets (99% of AIP-Rural is counted as aid for trade) and integrates gender equality and women’s economic empowerment considerations and strategies into the design and</w:t>
      </w:r>
      <w:r>
        <w:rPr>
          <w:lang w:val="en-GB"/>
        </w:rPr>
        <w:t xml:space="preserve"> implementation of interventions</w:t>
      </w:r>
      <w:r w:rsidR="001E1078">
        <w:rPr>
          <w:lang w:val="en-GB"/>
        </w:rPr>
        <w:t>. The P</w:t>
      </w:r>
      <w:r w:rsidRPr="00B65AE2">
        <w:rPr>
          <w:lang w:val="en-GB"/>
        </w:rPr>
        <w:t>rogram is a key example of Australia’s innovation and private sector engagement st</w:t>
      </w:r>
      <w:r w:rsidR="001E1078">
        <w:rPr>
          <w:lang w:val="en-GB"/>
        </w:rPr>
        <w:t xml:space="preserve">rategies in action; employing an MSD </w:t>
      </w:r>
      <w:r w:rsidRPr="00B65AE2">
        <w:rPr>
          <w:lang w:val="en-GB"/>
        </w:rPr>
        <w:t>approach that leverages co-investment from the private sector for every intervention and introduces agricultural innovations to farmers to inc</w:t>
      </w:r>
      <w:r w:rsidR="005D17AB">
        <w:rPr>
          <w:lang w:val="en-GB"/>
        </w:rPr>
        <w:t>rease quality and productivity.</w:t>
      </w:r>
    </w:p>
    <w:p w14:paraId="42AF3CDA" w14:textId="582721A4" w:rsidR="004E7445" w:rsidRDefault="004E7445" w:rsidP="004E7445">
      <w:pPr>
        <w:pStyle w:val="BodyText"/>
        <w:rPr>
          <w:rFonts w:cstheme="minorHAnsi"/>
        </w:rPr>
      </w:pPr>
      <w:r w:rsidRPr="00B65AE2">
        <w:rPr>
          <w:rFonts w:cstheme="minorHAnsi"/>
        </w:rPr>
        <w:t xml:space="preserve">For Indonesia, AIP-Rural contributes to </w:t>
      </w:r>
      <w:r w:rsidR="002216BB">
        <w:rPr>
          <w:rFonts w:cstheme="minorHAnsi"/>
        </w:rPr>
        <w:t xml:space="preserve">national strategic plans such as </w:t>
      </w:r>
      <w:r w:rsidRPr="00B65AE2">
        <w:rPr>
          <w:rFonts w:cstheme="minorHAnsi"/>
        </w:rPr>
        <w:t xml:space="preserve">the Medium-Term Development Plan (RPJMN 2015-2019), including: accelerating productivity, competitiveness and inclusive </w:t>
      </w:r>
      <w:r>
        <w:rPr>
          <w:rFonts w:cstheme="minorHAnsi"/>
        </w:rPr>
        <w:t xml:space="preserve">growth and </w:t>
      </w:r>
      <w:r w:rsidRPr="00B65AE2">
        <w:rPr>
          <w:rFonts w:cstheme="minorHAnsi"/>
        </w:rPr>
        <w:t xml:space="preserve">development, </w:t>
      </w:r>
      <w:r>
        <w:rPr>
          <w:rFonts w:cstheme="minorHAnsi"/>
        </w:rPr>
        <w:t xml:space="preserve">reducing </w:t>
      </w:r>
      <w:r w:rsidRPr="00B65AE2">
        <w:rPr>
          <w:rFonts w:cstheme="minorHAnsi"/>
        </w:rPr>
        <w:t xml:space="preserve">poverty and addressing regional disparity between the east and west by focusing on eastern Indonesia. Indonesia’s main agricultural policy priorities include achieving self-sufficiency in key commodities such as rice, maize, soybean, sugar and beef; achieving national food security; balancing the needs of producers and consumers; increasing farmer welfare through higher income; diversifying food </w:t>
      </w:r>
      <w:r w:rsidRPr="00B65AE2">
        <w:rPr>
          <w:rFonts w:cstheme="minorHAnsi"/>
        </w:rPr>
        <w:lastRenderedPageBreak/>
        <w:t>sources away from cereals; increasing the competitiveness of agricultural production, value-added processing and export; and managing the effects of climate change</w:t>
      </w:r>
      <w:r w:rsidRPr="00B65AE2">
        <w:rPr>
          <w:rStyle w:val="FootnoteReference"/>
          <w:rFonts w:cstheme="minorHAnsi"/>
        </w:rPr>
        <w:footnoteReference w:id="28"/>
      </w:r>
      <w:r>
        <w:rPr>
          <w:rFonts w:cstheme="minorHAnsi"/>
        </w:rPr>
        <w:t>.</w:t>
      </w:r>
    </w:p>
    <w:p w14:paraId="02176C32" w14:textId="44D56A24" w:rsidR="0081522A" w:rsidRDefault="005D461A" w:rsidP="004E7445">
      <w:pPr>
        <w:rPr>
          <w:rFonts w:cstheme="minorHAnsi"/>
        </w:rPr>
      </w:pPr>
      <w:r>
        <w:rPr>
          <w:rFonts w:cstheme="minorHAnsi"/>
        </w:rPr>
        <w:t>PRISMA-2</w:t>
      </w:r>
      <w:r w:rsidR="004E7445" w:rsidRPr="00B65AE2">
        <w:rPr>
          <w:rFonts w:cstheme="minorHAnsi"/>
        </w:rPr>
        <w:t xml:space="preserve"> will continue to support Indonesia</w:t>
      </w:r>
      <w:r w:rsidR="004E7445">
        <w:rPr>
          <w:rFonts w:cstheme="minorHAnsi"/>
        </w:rPr>
        <w:t>’s</w:t>
      </w:r>
      <w:r w:rsidR="004E7445" w:rsidRPr="00B65AE2">
        <w:rPr>
          <w:rFonts w:cstheme="minorHAnsi"/>
        </w:rPr>
        <w:t xml:space="preserve"> poverty reduction and agricultural priorities </w:t>
      </w:r>
      <w:r w:rsidR="004B3DE9">
        <w:rPr>
          <w:rFonts w:cstheme="minorHAnsi"/>
        </w:rPr>
        <w:t xml:space="preserve">where appropriate </w:t>
      </w:r>
      <w:r w:rsidR="004E7445" w:rsidRPr="00B65AE2">
        <w:rPr>
          <w:rFonts w:cstheme="minorHAnsi"/>
        </w:rPr>
        <w:t xml:space="preserve">by </w:t>
      </w:r>
      <w:r w:rsidR="004E7445">
        <w:rPr>
          <w:rFonts w:cstheme="minorHAnsi"/>
        </w:rPr>
        <w:t>working with private se</w:t>
      </w:r>
      <w:r w:rsidR="004E7445" w:rsidRPr="00B65AE2">
        <w:rPr>
          <w:rFonts w:cstheme="minorHAnsi"/>
        </w:rPr>
        <w:t>ctor partners to scale</w:t>
      </w:r>
      <w:r w:rsidR="004E7445">
        <w:rPr>
          <w:rFonts w:cstheme="minorHAnsi"/>
        </w:rPr>
        <w:t xml:space="preserve"> </w:t>
      </w:r>
      <w:r w:rsidR="004E7445" w:rsidRPr="00B65AE2">
        <w:rPr>
          <w:rFonts w:cstheme="minorHAnsi"/>
        </w:rPr>
        <w:t>up successful interventions piloted through AIP-Rural</w:t>
      </w:r>
      <w:r w:rsidR="004E7445">
        <w:rPr>
          <w:rFonts w:cstheme="minorHAnsi"/>
        </w:rPr>
        <w:t>, as well as implementing new interventions to stimulate</w:t>
      </w:r>
      <w:r w:rsidR="004E7445" w:rsidRPr="00B65AE2">
        <w:rPr>
          <w:rFonts w:cstheme="minorHAnsi"/>
        </w:rPr>
        <w:t xml:space="preserve"> broader systemic change </w:t>
      </w:r>
      <w:r w:rsidR="004E7445">
        <w:rPr>
          <w:rFonts w:cstheme="minorHAnsi"/>
        </w:rPr>
        <w:t>in</w:t>
      </w:r>
      <w:r w:rsidR="004E7445" w:rsidRPr="00B65AE2">
        <w:rPr>
          <w:rFonts w:cstheme="minorHAnsi"/>
        </w:rPr>
        <w:t xml:space="preserve"> </w:t>
      </w:r>
      <w:r w:rsidR="004E7445">
        <w:rPr>
          <w:rFonts w:cstheme="minorHAnsi"/>
        </w:rPr>
        <w:t xml:space="preserve">agricultural </w:t>
      </w:r>
      <w:r w:rsidR="004E7445" w:rsidRPr="00B65AE2">
        <w:rPr>
          <w:rFonts w:cstheme="minorHAnsi"/>
        </w:rPr>
        <w:t>market</w:t>
      </w:r>
      <w:r w:rsidR="004E7445">
        <w:rPr>
          <w:rFonts w:cstheme="minorHAnsi"/>
        </w:rPr>
        <w:t>s</w:t>
      </w:r>
      <w:r w:rsidR="004E7445" w:rsidRPr="00B65AE2">
        <w:rPr>
          <w:rFonts w:cstheme="minorHAnsi"/>
        </w:rPr>
        <w:t xml:space="preserve"> and the agribusiness environment. </w:t>
      </w:r>
      <w:r w:rsidR="004E7445">
        <w:rPr>
          <w:rFonts w:cstheme="minorHAnsi"/>
        </w:rPr>
        <w:t xml:space="preserve">The </w:t>
      </w:r>
      <w:r w:rsidR="001E1078">
        <w:rPr>
          <w:rFonts w:cstheme="minorHAnsi"/>
        </w:rPr>
        <w:t>P</w:t>
      </w:r>
      <w:r w:rsidR="004E7445">
        <w:rPr>
          <w:rFonts w:cstheme="minorHAnsi"/>
        </w:rPr>
        <w:t>rogram will contribute to the Medium</w:t>
      </w:r>
      <w:r w:rsidR="0081522A">
        <w:rPr>
          <w:rFonts w:cstheme="minorHAnsi"/>
        </w:rPr>
        <w:t>-</w:t>
      </w:r>
      <w:r w:rsidR="004E7445">
        <w:rPr>
          <w:rFonts w:cstheme="minorHAnsi"/>
        </w:rPr>
        <w:t>Term Development Plan (RPJMN) priorities, particularly mission five</w:t>
      </w:r>
      <w:r w:rsidR="004E7445">
        <w:rPr>
          <w:rStyle w:val="FootnoteReference"/>
          <w:rFonts w:cstheme="minorHAnsi"/>
        </w:rPr>
        <w:footnoteReference w:id="29"/>
      </w:r>
      <w:r w:rsidR="004E7445">
        <w:rPr>
          <w:rFonts w:cstheme="minorHAnsi"/>
        </w:rPr>
        <w:t>, which focuses on achieving inclusive growth and poverty reduction by maximising the labour force and market potential across the agricultural, industry and services sectors.</w:t>
      </w:r>
      <w:r w:rsidR="005F3FE5">
        <w:rPr>
          <w:rFonts w:cstheme="minorHAnsi"/>
        </w:rPr>
        <w:t xml:space="preserve"> PRISMA-2 will </w:t>
      </w:r>
      <w:r w:rsidR="002216BB">
        <w:rPr>
          <w:rFonts w:cstheme="minorHAnsi"/>
        </w:rPr>
        <w:t xml:space="preserve">also </w:t>
      </w:r>
      <w:r w:rsidR="005F3FE5">
        <w:rPr>
          <w:rFonts w:cstheme="minorHAnsi"/>
        </w:rPr>
        <w:t>contribute to the achievement of the Sustainable Development Goals (SDGs)</w:t>
      </w:r>
      <w:r w:rsidR="002216BB">
        <w:rPr>
          <w:rFonts w:cstheme="minorHAnsi"/>
        </w:rPr>
        <w:t xml:space="preserve"> in Indonesia</w:t>
      </w:r>
      <w:r w:rsidR="001E1078">
        <w:rPr>
          <w:rFonts w:cstheme="minorHAnsi"/>
        </w:rPr>
        <w:t xml:space="preserve">, </w:t>
      </w:r>
      <w:r w:rsidR="004B55E3">
        <w:rPr>
          <w:rFonts w:cstheme="minorHAnsi"/>
        </w:rPr>
        <w:t>particularly</w:t>
      </w:r>
      <w:r w:rsidR="001E1078">
        <w:rPr>
          <w:rFonts w:cstheme="minorHAnsi"/>
        </w:rPr>
        <w:t xml:space="preserve"> SDG 1 (e</w:t>
      </w:r>
      <w:r w:rsidR="005F3FE5">
        <w:rPr>
          <w:rFonts w:cstheme="minorHAnsi"/>
        </w:rPr>
        <w:t>nd poverty in all its forms); SDG 2 (</w:t>
      </w:r>
      <w:r w:rsidR="000F5F03">
        <w:rPr>
          <w:rFonts w:cstheme="minorHAnsi"/>
        </w:rPr>
        <w:t>end hunger, achieve food security and improved nutrition and promote sustainable agriculture), SDG 8 (promote sustained, inclusive and sustainable economic growth, full and productive employment and decent work for all)</w:t>
      </w:r>
      <w:r w:rsidR="00616BC8">
        <w:rPr>
          <w:rFonts w:cstheme="minorHAnsi"/>
        </w:rPr>
        <w:t>.</w:t>
      </w:r>
    </w:p>
    <w:p w14:paraId="3923CFDE" w14:textId="1A09272D" w:rsidR="004E7445" w:rsidRDefault="004E7445" w:rsidP="004E7445">
      <w:pPr>
        <w:rPr>
          <w:lang w:val="en-GB"/>
        </w:rPr>
      </w:pPr>
      <w:r w:rsidRPr="00B65AE2">
        <w:rPr>
          <w:lang w:val="en-GB"/>
        </w:rPr>
        <w:t xml:space="preserve">The </w:t>
      </w:r>
      <w:r w:rsidR="001E1078">
        <w:rPr>
          <w:lang w:val="en-GB"/>
        </w:rPr>
        <w:t>MSD</w:t>
      </w:r>
      <w:r w:rsidRPr="00B65AE2">
        <w:rPr>
          <w:lang w:val="en-GB"/>
        </w:rPr>
        <w:t xml:space="preserve"> approach </w:t>
      </w:r>
      <w:r>
        <w:rPr>
          <w:lang w:val="en-GB"/>
        </w:rPr>
        <w:t xml:space="preserve">employed by </w:t>
      </w:r>
      <w:r w:rsidR="005D461A">
        <w:rPr>
          <w:lang w:val="en-GB"/>
        </w:rPr>
        <w:t>PRISMA-2</w:t>
      </w:r>
      <w:r>
        <w:rPr>
          <w:lang w:val="en-GB"/>
        </w:rPr>
        <w:t xml:space="preserve"> </w:t>
      </w:r>
      <w:r w:rsidR="00AE5A8F">
        <w:rPr>
          <w:lang w:val="en-GB"/>
        </w:rPr>
        <w:t>reflects</w:t>
      </w:r>
      <w:r w:rsidRPr="00B65AE2">
        <w:rPr>
          <w:lang w:val="en-GB"/>
        </w:rPr>
        <w:t xml:space="preserve"> a more mature development cooperation partnership with Indonesia – an </w:t>
      </w:r>
      <w:r>
        <w:rPr>
          <w:lang w:val="en-GB"/>
        </w:rPr>
        <w:t>‘</w:t>
      </w:r>
      <w:r w:rsidRPr="00B65AE2">
        <w:rPr>
          <w:lang w:val="en-GB"/>
        </w:rPr>
        <w:t>economic partnership</w:t>
      </w:r>
      <w:r>
        <w:rPr>
          <w:lang w:val="en-GB"/>
        </w:rPr>
        <w:t>’</w:t>
      </w:r>
      <w:r w:rsidRPr="00B65AE2">
        <w:rPr>
          <w:lang w:val="en-GB"/>
        </w:rPr>
        <w:t xml:space="preserve"> – that focuses on leveraging Indonesia’s own substantial resources.</w:t>
      </w:r>
      <w:r>
        <w:rPr>
          <w:lang w:val="en-GB"/>
        </w:rPr>
        <w:t xml:space="preserve"> </w:t>
      </w:r>
      <w:r w:rsidR="005D461A">
        <w:rPr>
          <w:lang w:val="en-GB"/>
        </w:rPr>
        <w:t>PRISMA-2</w:t>
      </w:r>
      <w:r>
        <w:rPr>
          <w:lang w:val="en-GB"/>
        </w:rPr>
        <w:t xml:space="preserve"> will support Indonesia to devel</w:t>
      </w:r>
      <w:r w:rsidR="004B55E3">
        <w:rPr>
          <w:lang w:val="en-GB"/>
        </w:rPr>
        <w:t xml:space="preserve">op its own agricultural sector, </w:t>
      </w:r>
      <w:r>
        <w:rPr>
          <w:lang w:val="en-GB"/>
        </w:rPr>
        <w:t>including by focusing on Indonesia’s staple food items to meet domestic consumption and on areas of economic speciality/advantage wi</w:t>
      </w:r>
      <w:r w:rsidR="004B55E3">
        <w:rPr>
          <w:lang w:val="en-GB"/>
        </w:rPr>
        <w:t>th strong potential for export</w:t>
      </w:r>
      <w:r w:rsidR="001E1078">
        <w:rPr>
          <w:lang w:val="en-GB"/>
        </w:rPr>
        <w:t>.</w:t>
      </w:r>
      <w:r w:rsidRPr="00B65AE2">
        <w:rPr>
          <w:lang w:val="en-GB"/>
        </w:rPr>
        <w:t xml:space="preserve"> A strengthened second phase of investment that builds on the achievement</w:t>
      </w:r>
      <w:r>
        <w:rPr>
          <w:lang w:val="en-GB"/>
        </w:rPr>
        <w:t xml:space="preserve">s of AIP-Rural will </w:t>
      </w:r>
      <w:r w:rsidRPr="00B65AE2">
        <w:rPr>
          <w:lang w:val="en-GB"/>
        </w:rPr>
        <w:t xml:space="preserve">benefit both Indonesia and Australia in terms of market growth, increased trade </w:t>
      </w:r>
      <w:r w:rsidR="004B55E3">
        <w:rPr>
          <w:lang w:val="en-GB"/>
        </w:rPr>
        <w:t xml:space="preserve">and investment, </w:t>
      </w:r>
      <w:r w:rsidRPr="00B65AE2">
        <w:rPr>
          <w:lang w:val="en-GB"/>
        </w:rPr>
        <w:t>and greater regional stability.</w:t>
      </w:r>
    </w:p>
    <w:p w14:paraId="32B6ED92" w14:textId="77777777" w:rsidR="009366CD" w:rsidRPr="00314E16" w:rsidRDefault="009366CD" w:rsidP="009366CD">
      <w:pPr>
        <w:pStyle w:val="Heading3"/>
      </w:pPr>
      <w:bookmarkStart w:id="6" w:name="_Toc499298838"/>
      <w:r w:rsidRPr="00314E16">
        <w:t>Market Systems Development</w:t>
      </w:r>
      <w:bookmarkEnd w:id="6"/>
    </w:p>
    <w:p w14:paraId="2EC4B622" w14:textId="7A65CE14" w:rsidR="009366CD" w:rsidRPr="00D43874" w:rsidRDefault="009366CD" w:rsidP="009366CD">
      <w:pPr>
        <w:pStyle w:val="BodyText"/>
        <w:rPr>
          <w:rFonts w:cs="Arial"/>
        </w:rPr>
      </w:pPr>
      <w:r>
        <w:rPr>
          <w:rFonts w:cs="Arial"/>
        </w:rPr>
        <w:t>M</w:t>
      </w:r>
      <w:r w:rsidRPr="00D43874">
        <w:rPr>
          <w:rFonts w:cs="Arial"/>
        </w:rPr>
        <w:t>arket systems development</w:t>
      </w:r>
      <w:r>
        <w:rPr>
          <w:rFonts w:cs="Arial"/>
        </w:rPr>
        <w:t xml:space="preserve"> </w:t>
      </w:r>
      <w:r w:rsidR="00557844">
        <w:rPr>
          <w:rFonts w:cs="Arial"/>
        </w:rPr>
        <w:t xml:space="preserve">or ‘making markets work for the poor’ </w:t>
      </w:r>
      <w:r>
        <w:rPr>
          <w:rFonts w:cs="Arial"/>
        </w:rPr>
        <w:t xml:space="preserve">is an </w:t>
      </w:r>
      <w:r w:rsidRPr="00D43874">
        <w:rPr>
          <w:rFonts w:cs="Arial"/>
        </w:rPr>
        <w:t>approach</w:t>
      </w:r>
      <w:r>
        <w:rPr>
          <w:rFonts w:cs="Arial"/>
        </w:rPr>
        <w:t xml:space="preserve"> based on more than two decades of experience in engaging with the private sector.</w:t>
      </w:r>
      <w:r w:rsidRPr="00D43874">
        <w:rPr>
          <w:rFonts w:cs="Arial"/>
        </w:rPr>
        <w:t xml:space="preserve"> </w:t>
      </w:r>
      <w:r>
        <w:rPr>
          <w:rFonts w:cs="Arial"/>
        </w:rPr>
        <w:t xml:space="preserve">It has been </w:t>
      </w:r>
      <w:r w:rsidRPr="00D43874">
        <w:rPr>
          <w:rFonts w:cs="Arial"/>
        </w:rPr>
        <w:t xml:space="preserve">successfully </w:t>
      </w:r>
      <w:r>
        <w:rPr>
          <w:rFonts w:cs="Arial"/>
        </w:rPr>
        <w:t xml:space="preserve">used </w:t>
      </w:r>
      <w:r w:rsidRPr="00D43874">
        <w:rPr>
          <w:rFonts w:cs="Arial"/>
        </w:rPr>
        <w:t xml:space="preserve">by AIP-Rural and </w:t>
      </w:r>
      <w:r w:rsidR="001E1078">
        <w:rPr>
          <w:rFonts w:cs="Arial"/>
        </w:rPr>
        <w:t>will</w:t>
      </w:r>
      <w:r w:rsidRPr="00D43874">
        <w:rPr>
          <w:rFonts w:cs="Arial"/>
        </w:rPr>
        <w:t xml:space="preserve"> continue to be used </w:t>
      </w:r>
      <w:r w:rsidR="001E1078">
        <w:rPr>
          <w:rFonts w:cs="Arial"/>
        </w:rPr>
        <w:t>in</w:t>
      </w:r>
      <w:r w:rsidRPr="00D43874">
        <w:rPr>
          <w:rFonts w:cs="Arial"/>
        </w:rPr>
        <w:t xml:space="preserve"> </w:t>
      </w:r>
      <w:r w:rsidR="005D461A">
        <w:rPr>
          <w:rFonts w:cs="Arial"/>
        </w:rPr>
        <w:t>PRISMA-2</w:t>
      </w:r>
      <w:r>
        <w:rPr>
          <w:rStyle w:val="FootnoteReference"/>
          <w:rFonts w:cs="Arial"/>
        </w:rPr>
        <w:footnoteReference w:id="30"/>
      </w:r>
      <w:r>
        <w:rPr>
          <w:rFonts w:cs="Arial"/>
        </w:rPr>
        <w:t>.</w:t>
      </w:r>
      <w:r w:rsidRPr="00D43874">
        <w:rPr>
          <w:rFonts w:cs="Arial"/>
        </w:rPr>
        <w:t xml:space="preserve"> Conventionally, rural development programs have tended to be public sector-led, with an empha</w:t>
      </w:r>
      <w:r w:rsidR="00557844">
        <w:rPr>
          <w:rFonts w:cs="Arial"/>
        </w:rPr>
        <w:t xml:space="preserve">sis on delivering ‘solutions’ (e.g. </w:t>
      </w:r>
      <w:r w:rsidRPr="00D43874">
        <w:rPr>
          <w:rFonts w:cs="Arial"/>
        </w:rPr>
        <w:t>information, skills, seeds, f</w:t>
      </w:r>
      <w:r w:rsidR="00557844">
        <w:rPr>
          <w:rFonts w:cs="Arial"/>
        </w:rPr>
        <w:t xml:space="preserve">ertiliser, finance, equipment) </w:t>
      </w:r>
      <w:r w:rsidRPr="00D43874">
        <w:rPr>
          <w:rFonts w:cs="Arial"/>
        </w:rPr>
        <w:t xml:space="preserve">directly to </w:t>
      </w:r>
      <w:r w:rsidR="00557844">
        <w:rPr>
          <w:rFonts w:cs="Arial"/>
        </w:rPr>
        <w:t>farmers</w:t>
      </w:r>
      <w:r>
        <w:rPr>
          <w:rFonts w:cs="Arial"/>
        </w:rPr>
        <w:t xml:space="preserve"> or rural enterprise</w:t>
      </w:r>
      <w:r w:rsidR="00557844">
        <w:rPr>
          <w:rFonts w:cs="Arial"/>
        </w:rPr>
        <w:t>s</w:t>
      </w:r>
      <w:r>
        <w:rPr>
          <w:rFonts w:cs="Arial"/>
        </w:rPr>
        <w:t xml:space="preserve">. </w:t>
      </w:r>
      <w:r w:rsidR="00557844">
        <w:rPr>
          <w:rFonts w:cs="Arial"/>
        </w:rPr>
        <w:t>Evaluations</w:t>
      </w:r>
      <w:r w:rsidRPr="00D43874">
        <w:rPr>
          <w:rFonts w:cs="Arial"/>
        </w:rPr>
        <w:t xml:space="preserve"> </w:t>
      </w:r>
      <w:r>
        <w:rPr>
          <w:rFonts w:cs="Arial"/>
        </w:rPr>
        <w:t>indicate</w:t>
      </w:r>
      <w:r w:rsidRPr="00D43874">
        <w:rPr>
          <w:rFonts w:cs="Arial"/>
        </w:rPr>
        <w:t xml:space="preserve"> that such an approach has frequently been unable to ensure the sustainability of benefits to the targeted population once program-funded activities cease.</w:t>
      </w:r>
      <w:r w:rsidR="002216BB">
        <w:rPr>
          <w:rStyle w:val="FootnoteReference"/>
          <w:rFonts w:cs="Arial"/>
        </w:rPr>
        <w:footnoteReference w:id="31"/>
      </w:r>
    </w:p>
    <w:p w14:paraId="4B8C03C1" w14:textId="4A9FC125" w:rsidR="009366CD" w:rsidRPr="00D43874" w:rsidRDefault="009366CD" w:rsidP="009366CD">
      <w:pPr>
        <w:pStyle w:val="BodyText"/>
        <w:rPr>
          <w:rFonts w:cs="Arial"/>
        </w:rPr>
      </w:pPr>
      <w:r w:rsidRPr="00D43874">
        <w:rPr>
          <w:rFonts w:cs="Arial"/>
        </w:rPr>
        <w:t xml:space="preserve">The </w:t>
      </w:r>
      <w:r w:rsidR="00557844">
        <w:rPr>
          <w:rFonts w:cs="Arial"/>
        </w:rPr>
        <w:t>MSD</w:t>
      </w:r>
      <w:r w:rsidRPr="00D43874">
        <w:rPr>
          <w:rFonts w:cs="Arial"/>
        </w:rPr>
        <w:t xml:space="preserve"> approach does not deliver solutions directly. It introduces pro-poor innovations through markets, with the expectation </w:t>
      </w:r>
      <w:r w:rsidR="00FB65F3">
        <w:rPr>
          <w:rFonts w:cs="Arial"/>
        </w:rPr>
        <w:t>that if the innovation is relevant</w:t>
      </w:r>
      <w:r w:rsidR="004C2A56">
        <w:rPr>
          <w:rFonts w:cs="Arial"/>
        </w:rPr>
        <w:t>,</w:t>
      </w:r>
      <w:r w:rsidR="00FB65F3">
        <w:rPr>
          <w:rFonts w:cs="Arial"/>
        </w:rPr>
        <w:t xml:space="preserve"> </w:t>
      </w:r>
      <w:r w:rsidRPr="00D43874">
        <w:rPr>
          <w:rFonts w:cs="Arial"/>
        </w:rPr>
        <w:t xml:space="preserve">market forces will sustain the </w:t>
      </w:r>
      <w:r w:rsidR="00FB65F3">
        <w:rPr>
          <w:rFonts w:cs="Arial"/>
        </w:rPr>
        <w:t>change</w:t>
      </w:r>
      <w:r w:rsidRPr="00D43874">
        <w:rPr>
          <w:rFonts w:cs="Arial"/>
        </w:rPr>
        <w:t>. The approach is analytical and relies on rigorous measurement. It starts small, tests, and then scales up: testing and proving the feasibility and relevance of pro-poor commercial concepts that will attract further commercial investment, to create a multiplier effect that leads to large-scale and sustained impact. The approach is based on economic partnership</w:t>
      </w:r>
      <w:r w:rsidR="002216BB">
        <w:rPr>
          <w:rFonts w:cs="Arial"/>
        </w:rPr>
        <w:t xml:space="preserve"> and incentives</w:t>
      </w:r>
      <w:r w:rsidRPr="00D43874">
        <w:rPr>
          <w:rFonts w:cs="Arial"/>
        </w:rPr>
        <w:t>. Interventions are more likely to succeed if there is a private sector partner with the motivation and capacity to invest, and continue to do so in the long run, because it is in their commercial interests to do so</w:t>
      </w:r>
      <w:r w:rsidR="002216BB">
        <w:rPr>
          <w:rFonts w:cs="Arial"/>
        </w:rPr>
        <w:t>.  In this way</w:t>
      </w:r>
      <w:r w:rsidR="000C7E61">
        <w:rPr>
          <w:rFonts w:cs="Arial"/>
        </w:rPr>
        <w:t>,</w:t>
      </w:r>
      <w:r w:rsidR="002216BB">
        <w:rPr>
          <w:rFonts w:cs="Arial"/>
        </w:rPr>
        <w:t xml:space="preserve"> the private sector partner has</w:t>
      </w:r>
      <w:r w:rsidRPr="00D43874">
        <w:rPr>
          <w:rFonts w:cs="Arial"/>
        </w:rPr>
        <w:t xml:space="preserve"> a stake in and ownership of solutions</w:t>
      </w:r>
      <w:r w:rsidR="00A162D2">
        <w:rPr>
          <w:rFonts w:cs="Arial"/>
        </w:rPr>
        <w:t xml:space="preserve"> and is lik</w:t>
      </w:r>
      <w:r w:rsidR="00092F07">
        <w:rPr>
          <w:rFonts w:cs="Arial"/>
        </w:rPr>
        <w:t xml:space="preserve">ely to continue investing </w:t>
      </w:r>
      <w:r w:rsidR="00A162D2">
        <w:rPr>
          <w:rFonts w:cs="Arial"/>
        </w:rPr>
        <w:t>after aid support has ceased</w:t>
      </w:r>
      <w:r w:rsidRPr="00D43874">
        <w:rPr>
          <w:rFonts w:cs="Arial"/>
        </w:rPr>
        <w:t>.</w:t>
      </w:r>
    </w:p>
    <w:p w14:paraId="0A11CEC5" w14:textId="1985C18F" w:rsidR="008C3E5A" w:rsidRPr="00D43874" w:rsidRDefault="008C3E5A" w:rsidP="008C3E5A">
      <w:pPr>
        <w:spacing w:after="120"/>
        <w:rPr>
          <w:rFonts w:cs="Arial"/>
        </w:rPr>
      </w:pPr>
      <w:r w:rsidRPr="00D43874">
        <w:rPr>
          <w:rFonts w:cs="Arial"/>
        </w:rPr>
        <w:t>Effective private</w:t>
      </w:r>
      <w:r>
        <w:rPr>
          <w:rFonts w:cs="Arial"/>
        </w:rPr>
        <w:t xml:space="preserve"> sector</w:t>
      </w:r>
      <w:r w:rsidRPr="00D43874">
        <w:rPr>
          <w:rFonts w:cs="Arial"/>
        </w:rPr>
        <w:t xml:space="preserve"> engagement involves harnessing the willingness of the private sector to invest in ways that can achieve development outcomes </w:t>
      </w:r>
      <w:r>
        <w:rPr>
          <w:rFonts w:cs="Arial"/>
        </w:rPr>
        <w:t xml:space="preserve">while </w:t>
      </w:r>
      <w:r w:rsidRPr="00D43874">
        <w:rPr>
          <w:rFonts w:cs="Arial"/>
        </w:rPr>
        <w:t>serv</w:t>
      </w:r>
      <w:r>
        <w:rPr>
          <w:rFonts w:cs="Arial"/>
        </w:rPr>
        <w:t>ing</w:t>
      </w:r>
      <w:r w:rsidRPr="00D43874">
        <w:rPr>
          <w:rFonts w:cs="Arial"/>
        </w:rPr>
        <w:t xml:space="preserve"> the interests of the private partner’s core business. It is this </w:t>
      </w:r>
      <w:r>
        <w:rPr>
          <w:rFonts w:cs="Arial"/>
        </w:rPr>
        <w:t>’shared value’</w:t>
      </w:r>
      <w:r w:rsidRPr="00D43874">
        <w:rPr>
          <w:rFonts w:cs="Arial"/>
        </w:rPr>
        <w:t xml:space="preserve"> that creates the prospect of </w:t>
      </w:r>
      <w:r>
        <w:rPr>
          <w:rFonts w:cs="Arial"/>
        </w:rPr>
        <w:t>lasting</w:t>
      </w:r>
      <w:r w:rsidRPr="00D43874">
        <w:rPr>
          <w:rFonts w:cs="Arial"/>
        </w:rPr>
        <w:t xml:space="preserve"> pro-poor change. Greater involvement of the private sector is a matter of pragmatism; a way to leverage additional resources and energy to </w:t>
      </w:r>
      <w:r w:rsidRPr="00D43874">
        <w:rPr>
          <w:rFonts w:cs="Arial"/>
        </w:rPr>
        <w:lastRenderedPageBreak/>
        <w:t>achieve public objectives. It is about rebalancing efforts, to avoid over-dependence on scarce public resources and to achieve a more effective division of roles, based on who is best able to do what.</w:t>
      </w:r>
    </w:p>
    <w:p w14:paraId="64447B1C" w14:textId="53935192" w:rsidR="009E18FA" w:rsidRPr="00D43874" w:rsidRDefault="009E18FA" w:rsidP="009E18FA">
      <w:pPr>
        <w:pStyle w:val="BodyText"/>
        <w:rPr>
          <w:rFonts w:cs="Arial"/>
        </w:rPr>
      </w:pPr>
      <w:r>
        <w:rPr>
          <w:rFonts w:cs="Arial"/>
        </w:rPr>
        <w:t>Farm</w:t>
      </w:r>
      <w:r w:rsidR="005D17AB">
        <w:rPr>
          <w:rFonts w:cs="Arial"/>
        </w:rPr>
        <w:t>ing households</w:t>
      </w:r>
      <w:r>
        <w:rPr>
          <w:rFonts w:cs="Arial"/>
        </w:rPr>
        <w:t xml:space="preserve"> </w:t>
      </w:r>
      <w:r w:rsidR="005D17AB">
        <w:rPr>
          <w:rFonts w:cs="Arial"/>
        </w:rPr>
        <w:t>operate as</w:t>
      </w:r>
      <w:r>
        <w:rPr>
          <w:rFonts w:cs="Arial"/>
        </w:rPr>
        <w:t xml:space="preserve"> small businesses. However they often lack access to up-to-date information, knowledge of modern agricultural practices, business training, finance, and access to markets (for both inputs and </w:t>
      </w:r>
      <w:r w:rsidR="005D17AB">
        <w:rPr>
          <w:rFonts w:cs="Arial"/>
        </w:rPr>
        <w:t>products</w:t>
      </w:r>
      <w:r>
        <w:rPr>
          <w:rFonts w:cs="Arial"/>
        </w:rPr>
        <w:t xml:space="preserve">). These market failures </w:t>
      </w:r>
      <w:r w:rsidR="005D17AB">
        <w:rPr>
          <w:rFonts w:cs="Arial"/>
        </w:rPr>
        <w:t xml:space="preserve">can </w:t>
      </w:r>
      <w:r>
        <w:rPr>
          <w:rFonts w:cs="Arial"/>
        </w:rPr>
        <w:t>result in low productivity, limited sales and low profit, and low re-inv</w:t>
      </w:r>
      <w:r w:rsidR="006B505E">
        <w:rPr>
          <w:rFonts w:cs="Arial"/>
        </w:rPr>
        <w:t xml:space="preserve">estment back into the business, </w:t>
      </w:r>
      <w:r>
        <w:rPr>
          <w:rFonts w:cs="Arial"/>
        </w:rPr>
        <w:t xml:space="preserve">and </w:t>
      </w:r>
      <w:r w:rsidR="006B505E">
        <w:rPr>
          <w:rFonts w:cs="Arial"/>
        </w:rPr>
        <w:t xml:space="preserve">ultimately </w:t>
      </w:r>
      <w:r>
        <w:rPr>
          <w:rFonts w:cs="Arial"/>
        </w:rPr>
        <w:t>an en</w:t>
      </w:r>
      <w:r w:rsidR="006B505E">
        <w:rPr>
          <w:rFonts w:cs="Arial"/>
        </w:rPr>
        <w:t>trenchment of household poverty</w:t>
      </w:r>
      <w:r>
        <w:rPr>
          <w:rFonts w:cs="Arial"/>
        </w:rPr>
        <w:t>. This is often closely linked to the private sector failing to recognise the poor as a valid market segment, deserving of services, products and partnership.</w:t>
      </w:r>
    </w:p>
    <w:p w14:paraId="3EFF8ABA" w14:textId="5420B811" w:rsidR="00115575" w:rsidRDefault="00764FCB" w:rsidP="009366CD">
      <w:pPr>
        <w:pStyle w:val="BodyText"/>
        <w:rPr>
          <w:rFonts w:cs="Arial"/>
        </w:rPr>
      </w:pPr>
      <w:r>
        <w:rPr>
          <w:rFonts w:cs="Arial"/>
        </w:rPr>
        <w:t xml:space="preserve">Instead of direct delivery to farmers, donors instead partner with businesses to deliver outcomes. </w:t>
      </w:r>
      <w:r w:rsidR="009366CD" w:rsidRPr="00D43874">
        <w:rPr>
          <w:rFonts w:cs="Arial"/>
        </w:rPr>
        <w:t>Donor-funded activities are temporarily used to leverage investment from business</w:t>
      </w:r>
      <w:r w:rsidR="004F0F7F">
        <w:rPr>
          <w:rFonts w:cs="Arial"/>
        </w:rPr>
        <w:t xml:space="preserve"> and stimulate wider changes in markets</w:t>
      </w:r>
      <w:r w:rsidR="00EF6002">
        <w:rPr>
          <w:rFonts w:cs="Arial"/>
        </w:rPr>
        <w:t>. An intervention aims to open-</w:t>
      </w:r>
      <w:r w:rsidR="009366CD" w:rsidRPr="00D43874">
        <w:rPr>
          <w:rFonts w:cs="Arial"/>
        </w:rPr>
        <w:t>up a commercial opportunity for a private sector partner, so that they have an incentive to co-finance its adoption and then take it over, adapting and expanding it on thei</w:t>
      </w:r>
      <w:r w:rsidR="005D17AB">
        <w:rPr>
          <w:rFonts w:cs="Arial"/>
        </w:rPr>
        <w:t>r own, ensuring sustainability.</w:t>
      </w:r>
      <w:r w:rsidR="006B55D9">
        <w:rPr>
          <w:rFonts w:cs="Arial"/>
        </w:rPr>
        <w:t xml:space="preserve"> </w:t>
      </w:r>
    </w:p>
    <w:p w14:paraId="16A7C680" w14:textId="0FEC0945" w:rsidR="009366CD" w:rsidRDefault="009366CD" w:rsidP="009366CD">
      <w:pPr>
        <w:pStyle w:val="BodyText"/>
        <w:rPr>
          <w:rFonts w:cs="Arial"/>
        </w:rPr>
      </w:pPr>
      <w:r w:rsidRPr="00D43874">
        <w:rPr>
          <w:rFonts w:cs="Arial"/>
        </w:rPr>
        <w:t>The approach focuses i</w:t>
      </w:r>
      <w:r w:rsidR="000C7E61">
        <w:rPr>
          <w:rFonts w:cs="Arial"/>
        </w:rPr>
        <w:t>nitially on the private sector</w:t>
      </w:r>
      <w:r w:rsidR="00557844">
        <w:rPr>
          <w:rFonts w:cs="Arial"/>
        </w:rPr>
        <w:t>,</w:t>
      </w:r>
      <w:r w:rsidR="000C7E61">
        <w:rPr>
          <w:rFonts w:cs="Arial"/>
        </w:rPr>
        <w:t xml:space="preserve"> as</w:t>
      </w:r>
      <w:r w:rsidR="00D907B4">
        <w:rPr>
          <w:rFonts w:cs="Arial"/>
        </w:rPr>
        <w:t xml:space="preserve"> businesses</w:t>
      </w:r>
      <w:r w:rsidRPr="00D43874">
        <w:rPr>
          <w:rFonts w:cs="Arial"/>
        </w:rPr>
        <w:t xml:space="preserve"> are usually most receptive to innovation (when commercial benefits are clear). </w:t>
      </w:r>
      <w:r w:rsidR="00FB65F3">
        <w:rPr>
          <w:rFonts w:cs="Arial"/>
        </w:rPr>
        <w:t>Sustained m</w:t>
      </w:r>
      <w:r w:rsidRPr="00D43874">
        <w:rPr>
          <w:rFonts w:cs="Arial"/>
        </w:rPr>
        <w:t>omentum</w:t>
      </w:r>
      <w:r w:rsidR="00FB65F3">
        <w:rPr>
          <w:rFonts w:cs="Arial"/>
        </w:rPr>
        <w:t>, however</w:t>
      </w:r>
      <w:r w:rsidR="00E31C0C">
        <w:rPr>
          <w:rFonts w:cs="Arial"/>
        </w:rPr>
        <w:t>,</w:t>
      </w:r>
      <w:r w:rsidR="00FB65F3">
        <w:rPr>
          <w:rFonts w:cs="Arial"/>
        </w:rPr>
        <w:t xml:space="preserve"> is</w:t>
      </w:r>
      <w:r w:rsidRPr="00D43874">
        <w:rPr>
          <w:rFonts w:cs="Arial"/>
        </w:rPr>
        <w:t xml:space="preserve"> achieved </w:t>
      </w:r>
      <w:r w:rsidR="00557844">
        <w:rPr>
          <w:rFonts w:cs="Arial"/>
        </w:rPr>
        <w:t>by</w:t>
      </w:r>
      <w:r w:rsidR="00FB65F3">
        <w:rPr>
          <w:rFonts w:cs="Arial"/>
        </w:rPr>
        <w:t xml:space="preserve"> </w:t>
      </w:r>
      <w:r w:rsidRPr="00D43874">
        <w:rPr>
          <w:rFonts w:cs="Arial"/>
        </w:rPr>
        <w:t>bring</w:t>
      </w:r>
      <w:r w:rsidR="00FB65F3">
        <w:rPr>
          <w:rFonts w:cs="Arial"/>
        </w:rPr>
        <w:t>ing</w:t>
      </w:r>
      <w:r w:rsidRPr="00D43874">
        <w:rPr>
          <w:rFonts w:cs="Arial"/>
        </w:rPr>
        <w:t xml:space="preserve"> a</w:t>
      </w:r>
      <w:r w:rsidR="00557844">
        <w:rPr>
          <w:rFonts w:cs="Arial"/>
        </w:rPr>
        <w:t>bout wider change in the system</w:t>
      </w:r>
      <w:r w:rsidRPr="00D43874">
        <w:rPr>
          <w:rFonts w:cs="Arial"/>
        </w:rPr>
        <w:t xml:space="preserve"> </w:t>
      </w:r>
      <w:r w:rsidR="00557844">
        <w:rPr>
          <w:rFonts w:cs="Arial"/>
        </w:rPr>
        <w:t>through</w:t>
      </w:r>
      <w:r w:rsidRPr="00D43874">
        <w:rPr>
          <w:rFonts w:cs="Arial"/>
        </w:rPr>
        <w:t xml:space="preserve"> working with other market actors, such as government and representative bodies</w:t>
      </w:r>
      <w:r w:rsidR="00557844">
        <w:rPr>
          <w:rFonts w:cs="Arial"/>
        </w:rPr>
        <w:t xml:space="preserve"> and other private sector actors</w:t>
      </w:r>
      <w:r w:rsidRPr="00D43874">
        <w:rPr>
          <w:rFonts w:cs="Arial"/>
        </w:rPr>
        <w:t>, to address other supporting functions and rules in the system, e</w:t>
      </w:r>
      <w:r>
        <w:rPr>
          <w:rFonts w:cs="Arial"/>
        </w:rPr>
        <w:t>.</w:t>
      </w:r>
      <w:r w:rsidRPr="00D43874">
        <w:rPr>
          <w:rFonts w:cs="Arial"/>
        </w:rPr>
        <w:t>g</w:t>
      </w:r>
      <w:r>
        <w:rPr>
          <w:rFonts w:cs="Arial"/>
        </w:rPr>
        <w:t>.</w:t>
      </w:r>
      <w:r w:rsidRPr="00D43874">
        <w:rPr>
          <w:rFonts w:cs="Arial"/>
        </w:rPr>
        <w:t xml:space="preserve"> standards and regulations</w:t>
      </w:r>
      <w:r w:rsidR="00557844">
        <w:rPr>
          <w:rFonts w:cs="Arial"/>
        </w:rPr>
        <w:t>, core business models, and other functions and rules that support these</w:t>
      </w:r>
      <w:r w:rsidR="000F5F03">
        <w:rPr>
          <w:rFonts w:cs="Arial"/>
        </w:rPr>
        <w:t xml:space="preserve"> (see Box 1)</w:t>
      </w:r>
      <w:r w:rsidRPr="00D43874">
        <w:rPr>
          <w:rFonts w:cs="Arial"/>
        </w:rPr>
        <w:t xml:space="preserve">. A combination of different interventions </w:t>
      </w:r>
      <w:r>
        <w:rPr>
          <w:rFonts w:cs="Arial"/>
        </w:rPr>
        <w:t xml:space="preserve">is </w:t>
      </w:r>
      <w:r w:rsidRPr="00D43874">
        <w:rPr>
          <w:rFonts w:cs="Arial"/>
        </w:rPr>
        <w:t xml:space="preserve">normally required to bring about a sustained change in the way a system works so that it has the ability to adapt and be resilient and inclusive in </w:t>
      </w:r>
      <w:r>
        <w:rPr>
          <w:rFonts w:cs="Arial"/>
        </w:rPr>
        <w:t>the long-term</w:t>
      </w:r>
      <w:r w:rsidR="005D17AB">
        <w:rPr>
          <w:rFonts w:cs="Arial"/>
        </w:rPr>
        <w:t>.</w:t>
      </w:r>
    </w:p>
    <w:p w14:paraId="5C3CC316" w14:textId="1C371431" w:rsidR="001D3321" w:rsidRDefault="00111D84" w:rsidP="00111D84">
      <w:r>
        <w:t>For example, in an MSD approach it is common to work with a large business that has a network of ISPs (see diagram below). This has several benefits: (a) it allows projects to benefit from a network effect to maximise outreach. Instead of working directly with farmers, a project can work with a few large businesses, who have networks of dozens or even hundreds of ISPs, who in turn reach thousands of farmers; (b) ISPs tend to be ‘close’ to farmers, in terms of physical location, but also in terms of culture, language, familiarity – they are therefore often more trusted and more accessible than ‘dis</w:t>
      </w:r>
      <w:r w:rsidR="002F7707">
        <w:t>tant’ organisations or projects</w:t>
      </w:r>
      <w:r>
        <w:t>; (c) all actors in the network have a commercial incentive to attract and retain customer loyalty, in order to maintain market share – interests and motivations are aligned towards the long term.</w:t>
      </w:r>
    </w:p>
    <w:p w14:paraId="6B336DE5" w14:textId="1C481121" w:rsidR="00111D84" w:rsidRDefault="001D3321" w:rsidP="001D3321">
      <w:pPr>
        <w:jc w:val="center"/>
      </w:pPr>
      <w:r>
        <w:rPr>
          <w:noProof/>
          <w:lang w:eastAsia="en-AU"/>
        </w:rPr>
        <w:drawing>
          <wp:inline distT="0" distB="0" distL="0" distR="0" wp14:anchorId="20B18531" wp14:editId="563426F0">
            <wp:extent cx="4829175" cy="28650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9550" cy="2871163"/>
                    </a:xfrm>
                    <a:prstGeom prst="rect">
                      <a:avLst/>
                    </a:prstGeom>
                    <a:noFill/>
                  </pic:spPr>
                </pic:pic>
              </a:graphicData>
            </a:graphic>
          </wp:inline>
        </w:drawing>
      </w:r>
    </w:p>
    <w:p w14:paraId="7676DE82" w14:textId="610CF220" w:rsidR="00111D84" w:rsidRDefault="00111D84" w:rsidP="00111D84">
      <w:pPr>
        <w:spacing w:after="0"/>
        <w:ind w:firstLine="720"/>
      </w:pPr>
    </w:p>
    <w:p w14:paraId="5274F04C" w14:textId="65829CA7" w:rsidR="00111D84" w:rsidRPr="00111D84" w:rsidRDefault="00111D84" w:rsidP="007A0995">
      <w:pPr>
        <w:rPr>
          <w:rFonts w:cstheme="minorHAnsi"/>
        </w:rPr>
      </w:pPr>
      <w:r w:rsidRPr="00B65AE2">
        <w:rPr>
          <w:rFonts w:cstheme="minorHAnsi"/>
        </w:rPr>
        <w:t>With access to new services, inputs</w:t>
      </w:r>
      <w:r>
        <w:rPr>
          <w:rFonts w:cstheme="minorHAnsi"/>
        </w:rPr>
        <w:t>,</w:t>
      </w:r>
      <w:r w:rsidRPr="00B65AE2">
        <w:rPr>
          <w:rFonts w:cstheme="minorHAnsi"/>
        </w:rPr>
        <w:t xml:space="preserve"> an</w:t>
      </w:r>
      <w:r>
        <w:rPr>
          <w:rFonts w:cstheme="minorHAnsi"/>
        </w:rPr>
        <w:t>d</w:t>
      </w:r>
      <w:r w:rsidRPr="00B65AE2">
        <w:rPr>
          <w:rFonts w:cstheme="minorHAnsi"/>
        </w:rPr>
        <w:t xml:space="preserve"> technologies from </w:t>
      </w:r>
      <w:r>
        <w:rPr>
          <w:rFonts w:cstheme="minorHAnsi"/>
        </w:rPr>
        <w:t xml:space="preserve">partners and their </w:t>
      </w:r>
      <w:r w:rsidRPr="00B65AE2">
        <w:rPr>
          <w:rFonts w:cstheme="minorHAnsi"/>
        </w:rPr>
        <w:t>ISP</w:t>
      </w:r>
      <w:r>
        <w:rPr>
          <w:rFonts w:cstheme="minorHAnsi"/>
        </w:rPr>
        <w:t>s,</w:t>
      </w:r>
      <w:r w:rsidRPr="00B65AE2">
        <w:rPr>
          <w:rFonts w:cstheme="minorHAnsi"/>
        </w:rPr>
        <w:t xml:space="preserve"> and communication of the opportunities they offer, farmers gain </w:t>
      </w:r>
      <w:r>
        <w:rPr>
          <w:rFonts w:cstheme="minorHAnsi"/>
        </w:rPr>
        <w:t xml:space="preserve">the </w:t>
      </w:r>
      <w:r w:rsidRPr="00B65AE2">
        <w:rPr>
          <w:rFonts w:cstheme="minorHAnsi"/>
        </w:rPr>
        <w:t xml:space="preserve">knowledge, </w:t>
      </w:r>
      <w:r>
        <w:rPr>
          <w:rFonts w:cstheme="minorHAnsi"/>
        </w:rPr>
        <w:t>resources</w:t>
      </w:r>
      <w:r w:rsidRPr="00B65AE2">
        <w:rPr>
          <w:rFonts w:cstheme="minorHAnsi"/>
        </w:rPr>
        <w:t xml:space="preserve"> and motivation</w:t>
      </w:r>
      <w:r>
        <w:rPr>
          <w:rFonts w:cstheme="minorHAnsi"/>
        </w:rPr>
        <w:t xml:space="preserve"> they need to improve their practices,</w:t>
      </w:r>
      <w:r w:rsidRPr="00117BE4">
        <w:rPr>
          <w:rFonts w:cstheme="minorHAnsi"/>
        </w:rPr>
        <w:t xml:space="preserve"> </w:t>
      </w:r>
      <w:r w:rsidRPr="00B65AE2">
        <w:rPr>
          <w:rFonts w:cstheme="minorHAnsi"/>
        </w:rPr>
        <w:t>lead</w:t>
      </w:r>
      <w:r>
        <w:rPr>
          <w:rFonts w:cstheme="minorHAnsi"/>
        </w:rPr>
        <w:t>ing</w:t>
      </w:r>
      <w:r w:rsidRPr="00B65AE2">
        <w:rPr>
          <w:rFonts w:cstheme="minorHAnsi"/>
        </w:rPr>
        <w:t xml:space="preserve"> to higher productivity, sales and profits</w:t>
      </w:r>
      <w:r>
        <w:rPr>
          <w:rFonts w:cstheme="minorHAnsi"/>
        </w:rPr>
        <w:t>,</w:t>
      </w:r>
      <w:r w:rsidRPr="00117BE4">
        <w:rPr>
          <w:rFonts w:cstheme="minorHAnsi"/>
        </w:rPr>
        <w:t xml:space="preserve"> </w:t>
      </w:r>
      <w:r w:rsidRPr="00B65AE2">
        <w:rPr>
          <w:rFonts w:cstheme="minorHAnsi"/>
        </w:rPr>
        <w:t>which generate</w:t>
      </w:r>
      <w:r>
        <w:rPr>
          <w:rFonts w:cstheme="minorHAnsi"/>
        </w:rPr>
        <w:t>s</w:t>
      </w:r>
      <w:r w:rsidRPr="00B65AE2">
        <w:rPr>
          <w:rFonts w:cstheme="minorHAnsi"/>
        </w:rPr>
        <w:t xml:space="preserve"> net additional income. If </w:t>
      </w:r>
      <w:r>
        <w:rPr>
          <w:rFonts w:cstheme="minorHAnsi"/>
        </w:rPr>
        <w:t>‘</w:t>
      </w:r>
      <w:r w:rsidRPr="00B65AE2">
        <w:rPr>
          <w:rFonts w:cstheme="minorHAnsi"/>
        </w:rPr>
        <w:t xml:space="preserve">early </w:t>
      </w:r>
      <w:r>
        <w:rPr>
          <w:rFonts w:cstheme="minorHAnsi"/>
        </w:rPr>
        <w:t>adopters’</w:t>
      </w:r>
      <w:r w:rsidRPr="00B65AE2">
        <w:rPr>
          <w:rFonts w:cstheme="minorHAnsi"/>
        </w:rPr>
        <w:t xml:space="preserve"> </w:t>
      </w:r>
      <w:r>
        <w:rPr>
          <w:rFonts w:cstheme="minorHAnsi"/>
        </w:rPr>
        <w:t xml:space="preserve">are seen to be </w:t>
      </w:r>
      <w:r w:rsidRPr="00B65AE2">
        <w:rPr>
          <w:rFonts w:cstheme="minorHAnsi"/>
        </w:rPr>
        <w:t xml:space="preserve">effective, more farmers adopt new practices. As </w:t>
      </w:r>
      <w:r>
        <w:rPr>
          <w:rFonts w:cstheme="minorHAnsi"/>
        </w:rPr>
        <w:t>more smallholder farming households become successful, more businesse</w:t>
      </w:r>
      <w:r w:rsidRPr="00B65AE2">
        <w:rPr>
          <w:rFonts w:cstheme="minorHAnsi"/>
        </w:rPr>
        <w:t>s</w:t>
      </w:r>
      <w:r>
        <w:rPr>
          <w:rFonts w:cstheme="minorHAnsi"/>
        </w:rPr>
        <w:t xml:space="preserve"> will </w:t>
      </w:r>
      <w:r w:rsidRPr="00B65AE2">
        <w:rPr>
          <w:rFonts w:cstheme="minorHAnsi"/>
        </w:rPr>
        <w:t xml:space="preserve">recognise the commercial opportunities </w:t>
      </w:r>
      <w:r>
        <w:rPr>
          <w:rFonts w:cstheme="minorHAnsi"/>
        </w:rPr>
        <w:t>in</w:t>
      </w:r>
      <w:r w:rsidRPr="00B65AE2">
        <w:rPr>
          <w:rFonts w:cstheme="minorHAnsi"/>
        </w:rPr>
        <w:t xml:space="preserve"> serving </w:t>
      </w:r>
      <w:r>
        <w:rPr>
          <w:rFonts w:cstheme="minorHAnsi"/>
        </w:rPr>
        <w:t>them, creating a critical mass in the system (‘crowding in’). PRISMA also directly stimulates this crowding in by working with multiple businesses</w:t>
      </w:r>
      <w:r w:rsidRPr="00B65AE2">
        <w:rPr>
          <w:rFonts w:cstheme="minorHAnsi"/>
        </w:rPr>
        <w:t xml:space="preserve">. </w:t>
      </w:r>
      <w:r>
        <w:rPr>
          <w:rFonts w:cstheme="minorHAnsi"/>
        </w:rPr>
        <w:t xml:space="preserve">By avoiding direct delivery, PRISMA-2 ensures that change is sustainable after the program ends. </w:t>
      </w:r>
      <w:r w:rsidRPr="00B65AE2">
        <w:rPr>
          <w:rFonts w:cstheme="minorHAnsi"/>
        </w:rPr>
        <w:t xml:space="preserve">As </w:t>
      </w:r>
      <w:r>
        <w:rPr>
          <w:rFonts w:cstheme="minorHAnsi"/>
        </w:rPr>
        <w:t xml:space="preserve">key </w:t>
      </w:r>
      <w:r w:rsidRPr="00B65AE2">
        <w:rPr>
          <w:rFonts w:cstheme="minorHAnsi"/>
        </w:rPr>
        <w:t xml:space="preserve">market constraints are </w:t>
      </w:r>
      <w:r>
        <w:rPr>
          <w:rFonts w:cstheme="minorHAnsi"/>
        </w:rPr>
        <w:t xml:space="preserve">addressed successfully by </w:t>
      </w:r>
      <w:r w:rsidRPr="00B65AE2">
        <w:rPr>
          <w:rFonts w:cstheme="minorHAnsi"/>
        </w:rPr>
        <w:t xml:space="preserve">interventions </w:t>
      </w:r>
      <w:r>
        <w:rPr>
          <w:rFonts w:cstheme="minorHAnsi"/>
        </w:rPr>
        <w:t xml:space="preserve">with the private sector, the evidence generated can be used by other market actors, such as industry </w:t>
      </w:r>
      <w:r w:rsidRPr="00B65AE2">
        <w:rPr>
          <w:rFonts w:cstheme="minorHAnsi"/>
        </w:rPr>
        <w:t>bodies</w:t>
      </w:r>
      <w:r>
        <w:rPr>
          <w:rFonts w:cstheme="minorHAnsi"/>
        </w:rPr>
        <w:t xml:space="preserve"> (e.g.</w:t>
      </w:r>
      <w:r w:rsidRPr="00B65AE2">
        <w:rPr>
          <w:rFonts w:cstheme="minorHAnsi"/>
        </w:rPr>
        <w:t xml:space="preserve"> chambers of commerce</w:t>
      </w:r>
      <w:r>
        <w:rPr>
          <w:rFonts w:cstheme="minorHAnsi"/>
        </w:rPr>
        <w:t xml:space="preserve"> or </w:t>
      </w:r>
      <w:proofErr w:type="spellStart"/>
      <w:r>
        <w:rPr>
          <w:rFonts w:cstheme="minorHAnsi"/>
        </w:rPr>
        <w:t>PISAgro</w:t>
      </w:r>
      <w:proofErr w:type="spellEnd"/>
      <w:r>
        <w:rPr>
          <w:rFonts w:cstheme="minorHAnsi"/>
        </w:rPr>
        <w:t>),</w:t>
      </w:r>
      <w:r w:rsidRPr="00B65AE2">
        <w:rPr>
          <w:rFonts w:cstheme="minorHAnsi"/>
        </w:rPr>
        <w:t xml:space="preserve"> think tanks</w:t>
      </w:r>
      <w:r>
        <w:rPr>
          <w:rFonts w:cstheme="minorHAnsi"/>
        </w:rPr>
        <w:t xml:space="preserve"> and research organisations</w:t>
      </w:r>
      <w:r w:rsidRPr="00B65AE2">
        <w:rPr>
          <w:rFonts w:cstheme="minorHAnsi"/>
        </w:rPr>
        <w:t xml:space="preserve"> to communicate with policy makers who </w:t>
      </w:r>
      <w:r>
        <w:rPr>
          <w:rFonts w:cstheme="minorHAnsi"/>
        </w:rPr>
        <w:t>shape</w:t>
      </w:r>
      <w:r w:rsidRPr="00B65AE2">
        <w:rPr>
          <w:rFonts w:cstheme="minorHAnsi"/>
        </w:rPr>
        <w:t xml:space="preserve"> the business environment</w:t>
      </w:r>
      <w:r>
        <w:rPr>
          <w:rFonts w:cstheme="minorHAnsi"/>
        </w:rPr>
        <w:t>, hence reinforcing the changes in the system</w:t>
      </w:r>
      <w:r w:rsidRPr="00B65AE2">
        <w:rPr>
          <w:rFonts w:cstheme="minorHAnsi"/>
        </w:rPr>
        <w:t>.</w:t>
      </w:r>
      <w:r>
        <w:rPr>
          <w:rFonts w:cstheme="minorHAnsi"/>
        </w:rPr>
        <w:t xml:space="preserve"> PRISMA-2</w:t>
      </w:r>
      <w:r w:rsidRPr="00B65AE2">
        <w:rPr>
          <w:rFonts w:cstheme="minorHAnsi"/>
        </w:rPr>
        <w:t xml:space="preserve"> </w:t>
      </w:r>
      <w:r>
        <w:rPr>
          <w:rFonts w:cstheme="minorHAnsi"/>
        </w:rPr>
        <w:t>does</w:t>
      </w:r>
      <w:r w:rsidRPr="00B65AE2">
        <w:rPr>
          <w:rFonts w:cstheme="minorHAnsi"/>
        </w:rPr>
        <w:t xml:space="preserve"> not</w:t>
      </w:r>
      <w:r>
        <w:rPr>
          <w:rFonts w:cstheme="minorHAnsi"/>
        </w:rPr>
        <w:t xml:space="preserve"> seek to </w:t>
      </w:r>
      <w:r w:rsidR="00764FCB">
        <w:rPr>
          <w:rFonts w:cstheme="minorHAnsi"/>
        </w:rPr>
        <w:t>influence</w:t>
      </w:r>
      <w:r>
        <w:rPr>
          <w:rFonts w:cstheme="minorHAnsi"/>
        </w:rPr>
        <w:t xml:space="preserve"> policy </w:t>
      </w:r>
      <w:r w:rsidRPr="00B65AE2">
        <w:rPr>
          <w:rFonts w:cstheme="minorHAnsi"/>
        </w:rPr>
        <w:t xml:space="preserve">directly, </w:t>
      </w:r>
      <w:r>
        <w:rPr>
          <w:rFonts w:cstheme="minorHAnsi"/>
        </w:rPr>
        <w:t>but</w:t>
      </w:r>
      <w:r w:rsidRPr="00B65AE2">
        <w:rPr>
          <w:rFonts w:cstheme="minorHAnsi"/>
        </w:rPr>
        <w:t xml:space="preserve"> </w:t>
      </w:r>
      <w:r>
        <w:rPr>
          <w:rFonts w:cstheme="minorHAnsi"/>
        </w:rPr>
        <w:t>instead</w:t>
      </w:r>
      <w:r w:rsidR="00764FCB">
        <w:rPr>
          <w:rFonts w:cstheme="minorHAnsi"/>
        </w:rPr>
        <w:t xml:space="preserve"> equips decision makers with evidence and</w:t>
      </w:r>
      <w:r w:rsidRPr="00B65AE2">
        <w:rPr>
          <w:rFonts w:cstheme="minorHAnsi"/>
        </w:rPr>
        <w:t xml:space="preserve"> </w:t>
      </w:r>
      <w:r>
        <w:rPr>
          <w:rFonts w:cstheme="minorHAnsi"/>
        </w:rPr>
        <w:t>‘</w:t>
      </w:r>
      <w:r w:rsidRPr="00B65AE2">
        <w:rPr>
          <w:rFonts w:cstheme="minorHAnsi"/>
        </w:rPr>
        <w:t>influence</w:t>
      </w:r>
      <w:r>
        <w:rPr>
          <w:rFonts w:cstheme="minorHAnsi"/>
        </w:rPr>
        <w:t>s</w:t>
      </w:r>
      <w:r w:rsidRPr="00B65AE2">
        <w:rPr>
          <w:rFonts w:cstheme="minorHAnsi"/>
        </w:rPr>
        <w:t xml:space="preserve"> </w:t>
      </w:r>
      <w:r>
        <w:rPr>
          <w:rFonts w:cstheme="minorHAnsi"/>
        </w:rPr>
        <w:t xml:space="preserve">the </w:t>
      </w:r>
      <w:r w:rsidRPr="00B65AE2">
        <w:rPr>
          <w:rFonts w:cstheme="minorHAnsi"/>
        </w:rPr>
        <w:t>influencers</w:t>
      </w:r>
      <w:r>
        <w:rPr>
          <w:rFonts w:cstheme="minorHAnsi"/>
        </w:rPr>
        <w:t>’</w:t>
      </w:r>
      <w:r w:rsidRPr="00B65AE2">
        <w:rPr>
          <w:rFonts w:cstheme="minorHAnsi"/>
        </w:rPr>
        <w:t xml:space="preserve"> to drive change when policy windows emerge</w:t>
      </w:r>
      <w:r>
        <w:rPr>
          <w:rFonts w:cstheme="minorHAnsi"/>
        </w:rPr>
        <w:t xml:space="preserve"> (see Sustainability section).  DFAT (using evidence and experience from the program) can seek to support change directly where there i</w:t>
      </w:r>
      <w:r w:rsidR="001D3321">
        <w:rPr>
          <w:rFonts w:cstheme="minorHAnsi"/>
        </w:rPr>
        <w:t>s an opportunity to do so. Box 5</w:t>
      </w:r>
      <w:r>
        <w:rPr>
          <w:rFonts w:cstheme="minorHAnsi"/>
        </w:rPr>
        <w:t xml:space="preserve"> below provides an example from AIP-Rural of how the program can influence policy.</w:t>
      </w:r>
    </w:p>
    <w:p w14:paraId="3D76D2E6" w14:textId="5AFD5F95" w:rsidR="009366CD" w:rsidRDefault="00557844" w:rsidP="009366CD">
      <w:pPr>
        <w:pStyle w:val="BodyText"/>
        <w:rPr>
          <w:rFonts w:cs="Arial"/>
        </w:rPr>
      </w:pPr>
      <w:r>
        <w:rPr>
          <w:rFonts w:cs="Arial"/>
        </w:rPr>
        <w:t xml:space="preserve">The benefits of an MSD </w:t>
      </w:r>
      <w:r w:rsidR="009366CD" w:rsidRPr="00D43874">
        <w:rPr>
          <w:rFonts w:cs="Arial"/>
        </w:rPr>
        <w:t xml:space="preserve">approach </w:t>
      </w:r>
      <w:r w:rsidR="004F0F7F">
        <w:rPr>
          <w:rFonts w:cs="Arial"/>
        </w:rPr>
        <w:t>are</w:t>
      </w:r>
      <w:r w:rsidR="009366CD" w:rsidRPr="00D43874">
        <w:rPr>
          <w:rFonts w:cs="Arial"/>
        </w:rPr>
        <w:t xml:space="preserve"> that stimulating private sector investment and ownership increases the prospects of achieving sustainability and scale. It also increases value for money; aid funding </w:t>
      </w:r>
      <w:r w:rsidR="004F0F7F">
        <w:rPr>
          <w:rFonts w:cs="Arial"/>
        </w:rPr>
        <w:t xml:space="preserve">can </w:t>
      </w:r>
      <w:r w:rsidR="009366CD" w:rsidRPr="00D43874">
        <w:rPr>
          <w:rFonts w:cs="Arial"/>
        </w:rPr>
        <w:t xml:space="preserve">achieve more </w:t>
      </w:r>
      <w:r w:rsidR="00E31C0C">
        <w:rPr>
          <w:rFonts w:cs="Arial"/>
        </w:rPr>
        <w:t>for the same investment</w:t>
      </w:r>
      <w:r w:rsidR="009366CD" w:rsidRPr="00D43874">
        <w:rPr>
          <w:rFonts w:cs="Arial"/>
        </w:rPr>
        <w:t xml:space="preserve">. The approach’s rigorous analysis and </w:t>
      </w:r>
      <w:r w:rsidR="00E31C0C">
        <w:rPr>
          <w:rFonts w:cs="Arial"/>
        </w:rPr>
        <w:t xml:space="preserve">results </w:t>
      </w:r>
      <w:r w:rsidR="009366CD" w:rsidRPr="00D43874">
        <w:rPr>
          <w:rFonts w:cs="Arial"/>
        </w:rPr>
        <w:t>measurement</w:t>
      </w:r>
      <w:r w:rsidR="00E74883">
        <w:rPr>
          <w:rFonts w:cs="Arial"/>
        </w:rPr>
        <w:t xml:space="preserve"> using the Donor Committee for Enterprise Development (DCED)</w:t>
      </w:r>
      <w:r w:rsidR="00E74883">
        <w:rPr>
          <w:rStyle w:val="FootnoteReference"/>
          <w:rFonts w:cs="Arial"/>
        </w:rPr>
        <w:footnoteReference w:id="32"/>
      </w:r>
      <w:r w:rsidR="000C7E61">
        <w:rPr>
          <w:rFonts w:cs="Arial"/>
        </w:rPr>
        <w:t xml:space="preserve"> methodology</w:t>
      </w:r>
      <w:r w:rsidR="004F0F7F">
        <w:rPr>
          <w:rFonts w:cs="Arial"/>
        </w:rPr>
        <w:t xml:space="preserve"> </w:t>
      </w:r>
      <w:r w:rsidR="009366CD" w:rsidRPr="00D43874">
        <w:rPr>
          <w:rFonts w:cs="Arial"/>
        </w:rPr>
        <w:t xml:space="preserve">allows interventions to be designed in a highly context-specific and adaptive manner, based on detailed understanding and feedback loops. This enables tailor-made solutions suited to the diverse needs of Indonesian smallholder farmers, reflecting different climates, cultures, infrastructure </w:t>
      </w:r>
      <w:r w:rsidR="009366CD">
        <w:rPr>
          <w:rFonts w:cs="Arial"/>
        </w:rPr>
        <w:t>and agricultural problems. B</w:t>
      </w:r>
      <w:r w:rsidR="009366CD" w:rsidRPr="00D43874">
        <w:rPr>
          <w:rFonts w:cs="Arial"/>
        </w:rPr>
        <w:t>y working in partnership with actors that are permanent parts of the system, as opposed to delivering solutions directly, change processe</w:t>
      </w:r>
      <w:r w:rsidR="009366CD">
        <w:rPr>
          <w:rFonts w:cs="Arial"/>
        </w:rPr>
        <w:t>s</w:t>
      </w:r>
      <w:r w:rsidR="009366CD" w:rsidRPr="00D43874">
        <w:rPr>
          <w:rFonts w:cs="Arial"/>
        </w:rPr>
        <w:t xml:space="preserve"> tend to be locally owned and therefore more acceptable, because they are not seen as externally imposed.</w:t>
      </w:r>
      <w:r w:rsidR="00764FCB">
        <w:rPr>
          <w:rFonts w:cs="Arial"/>
        </w:rPr>
        <w:t xml:space="preserve"> A</w:t>
      </w:r>
      <w:r w:rsidR="00764FCB" w:rsidRPr="00D1669B">
        <w:rPr>
          <w:rFonts w:cs="Arial"/>
        </w:rPr>
        <w:t xml:space="preserve">n illustration of the </w:t>
      </w:r>
      <w:r w:rsidR="00764FCB">
        <w:rPr>
          <w:rFonts w:cs="Arial"/>
        </w:rPr>
        <w:t xml:space="preserve">MSD </w:t>
      </w:r>
      <w:r w:rsidR="00764FCB" w:rsidRPr="00D1669B">
        <w:rPr>
          <w:rFonts w:cs="Arial"/>
        </w:rPr>
        <w:t xml:space="preserve">approach in action </w:t>
      </w:r>
      <w:r w:rsidR="00764FCB">
        <w:rPr>
          <w:rFonts w:cs="Arial"/>
        </w:rPr>
        <w:t>in</w:t>
      </w:r>
      <w:r w:rsidR="00764FCB" w:rsidRPr="00D1669B">
        <w:rPr>
          <w:rFonts w:cs="Arial"/>
        </w:rPr>
        <w:t xml:space="preserve"> AIP-Rural can be </w:t>
      </w:r>
      <w:r w:rsidR="00764FCB" w:rsidRPr="0075763D">
        <w:rPr>
          <w:rFonts w:cs="Arial"/>
        </w:rPr>
        <w:t>found in Box 1.</w:t>
      </w:r>
    </w:p>
    <w:p w14:paraId="609C0750" w14:textId="2DA416C8" w:rsidR="004A19FB" w:rsidRDefault="00764FCB" w:rsidP="009366CD">
      <w:pPr>
        <w:pStyle w:val="BodyText"/>
        <w:rPr>
          <w:rFonts w:cs="Arial"/>
        </w:rPr>
      </w:pPr>
      <w:r w:rsidRPr="00D1669B">
        <w:rPr>
          <w:rFonts w:cs="Arial"/>
          <w:b/>
          <w:noProof/>
          <w:lang w:eastAsia="en-AU"/>
        </w:rPr>
        <w:lastRenderedPageBreak/>
        <mc:AlternateContent>
          <mc:Choice Requires="wps">
            <w:drawing>
              <wp:anchor distT="45720" distB="45720" distL="114300" distR="114300" simplePos="0" relativeHeight="251698688" behindDoc="0" locked="0" layoutInCell="1" allowOverlap="1" wp14:anchorId="12A531D8" wp14:editId="1F02EFEE">
                <wp:simplePos x="0" y="0"/>
                <wp:positionH relativeFrom="margin">
                  <wp:posOffset>-9525</wp:posOffset>
                </wp:positionH>
                <wp:positionV relativeFrom="paragraph">
                  <wp:posOffset>245745</wp:posOffset>
                </wp:positionV>
                <wp:extent cx="6096000" cy="6613525"/>
                <wp:effectExtent l="0" t="0" r="19050" b="1587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613525"/>
                        </a:xfrm>
                        <a:prstGeom prst="rect">
                          <a:avLst/>
                        </a:prstGeom>
                        <a:solidFill>
                          <a:schemeClr val="accent1">
                            <a:lumMod val="40000"/>
                            <a:lumOff val="60000"/>
                          </a:schemeClr>
                        </a:solidFill>
                        <a:ln w="9525">
                          <a:solidFill>
                            <a:srgbClr val="000000"/>
                          </a:solidFill>
                          <a:miter lim="800000"/>
                          <a:headEnd/>
                          <a:tailEnd/>
                        </a:ln>
                      </wps:spPr>
                      <wps:txbx>
                        <w:txbxContent>
                          <w:p w14:paraId="282DB5C9" w14:textId="77777777" w:rsidR="00243660" w:rsidRPr="00D1669B" w:rsidRDefault="00243660" w:rsidP="00764FCB">
                            <w:pPr>
                              <w:pStyle w:val="BodyText"/>
                              <w:rPr>
                                <w:rFonts w:cs="Arial"/>
                                <w:b/>
                              </w:rPr>
                            </w:pPr>
                            <w:r>
                              <w:rPr>
                                <w:rFonts w:cs="Arial"/>
                                <w:b/>
                              </w:rPr>
                              <w:t>Box 1. Market Systems Development – Pigs in Flores</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530"/>
                              <w:gridCol w:w="4658"/>
                            </w:tblGrid>
                            <w:tr w:rsidR="00243660" w:rsidRPr="00136CAF" w14:paraId="0D69C31E" w14:textId="77777777" w:rsidTr="00387A1D">
                              <w:trPr>
                                <w:cantSplit/>
                                <w:trHeight w:val="1134"/>
                              </w:trPr>
                              <w:tc>
                                <w:tcPr>
                                  <w:tcW w:w="1101" w:type="dxa"/>
                                  <w:shd w:val="clear" w:color="auto" w:fill="B4C6E7" w:themeFill="accent1" w:themeFillTint="66"/>
                                  <w:textDirection w:val="btLr"/>
                                </w:tcPr>
                                <w:p w14:paraId="7CA3BB0E"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Better productivity increases incomes for 300,000 farmers</w:t>
                                  </w:r>
                                </w:p>
                                <w:p w14:paraId="304BFC87" w14:textId="77777777" w:rsidR="00243660" w:rsidRPr="00136CAF" w:rsidRDefault="00243660" w:rsidP="00387A1D">
                                  <w:pPr>
                                    <w:ind w:left="113" w:right="113"/>
                                    <w:jc w:val="center"/>
                                    <w:rPr>
                                      <w:rFonts w:ascii="Arial Narrow" w:hAnsi="Arial Narrow"/>
                                      <w:b/>
                                      <w:bCs/>
                                      <w:noProof/>
                                      <w:sz w:val="20"/>
                                      <w:lang w:eastAsia="en-GB" w:bidi="lo-LA"/>
                                    </w:rPr>
                                  </w:pPr>
                                </w:p>
                                <w:p w14:paraId="6E2384DB"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FARMERS</w:t>
                                  </w:r>
                                </w:p>
                              </w:tc>
                              <w:tc>
                                <w:tcPr>
                                  <w:tcW w:w="3530" w:type="dxa"/>
                                  <w:shd w:val="clear" w:color="auto" w:fill="B4C6E7" w:themeFill="accent1" w:themeFillTint="66"/>
                                  <w:vAlign w:val="center"/>
                                </w:tcPr>
                                <w:p w14:paraId="63ACC024" w14:textId="77777777" w:rsidR="00243660" w:rsidRPr="00136CAF" w:rsidRDefault="00243660" w:rsidP="00387A1D">
                                  <w:pPr>
                                    <w:rPr>
                                      <w:rFonts w:ascii="Arial Narrow" w:hAnsi="Arial Narrow"/>
                                      <w:noProof/>
                                      <w:sz w:val="20"/>
                                      <w:lang w:eastAsia="en-GB" w:bidi="lo-LA"/>
                                    </w:rPr>
                                  </w:pPr>
                                  <w:r w:rsidRPr="00136CAF">
                                    <w:rPr>
                                      <w:rFonts w:ascii="Arial Narrow" w:hAnsi="Arial Narrow"/>
                                      <w:noProof/>
                                      <w:sz w:val="20"/>
                                      <w:lang w:eastAsia="en-AU"/>
                                    </w:rPr>
                                    <w:drawing>
                                      <wp:inline distT="0" distB="0" distL="0" distR="0" wp14:anchorId="3CBBE051" wp14:editId="0E9944FE">
                                        <wp:extent cx="2109694" cy="288176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524.jpg"/>
                                                <pic:cNvPicPr/>
                                              </pic:nvPicPr>
                                              <pic:blipFill rotWithShape="1">
                                                <a:blip r:embed="rId15">
                                                  <a:extLst>
                                                    <a:ext uri="{28A0092B-C50C-407E-A947-70E740481C1C}">
                                                      <a14:useLocalDpi xmlns:a14="http://schemas.microsoft.com/office/drawing/2010/main" val="0"/>
                                                    </a:ext>
                                                  </a:extLst>
                                                </a:blip>
                                                <a:srcRect l="-2485" t="9986" r="-1"/>
                                                <a:stretch/>
                                              </pic:blipFill>
                                              <pic:spPr bwMode="auto">
                                                <a:xfrm>
                                                  <a:off x="0" y="0"/>
                                                  <a:ext cx="2134305" cy="291537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658" w:type="dxa"/>
                                  <w:shd w:val="clear" w:color="auto" w:fill="B4C6E7" w:themeFill="accent1" w:themeFillTint="66"/>
                                </w:tcPr>
                                <w:p w14:paraId="75540535" w14:textId="77777777" w:rsidR="00243660" w:rsidRPr="00136CAF" w:rsidRDefault="00243660" w:rsidP="00387A1D">
                                  <w:pPr>
                                    <w:jc w:val="both"/>
                                    <w:rPr>
                                      <w:rFonts w:ascii="Arial Narrow" w:hAnsi="Arial Narrow"/>
                                      <w:sz w:val="20"/>
                                    </w:rPr>
                                  </w:pPr>
                                </w:p>
                                <w:p w14:paraId="3358C42E" w14:textId="77777777" w:rsidR="00243660" w:rsidRPr="00136CAF" w:rsidRDefault="00243660" w:rsidP="00387A1D">
                                  <w:pPr>
                                    <w:jc w:val="both"/>
                                    <w:rPr>
                                      <w:rFonts w:ascii="Arial Narrow" w:hAnsi="Arial Narrow"/>
                                      <w:sz w:val="20"/>
                                    </w:rPr>
                                  </w:pPr>
                                </w:p>
                                <w:p w14:paraId="6F6AF133" w14:textId="77777777" w:rsidR="00243660" w:rsidRPr="00136CAF" w:rsidRDefault="00243660" w:rsidP="00387A1D">
                                  <w:pPr>
                                    <w:jc w:val="both"/>
                                    <w:rPr>
                                      <w:rFonts w:ascii="Arial Narrow" w:hAnsi="Arial Narrow"/>
                                      <w:sz w:val="20"/>
                                    </w:rPr>
                                  </w:pPr>
                                  <w:proofErr w:type="spellStart"/>
                                  <w:r w:rsidRPr="00136CAF">
                                    <w:rPr>
                                      <w:rFonts w:ascii="Arial Narrow" w:hAnsi="Arial Narrow"/>
                                      <w:sz w:val="20"/>
                                    </w:rPr>
                                    <w:t>Ibu</w:t>
                                  </w:r>
                                  <w:proofErr w:type="spellEnd"/>
                                  <w:r w:rsidRPr="00136CAF">
                                    <w:rPr>
                                      <w:rFonts w:ascii="Arial Narrow" w:hAnsi="Arial Narrow"/>
                                      <w:sz w:val="20"/>
                                    </w:rPr>
                                    <w:t xml:space="preserve"> Maria has owned pigs on her small farm in central Flores since 2011.  She used to spend several hours a day collecting and preparing local feed like banana leaves, papaya and cassava tubers.  Before PRISMA, fattening piglets to adult size took around two years.</w:t>
                                  </w:r>
                                </w:p>
                                <w:p w14:paraId="74B41F38" w14:textId="77777777" w:rsidR="00243660" w:rsidRPr="00136CAF" w:rsidRDefault="00243660" w:rsidP="00387A1D">
                                  <w:pPr>
                                    <w:jc w:val="both"/>
                                    <w:rPr>
                                      <w:rFonts w:ascii="Arial Narrow" w:hAnsi="Arial Narrow"/>
                                    </w:rPr>
                                  </w:pPr>
                                </w:p>
                                <w:p w14:paraId="3D1EA48D" w14:textId="77777777" w:rsidR="00243660" w:rsidRPr="00136CAF" w:rsidRDefault="00243660" w:rsidP="00387A1D">
                                  <w:pPr>
                                    <w:jc w:val="both"/>
                                    <w:rPr>
                                      <w:rFonts w:ascii="Arial Narrow" w:hAnsi="Arial Narrow"/>
                                      <w:sz w:val="20"/>
                                    </w:rPr>
                                  </w:pPr>
                                  <w:r w:rsidRPr="00136CAF">
                                    <w:rPr>
                                      <w:rFonts w:ascii="Arial Narrow" w:hAnsi="Arial Narrow"/>
                                      <w:sz w:val="20"/>
                                    </w:rPr>
                                    <w:t xml:space="preserve">Through PRISMA’s interventions, small-scale farmers like </w:t>
                                  </w:r>
                                  <w:proofErr w:type="spellStart"/>
                                  <w:r w:rsidRPr="00136CAF">
                                    <w:rPr>
                                      <w:rFonts w:ascii="Arial Narrow" w:hAnsi="Arial Narrow"/>
                                      <w:sz w:val="20"/>
                                    </w:rPr>
                                    <w:t>Ibu</w:t>
                                  </w:r>
                                  <w:proofErr w:type="spellEnd"/>
                                  <w:r w:rsidRPr="00136CAF">
                                    <w:rPr>
                                      <w:rFonts w:ascii="Arial Narrow" w:hAnsi="Arial Narrow"/>
                                      <w:sz w:val="20"/>
                                    </w:rPr>
                                    <w:t xml:space="preserve"> Maria have learned how to build good pig pens and fatten their pigs using high quality commercial feed.  Her cross-bred sow now lives in a clean, covered enclosure behind her home and its piglets take 3-4 months to grow to marketable size. The improved progeny sell for around IDR3m, compared to IDR2m for the local breed.  ‘Feed is expensive but the result is good,’ she says.  She now has a regular flow of income to help look after her six children.</w:t>
                                  </w:r>
                                </w:p>
                                <w:p w14:paraId="5B9B7CC7" w14:textId="77777777" w:rsidR="00243660" w:rsidRPr="00136CAF" w:rsidRDefault="00243660" w:rsidP="00387A1D">
                                  <w:pPr>
                                    <w:jc w:val="both"/>
                                    <w:rPr>
                                      <w:rFonts w:ascii="Arial Narrow" w:hAnsi="Arial Narrow"/>
                                    </w:rPr>
                                  </w:pPr>
                                </w:p>
                                <w:p w14:paraId="770ECA09" w14:textId="77777777" w:rsidR="00243660" w:rsidRPr="00136CAF" w:rsidRDefault="00243660" w:rsidP="00387A1D">
                                  <w:pPr>
                                    <w:jc w:val="both"/>
                                    <w:rPr>
                                      <w:rFonts w:ascii="Arial Narrow" w:hAnsi="Arial Narrow"/>
                                      <w:sz w:val="20"/>
                                    </w:rPr>
                                  </w:pPr>
                                  <w:proofErr w:type="spellStart"/>
                                  <w:r w:rsidRPr="00136CAF">
                                    <w:rPr>
                                      <w:rFonts w:ascii="Arial Narrow" w:hAnsi="Arial Narrow"/>
                                      <w:sz w:val="20"/>
                                    </w:rPr>
                                    <w:t>Ibu</w:t>
                                  </w:r>
                                  <w:proofErr w:type="spellEnd"/>
                                  <w:r w:rsidRPr="00136CAF">
                                    <w:rPr>
                                      <w:rFonts w:ascii="Arial Narrow" w:hAnsi="Arial Narrow"/>
                                      <w:sz w:val="20"/>
                                    </w:rPr>
                                    <w:t xml:space="preserve"> Maria is proud of her sow. She cleans its pen twice a day but spends far less time preparing feed than she used to.</w:t>
                                  </w:r>
                                </w:p>
                              </w:tc>
                            </w:tr>
                            <w:tr w:rsidR="00243660" w:rsidRPr="00136CAF" w14:paraId="7288DFD9" w14:textId="77777777" w:rsidTr="00387A1D">
                              <w:trPr>
                                <w:cantSplit/>
                                <w:trHeight w:val="1134"/>
                              </w:trPr>
                              <w:tc>
                                <w:tcPr>
                                  <w:tcW w:w="1101" w:type="dxa"/>
                                  <w:shd w:val="clear" w:color="auto" w:fill="B4C6E7" w:themeFill="accent1" w:themeFillTint="66"/>
                                  <w:textDirection w:val="btLr"/>
                                </w:tcPr>
                                <w:p w14:paraId="2D6F1584"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Improved and sustainable delivery of inputs and services by market actors</w:t>
                                  </w:r>
                                </w:p>
                                <w:p w14:paraId="19992499"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RETAILERS</w:t>
                                  </w:r>
                                </w:p>
                              </w:tc>
                              <w:tc>
                                <w:tcPr>
                                  <w:tcW w:w="3530" w:type="dxa"/>
                                  <w:shd w:val="clear" w:color="auto" w:fill="B4C6E7" w:themeFill="accent1" w:themeFillTint="66"/>
                                </w:tcPr>
                                <w:p w14:paraId="231DCB8A" w14:textId="77777777" w:rsidR="00243660" w:rsidRPr="00136CAF" w:rsidRDefault="00243660" w:rsidP="00387A1D">
                                  <w:pPr>
                                    <w:jc w:val="both"/>
                                    <w:rPr>
                                      <w:rFonts w:ascii="Arial Narrow" w:hAnsi="Arial Narrow"/>
                                      <w:sz w:val="12"/>
                                      <w:szCs w:val="12"/>
                                    </w:rPr>
                                  </w:pPr>
                                  <w:r w:rsidRPr="00136CAF">
                                    <w:rPr>
                                      <w:rFonts w:ascii="Arial Narrow" w:hAnsi="Arial Narrow"/>
                                      <w:noProof/>
                                      <w:sz w:val="12"/>
                                      <w:szCs w:val="12"/>
                                      <w:lang w:eastAsia="en-AU"/>
                                    </w:rPr>
                                    <w:drawing>
                                      <wp:inline distT="0" distB="0" distL="0" distR="0" wp14:anchorId="28F87547" wp14:editId="5EB7F6B0">
                                        <wp:extent cx="2170430" cy="16268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0430" cy="1626870"/>
                                                </a:xfrm>
                                                <a:prstGeom prst="rect">
                                                  <a:avLst/>
                                                </a:prstGeom>
                                                <a:noFill/>
                                              </pic:spPr>
                                            </pic:pic>
                                          </a:graphicData>
                                        </a:graphic>
                                      </wp:inline>
                                    </w:drawing>
                                  </w:r>
                                </w:p>
                              </w:tc>
                              <w:tc>
                                <w:tcPr>
                                  <w:tcW w:w="4658" w:type="dxa"/>
                                  <w:shd w:val="clear" w:color="auto" w:fill="B4C6E7" w:themeFill="accent1" w:themeFillTint="66"/>
                                  <w:vAlign w:val="center"/>
                                </w:tcPr>
                                <w:p w14:paraId="49162B53" w14:textId="77777777" w:rsidR="00243660" w:rsidRPr="00136CAF" w:rsidRDefault="00243660" w:rsidP="00387A1D">
                                  <w:pPr>
                                    <w:rPr>
                                      <w:rFonts w:ascii="Arial Narrow" w:hAnsi="Arial Narrow"/>
                                      <w:sz w:val="20"/>
                                    </w:rPr>
                                  </w:pPr>
                                  <w:r w:rsidRPr="00136CAF">
                                    <w:rPr>
                                      <w:rFonts w:ascii="Arial Narrow" w:hAnsi="Arial Narrow"/>
                                      <w:sz w:val="20"/>
                                    </w:rPr>
                                    <w:t>Commercial feed companies have responded by promoting quality feed mixes in Flores through breeding companies, a credit union and retailers.  More than 50 small businesses now supply inputs and services to the pig-growing businesses of Flores.  For example</w:t>
                                  </w:r>
                                  <w:r>
                                    <w:rPr>
                                      <w:rFonts w:ascii="Arial Narrow" w:hAnsi="Arial Narrow"/>
                                      <w:sz w:val="20"/>
                                    </w:rPr>
                                    <w:t>,</w:t>
                                  </w:r>
                                  <w:r w:rsidRPr="00136CAF">
                                    <w:rPr>
                                      <w:rFonts w:ascii="Arial Narrow" w:hAnsi="Arial Narrow"/>
                                      <w:sz w:val="20"/>
                                    </w:rPr>
                                    <w:t xml:space="preserve"> </w:t>
                                  </w:r>
                                  <w:proofErr w:type="spellStart"/>
                                  <w:r w:rsidRPr="00136CAF">
                                    <w:rPr>
                                      <w:rFonts w:ascii="Arial Narrow" w:hAnsi="Arial Narrow"/>
                                      <w:sz w:val="20"/>
                                    </w:rPr>
                                    <w:t>Ibu</w:t>
                                  </w:r>
                                  <w:proofErr w:type="spellEnd"/>
                                  <w:r w:rsidRPr="00136CAF">
                                    <w:rPr>
                                      <w:rFonts w:ascii="Arial Narrow" w:hAnsi="Arial Narrow"/>
                                      <w:sz w:val="20"/>
                                    </w:rPr>
                                    <w:t xml:space="preserve"> Regina (far left) and her </w:t>
                                  </w:r>
                                  <w:proofErr w:type="gramStart"/>
                                  <w:r w:rsidRPr="00136CAF">
                                    <w:rPr>
                                      <w:rFonts w:ascii="Arial Narrow" w:hAnsi="Arial Narrow"/>
                                      <w:sz w:val="20"/>
                                    </w:rPr>
                                    <w:t>staff sell</w:t>
                                  </w:r>
                                  <w:proofErr w:type="gramEnd"/>
                                  <w:r w:rsidRPr="00136CAF">
                                    <w:rPr>
                                      <w:rFonts w:ascii="Arial Narrow" w:hAnsi="Arial Narrow"/>
                                      <w:sz w:val="20"/>
                                    </w:rPr>
                                    <w:t xml:space="preserve"> pig feed in their agricultural supply shop in Flores. She also provides leaflets explaining good pig husbandry practices to farmers.</w:t>
                                  </w:r>
                                </w:p>
                              </w:tc>
                            </w:tr>
                            <w:tr w:rsidR="00243660" w:rsidRPr="00136CAF" w14:paraId="6699439F" w14:textId="77777777" w:rsidTr="00387A1D">
                              <w:trPr>
                                <w:cantSplit/>
                                <w:trHeight w:val="1134"/>
                              </w:trPr>
                              <w:tc>
                                <w:tcPr>
                                  <w:tcW w:w="1101" w:type="dxa"/>
                                  <w:shd w:val="clear" w:color="auto" w:fill="B4C6E7" w:themeFill="accent1" w:themeFillTint="66"/>
                                  <w:textDirection w:val="btLr"/>
                                </w:tcPr>
                                <w:p w14:paraId="080079BA"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Better useage of inputs and services leads to improved farm productivity</w:t>
                                  </w:r>
                                </w:p>
                                <w:p w14:paraId="154A8BA5"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BREEDERS</w:t>
                                  </w:r>
                                </w:p>
                              </w:tc>
                              <w:tc>
                                <w:tcPr>
                                  <w:tcW w:w="3530" w:type="dxa"/>
                                  <w:shd w:val="clear" w:color="auto" w:fill="B4C6E7" w:themeFill="accent1" w:themeFillTint="66"/>
                                </w:tcPr>
                                <w:p w14:paraId="67DBFFD2" w14:textId="77777777" w:rsidR="00243660" w:rsidRPr="00136CAF" w:rsidRDefault="00243660" w:rsidP="00387A1D">
                                  <w:pPr>
                                    <w:jc w:val="both"/>
                                    <w:rPr>
                                      <w:rFonts w:ascii="Arial Narrow" w:hAnsi="Arial Narrow"/>
                                      <w:noProof/>
                                      <w:sz w:val="12"/>
                                      <w:szCs w:val="12"/>
                                      <w:lang w:eastAsia="en-GB" w:bidi="lo-LA"/>
                                    </w:rPr>
                                  </w:pPr>
                                  <w:r w:rsidRPr="00136CAF">
                                    <w:rPr>
                                      <w:rFonts w:ascii="Arial Narrow" w:hAnsi="Arial Narrow"/>
                                      <w:noProof/>
                                      <w:sz w:val="20"/>
                                      <w:lang w:eastAsia="en-AU"/>
                                    </w:rPr>
                                    <w:drawing>
                                      <wp:inline distT="0" distB="0" distL="0" distR="0" wp14:anchorId="527FAC3B" wp14:editId="06FF3BAA">
                                        <wp:extent cx="2178000" cy="163800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000" cy="1638000"/>
                                                </a:xfrm>
                                                <a:prstGeom prst="rect">
                                                  <a:avLst/>
                                                </a:prstGeom>
                                                <a:noFill/>
                                              </pic:spPr>
                                            </pic:pic>
                                          </a:graphicData>
                                        </a:graphic>
                                      </wp:inline>
                                    </w:drawing>
                                  </w:r>
                                </w:p>
                              </w:tc>
                              <w:tc>
                                <w:tcPr>
                                  <w:tcW w:w="4658" w:type="dxa"/>
                                  <w:shd w:val="clear" w:color="auto" w:fill="B4C6E7" w:themeFill="accent1" w:themeFillTint="66"/>
                                  <w:vAlign w:val="center"/>
                                </w:tcPr>
                                <w:p w14:paraId="7DF2150B" w14:textId="77777777" w:rsidR="00243660" w:rsidRPr="00136CAF" w:rsidRDefault="00243660" w:rsidP="00387A1D">
                                  <w:pPr>
                                    <w:rPr>
                                      <w:rFonts w:ascii="Arial Narrow" w:hAnsi="Arial Narrow"/>
                                      <w:sz w:val="20"/>
                                    </w:rPr>
                                  </w:pPr>
                                  <w:r w:rsidRPr="00136CAF">
                                    <w:rPr>
                                      <w:rFonts w:ascii="Arial Narrow" w:hAnsi="Arial Narrow"/>
                                      <w:sz w:val="20"/>
                                    </w:rPr>
                                    <w:t>PRISMA’s pig sector intervention, which began in 2014, facilitated pig breeders and smallholder farmers to invest in improved breeds and husbandry practices, supported by local veterinary services.  All eight large pig breeders in Flores have adopted improved breeding and husbandry practices as a result of the PRISMA intervention.  For example</w:t>
                                  </w:r>
                                  <w:r>
                                    <w:rPr>
                                      <w:rFonts w:ascii="Arial Narrow" w:hAnsi="Arial Narrow"/>
                                      <w:sz w:val="20"/>
                                    </w:rPr>
                                    <w:t>,</w:t>
                                  </w:r>
                                  <w:r w:rsidRPr="00136CAF">
                                    <w:rPr>
                                      <w:rFonts w:ascii="Arial Narrow" w:hAnsi="Arial Narrow"/>
                                      <w:sz w:val="20"/>
                                    </w:rPr>
                                    <w:t xml:space="preserve"> </w:t>
                                  </w:r>
                                  <w:proofErr w:type="spellStart"/>
                                  <w:r w:rsidRPr="00136CAF">
                                    <w:rPr>
                                      <w:rFonts w:ascii="Arial Narrow" w:hAnsi="Arial Narrow"/>
                                      <w:sz w:val="20"/>
                                    </w:rPr>
                                    <w:t>Bruder</w:t>
                                  </w:r>
                                  <w:proofErr w:type="spellEnd"/>
                                  <w:r w:rsidRPr="00136CAF">
                                    <w:rPr>
                                      <w:rFonts w:ascii="Arial Narrow" w:hAnsi="Arial Narrow"/>
                                      <w:sz w:val="20"/>
                                    </w:rPr>
                                    <w:t xml:space="preserve"> Luci’s pigs (pictured) have their own water fountain along with regular cleaning and high quality feed. He sells piglets to more than 1,100 smallholder farmers.</w:t>
                                  </w:r>
                                </w:p>
                                <w:p w14:paraId="4B1E4D91" w14:textId="77777777" w:rsidR="00243660" w:rsidRPr="00136CAF" w:rsidRDefault="00243660" w:rsidP="00387A1D">
                                  <w:pPr>
                                    <w:rPr>
                                      <w:rFonts w:ascii="Arial Narrow" w:hAnsi="Arial Narrow"/>
                                      <w:sz w:val="20"/>
                                    </w:rPr>
                                  </w:pPr>
                                </w:p>
                                <w:p w14:paraId="64929634" w14:textId="77777777" w:rsidR="00243660" w:rsidRPr="00136CAF" w:rsidRDefault="00243660" w:rsidP="00387A1D">
                                  <w:pPr>
                                    <w:jc w:val="right"/>
                                    <w:rPr>
                                      <w:rFonts w:ascii="Arial Narrow" w:hAnsi="Arial Narrow"/>
                                      <w:sz w:val="20"/>
                                    </w:rPr>
                                  </w:pPr>
                                  <w:r w:rsidRPr="00136CAF">
                                    <w:rPr>
                                      <w:rFonts w:ascii="Arial Narrow" w:hAnsi="Arial Narrow"/>
                                      <w:sz w:val="12"/>
                                      <w:szCs w:val="12"/>
                                    </w:rPr>
                                    <w:t>(Photographs: Julie Delforce, September 2016)</w:t>
                                  </w:r>
                                </w:p>
                              </w:tc>
                            </w:tr>
                          </w:tbl>
                          <w:p w14:paraId="20C418D5" w14:textId="77777777" w:rsidR="00243660" w:rsidRDefault="00243660" w:rsidP="00764FCB"/>
                          <w:p w14:paraId="1DF976B4" w14:textId="77777777" w:rsidR="00243660" w:rsidRDefault="00243660" w:rsidP="00764FCB"/>
                          <w:p w14:paraId="064B8A45" w14:textId="77777777" w:rsidR="00243660" w:rsidRDefault="00243660" w:rsidP="00764FCB"/>
                          <w:p w14:paraId="1B04395C" w14:textId="77777777" w:rsidR="00243660" w:rsidRDefault="00243660" w:rsidP="00764F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75pt;margin-top:19.35pt;width:480pt;height:520.7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" fillcolor="#b4c6e7 [1300]">
                <v:textbox>
                  <w:txbxContent>
                    <w:p w14:paraId="282DB5C9" w14:textId="77777777" w:rsidR="00243660" w:rsidRPr="00D1669B" w:rsidRDefault="00243660" w:rsidP="00764FCB">
                      <w:pPr>
                        <w:pStyle w:val="BodyText"/>
                        <w:rPr>
                          <w:rFonts w:cs="Arial"/>
                          <w:b/>
                        </w:rPr>
                      </w:pPr>
                      <w:r>
                        <w:rPr>
                          <w:rFonts w:cs="Arial"/>
                          <w:b/>
                        </w:rPr>
                        <w:t>Box 1. Market Systems Development – Pigs in Flores</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530"/>
                        <w:gridCol w:w="4658"/>
                      </w:tblGrid>
                      <w:tr w:rsidR="00243660" w:rsidRPr="00136CAF" w14:paraId="0D69C31E" w14:textId="77777777" w:rsidTr="00387A1D">
                        <w:trPr>
                          <w:cantSplit/>
                          <w:trHeight w:val="1134"/>
                        </w:trPr>
                        <w:tc>
                          <w:tcPr>
                            <w:tcW w:w="1101" w:type="dxa"/>
                            <w:shd w:val="clear" w:color="auto" w:fill="B4C6E7" w:themeFill="accent1" w:themeFillTint="66"/>
                            <w:textDirection w:val="btLr"/>
                          </w:tcPr>
                          <w:p w14:paraId="7CA3BB0E"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Better productivity increases incomes for 300,000 farmers</w:t>
                            </w:r>
                          </w:p>
                          <w:p w14:paraId="304BFC87" w14:textId="77777777" w:rsidR="00243660" w:rsidRPr="00136CAF" w:rsidRDefault="00243660" w:rsidP="00387A1D">
                            <w:pPr>
                              <w:ind w:left="113" w:right="113"/>
                              <w:jc w:val="center"/>
                              <w:rPr>
                                <w:rFonts w:ascii="Arial Narrow" w:hAnsi="Arial Narrow"/>
                                <w:b/>
                                <w:bCs/>
                                <w:noProof/>
                                <w:sz w:val="20"/>
                                <w:lang w:eastAsia="en-GB" w:bidi="lo-LA"/>
                              </w:rPr>
                            </w:pPr>
                          </w:p>
                          <w:p w14:paraId="6E2384DB"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FARMERS</w:t>
                            </w:r>
                          </w:p>
                        </w:tc>
                        <w:tc>
                          <w:tcPr>
                            <w:tcW w:w="3530" w:type="dxa"/>
                            <w:shd w:val="clear" w:color="auto" w:fill="B4C6E7" w:themeFill="accent1" w:themeFillTint="66"/>
                            <w:vAlign w:val="center"/>
                          </w:tcPr>
                          <w:p w14:paraId="63ACC024" w14:textId="77777777" w:rsidR="00243660" w:rsidRPr="00136CAF" w:rsidRDefault="00243660" w:rsidP="00387A1D">
                            <w:pPr>
                              <w:rPr>
                                <w:rFonts w:ascii="Arial Narrow" w:hAnsi="Arial Narrow"/>
                                <w:noProof/>
                                <w:sz w:val="20"/>
                                <w:lang w:eastAsia="en-GB" w:bidi="lo-LA"/>
                              </w:rPr>
                            </w:pPr>
                            <w:r w:rsidRPr="00136CAF">
                              <w:rPr>
                                <w:rFonts w:ascii="Arial Narrow" w:hAnsi="Arial Narrow"/>
                                <w:noProof/>
                                <w:sz w:val="20"/>
                                <w:lang w:eastAsia="en-AU"/>
                              </w:rPr>
                              <w:drawing>
                                <wp:inline distT="0" distB="0" distL="0" distR="0" wp14:anchorId="3CBBE051" wp14:editId="0E9944FE">
                                  <wp:extent cx="2109694" cy="288176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524.jpg"/>
                                          <pic:cNvPicPr/>
                                        </pic:nvPicPr>
                                        <pic:blipFill rotWithShape="1">
                                          <a:blip r:embed="rId15">
                                            <a:extLst>
                                              <a:ext uri="{28A0092B-C50C-407E-A947-70E740481C1C}">
                                                <a14:useLocalDpi xmlns:a14="http://schemas.microsoft.com/office/drawing/2010/main" val="0"/>
                                              </a:ext>
                                            </a:extLst>
                                          </a:blip>
                                          <a:srcRect l="-2485" t="9986" r="-1"/>
                                          <a:stretch/>
                                        </pic:blipFill>
                                        <pic:spPr bwMode="auto">
                                          <a:xfrm>
                                            <a:off x="0" y="0"/>
                                            <a:ext cx="2134305" cy="291537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658" w:type="dxa"/>
                            <w:shd w:val="clear" w:color="auto" w:fill="B4C6E7" w:themeFill="accent1" w:themeFillTint="66"/>
                          </w:tcPr>
                          <w:p w14:paraId="75540535" w14:textId="77777777" w:rsidR="00243660" w:rsidRPr="00136CAF" w:rsidRDefault="00243660" w:rsidP="00387A1D">
                            <w:pPr>
                              <w:jc w:val="both"/>
                              <w:rPr>
                                <w:rFonts w:ascii="Arial Narrow" w:hAnsi="Arial Narrow"/>
                                <w:sz w:val="20"/>
                              </w:rPr>
                            </w:pPr>
                          </w:p>
                          <w:p w14:paraId="3358C42E" w14:textId="77777777" w:rsidR="00243660" w:rsidRPr="00136CAF" w:rsidRDefault="00243660" w:rsidP="00387A1D">
                            <w:pPr>
                              <w:jc w:val="both"/>
                              <w:rPr>
                                <w:rFonts w:ascii="Arial Narrow" w:hAnsi="Arial Narrow"/>
                                <w:sz w:val="20"/>
                              </w:rPr>
                            </w:pPr>
                          </w:p>
                          <w:p w14:paraId="6F6AF133" w14:textId="77777777" w:rsidR="00243660" w:rsidRPr="00136CAF" w:rsidRDefault="00243660" w:rsidP="00387A1D">
                            <w:pPr>
                              <w:jc w:val="both"/>
                              <w:rPr>
                                <w:rFonts w:ascii="Arial Narrow" w:hAnsi="Arial Narrow"/>
                                <w:sz w:val="20"/>
                              </w:rPr>
                            </w:pPr>
                            <w:proofErr w:type="spellStart"/>
                            <w:r w:rsidRPr="00136CAF">
                              <w:rPr>
                                <w:rFonts w:ascii="Arial Narrow" w:hAnsi="Arial Narrow"/>
                                <w:sz w:val="20"/>
                              </w:rPr>
                              <w:t>Ibu</w:t>
                            </w:r>
                            <w:proofErr w:type="spellEnd"/>
                            <w:r w:rsidRPr="00136CAF">
                              <w:rPr>
                                <w:rFonts w:ascii="Arial Narrow" w:hAnsi="Arial Narrow"/>
                                <w:sz w:val="20"/>
                              </w:rPr>
                              <w:t xml:space="preserve"> Maria has owned pigs on her small farm in central Flores since 2011.  She used to spend several hours a day collecting and preparing local feed like banana leaves, papaya and cassava tubers.  Before PRISMA, fattening piglets to adult size took around two years.</w:t>
                            </w:r>
                          </w:p>
                          <w:p w14:paraId="74B41F38" w14:textId="77777777" w:rsidR="00243660" w:rsidRPr="00136CAF" w:rsidRDefault="00243660" w:rsidP="00387A1D">
                            <w:pPr>
                              <w:jc w:val="both"/>
                              <w:rPr>
                                <w:rFonts w:ascii="Arial Narrow" w:hAnsi="Arial Narrow"/>
                              </w:rPr>
                            </w:pPr>
                          </w:p>
                          <w:p w14:paraId="3D1EA48D" w14:textId="77777777" w:rsidR="00243660" w:rsidRPr="00136CAF" w:rsidRDefault="00243660" w:rsidP="00387A1D">
                            <w:pPr>
                              <w:jc w:val="both"/>
                              <w:rPr>
                                <w:rFonts w:ascii="Arial Narrow" w:hAnsi="Arial Narrow"/>
                                <w:sz w:val="20"/>
                              </w:rPr>
                            </w:pPr>
                            <w:r w:rsidRPr="00136CAF">
                              <w:rPr>
                                <w:rFonts w:ascii="Arial Narrow" w:hAnsi="Arial Narrow"/>
                                <w:sz w:val="20"/>
                              </w:rPr>
                              <w:t xml:space="preserve">Through PRISMA’s interventions, small-scale farmers like </w:t>
                            </w:r>
                            <w:proofErr w:type="spellStart"/>
                            <w:r w:rsidRPr="00136CAF">
                              <w:rPr>
                                <w:rFonts w:ascii="Arial Narrow" w:hAnsi="Arial Narrow"/>
                                <w:sz w:val="20"/>
                              </w:rPr>
                              <w:t>Ibu</w:t>
                            </w:r>
                            <w:proofErr w:type="spellEnd"/>
                            <w:r w:rsidRPr="00136CAF">
                              <w:rPr>
                                <w:rFonts w:ascii="Arial Narrow" w:hAnsi="Arial Narrow"/>
                                <w:sz w:val="20"/>
                              </w:rPr>
                              <w:t xml:space="preserve"> Maria have learned how to build good pig pens and fatten their pigs using high quality commercial feed.  Her cross-bred sow now lives in a clean, covered enclosure behind her home and its piglets take 3-4 months to grow to marketable size. The improved progeny sell for around IDR3m, compared to IDR2m for the local breed.  ‘Feed is expensive but the result is good,’ she says.  She now has a regular flow of income to help look after her six children.</w:t>
                            </w:r>
                          </w:p>
                          <w:p w14:paraId="5B9B7CC7" w14:textId="77777777" w:rsidR="00243660" w:rsidRPr="00136CAF" w:rsidRDefault="00243660" w:rsidP="00387A1D">
                            <w:pPr>
                              <w:jc w:val="both"/>
                              <w:rPr>
                                <w:rFonts w:ascii="Arial Narrow" w:hAnsi="Arial Narrow"/>
                              </w:rPr>
                            </w:pPr>
                          </w:p>
                          <w:p w14:paraId="770ECA09" w14:textId="77777777" w:rsidR="00243660" w:rsidRPr="00136CAF" w:rsidRDefault="00243660" w:rsidP="00387A1D">
                            <w:pPr>
                              <w:jc w:val="both"/>
                              <w:rPr>
                                <w:rFonts w:ascii="Arial Narrow" w:hAnsi="Arial Narrow"/>
                                <w:sz w:val="20"/>
                              </w:rPr>
                            </w:pPr>
                            <w:proofErr w:type="spellStart"/>
                            <w:r w:rsidRPr="00136CAF">
                              <w:rPr>
                                <w:rFonts w:ascii="Arial Narrow" w:hAnsi="Arial Narrow"/>
                                <w:sz w:val="20"/>
                              </w:rPr>
                              <w:t>Ibu</w:t>
                            </w:r>
                            <w:proofErr w:type="spellEnd"/>
                            <w:r w:rsidRPr="00136CAF">
                              <w:rPr>
                                <w:rFonts w:ascii="Arial Narrow" w:hAnsi="Arial Narrow"/>
                                <w:sz w:val="20"/>
                              </w:rPr>
                              <w:t xml:space="preserve"> Maria is proud of her sow. She cleans its pen twice a day but spends far less time preparing feed than she used to.</w:t>
                            </w:r>
                          </w:p>
                        </w:tc>
                      </w:tr>
                      <w:tr w:rsidR="00243660" w:rsidRPr="00136CAF" w14:paraId="7288DFD9" w14:textId="77777777" w:rsidTr="00387A1D">
                        <w:trPr>
                          <w:cantSplit/>
                          <w:trHeight w:val="1134"/>
                        </w:trPr>
                        <w:tc>
                          <w:tcPr>
                            <w:tcW w:w="1101" w:type="dxa"/>
                            <w:shd w:val="clear" w:color="auto" w:fill="B4C6E7" w:themeFill="accent1" w:themeFillTint="66"/>
                            <w:textDirection w:val="btLr"/>
                          </w:tcPr>
                          <w:p w14:paraId="2D6F1584"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Improved and sustainable delivery of inputs and services by market actors</w:t>
                            </w:r>
                          </w:p>
                          <w:p w14:paraId="19992499"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RETAILERS</w:t>
                            </w:r>
                          </w:p>
                        </w:tc>
                        <w:tc>
                          <w:tcPr>
                            <w:tcW w:w="3530" w:type="dxa"/>
                            <w:shd w:val="clear" w:color="auto" w:fill="B4C6E7" w:themeFill="accent1" w:themeFillTint="66"/>
                          </w:tcPr>
                          <w:p w14:paraId="231DCB8A" w14:textId="77777777" w:rsidR="00243660" w:rsidRPr="00136CAF" w:rsidRDefault="00243660" w:rsidP="00387A1D">
                            <w:pPr>
                              <w:jc w:val="both"/>
                              <w:rPr>
                                <w:rFonts w:ascii="Arial Narrow" w:hAnsi="Arial Narrow"/>
                                <w:sz w:val="12"/>
                                <w:szCs w:val="12"/>
                              </w:rPr>
                            </w:pPr>
                            <w:r w:rsidRPr="00136CAF">
                              <w:rPr>
                                <w:rFonts w:ascii="Arial Narrow" w:hAnsi="Arial Narrow"/>
                                <w:noProof/>
                                <w:sz w:val="12"/>
                                <w:szCs w:val="12"/>
                                <w:lang w:eastAsia="en-AU"/>
                              </w:rPr>
                              <w:drawing>
                                <wp:inline distT="0" distB="0" distL="0" distR="0" wp14:anchorId="28F87547" wp14:editId="5EB7F6B0">
                                  <wp:extent cx="2170430" cy="16268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0430" cy="1626870"/>
                                          </a:xfrm>
                                          <a:prstGeom prst="rect">
                                            <a:avLst/>
                                          </a:prstGeom>
                                          <a:noFill/>
                                        </pic:spPr>
                                      </pic:pic>
                                    </a:graphicData>
                                  </a:graphic>
                                </wp:inline>
                              </w:drawing>
                            </w:r>
                          </w:p>
                        </w:tc>
                        <w:tc>
                          <w:tcPr>
                            <w:tcW w:w="4658" w:type="dxa"/>
                            <w:shd w:val="clear" w:color="auto" w:fill="B4C6E7" w:themeFill="accent1" w:themeFillTint="66"/>
                            <w:vAlign w:val="center"/>
                          </w:tcPr>
                          <w:p w14:paraId="49162B53" w14:textId="77777777" w:rsidR="00243660" w:rsidRPr="00136CAF" w:rsidRDefault="00243660" w:rsidP="00387A1D">
                            <w:pPr>
                              <w:rPr>
                                <w:rFonts w:ascii="Arial Narrow" w:hAnsi="Arial Narrow"/>
                                <w:sz w:val="20"/>
                              </w:rPr>
                            </w:pPr>
                            <w:r w:rsidRPr="00136CAF">
                              <w:rPr>
                                <w:rFonts w:ascii="Arial Narrow" w:hAnsi="Arial Narrow"/>
                                <w:sz w:val="20"/>
                              </w:rPr>
                              <w:t>Commercial feed companies have responded by promoting quality feed mixes in Flores through breeding companies, a credit union and retailers.  More than 50 small businesses now supply inputs and services to the pig-growing businesses of Flores.  For example</w:t>
                            </w:r>
                            <w:r>
                              <w:rPr>
                                <w:rFonts w:ascii="Arial Narrow" w:hAnsi="Arial Narrow"/>
                                <w:sz w:val="20"/>
                              </w:rPr>
                              <w:t>,</w:t>
                            </w:r>
                            <w:r w:rsidRPr="00136CAF">
                              <w:rPr>
                                <w:rFonts w:ascii="Arial Narrow" w:hAnsi="Arial Narrow"/>
                                <w:sz w:val="20"/>
                              </w:rPr>
                              <w:t xml:space="preserve"> </w:t>
                            </w:r>
                            <w:proofErr w:type="spellStart"/>
                            <w:r w:rsidRPr="00136CAF">
                              <w:rPr>
                                <w:rFonts w:ascii="Arial Narrow" w:hAnsi="Arial Narrow"/>
                                <w:sz w:val="20"/>
                              </w:rPr>
                              <w:t>Ibu</w:t>
                            </w:r>
                            <w:proofErr w:type="spellEnd"/>
                            <w:r w:rsidRPr="00136CAF">
                              <w:rPr>
                                <w:rFonts w:ascii="Arial Narrow" w:hAnsi="Arial Narrow"/>
                                <w:sz w:val="20"/>
                              </w:rPr>
                              <w:t xml:space="preserve"> Regina (far left) and her </w:t>
                            </w:r>
                            <w:proofErr w:type="gramStart"/>
                            <w:r w:rsidRPr="00136CAF">
                              <w:rPr>
                                <w:rFonts w:ascii="Arial Narrow" w:hAnsi="Arial Narrow"/>
                                <w:sz w:val="20"/>
                              </w:rPr>
                              <w:t>staff sell</w:t>
                            </w:r>
                            <w:proofErr w:type="gramEnd"/>
                            <w:r w:rsidRPr="00136CAF">
                              <w:rPr>
                                <w:rFonts w:ascii="Arial Narrow" w:hAnsi="Arial Narrow"/>
                                <w:sz w:val="20"/>
                              </w:rPr>
                              <w:t xml:space="preserve"> pig feed in their agricultural supply shop in Flores. She also provides leaflets explaining good pig husbandry practices to farmers.</w:t>
                            </w:r>
                          </w:p>
                        </w:tc>
                      </w:tr>
                      <w:tr w:rsidR="00243660" w:rsidRPr="00136CAF" w14:paraId="6699439F" w14:textId="77777777" w:rsidTr="00387A1D">
                        <w:trPr>
                          <w:cantSplit/>
                          <w:trHeight w:val="1134"/>
                        </w:trPr>
                        <w:tc>
                          <w:tcPr>
                            <w:tcW w:w="1101" w:type="dxa"/>
                            <w:shd w:val="clear" w:color="auto" w:fill="B4C6E7" w:themeFill="accent1" w:themeFillTint="66"/>
                            <w:textDirection w:val="btLr"/>
                          </w:tcPr>
                          <w:p w14:paraId="080079BA"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Better useage of inputs and services leads to improved farm productivity</w:t>
                            </w:r>
                          </w:p>
                          <w:p w14:paraId="154A8BA5" w14:textId="77777777" w:rsidR="00243660" w:rsidRPr="00136CAF" w:rsidRDefault="00243660" w:rsidP="00387A1D">
                            <w:pPr>
                              <w:ind w:left="113" w:right="113"/>
                              <w:jc w:val="center"/>
                              <w:rPr>
                                <w:rFonts w:ascii="Arial Narrow" w:hAnsi="Arial Narrow"/>
                                <w:b/>
                                <w:bCs/>
                                <w:noProof/>
                                <w:sz w:val="20"/>
                                <w:lang w:eastAsia="en-GB" w:bidi="lo-LA"/>
                              </w:rPr>
                            </w:pPr>
                            <w:r w:rsidRPr="00136CAF">
                              <w:rPr>
                                <w:rFonts w:ascii="Arial Narrow" w:hAnsi="Arial Narrow"/>
                                <w:b/>
                                <w:bCs/>
                                <w:noProof/>
                                <w:sz w:val="20"/>
                                <w:lang w:eastAsia="en-GB" w:bidi="lo-LA"/>
                              </w:rPr>
                              <w:t>BREEDERS</w:t>
                            </w:r>
                          </w:p>
                        </w:tc>
                        <w:tc>
                          <w:tcPr>
                            <w:tcW w:w="3530" w:type="dxa"/>
                            <w:shd w:val="clear" w:color="auto" w:fill="B4C6E7" w:themeFill="accent1" w:themeFillTint="66"/>
                          </w:tcPr>
                          <w:p w14:paraId="67DBFFD2" w14:textId="77777777" w:rsidR="00243660" w:rsidRPr="00136CAF" w:rsidRDefault="00243660" w:rsidP="00387A1D">
                            <w:pPr>
                              <w:jc w:val="both"/>
                              <w:rPr>
                                <w:rFonts w:ascii="Arial Narrow" w:hAnsi="Arial Narrow"/>
                                <w:noProof/>
                                <w:sz w:val="12"/>
                                <w:szCs w:val="12"/>
                                <w:lang w:eastAsia="en-GB" w:bidi="lo-LA"/>
                              </w:rPr>
                            </w:pPr>
                            <w:r w:rsidRPr="00136CAF">
                              <w:rPr>
                                <w:rFonts w:ascii="Arial Narrow" w:hAnsi="Arial Narrow"/>
                                <w:noProof/>
                                <w:sz w:val="20"/>
                                <w:lang w:eastAsia="en-AU"/>
                              </w:rPr>
                              <w:drawing>
                                <wp:inline distT="0" distB="0" distL="0" distR="0" wp14:anchorId="527FAC3B" wp14:editId="06FF3BAA">
                                  <wp:extent cx="2178000" cy="163800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000" cy="1638000"/>
                                          </a:xfrm>
                                          <a:prstGeom prst="rect">
                                            <a:avLst/>
                                          </a:prstGeom>
                                          <a:noFill/>
                                        </pic:spPr>
                                      </pic:pic>
                                    </a:graphicData>
                                  </a:graphic>
                                </wp:inline>
                              </w:drawing>
                            </w:r>
                          </w:p>
                        </w:tc>
                        <w:tc>
                          <w:tcPr>
                            <w:tcW w:w="4658" w:type="dxa"/>
                            <w:shd w:val="clear" w:color="auto" w:fill="B4C6E7" w:themeFill="accent1" w:themeFillTint="66"/>
                            <w:vAlign w:val="center"/>
                          </w:tcPr>
                          <w:p w14:paraId="7DF2150B" w14:textId="77777777" w:rsidR="00243660" w:rsidRPr="00136CAF" w:rsidRDefault="00243660" w:rsidP="00387A1D">
                            <w:pPr>
                              <w:rPr>
                                <w:rFonts w:ascii="Arial Narrow" w:hAnsi="Arial Narrow"/>
                                <w:sz w:val="20"/>
                              </w:rPr>
                            </w:pPr>
                            <w:r w:rsidRPr="00136CAF">
                              <w:rPr>
                                <w:rFonts w:ascii="Arial Narrow" w:hAnsi="Arial Narrow"/>
                                <w:sz w:val="20"/>
                              </w:rPr>
                              <w:t>PRISMA’s pig sector intervention, which began in 2014, facilitated pig breeders and smallholder farmers to invest in improved breeds and husbandry practices, supported by local veterinary services.  All eight large pig breeders in Flores have adopted improved breeding and husbandry practices as a result of the PRISMA intervention.  For example</w:t>
                            </w:r>
                            <w:r>
                              <w:rPr>
                                <w:rFonts w:ascii="Arial Narrow" w:hAnsi="Arial Narrow"/>
                                <w:sz w:val="20"/>
                              </w:rPr>
                              <w:t>,</w:t>
                            </w:r>
                            <w:r w:rsidRPr="00136CAF">
                              <w:rPr>
                                <w:rFonts w:ascii="Arial Narrow" w:hAnsi="Arial Narrow"/>
                                <w:sz w:val="20"/>
                              </w:rPr>
                              <w:t xml:space="preserve"> </w:t>
                            </w:r>
                            <w:proofErr w:type="spellStart"/>
                            <w:r w:rsidRPr="00136CAF">
                              <w:rPr>
                                <w:rFonts w:ascii="Arial Narrow" w:hAnsi="Arial Narrow"/>
                                <w:sz w:val="20"/>
                              </w:rPr>
                              <w:t>Bruder</w:t>
                            </w:r>
                            <w:proofErr w:type="spellEnd"/>
                            <w:r w:rsidRPr="00136CAF">
                              <w:rPr>
                                <w:rFonts w:ascii="Arial Narrow" w:hAnsi="Arial Narrow"/>
                                <w:sz w:val="20"/>
                              </w:rPr>
                              <w:t xml:space="preserve"> Luci’s pigs (pictured) have their own water fountain along with regular cleaning and high quality feed. He sells piglets to more than 1,100 smallholder farmers.</w:t>
                            </w:r>
                          </w:p>
                          <w:p w14:paraId="4B1E4D91" w14:textId="77777777" w:rsidR="00243660" w:rsidRPr="00136CAF" w:rsidRDefault="00243660" w:rsidP="00387A1D">
                            <w:pPr>
                              <w:rPr>
                                <w:rFonts w:ascii="Arial Narrow" w:hAnsi="Arial Narrow"/>
                                <w:sz w:val="20"/>
                              </w:rPr>
                            </w:pPr>
                          </w:p>
                          <w:p w14:paraId="64929634" w14:textId="77777777" w:rsidR="00243660" w:rsidRPr="00136CAF" w:rsidRDefault="00243660" w:rsidP="00387A1D">
                            <w:pPr>
                              <w:jc w:val="right"/>
                              <w:rPr>
                                <w:rFonts w:ascii="Arial Narrow" w:hAnsi="Arial Narrow"/>
                                <w:sz w:val="20"/>
                              </w:rPr>
                            </w:pPr>
                            <w:r w:rsidRPr="00136CAF">
                              <w:rPr>
                                <w:rFonts w:ascii="Arial Narrow" w:hAnsi="Arial Narrow"/>
                                <w:sz w:val="12"/>
                                <w:szCs w:val="12"/>
                              </w:rPr>
                              <w:t>(Photographs: Julie Delforce, September 2016)</w:t>
                            </w:r>
                          </w:p>
                        </w:tc>
                      </w:tr>
                    </w:tbl>
                    <w:p w14:paraId="20C418D5" w14:textId="77777777" w:rsidR="00243660" w:rsidRDefault="00243660" w:rsidP="00764FCB"/>
                    <w:p w14:paraId="1DF976B4" w14:textId="77777777" w:rsidR="00243660" w:rsidRDefault="00243660" w:rsidP="00764FCB"/>
                    <w:p w14:paraId="064B8A45" w14:textId="77777777" w:rsidR="00243660" w:rsidRDefault="00243660" w:rsidP="00764FCB"/>
                    <w:p w14:paraId="1B04395C" w14:textId="77777777" w:rsidR="00243660" w:rsidRDefault="00243660" w:rsidP="00764FCB"/>
                  </w:txbxContent>
                </v:textbox>
                <w10:wrap type="square" anchorx="margin"/>
              </v:shape>
            </w:pict>
          </mc:Fallback>
        </mc:AlternateContent>
      </w:r>
    </w:p>
    <w:p w14:paraId="5F7F0D4A" w14:textId="45590FBA" w:rsidR="00764FCB" w:rsidRDefault="00764FCB">
      <w:pPr>
        <w:rPr>
          <w:rFonts w:asciiTheme="majorHAnsi" w:eastAsiaTheme="majorEastAsia" w:hAnsiTheme="majorHAnsi" w:cstheme="majorBidi"/>
          <w:color w:val="2F5496" w:themeColor="accent1" w:themeShade="BF"/>
          <w:sz w:val="28"/>
          <w:szCs w:val="28"/>
        </w:rPr>
      </w:pPr>
      <w:r>
        <w:br w:type="page"/>
      </w:r>
    </w:p>
    <w:p w14:paraId="7FE317A9" w14:textId="2F04A01C" w:rsidR="004A19FB" w:rsidRPr="00314E16" w:rsidRDefault="004A19FB" w:rsidP="004A19FB">
      <w:pPr>
        <w:pStyle w:val="Heading3"/>
        <w:rPr>
          <w:color w:val="4472C4" w:themeColor="accent1"/>
        </w:rPr>
      </w:pPr>
      <w:bookmarkStart w:id="7" w:name="_Toc499298839"/>
      <w:r w:rsidRPr="00314E16">
        <w:lastRenderedPageBreak/>
        <w:t>Lessons Learned</w:t>
      </w:r>
      <w:bookmarkEnd w:id="7"/>
    </w:p>
    <w:p w14:paraId="460FA921" w14:textId="77777777" w:rsidR="004A19FB" w:rsidRDefault="004A19FB" w:rsidP="004A19FB">
      <w:pPr>
        <w:pStyle w:val="Default"/>
        <w:rPr>
          <w:rFonts w:asciiTheme="minorHAnsi" w:hAnsiTheme="minorHAnsi" w:cstheme="minorBidi"/>
          <w:color w:val="auto"/>
          <w:sz w:val="22"/>
          <w:szCs w:val="22"/>
          <w:lang w:val="en-AU"/>
        </w:rPr>
      </w:pPr>
      <w:r w:rsidRPr="004918E6">
        <w:rPr>
          <w:rFonts w:asciiTheme="minorHAnsi" w:hAnsiTheme="minorHAnsi" w:cstheme="minorBidi"/>
          <w:color w:val="auto"/>
          <w:sz w:val="22"/>
          <w:szCs w:val="22"/>
          <w:lang w:val="en-AU"/>
        </w:rPr>
        <w:t xml:space="preserve">After more than a decade of experience of implementing the </w:t>
      </w:r>
      <w:r>
        <w:rPr>
          <w:rFonts w:asciiTheme="minorHAnsi" w:hAnsiTheme="minorHAnsi" w:cstheme="minorBidi"/>
          <w:color w:val="auto"/>
          <w:sz w:val="22"/>
          <w:szCs w:val="22"/>
          <w:lang w:val="en-AU"/>
        </w:rPr>
        <w:t>MSD</w:t>
      </w:r>
      <w:r w:rsidRPr="004918E6">
        <w:rPr>
          <w:rFonts w:asciiTheme="minorHAnsi" w:hAnsiTheme="minorHAnsi" w:cstheme="minorBidi"/>
          <w:color w:val="auto"/>
          <w:sz w:val="22"/>
          <w:szCs w:val="22"/>
          <w:lang w:val="en-AU"/>
        </w:rPr>
        <w:t xml:space="preserve"> approach </w:t>
      </w:r>
      <w:r>
        <w:rPr>
          <w:rFonts w:asciiTheme="minorHAnsi" w:hAnsiTheme="minorHAnsi" w:cstheme="minorBidi"/>
          <w:color w:val="auto"/>
          <w:sz w:val="22"/>
          <w:szCs w:val="22"/>
          <w:lang w:val="en-AU"/>
        </w:rPr>
        <w:t>multiple</w:t>
      </w:r>
      <w:r w:rsidRPr="004918E6">
        <w:rPr>
          <w:rFonts w:asciiTheme="minorHAnsi" w:hAnsiTheme="minorHAnsi" w:cstheme="minorBidi"/>
          <w:color w:val="auto"/>
          <w:sz w:val="22"/>
          <w:szCs w:val="22"/>
          <w:lang w:val="en-AU"/>
        </w:rPr>
        <w:t xml:space="preserve"> lessons have emerged globally and from within DFAT’s portfolio, including CAVAC</w:t>
      </w:r>
      <w:r>
        <w:rPr>
          <w:rFonts w:asciiTheme="minorHAnsi" w:hAnsiTheme="minorHAnsi" w:cstheme="minorBidi"/>
          <w:color w:val="auto"/>
          <w:sz w:val="22"/>
          <w:szCs w:val="22"/>
          <w:lang w:val="en-AU"/>
        </w:rPr>
        <w:t xml:space="preserve"> (Cambodia)</w:t>
      </w:r>
      <w:r w:rsidRPr="004918E6">
        <w:rPr>
          <w:rFonts w:asciiTheme="minorHAnsi" w:hAnsiTheme="minorHAnsi" w:cstheme="minorBidi"/>
          <w:color w:val="auto"/>
          <w:sz w:val="22"/>
          <w:szCs w:val="22"/>
          <w:lang w:val="en-AU"/>
        </w:rPr>
        <w:t xml:space="preserve">, </w:t>
      </w:r>
      <w:r>
        <w:rPr>
          <w:rFonts w:asciiTheme="minorHAnsi" w:hAnsiTheme="minorHAnsi" w:cstheme="minorBidi"/>
          <w:color w:val="auto"/>
          <w:sz w:val="22"/>
          <w:szCs w:val="22"/>
          <w:lang w:val="en-AU"/>
        </w:rPr>
        <w:t>the Market Development Facility (</w:t>
      </w:r>
      <w:r w:rsidRPr="004918E6">
        <w:rPr>
          <w:rFonts w:asciiTheme="minorHAnsi" w:hAnsiTheme="minorHAnsi" w:cstheme="minorBidi"/>
          <w:color w:val="auto"/>
          <w:sz w:val="22"/>
          <w:szCs w:val="22"/>
          <w:lang w:val="en-AU"/>
        </w:rPr>
        <w:t>MDF</w:t>
      </w:r>
      <w:r>
        <w:rPr>
          <w:rFonts w:asciiTheme="minorHAnsi" w:hAnsiTheme="minorHAnsi" w:cstheme="minorBidi"/>
          <w:color w:val="auto"/>
          <w:sz w:val="22"/>
          <w:szCs w:val="22"/>
          <w:lang w:val="en-AU"/>
        </w:rPr>
        <w:t xml:space="preserve"> in Fiji, Pakistan and Timor </w:t>
      </w:r>
      <w:proofErr w:type="spellStart"/>
      <w:r>
        <w:rPr>
          <w:rFonts w:asciiTheme="minorHAnsi" w:hAnsiTheme="minorHAnsi" w:cstheme="minorBidi"/>
          <w:color w:val="auto"/>
          <w:sz w:val="22"/>
          <w:szCs w:val="22"/>
          <w:lang w:val="en-AU"/>
        </w:rPr>
        <w:t>Leste</w:t>
      </w:r>
      <w:proofErr w:type="spellEnd"/>
      <w:r>
        <w:rPr>
          <w:rFonts w:asciiTheme="minorHAnsi" w:hAnsiTheme="minorHAnsi" w:cstheme="minorBidi"/>
          <w:color w:val="auto"/>
          <w:sz w:val="22"/>
          <w:szCs w:val="22"/>
          <w:lang w:val="en-AU"/>
        </w:rPr>
        <w:t>)</w:t>
      </w:r>
      <w:r w:rsidRPr="004918E6">
        <w:rPr>
          <w:rFonts w:asciiTheme="minorHAnsi" w:hAnsiTheme="minorHAnsi" w:cstheme="minorBidi"/>
          <w:color w:val="auto"/>
          <w:sz w:val="22"/>
          <w:szCs w:val="22"/>
          <w:lang w:val="en-AU"/>
        </w:rPr>
        <w:t xml:space="preserve"> and, most recently, from AIP-Rural</w:t>
      </w:r>
      <w:r>
        <w:rPr>
          <w:rFonts w:asciiTheme="minorHAnsi" w:hAnsiTheme="minorHAnsi" w:cstheme="minorBidi"/>
          <w:color w:val="auto"/>
          <w:sz w:val="22"/>
          <w:szCs w:val="22"/>
          <w:lang w:val="en-AU"/>
        </w:rPr>
        <w:t xml:space="preserve"> (for a more detailed review see Annex 3</w:t>
      </w:r>
      <w:r w:rsidRPr="004918E6">
        <w:rPr>
          <w:rFonts w:asciiTheme="minorHAnsi" w:hAnsiTheme="minorHAnsi" w:cstheme="minorBidi"/>
          <w:color w:val="auto"/>
          <w:sz w:val="22"/>
          <w:szCs w:val="22"/>
          <w:lang w:val="en-AU"/>
        </w:rPr>
        <w:t>). These lessons include:</w:t>
      </w:r>
    </w:p>
    <w:p w14:paraId="7F1D6270" w14:textId="77777777" w:rsidR="004A19FB" w:rsidRDefault="004A19FB" w:rsidP="004A19FB">
      <w:pPr>
        <w:pStyle w:val="Default"/>
        <w:rPr>
          <w:rFonts w:asciiTheme="minorHAnsi" w:hAnsiTheme="minorHAnsi" w:cstheme="minorBidi"/>
          <w:color w:val="auto"/>
          <w:sz w:val="22"/>
          <w:szCs w:val="22"/>
          <w:lang w:val="en-AU"/>
        </w:rPr>
      </w:pPr>
    </w:p>
    <w:p w14:paraId="09255B5A" w14:textId="0B0ABE4B" w:rsidR="004A19FB" w:rsidRDefault="004A19FB" w:rsidP="004A19FB">
      <w:r w:rsidRPr="00557844">
        <w:t>1.</w:t>
      </w:r>
      <w:r>
        <w:rPr>
          <w:b/>
        </w:rPr>
        <w:t xml:space="preserve"> A m</w:t>
      </w:r>
      <w:r w:rsidRPr="00D3262F">
        <w:rPr>
          <w:b/>
        </w:rPr>
        <w:t xml:space="preserve">arket systems development </w:t>
      </w:r>
      <w:r>
        <w:rPr>
          <w:b/>
        </w:rPr>
        <w:t xml:space="preserve">approach </w:t>
      </w:r>
      <w:r w:rsidRPr="00D3262F">
        <w:rPr>
          <w:b/>
        </w:rPr>
        <w:t>works</w:t>
      </w:r>
      <w:r>
        <w:t xml:space="preserve">, even in fragmented and isolated contexts such as eastern Indonesia or the Pacific, and can benefit poor people and disadvantaged groups, </w:t>
      </w:r>
      <w:r w:rsidR="001F5B68">
        <w:t>for example</w:t>
      </w:r>
      <w:r>
        <w:t xml:space="preserve"> </w:t>
      </w:r>
      <w:r w:rsidR="004C2A56">
        <w:t xml:space="preserve">to </w:t>
      </w:r>
      <w:r w:rsidR="001F5B68">
        <w:t>highlight</w:t>
      </w:r>
      <w:r w:rsidR="004C2A56">
        <w:t xml:space="preserve"> </w:t>
      </w:r>
      <w:r>
        <w:t>women</w:t>
      </w:r>
      <w:r w:rsidR="004C2A56">
        <w:t>’s role as integral market actors</w:t>
      </w:r>
      <w:r>
        <w:t xml:space="preserve">. To do so </w:t>
      </w:r>
      <w:proofErr w:type="gramStart"/>
      <w:r>
        <w:t>requires</w:t>
      </w:r>
      <w:proofErr w:type="gramEnd"/>
      <w:r>
        <w:t xml:space="preserve"> rigorous, upfront analysis and measurement, identification of viable business cases that can attract investment, and the willingness and flexibility to use a mix of intervention types</w:t>
      </w:r>
      <w:r w:rsidR="005D17AB">
        <w:t xml:space="preserve"> and tactics.</w:t>
      </w:r>
    </w:p>
    <w:p w14:paraId="00EC2369" w14:textId="5A2A8028" w:rsidR="004A19FB" w:rsidRDefault="004A19FB" w:rsidP="007A0995">
      <w:r w:rsidRPr="00557844">
        <w:t>2.</w:t>
      </w:r>
      <w:r>
        <w:rPr>
          <w:b/>
        </w:rPr>
        <w:t xml:space="preserve"> The quality of analysis is integral </w:t>
      </w:r>
      <w:r>
        <w:t>as this identifies the root causes of market constraints, viable opportunities for change and forms the basis for the desi</w:t>
      </w:r>
      <w:r w:rsidR="005D17AB">
        <w:t>gn of successful interventions.</w:t>
      </w:r>
    </w:p>
    <w:p w14:paraId="07C94396" w14:textId="15285609" w:rsidR="00826469" w:rsidRDefault="00826469" w:rsidP="00CB3B49">
      <w:r w:rsidRPr="00557844">
        <w:t>3.</w:t>
      </w:r>
      <w:r>
        <w:rPr>
          <w:b/>
        </w:rPr>
        <w:t xml:space="preserve"> Selection of potential partners </w:t>
      </w:r>
      <w:r>
        <w:t>requires robust scrutiny of partner incentives and capacity to change. Partnership deals need to involve substantial co-investment and test and build partners’ ownership over time.</w:t>
      </w:r>
    </w:p>
    <w:p w14:paraId="7C586519" w14:textId="1273CFC8" w:rsidR="00AC43B6" w:rsidRDefault="00AC43B6" w:rsidP="00CB3B49">
      <w:r w:rsidRPr="00557844">
        <w:t>4.</w:t>
      </w:r>
      <w:r w:rsidRPr="00DA5487">
        <w:rPr>
          <w:b/>
        </w:rPr>
        <w:t xml:space="preserve"> Flexibility is </w:t>
      </w:r>
      <w:r w:rsidR="00EA68A5">
        <w:rPr>
          <w:b/>
        </w:rPr>
        <w:t>vital</w:t>
      </w:r>
      <w:r>
        <w:t xml:space="preserve"> to </w:t>
      </w:r>
      <w:r w:rsidR="008059C3">
        <w:t>respond to</w:t>
      </w:r>
      <w:r>
        <w:t xml:space="preserve"> </w:t>
      </w:r>
      <w:r w:rsidR="008059C3">
        <w:t>new</w:t>
      </w:r>
      <w:r w:rsidR="00EA68A5">
        <w:t xml:space="preserve"> </w:t>
      </w:r>
      <w:r>
        <w:t>opportunit</w:t>
      </w:r>
      <w:r w:rsidR="00EA68A5">
        <w:t>ies</w:t>
      </w:r>
      <w:r>
        <w:t xml:space="preserve"> and</w:t>
      </w:r>
      <w:r w:rsidR="00EA68A5">
        <w:t xml:space="preserve"> </w:t>
      </w:r>
      <w:r>
        <w:t>deal with failures</w:t>
      </w:r>
      <w:r w:rsidR="00EA68A5" w:rsidRPr="00EA68A5">
        <w:t xml:space="preserve"> </w:t>
      </w:r>
      <w:r w:rsidR="00EA68A5">
        <w:t>pragmatically. Interventions take place in complex</w:t>
      </w:r>
      <w:r w:rsidR="008059C3">
        <w:t>,</w:t>
      </w:r>
      <w:r w:rsidR="00EA68A5">
        <w:t xml:space="preserve"> risky environments</w:t>
      </w:r>
      <w:r w:rsidR="00891ADB">
        <w:t>. T</w:t>
      </w:r>
      <w:r w:rsidR="00EA68A5">
        <w:t xml:space="preserve">ypically about 30% of interventions will fail, so programs must be set up to be adaptive, </w:t>
      </w:r>
      <w:r w:rsidR="008059C3">
        <w:t xml:space="preserve">capable of </w:t>
      </w:r>
      <w:r w:rsidR="00EA68A5">
        <w:t>rapidly reallocat</w:t>
      </w:r>
      <w:r w:rsidR="008059C3">
        <w:t>ing</w:t>
      </w:r>
      <w:r w:rsidR="00EA68A5">
        <w:t xml:space="preserve"> resources </w:t>
      </w:r>
      <w:r w:rsidR="008059C3">
        <w:t>from failing</w:t>
      </w:r>
      <w:r w:rsidR="00EA68A5">
        <w:t xml:space="preserve"> prospects</w:t>
      </w:r>
      <w:r w:rsidR="008059C3">
        <w:t xml:space="preserve"> to better prospects</w:t>
      </w:r>
      <w:r>
        <w:t>.</w:t>
      </w:r>
    </w:p>
    <w:p w14:paraId="1B252FF4" w14:textId="414CD549" w:rsidR="00826469" w:rsidRDefault="00AC43B6" w:rsidP="00CB3B49">
      <w:r w:rsidRPr="00557844">
        <w:t>5</w:t>
      </w:r>
      <w:r w:rsidR="00826469" w:rsidRPr="00557844">
        <w:t>.</w:t>
      </w:r>
      <w:r w:rsidR="00826469">
        <w:rPr>
          <w:b/>
        </w:rPr>
        <w:t xml:space="preserve"> Scale agents</w:t>
      </w:r>
      <w:r w:rsidR="00D907B4">
        <w:t xml:space="preserve"> who can broaden the uptake of new inputs, products and innovations</w:t>
      </w:r>
      <w:r w:rsidR="00826469">
        <w:rPr>
          <w:b/>
        </w:rPr>
        <w:t xml:space="preserve"> </w:t>
      </w:r>
      <w:r w:rsidR="00826469" w:rsidRPr="00387324">
        <w:t>need to be identified early as they can contribute to significant impact and act</w:t>
      </w:r>
      <w:r w:rsidR="00826469">
        <w:t xml:space="preserve"> as role models for peers to copy.</w:t>
      </w:r>
    </w:p>
    <w:p w14:paraId="3AB79BBB" w14:textId="0B78B8C8" w:rsidR="00D84889" w:rsidRDefault="00AC43B6" w:rsidP="00CB3B49">
      <w:r w:rsidRPr="00557844">
        <w:t>6</w:t>
      </w:r>
      <w:r w:rsidR="00826469" w:rsidRPr="00557844">
        <w:t>.</w:t>
      </w:r>
      <w:r w:rsidR="00826469">
        <w:rPr>
          <w:b/>
        </w:rPr>
        <w:t xml:space="preserve"> High calibre intervention teams are critical to </w:t>
      </w:r>
      <w:r w:rsidR="00557844">
        <w:rPr>
          <w:b/>
        </w:rPr>
        <w:t>success</w:t>
      </w:r>
      <w:r w:rsidR="00826469">
        <w:rPr>
          <w:b/>
        </w:rPr>
        <w:t xml:space="preserve"> </w:t>
      </w:r>
      <w:r w:rsidR="00826469">
        <w:t>requiring a sufficient mix of skills to undertake analysis, deal-making, due diligen</w:t>
      </w:r>
      <w:r w:rsidR="004712BA">
        <w:t>ce and intervention management.</w:t>
      </w:r>
    </w:p>
    <w:p w14:paraId="18EAF9D9" w14:textId="7EDAC25E" w:rsidR="0048769F" w:rsidRPr="00891ADB" w:rsidRDefault="000F73F2" w:rsidP="00891ADB">
      <w:pPr>
        <w:pStyle w:val="Heading9"/>
      </w:pPr>
      <w:r w:rsidRPr="008F356E">
        <w:t>Engaging effectively with the private sector</w:t>
      </w:r>
    </w:p>
    <w:p w14:paraId="097FA824" w14:textId="69C8937F" w:rsidR="0048769F" w:rsidRPr="00D43874" w:rsidRDefault="00557844" w:rsidP="0048769F">
      <w:pPr>
        <w:spacing w:after="120"/>
        <w:rPr>
          <w:rFonts w:cs="Arial"/>
        </w:rPr>
      </w:pPr>
      <w:r>
        <w:rPr>
          <w:rFonts w:cs="Arial"/>
        </w:rPr>
        <w:t>There are four key l</w:t>
      </w:r>
      <w:r w:rsidR="0048769F" w:rsidRPr="00D43874">
        <w:rPr>
          <w:rFonts w:cs="Arial"/>
        </w:rPr>
        <w:t>essons</w:t>
      </w:r>
      <w:r w:rsidR="00284FCC">
        <w:rPr>
          <w:rFonts w:cs="Arial"/>
        </w:rPr>
        <w:t xml:space="preserve"> for</w:t>
      </w:r>
      <w:r w:rsidR="0048769F" w:rsidRPr="00D43874">
        <w:rPr>
          <w:rFonts w:cs="Arial"/>
        </w:rPr>
        <w:t xml:space="preserve"> engaging effectively with the private sector to achieve lasting development outcomes</w:t>
      </w:r>
      <w:r w:rsidR="00284FCC">
        <w:rPr>
          <w:rFonts w:cs="Arial"/>
        </w:rPr>
        <w:t>, which underpin</w:t>
      </w:r>
      <w:r w:rsidR="009F6D6F">
        <w:rPr>
          <w:rFonts w:cs="Arial"/>
        </w:rPr>
        <w:t xml:space="preserve"> all of AIP-</w:t>
      </w:r>
      <w:proofErr w:type="spellStart"/>
      <w:r w:rsidR="009F6D6F">
        <w:rPr>
          <w:rFonts w:cs="Arial"/>
        </w:rPr>
        <w:t>Rural’s</w:t>
      </w:r>
      <w:proofErr w:type="spellEnd"/>
      <w:r w:rsidR="009F6D6F">
        <w:rPr>
          <w:rFonts w:cs="Arial"/>
        </w:rPr>
        <w:t xml:space="preserve"> interventions</w:t>
      </w:r>
      <w:r w:rsidR="00FF795A">
        <w:rPr>
          <w:rFonts w:cs="Arial"/>
        </w:rPr>
        <w:t xml:space="preserve"> and will underpin those of </w:t>
      </w:r>
      <w:r w:rsidR="005D461A">
        <w:rPr>
          <w:rFonts w:cs="Arial"/>
        </w:rPr>
        <w:t>PRISMA-2</w:t>
      </w:r>
      <w:r w:rsidR="00284FCC">
        <w:rPr>
          <w:rFonts w:cs="Arial"/>
        </w:rPr>
        <w:t>:</w:t>
      </w:r>
    </w:p>
    <w:p w14:paraId="01622A4C" w14:textId="045A0C07" w:rsidR="0048769F" w:rsidRPr="00F10F95" w:rsidRDefault="0048769F" w:rsidP="004B220D">
      <w:pPr>
        <w:pStyle w:val="ListParagraph"/>
        <w:numPr>
          <w:ilvl w:val="0"/>
          <w:numId w:val="23"/>
        </w:numPr>
        <w:spacing w:before="60" w:line="240" w:lineRule="auto"/>
        <w:ind w:left="284" w:hanging="284"/>
        <w:contextualSpacing w:val="0"/>
      </w:pPr>
      <w:r w:rsidRPr="00284FCC">
        <w:rPr>
          <w:b/>
        </w:rPr>
        <w:t>Clear strategic intent</w:t>
      </w:r>
      <w:r w:rsidR="00973993" w:rsidRPr="00284FCC">
        <w:rPr>
          <w:b/>
        </w:rPr>
        <w:t>:</w:t>
      </w:r>
      <w:r w:rsidRPr="00F10F95">
        <w:t xml:space="preserve"> </w:t>
      </w:r>
      <w:r w:rsidR="00284FCC">
        <w:t>i</w:t>
      </w:r>
      <w:r w:rsidR="00973993" w:rsidRPr="00F10F95">
        <w:t xml:space="preserve">t is important to be </w:t>
      </w:r>
      <w:r w:rsidR="009F6D6F" w:rsidRPr="00F10F95">
        <w:t>explicit about</w:t>
      </w:r>
      <w:r w:rsidRPr="00F10F95">
        <w:t xml:space="preserve"> what development support </w:t>
      </w:r>
      <w:r w:rsidR="00973993" w:rsidRPr="00F10F95">
        <w:t xml:space="preserve">is </w:t>
      </w:r>
      <w:r w:rsidRPr="00F10F95">
        <w:t>aiming to achieve</w:t>
      </w:r>
      <w:r w:rsidR="00F10F95">
        <w:t xml:space="preserve"> by working with a </w:t>
      </w:r>
      <w:r w:rsidR="004E7445">
        <w:t>business</w:t>
      </w:r>
      <w:r w:rsidR="00F10F95">
        <w:t>.</w:t>
      </w:r>
    </w:p>
    <w:p w14:paraId="1D15C64D" w14:textId="6A10652E" w:rsidR="0048769F" w:rsidRPr="00F10F95" w:rsidRDefault="001B5846" w:rsidP="004B220D">
      <w:pPr>
        <w:pStyle w:val="ListParagraph"/>
        <w:numPr>
          <w:ilvl w:val="0"/>
          <w:numId w:val="23"/>
        </w:numPr>
        <w:spacing w:before="60" w:line="240" w:lineRule="auto"/>
        <w:ind w:left="284" w:hanging="284"/>
        <w:contextualSpacing w:val="0"/>
      </w:pPr>
      <w:r w:rsidRPr="00284FCC">
        <w:rPr>
          <w:b/>
        </w:rPr>
        <w:t>Ap</w:t>
      </w:r>
      <w:r w:rsidR="00EB4021" w:rsidRPr="00284FCC">
        <w:rPr>
          <w:b/>
        </w:rPr>
        <w:t>propriate</w:t>
      </w:r>
      <w:r w:rsidR="0048769F" w:rsidRPr="00284FCC">
        <w:rPr>
          <w:b/>
        </w:rPr>
        <w:t xml:space="preserve"> private sector partner and initiative</w:t>
      </w:r>
      <w:r w:rsidR="00973993" w:rsidRPr="00284FCC">
        <w:rPr>
          <w:b/>
        </w:rPr>
        <w:t>:</w:t>
      </w:r>
      <w:r w:rsidR="00973993" w:rsidRPr="0075763D">
        <w:t xml:space="preserve"> </w:t>
      </w:r>
      <w:r w:rsidR="00284FCC">
        <w:t>e</w:t>
      </w:r>
      <w:r w:rsidR="0048769F" w:rsidRPr="00F10F95">
        <w:t>ffective private sector engagement entails identifying the right</w:t>
      </w:r>
      <w:r w:rsidR="004E7445">
        <w:t xml:space="preserve"> business</w:t>
      </w:r>
      <w:r w:rsidR="002F7707">
        <w:t>. This requires having</w:t>
      </w:r>
      <w:r w:rsidR="00284FCC">
        <w:t xml:space="preserve"> </w:t>
      </w:r>
      <w:r w:rsidR="0048769F" w:rsidRPr="00F10F95">
        <w:t>selection cr</w:t>
      </w:r>
      <w:r w:rsidR="007D0D79" w:rsidRPr="00F10F95">
        <w:t xml:space="preserve">iteria to determine whether </w:t>
      </w:r>
      <w:r w:rsidR="0048769F" w:rsidRPr="00F10F95">
        <w:t>or not a prospective partner and initiative fits</w:t>
      </w:r>
      <w:r w:rsidR="00FB48FB" w:rsidRPr="00F10F95">
        <w:t xml:space="preserve"> </w:t>
      </w:r>
      <w:r w:rsidR="0048769F" w:rsidRPr="00F10F95">
        <w:t>with the development partner’s strategic intent</w:t>
      </w:r>
      <w:r w:rsidR="00F10F95">
        <w:t>, in terms of relevance, opportunity and additionality, and feasibility.</w:t>
      </w:r>
    </w:p>
    <w:p w14:paraId="128B78F6" w14:textId="0019F439" w:rsidR="00674BF1" w:rsidRDefault="000F73F2" w:rsidP="004B220D">
      <w:pPr>
        <w:pStyle w:val="ListParagraph"/>
        <w:numPr>
          <w:ilvl w:val="0"/>
          <w:numId w:val="22"/>
        </w:numPr>
        <w:spacing w:before="60" w:after="120" w:line="240" w:lineRule="auto"/>
        <w:ind w:left="284" w:hanging="284"/>
        <w:contextualSpacing w:val="0"/>
      </w:pPr>
      <w:r w:rsidRPr="00284FCC">
        <w:rPr>
          <w:rFonts w:eastAsiaTheme="majorEastAsia" w:cs="Arial"/>
          <w:b/>
        </w:rPr>
        <w:t>A</w:t>
      </w:r>
      <w:r w:rsidR="0048769F" w:rsidRPr="00284FCC">
        <w:rPr>
          <w:rFonts w:eastAsiaTheme="majorEastAsia" w:cs="Arial"/>
          <w:b/>
        </w:rPr>
        <w:t xml:space="preserve"> variety of support options</w:t>
      </w:r>
      <w:r w:rsidR="00F32501" w:rsidRPr="00284FCC">
        <w:rPr>
          <w:rFonts w:eastAsiaTheme="majorEastAsia" w:cs="Arial"/>
          <w:b/>
        </w:rPr>
        <w:t>:</w:t>
      </w:r>
      <w:r w:rsidR="00F32501" w:rsidRPr="00F10F95">
        <w:t xml:space="preserve"> </w:t>
      </w:r>
      <w:r w:rsidR="00284FCC">
        <w:t>a</w:t>
      </w:r>
      <w:r w:rsidR="0048769F" w:rsidRPr="00F10F95">
        <w:t xml:space="preserve"> range of constraints inhibit private sector performance, which cannot be overcome by financial support alone. </w:t>
      </w:r>
      <w:r w:rsidR="009D51BB" w:rsidRPr="00F10F95">
        <w:rPr>
          <w:rFonts w:cs="Arial"/>
        </w:rPr>
        <w:t xml:space="preserve">Development assistance can help enterprises to recognise the large market potential in low-income markets and adapt their business models to take advantage of these opportunities. </w:t>
      </w:r>
      <w:r w:rsidR="009D51BB" w:rsidRPr="00F10F95">
        <w:t>S</w:t>
      </w:r>
      <w:r w:rsidR="0048769F" w:rsidRPr="00F10F95">
        <w:t xml:space="preserve">upport </w:t>
      </w:r>
      <w:r w:rsidR="00FB48FB" w:rsidRPr="00F10F95">
        <w:t>should</w:t>
      </w:r>
      <w:r w:rsidR="0048769F" w:rsidRPr="00F10F95">
        <w:t xml:space="preserve"> aim</w:t>
      </w:r>
      <w:r w:rsidR="00FB48FB" w:rsidRPr="00F10F95">
        <w:t xml:space="preserve"> to</w:t>
      </w:r>
      <w:r w:rsidR="0048769F" w:rsidRPr="00F10F95">
        <w:t xml:space="preserve"> chang</w:t>
      </w:r>
      <w:r w:rsidR="00FB48FB" w:rsidRPr="00F10F95">
        <w:t>e</w:t>
      </w:r>
      <w:r w:rsidR="0048769F" w:rsidRPr="00F10F95">
        <w:t xml:space="preserve"> </w:t>
      </w:r>
      <w:r w:rsidR="009D51BB" w:rsidRPr="00F10F95">
        <w:t xml:space="preserve">the </w:t>
      </w:r>
      <w:r w:rsidR="0048769F" w:rsidRPr="00F10F95">
        <w:t>private sector</w:t>
      </w:r>
      <w:r w:rsidR="009D51BB" w:rsidRPr="00F10F95">
        <w:t>’s</w:t>
      </w:r>
      <w:r w:rsidR="0048769F" w:rsidRPr="00F10F95">
        <w:t xml:space="preserve"> </w:t>
      </w:r>
      <w:r w:rsidR="00FB48FB" w:rsidRPr="00F10F95">
        <w:t>behaviour</w:t>
      </w:r>
      <w:r w:rsidR="0048769F" w:rsidRPr="00F10F95">
        <w:t xml:space="preserve">, </w:t>
      </w:r>
      <w:r w:rsidR="00FB48FB" w:rsidRPr="00F10F95">
        <w:t>strengthening</w:t>
      </w:r>
      <w:r w:rsidR="0048769F" w:rsidRPr="00F10F95">
        <w:t xml:space="preserve"> its capability or appetite to engage in markets</w:t>
      </w:r>
      <w:r w:rsidR="00F32501" w:rsidRPr="00F10F95">
        <w:t xml:space="preserve"> that</w:t>
      </w:r>
      <w:r w:rsidR="0048769F" w:rsidRPr="00F10F95">
        <w:t xml:space="preserve"> are important for the poor.</w:t>
      </w:r>
    </w:p>
    <w:p w14:paraId="7E53DFB7" w14:textId="2CFB9B71" w:rsidR="004E7445" w:rsidRPr="00493925" w:rsidRDefault="000F73F2" w:rsidP="004B220D">
      <w:pPr>
        <w:pStyle w:val="ListParagraph"/>
        <w:numPr>
          <w:ilvl w:val="0"/>
          <w:numId w:val="22"/>
        </w:numPr>
        <w:spacing w:before="60" w:after="120" w:line="240" w:lineRule="auto"/>
        <w:ind w:left="284" w:hanging="284"/>
        <w:contextualSpacing w:val="0"/>
      </w:pPr>
      <w:r w:rsidRPr="00284FCC">
        <w:rPr>
          <w:b/>
        </w:rPr>
        <w:t>A</w:t>
      </w:r>
      <w:r w:rsidR="004E7445" w:rsidRPr="00284FCC">
        <w:rPr>
          <w:b/>
        </w:rPr>
        <w:t xml:space="preserve"> business</w:t>
      </w:r>
      <w:r w:rsidRPr="00284FCC">
        <w:rPr>
          <w:b/>
        </w:rPr>
        <w:t>-oriented culture and skillset</w:t>
      </w:r>
      <w:r w:rsidR="004E7445" w:rsidRPr="00284FCC">
        <w:rPr>
          <w:b/>
        </w:rPr>
        <w:t>:</w:t>
      </w:r>
      <w:r w:rsidR="004E7445" w:rsidRPr="00BD5BFA">
        <w:t xml:space="preserve"> </w:t>
      </w:r>
      <w:r w:rsidR="00284FCC">
        <w:t>p</w:t>
      </w:r>
      <w:r w:rsidRPr="00DA5487">
        <w:t xml:space="preserve">rograms that work closely with the private sector need an operating culture and skill set that are business oriented. Teams should balance sufficient commercial experience with development experience; people who </w:t>
      </w:r>
      <w:r w:rsidR="004E7445" w:rsidRPr="00493925">
        <w:t>understand business</w:t>
      </w:r>
      <w:r w:rsidR="00A63BDB" w:rsidRPr="00493925">
        <w:t>es</w:t>
      </w:r>
      <w:r w:rsidR="004E7445" w:rsidRPr="00493925">
        <w:t xml:space="preserve">’ </w:t>
      </w:r>
      <w:r w:rsidRPr="00DA5487">
        <w:t xml:space="preserve">language and </w:t>
      </w:r>
      <w:r w:rsidR="004E7445" w:rsidRPr="00BD5BFA">
        <w:t xml:space="preserve">needs, </w:t>
      </w:r>
      <w:r w:rsidRPr="00DA5487">
        <w:t xml:space="preserve">who are good at </w:t>
      </w:r>
      <w:r w:rsidR="004E7445" w:rsidRPr="00BD5BFA">
        <w:t xml:space="preserve">business </w:t>
      </w:r>
      <w:r w:rsidRPr="00DA5487">
        <w:t>planning and deal making</w:t>
      </w:r>
      <w:r w:rsidR="004E7445" w:rsidRPr="00BD5BFA">
        <w:t xml:space="preserve">, </w:t>
      </w:r>
      <w:r w:rsidR="00493925" w:rsidRPr="00DA5487">
        <w:t xml:space="preserve">and </w:t>
      </w:r>
      <w:r w:rsidRPr="00DA5487">
        <w:t>who are entrepreneurial and comfortable</w:t>
      </w:r>
      <w:r w:rsidR="004E7445" w:rsidRPr="00493925">
        <w:t xml:space="preserve"> that failure is an ordinary part of doing business.</w:t>
      </w:r>
    </w:p>
    <w:p w14:paraId="21751703" w14:textId="476B1956" w:rsidR="00F10F95" w:rsidRPr="00F10F95" w:rsidRDefault="00F10F95" w:rsidP="0075763D">
      <w:pPr>
        <w:spacing w:after="120"/>
        <w:rPr>
          <w:rFonts w:cs="Arial"/>
        </w:rPr>
      </w:pPr>
      <w:r w:rsidRPr="00F10F95">
        <w:rPr>
          <w:rFonts w:cs="Arial"/>
        </w:rPr>
        <w:lastRenderedPageBreak/>
        <w:t xml:space="preserve">It is often assumed that businesses involved in agriculture are innovative, entrepreneurial and risk takers; </w:t>
      </w:r>
      <w:r w:rsidR="00A22653">
        <w:rPr>
          <w:rFonts w:cs="Arial"/>
        </w:rPr>
        <w:t xml:space="preserve">but </w:t>
      </w:r>
      <w:r w:rsidRPr="00F10F95">
        <w:rPr>
          <w:rFonts w:cs="Arial"/>
        </w:rPr>
        <w:t xml:space="preserve">experience indicates this is far from the truth. When exploring new or more marginal markets they tend to lack information and experience, and are therefore cautious and slow to invest. </w:t>
      </w:r>
      <w:r w:rsidR="00284FCC">
        <w:rPr>
          <w:rFonts w:cs="Arial"/>
        </w:rPr>
        <w:t>MSD</w:t>
      </w:r>
      <w:r w:rsidRPr="00F10F95">
        <w:rPr>
          <w:rFonts w:cs="Arial"/>
        </w:rPr>
        <w:t xml:space="preserve"> initiatives address these constraints by introducing new market information, new business model calculations and modest co-investment</w:t>
      </w:r>
      <w:r w:rsidR="004E7445">
        <w:rPr>
          <w:rFonts w:cs="Arial"/>
        </w:rPr>
        <w:t xml:space="preserve"> to </w:t>
      </w:r>
      <w:r w:rsidR="00764FCB">
        <w:rPr>
          <w:rFonts w:cs="Arial"/>
        </w:rPr>
        <w:t>‘</w:t>
      </w:r>
      <w:r w:rsidR="004E7445">
        <w:rPr>
          <w:rFonts w:cs="Arial"/>
        </w:rPr>
        <w:t>buy down</w:t>
      </w:r>
      <w:r w:rsidR="00764FCB">
        <w:rPr>
          <w:rFonts w:cs="Arial"/>
        </w:rPr>
        <w:t>’</w:t>
      </w:r>
      <w:r w:rsidR="004E7445">
        <w:rPr>
          <w:rFonts w:cs="Arial"/>
        </w:rPr>
        <w:t xml:space="preserve"> the risk</w:t>
      </w:r>
      <w:r w:rsidRPr="00F10F95">
        <w:rPr>
          <w:rFonts w:cs="Arial"/>
        </w:rPr>
        <w:t>. The result is expanded</w:t>
      </w:r>
      <w:r w:rsidR="003E12A3">
        <w:rPr>
          <w:rFonts w:cs="Arial"/>
        </w:rPr>
        <w:t xml:space="preserve"> yet</w:t>
      </w:r>
      <w:r w:rsidRPr="00F10F95">
        <w:rPr>
          <w:rFonts w:cs="Arial"/>
        </w:rPr>
        <w:t xml:space="preserve"> sustainable outreach to thousands of new customers with innovations that </w:t>
      </w:r>
      <w:r w:rsidR="003E12A3">
        <w:rPr>
          <w:rFonts w:cs="Arial"/>
        </w:rPr>
        <w:t xml:space="preserve">positively </w:t>
      </w:r>
      <w:r w:rsidRPr="00F10F95">
        <w:rPr>
          <w:rFonts w:cs="Arial"/>
        </w:rPr>
        <w:t>impact on farmer incomes.</w:t>
      </w:r>
    </w:p>
    <w:p w14:paraId="5999A5AE" w14:textId="328C0D92" w:rsidR="00D1669B" w:rsidRPr="002A2C8D" w:rsidRDefault="00F10F95" w:rsidP="00126B52">
      <w:pPr>
        <w:spacing w:after="120"/>
        <w:rPr>
          <w:rFonts w:cs="Arial"/>
        </w:rPr>
      </w:pPr>
      <w:r w:rsidRPr="00821613">
        <w:rPr>
          <w:rFonts w:cs="Arial"/>
        </w:rPr>
        <w:t xml:space="preserve">AIP-Rural found that the complex, multi-faceted constraints in Indonesian agriculture require multi-faceted responses from a wide range of private sector actors (input suppliers, </w:t>
      </w:r>
      <w:r w:rsidR="009322BF">
        <w:rPr>
          <w:rFonts w:cs="Arial"/>
        </w:rPr>
        <w:t xml:space="preserve">off-takers, </w:t>
      </w:r>
      <w:r w:rsidRPr="00821613">
        <w:rPr>
          <w:rFonts w:cs="Arial"/>
        </w:rPr>
        <w:t>investors in irrigation, bankers, etc.).</w:t>
      </w:r>
      <w:r w:rsidR="000C7E61">
        <w:rPr>
          <w:rFonts w:cs="Arial"/>
        </w:rPr>
        <w:t xml:space="preserve"> </w:t>
      </w:r>
      <w:r w:rsidR="00674BF1" w:rsidRPr="00D43874">
        <w:rPr>
          <w:rFonts w:cs="Arial"/>
        </w:rPr>
        <w:t>This entails a combination of hard support (finance) and soft support (informing, technical assistance, brokering relationships). The type of support to be used should be determined by an analysis of constraints faced. Support should be delivered in such a way as to be catalytic and ‘transformational’ (resulting in lasting, widespread change in the way the private sector operates), rather than ‘transactional’ (temporarily subsidising a private enterprise’s routine operations). This means only working with those private sector actors who are prepared to make substantial co-investment</w:t>
      </w:r>
      <w:r w:rsidR="009322BF">
        <w:rPr>
          <w:rFonts w:cs="Arial"/>
        </w:rPr>
        <w:t>s</w:t>
      </w:r>
      <w:r w:rsidR="00674BF1" w:rsidRPr="00D43874">
        <w:rPr>
          <w:rFonts w:cs="Arial"/>
        </w:rPr>
        <w:t xml:space="preserve"> in transforming the way they do business.</w:t>
      </w:r>
    </w:p>
    <w:p w14:paraId="71A459E2" w14:textId="24972372" w:rsidR="00963BE4" w:rsidRDefault="00963BE4" w:rsidP="00314E16">
      <w:pPr>
        <w:pStyle w:val="Heading1Numbered"/>
      </w:pPr>
      <w:bookmarkStart w:id="8" w:name="_Toc499298840"/>
      <w:r>
        <w:t>Investment Description</w:t>
      </w:r>
      <w:bookmarkEnd w:id="8"/>
    </w:p>
    <w:p w14:paraId="55BE1E72" w14:textId="2C3B1514" w:rsidR="00ED2BAF" w:rsidRPr="007E4A1B" w:rsidRDefault="00ED2BAF" w:rsidP="00314E16">
      <w:pPr>
        <w:pStyle w:val="Heading3"/>
      </w:pPr>
      <w:bookmarkStart w:id="9" w:name="_Toc499298841"/>
      <w:r w:rsidRPr="007E4A1B">
        <w:t>Logic and Expected Outcomes</w:t>
      </w:r>
      <w:bookmarkEnd w:id="9"/>
    </w:p>
    <w:p w14:paraId="38E9FC05" w14:textId="77777777" w:rsidR="005C6785" w:rsidRDefault="005C6785" w:rsidP="00DD1F35">
      <w:pPr>
        <w:spacing w:after="0"/>
        <w:rPr>
          <w:rFonts w:cstheme="minorHAnsi"/>
        </w:rPr>
      </w:pPr>
    </w:p>
    <w:p w14:paraId="77156DB2" w14:textId="66FAA71D" w:rsidR="00DD1F35" w:rsidRPr="00B65AE2" w:rsidRDefault="004E49E3" w:rsidP="00DD1F35">
      <w:pPr>
        <w:spacing w:after="0"/>
        <w:rPr>
          <w:rFonts w:cstheme="minorHAnsi"/>
        </w:rPr>
      </w:pPr>
      <w:r w:rsidRPr="00B65AE2">
        <w:rPr>
          <w:rFonts w:cstheme="minorHAnsi"/>
        </w:rPr>
        <w:t xml:space="preserve">The </w:t>
      </w:r>
      <w:r w:rsidRPr="00B65AE2">
        <w:rPr>
          <w:rFonts w:cstheme="minorHAnsi"/>
          <w:b/>
        </w:rPr>
        <w:t>end-of-program</w:t>
      </w:r>
      <w:r w:rsidR="00DD1F35" w:rsidRPr="00B65AE2">
        <w:rPr>
          <w:rFonts w:cstheme="minorHAnsi"/>
          <w:b/>
        </w:rPr>
        <w:t xml:space="preserve"> outcome</w:t>
      </w:r>
      <w:r w:rsidR="00DD1F35" w:rsidRPr="00B65AE2">
        <w:rPr>
          <w:rFonts w:cstheme="minorHAnsi"/>
        </w:rPr>
        <w:t xml:space="preserve"> for </w:t>
      </w:r>
      <w:r w:rsidR="005D461A">
        <w:rPr>
          <w:rFonts w:cstheme="minorHAnsi"/>
        </w:rPr>
        <w:t>PRISMA-2</w:t>
      </w:r>
      <w:r w:rsidR="00DD1F35" w:rsidRPr="00B65AE2">
        <w:rPr>
          <w:rFonts w:cstheme="minorHAnsi"/>
        </w:rPr>
        <w:t xml:space="preserve"> is:</w:t>
      </w:r>
    </w:p>
    <w:p w14:paraId="11184A2A" w14:textId="1B628EC0" w:rsidR="004C1F15" w:rsidRPr="005C6785" w:rsidRDefault="00DD1F35" w:rsidP="004C1F15">
      <w:pPr>
        <w:pStyle w:val="ListParagraph"/>
        <w:numPr>
          <w:ilvl w:val="0"/>
          <w:numId w:val="15"/>
        </w:numPr>
        <w:spacing w:after="0"/>
        <w:rPr>
          <w:rFonts w:cstheme="minorHAnsi"/>
        </w:rPr>
      </w:pPr>
      <w:r w:rsidRPr="00B65AE2">
        <w:rPr>
          <w:rFonts w:cstheme="minorHAnsi"/>
        </w:rPr>
        <w:t>A</w:t>
      </w:r>
      <w:r w:rsidR="00A63BDB">
        <w:rPr>
          <w:rFonts w:cstheme="minorHAnsi"/>
        </w:rPr>
        <w:t xml:space="preserve"> minimum</w:t>
      </w:r>
      <w:r w:rsidRPr="00B65AE2">
        <w:rPr>
          <w:rFonts w:cstheme="minorHAnsi"/>
        </w:rPr>
        <w:t xml:space="preserve"> 30% increase in incomes for 700,000 smallholder </w:t>
      </w:r>
      <w:r w:rsidR="004C1F15">
        <w:rPr>
          <w:rFonts w:cstheme="minorHAnsi"/>
        </w:rPr>
        <w:t>farm</w:t>
      </w:r>
      <w:r w:rsidR="002A2C8D">
        <w:rPr>
          <w:rFonts w:cstheme="minorHAnsi"/>
        </w:rPr>
        <w:t>ing</w:t>
      </w:r>
      <w:r w:rsidR="004C1F15">
        <w:rPr>
          <w:rFonts w:cstheme="minorHAnsi"/>
        </w:rPr>
        <w:t xml:space="preserve"> household</w:t>
      </w:r>
      <w:r w:rsidRPr="00B65AE2">
        <w:rPr>
          <w:rFonts w:cstheme="minorHAnsi"/>
        </w:rPr>
        <w:t xml:space="preserve">s by </w:t>
      </w:r>
      <w:r w:rsidR="001D5608">
        <w:rPr>
          <w:rFonts w:cstheme="minorHAnsi"/>
        </w:rPr>
        <w:t xml:space="preserve">December </w:t>
      </w:r>
      <w:r w:rsidRPr="00B65AE2">
        <w:rPr>
          <w:rFonts w:cstheme="minorHAnsi"/>
        </w:rPr>
        <w:t>2023.</w:t>
      </w:r>
    </w:p>
    <w:p w14:paraId="72B7C557" w14:textId="77777777" w:rsidR="00764FCB" w:rsidRDefault="00764FCB" w:rsidP="001D5608">
      <w:pPr>
        <w:spacing w:after="0"/>
        <w:rPr>
          <w:rFonts w:cstheme="minorHAnsi"/>
        </w:rPr>
      </w:pPr>
    </w:p>
    <w:p w14:paraId="33D216CC" w14:textId="6EC95482" w:rsidR="00DD1F35" w:rsidRPr="00B65AE2" w:rsidRDefault="001D2264" w:rsidP="001D5608">
      <w:pPr>
        <w:spacing w:after="0"/>
        <w:rPr>
          <w:rFonts w:cstheme="minorHAnsi"/>
        </w:rPr>
      </w:pPr>
      <w:r>
        <w:rPr>
          <w:rFonts w:cstheme="minorHAnsi"/>
        </w:rPr>
        <w:t>Th</w:t>
      </w:r>
      <w:r w:rsidR="00987DA9">
        <w:rPr>
          <w:rFonts w:cstheme="minorHAnsi"/>
        </w:rPr>
        <w:t xml:space="preserve">is will be achieved by working </w:t>
      </w:r>
      <w:r w:rsidR="00CA63BF">
        <w:rPr>
          <w:rFonts w:cstheme="minorHAnsi"/>
        </w:rPr>
        <w:t xml:space="preserve">in </w:t>
      </w:r>
      <w:r w:rsidR="007541AE">
        <w:rPr>
          <w:rFonts w:cstheme="minorHAnsi"/>
        </w:rPr>
        <w:t>six</w:t>
      </w:r>
      <w:r>
        <w:rPr>
          <w:rFonts w:cstheme="minorHAnsi"/>
        </w:rPr>
        <w:t xml:space="preserve"> provinces in Indonesia – </w:t>
      </w:r>
      <w:r w:rsidR="004B55E3">
        <w:rPr>
          <w:rFonts w:cstheme="minorHAnsi"/>
        </w:rPr>
        <w:t xml:space="preserve">the current AIP-Rural focus provinces of </w:t>
      </w:r>
      <w:r>
        <w:rPr>
          <w:rFonts w:cstheme="minorHAnsi"/>
        </w:rPr>
        <w:t xml:space="preserve">East Java, NTT, NTB, Papua, West Papua and </w:t>
      </w:r>
      <w:r w:rsidR="004B55E3">
        <w:rPr>
          <w:rFonts w:cstheme="minorHAnsi"/>
        </w:rPr>
        <w:t xml:space="preserve">adding </w:t>
      </w:r>
      <w:r w:rsidR="000E4F9C">
        <w:rPr>
          <w:rFonts w:cstheme="minorHAnsi"/>
        </w:rPr>
        <w:t>Central Java</w:t>
      </w:r>
      <w:r w:rsidR="004B55E3">
        <w:rPr>
          <w:rFonts w:cstheme="minorHAnsi"/>
        </w:rPr>
        <w:t xml:space="preserve"> for phase two</w:t>
      </w:r>
      <w:r>
        <w:rPr>
          <w:rFonts w:cstheme="minorHAnsi"/>
        </w:rPr>
        <w:t xml:space="preserve">. </w:t>
      </w:r>
      <w:r w:rsidR="004C1F15">
        <w:rPr>
          <w:rFonts w:cstheme="minorHAnsi"/>
        </w:rPr>
        <w:t xml:space="preserve">Of the </w:t>
      </w:r>
      <w:r w:rsidR="007541AE">
        <w:rPr>
          <w:rFonts w:cstheme="minorHAnsi"/>
        </w:rPr>
        <w:t xml:space="preserve">additional </w:t>
      </w:r>
      <w:r w:rsidR="004C1F15">
        <w:rPr>
          <w:rFonts w:cstheme="minorHAnsi"/>
        </w:rPr>
        <w:t>700,000 smallholder farm</w:t>
      </w:r>
      <w:r w:rsidR="00DA6A06">
        <w:rPr>
          <w:rFonts w:cstheme="minorHAnsi"/>
        </w:rPr>
        <w:t>ing</w:t>
      </w:r>
      <w:r w:rsidR="004C1F15">
        <w:rPr>
          <w:rFonts w:cstheme="minorHAnsi"/>
        </w:rPr>
        <w:t xml:space="preserve"> households</w:t>
      </w:r>
      <w:r>
        <w:rPr>
          <w:rFonts w:cstheme="minorHAnsi"/>
        </w:rPr>
        <w:t xml:space="preserve"> targeted through </w:t>
      </w:r>
      <w:r w:rsidR="005D461A">
        <w:rPr>
          <w:rFonts w:cstheme="minorHAnsi"/>
        </w:rPr>
        <w:t>PRISMA-2</w:t>
      </w:r>
      <w:r w:rsidR="009322BF">
        <w:rPr>
          <w:rFonts w:cstheme="minorHAnsi"/>
        </w:rPr>
        <w:t>,</w:t>
      </w:r>
      <w:r w:rsidR="00891ADB">
        <w:rPr>
          <w:rFonts w:cstheme="minorHAnsi"/>
        </w:rPr>
        <w:t xml:space="preserve"> </w:t>
      </w:r>
      <w:r w:rsidR="009322BF">
        <w:rPr>
          <w:rFonts w:cstheme="minorHAnsi"/>
        </w:rPr>
        <w:t>a</w:t>
      </w:r>
      <w:r w:rsidR="004C1F15" w:rsidRPr="005D461A">
        <w:rPr>
          <w:rFonts w:cstheme="minorHAnsi"/>
        </w:rPr>
        <w:t>t least 60%</w:t>
      </w:r>
      <w:r w:rsidRPr="005D461A">
        <w:rPr>
          <w:rFonts w:cstheme="minorHAnsi"/>
        </w:rPr>
        <w:t xml:space="preserve"> </w:t>
      </w:r>
      <w:r w:rsidR="00F409D1" w:rsidRPr="005D461A">
        <w:rPr>
          <w:rFonts w:cstheme="minorHAnsi"/>
        </w:rPr>
        <w:t xml:space="preserve">of these households will consist of people living </w:t>
      </w:r>
      <w:r w:rsidRPr="005D461A">
        <w:rPr>
          <w:rFonts w:cstheme="minorHAnsi"/>
        </w:rPr>
        <w:t>below USD2.50 per day at PPP</w:t>
      </w:r>
      <w:r w:rsidR="00987DA9" w:rsidRPr="005D461A">
        <w:rPr>
          <w:rFonts w:cstheme="minorHAnsi"/>
        </w:rPr>
        <w:t xml:space="preserve">. </w:t>
      </w:r>
      <w:r w:rsidR="00987DA9">
        <w:t xml:space="preserve">While the majority of program beneficiaries will be classified as poor or near poor, </w:t>
      </w:r>
      <w:r w:rsidR="009322BF">
        <w:t xml:space="preserve">given the wide-spread benefits of systemic change </w:t>
      </w:r>
      <w:r w:rsidR="005D461A">
        <w:t>PRISMA-2</w:t>
      </w:r>
      <w:r w:rsidR="00987DA9">
        <w:t xml:space="preserve"> impact will also reach non-poor farmers and other parts of the economy. </w:t>
      </w:r>
      <w:r w:rsidR="00115575">
        <w:t xml:space="preserve">Smallholder farming households are commonly composed of both men and women who contribute to different </w:t>
      </w:r>
      <w:r w:rsidR="005D17AB">
        <w:t>components</w:t>
      </w:r>
      <w:r w:rsidR="00115575">
        <w:t xml:space="preserve"> of </w:t>
      </w:r>
      <w:r w:rsidR="005D17AB">
        <w:t xml:space="preserve">their </w:t>
      </w:r>
      <w:r w:rsidR="00115575">
        <w:t>household farm</w:t>
      </w:r>
      <w:r w:rsidR="005D17AB">
        <w:t xml:space="preserve"> enterprise</w:t>
      </w:r>
      <w:r w:rsidR="00115575">
        <w:t xml:space="preserve">. </w:t>
      </w:r>
      <w:r w:rsidR="005D17AB">
        <w:t xml:space="preserve"> For example, </w:t>
      </w:r>
      <w:r w:rsidR="001F5B68">
        <w:t>AIP-Rural</w:t>
      </w:r>
      <w:r w:rsidR="005D17AB">
        <w:t xml:space="preserve"> analysis shows that men often take the lead with land preparation and use of machinery, women often lead with post-harvest handling and financial management, and men and women make decisions collaboratively about what crops and varieties to grow each season. </w:t>
      </w:r>
      <w:r w:rsidR="00115575">
        <w:t xml:space="preserve">PRISMA-2 will ensure that gender analysis is embedded into </w:t>
      </w:r>
      <w:r w:rsidR="007541AE">
        <w:t xml:space="preserve">every stage of </w:t>
      </w:r>
      <w:r w:rsidR="00115575">
        <w:t xml:space="preserve">intervention design and </w:t>
      </w:r>
      <w:r w:rsidR="009E18FA">
        <w:t>quality processes</w:t>
      </w:r>
      <w:r w:rsidR="00115575">
        <w:t xml:space="preserve">, and </w:t>
      </w:r>
      <w:proofErr w:type="gramStart"/>
      <w:r w:rsidR="00115575">
        <w:t>that women</w:t>
      </w:r>
      <w:proofErr w:type="gramEnd"/>
      <w:r w:rsidR="00115575">
        <w:t xml:space="preserve"> farmers are specifically targeted in interventions to ensure men and women </w:t>
      </w:r>
      <w:r w:rsidR="007541AE">
        <w:t xml:space="preserve">both </w:t>
      </w:r>
      <w:r w:rsidR="00115575">
        <w:t>benefit</w:t>
      </w:r>
      <w:r w:rsidR="006B505E">
        <w:t xml:space="preserve"> </w:t>
      </w:r>
      <w:r w:rsidR="00115575">
        <w:t>from the Program.</w:t>
      </w:r>
    </w:p>
    <w:p w14:paraId="177F5FCB" w14:textId="77777777" w:rsidR="005C6785" w:rsidRDefault="005C6785" w:rsidP="00DD1F35">
      <w:pPr>
        <w:spacing w:after="0"/>
        <w:rPr>
          <w:rFonts w:cstheme="minorHAnsi"/>
          <w:b/>
        </w:rPr>
      </w:pPr>
    </w:p>
    <w:p w14:paraId="1DC162C2" w14:textId="0C9DA995" w:rsidR="00DD1F35" w:rsidRPr="00B65AE2" w:rsidRDefault="00DD1F35" w:rsidP="00DD1F35">
      <w:pPr>
        <w:spacing w:after="0"/>
        <w:rPr>
          <w:rFonts w:cstheme="minorHAnsi"/>
        </w:rPr>
      </w:pPr>
      <w:r w:rsidRPr="00B65AE2">
        <w:rPr>
          <w:rFonts w:cstheme="minorHAnsi"/>
          <w:b/>
        </w:rPr>
        <w:t>Intermediate outcomes</w:t>
      </w:r>
      <w:r w:rsidRPr="00B65AE2">
        <w:rPr>
          <w:rFonts w:cstheme="minorHAnsi"/>
        </w:rPr>
        <w:t xml:space="preserve"> to</w:t>
      </w:r>
      <w:r w:rsidR="00C2140E">
        <w:rPr>
          <w:rFonts w:cstheme="minorHAnsi"/>
        </w:rPr>
        <w:t xml:space="preserve"> be achieved</w:t>
      </w:r>
      <w:r w:rsidRPr="00B65AE2">
        <w:rPr>
          <w:rFonts w:cstheme="minorHAnsi"/>
        </w:rPr>
        <w:t xml:space="preserve"> during implementation of </w:t>
      </w:r>
      <w:r w:rsidR="005D461A">
        <w:rPr>
          <w:rFonts w:cstheme="minorHAnsi"/>
        </w:rPr>
        <w:t>PRISMA-2</w:t>
      </w:r>
      <w:r w:rsidRPr="00B65AE2">
        <w:rPr>
          <w:rFonts w:cstheme="minorHAnsi"/>
        </w:rPr>
        <w:t xml:space="preserve"> are:</w:t>
      </w:r>
    </w:p>
    <w:p w14:paraId="6ECE6E29" w14:textId="7F5F9736" w:rsidR="00DD1F35" w:rsidRPr="00B65AE2" w:rsidRDefault="00DD1F35" w:rsidP="00F11EF9">
      <w:pPr>
        <w:pStyle w:val="ListParagraph"/>
        <w:numPr>
          <w:ilvl w:val="0"/>
          <w:numId w:val="14"/>
        </w:numPr>
        <w:spacing w:after="0"/>
        <w:rPr>
          <w:rFonts w:cstheme="minorHAnsi"/>
        </w:rPr>
      </w:pPr>
      <w:r w:rsidRPr="00B65AE2">
        <w:rPr>
          <w:rFonts w:cstheme="minorHAnsi"/>
        </w:rPr>
        <w:t>Targeted farm</w:t>
      </w:r>
      <w:r w:rsidR="00DA6A06">
        <w:rPr>
          <w:rFonts w:cstheme="minorHAnsi"/>
        </w:rPr>
        <w:t>ing households</w:t>
      </w:r>
      <w:r w:rsidRPr="00B65AE2">
        <w:rPr>
          <w:rFonts w:cstheme="minorHAnsi"/>
        </w:rPr>
        <w:t xml:space="preserve"> </w:t>
      </w:r>
      <w:r w:rsidR="00B00B31">
        <w:rPr>
          <w:rFonts w:cstheme="minorHAnsi"/>
        </w:rPr>
        <w:t xml:space="preserve">achieve greater </w:t>
      </w:r>
      <w:r w:rsidRPr="00B65AE2">
        <w:rPr>
          <w:rFonts w:cstheme="minorHAnsi"/>
        </w:rPr>
        <w:t>access</w:t>
      </w:r>
      <w:r w:rsidR="005F06D8">
        <w:rPr>
          <w:rFonts w:cstheme="minorHAnsi"/>
        </w:rPr>
        <w:t xml:space="preserve"> to and</w:t>
      </w:r>
      <w:r w:rsidRPr="00B65AE2">
        <w:rPr>
          <w:rFonts w:cstheme="minorHAnsi"/>
        </w:rPr>
        <w:t xml:space="preserve"> </w:t>
      </w:r>
      <w:r w:rsidR="00B00B31">
        <w:rPr>
          <w:rFonts w:cstheme="minorHAnsi"/>
        </w:rPr>
        <w:t xml:space="preserve">improved </w:t>
      </w:r>
      <w:r w:rsidRPr="00B65AE2">
        <w:rPr>
          <w:rFonts w:cstheme="minorHAnsi"/>
        </w:rPr>
        <w:t>use</w:t>
      </w:r>
      <w:r w:rsidR="005F06D8">
        <w:rPr>
          <w:rFonts w:cstheme="minorHAnsi"/>
        </w:rPr>
        <w:t xml:space="preserve"> of</w:t>
      </w:r>
      <w:r w:rsidRPr="00B65AE2">
        <w:rPr>
          <w:rFonts w:cstheme="minorHAnsi"/>
        </w:rPr>
        <w:t xml:space="preserve"> new services, inputs and technologies supplied by private sector partners</w:t>
      </w:r>
      <w:r w:rsidR="005F06D8">
        <w:rPr>
          <w:rFonts w:cstheme="minorHAnsi"/>
        </w:rPr>
        <w:t xml:space="preserve"> and their</w:t>
      </w:r>
      <w:r w:rsidRPr="00B65AE2">
        <w:rPr>
          <w:rFonts w:cstheme="minorHAnsi"/>
        </w:rPr>
        <w:t xml:space="preserve"> intermediate</w:t>
      </w:r>
      <w:r w:rsidR="005F06D8">
        <w:rPr>
          <w:rFonts w:cstheme="minorHAnsi"/>
        </w:rPr>
        <w:t xml:space="preserve"> agents or</w:t>
      </w:r>
      <w:r w:rsidRPr="00B65AE2">
        <w:rPr>
          <w:rFonts w:cstheme="minorHAnsi"/>
        </w:rPr>
        <w:t xml:space="preserve"> service providers</w:t>
      </w:r>
      <w:r w:rsidR="005F06D8">
        <w:rPr>
          <w:rFonts w:cstheme="minorHAnsi"/>
        </w:rPr>
        <w:t>, such as retailers, traders and brokers</w:t>
      </w:r>
      <w:r w:rsidR="004441A4" w:rsidRPr="00B65AE2">
        <w:rPr>
          <w:rFonts w:cstheme="minorHAnsi"/>
        </w:rPr>
        <w:t>.</w:t>
      </w:r>
    </w:p>
    <w:p w14:paraId="406BCFA9" w14:textId="4190A779" w:rsidR="00DD1F35" w:rsidRDefault="00B00B31" w:rsidP="00F11EF9">
      <w:pPr>
        <w:pStyle w:val="ListParagraph"/>
        <w:numPr>
          <w:ilvl w:val="0"/>
          <w:numId w:val="14"/>
        </w:numPr>
        <w:spacing w:after="0"/>
        <w:rPr>
          <w:rFonts w:cstheme="minorHAnsi"/>
        </w:rPr>
      </w:pPr>
      <w:r>
        <w:rPr>
          <w:rFonts w:cstheme="minorHAnsi"/>
        </w:rPr>
        <w:t xml:space="preserve">An expanded pool of </w:t>
      </w:r>
      <w:r w:rsidR="00DD1F35" w:rsidRPr="00B65AE2">
        <w:rPr>
          <w:rFonts w:cstheme="minorHAnsi"/>
        </w:rPr>
        <w:t xml:space="preserve">private sector </w:t>
      </w:r>
      <w:r>
        <w:rPr>
          <w:rFonts w:cstheme="minorHAnsi"/>
        </w:rPr>
        <w:t xml:space="preserve">actors </w:t>
      </w:r>
      <w:r w:rsidR="00DD1F35" w:rsidRPr="00B65AE2">
        <w:rPr>
          <w:rFonts w:cstheme="minorHAnsi"/>
        </w:rPr>
        <w:t>systematically target</w:t>
      </w:r>
      <w:r w:rsidR="00DA6A06">
        <w:rPr>
          <w:rFonts w:cstheme="minorHAnsi"/>
        </w:rPr>
        <w:t>ing</w:t>
      </w:r>
      <w:r w:rsidR="004441A4">
        <w:rPr>
          <w:rFonts w:cstheme="minorHAnsi"/>
        </w:rPr>
        <w:t xml:space="preserve"> </w:t>
      </w:r>
      <w:r w:rsidR="00DD1F35" w:rsidRPr="00B65AE2">
        <w:rPr>
          <w:rFonts w:cstheme="minorHAnsi"/>
        </w:rPr>
        <w:t>smallholder farm</w:t>
      </w:r>
      <w:r w:rsidR="00DA6A06">
        <w:rPr>
          <w:rFonts w:cstheme="minorHAnsi"/>
        </w:rPr>
        <w:t>ing households</w:t>
      </w:r>
      <w:r w:rsidR="00DD1F35" w:rsidRPr="00B65AE2">
        <w:rPr>
          <w:rFonts w:cstheme="minorHAnsi"/>
        </w:rPr>
        <w:t xml:space="preserve"> in their business growth strategies</w:t>
      </w:r>
      <w:r w:rsidR="00606040">
        <w:rPr>
          <w:rFonts w:cstheme="minorHAnsi"/>
        </w:rPr>
        <w:t xml:space="preserve"> and increasing their profit as a result</w:t>
      </w:r>
      <w:r w:rsidR="00127196">
        <w:rPr>
          <w:rFonts w:cstheme="minorHAnsi"/>
        </w:rPr>
        <w:t>.</w:t>
      </w:r>
    </w:p>
    <w:p w14:paraId="11E18330" w14:textId="1FAEE32C" w:rsidR="00265CF6" w:rsidRPr="00B65AE2" w:rsidRDefault="00265CF6" w:rsidP="00F11EF9">
      <w:pPr>
        <w:pStyle w:val="ListParagraph"/>
        <w:numPr>
          <w:ilvl w:val="0"/>
          <w:numId w:val="14"/>
        </w:numPr>
        <w:spacing w:after="0"/>
        <w:rPr>
          <w:rFonts w:cstheme="minorHAnsi"/>
        </w:rPr>
      </w:pPr>
      <w:r>
        <w:lastRenderedPageBreak/>
        <w:t>Selected decision makers (e</w:t>
      </w:r>
      <w:r w:rsidR="005C2288">
        <w:t>.</w:t>
      </w:r>
      <w:r>
        <w:t>g. local and national government) and policy influencers (</w:t>
      </w:r>
      <w:proofErr w:type="spellStart"/>
      <w:r>
        <w:t>eg</w:t>
      </w:r>
      <w:proofErr w:type="spellEnd"/>
      <w:r>
        <w:t>. businesses, industry groups, think tanks, consultants) are equipped with evidence to influence changes in the Indonesian business enabling environment at the national and local levels.</w:t>
      </w:r>
    </w:p>
    <w:p w14:paraId="6F0E8CC3" w14:textId="556D90DE" w:rsidR="005C6785" w:rsidRPr="005C6785" w:rsidRDefault="00764FCB" w:rsidP="005C6785">
      <w:pPr>
        <w:pStyle w:val="ListParagraph"/>
        <w:spacing w:after="0"/>
        <w:rPr>
          <w:rFonts w:cstheme="minorHAnsi"/>
        </w:rPr>
      </w:pPr>
      <w:r>
        <w:rPr>
          <w:noProof/>
          <w:lang w:eastAsia="en-AU"/>
        </w:rPr>
        <w:drawing>
          <wp:anchor distT="0" distB="0" distL="114300" distR="114300" simplePos="0" relativeHeight="251699712" behindDoc="0" locked="0" layoutInCell="1" allowOverlap="1" wp14:anchorId="74D45639" wp14:editId="5F233E4A">
            <wp:simplePos x="0" y="0"/>
            <wp:positionH relativeFrom="column">
              <wp:posOffset>-107315</wp:posOffset>
            </wp:positionH>
            <wp:positionV relativeFrom="paragraph">
              <wp:posOffset>187325</wp:posOffset>
            </wp:positionV>
            <wp:extent cx="1395095" cy="29337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509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A49EB" w14:textId="1043732B" w:rsidR="00DD1F35" w:rsidRPr="00284FCC" w:rsidRDefault="00DD1F35" w:rsidP="00284FCC">
      <w:pPr>
        <w:rPr>
          <w:rFonts w:cstheme="minorHAnsi"/>
        </w:rPr>
      </w:pPr>
      <w:r w:rsidRPr="00B65AE2">
        <w:rPr>
          <w:rFonts w:cstheme="minorHAnsi"/>
        </w:rPr>
        <w:t xml:space="preserve">The </w:t>
      </w:r>
      <w:r w:rsidR="00665EE4">
        <w:rPr>
          <w:rFonts w:cstheme="minorHAnsi"/>
        </w:rPr>
        <w:t xml:space="preserve">detailed </w:t>
      </w:r>
      <w:r w:rsidRPr="00B65AE2">
        <w:rPr>
          <w:rFonts w:cstheme="minorHAnsi"/>
        </w:rPr>
        <w:t xml:space="preserve">program logic is presented in </w:t>
      </w:r>
      <w:r w:rsidR="00665EE4">
        <w:rPr>
          <w:rFonts w:cstheme="minorHAnsi"/>
        </w:rPr>
        <w:t xml:space="preserve">Annex </w:t>
      </w:r>
      <w:r w:rsidR="001236FF">
        <w:rPr>
          <w:rFonts w:cstheme="minorHAnsi"/>
        </w:rPr>
        <w:t>4</w:t>
      </w:r>
      <w:r w:rsidR="00665EE4">
        <w:rPr>
          <w:rFonts w:cstheme="minorHAnsi"/>
        </w:rPr>
        <w:t xml:space="preserve"> and</w:t>
      </w:r>
      <w:r w:rsidR="00963BE4">
        <w:rPr>
          <w:rFonts w:cstheme="minorHAnsi"/>
        </w:rPr>
        <w:t xml:space="preserve"> a summary schematic is provided</w:t>
      </w:r>
      <w:r w:rsidR="00764FCB">
        <w:rPr>
          <w:rFonts w:cstheme="minorHAnsi"/>
        </w:rPr>
        <w:t xml:space="preserve"> to the left</w:t>
      </w:r>
      <w:r w:rsidR="005D160B">
        <w:rPr>
          <w:rFonts w:cstheme="minorHAnsi"/>
        </w:rPr>
        <w:t xml:space="preserve">. </w:t>
      </w:r>
      <w:r w:rsidR="001236FF">
        <w:rPr>
          <w:rFonts w:cstheme="minorHAnsi"/>
        </w:rPr>
        <w:t>T</w:t>
      </w:r>
      <w:r w:rsidR="00665EE4">
        <w:rPr>
          <w:rFonts w:cstheme="minorHAnsi"/>
        </w:rPr>
        <w:t>he program logic</w:t>
      </w:r>
      <w:r w:rsidRPr="00B65AE2">
        <w:rPr>
          <w:rFonts w:cstheme="minorHAnsi"/>
        </w:rPr>
        <w:t xml:space="preserve"> is informed by several theories that explain the causal mechanisms</w:t>
      </w:r>
      <w:r w:rsidR="004441A4">
        <w:rPr>
          <w:rFonts w:cstheme="minorHAnsi"/>
        </w:rPr>
        <w:t xml:space="preserve"> by which </w:t>
      </w:r>
      <w:r w:rsidR="005D461A">
        <w:rPr>
          <w:rFonts w:cstheme="minorHAnsi"/>
        </w:rPr>
        <w:t>PRISMA-2</w:t>
      </w:r>
      <w:r w:rsidR="004441A4">
        <w:rPr>
          <w:rFonts w:cstheme="minorHAnsi"/>
        </w:rPr>
        <w:t xml:space="preserve"> is</w:t>
      </w:r>
      <w:r w:rsidRPr="00B65AE2">
        <w:rPr>
          <w:rFonts w:cstheme="minorHAnsi"/>
        </w:rPr>
        <w:t xml:space="preserve"> anticipated to </w:t>
      </w:r>
      <w:r w:rsidR="004441A4">
        <w:rPr>
          <w:rFonts w:cstheme="minorHAnsi"/>
        </w:rPr>
        <w:t>bring about change</w:t>
      </w:r>
      <w:r w:rsidR="00CB3B49">
        <w:rPr>
          <w:rFonts w:cstheme="minorHAnsi"/>
        </w:rPr>
        <w:t>, including how individuals change, how organisations change, how new ideas spread, how market systems work, how market systems change,</w:t>
      </w:r>
      <w:r w:rsidRPr="00B65AE2">
        <w:rPr>
          <w:rFonts w:cstheme="minorHAnsi"/>
        </w:rPr>
        <w:t xml:space="preserve"> </w:t>
      </w:r>
      <w:r w:rsidR="003B50FA">
        <w:rPr>
          <w:rFonts w:cstheme="minorHAnsi"/>
        </w:rPr>
        <w:t xml:space="preserve">and </w:t>
      </w:r>
      <w:r w:rsidRPr="00B65AE2">
        <w:rPr>
          <w:rFonts w:cstheme="minorHAnsi"/>
        </w:rPr>
        <w:t>how complex change is delivered</w:t>
      </w:r>
      <w:r w:rsidR="003B50FA">
        <w:rPr>
          <w:rFonts w:cstheme="minorHAnsi"/>
        </w:rPr>
        <w:t>.</w:t>
      </w:r>
    </w:p>
    <w:p w14:paraId="7BC2DA4C" w14:textId="0C270FEA" w:rsidR="00DD1F35" w:rsidRPr="00284FCC" w:rsidRDefault="00DD1F35" w:rsidP="00284FCC">
      <w:pPr>
        <w:rPr>
          <w:rFonts w:cstheme="minorHAnsi"/>
        </w:rPr>
      </w:pPr>
      <w:r w:rsidRPr="00B65AE2">
        <w:rPr>
          <w:rFonts w:cstheme="minorHAnsi"/>
        </w:rPr>
        <w:t xml:space="preserve">In summary, </w:t>
      </w:r>
      <w:r w:rsidR="005D461A">
        <w:rPr>
          <w:rFonts w:cstheme="minorHAnsi"/>
        </w:rPr>
        <w:t>PRISMA-2</w:t>
      </w:r>
      <w:r w:rsidRPr="00B65AE2">
        <w:rPr>
          <w:rFonts w:cstheme="minorHAnsi"/>
        </w:rPr>
        <w:t xml:space="preserve"> </w:t>
      </w:r>
      <w:r w:rsidR="00665EE4">
        <w:rPr>
          <w:rFonts w:cstheme="minorHAnsi"/>
        </w:rPr>
        <w:t>develops</w:t>
      </w:r>
      <w:r w:rsidRPr="00B65AE2">
        <w:rPr>
          <w:rFonts w:cstheme="minorHAnsi"/>
        </w:rPr>
        <w:t xml:space="preserve"> intervention</w:t>
      </w:r>
      <w:r w:rsidR="003B50FA">
        <w:rPr>
          <w:rFonts w:cstheme="minorHAnsi"/>
        </w:rPr>
        <w:t xml:space="preserve">s in partnership with the private sector </w:t>
      </w:r>
      <w:r w:rsidR="005F06D8">
        <w:rPr>
          <w:rFonts w:cstheme="minorHAnsi"/>
        </w:rPr>
        <w:t>and</w:t>
      </w:r>
      <w:r w:rsidR="00A62C41">
        <w:rPr>
          <w:rFonts w:cstheme="minorHAnsi"/>
        </w:rPr>
        <w:t xml:space="preserve"> their</w:t>
      </w:r>
      <w:r w:rsidR="005F06D8">
        <w:rPr>
          <w:rFonts w:cstheme="minorHAnsi"/>
        </w:rPr>
        <w:t xml:space="preserve"> </w:t>
      </w:r>
      <w:r w:rsidR="003B50FA">
        <w:rPr>
          <w:rFonts w:cstheme="minorHAnsi"/>
        </w:rPr>
        <w:t>intermediate service providers</w:t>
      </w:r>
      <w:r w:rsidR="005F06D8">
        <w:rPr>
          <w:rFonts w:cstheme="minorHAnsi"/>
        </w:rPr>
        <w:t xml:space="preserve"> (ISPs)</w:t>
      </w:r>
      <w:r w:rsidR="008E5A2C">
        <w:rPr>
          <w:rFonts w:cstheme="minorHAnsi"/>
        </w:rPr>
        <w:t xml:space="preserve"> such as </w:t>
      </w:r>
      <w:r w:rsidR="008E5A2C" w:rsidRPr="008E5A2C">
        <w:rPr>
          <w:rFonts w:cstheme="minorHAnsi"/>
        </w:rPr>
        <w:t>a local retailer selling seeds or fertiliser to farmers or a local provider of transport or advisory services</w:t>
      </w:r>
      <w:r w:rsidR="003B50FA">
        <w:rPr>
          <w:rFonts w:cstheme="minorHAnsi"/>
        </w:rPr>
        <w:t>. The interventions catalyse</w:t>
      </w:r>
      <w:r w:rsidR="003B50FA" w:rsidRPr="003B50FA">
        <w:rPr>
          <w:rFonts w:cstheme="minorHAnsi"/>
        </w:rPr>
        <w:t xml:space="preserve"> </w:t>
      </w:r>
      <w:r w:rsidR="003B50FA" w:rsidRPr="00B65AE2">
        <w:rPr>
          <w:rFonts w:cstheme="minorHAnsi"/>
        </w:rPr>
        <w:t>the private sector to innovate and invest to better serve smallh</w:t>
      </w:r>
      <w:r w:rsidR="00F01433">
        <w:rPr>
          <w:rFonts w:cstheme="minorHAnsi"/>
        </w:rPr>
        <w:t>older farming households</w:t>
      </w:r>
      <w:r w:rsidR="003B50FA" w:rsidRPr="00B65AE2">
        <w:rPr>
          <w:rFonts w:cstheme="minorHAnsi"/>
        </w:rPr>
        <w:t xml:space="preserve"> on a commercially viable basis</w:t>
      </w:r>
      <w:r w:rsidR="003B50FA">
        <w:rPr>
          <w:rFonts w:cstheme="minorHAnsi"/>
        </w:rPr>
        <w:t xml:space="preserve">, </w:t>
      </w:r>
      <w:r w:rsidRPr="00B65AE2">
        <w:rPr>
          <w:rFonts w:cstheme="minorHAnsi"/>
        </w:rPr>
        <w:t xml:space="preserve">offering new services, inputs and technologies relevant to targeted </w:t>
      </w:r>
      <w:r w:rsidR="00117BE4">
        <w:rPr>
          <w:rFonts w:cstheme="minorHAnsi"/>
        </w:rPr>
        <w:t>female and male</w:t>
      </w:r>
      <w:r w:rsidRPr="00B65AE2">
        <w:rPr>
          <w:rFonts w:cstheme="minorHAnsi"/>
        </w:rPr>
        <w:t xml:space="preserve"> smallholder</w:t>
      </w:r>
      <w:r w:rsidR="00117BE4">
        <w:rPr>
          <w:rFonts w:cstheme="minorHAnsi"/>
        </w:rPr>
        <w:t>s</w:t>
      </w:r>
      <w:r w:rsidRPr="00B65AE2">
        <w:rPr>
          <w:rFonts w:cstheme="minorHAnsi"/>
        </w:rPr>
        <w:t xml:space="preserve">.  </w:t>
      </w:r>
      <w:r w:rsidR="00DA6A06">
        <w:rPr>
          <w:rFonts w:cstheme="minorHAnsi"/>
        </w:rPr>
        <w:t>Facilitation</w:t>
      </w:r>
      <w:r w:rsidR="00DA6A06">
        <w:rPr>
          <w:rStyle w:val="FootnoteReference"/>
          <w:rFonts w:cstheme="minorHAnsi"/>
        </w:rPr>
        <w:footnoteReference w:id="33"/>
      </w:r>
      <w:r w:rsidR="00DA6A06">
        <w:rPr>
          <w:rFonts w:cstheme="minorHAnsi"/>
        </w:rPr>
        <w:t xml:space="preserve"> by </w:t>
      </w:r>
      <w:r w:rsidR="005D461A">
        <w:rPr>
          <w:rFonts w:cstheme="minorHAnsi"/>
        </w:rPr>
        <w:t>PRISMA-2</w:t>
      </w:r>
      <w:r w:rsidR="00DA6A06">
        <w:rPr>
          <w:rFonts w:cstheme="minorHAnsi"/>
        </w:rPr>
        <w:t xml:space="preserve"> will</w:t>
      </w:r>
      <w:r w:rsidR="003B50FA" w:rsidRPr="00B65AE2">
        <w:rPr>
          <w:rFonts w:cstheme="minorHAnsi"/>
        </w:rPr>
        <w:t xml:space="preserve"> enable </w:t>
      </w:r>
      <w:r w:rsidR="00E01E6F">
        <w:rPr>
          <w:rFonts w:cstheme="minorHAnsi"/>
        </w:rPr>
        <w:t>businesse</w:t>
      </w:r>
      <w:r w:rsidR="005F06D8">
        <w:rPr>
          <w:rFonts w:cstheme="minorHAnsi"/>
        </w:rPr>
        <w:t xml:space="preserve">s and </w:t>
      </w:r>
      <w:r w:rsidR="003B50FA" w:rsidRPr="00B65AE2">
        <w:rPr>
          <w:rFonts w:cstheme="minorHAnsi"/>
        </w:rPr>
        <w:t>ISPs to engage with smallholder farmers and gain organisational knowledge, skills and motivation that enables change within the organisation, which if successful</w:t>
      </w:r>
      <w:r w:rsidR="00117BE4">
        <w:rPr>
          <w:rFonts w:cstheme="minorHAnsi"/>
        </w:rPr>
        <w:t>,</w:t>
      </w:r>
      <w:r w:rsidR="003B50FA" w:rsidRPr="00B65AE2">
        <w:rPr>
          <w:rFonts w:cstheme="minorHAnsi"/>
        </w:rPr>
        <w:t xml:space="preserve"> </w:t>
      </w:r>
      <w:r w:rsidR="00117BE4">
        <w:rPr>
          <w:rFonts w:cstheme="minorHAnsi"/>
        </w:rPr>
        <w:t>leads to wider</w:t>
      </w:r>
      <w:r w:rsidR="003B50FA" w:rsidRPr="00B65AE2">
        <w:rPr>
          <w:rFonts w:cstheme="minorHAnsi"/>
        </w:rPr>
        <w:t xml:space="preserve"> change </w:t>
      </w:r>
      <w:r w:rsidR="00117BE4">
        <w:rPr>
          <w:rFonts w:cstheme="minorHAnsi"/>
        </w:rPr>
        <w:t xml:space="preserve">in </w:t>
      </w:r>
      <w:r w:rsidR="003B50FA" w:rsidRPr="00B65AE2">
        <w:rPr>
          <w:rFonts w:cstheme="minorHAnsi"/>
        </w:rPr>
        <w:t>the market</w:t>
      </w:r>
      <w:r w:rsidR="00117BE4">
        <w:rPr>
          <w:rFonts w:cstheme="minorHAnsi"/>
        </w:rPr>
        <w:t xml:space="preserve"> system</w:t>
      </w:r>
      <w:r w:rsidR="003B50FA" w:rsidRPr="00B65AE2">
        <w:rPr>
          <w:rFonts w:cstheme="minorHAnsi"/>
        </w:rPr>
        <w:t>.</w:t>
      </w:r>
    </w:p>
    <w:p w14:paraId="27EDE02B" w14:textId="77777777" w:rsidR="004A19FB" w:rsidRDefault="004A19FB" w:rsidP="004A19FB">
      <w:pPr>
        <w:pStyle w:val="Heading3"/>
        <w:spacing w:after="160" w:line="259" w:lineRule="auto"/>
      </w:pPr>
      <w:bookmarkStart w:id="10" w:name="_Toc499298842"/>
      <w:r w:rsidRPr="00C73365">
        <w:t>Delivery Approach</w:t>
      </w:r>
      <w:bookmarkEnd w:id="10"/>
    </w:p>
    <w:p w14:paraId="2D6E7317" w14:textId="4F013B84" w:rsidR="004A19FB" w:rsidRPr="00133C97" w:rsidRDefault="004A19FB" w:rsidP="004A19FB">
      <w:pPr>
        <w:rPr>
          <w:rFonts w:cstheme="minorHAnsi"/>
        </w:rPr>
      </w:pPr>
      <w:r>
        <w:rPr>
          <w:rFonts w:cstheme="minorHAnsi"/>
        </w:rPr>
        <w:t>PRISMA-2</w:t>
      </w:r>
      <w:r w:rsidRPr="00C651AA">
        <w:rPr>
          <w:rFonts w:cstheme="minorHAnsi"/>
        </w:rPr>
        <w:t xml:space="preserve"> will </w:t>
      </w:r>
      <w:r>
        <w:rPr>
          <w:rFonts w:cstheme="minorHAnsi"/>
        </w:rPr>
        <w:t>achieve impact by stimulating</w:t>
      </w:r>
      <w:r w:rsidRPr="00C651AA">
        <w:rPr>
          <w:rFonts w:cstheme="minorHAnsi"/>
        </w:rPr>
        <w:t xml:space="preserve"> market systems development in the agriculture</w:t>
      </w:r>
      <w:r>
        <w:rPr>
          <w:rFonts w:cstheme="minorHAnsi"/>
        </w:rPr>
        <w:t>, horticulture, livestock and aquaculture</w:t>
      </w:r>
      <w:r w:rsidRPr="00C651AA">
        <w:rPr>
          <w:rFonts w:cstheme="minorHAnsi"/>
        </w:rPr>
        <w:t xml:space="preserve"> sector</w:t>
      </w:r>
      <w:r>
        <w:rPr>
          <w:rFonts w:cstheme="minorHAnsi"/>
        </w:rPr>
        <w:t>s to</w:t>
      </w:r>
      <w:r w:rsidRPr="00C651AA">
        <w:rPr>
          <w:rFonts w:cstheme="minorHAnsi"/>
        </w:rPr>
        <w:t xml:space="preserve"> increas</w:t>
      </w:r>
      <w:r>
        <w:rPr>
          <w:rFonts w:cstheme="minorHAnsi"/>
        </w:rPr>
        <w:t xml:space="preserve">e farmers’ </w:t>
      </w:r>
      <w:r w:rsidRPr="00C651AA">
        <w:rPr>
          <w:rFonts w:cstheme="minorHAnsi"/>
        </w:rPr>
        <w:t xml:space="preserve">access </w:t>
      </w:r>
      <w:r>
        <w:rPr>
          <w:rFonts w:cstheme="minorHAnsi"/>
        </w:rPr>
        <w:t>to</w:t>
      </w:r>
      <w:r w:rsidRPr="00C651AA">
        <w:rPr>
          <w:rFonts w:cstheme="minorHAnsi"/>
        </w:rPr>
        <w:t xml:space="preserve"> </w:t>
      </w:r>
      <w:r>
        <w:rPr>
          <w:rFonts w:cstheme="minorHAnsi"/>
        </w:rPr>
        <w:t xml:space="preserve">and </w:t>
      </w:r>
      <w:r w:rsidRPr="00C651AA">
        <w:rPr>
          <w:rFonts w:cstheme="minorHAnsi"/>
        </w:rPr>
        <w:t xml:space="preserve">use of: a) </w:t>
      </w:r>
      <w:r>
        <w:rPr>
          <w:rFonts w:cstheme="minorHAnsi"/>
        </w:rPr>
        <w:t>agricultural</w:t>
      </w:r>
      <w:r w:rsidRPr="00C651AA">
        <w:rPr>
          <w:rFonts w:cstheme="minorHAnsi"/>
        </w:rPr>
        <w:t xml:space="preserve"> inputs (seeds, fertili</w:t>
      </w:r>
      <w:r>
        <w:rPr>
          <w:rFonts w:cstheme="minorHAnsi"/>
        </w:rPr>
        <w:t>s</w:t>
      </w:r>
      <w:r w:rsidRPr="00C651AA">
        <w:rPr>
          <w:rFonts w:cstheme="minorHAnsi"/>
        </w:rPr>
        <w:t xml:space="preserve">ers, information, technology, water/irrigation); </w:t>
      </w:r>
      <w:r>
        <w:rPr>
          <w:rFonts w:cstheme="minorHAnsi"/>
        </w:rPr>
        <w:t>and/</w:t>
      </w:r>
      <w:r w:rsidRPr="00C651AA">
        <w:rPr>
          <w:rFonts w:cstheme="minorHAnsi"/>
        </w:rPr>
        <w:t>or b) newer an</w:t>
      </w:r>
      <w:r w:rsidR="00133C97">
        <w:rPr>
          <w:rFonts w:cstheme="minorHAnsi"/>
        </w:rPr>
        <w:t xml:space="preserve">d high value off-take markets. </w:t>
      </w:r>
      <w:r>
        <w:rPr>
          <w:rFonts w:cstheme="minorHAnsi"/>
        </w:rPr>
        <w:t xml:space="preserve">Due to </w:t>
      </w:r>
      <w:r w:rsidRPr="00C651AA">
        <w:rPr>
          <w:rFonts w:cstheme="minorHAnsi"/>
        </w:rPr>
        <w:t>the heterogeneous and specific nature of Indonesia’s agro-economic zones</w:t>
      </w:r>
      <w:r>
        <w:rPr>
          <w:rFonts w:cstheme="minorHAnsi"/>
        </w:rPr>
        <w:t>,</w:t>
      </w:r>
      <w:r w:rsidRPr="00C651AA">
        <w:rPr>
          <w:rFonts w:cstheme="minorHAnsi"/>
        </w:rPr>
        <w:t xml:space="preserve"> </w:t>
      </w:r>
      <w:r w:rsidRPr="001D5608">
        <w:rPr>
          <w:rFonts w:cstheme="minorHAnsi"/>
        </w:rPr>
        <w:t>23 a</w:t>
      </w:r>
      <w:r w:rsidRPr="00C651AA">
        <w:rPr>
          <w:rFonts w:cstheme="minorHAnsi"/>
        </w:rPr>
        <w:t>gricultural sub-sectors</w:t>
      </w:r>
      <w:r>
        <w:rPr>
          <w:rStyle w:val="FootnoteReference"/>
          <w:rFonts w:cstheme="minorHAnsi"/>
        </w:rPr>
        <w:footnoteReference w:id="34"/>
      </w:r>
      <w:r w:rsidRPr="00C651AA">
        <w:rPr>
          <w:rFonts w:cstheme="minorHAnsi"/>
        </w:rPr>
        <w:t xml:space="preserve"> emerged in </w:t>
      </w:r>
      <w:r>
        <w:rPr>
          <w:rFonts w:cstheme="minorHAnsi"/>
        </w:rPr>
        <w:t>AIP-Rural</w:t>
      </w:r>
      <w:r w:rsidRPr="00C651AA">
        <w:rPr>
          <w:rFonts w:cstheme="minorHAnsi"/>
        </w:rPr>
        <w:t xml:space="preserve"> to form a diverse portfolio of interventions </w:t>
      </w:r>
      <w:r>
        <w:rPr>
          <w:rFonts w:cstheme="minorHAnsi"/>
        </w:rPr>
        <w:t>that aim to maximise</w:t>
      </w:r>
      <w:r w:rsidRPr="00C651AA">
        <w:rPr>
          <w:rFonts w:cstheme="minorHAnsi"/>
        </w:rPr>
        <w:t xml:space="preserve"> opportunities for achieving outreach targets and c</w:t>
      </w:r>
      <w:r>
        <w:rPr>
          <w:rFonts w:cstheme="minorHAnsi"/>
        </w:rPr>
        <w:t>ontribute</w:t>
      </w:r>
      <w:r w:rsidRPr="00C651AA">
        <w:rPr>
          <w:rFonts w:cstheme="minorHAnsi"/>
        </w:rPr>
        <w:t xml:space="preserve"> to systemic change</w:t>
      </w:r>
      <w:r>
        <w:rPr>
          <w:rFonts w:cstheme="minorHAnsi"/>
        </w:rPr>
        <w:t>.  Commodities can be added or dropped depending on opportunity and performance – a normal portfolio management approach described further in Annex 5</w:t>
      </w:r>
      <w:r w:rsidRPr="00C651AA">
        <w:rPr>
          <w:rFonts w:cstheme="minorHAnsi"/>
        </w:rPr>
        <w:t>.</w:t>
      </w:r>
    </w:p>
    <w:p w14:paraId="1F60AA39" w14:textId="4D8E086C" w:rsidR="004A19FB" w:rsidRDefault="004A19FB" w:rsidP="007A0995">
      <w:pPr>
        <w:pStyle w:val="BodyText"/>
      </w:pPr>
      <w:r w:rsidRPr="00973BE5">
        <w:rPr>
          <w:rFonts w:cstheme="minorHAnsi"/>
        </w:rPr>
        <w:t>PRISMA-2 will preserve AIP-</w:t>
      </w:r>
      <w:proofErr w:type="spellStart"/>
      <w:r w:rsidRPr="00973BE5">
        <w:rPr>
          <w:rFonts w:cstheme="minorHAnsi"/>
        </w:rPr>
        <w:t>Rural’s</w:t>
      </w:r>
      <w:proofErr w:type="spellEnd"/>
      <w:r w:rsidRPr="00973BE5">
        <w:rPr>
          <w:rFonts w:cstheme="minorHAnsi"/>
        </w:rPr>
        <w:t xml:space="preserve"> proven systems, whilst retaining a flexible and adaptive management approach that continues to develop and build on existing systems to manage new challenges in the future</w:t>
      </w:r>
      <w:r>
        <w:rPr>
          <w:rFonts w:cstheme="minorHAnsi"/>
        </w:rPr>
        <w:t xml:space="preserve">. </w:t>
      </w:r>
      <w:r w:rsidR="00133C97">
        <w:rPr>
          <w:rFonts w:cstheme="minorHAnsi"/>
        </w:rPr>
        <w:t>It will identify new opportunities to reach scale and systemic change and</w:t>
      </w:r>
      <w:r w:rsidR="00133C97" w:rsidRPr="00A71E88">
        <w:rPr>
          <w:rFonts w:cstheme="minorHAnsi"/>
        </w:rPr>
        <w:t xml:space="preserve"> continuously evolve and improve to retain </w:t>
      </w:r>
      <w:r w:rsidR="00133C97">
        <w:rPr>
          <w:rFonts w:cstheme="minorHAnsi"/>
        </w:rPr>
        <w:t>the Program’s</w:t>
      </w:r>
      <w:r w:rsidR="00133C97" w:rsidRPr="00A71E88">
        <w:rPr>
          <w:rFonts w:cstheme="minorHAnsi"/>
        </w:rPr>
        <w:t xml:space="preserve"> position at the forefront of</w:t>
      </w:r>
      <w:r w:rsidR="00133C97">
        <w:rPr>
          <w:rFonts w:cstheme="minorHAnsi"/>
        </w:rPr>
        <w:t xml:space="preserve"> MSD</w:t>
      </w:r>
      <w:r w:rsidR="00133C97" w:rsidRPr="00845FF7">
        <w:rPr>
          <w:rFonts w:cstheme="minorHAnsi"/>
        </w:rPr>
        <w:t xml:space="preserve"> innovation. </w:t>
      </w:r>
    </w:p>
    <w:p w14:paraId="642F18CF" w14:textId="5F45BCF0" w:rsidR="00CB3B49" w:rsidRPr="004A19FB" w:rsidRDefault="004A5A58" w:rsidP="004A19FB">
      <w:pPr>
        <w:pStyle w:val="Heading9"/>
      </w:pPr>
      <w:r>
        <w:t>Interventions</w:t>
      </w:r>
    </w:p>
    <w:p w14:paraId="7AF51B56" w14:textId="13347D1A" w:rsidR="008108A4" w:rsidRDefault="005034B9" w:rsidP="00CB3B49">
      <w:pPr>
        <w:pStyle w:val="BodyText"/>
        <w:rPr>
          <w:rFonts w:cstheme="minorHAnsi"/>
        </w:rPr>
      </w:pPr>
      <w:r w:rsidRPr="00D43874">
        <w:rPr>
          <w:rFonts w:cstheme="minorHAnsi"/>
        </w:rPr>
        <w:t xml:space="preserve">Using the </w:t>
      </w:r>
      <w:r w:rsidR="007577F6">
        <w:rPr>
          <w:rFonts w:cstheme="minorHAnsi"/>
        </w:rPr>
        <w:t xml:space="preserve">MSD </w:t>
      </w:r>
      <w:r w:rsidRPr="00D43874">
        <w:rPr>
          <w:rFonts w:cstheme="minorHAnsi"/>
        </w:rPr>
        <w:t xml:space="preserve">approach, </w:t>
      </w:r>
      <w:r w:rsidR="005D461A">
        <w:rPr>
          <w:rFonts w:cstheme="minorHAnsi"/>
        </w:rPr>
        <w:t>PRISMA-2</w:t>
      </w:r>
      <w:r w:rsidR="00EA2EF9" w:rsidRPr="00D43874">
        <w:rPr>
          <w:rFonts w:cstheme="minorHAnsi"/>
        </w:rPr>
        <w:t xml:space="preserve"> will </w:t>
      </w:r>
      <w:r>
        <w:rPr>
          <w:rFonts w:cstheme="minorHAnsi"/>
        </w:rPr>
        <w:t>achieve</w:t>
      </w:r>
      <w:r w:rsidR="00EA2EF9" w:rsidRPr="00D43874">
        <w:rPr>
          <w:rFonts w:cstheme="minorHAnsi"/>
        </w:rPr>
        <w:t xml:space="preserve"> its impact through </w:t>
      </w:r>
      <w:r w:rsidR="00981F8E" w:rsidRPr="00D43874">
        <w:rPr>
          <w:rFonts w:cstheme="minorHAnsi"/>
        </w:rPr>
        <w:t>the implementation of</w:t>
      </w:r>
      <w:r w:rsidR="006D4F76">
        <w:rPr>
          <w:rFonts w:cstheme="minorHAnsi"/>
        </w:rPr>
        <w:t xml:space="preserve"> a portfolio of</w:t>
      </w:r>
      <w:r w:rsidR="00981F8E" w:rsidRPr="00D43874">
        <w:rPr>
          <w:rFonts w:cstheme="minorHAnsi"/>
        </w:rPr>
        <w:t xml:space="preserve"> </w:t>
      </w:r>
      <w:r w:rsidR="00EA2EF9" w:rsidRPr="00D43874">
        <w:rPr>
          <w:rFonts w:cstheme="minorHAnsi"/>
        </w:rPr>
        <w:t>interventions</w:t>
      </w:r>
      <w:r w:rsidR="00312442">
        <w:rPr>
          <w:rFonts w:cstheme="minorHAnsi"/>
        </w:rPr>
        <w:t>. I</w:t>
      </w:r>
      <w:r w:rsidR="00981F8E" w:rsidRPr="00D43874">
        <w:rPr>
          <w:rFonts w:cstheme="minorHAnsi"/>
        </w:rPr>
        <w:t>n the case of AIP-Rural</w:t>
      </w:r>
      <w:r w:rsidR="00156434">
        <w:rPr>
          <w:rFonts w:cstheme="minorHAnsi"/>
        </w:rPr>
        <w:t>,</w:t>
      </w:r>
      <w:r w:rsidR="00981F8E" w:rsidRPr="00D43874">
        <w:rPr>
          <w:rFonts w:cstheme="minorHAnsi"/>
        </w:rPr>
        <w:t xml:space="preserve"> this </w:t>
      </w:r>
      <w:r w:rsidR="0052691B">
        <w:rPr>
          <w:rFonts w:cstheme="minorHAnsi"/>
        </w:rPr>
        <w:t>portfolio comprised</w:t>
      </w:r>
      <w:r w:rsidR="00F01433">
        <w:rPr>
          <w:rFonts w:cstheme="minorHAnsi"/>
        </w:rPr>
        <w:t xml:space="preserve"> almost </w:t>
      </w:r>
      <w:r w:rsidR="00981F8E" w:rsidRPr="00D43874">
        <w:rPr>
          <w:rFonts w:cstheme="minorHAnsi"/>
        </w:rPr>
        <w:t>100</w:t>
      </w:r>
      <w:r w:rsidR="0052691B">
        <w:rPr>
          <w:rFonts w:cstheme="minorHAnsi"/>
        </w:rPr>
        <w:t xml:space="preserve"> interventions.</w:t>
      </w:r>
      <w:r w:rsidR="00981F8E" w:rsidRPr="00D43874">
        <w:rPr>
          <w:rFonts w:cstheme="minorHAnsi"/>
        </w:rPr>
        <w:t xml:space="preserve"> E</w:t>
      </w:r>
      <w:r w:rsidR="00EA2EF9" w:rsidRPr="00D43874">
        <w:rPr>
          <w:rFonts w:cstheme="minorHAnsi"/>
        </w:rPr>
        <w:t xml:space="preserve">ach </w:t>
      </w:r>
      <w:r w:rsidR="00981F8E" w:rsidRPr="00D43874">
        <w:rPr>
          <w:rFonts w:cstheme="minorHAnsi"/>
        </w:rPr>
        <w:t>intervention</w:t>
      </w:r>
      <w:r w:rsidR="003E61B9">
        <w:rPr>
          <w:rFonts w:cstheme="minorHAnsi"/>
        </w:rPr>
        <w:t xml:space="preserve"> aim</w:t>
      </w:r>
      <w:r w:rsidR="00A73E4E">
        <w:rPr>
          <w:rFonts w:cstheme="minorHAnsi"/>
        </w:rPr>
        <w:t>s</w:t>
      </w:r>
      <w:r w:rsidR="00A210F6">
        <w:rPr>
          <w:rFonts w:cstheme="minorHAnsi"/>
        </w:rPr>
        <w:t xml:space="preserve"> to</w:t>
      </w:r>
      <w:r w:rsidR="00EA2EF9" w:rsidRPr="00D43874">
        <w:rPr>
          <w:rFonts w:cstheme="minorHAnsi"/>
        </w:rPr>
        <w:t xml:space="preserve"> introduc</w:t>
      </w:r>
      <w:r w:rsidR="00A210F6">
        <w:rPr>
          <w:rFonts w:cstheme="minorHAnsi"/>
        </w:rPr>
        <w:t>e</w:t>
      </w:r>
      <w:r w:rsidR="00EA2EF9" w:rsidRPr="00D43874">
        <w:rPr>
          <w:rFonts w:cstheme="minorHAnsi"/>
        </w:rPr>
        <w:t xml:space="preserve"> thousands of smallholder farmers to an innovation </w:t>
      </w:r>
      <w:r w:rsidR="00A73E4E">
        <w:rPr>
          <w:rFonts w:cstheme="minorHAnsi"/>
        </w:rPr>
        <w:t>designed to</w:t>
      </w:r>
      <w:r w:rsidR="00F01433">
        <w:rPr>
          <w:rFonts w:cstheme="minorHAnsi"/>
        </w:rPr>
        <w:t xml:space="preserve"> </w:t>
      </w:r>
      <w:r>
        <w:rPr>
          <w:rFonts w:cstheme="minorHAnsi"/>
        </w:rPr>
        <w:t xml:space="preserve">improve </w:t>
      </w:r>
      <w:r w:rsidR="006D4F76">
        <w:rPr>
          <w:rFonts w:cstheme="minorHAnsi"/>
        </w:rPr>
        <w:t>their</w:t>
      </w:r>
      <w:r>
        <w:rPr>
          <w:rFonts w:cstheme="minorHAnsi"/>
        </w:rPr>
        <w:t xml:space="preserve"> performance and ultimately </w:t>
      </w:r>
      <w:r w:rsidR="00EA2EF9" w:rsidRPr="00D43874">
        <w:rPr>
          <w:rFonts w:cstheme="minorHAnsi"/>
        </w:rPr>
        <w:t>result in a</w:t>
      </w:r>
      <w:r w:rsidR="00A73E4E">
        <w:rPr>
          <w:rFonts w:cstheme="minorHAnsi"/>
        </w:rPr>
        <w:t>n</w:t>
      </w:r>
      <w:r w:rsidR="00EA2EF9" w:rsidRPr="00D43874">
        <w:rPr>
          <w:rFonts w:cstheme="minorHAnsi"/>
        </w:rPr>
        <w:t xml:space="preserve"> </w:t>
      </w:r>
      <w:r w:rsidR="00F409D1">
        <w:rPr>
          <w:rFonts w:cstheme="minorHAnsi"/>
        </w:rPr>
        <w:t>income change</w:t>
      </w:r>
      <w:r w:rsidR="00A73E4E">
        <w:rPr>
          <w:rFonts w:cstheme="minorHAnsi"/>
        </w:rPr>
        <w:t xml:space="preserve"> of at least 30%</w:t>
      </w:r>
      <w:r w:rsidR="00F409D1">
        <w:rPr>
          <w:rFonts w:cstheme="minorHAnsi"/>
        </w:rPr>
        <w:t>.</w:t>
      </w:r>
      <w:r w:rsidR="000D3792">
        <w:rPr>
          <w:rFonts w:cstheme="minorHAnsi"/>
        </w:rPr>
        <w:t xml:space="preserve"> Continuing with this approach, </w:t>
      </w:r>
      <w:r w:rsidR="005D461A">
        <w:rPr>
          <w:rFonts w:cstheme="minorHAnsi"/>
        </w:rPr>
        <w:t>PRISMA-2</w:t>
      </w:r>
      <w:r w:rsidR="000D3792">
        <w:rPr>
          <w:rFonts w:cstheme="minorHAnsi"/>
        </w:rPr>
        <w:t xml:space="preserve"> </w:t>
      </w:r>
      <w:r w:rsidR="006D4F76">
        <w:rPr>
          <w:rFonts w:cstheme="minorHAnsi"/>
        </w:rPr>
        <w:t>innovation</w:t>
      </w:r>
      <w:r w:rsidR="000D3792">
        <w:rPr>
          <w:rFonts w:cstheme="minorHAnsi"/>
        </w:rPr>
        <w:t>s will</w:t>
      </w:r>
      <w:r w:rsidR="00EA2EF9" w:rsidRPr="00D43874">
        <w:rPr>
          <w:rFonts w:cstheme="minorHAnsi"/>
        </w:rPr>
        <w:t xml:space="preserve"> not </w:t>
      </w:r>
      <w:r w:rsidR="000D3792">
        <w:rPr>
          <w:rFonts w:cstheme="minorHAnsi"/>
        </w:rPr>
        <w:t xml:space="preserve">be </w:t>
      </w:r>
      <w:r w:rsidR="00EA2EF9" w:rsidRPr="00D43874">
        <w:rPr>
          <w:rFonts w:cstheme="minorHAnsi"/>
        </w:rPr>
        <w:t>delivered directly by the program but</w:t>
      </w:r>
      <w:r w:rsidR="004C7AE2">
        <w:rPr>
          <w:rFonts w:cstheme="minorHAnsi"/>
        </w:rPr>
        <w:t xml:space="preserve"> facilitated</w:t>
      </w:r>
      <w:r w:rsidR="00EA2EF9" w:rsidRPr="00D43874">
        <w:rPr>
          <w:rFonts w:cstheme="minorHAnsi"/>
        </w:rPr>
        <w:t xml:space="preserve"> through</w:t>
      </w:r>
      <w:r w:rsidR="006D4F76">
        <w:rPr>
          <w:rFonts w:cstheme="minorHAnsi"/>
        </w:rPr>
        <w:t xml:space="preserve"> partnerships with</w:t>
      </w:r>
      <w:r w:rsidR="00EA2EF9" w:rsidRPr="00D43874">
        <w:rPr>
          <w:rFonts w:cstheme="minorHAnsi"/>
        </w:rPr>
        <w:t xml:space="preserve"> private sector</w:t>
      </w:r>
      <w:r w:rsidR="00E42F0F">
        <w:rPr>
          <w:rFonts w:cstheme="minorHAnsi"/>
        </w:rPr>
        <w:t xml:space="preserve"> businesses</w:t>
      </w:r>
      <w:r w:rsidR="00EA2EF9" w:rsidRPr="00D43874">
        <w:rPr>
          <w:rFonts w:cstheme="minorHAnsi"/>
        </w:rPr>
        <w:t xml:space="preserve"> that see the delivery </w:t>
      </w:r>
      <w:r w:rsidR="006D4F76">
        <w:rPr>
          <w:rFonts w:cstheme="minorHAnsi"/>
        </w:rPr>
        <w:t>of</w:t>
      </w:r>
      <w:r w:rsidR="00F409D1">
        <w:rPr>
          <w:rFonts w:cstheme="minorHAnsi"/>
        </w:rPr>
        <w:t xml:space="preserve"> the</w:t>
      </w:r>
      <w:r w:rsidR="00EA2EF9" w:rsidRPr="00D43874">
        <w:rPr>
          <w:rFonts w:cstheme="minorHAnsi"/>
        </w:rPr>
        <w:t xml:space="preserve"> innovation </w:t>
      </w:r>
      <w:r w:rsidR="006D4F76">
        <w:rPr>
          <w:rFonts w:cstheme="minorHAnsi"/>
        </w:rPr>
        <w:t>as being in</w:t>
      </w:r>
      <w:r w:rsidR="00EA2EF9" w:rsidRPr="00D43874">
        <w:rPr>
          <w:rFonts w:cstheme="minorHAnsi"/>
        </w:rPr>
        <w:t xml:space="preserve"> their long</w:t>
      </w:r>
      <w:r w:rsidR="006D4F76">
        <w:rPr>
          <w:rFonts w:cstheme="minorHAnsi"/>
        </w:rPr>
        <w:t>-</w:t>
      </w:r>
      <w:r w:rsidR="00EA2EF9" w:rsidRPr="00D43874">
        <w:rPr>
          <w:rFonts w:cstheme="minorHAnsi"/>
        </w:rPr>
        <w:t xml:space="preserve">term commercial interest. </w:t>
      </w:r>
      <w:r w:rsidR="00694215" w:rsidRPr="00D43874">
        <w:rPr>
          <w:rFonts w:cstheme="minorHAnsi"/>
        </w:rPr>
        <w:t xml:space="preserve">The process of identifying suitable interventions </w:t>
      </w:r>
      <w:r w:rsidR="000D3792">
        <w:rPr>
          <w:rFonts w:cstheme="minorHAnsi"/>
        </w:rPr>
        <w:t xml:space="preserve">will </w:t>
      </w:r>
      <w:r w:rsidR="00694215" w:rsidRPr="00D43874">
        <w:rPr>
          <w:rFonts w:cstheme="minorHAnsi"/>
        </w:rPr>
        <w:t>begin by analysing</w:t>
      </w:r>
      <w:r w:rsidR="00FB2B90">
        <w:rPr>
          <w:rFonts w:cstheme="minorHAnsi"/>
        </w:rPr>
        <w:t xml:space="preserve"> market and</w:t>
      </w:r>
      <w:r w:rsidR="00694215" w:rsidRPr="00D43874">
        <w:rPr>
          <w:rFonts w:cstheme="minorHAnsi"/>
        </w:rPr>
        <w:t xml:space="preserve"> </w:t>
      </w:r>
      <w:r w:rsidR="00694215" w:rsidRPr="00D43874">
        <w:rPr>
          <w:rFonts w:cstheme="minorHAnsi"/>
        </w:rPr>
        <w:lastRenderedPageBreak/>
        <w:t>farmer constraints in specific locations, identifying pragmatic solutions – ‘innovations’</w:t>
      </w:r>
      <w:r w:rsidR="00973BE5">
        <w:rPr>
          <w:rFonts w:cstheme="minorHAnsi"/>
        </w:rPr>
        <w:t xml:space="preserve"> (see </w:t>
      </w:r>
      <w:r w:rsidR="00E9550D">
        <w:rPr>
          <w:rFonts w:cstheme="minorHAnsi"/>
        </w:rPr>
        <w:t xml:space="preserve">Innovation </w:t>
      </w:r>
      <w:r w:rsidR="00973BE5">
        <w:rPr>
          <w:rFonts w:cstheme="minorHAnsi"/>
        </w:rPr>
        <w:t>section)</w:t>
      </w:r>
      <w:r w:rsidR="00694215" w:rsidRPr="00D43874">
        <w:rPr>
          <w:rFonts w:cstheme="minorHAnsi"/>
        </w:rPr>
        <w:t xml:space="preserve"> – to </w:t>
      </w:r>
      <w:r w:rsidR="00694215" w:rsidRPr="004C7AE2">
        <w:rPr>
          <w:rFonts w:cstheme="minorHAnsi"/>
        </w:rPr>
        <w:t>these</w:t>
      </w:r>
      <w:r w:rsidR="00694215" w:rsidRPr="00D43874">
        <w:rPr>
          <w:rFonts w:cstheme="minorHAnsi"/>
        </w:rPr>
        <w:t xml:space="preserve"> constraint</w:t>
      </w:r>
      <w:r w:rsidR="00694215" w:rsidRPr="004C7AE2">
        <w:rPr>
          <w:rFonts w:cstheme="minorHAnsi"/>
        </w:rPr>
        <w:t>s</w:t>
      </w:r>
      <w:r w:rsidR="00694215" w:rsidRPr="00D43874">
        <w:rPr>
          <w:rFonts w:cstheme="minorHAnsi"/>
        </w:rPr>
        <w:t xml:space="preserve"> (</w:t>
      </w:r>
      <w:r w:rsidR="00694215" w:rsidRPr="004C7AE2">
        <w:rPr>
          <w:rFonts w:cstheme="minorHAnsi"/>
        </w:rPr>
        <w:t xml:space="preserve">e.g. </w:t>
      </w:r>
      <w:r w:rsidR="00694215" w:rsidRPr="00D43874">
        <w:rPr>
          <w:rFonts w:cstheme="minorHAnsi"/>
        </w:rPr>
        <w:t>b</w:t>
      </w:r>
      <w:r w:rsidR="00E42F0F">
        <w:rPr>
          <w:rFonts w:cstheme="minorHAnsi"/>
        </w:rPr>
        <w:t xml:space="preserve">etter seeds, new information, </w:t>
      </w:r>
      <w:r w:rsidR="00694215" w:rsidRPr="00D43874">
        <w:rPr>
          <w:rFonts w:cstheme="minorHAnsi"/>
        </w:rPr>
        <w:t>new process</w:t>
      </w:r>
      <w:r w:rsidR="00A73E4E">
        <w:rPr>
          <w:rFonts w:cstheme="minorHAnsi"/>
        </w:rPr>
        <w:t>es</w:t>
      </w:r>
      <w:r w:rsidR="00694215" w:rsidRPr="004C7AE2">
        <w:rPr>
          <w:rFonts w:cstheme="minorHAnsi"/>
        </w:rPr>
        <w:t>,</w:t>
      </w:r>
      <w:r w:rsidR="00694215" w:rsidRPr="00D43874">
        <w:rPr>
          <w:rFonts w:cstheme="minorHAnsi"/>
        </w:rPr>
        <w:t xml:space="preserve"> etc.), and </w:t>
      </w:r>
      <w:r w:rsidR="00664D04">
        <w:rPr>
          <w:rFonts w:cstheme="minorHAnsi"/>
        </w:rPr>
        <w:t>then finding private sector businesse</w:t>
      </w:r>
      <w:r w:rsidR="00694215" w:rsidRPr="00D43874">
        <w:rPr>
          <w:rFonts w:cstheme="minorHAnsi"/>
        </w:rPr>
        <w:t>s willing to co-invest in exploiting this new opportunity.</w:t>
      </w:r>
      <w:r w:rsidR="00FB2B90" w:rsidRPr="00FB2B90">
        <w:rPr>
          <w:rFonts w:cstheme="minorHAnsi"/>
        </w:rPr>
        <w:t xml:space="preserve"> </w:t>
      </w:r>
      <w:r w:rsidR="00FB2B90">
        <w:rPr>
          <w:rFonts w:cstheme="minorHAnsi"/>
        </w:rPr>
        <w:t>A</w:t>
      </w:r>
      <w:r w:rsidR="00FB2B90" w:rsidRPr="00C651AA">
        <w:rPr>
          <w:rFonts w:cstheme="minorHAnsi"/>
        </w:rPr>
        <w:t xml:space="preserve"> new intervention</w:t>
      </w:r>
      <w:r w:rsidR="00FB2B90">
        <w:rPr>
          <w:rFonts w:cstheme="minorHAnsi"/>
        </w:rPr>
        <w:t xml:space="preserve"> partnership </w:t>
      </w:r>
      <w:r w:rsidR="000D3792">
        <w:rPr>
          <w:rFonts w:cstheme="minorHAnsi"/>
        </w:rPr>
        <w:t xml:space="preserve">will </w:t>
      </w:r>
      <w:r w:rsidR="00FB2B90">
        <w:rPr>
          <w:rFonts w:cstheme="minorHAnsi"/>
        </w:rPr>
        <w:t xml:space="preserve">then </w:t>
      </w:r>
      <w:r w:rsidR="000D3792">
        <w:rPr>
          <w:rFonts w:cstheme="minorHAnsi"/>
        </w:rPr>
        <w:t xml:space="preserve">be </w:t>
      </w:r>
      <w:r w:rsidR="00FB2B90">
        <w:rPr>
          <w:rFonts w:cstheme="minorHAnsi"/>
        </w:rPr>
        <w:t xml:space="preserve">developed in four </w:t>
      </w:r>
      <w:r w:rsidR="00FB2B90" w:rsidRPr="00C651AA">
        <w:rPr>
          <w:rFonts w:cstheme="minorHAnsi"/>
        </w:rPr>
        <w:t>s</w:t>
      </w:r>
      <w:r w:rsidR="00FB2B90">
        <w:rPr>
          <w:rFonts w:cstheme="minorHAnsi"/>
        </w:rPr>
        <w:t>teps:</w:t>
      </w:r>
      <w:r w:rsidR="00FB2B90" w:rsidRPr="00C651AA">
        <w:rPr>
          <w:rFonts w:cstheme="minorHAnsi"/>
        </w:rPr>
        <w:t xml:space="preserve"> </w:t>
      </w:r>
      <w:r w:rsidR="00763643">
        <w:rPr>
          <w:rFonts w:cstheme="minorHAnsi"/>
        </w:rPr>
        <w:t xml:space="preserve"> </w:t>
      </w:r>
      <w:r w:rsidR="003E61B9">
        <w:rPr>
          <w:rFonts w:cstheme="minorHAnsi"/>
        </w:rPr>
        <w:t>1) Intervention concept note, 2) Intervention plan, 3)</w:t>
      </w:r>
      <w:r w:rsidR="00764FCB">
        <w:rPr>
          <w:rFonts w:cstheme="minorHAnsi"/>
        </w:rPr>
        <w:t xml:space="preserve"> </w:t>
      </w:r>
      <w:r w:rsidR="003E61B9">
        <w:rPr>
          <w:rFonts w:cstheme="minorHAnsi"/>
        </w:rPr>
        <w:t xml:space="preserve">Partner </w:t>
      </w:r>
      <w:r w:rsidR="00571894">
        <w:rPr>
          <w:rFonts w:cstheme="minorHAnsi"/>
        </w:rPr>
        <w:t>MOUs</w:t>
      </w:r>
      <w:r w:rsidR="003E61B9">
        <w:rPr>
          <w:rFonts w:cstheme="minorHAnsi"/>
        </w:rPr>
        <w:t>, 4) I</w:t>
      </w:r>
      <w:r w:rsidR="00FB2B90" w:rsidRPr="00C651AA">
        <w:rPr>
          <w:rFonts w:cstheme="minorHAnsi"/>
        </w:rPr>
        <w:t>ntervention steering document</w:t>
      </w:r>
      <w:r w:rsidR="00FB2B90">
        <w:rPr>
          <w:rFonts w:cstheme="minorHAnsi"/>
        </w:rPr>
        <w:t xml:space="preserve">. </w:t>
      </w:r>
      <w:r w:rsidR="00694215" w:rsidRPr="00D43874">
        <w:rPr>
          <w:rFonts w:cstheme="minorHAnsi"/>
        </w:rPr>
        <w:t xml:space="preserve"> If the solution is effective, the </w:t>
      </w:r>
      <w:r w:rsidR="007577F6">
        <w:rPr>
          <w:rFonts w:cstheme="minorHAnsi"/>
        </w:rPr>
        <w:t>P</w:t>
      </w:r>
      <w:r w:rsidR="00694215" w:rsidRPr="00D43874">
        <w:rPr>
          <w:rFonts w:cstheme="minorHAnsi"/>
        </w:rPr>
        <w:t>rogram</w:t>
      </w:r>
      <w:r w:rsidR="000D3792">
        <w:rPr>
          <w:rFonts w:cstheme="minorHAnsi"/>
        </w:rPr>
        <w:t xml:space="preserve"> will</w:t>
      </w:r>
      <w:r w:rsidR="00694215" w:rsidRPr="00D43874">
        <w:rPr>
          <w:rFonts w:cstheme="minorHAnsi"/>
        </w:rPr>
        <w:t xml:space="preserve"> seek to</w:t>
      </w:r>
      <w:r w:rsidR="005C2288">
        <w:rPr>
          <w:rFonts w:cstheme="minorHAnsi"/>
        </w:rPr>
        <w:t xml:space="preserve"> </w:t>
      </w:r>
      <w:r w:rsidR="00694215" w:rsidRPr="00D43874">
        <w:rPr>
          <w:rFonts w:cstheme="minorHAnsi"/>
        </w:rPr>
        <w:t xml:space="preserve">scale it up through other </w:t>
      </w:r>
      <w:r w:rsidR="00E42F0F">
        <w:rPr>
          <w:rFonts w:cstheme="minorHAnsi"/>
        </w:rPr>
        <w:t>businesses</w:t>
      </w:r>
      <w:r w:rsidR="00694215" w:rsidRPr="00D43874">
        <w:rPr>
          <w:rFonts w:cstheme="minorHAnsi"/>
        </w:rPr>
        <w:t xml:space="preserve"> that</w:t>
      </w:r>
      <w:r w:rsidR="003E61B9">
        <w:rPr>
          <w:rFonts w:cstheme="minorHAnsi"/>
        </w:rPr>
        <w:t xml:space="preserve"> recognis</w:t>
      </w:r>
      <w:r w:rsidR="00694215" w:rsidRPr="00D43874">
        <w:rPr>
          <w:rFonts w:cstheme="minorHAnsi"/>
        </w:rPr>
        <w:t xml:space="preserve">e the market potential.  </w:t>
      </w:r>
      <w:r w:rsidR="00694215">
        <w:rPr>
          <w:rFonts w:cstheme="minorHAnsi"/>
        </w:rPr>
        <w:t xml:space="preserve">Box </w:t>
      </w:r>
      <w:r w:rsidR="001D3321">
        <w:rPr>
          <w:rFonts w:cstheme="minorHAnsi"/>
        </w:rPr>
        <w:t>2</w:t>
      </w:r>
      <w:r w:rsidR="00694215">
        <w:rPr>
          <w:rFonts w:cstheme="minorHAnsi"/>
        </w:rPr>
        <w:t xml:space="preserve"> </w:t>
      </w:r>
      <w:r w:rsidR="00CB3B49">
        <w:rPr>
          <w:rFonts w:cstheme="minorHAnsi"/>
        </w:rPr>
        <w:t>provides</w:t>
      </w:r>
      <w:r w:rsidR="00694215" w:rsidRPr="006411AE">
        <w:rPr>
          <w:rFonts w:cstheme="minorHAnsi"/>
        </w:rPr>
        <w:t xml:space="preserve"> a</w:t>
      </w:r>
      <w:r w:rsidR="00CB3B49">
        <w:rPr>
          <w:rFonts w:cstheme="minorHAnsi"/>
        </w:rPr>
        <w:t xml:space="preserve">n </w:t>
      </w:r>
      <w:r w:rsidR="00694215" w:rsidRPr="00D43874">
        <w:rPr>
          <w:rFonts w:cstheme="minorHAnsi"/>
        </w:rPr>
        <w:t>example of how this</w:t>
      </w:r>
      <w:r w:rsidR="00694215">
        <w:rPr>
          <w:rFonts w:cstheme="minorHAnsi"/>
        </w:rPr>
        <w:t xml:space="preserve"> facilitation process</w:t>
      </w:r>
      <w:r w:rsidR="005C2288">
        <w:rPr>
          <w:rFonts w:cstheme="minorHAnsi"/>
        </w:rPr>
        <w:t xml:space="preserve"> unfolds in practice.</w:t>
      </w:r>
    </w:p>
    <w:p w14:paraId="1FD60938" w14:textId="7D5509AC" w:rsidR="00CB3B49" w:rsidRDefault="00FE54D6" w:rsidP="00CB3B49">
      <w:pPr>
        <w:pStyle w:val="BodyText"/>
        <w:rPr>
          <w:rFonts w:cstheme="minorHAnsi"/>
        </w:rPr>
      </w:pPr>
      <w:r>
        <w:rPr>
          <w:rFonts w:cstheme="minorHAnsi"/>
        </w:rPr>
        <w:t xml:space="preserve">PRISMA-2 will also </w:t>
      </w:r>
      <w:r w:rsidR="00A71288">
        <w:rPr>
          <w:rFonts w:cstheme="minorHAnsi"/>
        </w:rPr>
        <w:t xml:space="preserve">ensure social inclusion </w:t>
      </w:r>
      <w:r w:rsidR="00133C97">
        <w:rPr>
          <w:rFonts w:cstheme="minorHAnsi"/>
        </w:rPr>
        <w:t xml:space="preserve">in its interventions </w:t>
      </w:r>
      <w:proofErr w:type="spellStart"/>
      <w:r w:rsidR="00A71288">
        <w:rPr>
          <w:rFonts w:cstheme="minorHAnsi"/>
        </w:rPr>
        <w:t>eg</w:t>
      </w:r>
      <w:proofErr w:type="spellEnd"/>
      <w:r w:rsidR="00A71288">
        <w:rPr>
          <w:rFonts w:cstheme="minorHAnsi"/>
        </w:rPr>
        <w:t>. increasing</w:t>
      </w:r>
      <w:r>
        <w:rPr>
          <w:rFonts w:cstheme="minorHAnsi"/>
        </w:rPr>
        <w:t xml:space="preserve"> women’s economic empowerment (see Box 7, Annex 10).</w:t>
      </w:r>
      <w:r w:rsidR="0075622F">
        <w:rPr>
          <w:rFonts w:cstheme="minorHAnsi"/>
        </w:rPr>
        <w:t xml:space="preserve"> Sound analysis of the specific </w:t>
      </w:r>
      <w:r w:rsidR="00A71288">
        <w:rPr>
          <w:rFonts w:cstheme="minorHAnsi"/>
        </w:rPr>
        <w:t xml:space="preserve">role that women play in the value chain and the </w:t>
      </w:r>
      <w:r w:rsidR="0075622F">
        <w:rPr>
          <w:rFonts w:cstheme="minorHAnsi"/>
        </w:rPr>
        <w:t xml:space="preserve">constraints </w:t>
      </w:r>
      <w:r w:rsidR="00A71288">
        <w:rPr>
          <w:rFonts w:cstheme="minorHAnsi"/>
        </w:rPr>
        <w:t>they face</w:t>
      </w:r>
      <w:r w:rsidR="0075622F">
        <w:rPr>
          <w:rFonts w:cstheme="minorHAnsi"/>
        </w:rPr>
        <w:t xml:space="preserve"> (which changes per </w:t>
      </w:r>
      <w:r w:rsidR="00A71288">
        <w:rPr>
          <w:rFonts w:cstheme="minorHAnsi"/>
        </w:rPr>
        <w:t xml:space="preserve">commodity, per </w:t>
      </w:r>
      <w:r w:rsidR="0075622F">
        <w:rPr>
          <w:rFonts w:cstheme="minorHAnsi"/>
        </w:rPr>
        <w:t>village)</w:t>
      </w:r>
      <w:r w:rsidR="00A71288">
        <w:rPr>
          <w:rFonts w:cstheme="minorHAnsi"/>
        </w:rPr>
        <w:t xml:space="preserve"> will inform every step of the intervention portfolio management</w:t>
      </w:r>
      <w:r w:rsidR="0075622F">
        <w:rPr>
          <w:rFonts w:cstheme="minorHAnsi"/>
        </w:rPr>
        <w:t xml:space="preserve"> </w:t>
      </w:r>
      <w:r w:rsidR="00A71288">
        <w:rPr>
          <w:rFonts w:cstheme="minorHAnsi"/>
        </w:rPr>
        <w:t>cycle</w:t>
      </w:r>
      <w:r w:rsidR="0075622F">
        <w:rPr>
          <w:rFonts w:cstheme="minorHAnsi"/>
        </w:rPr>
        <w:t>.</w:t>
      </w:r>
      <w:r w:rsidR="00A71288">
        <w:rPr>
          <w:rFonts w:cstheme="minorHAnsi"/>
        </w:rPr>
        <w:t xml:space="preserve"> Focusing on gender is not just a tick the box exercise; experience in AIP-Rural shows that female focused interventions can be the most successful in terms of outreach and income increase (see Box 1). As the Program does not directly work with farmers, the approach will often focus on providing evidence to convince </w:t>
      </w:r>
      <w:r w:rsidR="008D1BE1">
        <w:rPr>
          <w:rFonts w:cstheme="minorHAnsi"/>
        </w:rPr>
        <w:t>bus</w:t>
      </w:r>
      <w:r w:rsidR="008108A4">
        <w:rPr>
          <w:rFonts w:cstheme="minorHAnsi"/>
        </w:rPr>
        <w:t xml:space="preserve">iness partners that women are </w:t>
      </w:r>
      <w:r w:rsidR="002820A6">
        <w:rPr>
          <w:rFonts w:cstheme="minorHAnsi"/>
        </w:rPr>
        <w:t>market players</w:t>
      </w:r>
      <w:r w:rsidR="008D1BE1">
        <w:rPr>
          <w:rFonts w:cstheme="minorHAnsi"/>
        </w:rPr>
        <w:t xml:space="preserve">, and </w:t>
      </w:r>
      <w:r w:rsidR="00A71288">
        <w:rPr>
          <w:rFonts w:cstheme="minorHAnsi"/>
        </w:rPr>
        <w:t xml:space="preserve">helping </w:t>
      </w:r>
      <w:r w:rsidR="008108A4">
        <w:rPr>
          <w:rFonts w:cstheme="minorHAnsi"/>
        </w:rPr>
        <w:t>partners</w:t>
      </w:r>
      <w:r w:rsidR="00A71288">
        <w:rPr>
          <w:rFonts w:cstheme="minorHAnsi"/>
        </w:rPr>
        <w:t xml:space="preserve"> to </w:t>
      </w:r>
      <w:r w:rsidR="002820A6">
        <w:rPr>
          <w:rFonts w:cstheme="minorHAnsi"/>
        </w:rPr>
        <w:t>reorientate</w:t>
      </w:r>
      <w:r w:rsidR="008D1BE1">
        <w:rPr>
          <w:rFonts w:cstheme="minorHAnsi"/>
        </w:rPr>
        <w:t xml:space="preserve"> their business and marketing approaches to recognise this </w:t>
      </w:r>
      <w:proofErr w:type="spellStart"/>
      <w:r w:rsidR="008108A4">
        <w:rPr>
          <w:rFonts w:cstheme="minorHAnsi"/>
        </w:rPr>
        <w:t>eg</w:t>
      </w:r>
      <w:proofErr w:type="spellEnd"/>
      <w:r w:rsidR="008108A4">
        <w:rPr>
          <w:rFonts w:cstheme="minorHAnsi"/>
        </w:rPr>
        <w:t xml:space="preserve">. </w:t>
      </w:r>
      <w:proofErr w:type="gramStart"/>
      <w:r w:rsidR="008108A4">
        <w:rPr>
          <w:rFonts w:cstheme="minorHAnsi"/>
        </w:rPr>
        <w:t>through</w:t>
      </w:r>
      <w:proofErr w:type="gramEnd"/>
      <w:r w:rsidR="008108A4">
        <w:rPr>
          <w:rFonts w:cstheme="minorHAnsi"/>
        </w:rPr>
        <w:t xml:space="preserve"> hiring women agents</w:t>
      </w:r>
      <w:r w:rsidR="00A71288">
        <w:rPr>
          <w:rFonts w:cstheme="minorHAnsi"/>
        </w:rPr>
        <w:t xml:space="preserve"> or</w:t>
      </w:r>
      <w:r w:rsidR="008D1BE1">
        <w:rPr>
          <w:rFonts w:cstheme="minorHAnsi"/>
        </w:rPr>
        <w:t xml:space="preserve"> targeting women in marketing and GAP</w:t>
      </w:r>
      <w:r w:rsidR="00A71288">
        <w:rPr>
          <w:rFonts w:cstheme="minorHAnsi"/>
        </w:rPr>
        <w:t xml:space="preserve"> training</w:t>
      </w:r>
      <w:r w:rsidR="008D1BE1">
        <w:rPr>
          <w:rFonts w:cstheme="minorHAnsi"/>
        </w:rPr>
        <w:t>.</w:t>
      </w:r>
    </w:p>
    <w:p w14:paraId="2C048A1A" w14:textId="0768D457" w:rsidR="004A5A58" w:rsidRPr="004A5A58" w:rsidRDefault="004A5A58" w:rsidP="004A5A58">
      <w:pPr>
        <w:pStyle w:val="Heading9"/>
      </w:pPr>
      <w:r>
        <w:t>Thematic Areas</w:t>
      </w:r>
      <w:r w:rsidR="00DA27DE">
        <w:t xml:space="preserve"> and </w:t>
      </w:r>
      <w:r w:rsidR="00664D04">
        <w:t>P</w:t>
      </w:r>
      <w:r w:rsidR="00DA27DE">
        <w:t xml:space="preserve">ortfolio </w:t>
      </w:r>
      <w:r w:rsidR="00664D04">
        <w:t>M</w:t>
      </w:r>
      <w:r w:rsidR="00DA27DE">
        <w:t>anagement</w:t>
      </w:r>
    </w:p>
    <w:p w14:paraId="24744C10" w14:textId="2FEB2613" w:rsidR="00265CF6" w:rsidRDefault="00265CF6" w:rsidP="00265CF6">
      <w:pPr>
        <w:pStyle w:val="BodyText"/>
        <w:rPr>
          <w:rFonts w:cstheme="minorHAnsi"/>
        </w:rPr>
      </w:pPr>
      <w:r>
        <w:rPr>
          <w:rFonts w:cstheme="minorHAnsi"/>
        </w:rPr>
        <w:t>PRISMA-</w:t>
      </w:r>
      <w:r w:rsidRPr="00A73E4E">
        <w:rPr>
          <w:rFonts w:cstheme="minorHAnsi"/>
        </w:rPr>
        <w:t xml:space="preserve">2 </w:t>
      </w:r>
      <w:r>
        <w:rPr>
          <w:rFonts w:cstheme="minorHAnsi"/>
        </w:rPr>
        <w:t xml:space="preserve">interventions will </w:t>
      </w:r>
      <w:r w:rsidRPr="00A73E4E">
        <w:rPr>
          <w:rFonts w:cstheme="minorHAnsi"/>
        </w:rPr>
        <w:t xml:space="preserve">focus on </w:t>
      </w:r>
      <w:r>
        <w:rPr>
          <w:rFonts w:cstheme="minorHAnsi"/>
        </w:rPr>
        <w:t>agriculture, horticulture, livestock and aquaculture where they align with the program objectives</w:t>
      </w:r>
      <w:r w:rsidRPr="00A73E4E">
        <w:rPr>
          <w:rFonts w:cstheme="minorHAnsi"/>
        </w:rPr>
        <w:t xml:space="preserve">, based on analysis of pro-poor relevance, </w:t>
      </w:r>
      <w:r>
        <w:rPr>
          <w:rFonts w:cstheme="minorHAnsi"/>
        </w:rPr>
        <w:t xml:space="preserve">market </w:t>
      </w:r>
      <w:r w:rsidRPr="00A73E4E">
        <w:rPr>
          <w:rFonts w:cstheme="minorHAnsi"/>
        </w:rPr>
        <w:t xml:space="preserve">opportunity and </w:t>
      </w:r>
      <w:r>
        <w:rPr>
          <w:rFonts w:cstheme="minorHAnsi"/>
        </w:rPr>
        <w:t xml:space="preserve">technical </w:t>
      </w:r>
      <w:r w:rsidRPr="00A73E4E">
        <w:rPr>
          <w:rFonts w:cstheme="minorHAnsi"/>
        </w:rPr>
        <w:t xml:space="preserve">feasibility of addressing performance </w:t>
      </w:r>
      <w:r>
        <w:rPr>
          <w:rFonts w:cstheme="minorHAnsi"/>
        </w:rPr>
        <w:t xml:space="preserve">constraints. </w:t>
      </w:r>
      <w:r w:rsidR="00EB5D54">
        <w:rPr>
          <w:rFonts w:cstheme="minorHAnsi"/>
        </w:rPr>
        <w:t>Experience from AIP-Rural has shown that impact and value for money is greater where a program has the flexibility to devise fit-for-purpose solutions, rather than being constrained by a specific thematic focus.</w:t>
      </w:r>
    </w:p>
    <w:p w14:paraId="1C96C04F" w14:textId="6CD51BC2" w:rsidR="00265CF6" w:rsidRDefault="00265CF6" w:rsidP="00265CF6">
      <w:pPr>
        <w:pStyle w:val="BodyText"/>
        <w:rPr>
          <w:rFonts w:cstheme="minorHAnsi"/>
        </w:rPr>
      </w:pPr>
      <w:r>
        <w:rPr>
          <w:rFonts w:cstheme="minorHAnsi"/>
        </w:rPr>
        <w:t>PRISMA-2 will work opportunistically across the thematic areas to identify and develop interventions.  AIP-Rural partnerships and innovations in cropping, livestock</w:t>
      </w:r>
      <w:r w:rsidR="00DD426E">
        <w:rPr>
          <w:rFonts w:cstheme="minorHAnsi"/>
        </w:rPr>
        <w:t>,</w:t>
      </w:r>
      <w:r>
        <w:rPr>
          <w:rFonts w:cstheme="minorHAnsi"/>
        </w:rPr>
        <w:t xml:space="preserve"> </w:t>
      </w:r>
      <w:proofErr w:type="gramStart"/>
      <w:r>
        <w:rPr>
          <w:rFonts w:cstheme="minorHAnsi"/>
        </w:rPr>
        <w:t>horticulture</w:t>
      </w:r>
      <w:proofErr w:type="gramEnd"/>
      <w:r w:rsidR="00DD426E">
        <w:rPr>
          <w:rFonts w:cstheme="minorHAnsi"/>
        </w:rPr>
        <w:t xml:space="preserve"> and aquaculture</w:t>
      </w:r>
      <w:r>
        <w:rPr>
          <w:rFonts w:cstheme="minorHAnsi"/>
        </w:rPr>
        <w:t xml:space="preserve"> systems provide a sound starting point. New sub-sectors (</w:t>
      </w:r>
      <w:r w:rsidR="007577F6">
        <w:rPr>
          <w:rFonts w:cstheme="minorHAnsi"/>
        </w:rPr>
        <w:t>e.g.</w:t>
      </w:r>
      <w:r>
        <w:rPr>
          <w:rFonts w:cstheme="minorHAnsi"/>
        </w:rPr>
        <w:t xml:space="preserve"> </w:t>
      </w:r>
      <w:proofErr w:type="spellStart"/>
      <w:r>
        <w:rPr>
          <w:rFonts w:cstheme="minorHAnsi"/>
        </w:rPr>
        <w:t>agri</w:t>
      </w:r>
      <w:proofErr w:type="spellEnd"/>
      <w:r>
        <w:rPr>
          <w:rFonts w:cstheme="minorHAnsi"/>
        </w:rPr>
        <w:t xml:space="preserve">-processing innovations or new commodities) or locations within </w:t>
      </w:r>
      <w:r w:rsidR="0048223F">
        <w:rPr>
          <w:rFonts w:cstheme="minorHAnsi"/>
        </w:rPr>
        <w:t>target</w:t>
      </w:r>
      <w:r>
        <w:rPr>
          <w:rFonts w:cstheme="minorHAnsi"/>
        </w:rPr>
        <w:t xml:space="preserve"> provinces are anticipate</w:t>
      </w:r>
      <w:r w:rsidR="007577F6">
        <w:rPr>
          <w:rFonts w:cstheme="minorHAnsi"/>
        </w:rPr>
        <w:t>d to be added to the portfolio.</w:t>
      </w:r>
      <w:r>
        <w:rPr>
          <w:rFonts w:cstheme="minorHAnsi"/>
        </w:rPr>
        <w:t xml:space="preserve"> </w:t>
      </w:r>
      <w:r w:rsidRPr="00A73E4E">
        <w:rPr>
          <w:rFonts w:cstheme="minorHAnsi"/>
        </w:rPr>
        <w:t>The types of solution</w:t>
      </w:r>
      <w:r>
        <w:rPr>
          <w:rFonts w:cstheme="minorHAnsi"/>
        </w:rPr>
        <w:t>s</w:t>
      </w:r>
      <w:r w:rsidRPr="00A73E4E">
        <w:rPr>
          <w:rFonts w:cstheme="minorHAnsi"/>
        </w:rPr>
        <w:t xml:space="preserve"> may </w:t>
      </w:r>
      <w:r>
        <w:rPr>
          <w:rFonts w:cstheme="minorHAnsi"/>
        </w:rPr>
        <w:t>include</w:t>
      </w:r>
      <w:r w:rsidRPr="00A73E4E">
        <w:rPr>
          <w:rFonts w:cstheme="minorHAnsi"/>
        </w:rPr>
        <w:t xml:space="preserve"> </w:t>
      </w:r>
      <w:r>
        <w:rPr>
          <w:rFonts w:cstheme="minorHAnsi"/>
        </w:rPr>
        <w:t>new</w:t>
      </w:r>
      <w:r w:rsidRPr="00A73E4E">
        <w:rPr>
          <w:rFonts w:cstheme="minorHAnsi"/>
        </w:rPr>
        <w:t xml:space="preserve"> inputs</w:t>
      </w:r>
      <w:r>
        <w:rPr>
          <w:rFonts w:cstheme="minorHAnsi"/>
        </w:rPr>
        <w:t xml:space="preserve"> (</w:t>
      </w:r>
      <w:r w:rsidR="00EB5D54">
        <w:rPr>
          <w:rFonts w:cstheme="minorHAnsi"/>
        </w:rPr>
        <w:t>e.g.</w:t>
      </w:r>
      <w:r w:rsidRPr="00A73E4E">
        <w:rPr>
          <w:rFonts w:cstheme="minorHAnsi"/>
        </w:rPr>
        <w:t xml:space="preserve"> finance</w:t>
      </w:r>
      <w:r w:rsidR="007577F6">
        <w:rPr>
          <w:rFonts w:cstheme="minorHAnsi"/>
        </w:rPr>
        <w:t xml:space="preserve">, </w:t>
      </w:r>
      <w:r w:rsidRPr="00A73E4E">
        <w:rPr>
          <w:rFonts w:cstheme="minorHAnsi"/>
        </w:rPr>
        <w:t>knowledge</w:t>
      </w:r>
      <w:r w:rsidR="007577F6">
        <w:rPr>
          <w:rFonts w:cstheme="minorHAnsi"/>
        </w:rPr>
        <w:t xml:space="preserve">, </w:t>
      </w:r>
      <w:r>
        <w:rPr>
          <w:rFonts w:cstheme="minorHAnsi"/>
        </w:rPr>
        <w:t xml:space="preserve">seeds, fertiliser, </w:t>
      </w:r>
      <w:proofErr w:type="spellStart"/>
      <w:r>
        <w:rPr>
          <w:rFonts w:cstheme="minorHAnsi"/>
        </w:rPr>
        <w:t>agri</w:t>
      </w:r>
      <w:proofErr w:type="spellEnd"/>
      <w:r>
        <w:rPr>
          <w:rFonts w:cstheme="minorHAnsi"/>
        </w:rPr>
        <w:t>-chemicals</w:t>
      </w:r>
      <w:r w:rsidR="00EB5D54">
        <w:rPr>
          <w:rFonts w:cstheme="minorHAnsi"/>
        </w:rPr>
        <w:t>, irrigation</w:t>
      </w:r>
      <w:r w:rsidRPr="00A73E4E">
        <w:rPr>
          <w:rFonts w:cstheme="minorHAnsi"/>
        </w:rPr>
        <w:t xml:space="preserve">) </w:t>
      </w:r>
      <w:r w:rsidR="00EB5D54">
        <w:rPr>
          <w:rFonts w:cstheme="minorHAnsi"/>
        </w:rPr>
        <w:t xml:space="preserve">or </w:t>
      </w:r>
      <w:r w:rsidRPr="00A73E4E">
        <w:rPr>
          <w:rFonts w:cstheme="minorHAnsi"/>
        </w:rPr>
        <w:t xml:space="preserve">different </w:t>
      </w:r>
      <w:r>
        <w:rPr>
          <w:rFonts w:cstheme="minorHAnsi"/>
        </w:rPr>
        <w:t>ways of</w:t>
      </w:r>
      <w:r w:rsidRPr="00A73E4E">
        <w:rPr>
          <w:rFonts w:cstheme="minorHAnsi"/>
        </w:rPr>
        <w:t xml:space="preserve"> engaging with farmers (</w:t>
      </w:r>
      <w:r w:rsidR="00EB5D54">
        <w:rPr>
          <w:rFonts w:cstheme="minorHAnsi"/>
        </w:rPr>
        <w:t xml:space="preserve">e.g. </w:t>
      </w:r>
      <w:r w:rsidRPr="00A73E4E">
        <w:rPr>
          <w:rFonts w:cstheme="minorHAnsi"/>
        </w:rPr>
        <w:t>for inputs, off-take</w:t>
      </w:r>
      <w:r>
        <w:rPr>
          <w:rFonts w:cstheme="minorHAnsi"/>
        </w:rPr>
        <w:t xml:space="preserve">, </w:t>
      </w:r>
      <w:r w:rsidR="00EB5D54">
        <w:rPr>
          <w:rFonts w:cstheme="minorHAnsi"/>
        </w:rPr>
        <w:t xml:space="preserve">or </w:t>
      </w:r>
      <w:r>
        <w:rPr>
          <w:rFonts w:cstheme="minorHAnsi"/>
        </w:rPr>
        <w:t>on-farm adaptive research)</w:t>
      </w:r>
      <w:r w:rsidR="00EB5D54" w:rsidRPr="00EB5D54">
        <w:rPr>
          <w:rFonts w:cstheme="minorHAnsi"/>
        </w:rPr>
        <w:t xml:space="preserve"> </w:t>
      </w:r>
      <w:r w:rsidR="00EB5D54" w:rsidRPr="00A73E4E">
        <w:rPr>
          <w:rFonts w:cstheme="minorHAnsi"/>
        </w:rPr>
        <w:t>(</w:t>
      </w:r>
      <w:r w:rsidR="00EB5D54">
        <w:rPr>
          <w:rFonts w:cstheme="minorHAnsi"/>
        </w:rPr>
        <w:t>see Innovation</w:t>
      </w:r>
      <w:r w:rsidR="00EB5D54" w:rsidRPr="00E9550D">
        <w:rPr>
          <w:rFonts w:cstheme="minorHAnsi"/>
        </w:rPr>
        <w:t xml:space="preserve"> </w:t>
      </w:r>
      <w:r w:rsidR="00EB5D54">
        <w:rPr>
          <w:rFonts w:cstheme="minorHAnsi"/>
        </w:rPr>
        <w:t>section</w:t>
      </w:r>
      <w:r w:rsidR="00EB5D54" w:rsidRPr="00A73E4E">
        <w:rPr>
          <w:rFonts w:cstheme="minorHAnsi"/>
        </w:rPr>
        <w:t>)</w:t>
      </w:r>
      <w:r>
        <w:rPr>
          <w:rFonts w:cstheme="minorHAnsi"/>
        </w:rPr>
        <w:t xml:space="preserve">. </w:t>
      </w:r>
      <w:r w:rsidR="00EB5D54">
        <w:rPr>
          <w:rFonts w:cstheme="minorHAnsi"/>
        </w:rPr>
        <w:t>PRISMA-2 will adopt a</w:t>
      </w:r>
      <w:r>
        <w:rPr>
          <w:rFonts w:cstheme="minorHAnsi"/>
        </w:rPr>
        <w:t xml:space="preserve"> flexible and adaptive approach</w:t>
      </w:r>
      <w:r w:rsidR="00EB5D54">
        <w:rPr>
          <w:rFonts w:cstheme="minorHAnsi"/>
        </w:rPr>
        <w:t xml:space="preserve"> to devising solutions and</w:t>
      </w:r>
      <w:r>
        <w:rPr>
          <w:rFonts w:cstheme="minorHAnsi"/>
        </w:rPr>
        <w:t xml:space="preserve"> </w:t>
      </w:r>
      <w:r w:rsidR="00EB5D54">
        <w:rPr>
          <w:rFonts w:cstheme="minorHAnsi"/>
        </w:rPr>
        <w:t xml:space="preserve">in </w:t>
      </w:r>
      <w:r>
        <w:rPr>
          <w:rFonts w:cstheme="minorHAnsi"/>
        </w:rPr>
        <w:t xml:space="preserve">portfolio management (see Annex </w:t>
      </w:r>
      <w:r w:rsidR="001236FF">
        <w:rPr>
          <w:rFonts w:cstheme="minorHAnsi"/>
        </w:rPr>
        <w:t>5</w:t>
      </w:r>
      <w:r>
        <w:rPr>
          <w:rFonts w:cstheme="minorHAnsi"/>
        </w:rPr>
        <w:t>)</w:t>
      </w:r>
      <w:r w:rsidR="006B505E">
        <w:rPr>
          <w:rFonts w:cstheme="minorHAnsi"/>
        </w:rPr>
        <w:t xml:space="preserve"> in order</w:t>
      </w:r>
      <w:r>
        <w:rPr>
          <w:rFonts w:cstheme="minorHAnsi"/>
        </w:rPr>
        <w:t xml:space="preserve"> to take successful innovations to scale and terminate those innovations that are less effective or do not provide value for money. </w:t>
      </w:r>
      <w:r w:rsidR="00EB5D54">
        <w:rPr>
          <w:rFonts w:cstheme="minorHAnsi"/>
        </w:rPr>
        <w:t>Under AIP-Rural, s</w:t>
      </w:r>
      <w:r w:rsidRPr="00C651AA">
        <w:rPr>
          <w:rFonts w:cstheme="minorHAnsi"/>
        </w:rPr>
        <w:t xml:space="preserve">ub-sector interventions are grouped logically – by geography, partner and/or commodity </w:t>
      </w:r>
      <w:r>
        <w:rPr>
          <w:rFonts w:cstheme="minorHAnsi"/>
        </w:rPr>
        <w:t xml:space="preserve">– </w:t>
      </w:r>
      <w:r w:rsidRPr="00C651AA">
        <w:rPr>
          <w:rFonts w:cstheme="minorHAnsi"/>
        </w:rPr>
        <w:t>to form a portfolio that is led by a Head of Port</w:t>
      </w:r>
      <w:r w:rsidR="007577F6">
        <w:rPr>
          <w:rFonts w:cstheme="minorHAnsi"/>
        </w:rPr>
        <w:t>folio and a team of business consultants (see Annex 8 for AIP-</w:t>
      </w:r>
      <w:proofErr w:type="spellStart"/>
      <w:r w:rsidR="007577F6">
        <w:rPr>
          <w:rFonts w:cstheme="minorHAnsi"/>
        </w:rPr>
        <w:t>Rural’s</w:t>
      </w:r>
      <w:proofErr w:type="spellEnd"/>
      <w:r w:rsidR="007577F6">
        <w:rPr>
          <w:rFonts w:cstheme="minorHAnsi"/>
        </w:rPr>
        <w:t xml:space="preserve"> Governance Structure)</w:t>
      </w:r>
      <w:r w:rsidRPr="00C651AA">
        <w:rPr>
          <w:rFonts w:cstheme="minorHAnsi"/>
        </w:rPr>
        <w:t xml:space="preserve">. </w:t>
      </w:r>
      <w:r w:rsidR="006B505E">
        <w:rPr>
          <w:rFonts w:cstheme="minorHAnsi"/>
        </w:rPr>
        <w:t>T</w:t>
      </w:r>
      <w:r w:rsidRPr="00C651AA">
        <w:rPr>
          <w:rFonts w:cstheme="minorHAnsi"/>
        </w:rPr>
        <w:t xml:space="preserve">hese staff managed a total portfolio of </w:t>
      </w:r>
      <w:r w:rsidR="007577F6">
        <w:rPr>
          <w:rFonts w:cstheme="minorHAnsi"/>
        </w:rPr>
        <w:t xml:space="preserve">around </w:t>
      </w:r>
      <w:r w:rsidRPr="00C651AA">
        <w:rPr>
          <w:rFonts w:cstheme="minorHAnsi"/>
        </w:rPr>
        <w:t>100 interventions in 27 subsectors with 85 partners and 878 intermediate service providers</w:t>
      </w:r>
      <w:r w:rsidR="004712BA">
        <w:rPr>
          <w:rFonts w:cstheme="minorHAnsi"/>
        </w:rPr>
        <w:t>.</w:t>
      </w:r>
    </w:p>
    <w:p w14:paraId="357C2B96" w14:textId="7CD93C78" w:rsidR="00763643" w:rsidRPr="002F7707" w:rsidRDefault="004A19FB" w:rsidP="007A0995">
      <w:pPr>
        <w:pStyle w:val="BodyText"/>
        <w:rPr>
          <w:rFonts w:cstheme="minorHAnsi"/>
        </w:rPr>
      </w:pPr>
      <w:r w:rsidRPr="004C7AE2">
        <w:rPr>
          <w:rFonts w:cstheme="minorHAnsi"/>
        </w:rPr>
        <w:t xml:space="preserve">Portfolio management is an essential part of the </w:t>
      </w:r>
      <w:r>
        <w:rPr>
          <w:rFonts w:cstheme="minorHAnsi"/>
        </w:rPr>
        <w:t xml:space="preserve">PRISMA-2 </w:t>
      </w:r>
      <w:r w:rsidRPr="004C7AE2">
        <w:rPr>
          <w:rFonts w:cstheme="minorHAnsi"/>
        </w:rPr>
        <w:t xml:space="preserve">approach. The pathway to large-scale </w:t>
      </w:r>
      <w:r>
        <w:rPr>
          <w:rFonts w:cstheme="minorHAnsi"/>
        </w:rPr>
        <w:t>change is not predictable. The P</w:t>
      </w:r>
      <w:r w:rsidRPr="004C7AE2">
        <w:rPr>
          <w:rFonts w:cstheme="minorHAnsi"/>
        </w:rPr>
        <w:t>rogram cannot control all factors affecting interventions, partners and sector conditions. Innovations, by definition, are new; therefore some will fail</w:t>
      </w:r>
      <w:r>
        <w:rPr>
          <w:rFonts w:cstheme="minorHAnsi"/>
        </w:rPr>
        <w:t xml:space="preserve"> – PRISMA-2 will have an anticipated intervention failure rate of about 30% across the portfolio to ensure an appropriate balance between innovation and risk taking, and value for money</w:t>
      </w:r>
      <w:r w:rsidRPr="004C7AE2">
        <w:rPr>
          <w:rFonts w:cstheme="minorHAnsi"/>
        </w:rPr>
        <w:t>. Rigorous portfolio management has been found to be the best way to mitigate this uncertainty and ensure that aggregate performance delivers impact, by reducing</w:t>
      </w:r>
      <w:r w:rsidRPr="004A19FB">
        <w:rPr>
          <w:rFonts w:cstheme="minorHAnsi"/>
        </w:rPr>
        <w:t xml:space="preserve"> </w:t>
      </w:r>
      <w:r w:rsidRPr="004C7AE2">
        <w:rPr>
          <w:rFonts w:cstheme="minorHAnsi"/>
        </w:rPr>
        <w:t xml:space="preserve">dependency on a single sector, partner or intervention, i.e. by </w:t>
      </w:r>
      <w:r>
        <w:rPr>
          <w:rFonts w:cstheme="minorHAnsi"/>
        </w:rPr>
        <w:t>‘</w:t>
      </w:r>
      <w:r w:rsidRPr="004C7AE2">
        <w:rPr>
          <w:rFonts w:cstheme="minorHAnsi"/>
        </w:rPr>
        <w:t xml:space="preserve">spreading the bets’. Successful programs have tended to focus on a blend of sectors, with different levels of risk and probabilities of impact; they have worked with a diversity of partners; and they have intervened through a range of entry points. The </w:t>
      </w:r>
      <w:r>
        <w:rPr>
          <w:rFonts w:cstheme="minorHAnsi"/>
        </w:rPr>
        <w:t xml:space="preserve">PRISMA-2 </w:t>
      </w:r>
      <w:r w:rsidRPr="004C7AE2">
        <w:rPr>
          <w:rFonts w:cstheme="minorHAnsi"/>
        </w:rPr>
        <w:t xml:space="preserve">portfolio </w:t>
      </w:r>
      <w:r>
        <w:rPr>
          <w:rFonts w:cstheme="minorHAnsi"/>
        </w:rPr>
        <w:t>will</w:t>
      </w:r>
      <w:r w:rsidRPr="004C7AE2">
        <w:rPr>
          <w:rFonts w:cstheme="minorHAnsi"/>
        </w:rPr>
        <w:t xml:space="preserve"> be managed rigorously through routine and transparent mechanisms (e.g. monthly </w:t>
      </w:r>
      <w:r w:rsidRPr="004C7AE2">
        <w:rPr>
          <w:rFonts w:cstheme="minorHAnsi"/>
        </w:rPr>
        <w:lastRenderedPageBreak/>
        <w:t>or quarterly team meetings</w:t>
      </w:r>
      <w:r>
        <w:rPr>
          <w:rFonts w:cstheme="minorHAnsi"/>
        </w:rPr>
        <w:t xml:space="preserve"> using AIP-</w:t>
      </w:r>
      <w:proofErr w:type="spellStart"/>
      <w:r>
        <w:rPr>
          <w:rFonts w:cstheme="minorHAnsi"/>
        </w:rPr>
        <w:t>Rural’s</w:t>
      </w:r>
      <w:proofErr w:type="spellEnd"/>
      <w:r>
        <w:rPr>
          <w:rFonts w:cstheme="minorHAnsi"/>
        </w:rPr>
        <w:t xml:space="preserve"> Quality Management Tool</w:t>
      </w:r>
      <w:r w:rsidRPr="004C7AE2">
        <w:rPr>
          <w:rFonts w:cstheme="minorHAnsi"/>
        </w:rPr>
        <w:t xml:space="preserve">). Strategies </w:t>
      </w:r>
      <w:r>
        <w:rPr>
          <w:rFonts w:cstheme="minorHAnsi"/>
        </w:rPr>
        <w:t xml:space="preserve">will </w:t>
      </w:r>
      <w:r w:rsidRPr="004C7AE2">
        <w:rPr>
          <w:rFonts w:cstheme="minorHAnsi"/>
        </w:rPr>
        <w:t>need to be re-examined regularly and the performance of interventions and partnerships monitored carefully.</w:t>
      </w:r>
      <w:r w:rsidR="002F7707">
        <w:rPr>
          <w:rFonts w:cstheme="minorHAnsi"/>
        </w:rPr>
        <w:t xml:space="preserve"> </w:t>
      </w:r>
      <w:r w:rsidR="002F7707" w:rsidRPr="004C7AE2">
        <w:rPr>
          <w:rFonts w:cstheme="minorHAnsi"/>
        </w:rPr>
        <w:t>Underperforming or failing initiatives should be adapted, de-prioritised or dropped. Resources (people and</w:t>
      </w:r>
      <w:r w:rsidR="002F7707">
        <w:rPr>
          <w:rFonts w:cstheme="minorHAnsi"/>
        </w:rPr>
        <w:t xml:space="preserve"> </w:t>
      </w:r>
      <w:r w:rsidR="002F7707" w:rsidRPr="004C7AE2">
        <w:rPr>
          <w:rFonts w:cstheme="minorHAnsi"/>
        </w:rPr>
        <w:t xml:space="preserve">finance) </w:t>
      </w:r>
      <w:r w:rsidR="002F7707">
        <w:rPr>
          <w:rFonts w:cstheme="minorHAnsi"/>
        </w:rPr>
        <w:t xml:space="preserve">will </w:t>
      </w:r>
      <w:r w:rsidR="002F7707" w:rsidRPr="004C7AE2">
        <w:rPr>
          <w:rFonts w:cstheme="minorHAnsi"/>
        </w:rPr>
        <w:t>need to</w:t>
      </w:r>
      <w:r w:rsidR="002F7707">
        <w:rPr>
          <w:rFonts w:cstheme="minorHAnsi"/>
        </w:rPr>
        <w:t xml:space="preserve"> be</w:t>
      </w:r>
      <w:r w:rsidR="002F7707" w:rsidRPr="004C7AE2">
        <w:rPr>
          <w:rFonts w:cstheme="minorHAnsi"/>
        </w:rPr>
        <w:t xml:space="preserve"> re-allocated to those initiatives that are demonstrating the best potential for</w:t>
      </w:r>
      <w:r w:rsidR="002F7707" w:rsidRPr="004A19FB">
        <w:rPr>
          <w:rFonts w:cstheme="minorHAnsi"/>
        </w:rPr>
        <w:t xml:space="preserve"> </w:t>
      </w:r>
      <w:r w:rsidR="002F7707">
        <w:rPr>
          <w:rFonts w:cs="Arial"/>
          <w:b/>
          <w:noProof/>
          <w:lang w:eastAsia="en-AU"/>
        </w:rPr>
        <mc:AlternateContent>
          <mc:Choice Requires="wps">
            <w:drawing>
              <wp:anchor distT="0" distB="0" distL="114300" distR="114300" simplePos="0" relativeHeight="251704832" behindDoc="0" locked="0" layoutInCell="1" allowOverlap="1" wp14:anchorId="2B3686B7" wp14:editId="0C79A91F">
                <wp:simplePos x="0" y="0"/>
                <wp:positionH relativeFrom="column">
                  <wp:posOffset>3302635</wp:posOffset>
                </wp:positionH>
                <wp:positionV relativeFrom="paragraph">
                  <wp:posOffset>1136015</wp:posOffset>
                </wp:positionV>
                <wp:extent cx="3162300" cy="2171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62300"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3B2EF" w14:textId="0F791506" w:rsidR="00243660" w:rsidRDefault="00243660" w:rsidP="00133C97">
                            <w:pPr>
                              <w:jc w:val="center"/>
                            </w:pPr>
                            <w:r w:rsidRPr="00133C97">
                              <w:rPr>
                                <w:rFonts w:ascii="Calibri" w:eastAsia="Times New Roman" w:hAnsi="Calibri" w:cs="Times New Roman"/>
                                <w:noProof/>
                                <w:sz w:val="18"/>
                                <w:szCs w:val="18"/>
                                <w:lang w:eastAsia="en-AU"/>
                              </w:rPr>
                              <w:drawing>
                                <wp:inline distT="0" distB="0" distL="0" distR="0" wp14:anchorId="33283E7A" wp14:editId="29F1AA1C">
                                  <wp:extent cx="3200400" cy="21959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AE5D39C3-99D0-4AA3-B962-0DDF35575F3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5872" cy="2206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9" type="#_x0000_t202" style="position:absolute;margin-left:260.05pt;margin-top:89.45pt;width:249pt;height:171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" filled="f" stroked="f" strokeweight=".5pt">
                <v:textbox>
                  <w:txbxContent>
                    <w:p w14:paraId="1763B2EF" w14:textId="0F791506" w:rsidR="00243660" w:rsidRDefault="00243660" w:rsidP="00133C97">
                      <w:pPr>
                        <w:jc w:val="center"/>
                      </w:pPr>
                      <w:r w:rsidRPr="00133C97">
                        <w:rPr>
                          <w:rFonts w:ascii="Calibri" w:eastAsia="Times New Roman" w:hAnsi="Calibri" w:cs="Times New Roman"/>
                          <w:noProof/>
                          <w:sz w:val="18"/>
                          <w:szCs w:val="18"/>
                          <w:lang w:eastAsia="en-AU"/>
                        </w:rPr>
                        <w:drawing>
                          <wp:inline distT="0" distB="0" distL="0" distR="0" wp14:anchorId="33283E7A" wp14:editId="29F1AA1C">
                            <wp:extent cx="3200400" cy="21959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AE5D39C3-99D0-4AA3-B962-0DDF35575F3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5872" cy="2206523"/>
                                    </a:xfrm>
                                    <a:prstGeom prst="rect">
                                      <a:avLst/>
                                    </a:prstGeom>
                                  </pic:spPr>
                                </pic:pic>
                              </a:graphicData>
                            </a:graphic>
                          </wp:inline>
                        </w:drawing>
                      </w:r>
                    </w:p>
                  </w:txbxContent>
                </v:textbox>
              </v:shape>
            </w:pict>
          </mc:Fallback>
        </mc:AlternateContent>
      </w:r>
      <w:r w:rsidR="002F7707" w:rsidRPr="00D1669B">
        <w:rPr>
          <w:rFonts w:cs="Arial"/>
          <w:b/>
          <w:noProof/>
          <w:lang w:eastAsia="en-AU"/>
        </w:rPr>
        <mc:AlternateContent>
          <mc:Choice Requires="wps">
            <w:drawing>
              <wp:anchor distT="45720" distB="45720" distL="114300" distR="114300" simplePos="0" relativeHeight="251703808" behindDoc="0" locked="0" layoutInCell="1" allowOverlap="1" wp14:anchorId="0CF73C42" wp14:editId="04427C76">
                <wp:simplePos x="0" y="0"/>
                <wp:positionH relativeFrom="page">
                  <wp:posOffset>695325</wp:posOffset>
                </wp:positionH>
                <wp:positionV relativeFrom="paragraph">
                  <wp:posOffset>1069340</wp:posOffset>
                </wp:positionV>
                <wp:extent cx="6178550" cy="7666355"/>
                <wp:effectExtent l="0" t="0" r="12700" b="1079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7666355"/>
                        </a:xfrm>
                        <a:prstGeom prst="rect">
                          <a:avLst/>
                        </a:prstGeom>
                        <a:solidFill>
                          <a:schemeClr val="accent1">
                            <a:lumMod val="40000"/>
                            <a:lumOff val="60000"/>
                          </a:schemeClr>
                        </a:solidFill>
                        <a:ln w="9525">
                          <a:solidFill>
                            <a:srgbClr val="000000"/>
                          </a:solidFill>
                          <a:miter lim="800000"/>
                          <a:headEnd/>
                          <a:tailEnd/>
                        </a:ln>
                      </wps:spPr>
                      <wps:txbx>
                        <w:txbxContent>
                          <w:p w14:paraId="77A0EB29" w14:textId="64DFCC3E" w:rsidR="00243660" w:rsidRPr="00C13C23" w:rsidRDefault="00243660" w:rsidP="00763643">
                            <w:pPr>
                              <w:rPr>
                                <w:rFonts w:cs="Arial"/>
                                <w:b/>
                              </w:rPr>
                            </w:pPr>
                            <w:r w:rsidRPr="00C13C23">
                              <w:rPr>
                                <w:rFonts w:cs="Arial"/>
                                <w:b/>
                              </w:rPr>
                              <w:t xml:space="preserve">Box </w:t>
                            </w:r>
                            <w:r>
                              <w:rPr>
                                <w:rFonts w:cs="Arial"/>
                                <w:b/>
                              </w:rPr>
                              <w:t>2</w:t>
                            </w:r>
                            <w:r w:rsidRPr="00C13C23">
                              <w:rPr>
                                <w:rFonts w:cs="Arial"/>
                                <w:b/>
                              </w:rPr>
                              <w:t>. How We Work – Facilitation in Action</w:t>
                            </w:r>
                          </w:p>
                          <w:p w14:paraId="736A83A5" w14:textId="5A2C7A41" w:rsidR="00243660" w:rsidRDefault="00243660" w:rsidP="00763643">
                            <w:pPr>
                              <w:spacing w:after="0"/>
                              <w:rPr>
                                <w:rFonts w:cs="Arial"/>
                                <w:sz w:val="18"/>
                                <w:szCs w:val="18"/>
                                <w:lang w:eastAsia="en-AU"/>
                              </w:rPr>
                            </w:pPr>
                            <w:r w:rsidRPr="00C776AD">
                              <w:rPr>
                                <w:rFonts w:cs="Arial"/>
                                <w:sz w:val="18"/>
                                <w:szCs w:val="18"/>
                                <w:lang w:eastAsia="en-AU"/>
                              </w:rPr>
                              <w:t>Dhita is a business consultant in AIP-</w:t>
                            </w:r>
                            <w:proofErr w:type="spellStart"/>
                            <w:r w:rsidRPr="00C776AD">
                              <w:rPr>
                                <w:rFonts w:cs="Arial"/>
                                <w:sz w:val="18"/>
                                <w:szCs w:val="18"/>
                                <w:lang w:eastAsia="en-AU"/>
                              </w:rPr>
                              <w:t>Rural’s</w:t>
                            </w:r>
                            <w:proofErr w:type="spellEnd"/>
                            <w:r w:rsidRPr="00C776AD">
                              <w:rPr>
                                <w:rFonts w:cs="Arial"/>
                                <w:sz w:val="18"/>
                                <w:szCs w:val="18"/>
                                <w:lang w:eastAsia="en-AU"/>
                              </w:rPr>
                              <w:t xml:space="preserve"> pulses team. Her job is to set up, </w:t>
                            </w:r>
                          </w:p>
                          <w:p w14:paraId="5849459B" w14:textId="0115265F" w:rsidR="00243660" w:rsidRDefault="00243660" w:rsidP="00763643">
                            <w:pPr>
                              <w:spacing w:after="0"/>
                              <w:rPr>
                                <w:rFonts w:cs="Arial"/>
                                <w:sz w:val="18"/>
                                <w:szCs w:val="18"/>
                                <w:lang w:eastAsia="en-AU"/>
                              </w:rPr>
                            </w:pPr>
                            <w:proofErr w:type="gramStart"/>
                            <w:r w:rsidRPr="00C776AD">
                              <w:rPr>
                                <w:rFonts w:cs="Arial"/>
                                <w:sz w:val="18"/>
                                <w:szCs w:val="18"/>
                                <w:lang w:eastAsia="en-AU"/>
                              </w:rPr>
                              <w:t>monitor</w:t>
                            </w:r>
                            <w:proofErr w:type="gramEnd"/>
                            <w:r w:rsidRPr="00C776AD">
                              <w:rPr>
                                <w:rFonts w:cs="Arial"/>
                                <w:sz w:val="18"/>
                                <w:szCs w:val="18"/>
                                <w:lang w:eastAsia="en-AU"/>
                              </w:rPr>
                              <w:t>, and grow a series of interventions that help the program achieve its</w:t>
                            </w:r>
                          </w:p>
                          <w:p w14:paraId="0E001E1C" w14:textId="424FEE63" w:rsidR="00243660" w:rsidRDefault="00243660" w:rsidP="00763643">
                            <w:pPr>
                              <w:spacing w:after="0"/>
                              <w:rPr>
                                <w:rFonts w:cs="Arial"/>
                                <w:sz w:val="18"/>
                                <w:szCs w:val="18"/>
                                <w:lang w:eastAsia="en-AU"/>
                              </w:rPr>
                            </w:pPr>
                            <w:proofErr w:type="gramStart"/>
                            <w:r w:rsidRPr="00C776AD">
                              <w:rPr>
                                <w:rFonts w:cs="Arial"/>
                                <w:sz w:val="18"/>
                                <w:szCs w:val="18"/>
                                <w:lang w:eastAsia="en-AU"/>
                              </w:rPr>
                              <w:t>goal</w:t>
                            </w:r>
                            <w:proofErr w:type="gramEnd"/>
                            <w:r w:rsidRPr="00C776AD">
                              <w:rPr>
                                <w:rFonts w:cs="Arial"/>
                                <w:sz w:val="18"/>
                                <w:szCs w:val="18"/>
                                <w:lang w:eastAsia="en-AU"/>
                              </w:rPr>
                              <w:t xml:space="preserve"> of increasing incomes for smallholder farming households. She starts by</w:t>
                            </w:r>
                          </w:p>
                          <w:p w14:paraId="358FC0A2" w14:textId="77777777" w:rsidR="00243660" w:rsidRDefault="00243660" w:rsidP="00763643">
                            <w:pPr>
                              <w:spacing w:after="0"/>
                              <w:rPr>
                                <w:rFonts w:cs="Arial"/>
                                <w:sz w:val="18"/>
                                <w:szCs w:val="18"/>
                                <w:lang w:eastAsia="en-AU"/>
                              </w:rPr>
                            </w:pPr>
                            <w:proofErr w:type="gramStart"/>
                            <w:r w:rsidRPr="00C776AD">
                              <w:rPr>
                                <w:rFonts w:cs="Arial"/>
                                <w:b/>
                                <w:sz w:val="18"/>
                                <w:szCs w:val="18"/>
                                <w:lang w:eastAsia="en-AU"/>
                              </w:rPr>
                              <w:t>choosing</w:t>
                            </w:r>
                            <w:proofErr w:type="gramEnd"/>
                            <w:r w:rsidRPr="00C776AD">
                              <w:rPr>
                                <w:rFonts w:cs="Arial"/>
                                <w:b/>
                                <w:sz w:val="18"/>
                                <w:szCs w:val="18"/>
                                <w:lang w:eastAsia="en-AU"/>
                              </w:rPr>
                              <w:t xml:space="preserve"> a sub-sector </w:t>
                            </w:r>
                            <w:r w:rsidRPr="00C776AD">
                              <w:rPr>
                                <w:rFonts w:cs="Arial"/>
                                <w:sz w:val="18"/>
                                <w:szCs w:val="18"/>
                                <w:lang w:eastAsia="en-AU"/>
                              </w:rPr>
                              <w:t xml:space="preserve">to focus on. The selected sub-sector needs to fulfil </w:t>
                            </w:r>
                          </w:p>
                          <w:p w14:paraId="66DDE3FC" w14:textId="4EB4F1CE" w:rsidR="00243660" w:rsidRDefault="00243660" w:rsidP="00763643">
                            <w:pPr>
                              <w:spacing w:after="0"/>
                              <w:rPr>
                                <w:rFonts w:cs="Arial"/>
                                <w:sz w:val="18"/>
                                <w:szCs w:val="18"/>
                                <w:lang w:eastAsia="en-AU"/>
                              </w:rPr>
                            </w:pPr>
                            <w:proofErr w:type="gramStart"/>
                            <w:r w:rsidRPr="00C776AD">
                              <w:rPr>
                                <w:rFonts w:cs="Arial"/>
                                <w:sz w:val="18"/>
                                <w:szCs w:val="18"/>
                                <w:lang w:eastAsia="en-AU"/>
                              </w:rPr>
                              <w:t>three</w:t>
                            </w:r>
                            <w:proofErr w:type="gramEnd"/>
                            <w:r w:rsidRPr="00C776AD">
                              <w:rPr>
                                <w:rFonts w:cs="Arial"/>
                                <w:sz w:val="18"/>
                                <w:szCs w:val="18"/>
                                <w:lang w:eastAsia="en-AU"/>
                              </w:rPr>
                              <w:t xml:space="preserve"> criteria: relevant to high numbers of disadvantaged people (pro-poor </w:t>
                            </w:r>
                          </w:p>
                          <w:p w14:paraId="69803248"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potential</w:t>
                            </w:r>
                            <w:proofErr w:type="gramEnd"/>
                            <w:r w:rsidRPr="00C776AD">
                              <w:rPr>
                                <w:rFonts w:cs="Arial"/>
                                <w:sz w:val="18"/>
                                <w:szCs w:val="18"/>
                                <w:lang w:eastAsia="en-AU"/>
                              </w:rPr>
                              <w:t>); offer prospects for disadvantaged people to improve their position</w:t>
                            </w:r>
                          </w:p>
                          <w:p w14:paraId="7615D808"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e.g</w:t>
                            </w:r>
                            <w:proofErr w:type="gramEnd"/>
                            <w:r w:rsidRPr="00C776AD">
                              <w:rPr>
                                <w:rFonts w:cs="Arial"/>
                                <w:sz w:val="18"/>
                                <w:szCs w:val="18"/>
                                <w:lang w:eastAsia="en-AU"/>
                              </w:rPr>
                              <w:t xml:space="preserve">. by increasing their productivity or playing a new, higher earning role </w:t>
                            </w:r>
                          </w:p>
                          <w:p w14:paraId="3F0DAFFB" w14:textId="77777777" w:rsidR="00243660" w:rsidRDefault="00243660" w:rsidP="00763643">
                            <w:pPr>
                              <w:spacing w:after="0"/>
                              <w:rPr>
                                <w:rFonts w:cs="Arial"/>
                                <w:sz w:val="18"/>
                                <w:szCs w:val="18"/>
                                <w:lang w:eastAsia="en-AU"/>
                              </w:rPr>
                            </w:pPr>
                            <w:r w:rsidRPr="00C776AD">
                              <w:rPr>
                                <w:rFonts w:cs="Arial"/>
                                <w:sz w:val="18"/>
                                <w:szCs w:val="18"/>
                                <w:lang w:eastAsia="en-AU"/>
                              </w:rPr>
                              <w:t>(</w:t>
                            </w:r>
                            <w:proofErr w:type="gramStart"/>
                            <w:r w:rsidRPr="00C776AD">
                              <w:rPr>
                                <w:rFonts w:cs="Arial"/>
                                <w:sz w:val="18"/>
                                <w:szCs w:val="18"/>
                                <w:lang w:eastAsia="en-AU"/>
                              </w:rPr>
                              <w:t>pro-poor</w:t>
                            </w:r>
                            <w:proofErr w:type="gramEnd"/>
                            <w:r w:rsidRPr="00C776AD">
                              <w:rPr>
                                <w:rFonts w:cs="Arial"/>
                                <w:sz w:val="18"/>
                                <w:szCs w:val="18"/>
                                <w:lang w:eastAsia="en-AU"/>
                              </w:rPr>
                              <w:t xml:space="preserve"> growth potential); and there should be reasonable feasibility of </w:t>
                            </w:r>
                          </w:p>
                          <w:p w14:paraId="0B24FA71"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bringing</w:t>
                            </w:r>
                            <w:proofErr w:type="gramEnd"/>
                            <w:r w:rsidRPr="00C776AD">
                              <w:rPr>
                                <w:rFonts w:cs="Arial"/>
                                <w:sz w:val="18"/>
                                <w:szCs w:val="18"/>
                                <w:lang w:eastAsia="en-AU"/>
                              </w:rPr>
                              <w:t xml:space="preserve"> about change in the sub-sector. Using these criteria Dhita considers </w:t>
                            </w:r>
                          </w:p>
                          <w:p w14:paraId="24A874C1"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the</w:t>
                            </w:r>
                            <w:proofErr w:type="gramEnd"/>
                            <w:r w:rsidRPr="00C776AD">
                              <w:rPr>
                                <w:rFonts w:cs="Arial"/>
                                <w:sz w:val="18"/>
                                <w:szCs w:val="18"/>
                                <w:lang w:eastAsia="en-AU"/>
                              </w:rPr>
                              <w:t xml:space="preserve"> mung bean sub-sector to be promising. Her next step is to conduct a </w:t>
                            </w:r>
                          </w:p>
                          <w:p w14:paraId="6D93D053"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deeper</w:t>
                            </w:r>
                            <w:proofErr w:type="gramEnd"/>
                            <w:r w:rsidRPr="00C776AD">
                              <w:rPr>
                                <w:rFonts w:cs="Arial"/>
                                <w:sz w:val="18"/>
                                <w:szCs w:val="18"/>
                                <w:lang w:eastAsia="en-AU"/>
                              </w:rPr>
                              <w:t xml:space="preserve"> </w:t>
                            </w:r>
                            <w:r w:rsidRPr="00C776AD">
                              <w:rPr>
                                <w:rFonts w:cs="Arial"/>
                                <w:b/>
                                <w:sz w:val="18"/>
                                <w:szCs w:val="18"/>
                                <w:lang w:eastAsia="en-AU"/>
                              </w:rPr>
                              <w:t>sector analysis</w:t>
                            </w:r>
                            <w:r w:rsidRPr="00C776AD">
                              <w:rPr>
                                <w:rFonts w:cs="Arial"/>
                                <w:sz w:val="18"/>
                                <w:szCs w:val="18"/>
                                <w:lang w:eastAsia="en-AU"/>
                              </w:rPr>
                              <w:t xml:space="preserve"> to understand how the sub-sector works and why it</w:t>
                            </w:r>
                          </w:p>
                          <w:p w14:paraId="5AABF38A"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isn’t</w:t>
                            </w:r>
                            <w:proofErr w:type="gramEnd"/>
                            <w:r w:rsidRPr="00C776AD">
                              <w:rPr>
                                <w:rFonts w:cs="Arial"/>
                                <w:sz w:val="18"/>
                                <w:szCs w:val="18"/>
                                <w:lang w:eastAsia="en-AU"/>
                              </w:rPr>
                              <w:t xml:space="preserve"> performing optimally. This is done in several ways: </w:t>
                            </w:r>
                            <w:proofErr w:type="spellStart"/>
                            <w:r w:rsidRPr="00C776AD">
                              <w:rPr>
                                <w:rFonts w:cs="Arial"/>
                                <w:sz w:val="18"/>
                                <w:szCs w:val="18"/>
                                <w:lang w:eastAsia="en-AU"/>
                              </w:rPr>
                              <w:t>i</w:t>
                            </w:r>
                            <w:proofErr w:type="spellEnd"/>
                            <w:r w:rsidRPr="00C776AD">
                              <w:rPr>
                                <w:rFonts w:cs="Arial"/>
                                <w:sz w:val="18"/>
                                <w:szCs w:val="18"/>
                                <w:lang w:eastAsia="en-AU"/>
                              </w:rPr>
                              <w:t>) conducting a</w:t>
                            </w:r>
                          </w:p>
                          <w:p w14:paraId="11AAEAD9" w14:textId="7338ABB3" w:rsidR="00243660" w:rsidRDefault="00243660" w:rsidP="00763643">
                            <w:pPr>
                              <w:spacing w:after="0"/>
                              <w:rPr>
                                <w:rFonts w:cs="Arial"/>
                                <w:sz w:val="18"/>
                                <w:szCs w:val="18"/>
                                <w:lang w:eastAsia="en-AU"/>
                              </w:rPr>
                            </w:pPr>
                            <w:proofErr w:type="gramStart"/>
                            <w:r w:rsidRPr="00C776AD">
                              <w:rPr>
                                <w:rFonts w:cs="Arial"/>
                                <w:sz w:val="18"/>
                                <w:szCs w:val="18"/>
                                <w:lang w:eastAsia="en-AU"/>
                              </w:rPr>
                              <w:t>literature</w:t>
                            </w:r>
                            <w:proofErr w:type="gramEnd"/>
                            <w:r w:rsidRPr="00C776AD">
                              <w:rPr>
                                <w:rFonts w:cs="Arial"/>
                                <w:sz w:val="18"/>
                                <w:szCs w:val="18"/>
                                <w:lang w:eastAsia="en-AU"/>
                              </w:rPr>
                              <w:t xml:space="preserve"> review and stakeholder interviews; ii) mapping the sector, its key</w:t>
                            </w:r>
                          </w:p>
                          <w:p w14:paraId="65004805" w14:textId="58670FD8" w:rsidR="00243660" w:rsidRPr="00C776AD" w:rsidRDefault="00243660" w:rsidP="00763643">
                            <w:pPr>
                              <w:spacing w:after="0"/>
                              <w:rPr>
                                <w:rFonts w:cs="Arial"/>
                                <w:sz w:val="18"/>
                                <w:szCs w:val="18"/>
                                <w:lang w:eastAsia="en-AU"/>
                              </w:rPr>
                            </w:pPr>
                            <w:r w:rsidRPr="00C776AD">
                              <w:rPr>
                                <w:rFonts w:cs="Arial"/>
                                <w:sz w:val="18"/>
                                <w:szCs w:val="18"/>
                                <w:lang w:eastAsia="en-AU"/>
                              </w:rPr>
                              <w:t xml:space="preserve">actors and key functions; iii) analysing problems and their underlying causes (including the regulatory environment); </w:t>
                            </w:r>
                            <w:proofErr w:type="gramStart"/>
                            <w:r w:rsidRPr="00C776AD">
                              <w:rPr>
                                <w:rFonts w:cs="Arial"/>
                                <w:sz w:val="18"/>
                                <w:szCs w:val="18"/>
                                <w:lang w:eastAsia="en-AU"/>
                              </w:rPr>
                              <w:t>iv</w:t>
                            </w:r>
                            <w:proofErr w:type="gramEnd"/>
                            <w:r w:rsidRPr="00C776AD">
                              <w:rPr>
                                <w:rFonts w:cs="Arial"/>
                                <w:sz w:val="18"/>
                                <w:szCs w:val="18"/>
                                <w:lang w:eastAsia="en-AU"/>
                              </w:rPr>
                              <w:t xml:space="preserve">) developing a vision of how the sub-sector could work better; and v) </w:t>
                            </w:r>
                            <w:r>
                              <w:rPr>
                                <w:rFonts w:cs="Arial"/>
                                <w:sz w:val="18"/>
                                <w:szCs w:val="18"/>
                                <w:lang w:eastAsia="en-AU"/>
                              </w:rPr>
                              <w:t>analysing</w:t>
                            </w:r>
                            <w:r w:rsidRPr="00C776AD">
                              <w:rPr>
                                <w:rFonts w:cs="Arial"/>
                                <w:sz w:val="18"/>
                                <w:szCs w:val="18"/>
                                <w:lang w:eastAsia="en-AU"/>
                              </w:rPr>
                              <w:t xml:space="preserve"> gender and social inclusion aspects. </w:t>
                            </w:r>
                          </w:p>
                          <w:p w14:paraId="56D7C2B4" w14:textId="1C961E87" w:rsidR="00243660" w:rsidRPr="00C776AD" w:rsidRDefault="00243660" w:rsidP="00763643">
                            <w:pPr>
                              <w:spacing w:before="150" w:after="150"/>
                              <w:jc w:val="both"/>
                              <w:rPr>
                                <w:rFonts w:cs="Arial"/>
                                <w:sz w:val="18"/>
                                <w:szCs w:val="18"/>
                                <w:lang w:eastAsia="en-AU"/>
                              </w:rPr>
                            </w:pPr>
                            <w:r w:rsidRPr="00C776AD">
                              <w:rPr>
                                <w:rFonts w:cs="Arial"/>
                                <w:sz w:val="18"/>
                                <w:szCs w:val="18"/>
                                <w:lang w:eastAsia="en-AU"/>
                              </w:rPr>
                              <w:t xml:space="preserve">With this detailed sector analysis, Dhita can now </w:t>
                            </w:r>
                            <w:r w:rsidRPr="00C776AD">
                              <w:rPr>
                                <w:rFonts w:cs="Arial"/>
                                <w:b/>
                                <w:sz w:val="18"/>
                                <w:szCs w:val="18"/>
                                <w:lang w:eastAsia="en-AU"/>
                              </w:rPr>
                              <w:t>design an intervention</w:t>
                            </w:r>
                            <w:r w:rsidRPr="00C776AD">
                              <w:rPr>
                                <w:rFonts w:cs="Arial"/>
                                <w:sz w:val="18"/>
                                <w:szCs w:val="18"/>
                                <w:lang w:eastAsia="en-AU"/>
                              </w:rPr>
                              <w:t>. Her analysis has uncovered several different ‘innovations’ that might address constraints in the sub-sector; introducing these innovations could generate more profits for smallholder farmers and other businesses in the sub-sector</w:t>
                            </w:r>
                            <w:r>
                              <w:rPr>
                                <w:rFonts w:cs="Arial"/>
                                <w:sz w:val="18"/>
                                <w:szCs w:val="18"/>
                                <w:lang w:eastAsia="en-AU"/>
                              </w:rPr>
                              <w:t>, especially for women who are the main decision makers about seeds in this commodity</w:t>
                            </w:r>
                            <w:r w:rsidRPr="00C776AD">
                              <w:rPr>
                                <w:rFonts w:cs="Arial"/>
                                <w:sz w:val="18"/>
                                <w:szCs w:val="18"/>
                                <w:lang w:eastAsia="en-AU"/>
                              </w:rPr>
                              <w:t>. For example, she discovers that farmers use retained m</w:t>
                            </w:r>
                            <w:r>
                              <w:rPr>
                                <w:rFonts w:cs="Arial"/>
                                <w:sz w:val="18"/>
                                <w:szCs w:val="18"/>
                                <w:lang w:eastAsia="en-AU"/>
                              </w:rPr>
                              <w:t xml:space="preserve">ung bean </w:t>
                            </w:r>
                            <w:r w:rsidRPr="00C776AD">
                              <w:rPr>
                                <w:rFonts w:cs="Arial"/>
                                <w:sz w:val="18"/>
                                <w:szCs w:val="18"/>
                                <w:lang w:eastAsia="en-AU"/>
                              </w:rPr>
                              <w:t>seeds, leading to low yields. Introducing higher quality seeds,</w:t>
                            </w:r>
                            <w:r>
                              <w:rPr>
                                <w:rFonts w:cs="Arial"/>
                                <w:sz w:val="18"/>
                                <w:szCs w:val="18"/>
                                <w:lang w:eastAsia="en-AU"/>
                              </w:rPr>
                              <w:t xml:space="preserve"> </w:t>
                            </w:r>
                            <w:r w:rsidRPr="00C776AD">
                              <w:rPr>
                                <w:rFonts w:cs="Arial"/>
                                <w:sz w:val="18"/>
                                <w:szCs w:val="18"/>
                                <w:lang w:eastAsia="en-AU"/>
                              </w:rPr>
                              <w:t>combined with good agricultural training,</w:t>
                            </w:r>
                            <w:r>
                              <w:rPr>
                                <w:rFonts w:cs="Arial"/>
                                <w:sz w:val="18"/>
                                <w:szCs w:val="18"/>
                                <w:lang w:eastAsia="en-AU"/>
                              </w:rPr>
                              <w:t xml:space="preserve"> and value chain financing</w:t>
                            </w:r>
                            <w:r w:rsidRPr="00C776AD">
                              <w:rPr>
                                <w:rFonts w:cs="Arial"/>
                                <w:sz w:val="18"/>
                                <w:szCs w:val="18"/>
                                <w:lang w:eastAsia="en-AU"/>
                              </w:rPr>
                              <w:t xml:space="preserve"> would significantly increase productivity. </w:t>
                            </w:r>
                            <w:proofErr w:type="spellStart"/>
                            <w:r w:rsidRPr="00C776AD">
                              <w:rPr>
                                <w:rFonts w:cs="Arial"/>
                                <w:sz w:val="18"/>
                                <w:szCs w:val="18"/>
                                <w:lang w:eastAsia="en-AU"/>
                              </w:rPr>
                              <w:t>Dhita’s</w:t>
                            </w:r>
                            <w:proofErr w:type="spellEnd"/>
                            <w:r w:rsidRPr="00C776AD">
                              <w:rPr>
                                <w:rFonts w:cs="Arial"/>
                                <w:sz w:val="18"/>
                                <w:szCs w:val="18"/>
                                <w:lang w:eastAsia="en-AU"/>
                              </w:rPr>
                              <w:t xml:space="preserve"> intervention proposal, along with those of other business consultants, is then peer reviewed by the program management team. They consider how interventions can be strengthened, which interventions should be prioritised, which are achievable within PRISMA’s timeframe, and which are too complex. </w:t>
                            </w:r>
                          </w:p>
                          <w:p w14:paraId="2E5559E5" w14:textId="04D7AC36" w:rsidR="00243660" w:rsidRPr="00C776AD" w:rsidRDefault="00243660" w:rsidP="00763643">
                            <w:pPr>
                              <w:spacing w:before="150" w:after="150"/>
                              <w:jc w:val="both"/>
                              <w:rPr>
                                <w:rFonts w:cs="Arial"/>
                                <w:sz w:val="18"/>
                                <w:szCs w:val="18"/>
                                <w:lang w:eastAsia="en-AU"/>
                              </w:rPr>
                            </w:pPr>
                            <w:proofErr w:type="spellStart"/>
                            <w:r w:rsidRPr="00C776AD">
                              <w:rPr>
                                <w:rFonts w:cs="Arial"/>
                                <w:sz w:val="18"/>
                                <w:szCs w:val="18"/>
                                <w:lang w:eastAsia="en-AU"/>
                              </w:rPr>
                              <w:t>Dhita’s</w:t>
                            </w:r>
                            <w:proofErr w:type="spellEnd"/>
                            <w:r w:rsidRPr="00C776AD">
                              <w:rPr>
                                <w:rFonts w:cs="Arial"/>
                                <w:sz w:val="18"/>
                                <w:szCs w:val="18"/>
                                <w:lang w:eastAsia="en-AU"/>
                              </w:rPr>
                              <w:t xml:space="preserve"> mung bean intervention proposal is approved. She then develops a strategy to find suitable private sector partners to pitch the business idea to, perhaps in consultation with local government. This is known as the </w:t>
                            </w:r>
                            <w:r w:rsidRPr="00C776AD">
                              <w:rPr>
                                <w:rFonts w:cs="Arial"/>
                                <w:b/>
                                <w:sz w:val="18"/>
                                <w:szCs w:val="18"/>
                                <w:lang w:eastAsia="en-AU"/>
                              </w:rPr>
                              <w:t>‘deal-making’ process</w:t>
                            </w:r>
                            <w:r w:rsidRPr="00C776AD">
                              <w:rPr>
                                <w:rFonts w:cs="Arial"/>
                                <w:sz w:val="18"/>
                                <w:szCs w:val="18"/>
                                <w:lang w:eastAsia="en-AU"/>
                              </w:rPr>
                              <w:t xml:space="preserve">. Dhita approaches several large input suppliers in the area (with the capacity to distribute the right seeds and knowledge) that might have an interest in increasing their profits. Dhita offers them new insights from her analysis, information about potential new </w:t>
                            </w:r>
                            <w:r>
                              <w:rPr>
                                <w:rFonts w:cs="Arial"/>
                                <w:sz w:val="18"/>
                                <w:szCs w:val="18"/>
                                <w:lang w:eastAsia="en-AU"/>
                              </w:rPr>
                              <w:t xml:space="preserve">(mostly female) </w:t>
                            </w:r>
                            <w:r w:rsidRPr="00C776AD">
                              <w:rPr>
                                <w:rFonts w:cs="Arial"/>
                                <w:sz w:val="18"/>
                                <w:szCs w:val="18"/>
                                <w:lang w:eastAsia="en-AU"/>
                              </w:rPr>
                              <w:t>customers, new business ideas for reaching them, and co-funding to help reduce the initial risk of working in new ways. In return, Dhita is looking for co-investment from businesses, as an indication of their commitment to working differently.</w:t>
                            </w:r>
                          </w:p>
                          <w:p w14:paraId="1B666C40" w14:textId="77777777" w:rsidR="00243660" w:rsidRDefault="00243660" w:rsidP="00763643">
                            <w:pPr>
                              <w:spacing w:before="150" w:after="150"/>
                              <w:jc w:val="both"/>
                              <w:rPr>
                                <w:rFonts w:cs="Arial"/>
                                <w:sz w:val="18"/>
                                <w:szCs w:val="18"/>
                                <w:lang w:eastAsia="en-AU"/>
                              </w:rPr>
                            </w:pPr>
                            <w:r w:rsidRPr="00C776AD">
                              <w:rPr>
                                <w:rFonts w:cs="Arial"/>
                                <w:sz w:val="18"/>
                                <w:szCs w:val="18"/>
                                <w:lang w:eastAsia="en-AU"/>
                              </w:rPr>
                              <w:t>Many businesses say no to Dhita: they don’t see the opportunity or believe the risk to be too high. But one says yes. Dhita draws up an MOU to detail the arrangements that have been mutually agreed by AIP-Rural and the business – who does what and who pays for what.</w:t>
                            </w:r>
                          </w:p>
                          <w:p w14:paraId="4353A6B8" w14:textId="77777777" w:rsidR="00243660" w:rsidRPr="00517A37" w:rsidRDefault="00243660" w:rsidP="00763643">
                            <w:pPr>
                              <w:spacing w:before="150" w:after="150"/>
                              <w:jc w:val="both"/>
                              <w:rPr>
                                <w:rFonts w:cs="Arial"/>
                                <w:sz w:val="18"/>
                                <w:szCs w:val="18"/>
                                <w:lang w:eastAsia="en-AU"/>
                              </w:rPr>
                            </w:pPr>
                            <w:r w:rsidRPr="00C776AD">
                              <w:rPr>
                                <w:rFonts w:cs="Arial"/>
                                <w:sz w:val="18"/>
                                <w:szCs w:val="18"/>
                                <w:lang w:eastAsia="en-AU"/>
                              </w:rPr>
                              <w:t xml:space="preserve">Dhita then starts working with the business to </w:t>
                            </w:r>
                            <w:r w:rsidRPr="00C776AD">
                              <w:rPr>
                                <w:rFonts w:cs="Arial"/>
                                <w:b/>
                                <w:sz w:val="18"/>
                                <w:szCs w:val="18"/>
                                <w:lang w:eastAsia="en-AU"/>
                              </w:rPr>
                              <w:t>implement the intervention</w:t>
                            </w:r>
                            <w:r w:rsidRPr="00C776AD">
                              <w:rPr>
                                <w:rFonts w:cs="Arial"/>
                                <w:sz w:val="18"/>
                                <w:szCs w:val="18"/>
                                <w:lang w:eastAsia="en-AU"/>
                              </w:rPr>
                              <w:t xml:space="preserve">. The program’s role is not as a direct implementer, but to ‘facilitate’ or ‘hand hold’ the partner, e.g. helping them to set up a demonstration plot to show farmers how a new product can increase productivity, </w:t>
                            </w:r>
                            <w:r>
                              <w:rPr>
                                <w:rFonts w:cs="Arial"/>
                                <w:sz w:val="18"/>
                                <w:szCs w:val="18"/>
                                <w:lang w:eastAsia="en-AU"/>
                              </w:rPr>
                              <w:t xml:space="preserve">setting up value chain financing mechanisms, </w:t>
                            </w:r>
                            <w:r w:rsidRPr="00C776AD">
                              <w:rPr>
                                <w:rFonts w:cs="Arial"/>
                                <w:sz w:val="18"/>
                                <w:szCs w:val="18"/>
                                <w:lang w:eastAsia="en-AU"/>
                              </w:rPr>
                              <w:t>or advising on the best way to conduct farmer training to build a loyal customer base. Throughout this process, Dhita</w:t>
                            </w:r>
                            <w:r w:rsidRPr="00C776AD">
                              <w:rPr>
                                <w:rFonts w:cs="Arial"/>
                                <w:sz w:val="18"/>
                                <w:szCs w:val="18"/>
                                <w:lang w:val="en-US"/>
                              </w:rPr>
                              <w:t xml:space="preserve"> </w:t>
                            </w:r>
                            <w:r w:rsidRPr="00C776AD">
                              <w:rPr>
                                <w:rFonts w:cs="Arial"/>
                                <w:b/>
                                <w:sz w:val="18"/>
                                <w:szCs w:val="18"/>
                                <w:lang w:val="en-US"/>
                              </w:rPr>
                              <w:t>monitors progress</w:t>
                            </w:r>
                            <w:r w:rsidRPr="00C776AD">
                              <w:rPr>
                                <w:rFonts w:cs="Arial"/>
                                <w:sz w:val="18"/>
                                <w:szCs w:val="18"/>
                                <w:lang w:val="en-US"/>
                              </w:rPr>
                              <w:t xml:space="preserve"> and provides adjustments to the intervention, with advice from her supervisor. At the end of the intervention (after harvest), Dhita works with AIP-</w:t>
                            </w:r>
                            <w:proofErr w:type="spellStart"/>
                            <w:r w:rsidRPr="00C776AD">
                              <w:rPr>
                                <w:rFonts w:cs="Arial"/>
                                <w:sz w:val="18"/>
                                <w:szCs w:val="18"/>
                                <w:lang w:val="en-US"/>
                              </w:rPr>
                              <w:t>Rural’s</w:t>
                            </w:r>
                            <w:proofErr w:type="spellEnd"/>
                            <w:r w:rsidRPr="00C776AD">
                              <w:rPr>
                                <w:rFonts w:cs="Arial"/>
                                <w:sz w:val="18"/>
                                <w:szCs w:val="18"/>
                                <w:lang w:val="en-US"/>
                              </w:rPr>
                              <w:t xml:space="preserve"> measurement specialists to conduct an impact assessment to measure outreach: the number of farming households that have benefitted from an increase in income – a Net Attribu</w:t>
                            </w:r>
                            <w:r>
                              <w:rPr>
                                <w:rFonts w:cs="Arial"/>
                                <w:sz w:val="18"/>
                                <w:szCs w:val="18"/>
                                <w:lang w:val="en-US"/>
                              </w:rPr>
                              <w:t xml:space="preserve">table Income Increase Change (NAIC). </w:t>
                            </w:r>
                          </w:p>
                          <w:p w14:paraId="7B2FC804" w14:textId="2BCE6151" w:rsidR="00243660" w:rsidRPr="00C776AD" w:rsidRDefault="00243660" w:rsidP="00763643">
                            <w:pPr>
                              <w:rPr>
                                <w:rFonts w:cs="Arial"/>
                                <w:sz w:val="18"/>
                                <w:szCs w:val="18"/>
                                <w:lang w:val="en-US"/>
                              </w:rPr>
                            </w:pPr>
                            <w:proofErr w:type="spellStart"/>
                            <w:r w:rsidRPr="00C776AD">
                              <w:rPr>
                                <w:rFonts w:cs="Arial"/>
                                <w:sz w:val="18"/>
                                <w:szCs w:val="18"/>
                                <w:lang w:val="en-US"/>
                              </w:rPr>
                              <w:t>Dhita’s</w:t>
                            </w:r>
                            <w:proofErr w:type="spellEnd"/>
                            <w:r w:rsidRPr="00C776AD">
                              <w:rPr>
                                <w:rFonts w:cs="Arial"/>
                                <w:sz w:val="18"/>
                                <w:szCs w:val="18"/>
                                <w:lang w:val="en-US"/>
                              </w:rPr>
                              <w:t xml:space="preserve"> intervention has been a success: farmers have experienced a 50% income increase from their mung bean harvest</w:t>
                            </w:r>
                            <w:r>
                              <w:rPr>
                                <w:rFonts w:cs="Arial"/>
                                <w:sz w:val="18"/>
                                <w:szCs w:val="18"/>
                                <w:lang w:val="en-US"/>
                              </w:rPr>
                              <w:t xml:space="preserve"> (a large portion of whom are women)</w:t>
                            </w:r>
                            <w:r w:rsidRPr="00C776AD">
                              <w:rPr>
                                <w:rFonts w:cs="Arial"/>
                                <w:sz w:val="18"/>
                                <w:szCs w:val="18"/>
                                <w:lang w:val="en-US"/>
                              </w:rPr>
                              <w:t xml:space="preserve">, and the business partner’s profits have soared. The business is now interested in using this approach in the soy sector. Noticing this success, other businesses in the area have started to independently copy the approach. Dhita also starts to approach other businesses, offering MOUs with them as well. </w:t>
                            </w:r>
                            <w:r>
                              <w:rPr>
                                <w:rFonts w:cs="Arial"/>
                                <w:sz w:val="18"/>
                                <w:szCs w:val="18"/>
                                <w:lang w:val="en-US"/>
                              </w:rPr>
                              <w:t>All of this</w:t>
                            </w:r>
                            <w:r w:rsidRPr="00C776AD">
                              <w:rPr>
                                <w:rFonts w:cs="Arial"/>
                                <w:sz w:val="18"/>
                                <w:szCs w:val="18"/>
                                <w:lang w:val="en-US"/>
                              </w:rPr>
                              <w:t xml:space="preserve"> creates a </w:t>
                            </w:r>
                            <w:r w:rsidRPr="00C776AD">
                              <w:rPr>
                                <w:rFonts w:cs="Arial"/>
                                <w:b/>
                                <w:sz w:val="18"/>
                                <w:szCs w:val="18"/>
                                <w:lang w:val="en-US"/>
                              </w:rPr>
                              <w:t>‘crowding in’</w:t>
                            </w:r>
                            <w:r w:rsidRPr="00C776AD">
                              <w:rPr>
                                <w:rFonts w:cs="Arial"/>
                                <w:sz w:val="18"/>
                                <w:szCs w:val="18"/>
                                <w:lang w:val="en-US"/>
                              </w:rPr>
                              <w:t xml:space="preserve"> effect, which increases outreach and stimulates wider, systemic change across the sub-sector. </w:t>
                            </w:r>
                          </w:p>
                          <w:p w14:paraId="73194639" w14:textId="77777777" w:rsidR="00243660" w:rsidRPr="00C776AD" w:rsidRDefault="00243660" w:rsidP="00763643">
                            <w:pPr>
                              <w:jc w:val="both"/>
                              <w:rPr>
                                <w:sz w:val="18"/>
                                <w:szCs w:val="18"/>
                              </w:rPr>
                            </w:pPr>
                          </w:p>
                          <w:p w14:paraId="2BA7F3D1" w14:textId="77777777" w:rsidR="00243660" w:rsidRPr="00C776AD" w:rsidRDefault="00243660" w:rsidP="0076364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75pt;margin-top:84.2pt;width:486.5pt;height:603.6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" fillcolor="#b4c6e7 [1300]">
                <v:textbox>
                  <w:txbxContent>
                    <w:p w14:paraId="77A0EB29" w14:textId="64DFCC3E" w:rsidR="00243660" w:rsidRPr="00C13C23" w:rsidRDefault="00243660" w:rsidP="00763643">
                      <w:pPr>
                        <w:rPr>
                          <w:rFonts w:cs="Arial"/>
                          <w:b/>
                        </w:rPr>
                      </w:pPr>
                      <w:r w:rsidRPr="00C13C23">
                        <w:rPr>
                          <w:rFonts w:cs="Arial"/>
                          <w:b/>
                        </w:rPr>
                        <w:t xml:space="preserve">Box </w:t>
                      </w:r>
                      <w:r>
                        <w:rPr>
                          <w:rFonts w:cs="Arial"/>
                          <w:b/>
                        </w:rPr>
                        <w:t>2</w:t>
                      </w:r>
                      <w:r w:rsidRPr="00C13C23">
                        <w:rPr>
                          <w:rFonts w:cs="Arial"/>
                          <w:b/>
                        </w:rPr>
                        <w:t>. How We Work – Facilitation in Action</w:t>
                      </w:r>
                    </w:p>
                    <w:p w14:paraId="736A83A5" w14:textId="5A2C7A41" w:rsidR="00243660" w:rsidRDefault="00243660" w:rsidP="00763643">
                      <w:pPr>
                        <w:spacing w:after="0"/>
                        <w:rPr>
                          <w:rFonts w:cs="Arial"/>
                          <w:sz w:val="18"/>
                          <w:szCs w:val="18"/>
                          <w:lang w:eastAsia="en-AU"/>
                        </w:rPr>
                      </w:pPr>
                      <w:r w:rsidRPr="00C776AD">
                        <w:rPr>
                          <w:rFonts w:cs="Arial"/>
                          <w:sz w:val="18"/>
                          <w:szCs w:val="18"/>
                          <w:lang w:eastAsia="en-AU"/>
                        </w:rPr>
                        <w:t>Dhita is a business consultant in AIP-</w:t>
                      </w:r>
                      <w:proofErr w:type="spellStart"/>
                      <w:r w:rsidRPr="00C776AD">
                        <w:rPr>
                          <w:rFonts w:cs="Arial"/>
                          <w:sz w:val="18"/>
                          <w:szCs w:val="18"/>
                          <w:lang w:eastAsia="en-AU"/>
                        </w:rPr>
                        <w:t>Rural’s</w:t>
                      </w:r>
                      <w:proofErr w:type="spellEnd"/>
                      <w:r w:rsidRPr="00C776AD">
                        <w:rPr>
                          <w:rFonts w:cs="Arial"/>
                          <w:sz w:val="18"/>
                          <w:szCs w:val="18"/>
                          <w:lang w:eastAsia="en-AU"/>
                        </w:rPr>
                        <w:t xml:space="preserve"> pulses team. Her job is to set up, </w:t>
                      </w:r>
                    </w:p>
                    <w:p w14:paraId="5849459B" w14:textId="0115265F" w:rsidR="00243660" w:rsidRDefault="00243660" w:rsidP="00763643">
                      <w:pPr>
                        <w:spacing w:after="0"/>
                        <w:rPr>
                          <w:rFonts w:cs="Arial"/>
                          <w:sz w:val="18"/>
                          <w:szCs w:val="18"/>
                          <w:lang w:eastAsia="en-AU"/>
                        </w:rPr>
                      </w:pPr>
                      <w:proofErr w:type="gramStart"/>
                      <w:r w:rsidRPr="00C776AD">
                        <w:rPr>
                          <w:rFonts w:cs="Arial"/>
                          <w:sz w:val="18"/>
                          <w:szCs w:val="18"/>
                          <w:lang w:eastAsia="en-AU"/>
                        </w:rPr>
                        <w:t>monitor</w:t>
                      </w:r>
                      <w:proofErr w:type="gramEnd"/>
                      <w:r w:rsidRPr="00C776AD">
                        <w:rPr>
                          <w:rFonts w:cs="Arial"/>
                          <w:sz w:val="18"/>
                          <w:szCs w:val="18"/>
                          <w:lang w:eastAsia="en-AU"/>
                        </w:rPr>
                        <w:t>, and grow a series of interventions that help the program achieve its</w:t>
                      </w:r>
                    </w:p>
                    <w:p w14:paraId="0E001E1C" w14:textId="424FEE63" w:rsidR="00243660" w:rsidRDefault="00243660" w:rsidP="00763643">
                      <w:pPr>
                        <w:spacing w:after="0"/>
                        <w:rPr>
                          <w:rFonts w:cs="Arial"/>
                          <w:sz w:val="18"/>
                          <w:szCs w:val="18"/>
                          <w:lang w:eastAsia="en-AU"/>
                        </w:rPr>
                      </w:pPr>
                      <w:proofErr w:type="gramStart"/>
                      <w:r w:rsidRPr="00C776AD">
                        <w:rPr>
                          <w:rFonts w:cs="Arial"/>
                          <w:sz w:val="18"/>
                          <w:szCs w:val="18"/>
                          <w:lang w:eastAsia="en-AU"/>
                        </w:rPr>
                        <w:t>goal</w:t>
                      </w:r>
                      <w:proofErr w:type="gramEnd"/>
                      <w:r w:rsidRPr="00C776AD">
                        <w:rPr>
                          <w:rFonts w:cs="Arial"/>
                          <w:sz w:val="18"/>
                          <w:szCs w:val="18"/>
                          <w:lang w:eastAsia="en-AU"/>
                        </w:rPr>
                        <w:t xml:space="preserve"> of increasing incomes for smallholder farming households. She starts by</w:t>
                      </w:r>
                    </w:p>
                    <w:p w14:paraId="358FC0A2" w14:textId="77777777" w:rsidR="00243660" w:rsidRDefault="00243660" w:rsidP="00763643">
                      <w:pPr>
                        <w:spacing w:after="0"/>
                        <w:rPr>
                          <w:rFonts w:cs="Arial"/>
                          <w:sz w:val="18"/>
                          <w:szCs w:val="18"/>
                          <w:lang w:eastAsia="en-AU"/>
                        </w:rPr>
                      </w:pPr>
                      <w:proofErr w:type="gramStart"/>
                      <w:r w:rsidRPr="00C776AD">
                        <w:rPr>
                          <w:rFonts w:cs="Arial"/>
                          <w:b/>
                          <w:sz w:val="18"/>
                          <w:szCs w:val="18"/>
                          <w:lang w:eastAsia="en-AU"/>
                        </w:rPr>
                        <w:t>choosing</w:t>
                      </w:r>
                      <w:proofErr w:type="gramEnd"/>
                      <w:r w:rsidRPr="00C776AD">
                        <w:rPr>
                          <w:rFonts w:cs="Arial"/>
                          <w:b/>
                          <w:sz w:val="18"/>
                          <w:szCs w:val="18"/>
                          <w:lang w:eastAsia="en-AU"/>
                        </w:rPr>
                        <w:t xml:space="preserve"> a sub-sector </w:t>
                      </w:r>
                      <w:r w:rsidRPr="00C776AD">
                        <w:rPr>
                          <w:rFonts w:cs="Arial"/>
                          <w:sz w:val="18"/>
                          <w:szCs w:val="18"/>
                          <w:lang w:eastAsia="en-AU"/>
                        </w:rPr>
                        <w:t xml:space="preserve">to focus on. The selected sub-sector needs to fulfil </w:t>
                      </w:r>
                    </w:p>
                    <w:p w14:paraId="66DDE3FC" w14:textId="4EB4F1CE" w:rsidR="00243660" w:rsidRDefault="00243660" w:rsidP="00763643">
                      <w:pPr>
                        <w:spacing w:after="0"/>
                        <w:rPr>
                          <w:rFonts w:cs="Arial"/>
                          <w:sz w:val="18"/>
                          <w:szCs w:val="18"/>
                          <w:lang w:eastAsia="en-AU"/>
                        </w:rPr>
                      </w:pPr>
                      <w:proofErr w:type="gramStart"/>
                      <w:r w:rsidRPr="00C776AD">
                        <w:rPr>
                          <w:rFonts w:cs="Arial"/>
                          <w:sz w:val="18"/>
                          <w:szCs w:val="18"/>
                          <w:lang w:eastAsia="en-AU"/>
                        </w:rPr>
                        <w:t>three</w:t>
                      </w:r>
                      <w:proofErr w:type="gramEnd"/>
                      <w:r w:rsidRPr="00C776AD">
                        <w:rPr>
                          <w:rFonts w:cs="Arial"/>
                          <w:sz w:val="18"/>
                          <w:szCs w:val="18"/>
                          <w:lang w:eastAsia="en-AU"/>
                        </w:rPr>
                        <w:t xml:space="preserve"> criteria: relevant to high numbers of disadvantaged people (pro-poor </w:t>
                      </w:r>
                    </w:p>
                    <w:p w14:paraId="69803248"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potential</w:t>
                      </w:r>
                      <w:proofErr w:type="gramEnd"/>
                      <w:r w:rsidRPr="00C776AD">
                        <w:rPr>
                          <w:rFonts w:cs="Arial"/>
                          <w:sz w:val="18"/>
                          <w:szCs w:val="18"/>
                          <w:lang w:eastAsia="en-AU"/>
                        </w:rPr>
                        <w:t>); offer prospects for disadvantaged people to improve their position</w:t>
                      </w:r>
                    </w:p>
                    <w:p w14:paraId="7615D808"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e.g</w:t>
                      </w:r>
                      <w:proofErr w:type="gramEnd"/>
                      <w:r w:rsidRPr="00C776AD">
                        <w:rPr>
                          <w:rFonts w:cs="Arial"/>
                          <w:sz w:val="18"/>
                          <w:szCs w:val="18"/>
                          <w:lang w:eastAsia="en-AU"/>
                        </w:rPr>
                        <w:t xml:space="preserve">. by increasing their productivity or playing a new, higher earning role </w:t>
                      </w:r>
                    </w:p>
                    <w:p w14:paraId="3F0DAFFB" w14:textId="77777777" w:rsidR="00243660" w:rsidRDefault="00243660" w:rsidP="00763643">
                      <w:pPr>
                        <w:spacing w:after="0"/>
                        <w:rPr>
                          <w:rFonts w:cs="Arial"/>
                          <w:sz w:val="18"/>
                          <w:szCs w:val="18"/>
                          <w:lang w:eastAsia="en-AU"/>
                        </w:rPr>
                      </w:pPr>
                      <w:r w:rsidRPr="00C776AD">
                        <w:rPr>
                          <w:rFonts w:cs="Arial"/>
                          <w:sz w:val="18"/>
                          <w:szCs w:val="18"/>
                          <w:lang w:eastAsia="en-AU"/>
                        </w:rPr>
                        <w:t>(</w:t>
                      </w:r>
                      <w:proofErr w:type="gramStart"/>
                      <w:r w:rsidRPr="00C776AD">
                        <w:rPr>
                          <w:rFonts w:cs="Arial"/>
                          <w:sz w:val="18"/>
                          <w:szCs w:val="18"/>
                          <w:lang w:eastAsia="en-AU"/>
                        </w:rPr>
                        <w:t>pro-poor</w:t>
                      </w:r>
                      <w:proofErr w:type="gramEnd"/>
                      <w:r w:rsidRPr="00C776AD">
                        <w:rPr>
                          <w:rFonts w:cs="Arial"/>
                          <w:sz w:val="18"/>
                          <w:szCs w:val="18"/>
                          <w:lang w:eastAsia="en-AU"/>
                        </w:rPr>
                        <w:t xml:space="preserve"> growth potential); and there should be reasonable feasibility of </w:t>
                      </w:r>
                    </w:p>
                    <w:p w14:paraId="0B24FA71"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bringing</w:t>
                      </w:r>
                      <w:proofErr w:type="gramEnd"/>
                      <w:r w:rsidRPr="00C776AD">
                        <w:rPr>
                          <w:rFonts w:cs="Arial"/>
                          <w:sz w:val="18"/>
                          <w:szCs w:val="18"/>
                          <w:lang w:eastAsia="en-AU"/>
                        </w:rPr>
                        <w:t xml:space="preserve"> about change in the sub-sector. Using these criteria Dhita considers </w:t>
                      </w:r>
                    </w:p>
                    <w:p w14:paraId="24A874C1"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the</w:t>
                      </w:r>
                      <w:proofErr w:type="gramEnd"/>
                      <w:r w:rsidRPr="00C776AD">
                        <w:rPr>
                          <w:rFonts w:cs="Arial"/>
                          <w:sz w:val="18"/>
                          <w:szCs w:val="18"/>
                          <w:lang w:eastAsia="en-AU"/>
                        </w:rPr>
                        <w:t xml:space="preserve"> mung bean sub-sector to be promising. Her next step is to conduct a </w:t>
                      </w:r>
                    </w:p>
                    <w:p w14:paraId="6D93D053"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deeper</w:t>
                      </w:r>
                      <w:proofErr w:type="gramEnd"/>
                      <w:r w:rsidRPr="00C776AD">
                        <w:rPr>
                          <w:rFonts w:cs="Arial"/>
                          <w:sz w:val="18"/>
                          <w:szCs w:val="18"/>
                          <w:lang w:eastAsia="en-AU"/>
                        </w:rPr>
                        <w:t xml:space="preserve"> </w:t>
                      </w:r>
                      <w:r w:rsidRPr="00C776AD">
                        <w:rPr>
                          <w:rFonts w:cs="Arial"/>
                          <w:b/>
                          <w:sz w:val="18"/>
                          <w:szCs w:val="18"/>
                          <w:lang w:eastAsia="en-AU"/>
                        </w:rPr>
                        <w:t>sector analysis</w:t>
                      </w:r>
                      <w:r w:rsidRPr="00C776AD">
                        <w:rPr>
                          <w:rFonts w:cs="Arial"/>
                          <w:sz w:val="18"/>
                          <w:szCs w:val="18"/>
                          <w:lang w:eastAsia="en-AU"/>
                        </w:rPr>
                        <w:t xml:space="preserve"> to understand how the sub-sector works and why it</w:t>
                      </w:r>
                    </w:p>
                    <w:p w14:paraId="5AABF38A" w14:textId="77777777" w:rsidR="00243660" w:rsidRDefault="00243660" w:rsidP="00763643">
                      <w:pPr>
                        <w:spacing w:after="0"/>
                        <w:rPr>
                          <w:rFonts w:cs="Arial"/>
                          <w:sz w:val="18"/>
                          <w:szCs w:val="18"/>
                          <w:lang w:eastAsia="en-AU"/>
                        </w:rPr>
                      </w:pPr>
                      <w:proofErr w:type="gramStart"/>
                      <w:r w:rsidRPr="00C776AD">
                        <w:rPr>
                          <w:rFonts w:cs="Arial"/>
                          <w:sz w:val="18"/>
                          <w:szCs w:val="18"/>
                          <w:lang w:eastAsia="en-AU"/>
                        </w:rPr>
                        <w:t>isn’t</w:t>
                      </w:r>
                      <w:proofErr w:type="gramEnd"/>
                      <w:r w:rsidRPr="00C776AD">
                        <w:rPr>
                          <w:rFonts w:cs="Arial"/>
                          <w:sz w:val="18"/>
                          <w:szCs w:val="18"/>
                          <w:lang w:eastAsia="en-AU"/>
                        </w:rPr>
                        <w:t xml:space="preserve"> performing optimally. This is done in several ways: </w:t>
                      </w:r>
                      <w:proofErr w:type="spellStart"/>
                      <w:r w:rsidRPr="00C776AD">
                        <w:rPr>
                          <w:rFonts w:cs="Arial"/>
                          <w:sz w:val="18"/>
                          <w:szCs w:val="18"/>
                          <w:lang w:eastAsia="en-AU"/>
                        </w:rPr>
                        <w:t>i</w:t>
                      </w:r>
                      <w:proofErr w:type="spellEnd"/>
                      <w:r w:rsidRPr="00C776AD">
                        <w:rPr>
                          <w:rFonts w:cs="Arial"/>
                          <w:sz w:val="18"/>
                          <w:szCs w:val="18"/>
                          <w:lang w:eastAsia="en-AU"/>
                        </w:rPr>
                        <w:t>) conducting a</w:t>
                      </w:r>
                    </w:p>
                    <w:p w14:paraId="11AAEAD9" w14:textId="7338ABB3" w:rsidR="00243660" w:rsidRDefault="00243660" w:rsidP="00763643">
                      <w:pPr>
                        <w:spacing w:after="0"/>
                        <w:rPr>
                          <w:rFonts w:cs="Arial"/>
                          <w:sz w:val="18"/>
                          <w:szCs w:val="18"/>
                          <w:lang w:eastAsia="en-AU"/>
                        </w:rPr>
                      </w:pPr>
                      <w:proofErr w:type="gramStart"/>
                      <w:r w:rsidRPr="00C776AD">
                        <w:rPr>
                          <w:rFonts w:cs="Arial"/>
                          <w:sz w:val="18"/>
                          <w:szCs w:val="18"/>
                          <w:lang w:eastAsia="en-AU"/>
                        </w:rPr>
                        <w:t>literature</w:t>
                      </w:r>
                      <w:proofErr w:type="gramEnd"/>
                      <w:r w:rsidRPr="00C776AD">
                        <w:rPr>
                          <w:rFonts w:cs="Arial"/>
                          <w:sz w:val="18"/>
                          <w:szCs w:val="18"/>
                          <w:lang w:eastAsia="en-AU"/>
                        </w:rPr>
                        <w:t xml:space="preserve"> review and stakeholder interviews; ii) mapping the sector, its key</w:t>
                      </w:r>
                    </w:p>
                    <w:p w14:paraId="65004805" w14:textId="58670FD8" w:rsidR="00243660" w:rsidRPr="00C776AD" w:rsidRDefault="00243660" w:rsidP="00763643">
                      <w:pPr>
                        <w:spacing w:after="0"/>
                        <w:rPr>
                          <w:rFonts w:cs="Arial"/>
                          <w:sz w:val="18"/>
                          <w:szCs w:val="18"/>
                          <w:lang w:eastAsia="en-AU"/>
                        </w:rPr>
                      </w:pPr>
                      <w:r w:rsidRPr="00C776AD">
                        <w:rPr>
                          <w:rFonts w:cs="Arial"/>
                          <w:sz w:val="18"/>
                          <w:szCs w:val="18"/>
                          <w:lang w:eastAsia="en-AU"/>
                        </w:rPr>
                        <w:t xml:space="preserve">actors and key functions; iii) analysing problems and their underlying causes (including the regulatory environment); </w:t>
                      </w:r>
                      <w:proofErr w:type="gramStart"/>
                      <w:r w:rsidRPr="00C776AD">
                        <w:rPr>
                          <w:rFonts w:cs="Arial"/>
                          <w:sz w:val="18"/>
                          <w:szCs w:val="18"/>
                          <w:lang w:eastAsia="en-AU"/>
                        </w:rPr>
                        <w:t>iv</w:t>
                      </w:r>
                      <w:proofErr w:type="gramEnd"/>
                      <w:r w:rsidRPr="00C776AD">
                        <w:rPr>
                          <w:rFonts w:cs="Arial"/>
                          <w:sz w:val="18"/>
                          <w:szCs w:val="18"/>
                          <w:lang w:eastAsia="en-AU"/>
                        </w:rPr>
                        <w:t xml:space="preserve">) developing a vision of how the sub-sector could work better; and v) </w:t>
                      </w:r>
                      <w:r>
                        <w:rPr>
                          <w:rFonts w:cs="Arial"/>
                          <w:sz w:val="18"/>
                          <w:szCs w:val="18"/>
                          <w:lang w:eastAsia="en-AU"/>
                        </w:rPr>
                        <w:t>analysing</w:t>
                      </w:r>
                      <w:r w:rsidRPr="00C776AD">
                        <w:rPr>
                          <w:rFonts w:cs="Arial"/>
                          <w:sz w:val="18"/>
                          <w:szCs w:val="18"/>
                          <w:lang w:eastAsia="en-AU"/>
                        </w:rPr>
                        <w:t xml:space="preserve"> gender and social inclusion aspects. </w:t>
                      </w:r>
                    </w:p>
                    <w:p w14:paraId="56D7C2B4" w14:textId="1C961E87" w:rsidR="00243660" w:rsidRPr="00C776AD" w:rsidRDefault="00243660" w:rsidP="00763643">
                      <w:pPr>
                        <w:spacing w:before="150" w:after="150"/>
                        <w:jc w:val="both"/>
                        <w:rPr>
                          <w:rFonts w:cs="Arial"/>
                          <w:sz w:val="18"/>
                          <w:szCs w:val="18"/>
                          <w:lang w:eastAsia="en-AU"/>
                        </w:rPr>
                      </w:pPr>
                      <w:r w:rsidRPr="00C776AD">
                        <w:rPr>
                          <w:rFonts w:cs="Arial"/>
                          <w:sz w:val="18"/>
                          <w:szCs w:val="18"/>
                          <w:lang w:eastAsia="en-AU"/>
                        </w:rPr>
                        <w:t xml:space="preserve">With this detailed sector analysis, Dhita can now </w:t>
                      </w:r>
                      <w:r w:rsidRPr="00C776AD">
                        <w:rPr>
                          <w:rFonts w:cs="Arial"/>
                          <w:b/>
                          <w:sz w:val="18"/>
                          <w:szCs w:val="18"/>
                          <w:lang w:eastAsia="en-AU"/>
                        </w:rPr>
                        <w:t>design an intervention</w:t>
                      </w:r>
                      <w:r w:rsidRPr="00C776AD">
                        <w:rPr>
                          <w:rFonts w:cs="Arial"/>
                          <w:sz w:val="18"/>
                          <w:szCs w:val="18"/>
                          <w:lang w:eastAsia="en-AU"/>
                        </w:rPr>
                        <w:t>. Her analysis has uncovered several different ‘innovations’ that might address constraints in the sub-sector; introducing these innovations could generate more profits for smallholder farmers and other businesses in the sub-sector</w:t>
                      </w:r>
                      <w:r>
                        <w:rPr>
                          <w:rFonts w:cs="Arial"/>
                          <w:sz w:val="18"/>
                          <w:szCs w:val="18"/>
                          <w:lang w:eastAsia="en-AU"/>
                        </w:rPr>
                        <w:t>, especially for women who are the main decision makers about seeds in this commodity</w:t>
                      </w:r>
                      <w:r w:rsidRPr="00C776AD">
                        <w:rPr>
                          <w:rFonts w:cs="Arial"/>
                          <w:sz w:val="18"/>
                          <w:szCs w:val="18"/>
                          <w:lang w:eastAsia="en-AU"/>
                        </w:rPr>
                        <w:t>. For example, she discovers that farmers use retained m</w:t>
                      </w:r>
                      <w:r>
                        <w:rPr>
                          <w:rFonts w:cs="Arial"/>
                          <w:sz w:val="18"/>
                          <w:szCs w:val="18"/>
                          <w:lang w:eastAsia="en-AU"/>
                        </w:rPr>
                        <w:t xml:space="preserve">ung bean </w:t>
                      </w:r>
                      <w:r w:rsidRPr="00C776AD">
                        <w:rPr>
                          <w:rFonts w:cs="Arial"/>
                          <w:sz w:val="18"/>
                          <w:szCs w:val="18"/>
                          <w:lang w:eastAsia="en-AU"/>
                        </w:rPr>
                        <w:t>seeds, leading to low yields. Introducing higher quality seeds,</w:t>
                      </w:r>
                      <w:r>
                        <w:rPr>
                          <w:rFonts w:cs="Arial"/>
                          <w:sz w:val="18"/>
                          <w:szCs w:val="18"/>
                          <w:lang w:eastAsia="en-AU"/>
                        </w:rPr>
                        <w:t xml:space="preserve"> </w:t>
                      </w:r>
                      <w:r w:rsidRPr="00C776AD">
                        <w:rPr>
                          <w:rFonts w:cs="Arial"/>
                          <w:sz w:val="18"/>
                          <w:szCs w:val="18"/>
                          <w:lang w:eastAsia="en-AU"/>
                        </w:rPr>
                        <w:t>combined with good agricultural training,</w:t>
                      </w:r>
                      <w:r>
                        <w:rPr>
                          <w:rFonts w:cs="Arial"/>
                          <w:sz w:val="18"/>
                          <w:szCs w:val="18"/>
                          <w:lang w:eastAsia="en-AU"/>
                        </w:rPr>
                        <w:t xml:space="preserve"> and value chain financing</w:t>
                      </w:r>
                      <w:r w:rsidRPr="00C776AD">
                        <w:rPr>
                          <w:rFonts w:cs="Arial"/>
                          <w:sz w:val="18"/>
                          <w:szCs w:val="18"/>
                          <w:lang w:eastAsia="en-AU"/>
                        </w:rPr>
                        <w:t xml:space="preserve"> would significantly increase productivity. </w:t>
                      </w:r>
                      <w:proofErr w:type="spellStart"/>
                      <w:r w:rsidRPr="00C776AD">
                        <w:rPr>
                          <w:rFonts w:cs="Arial"/>
                          <w:sz w:val="18"/>
                          <w:szCs w:val="18"/>
                          <w:lang w:eastAsia="en-AU"/>
                        </w:rPr>
                        <w:t>Dhita’s</w:t>
                      </w:r>
                      <w:proofErr w:type="spellEnd"/>
                      <w:r w:rsidRPr="00C776AD">
                        <w:rPr>
                          <w:rFonts w:cs="Arial"/>
                          <w:sz w:val="18"/>
                          <w:szCs w:val="18"/>
                          <w:lang w:eastAsia="en-AU"/>
                        </w:rPr>
                        <w:t xml:space="preserve"> intervention proposal, along with those of other business consultants, is then peer reviewed by the program management team. They consider how interventions can be strengthened, which interventions should be prioritised, which are achievable within PRISMA’s timeframe, and which are too complex. </w:t>
                      </w:r>
                    </w:p>
                    <w:p w14:paraId="2E5559E5" w14:textId="04D7AC36" w:rsidR="00243660" w:rsidRPr="00C776AD" w:rsidRDefault="00243660" w:rsidP="00763643">
                      <w:pPr>
                        <w:spacing w:before="150" w:after="150"/>
                        <w:jc w:val="both"/>
                        <w:rPr>
                          <w:rFonts w:cs="Arial"/>
                          <w:sz w:val="18"/>
                          <w:szCs w:val="18"/>
                          <w:lang w:eastAsia="en-AU"/>
                        </w:rPr>
                      </w:pPr>
                      <w:proofErr w:type="spellStart"/>
                      <w:r w:rsidRPr="00C776AD">
                        <w:rPr>
                          <w:rFonts w:cs="Arial"/>
                          <w:sz w:val="18"/>
                          <w:szCs w:val="18"/>
                          <w:lang w:eastAsia="en-AU"/>
                        </w:rPr>
                        <w:t>Dhita’s</w:t>
                      </w:r>
                      <w:proofErr w:type="spellEnd"/>
                      <w:r w:rsidRPr="00C776AD">
                        <w:rPr>
                          <w:rFonts w:cs="Arial"/>
                          <w:sz w:val="18"/>
                          <w:szCs w:val="18"/>
                          <w:lang w:eastAsia="en-AU"/>
                        </w:rPr>
                        <w:t xml:space="preserve"> mung bean intervention proposal is approved. She then develops a strategy to find suitable private sector partners to pitch the business idea to, perhaps in consultation with local government. This is known as the </w:t>
                      </w:r>
                      <w:r w:rsidRPr="00C776AD">
                        <w:rPr>
                          <w:rFonts w:cs="Arial"/>
                          <w:b/>
                          <w:sz w:val="18"/>
                          <w:szCs w:val="18"/>
                          <w:lang w:eastAsia="en-AU"/>
                        </w:rPr>
                        <w:t>‘deal-making’ process</w:t>
                      </w:r>
                      <w:r w:rsidRPr="00C776AD">
                        <w:rPr>
                          <w:rFonts w:cs="Arial"/>
                          <w:sz w:val="18"/>
                          <w:szCs w:val="18"/>
                          <w:lang w:eastAsia="en-AU"/>
                        </w:rPr>
                        <w:t xml:space="preserve">. Dhita approaches several large input suppliers in the area (with the capacity to distribute the right seeds and knowledge) that might have an interest in increasing their profits. Dhita offers them new insights from her analysis, information about potential new </w:t>
                      </w:r>
                      <w:r>
                        <w:rPr>
                          <w:rFonts w:cs="Arial"/>
                          <w:sz w:val="18"/>
                          <w:szCs w:val="18"/>
                          <w:lang w:eastAsia="en-AU"/>
                        </w:rPr>
                        <w:t xml:space="preserve">(mostly female) </w:t>
                      </w:r>
                      <w:r w:rsidRPr="00C776AD">
                        <w:rPr>
                          <w:rFonts w:cs="Arial"/>
                          <w:sz w:val="18"/>
                          <w:szCs w:val="18"/>
                          <w:lang w:eastAsia="en-AU"/>
                        </w:rPr>
                        <w:t>customers, new business ideas for reaching them, and co-funding to help reduce the initial risk of working in new ways. In return, Dhita is looking for co-investment from businesses, as an indication of their commitment to working differently.</w:t>
                      </w:r>
                    </w:p>
                    <w:p w14:paraId="1B666C40" w14:textId="77777777" w:rsidR="00243660" w:rsidRDefault="00243660" w:rsidP="00763643">
                      <w:pPr>
                        <w:spacing w:before="150" w:after="150"/>
                        <w:jc w:val="both"/>
                        <w:rPr>
                          <w:rFonts w:cs="Arial"/>
                          <w:sz w:val="18"/>
                          <w:szCs w:val="18"/>
                          <w:lang w:eastAsia="en-AU"/>
                        </w:rPr>
                      </w:pPr>
                      <w:r w:rsidRPr="00C776AD">
                        <w:rPr>
                          <w:rFonts w:cs="Arial"/>
                          <w:sz w:val="18"/>
                          <w:szCs w:val="18"/>
                          <w:lang w:eastAsia="en-AU"/>
                        </w:rPr>
                        <w:t>Many businesses say no to Dhita: they don’t see the opportunity or believe the risk to be too high. But one says yes. Dhita draws up an MOU to detail the arrangements that have been mutually agreed by AIP-Rural and the business – who does what and who pays for what.</w:t>
                      </w:r>
                    </w:p>
                    <w:p w14:paraId="4353A6B8" w14:textId="77777777" w:rsidR="00243660" w:rsidRPr="00517A37" w:rsidRDefault="00243660" w:rsidP="00763643">
                      <w:pPr>
                        <w:spacing w:before="150" w:after="150"/>
                        <w:jc w:val="both"/>
                        <w:rPr>
                          <w:rFonts w:cs="Arial"/>
                          <w:sz w:val="18"/>
                          <w:szCs w:val="18"/>
                          <w:lang w:eastAsia="en-AU"/>
                        </w:rPr>
                      </w:pPr>
                      <w:r w:rsidRPr="00C776AD">
                        <w:rPr>
                          <w:rFonts w:cs="Arial"/>
                          <w:sz w:val="18"/>
                          <w:szCs w:val="18"/>
                          <w:lang w:eastAsia="en-AU"/>
                        </w:rPr>
                        <w:t xml:space="preserve">Dhita then starts working with the business to </w:t>
                      </w:r>
                      <w:r w:rsidRPr="00C776AD">
                        <w:rPr>
                          <w:rFonts w:cs="Arial"/>
                          <w:b/>
                          <w:sz w:val="18"/>
                          <w:szCs w:val="18"/>
                          <w:lang w:eastAsia="en-AU"/>
                        </w:rPr>
                        <w:t>implement the intervention</w:t>
                      </w:r>
                      <w:r w:rsidRPr="00C776AD">
                        <w:rPr>
                          <w:rFonts w:cs="Arial"/>
                          <w:sz w:val="18"/>
                          <w:szCs w:val="18"/>
                          <w:lang w:eastAsia="en-AU"/>
                        </w:rPr>
                        <w:t xml:space="preserve">. The program’s role is not as a direct implementer, but to ‘facilitate’ or ‘hand hold’ the partner, e.g. helping them to set up a demonstration plot to show farmers how a new product can increase productivity, </w:t>
                      </w:r>
                      <w:r>
                        <w:rPr>
                          <w:rFonts w:cs="Arial"/>
                          <w:sz w:val="18"/>
                          <w:szCs w:val="18"/>
                          <w:lang w:eastAsia="en-AU"/>
                        </w:rPr>
                        <w:t xml:space="preserve">setting up value chain financing mechanisms, </w:t>
                      </w:r>
                      <w:r w:rsidRPr="00C776AD">
                        <w:rPr>
                          <w:rFonts w:cs="Arial"/>
                          <w:sz w:val="18"/>
                          <w:szCs w:val="18"/>
                          <w:lang w:eastAsia="en-AU"/>
                        </w:rPr>
                        <w:t>or advising on the best way to conduct farmer training to build a loyal customer base. Throughout this process, Dhita</w:t>
                      </w:r>
                      <w:r w:rsidRPr="00C776AD">
                        <w:rPr>
                          <w:rFonts w:cs="Arial"/>
                          <w:sz w:val="18"/>
                          <w:szCs w:val="18"/>
                          <w:lang w:val="en-US"/>
                        </w:rPr>
                        <w:t xml:space="preserve"> </w:t>
                      </w:r>
                      <w:r w:rsidRPr="00C776AD">
                        <w:rPr>
                          <w:rFonts w:cs="Arial"/>
                          <w:b/>
                          <w:sz w:val="18"/>
                          <w:szCs w:val="18"/>
                          <w:lang w:val="en-US"/>
                        </w:rPr>
                        <w:t>monitors progress</w:t>
                      </w:r>
                      <w:r w:rsidRPr="00C776AD">
                        <w:rPr>
                          <w:rFonts w:cs="Arial"/>
                          <w:sz w:val="18"/>
                          <w:szCs w:val="18"/>
                          <w:lang w:val="en-US"/>
                        </w:rPr>
                        <w:t xml:space="preserve"> and provides adjustments to the intervention, with advice from her supervisor. At the end of the intervention (after harvest), Dhita works with AIP-</w:t>
                      </w:r>
                      <w:proofErr w:type="spellStart"/>
                      <w:r w:rsidRPr="00C776AD">
                        <w:rPr>
                          <w:rFonts w:cs="Arial"/>
                          <w:sz w:val="18"/>
                          <w:szCs w:val="18"/>
                          <w:lang w:val="en-US"/>
                        </w:rPr>
                        <w:t>Rural’s</w:t>
                      </w:r>
                      <w:proofErr w:type="spellEnd"/>
                      <w:r w:rsidRPr="00C776AD">
                        <w:rPr>
                          <w:rFonts w:cs="Arial"/>
                          <w:sz w:val="18"/>
                          <w:szCs w:val="18"/>
                          <w:lang w:val="en-US"/>
                        </w:rPr>
                        <w:t xml:space="preserve"> measurement specialists to conduct an impact assessment to measure outreach: the number of farming households that have benefitted from an increase in income – a Net Attribu</w:t>
                      </w:r>
                      <w:r>
                        <w:rPr>
                          <w:rFonts w:cs="Arial"/>
                          <w:sz w:val="18"/>
                          <w:szCs w:val="18"/>
                          <w:lang w:val="en-US"/>
                        </w:rPr>
                        <w:t xml:space="preserve">table Income Increase Change (NAIC). </w:t>
                      </w:r>
                    </w:p>
                    <w:p w14:paraId="7B2FC804" w14:textId="2BCE6151" w:rsidR="00243660" w:rsidRPr="00C776AD" w:rsidRDefault="00243660" w:rsidP="00763643">
                      <w:pPr>
                        <w:rPr>
                          <w:rFonts w:cs="Arial"/>
                          <w:sz w:val="18"/>
                          <w:szCs w:val="18"/>
                          <w:lang w:val="en-US"/>
                        </w:rPr>
                      </w:pPr>
                      <w:proofErr w:type="spellStart"/>
                      <w:r w:rsidRPr="00C776AD">
                        <w:rPr>
                          <w:rFonts w:cs="Arial"/>
                          <w:sz w:val="18"/>
                          <w:szCs w:val="18"/>
                          <w:lang w:val="en-US"/>
                        </w:rPr>
                        <w:t>Dhita’s</w:t>
                      </w:r>
                      <w:proofErr w:type="spellEnd"/>
                      <w:r w:rsidRPr="00C776AD">
                        <w:rPr>
                          <w:rFonts w:cs="Arial"/>
                          <w:sz w:val="18"/>
                          <w:szCs w:val="18"/>
                          <w:lang w:val="en-US"/>
                        </w:rPr>
                        <w:t xml:space="preserve"> intervention has been a success: farmers have experienced a 50% income increase from their mung bean harvest</w:t>
                      </w:r>
                      <w:r>
                        <w:rPr>
                          <w:rFonts w:cs="Arial"/>
                          <w:sz w:val="18"/>
                          <w:szCs w:val="18"/>
                          <w:lang w:val="en-US"/>
                        </w:rPr>
                        <w:t xml:space="preserve"> (a large portion of whom are women)</w:t>
                      </w:r>
                      <w:r w:rsidRPr="00C776AD">
                        <w:rPr>
                          <w:rFonts w:cs="Arial"/>
                          <w:sz w:val="18"/>
                          <w:szCs w:val="18"/>
                          <w:lang w:val="en-US"/>
                        </w:rPr>
                        <w:t xml:space="preserve">, and the business partner’s profits have soared. The business is now interested in using this approach in the soy sector. Noticing this success, other businesses in the area have started to independently copy the approach. Dhita also starts to approach other businesses, offering MOUs with them as well. </w:t>
                      </w:r>
                      <w:r>
                        <w:rPr>
                          <w:rFonts w:cs="Arial"/>
                          <w:sz w:val="18"/>
                          <w:szCs w:val="18"/>
                          <w:lang w:val="en-US"/>
                        </w:rPr>
                        <w:t>All of this</w:t>
                      </w:r>
                      <w:r w:rsidRPr="00C776AD">
                        <w:rPr>
                          <w:rFonts w:cs="Arial"/>
                          <w:sz w:val="18"/>
                          <w:szCs w:val="18"/>
                          <w:lang w:val="en-US"/>
                        </w:rPr>
                        <w:t xml:space="preserve"> creates a </w:t>
                      </w:r>
                      <w:r w:rsidRPr="00C776AD">
                        <w:rPr>
                          <w:rFonts w:cs="Arial"/>
                          <w:b/>
                          <w:sz w:val="18"/>
                          <w:szCs w:val="18"/>
                          <w:lang w:val="en-US"/>
                        </w:rPr>
                        <w:t>‘crowding in’</w:t>
                      </w:r>
                      <w:r w:rsidRPr="00C776AD">
                        <w:rPr>
                          <w:rFonts w:cs="Arial"/>
                          <w:sz w:val="18"/>
                          <w:szCs w:val="18"/>
                          <w:lang w:val="en-US"/>
                        </w:rPr>
                        <w:t xml:space="preserve"> effect, which increases outreach and stimulates wider, systemic change across the sub-sector. </w:t>
                      </w:r>
                    </w:p>
                    <w:p w14:paraId="73194639" w14:textId="77777777" w:rsidR="00243660" w:rsidRPr="00C776AD" w:rsidRDefault="00243660" w:rsidP="00763643">
                      <w:pPr>
                        <w:jc w:val="both"/>
                        <w:rPr>
                          <w:sz w:val="18"/>
                          <w:szCs w:val="18"/>
                        </w:rPr>
                      </w:pPr>
                    </w:p>
                    <w:p w14:paraId="2BA7F3D1" w14:textId="77777777" w:rsidR="00243660" w:rsidRPr="00C776AD" w:rsidRDefault="00243660" w:rsidP="00763643">
                      <w:pPr>
                        <w:rPr>
                          <w:sz w:val="18"/>
                          <w:szCs w:val="18"/>
                        </w:rPr>
                      </w:pPr>
                    </w:p>
                  </w:txbxContent>
                </v:textbox>
                <w10:wrap type="square" anchorx="page"/>
              </v:shape>
            </w:pict>
          </mc:Fallback>
        </mc:AlternateContent>
      </w:r>
      <w:r w:rsidR="002F7707" w:rsidRPr="004C7AE2">
        <w:rPr>
          <w:rFonts w:cstheme="minorHAnsi"/>
        </w:rPr>
        <w:t>progress towards impact</w:t>
      </w:r>
      <w:r w:rsidR="002F7707">
        <w:rPr>
          <w:rFonts w:cstheme="minorHAnsi"/>
        </w:rPr>
        <w:t xml:space="preserve"> (see Annex 3; Results Measurement, MIS and evaluation </w:t>
      </w:r>
      <w:r>
        <w:rPr>
          <w:rFonts w:cstheme="minorHAnsi"/>
        </w:rPr>
        <w:t>section).</w:t>
      </w:r>
      <w:r w:rsidR="00763643">
        <w:br w:type="page"/>
      </w:r>
    </w:p>
    <w:p w14:paraId="6916794C" w14:textId="2BFA1ECB" w:rsidR="004A19FB" w:rsidRDefault="005C2288" w:rsidP="004A19FB">
      <w:pPr>
        <w:pStyle w:val="Heading9"/>
      </w:pPr>
      <w:r>
        <w:lastRenderedPageBreak/>
        <w:t>Scale and Outreach</w:t>
      </w:r>
    </w:p>
    <w:p w14:paraId="29CE91D3" w14:textId="6EF2A09B" w:rsidR="00DE0823" w:rsidRPr="008733C8" w:rsidRDefault="004A19FB" w:rsidP="004A19FB">
      <w:pPr>
        <w:pStyle w:val="BodyText"/>
      </w:pPr>
      <w:r>
        <w:t>PRISMA-2 will achieve its scale and outreach target of an additional 700,000 smallholder farming households with increased incomes of at least 30% through a focus on implementing interventions in high-potential commodity sub-sectors in specific geographic locations</w:t>
      </w:r>
      <w:r w:rsidR="00FE54D6">
        <w:t xml:space="preserve"> and an increased focus on systemic change and sustainability</w:t>
      </w:r>
      <w:r>
        <w:t xml:space="preserve">. AIP-Rural worked in </w:t>
      </w:r>
      <w:r w:rsidR="00EB5D54">
        <w:t>five</w:t>
      </w:r>
      <w:r>
        <w:t xml:space="preserve"> provinces (East Java, NTT, NTB, Papua and West Papua) with more than 23 commodity sub-sectors; </w:t>
      </w:r>
      <w:r w:rsidR="00FE54D6">
        <w:t xml:space="preserve">and </w:t>
      </w:r>
      <w:r>
        <w:t xml:space="preserve">the </w:t>
      </w:r>
      <w:r w:rsidR="00FE54D6">
        <w:t xml:space="preserve">high performing </w:t>
      </w:r>
      <w:r>
        <w:t xml:space="preserve">interventions will be continued and scaled up for PRISMA-2. PRISMA-2 will operate in </w:t>
      </w:r>
      <w:r w:rsidR="00EB5D54">
        <w:t>six</w:t>
      </w:r>
      <w:r w:rsidRPr="004A19FB">
        <w:t xml:space="preserve"> </w:t>
      </w:r>
      <w:r>
        <w:t xml:space="preserve">provinces, including the additional province of Central Java, which was identified through analysis conducted as part of the design process (see Annex 6). The core criteria used for provincial selection included: outreach potential, percentage of farmers that are living on incomes of less than USD2.50 per day, the potential for sub-sector growth in that area, the willingness of partners to engage in that area/sub-sector, gender and inclusiveness, adequate economic infrastructure, and support from local and national government. </w:t>
      </w:r>
      <w:r w:rsidR="008A5CA4">
        <w:t xml:space="preserve"> </w:t>
      </w:r>
    </w:p>
    <w:p w14:paraId="57A208C9" w14:textId="6052B69C" w:rsidR="00DE0823" w:rsidRDefault="00DE0823" w:rsidP="00CB3B49">
      <w:r>
        <w:t>Estimating the potential outreach for PRISMA-2 is based on the Agricultural Census of 2013</w:t>
      </w:r>
      <w:r w:rsidR="003578FF">
        <w:t>,</w:t>
      </w:r>
      <w:r>
        <w:t xml:space="preserve"> which records the number of farm households engaged in the different crops or livestock sub-sectors in each province. To calculate a notional outreach for the </w:t>
      </w:r>
      <w:r w:rsidR="0069688A">
        <w:t>six</w:t>
      </w:r>
      <w:r>
        <w:t xml:space="preserve"> provinces, four scenarios were constructed based on census data. These scenarios were:</w:t>
      </w:r>
    </w:p>
    <w:p w14:paraId="7E37ECEB" w14:textId="0042A1E6" w:rsidR="00DE0823" w:rsidRDefault="00DE0823" w:rsidP="004B220D">
      <w:pPr>
        <w:pStyle w:val="ListParagraph"/>
        <w:numPr>
          <w:ilvl w:val="0"/>
          <w:numId w:val="47"/>
        </w:numPr>
        <w:jc w:val="both"/>
      </w:pPr>
      <w:r>
        <w:t>The potential outreach to households in the current sub-sectors and in the current 5 provinces</w:t>
      </w:r>
    </w:p>
    <w:p w14:paraId="4288F4C6" w14:textId="01247C8C" w:rsidR="00DE0823" w:rsidRDefault="00DE0823" w:rsidP="004B220D">
      <w:pPr>
        <w:pStyle w:val="ListParagraph"/>
        <w:numPr>
          <w:ilvl w:val="0"/>
          <w:numId w:val="47"/>
        </w:numPr>
        <w:jc w:val="both"/>
      </w:pPr>
      <w:r>
        <w:t>The potential outreach to households in the current 5 provinces i</w:t>
      </w:r>
      <w:r w:rsidR="006929A6">
        <w:t>n new sub-sectors</w:t>
      </w:r>
    </w:p>
    <w:p w14:paraId="1B231E15" w14:textId="5A37E313" w:rsidR="00DE0823" w:rsidRDefault="00DE0823" w:rsidP="004B220D">
      <w:pPr>
        <w:pStyle w:val="ListParagraph"/>
        <w:numPr>
          <w:ilvl w:val="0"/>
          <w:numId w:val="47"/>
        </w:numPr>
        <w:jc w:val="both"/>
      </w:pPr>
      <w:r>
        <w:t>The potential outreach to households in the current subsectors in the new province</w:t>
      </w:r>
      <w:r w:rsidR="006929A6">
        <w:t>, and</w:t>
      </w:r>
    </w:p>
    <w:p w14:paraId="2D45D06A" w14:textId="77777777" w:rsidR="00DE0823" w:rsidRDefault="00DE0823" w:rsidP="004B220D">
      <w:pPr>
        <w:pStyle w:val="ListParagraph"/>
        <w:numPr>
          <w:ilvl w:val="0"/>
          <w:numId w:val="47"/>
        </w:numPr>
        <w:jc w:val="both"/>
      </w:pPr>
      <w:r>
        <w:t>The potential outreach to households in new sub-sectors in the new province.</w:t>
      </w:r>
    </w:p>
    <w:p w14:paraId="667DDC35" w14:textId="01861D87" w:rsidR="0069688A" w:rsidRDefault="00DE0823" w:rsidP="00DE0823">
      <w:pPr>
        <w:pStyle w:val="BodyText"/>
      </w:pPr>
      <w:r>
        <w:t xml:space="preserve">This estimation is not a selection </w:t>
      </w:r>
      <w:r w:rsidR="007A57BE">
        <w:t>of sub-sectors for PRISMA-2 but</w:t>
      </w:r>
      <w:r>
        <w:t xml:space="preserve"> </w:t>
      </w:r>
      <w:r w:rsidR="0069688A">
        <w:t xml:space="preserve">was </w:t>
      </w:r>
      <w:r>
        <w:t>used to determine if the outreach target of 700,000 smallholder farming households (60% of which consist of people living below USD2.50 per day) is plausible. Total farming household figures in those sub-sectors and in those provinces were then reduced to 10% to represent realistic adoption targets based on rigorously measured AIP-Rural results. At the same time</w:t>
      </w:r>
      <w:r w:rsidR="0069688A">
        <w:t>,</w:t>
      </w:r>
      <w:r>
        <w:t xml:space="preserve"> estimates were made of the percentage of these households with farmers livin</w:t>
      </w:r>
      <w:r w:rsidR="005C2288">
        <w:t>g on less than USD2.50 per day.</w:t>
      </w:r>
    </w:p>
    <w:p w14:paraId="5AA23496" w14:textId="7624BD45" w:rsidR="00DE0823" w:rsidRDefault="0069688A" w:rsidP="00DE0823">
      <w:pPr>
        <w:pStyle w:val="BodyText"/>
      </w:pPr>
      <w:r>
        <w:t xml:space="preserve">Based on these estimations, </w:t>
      </w:r>
      <w:r w:rsidR="00DE0823">
        <w:t xml:space="preserve">farming households </w:t>
      </w:r>
      <w:r>
        <w:t xml:space="preserve">total </w:t>
      </w:r>
      <w:r w:rsidR="00DE0823">
        <w:t>25,772,000</w:t>
      </w:r>
      <w:r w:rsidR="00520196">
        <w:t xml:space="preserve"> across the six provinces</w:t>
      </w:r>
      <w:r w:rsidR="00DE0823">
        <w:t xml:space="preserve">, 10% of </w:t>
      </w:r>
      <w:r>
        <w:t>which is</w:t>
      </w:r>
      <w:r w:rsidR="00DE0823">
        <w:t xml:space="preserve"> 2,577,200</w:t>
      </w:r>
      <w:r>
        <w:t>,</w:t>
      </w:r>
      <w:r w:rsidR="00DE0823">
        <w:t xml:space="preserve"> and of this figure (depending on the individual poverty estimates of the provinces) 1,577,000 </w:t>
      </w:r>
      <w:r>
        <w:t xml:space="preserve">are </w:t>
      </w:r>
      <w:r w:rsidR="00DE0823">
        <w:t xml:space="preserve">estimated to be living on incomes below USD2.50 per day. On the assumption that some of these numbers may be over-reported in the Agricultural Census, the total potential outreach </w:t>
      </w:r>
      <w:r w:rsidR="00DE0823" w:rsidRPr="003578FF">
        <w:t>for all</w:t>
      </w:r>
      <w:r w:rsidR="00DE0823" w:rsidRPr="00DE0823">
        <w:rPr>
          <w:b/>
        </w:rPr>
        <w:t xml:space="preserve"> </w:t>
      </w:r>
      <w:r w:rsidR="00DE0823">
        <w:t>households could be reduced by a further 25% to 1,182,000.</w:t>
      </w:r>
      <w:r w:rsidR="00DE0823">
        <w:rPr>
          <w:rStyle w:val="FootnoteReference"/>
        </w:rPr>
        <w:footnoteReference w:id="35"/>
      </w:r>
      <w:r w:rsidR="00DE0823">
        <w:t xml:space="preserve"> If the target of PRISMA-2 is to reach an additional 700,000 smallholder farming households, 60% of which consist of people living below USD2.50 per day, then the outreach potential offered in these </w:t>
      </w:r>
      <w:r w:rsidR="00520196">
        <w:t>six</w:t>
      </w:r>
      <w:r w:rsidR="00DE0823">
        <w:t xml:space="preserve"> provinces suggests the proposed target is plausible; especially as there is still considerable unmet potential in the existing five provinces.</w:t>
      </w:r>
    </w:p>
    <w:p w14:paraId="4B20B37B" w14:textId="5E430232" w:rsidR="008A5CA4" w:rsidRDefault="008A5CA4" w:rsidP="00DE0823">
      <w:pPr>
        <w:pStyle w:val="BodyText"/>
        <w:rPr>
          <w:rFonts w:cstheme="minorHAnsi"/>
        </w:rPr>
      </w:pPr>
      <w:r>
        <w:t>Cen</w:t>
      </w:r>
      <w:r w:rsidR="00ED7AA6">
        <w:t>tral Java was ultimately selected with support from BAPPENAS due to the high incidence of rural poverty, strong interest from business partners, and potential to impact more broadly on Indonesia’s agricultural market systems. This also ensures a good diversity of focus provinces and enables the Program to test the MSD approach in contrasting locations, from Central Java to Papua.</w:t>
      </w:r>
      <w:r>
        <w:t xml:space="preserve"> The addition of Central Java will likely only add a few more commodity sub-sectors to the PRISMA-2 intervention portfolio as many of the sectors in this province are common to the existing five provinces, even though their constraints may differ.</w:t>
      </w:r>
    </w:p>
    <w:p w14:paraId="201E3FBC" w14:textId="5C7CE98C" w:rsidR="002B16CC" w:rsidRDefault="002B16CC" w:rsidP="004A5A58">
      <w:pPr>
        <w:pStyle w:val="Heading9"/>
      </w:pPr>
      <w:r>
        <w:lastRenderedPageBreak/>
        <w:t>Poverty focus</w:t>
      </w:r>
    </w:p>
    <w:p w14:paraId="06689498" w14:textId="64C18792" w:rsidR="002B16CC" w:rsidRDefault="002B16CC" w:rsidP="002B16CC">
      <w:pPr>
        <w:jc w:val="both"/>
      </w:pPr>
      <w:r>
        <w:t xml:space="preserve">Poverty </w:t>
      </w:r>
      <w:r w:rsidR="0048223F">
        <w:t>reduction</w:t>
      </w:r>
      <w:r>
        <w:t xml:space="preserve"> will be a core focus of PRISMA-2. PRISMA’s orientation to poverty will be achieved through four implementation principles:</w:t>
      </w:r>
    </w:p>
    <w:p w14:paraId="75194908" w14:textId="2D0F43BE" w:rsidR="002B16CC" w:rsidRDefault="002B16CC" w:rsidP="004B220D">
      <w:pPr>
        <w:pStyle w:val="ListParagraph"/>
        <w:numPr>
          <w:ilvl w:val="0"/>
          <w:numId w:val="24"/>
        </w:numPr>
        <w:jc w:val="both"/>
      </w:pPr>
      <w:r>
        <w:t>Selecting areas of operation where the incidence of poverty is high</w:t>
      </w:r>
      <w:r>
        <w:rPr>
          <w:rStyle w:val="FootnoteReference"/>
        </w:rPr>
        <w:footnoteReference w:id="36"/>
      </w:r>
      <w:r>
        <w:t xml:space="preserve"> </w:t>
      </w:r>
    </w:p>
    <w:p w14:paraId="6613B27D" w14:textId="350506CC" w:rsidR="002B16CC" w:rsidRDefault="002B16CC" w:rsidP="004B220D">
      <w:pPr>
        <w:pStyle w:val="ListParagraph"/>
        <w:numPr>
          <w:ilvl w:val="0"/>
          <w:numId w:val="24"/>
        </w:numPr>
        <w:jc w:val="both"/>
      </w:pPr>
      <w:r>
        <w:t>Choosing agricultural sectors</w:t>
      </w:r>
      <w:r w:rsidR="006929A6">
        <w:t xml:space="preserve"> that are important to the poor</w:t>
      </w:r>
      <w:r w:rsidR="0048223F">
        <w:t xml:space="preserve"> (</w:t>
      </w:r>
      <w:r w:rsidR="00660E9A">
        <w:t>men and</w:t>
      </w:r>
      <w:r w:rsidR="0048223F">
        <w:t xml:space="preserve"> women)</w:t>
      </w:r>
      <w:r>
        <w:t xml:space="preserve"> </w:t>
      </w:r>
    </w:p>
    <w:p w14:paraId="1CB3458C" w14:textId="77777777" w:rsidR="002B16CC" w:rsidRDefault="002B16CC" w:rsidP="004B220D">
      <w:pPr>
        <w:pStyle w:val="ListParagraph"/>
        <w:numPr>
          <w:ilvl w:val="0"/>
          <w:numId w:val="24"/>
        </w:numPr>
        <w:jc w:val="both"/>
      </w:pPr>
      <w:r>
        <w:t>Within these sectors, searching for pro-poor opportunities for income growth, and</w:t>
      </w:r>
    </w:p>
    <w:p w14:paraId="247FC10F" w14:textId="77777777" w:rsidR="002B16CC" w:rsidRDefault="002B16CC" w:rsidP="004B220D">
      <w:pPr>
        <w:pStyle w:val="ListParagraph"/>
        <w:numPr>
          <w:ilvl w:val="0"/>
          <w:numId w:val="24"/>
        </w:numPr>
        <w:jc w:val="both"/>
      </w:pPr>
      <w:r>
        <w:t>Designing interventions with partners that specifically address the constraints of the poor.</w:t>
      </w:r>
    </w:p>
    <w:p w14:paraId="3342D225" w14:textId="2E5FE51C" w:rsidR="00E62287" w:rsidRDefault="001405D0" w:rsidP="002B16CC">
      <w:r>
        <w:t xml:space="preserve">Through </w:t>
      </w:r>
      <w:r w:rsidR="0047571B">
        <w:t xml:space="preserve">application of </w:t>
      </w:r>
      <w:r w:rsidR="00265CF6">
        <w:t xml:space="preserve">these implementation principles as a screening mechanism for new </w:t>
      </w:r>
      <w:r w:rsidR="0047571B">
        <w:t>intervention</w:t>
      </w:r>
      <w:r w:rsidR="00265CF6">
        <w:t>s</w:t>
      </w:r>
      <w:r w:rsidR="0047571B">
        <w:t xml:space="preserve">, </w:t>
      </w:r>
      <w:r w:rsidR="002B16CC">
        <w:t>60% of the 700,000 households that PRISMA</w:t>
      </w:r>
      <w:r w:rsidR="00520196">
        <w:t>-</w:t>
      </w:r>
      <w:r w:rsidR="002B16CC">
        <w:t>2 will reach will be households in which fa</w:t>
      </w:r>
      <w:r w:rsidR="00243660">
        <w:t>rmers are living on less than USD</w:t>
      </w:r>
      <w:r w:rsidR="002B16CC">
        <w:t>2.50 per day</w:t>
      </w:r>
      <w:r w:rsidR="00AC739D">
        <w:t xml:space="preserve"> (see Annex </w:t>
      </w:r>
      <w:r w:rsidR="001236FF">
        <w:t>6</w:t>
      </w:r>
      <w:r>
        <w:t>)</w:t>
      </w:r>
      <w:r w:rsidR="002B16CC">
        <w:t>.</w:t>
      </w:r>
      <w:r w:rsidR="00265CF6">
        <w:t xml:space="preserve"> </w:t>
      </w:r>
      <w:r w:rsidR="00520196">
        <w:t>While the majority of PRISMA 2’s beneficiaries may be classified as poor or near poor, PRISMA-2’s impact will also reach other non-poor farmers and other parts of the economy to a</w:t>
      </w:r>
      <w:r w:rsidR="005C2288">
        <w:t>chieve wider systemic change.</w:t>
      </w:r>
      <w:r w:rsidR="001D25D4">
        <w:t xml:space="preserve"> </w:t>
      </w:r>
      <w:r w:rsidR="00E62287">
        <w:t xml:space="preserve">PRISMA-2 </w:t>
      </w:r>
      <w:r w:rsidR="001D25D4">
        <w:t xml:space="preserve">will also </w:t>
      </w:r>
      <w:r w:rsidR="00E62287">
        <w:t>acknowledge the particular challenges encountered by poor women farmers who often lack access to services and opportunities</w:t>
      </w:r>
      <w:r w:rsidR="001D25D4">
        <w:t>,</w:t>
      </w:r>
      <w:r w:rsidR="00E62287">
        <w:t xml:space="preserve"> which affect their capacity to</w:t>
      </w:r>
      <w:r w:rsidR="001D25D4">
        <w:t xml:space="preserve"> improve</w:t>
      </w:r>
      <w:r w:rsidR="00E62287">
        <w:t xml:space="preserve"> their lives and contribute to economic growth. The P</w:t>
      </w:r>
      <w:r w:rsidR="001D25D4">
        <w:t>rogram</w:t>
      </w:r>
      <w:r w:rsidR="00E62287">
        <w:t xml:space="preserve"> will address the specific vulnerabilities of </w:t>
      </w:r>
      <w:r w:rsidR="001D25D4">
        <w:t xml:space="preserve">poor </w:t>
      </w:r>
      <w:r w:rsidR="00E62287">
        <w:t>women</w:t>
      </w:r>
      <w:r w:rsidR="001D25D4">
        <w:t xml:space="preserve"> farmers and treat</w:t>
      </w:r>
      <w:r w:rsidR="00E62287">
        <w:t xml:space="preserve"> </w:t>
      </w:r>
      <w:r w:rsidR="001D25D4">
        <w:t xml:space="preserve">WEE </w:t>
      </w:r>
      <w:r w:rsidR="00E62287">
        <w:t xml:space="preserve">as a </w:t>
      </w:r>
      <w:r w:rsidR="001D25D4">
        <w:t xml:space="preserve">core </w:t>
      </w:r>
      <w:r w:rsidR="00E62287">
        <w:t>cross-cutting issue.</w:t>
      </w:r>
    </w:p>
    <w:p w14:paraId="518CBECE" w14:textId="7F3B46F6" w:rsidR="004A5A58" w:rsidRPr="004A5A58" w:rsidRDefault="004A5A58" w:rsidP="004A5A58">
      <w:pPr>
        <w:pStyle w:val="Heading9"/>
      </w:pPr>
      <w:r>
        <w:t xml:space="preserve">Human </w:t>
      </w:r>
      <w:r w:rsidR="004B7239">
        <w:t>resource capacity</w:t>
      </w:r>
    </w:p>
    <w:p w14:paraId="1E8E5D44" w14:textId="0476315B" w:rsidR="006D4F76" w:rsidRPr="004A5A58" w:rsidRDefault="005D461A" w:rsidP="0067137A">
      <w:pPr>
        <w:pStyle w:val="BodyText"/>
        <w:rPr>
          <w:rFonts w:cstheme="minorHAnsi"/>
        </w:rPr>
      </w:pPr>
      <w:r>
        <w:rPr>
          <w:rFonts w:cstheme="minorHAnsi"/>
        </w:rPr>
        <w:t>PRISMA-2</w:t>
      </w:r>
      <w:r w:rsidR="006D4F76" w:rsidRPr="004A5A58">
        <w:rPr>
          <w:rFonts w:cstheme="minorHAnsi"/>
        </w:rPr>
        <w:t xml:space="preserve"> </w:t>
      </w:r>
      <w:r w:rsidR="000403BB" w:rsidRPr="004A5A58">
        <w:rPr>
          <w:rFonts w:cstheme="minorHAnsi"/>
        </w:rPr>
        <w:t>will</w:t>
      </w:r>
      <w:r w:rsidR="006D4F76" w:rsidRPr="004A5A58">
        <w:rPr>
          <w:rFonts w:cstheme="minorHAnsi"/>
        </w:rPr>
        <w:t xml:space="preserve"> add</w:t>
      </w:r>
      <w:r w:rsidR="000403BB" w:rsidRPr="004A5A58">
        <w:rPr>
          <w:rFonts w:cstheme="minorHAnsi"/>
        </w:rPr>
        <w:t xml:space="preserve"> </w:t>
      </w:r>
      <w:r w:rsidR="006D4F76" w:rsidRPr="004A5A58">
        <w:rPr>
          <w:rFonts w:cstheme="minorHAnsi"/>
        </w:rPr>
        <w:t>value through its analysis, its creativity and its negotiation</w:t>
      </w:r>
      <w:r w:rsidR="00440AA5" w:rsidRPr="004A5A58">
        <w:rPr>
          <w:rFonts w:cstheme="minorHAnsi"/>
        </w:rPr>
        <w:t xml:space="preserve"> with partners. </w:t>
      </w:r>
      <w:r w:rsidR="00A63BDB">
        <w:rPr>
          <w:rFonts w:cstheme="minorHAnsi"/>
        </w:rPr>
        <w:t xml:space="preserve">Because </w:t>
      </w:r>
      <w:r>
        <w:rPr>
          <w:rFonts w:cstheme="minorHAnsi"/>
        </w:rPr>
        <w:t>PRISMA-2</w:t>
      </w:r>
      <w:r w:rsidR="00A63BDB">
        <w:rPr>
          <w:rFonts w:cstheme="minorHAnsi"/>
        </w:rPr>
        <w:t xml:space="preserve"> does not </w:t>
      </w:r>
      <w:r w:rsidR="0036344C">
        <w:rPr>
          <w:rFonts w:cstheme="minorHAnsi"/>
        </w:rPr>
        <w:t xml:space="preserve">directly </w:t>
      </w:r>
      <w:r w:rsidR="00A63BDB">
        <w:rPr>
          <w:rFonts w:cstheme="minorHAnsi"/>
        </w:rPr>
        <w:t xml:space="preserve">deliver </w:t>
      </w:r>
      <w:r w:rsidR="0036344C" w:rsidRPr="00FA1C30">
        <w:rPr>
          <w:rFonts w:cstheme="minorHAnsi"/>
        </w:rPr>
        <w:t>outputs</w:t>
      </w:r>
      <w:r w:rsidR="00A63BDB">
        <w:rPr>
          <w:rFonts w:cstheme="minorHAnsi"/>
        </w:rPr>
        <w:t>, but rather</w:t>
      </w:r>
      <w:r w:rsidR="00C16954">
        <w:rPr>
          <w:rFonts w:cstheme="minorHAnsi"/>
        </w:rPr>
        <w:t xml:space="preserve"> introduces new ideas, insights and ways of working and brokers new relationships</w:t>
      </w:r>
      <w:r w:rsidR="00A63BDB">
        <w:rPr>
          <w:rFonts w:cstheme="minorHAnsi"/>
        </w:rPr>
        <w:t>, it is highly reliant on a pool of staff</w:t>
      </w:r>
      <w:r w:rsidR="0036344C">
        <w:rPr>
          <w:rFonts w:cstheme="minorHAnsi"/>
        </w:rPr>
        <w:t xml:space="preserve"> with business analysis</w:t>
      </w:r>
      <w:r w:rsidR="00ED5ED7">
        <w:rPr>
          <w:rFonts w:cstheme="minorHAnsi"/>
        </w:rPr>
        <w:t>, entrepreneurial,</w:t>
      </w:r>
      <w:r w:rsidR="0036344C">
        <w:rPr>
          <w:rFonts w:cstheme="minorHAnsi"/>
        </w:rPr>
        <w:t xml:space="preserve"> and facilitation skills</w:t>
      </w:r>
      <w:r w:rsidR="00A63BDB">
        <w:rPr>
          <w:rFonts w:cstheme="minorHAnsi"/>
        </w:rPr>
        <w:t xml:space="preserve">. </w:t>
      </w:r>
      <w:r w:rsidR="00440AA5" w:rsidRPr="004A5A58">
        <w:rPr>
          <w:rFonts w:cstheme="minorHAnsi"/>
        </w:rPr>
        <w:t xml:space="preserve">The implementing </w:t>
      </w:r>
      <w:r w:rsidR="006D4F76" w:rsidRPr="004A5A58">
        <w:rPr>
          <w:rFonts w:cstheme="minorHAnsi"/>
        </w:rPr>
        <w:t>team</w:t>
      </w:r>
      <w:r w:rsidR="003578FF">
        <w:rPr>
          <w:rFonts w:cstheme="minorHAnsi"/>
        </w:rPr>
        <w:t xml:space="preserve"> requires</w:t>
      </w:r>
      <w:r w:rsidR="00440AA5" w:rsidRPr="004A5A58">
        <w:rPr>
          <w:rFonts w:cstheme="minorHAnsi"/>
        </w:rPr>
        <w:t xml:space="preserve"> the capacity</w:t>
      </w:r>
      <w:r w:rsidR="006D4F76" w:rsidRPr="004A5A58">
        <w:rPr>
          <w:rFonts w:cstheme="minorHAnsi"/>
        </w:rPr>
        <w:t xml:space="preserve"> </w:t>
      </w:r>
      <w:r w:rsidR="000403BB" w:rsidRPr="004A5A58">
        <w:rPr>
          <w:rFonts w:cstheme="minorHAnsi"/>
        </w:rPr>
        <w:t>to</w:t>
      </w:r>
      <w:r w:rsidR="00520196">
        <w:rPr>
          <w:rFonts w:cstheme="minorHAnsi"/>
        </w:rPr>
        <w:t>:</w:t>
      </w:r>
      <w:r w:rsidR="000403BB" w:rsidRPr="004A5A58">
        <w:rPr>
          <w:rFonts w:cstheme="minorHAnsi"/>
        </w:rPr>
        <w:t xml:space="preserve"> </w:t>
      </w:r>
      <w:r w:rsidR="00B72A3B" w:rsidRPr="004A5A58">
        <w:rPr>
          <w:rFonts w:cstheme="minorHAnsi"/>
        </w:rPr>
        <w:t xml:space="preserve">(a) </w:t>
      </w:r>
      <w:r w:rsidR="006D4F76" w:rsidRPr="004A5A58">
        <w:rPr>
          <w:rFonts w:cstheme="minorHAnsi"/>
        </w:rPr>
        <w:t xml:space="preserve">analyse constraints and identify opportunities that have both </w:t>
      </w:r>
      <w:r w:rsidR="00981F8E" w:rsidRPr="004A5A58">
        <w:rPr>
          <w:rFonts w:cstheme="minorHAnsi"/>
        </w:rPr>
        <w:t>pro-poor</w:t>
      </w:r>
      <w:r w:rsidR="006D4F76" w:rsidRPr="004A5A58">
        <w:rPr>
          <w:rFonts w:cstheme="minorHAnsi"/>
        </w:rPr>
        <w:t xml:space="preserve"> and commercial</w:t>
      </w:r>
      <w:r w:rsidR="00981F8E" w:rsidRPr="004A5A58">
        <w:rPr>
          <w:rFonts w:cstheme="minorHAnsi"/>
        </w:rPr>
        <w:t xml:space="preserve"> potential</w:t>
      </w:r>
      <w:r w:rsidR="009D41A3" w:rsidRPr="004A5A58">
        <w:rPr>
          <w:rFonts w:cstheme="minorHAnsi"/>
        </w:rPr>
        <w:t>;</w:t>
      </w:r>
      <w:r w:rsidR="00B72A3B" w:rsidRPr="004A5A58">
        <w:rPr>
          <w:rFonts w:cstheme="minorHAnsi"/>
        </w:rPr>
        <w:t xml:space="preserve"> (b) </w:t>
      </w:r>
      <w:r w:rsidR="006D4F76" w:rsidRPr="004A5A58">
        <w:rPr>
          <w:rFonts w:cstheme="minorHAnsi"/>
        </w:rPr>
        <w:t xml:space="preserve">creatively </w:t>
      </w:r>
      <w:r w:rsidR="00981F8E" w:rsidRPr="004A5A58">
        <w:rPr>
          <w:rFonts w:cstheme="minorHAnsi"/>
        </w:rPr>
        <w:t>develop</w:t>
      </w:r>
      <w:r w:rsidR="00B72A3B" w:rsidRPr="004A5A58">
        <w:rPr>
          <w:rFonts w:cstheme="minorHAnsi"/>
        </w:rPr>
        <w:t xml:space="preserve"> </w:t>
      </w:r>
      <w:r w:rsidR="00981F8E" w:rsidRPr="004A5A58">
        <w:rPr>
          <w:rFonts w:cstheme="minorHAnsi"/>
        </w:rPr>
        <w:t xml:space="preserve">business models </w:t>
      </w:r>
      <w:r w:rsidR="00B46D30" w:rsidRPr="004A5A58">
        <w:rPr>
          <w:rFonts w:cstheme="minorHAnsi"/>
        </w:rPr>
        <w:t xml:space="preserve">that </w:t>
      </w:r>
      <w:r w:rsidR="009D41A3" w:rsidRPr="004A5A58">
        <w:rPr>
          <w:rFonts w:cstheme="minorHAnsi"/>
        </w:rPr>
        <w:t>are mutually beneficial to all parties involved;</w:t>
      </w:r>
      <w:r w:rsidR="00B72A3B" w:rsidRPr="004A5A58">
        <w:rPr>
          <w:rFonts w:cstheme="minorHAnsi"/>
        </w:rPr>
        <w:t xml:space="preserve"> </w:t>
      </w:r>
      <w:r w:rsidR="00B46D30" w:rsidRPr="004A5A58">
        <w:rPr>
          <w:rFonts w:cstheme="minorHAnsi"/>
        </w:rPr>
        <w:t xml:space="preserve">and </w:t>
      </w:r>
      <w:r w:rsidR="00B72A3B" w:rsidRPr="004A5A58">
        <w:rPr>
          <w:rFonts w:cstheme="minorHAnsi"/>
        </w:rPr>
        <w:t xml:space="preserve">(c) </w:t>
      </w:r>
      <w:r w:rsidR="006D4F76" w:rsidRPr="004A5A58">
        <w:rPr>
          <w:rFonts w:cstheme="minorHAnsi"/>
        </w:rPr>
        <w:t>negotiat</w:t>
      </w:r>
      <w:r w:rsidR="00B72A3B" w:rsidRPr="004A5A58">
        <w:rPr>
          <w:rFonts w:cstheme="minorHAnsi"/>
        </w:rPr>
        <w:t>e</w:t>
      </w:r>
      <w:r w:rsidR="006D4F76" w:rsidRPr="004A5A58">
        <w:rPr>
          <w:rFonts w:cstheme="minorHAnsi"/>
        </w:rPr>
        <w:t xml:space="preserve"> </w:t>
      </w:r>
      <w:r w:rsidR="00B72A3B" w:rsidRPr="004A5A58">
        <w:rPr>
          <w:rFonts w:cstheme="minorHAnsi"/>
        </w:rPr>
        <w:t xml:space="preserve">co-investment </w:t>
      </w:r>
      <w:r w:rsidR="00B46D30" w:rsidRPr="004A5A58">
        <w:rPr>
          <w:rFonts w:cstheme="minorHAnsi"/>
        </w:rPr>
        <w:t>deals with the private sector partners</w:t>
      </w:r>
      <w:r w:rsidR="009D41A3" w:rsidRPr="004A5A58">
        <w:rPr>
          <w:rFonts w:cstheme="minorHAnsi"/>
        </w:rPr>
        <w:t xml:space="preserve"> and new relationships between market actors</w:t>
      </w:r>
      <w:r w:rsidR="00B46D30" w:rsidRPr="004A5A58">
        <w:rPr>
          <w:rFonts w:cstheme="minorHAnsi"/>
        </w:rPr>
        <w:t xml:space="preserve"> tha</w:t>
      </w:r>
      <w:r w:rsidR="009D41A3" w:rsidRPr="004A5A58">
        <w:rPr>
          <w:rFonts w:cstheme="minorHAnsi"/>
        </w:rPr>
        <w:t>t</w:t>
      </w:r>
      <w:r w:rsidR="00B46D30" w:rsidRPr="004A5A58">
        <w:rPr>
          <w:rFonts w:cstheme="minorHAnsi"/>
        </w:rPr>
        <w:t xml:space="preserve"> initiate sustainable change in the market system.</w:t>
      </w:r>
      <w:r w:rsidR="00981F8E" w:rsidRPr="004A5A58">
        <w:rPr>
          <w:rFonts w:cstheme="minorHAnsi"/>
        </w:rPr>
        <w:t xml:space="preserve"> </w:t>
      </w:r>
      <w:r w:rsidR="004A5A58">
        <w:rPr>
          <w:rFonts w:cstheme="minorHAnsi"/>
        </w:rPr>
        <w:t xml:space="preserve">The </w:t>
      </w:r>
      <w:r w:rsidR="009D41A3" w:rsidRPr="004A5A58">
        <w:rPr>
          <w:rFonts w:cstheme="minorHAnsi"/>
        </w:rPr>
        <w:t xml:space="preserve">bulk of program </w:t>
      </w:r>
      <w:r w:rsidR="006D4F76" w:rsidRPr="004A5A58">
        <w:rPr>
          <w:rFonts w:cstheme="minorHAnsi"/>
        </w:rPr>
        <w:t>resources</w:t>
      </w:r>
      <w:r w:rsidR="000403BB" w:rsidRPr="004A5A58">
        <w:rPr>
          <w:rFonts w:cstheme="minorHAnsi"/>
        </w:rPr>
        <w:t xml:space="preserve"> will</w:t>
      </w:r>
      <w:r w:rsidR="004A5A58">
        <w:rPr>
          <w:rFonts w:cstheme="minorHAnsi"/>
        </w:rPr>
        <w:t xml:space="preserve"> need to</w:t>
      </w:r>
      <w:r w:rsidR="000403BB" w:rsidRPr="004A5A58">
        <w:rPr>
          <w:rFonts w:cstheme="minorHAnsi"/>
        </w:rPr>
        <w:t xml:space="preserve"> be</w:t>
      </w:r>
      <w:r w:rsidR="006D4F76" w:rsidRPr="004A5A58">
        <w:rPr>
          <w:rFonts w:cstheme="minorHAnsi"/>
        </w:rPr>
        <w:t xml:space="preserve"> devoted to </w:t>
      </w:r>
      <w:r w:rsidR="00440AA5" w:rsidRPr="004A5A58">
        <w:rPr>
          <w:rFonts w:cstheme="minorHAnsi"/>
        </w:rPr>
        <w:t>intervention implementation</w:t>
      </w:r>
      <w:r w:rsidR="004A5A58">
        <w:rPr>
          <w:rFonts w:cstheme="minorHAnsi"/>
        </w:rPr>
        <w:t>,</w:t>
      </w:r>
      <w:r w:rsidR="00440AA5" w:rsidRPr="004A5A58">
        <w:rPr>
          <w:rFonts w:cstheme="minorHAnsi"/>
        </w:rPr>
        <w:t xml:space="preserve"> supported by </w:t>
      </w:r>
      <w:r w:rsidR="006D4F76" w:rsidRPr="004A5A58">
        <w:rPr>
          <w:rFonts w:cstheme="minorHAnsi"/>
        </w:rPr>
        <w:t xml:space="preserve">building </w:t>
      </w:r>
      <w:r w:rsidR="009D41A3" w:rsidRPr="004A5A58">
        <w:rPr>
          <w:rFonts w:cstheme="minorHAnsi"/>
        </w:rPr>
        <w:t>and maintaining</w:t>
      </w:r>
      <w:r w:rsidR="006D4F76" w:rsidRPr="004A5A58">
        <w:rPr>
          <w:rFonts w:cstheme="minorHAnsi"/>
        </w:rPr>
        <w:t xml:space="preserve"> </w:t>
      </w:r>
      <w:r w:rsidR="009D41A3" w:rsidRPr="004A5A58">
        <w:rPr>
          <w:rFonts w:cstheme="minorHAnsi"/>
        </w:rPr>
        <w:t xml:space="preserve">a team of </w:t>
      </w:r>
      <w:r w:rsidR="006D4F76" w:rsidRPr="004A5A58">
        <w:rPr>
          <w:rFonts w:cstheme="minorHAnsi"/>
        </w:rPr>
        <w:t xml:space="preserve">personnel </w:t>
      </w:r>
      <w:r w:rsidR="009D41A3" w:rsidRPr="004A5A58">
        <w:rPr>
          <w:rFonts w:cstheme="minorHAnsi"/>
        </w:rPr>
        <w:t>with these analytical, creative and deal-making skills.</w:t>
      </w:r>
    </w:p>
    <w:p w14:paraId="76177773" w14:textId="6D35348D" w:rsidR="00312442" w:rsidRPr="00440AA5" w:rsidRDefault="009D41A3" w:rsidP="00440AA5">
      <w:pPr>
        <w:pStyle w:val="BodyText"/>
        <w:rPr>
          <w:rFonts w:cstheme="minorHAnsi"/>
        </w:rPr>
      </w:pPr>
      <w:r w:rsidRPr="004A5A58">
        <w:rPr>
          <w:rFonts w:cstheme="minorHAnsi"/>
        </w:rPr>
        <w:t>T</w:t>
      </w:r>
      <w:r w:rsidR="004C7AE2" w:rsidRPr="004A5A58">
        <w:rPr>
          <w:rFonts w:cstheme="minorHAnsi"/>
        </w:rPr>
        <w:t xml:space="preserve">his resource allocation is a lesson from </w:t>
      </w:r>
      <w:r w:rsidRPr="004A5A58">
        <w:rPr>
          <w:rFonts w:cstheme="minorHAnsi"/>
        </w:rPr>
        <w:t>AIP-Rural and wider experience. Programs have had to invest significantly in developing effective teams early in the life of a program, and then strive to retain talented staff</w:t>
      </w:r>
      <w:r w:rsidR="000403BB" w:rsidRPr="004A5A58">
        <w:rPr>
          <w:rFonts w:cstheme="minorHAnsi"/>
        </w:rPr>
        <w:t xml:space="preserve"> (</w:t>
      </w:r>
      <w:r w:rsidR="0084455C" w:rsidRPr="004A5A58">
        <w:rPr>
          <w:rFonts w:cstheme="minorHAnsi"/>
        </w:rPr>
        <w:t>see Implemen</w:t>
      </w:r>
      <w:r w:rsidR="007B279A" w:rsidRPr="004A5A58">
        <w:rPr>
          <w:rFonts w:cstheme="minorHAnsi"/>
        </w:rPr>
        <w:t xml:space="preserve">tation Arrangements </w:t>
      </w:r>
      <w:r w:rsidR="00ED5ED7">
        <w:rPr>
          <w:rFonts w:cstheme="minorHAnsi"/>
        </w:rPr>
        <w:t xml:space="preserve">section </w:t>
      </w:r>
      <w:r w:rsidR="001236FF">
        <w:rPr>
          <w:rFonts w:cstheme="minorHAnsi"/>
        </w:rPr>
        <w:t>and Annex 3</w:t>
      </w:r>
      <w:r w:rsidR="0084455C" w:rsidRPr="004A5A58">
        <w:rPr>
          <w:rFonts w:cstheme="minorHAnsi"/>
        </w:rPr>
        <w:t>)</w:t>
      </w:r>
      <w:r w:rsidRPr="004A5A58">
        <w:rPr>
          <w:rFonts w:cstheme="minorHAnsi"/>
        </w:rPr>
        <w:t>.</w:t>
      </w:r>
    </w:p>
    <w:p w14:paraId="445E5F6C" w14:textId="46DE0C4D" w:rsidR="00C73365" w:rsidRPr="00D43874" w:rsidRDefault="00C73365" w:rsidP="00314E16">
      <w:pPr>
        <w:pStyle w:val="Heading3"/>
      </w:pPr>
      <w:bookmarkStart w:id="11" w:name="_Toc499298843"/>
      <w:r w:rsidRPr="00D43874">
        <w:t>Stakeholder relationships</w:t>
      </w:r>
      <w:bookmarkEnd w:id="11"/>
    </w:p>
    <w:p w14:paraId="68A16348" w14:textId="51325242" w:rsidR="00C73365" w:rsidRPr="00343460" w:rsidRDefault="009D0B16" w:rsidP="00CB3B49">
      <w:pPr>
        <w:rPr>
          <w:rFonts w:cstheme="minorHAnsi"/>
        </w:rPr>
      </w:pPr>
      <w:r>
        <w:rPr>
          <w:rFonts w:cstheme="minorHAnsi"/>
        </w:rPr>
        <w:t>Consistent with the successful</w:t>
      </w:r>
      <w:r w:rsidR="00ED5ED7">
        <w:rPr>
          <w:rFonts w:cstheme="minorHAnsi"/>
        </w:rPr>
        <w:t xml:space="preserve"> facilitation</w:t>
      </w:r>
      <w:r>
        <w:rPr>
          <w:rFonts w:cstheme="minorHAnsi"/>
        </w:rPr>
        <w:t xml:space="preserve"> approach used in AIP-Rural, </w:t>
      </w:r>
      <w:r w:rsidR="005D461A">
        <w:rPr>
          <w:rFonts w:cstheme="minorHAnsi"/>
        </w:rPr>
        <w:t>PRISMA-2</w:t>
      </w:r>
      <w:r w:rsidR="00CA09A1">
        <w:rPr>
          <w:rFonts w:cstheme="minorHAnsi"/>
        </w:rPr>
        <w:t xml:space="preserve"> will seek to </w:t>
      </w:r>
      <w:r w:rsidR="00BA5D83">
        <w:rPr>
          <w:rFonts w:cstheme="minorHAnsi"/>
        </w:rPr>
        <w:t>change</w:t>
      </w:r>
      <w:r w:rsidR="00BA5D83" w:rsidRPr="00343460">
        <w:rPr>
          <w:rFonts w:cstheme="minorHAnsi"/>
        </w:rPr>
        <w:t xml:space="preserve"> </w:t>
      </w:r>
      <w:r w:rsidR="00C73365" w:rsidRPr="00343460">
        <w:rPr>
          <w:rFonts w:cstheme="minorHAnsi"/>
        </w:rPr>
        <w:t>the relationship that its private sector partners have with farmers</w:t>
      </w:r>
      <w:r w:rsidR="00931759">
        <w:rPr>
          <w:rFonts w:cstheme="minorHAnsi"/>
        </w:rPr>
        <w:t xml:space="preserve"> to</w:t>
      </w:r>
      <w:r w:rsidR="00CA09A1">
        <w:rPr>
          <w:rFonts w:cstheme="minorHAnsi"/>
        </w:rPr>
        <w:t xml:space="preserve"> ensure that</w:t>
      </w:r>
      <w:r w:rsidR="00C73365" w:rsidRPr="00343460">
        <w:rPr>
          <w:rFonts w:cstheme="minorHAnsi"/>
        </w:rPr>
        <w:t xml:space="preserve"> each party measurably benefits from new transaction</w:t>
      </w:r>
      <w:r w:rsidR="00BA5D83">
        <w:rPr>
          <w:rFonts w:cstheme="minorHAnsi"/>
        </w:rPr>
        <w:t>s</w:t>
      </w:r>
      <w:r w:rsidR="00C73365" w:rsidRPr="00343460">
        <w:rPr>
          <w:rFonts w:cstheme="minorHAnsi"/>
        </w:rPr>
        <w:t xml:space="preserve">. The attributable outcomes of facilitation </w:t>
      </w:r>
      <w:r w:rsidR="00DA58D4">
        <w:rPr>
          <w:rFonts w:cstheme="minorHAnsi"/>
        </w:rPr>
        <w:t xml:space="preserve">will be </w:t>
      </w:r>
      <w:r w:rsidR="00C73365" w:rsidRPr="00343460">
        <w:rPr>
          <w:rFonts w:cstheme="minorHAnsi"/>
        </w:rPr>
        <w:t xml:space="preserve">the main </w:t>
      </w:r>
      <w:r w:rsidR="004A5A58">
        <w:rPr>
          <w:rFonts w:cstheme="minorHAnsi"/>
        </w:rPr>
        <w:t>Key Performance Indicators (</w:t>
      </w:r>
      <w:r w:rsidR="00C73365" w:rsidRPr="00343460">
        <w:rPr>
          <w:rFonts w:cstheme="minorHAnsi"/>
        </w:rPr>
        <w:t>KPIs</w:t>
      </w:r>
      <w:r w:rsidR="004A5A58">
        <w:rPr>
          <w:rFonts w:cstheme="minorHAnsi"/>
        </w:rPr>
        <w:t>)</w:t>
      </w:r>
      <w:r w:rsidR="00C73365" w:rsidRPr="00343460">
        <w:rPr>
          <w:rFonts w:cstheme="minorHAnsi"/>
        </w:rPr>
        <w:t xml:space="preserve"> of </w:t>
      </w:r>
      <w:r w:rsidR="005D461A">
        <w:rPr>
          <w:rFonts w:cstheme="minorHAnsi"/>
        </w:rPr>
        <w:t>PRISMA-2</w:t>
      </w:r>
      <w:r w:rsidR="00C73365" w:rsidRPr="00343460">
        <w:rPr>
          <w:rFonts w:cstheme="minorHAnsi"/>
        </w:rPr>
        <w:t xml:space="preserve"> (net </w:t>
      </w:r>
      <w:r>
        <w:rPr>
          <w:rFonts w:cstheme="minorHAnsi"/>
        </w:rPr>
        <w:t xml:space="preserve">attributable </w:t>
      </w:r>
      <w:r w:rsidR="00C73365" w:rsidRPr="00343460">
        <w:rPr>
          <w:rFonts w:cstheme="minorHAnsi"/>
        </w:rPr>
        <w:t xml:space="preserve">income </w:t>
      </w:r>
      <w:r>
        <w:rPr>
          <w:rFonts w:cstheme="minorHAnsi"/>
        </w:rPr>
        <w:t>change</w:t>
      </w:r>
      <w:r w:rsidR="00C73365" w:rsidRPr="00343460">
        <w:rPr>
          <w:rFonts w:cstheme="minorHAnsi"/>
        </w:rPr>
        <w:t xml:space="preserve">, </w:t>
      </w:r>
      <w:r>
        <w:rPr>
          <w:rFonts w:cstheme="minorHAnsi"/>
        </w:rPr>
        <w:t>number of farming households with more than 30% net income increase (</w:t>
      </w:r>
      <w:r w:rsidR="00C73365" w:rsidRPr="00343460">
        <w:rPr>
          <w:rFonts w:cstheme="minorHAnsi"/>
        </w:rPr>
        <w:t>outreach</w:t>
      </w:r>
      <w:r>
        <w:rPr>
          <w:rFonts w:cstheme="minorHAnsi"/>
        </w:rPr>
        <w:t>)</w:t>
      </w:r>
      <w:r w:rsidR="00C73365" w:rsidRPr="00343460">
        <w:rPr>
          <w:rFonts w:cstheme="minorHAnsi"/>
        </w:rPr>
        <w:t xml:space="preserve">, </w:t>
      </w:r>
      <w:r>
        <w:rPr>
          <w:rFonts w:cstheme="minorHAnsi"/>
        </w:rPr>
        <w:t xml:space="preserve">changes in ISP business turnover, changes in </w:t>
      </w:r>
      <w:r w:rsidR="00C73365" w:rsidRPr="00343460">
        <w:rPr>
          <w:rFonts w:cstheme="minorHAnsi"/>
        </w:rPr>
        <w:t xml:space="preserve">partner </w:t>
      </w:r>
      <w:r w:rsidR="00931759">
        <w:rPr>
          <w:rFonts w:cstheme="minorHAnsi"/>
        </w:rPr>
        <w:t>investment,</w:t>
      </w:r>
      <w:r w:rsidR="00C73365" w:rsidRPr="00343460">
        <w:rPr>
          <w:rFonts w:cstheme="minorHAnsi"/>
        </w:rPr>
        <w:t xml:space="preserve"> etc.</w:t>
      </w:r>
      <w:r w:rsidR="001236FF">
        <w:rPr>
          <w:rFonts w:cstheme="minorHAnsi"/>
        </w:rPr>
        <w:t xml:space="preserve"> – see Annex 5</w:t>
      </w:r>
      <w:r w:rsidR="00C73365" w:rsidRPr="00343460">
        <w:rPr>
          <w:rFonts w:cstheme="minorHAnsi"/>
        </w:rPr>
        <w:t xml:space="preserve">). All other </w:t>
      </w:r>
      <w:r w:rsidR="005D461A">
        <w:rPr>
          <w:rFonts w:cstheme="minorHAnsi"/>
        </w:rPr>
        <w:t>PRISMA-2</w:t>
      </w:r>
      <w:r w:rsidR="001075D0">
        <w:rPr>
          <w:rFonts w:cstheme="minorHAnsi"/>
        </w:rPr>
        <w:t xml:space="preserve"> </w:t>
      </w:r>
      <w:r w:rsidR="00C73365" w:rsidRPr="00343460">
        <w:rPr>
          <w:rFonts w:cstheme="minorHAnsi"/>
        </w:rPr>
        <w:t xml:space="preserve">stakeholder relationships </w:t>
      </w:r>
      <w:r w:rsidR="004A5A58">
        <w:rPr>
          <w:rFonts w:cstheme="minorHAnsi"/>
        </w:rPr>
        <w:t xml:space="preserve">will be </w:t>
      </w:r>
      <w:r w:rsidR="00C73365" w:rsidRPr="00343460">
        <w:rPr>
          <w:rFonts w:cstheme="minorHAnsi"/>
        </w:rPr>
        <w:t>oriented to</w:t>
      </w:r>
      <w:r w:rsidR="00CA09A1">
        <w:rPr>
          <w:rFonts w:cstheme="minorHAnsi"/>
        </w:rPr>
        <w:t>wards</w:t>
      </w:r>
      <w:r w:rsidR="00C73365" w:rsidRPr="00343460">
        <w:rPr>
          <w:rFonts w:cstheme="minorHAnsi"/>
        </w:rPr>
        <w:t xml:space="preserve"> improving the efficiency of this </w:t>
      </w:r>
      <w:r w:rsidR="001A1445">
        <w:rPr>
          <w:rFonts w:cstheme="minorHAnsi"/>
        </w:rPr>
        <w:t>‘</w:t>
      </w:r>
      <w:r w:rsidR="00C73365" w:rsidRPr="00343460">
        <w:rPr>
          <w:rFonts w:cstheme="minorHAnsi"/>
        </w:rPr>
        <w:t xml:space="preserve">core </w:t>
      </w:r>
      <w:r w:rsidR="001A1445">
        <w:rPr>
          <w:rFonts w:cstheme="minorHAnsi"/>
        </w:rPr>
        <w:t>transaction’</w:t>
      </w:r>
      <w:r w:rsidR="001A1445" w:rsidRPr="00343460">
        <w:rPr>
          <w:rFonts w:cstheme="minorHAnsi"/>
        </w:rPr>
        <w:t xml:space="preserve"> </w:t>
      </w:r>
      <w:r w:rsidR="00C73365" w:rsidRPr="00343460">
        <w:rPr>
          <w:rFonts w:cstheme="minorHAnsi"/>
        </w:rPr>
        <w:t xml:space="preserve">between </w:t>
      </w:r>
      <w:r w:rsidR="00D83708">
        <w:rPr>
          <w:rFonts w:cstheme="minorHAnsi"/>
        </w:rPr>
        <w:t>farmers and businesse</w:t>
      </w:r>
      <w:r w:rsidR="00C73365" w:rsidRPr="00343460">
        <w:rPr>
          <w:rFonts w:cstheme="minorHAnsi"/>
        </w:rPr>
        <w:t>s</w:t>
      </w:r>
      <w:r w:rsidR="000C3BA0">
        <w:rPr>
          <w:rFonts w:cstheme="minorHAnsi"/>
        </w:rPr>
        <w:t xml:space="preserve">. </w:t>
      </w:r>
      <w:r w:rsidR="0067137A">
        <w:rPr>
          <w:rFonts w:cstheme="minorHAnsi"/>
        </w:rPr>
        <w:t xml:space="preserve"> </w:t>
      </w:r>
    </w:p>
    <w:p w14:paraId="3B20DA40" w14:textId="1C0FDA2B" w:rsidR="00C73365" w:rsidRPr="004A5A58" w:rsidRDefault="0082081F" w:rsidP="00CB3B49">
      <w:pPr>
        <w:pStyle w:val="Heading9"/>
      </w:pPr>
      <w:r w:rsidRPr="004A5A58">
        <w:t>C</w:t>
      </w:r>
      <w:r w:rsidR="00931759" w:rsidRPr="004A5A58">
        <w:t>ore transaction</w:t>
      </w:r>
      <w:r w:rsidRPr="004A5A58">
        <w:t xml:space="preserve"> stakeholders</w:t>
      </w:r>
    </w:p>
    <w:p w14:paraId="02CC54C0" w14:textId="28D442CD" w:rsidR="004A5A58" w:rsidRPr="004A5A58" w:rsidRDefault="001724B6" w:rsidP="001D25D4">
      <w:pPr>
        <w:rPr>
          <w:rFonts w:cstheme="minorHAnsi"/>
        </w:rPr>
      </w:pPr>
      <w:proofErr w:type="gramStart"/>
      <w:r w:rsidRPr="009264C6">
        <w:rPr>
          <w:rFonts w:cstheme="minorHAnsi"/>
          <w:i/>
        </w:rPr>
        <w:t>Smallholder farming households</w:t>
      </w:r>
      <w:r>
        <w:rPr>
          <w:rFonts w:cstheme="minorHAnsi"/>
          <w:i/>
        </w:rPr>
        <w:t xml:space="preserve"> </w:t>
      </w:r>
      <w:r w:rsidR="00C73365" w:rsidRPr="00343460">
        <w:rPr>
          <w:rFonts w:cstheme="minorHAnsi"/>
        </w:rPr>
        <w:t>willing to invest small amounts of capital in agriculture to boost their incomes by at least 30%.</w:t>
      </w:r>
      <w:proofErr w:type="gramEnd"/>
      <w:r w:rsidR="00C73365" w:rsidRPr="00343460">
        <w:rPr>
          <w:rFonts w:cstheme="minorHAnsi"/>
        </w:rPr>
        <w:t xml:space="preserve"> </w:t>
      </w:r>
      <w:r w:rsidR="002820A6">
        <w:rPr>
          <w:rFonts w:cstheme="minorHAnsi"/>
        </w:rPr>
        <w:t>T</w:t>
      </w:r>
      <w:r w:rsidR="003A7B41">
        <w:rPr>
          <w:rFonts w:cstheme="minorHAnsi"/>
        </w:rPr>
        <w:t>hese smallholder farm</w:t>
      </w:r>
      <w:r w:rsidR="00A51426">
        <w:rPr>
          <w:rFonts w:cstheme="minorHAnsi"/>
        </w:rPr>
        <w:t>ing</w:t>
      </w:r>
      <w:r w:rsidR="003A7B41">
        <w:rPr>
          <w:rFonts w:cstheme="minorHAnsi"/>
        </w:rPr>
        <w:t xml:space="preserve"> households can be split into two categories – </w:t>
      </w:r>
      <w:r w:rsidR="000D6A3B">
        <w:rPr>
          <w:rFonts w:cstheme="minorHAnsi"/>
        </w:rPr>
        <w:t>‘</w:t>
      </w:r>
      <w:r w:rsidR="009D0B16">
        <w:rPr>
          <w:rFonts w:cstheme="minorHAnsi"/>
        </w:rPr>
        <w:t xml:space="preserve">innovators and </w:t>
      </w:r>
      <w:r w:rsidR="003A7B41">
        <w:rPr>
          <w:rFonts w:cstheme="minorHAnsi"/>
        </w:rPr>
        <w:t>early adopters</w:t>
      </w:r>
      <w:r w:rsidR="000D6A3B">
        <w:rPr>
          <w:rFonts w:cstheme="minorHAnsi"/>
        </w:rPr>
        <w:t>’</w:t>
      </w:r>
      <w:r w:rsidR="003A7B41">
        <w:rPr>
          <w:rFonts w:cstheme="minorHAnsi"/>
        </w:rPr>
        <w:t xml:space="preserve"> (often </w:t>
      </w:r>
      <w:r w:rsidR="009D0B16">
        <w:rPr>
          <w:rFonts w:cstheme="minorHAnsi"/>
        </w:rPr>
        <w:t>non-poor</w:t>
      </w:r>
      <w:r w:rsidR="003A7B41">
        <w:rPr>
          <w:rFonts w:cstheme="minorHAnsi"/>
        </w:rPr>
        <w:t xml:space="preserve"> farmers, who are able to manage the risk of adopting new ways of working), and </w:t>
      </w:r>
      <w:r w:rsidR="000D6A3B">
        <w:rPr>
          <w:rFonts w:cstheme="minorHAnsi"/>
        </w:rPr>
        <w:t>‘</w:t>
      </w:r>
      <w:r w:rsidR="009D0B16">
        <w:rPr>
          <w:rFonts w:cstheme="minorHAnsi"/>
        </w:rPr>
        <w:t>majority</w:t>
      </w:r>
      <w:r w:rsidR="003A7B41">
        <w:rPr>
          <w:rFonts w:cstheme="minorHAnsi"/>
        </w:rPr>
        <w:t xml:space="preserve"> adopters</w:t>
      </w:r>
      <w:r w:rsidR="000D6A3B">
        <w:rPr>
          <w:rFonts w:cstheme="minorHAnsi"/>
        </w:rPr>
        <w:t>’</w:t>
      </w:r>
      <w:r w:rsidR="003A7B41">
        <w:rPr>
          <w:rFonts w:cstheme="minorHAnsi"/>
        </w:rPr>
        <w:t xml:space="preserve"> (often farmers earning less than USD2.50 a day, who wait to see </w:t>
      </w:r>
      <w:r w:rsidR="003A7B41">
        <w:rPr>
          <w:rFonts w:cstheme="minorHAnsi"/>
        </w:rPr>
        <w:lastRenderedPageBreak/>
        <w:t xml:space="preserve">if the early adopters experience success). </w:t>
      </w:r>
      <w:r w:rsidR="00C73365" w:rsidRPr="00343460">
        <w:rPr>
          <w:rFonts w:cstheme="minorHAnsi"/>
        </w:rPr>
        <w:t>On average</w:t>
      </w:r>
      <w:r w:rsidR="000D6A3B">
        <w:rPr>
          <w:rFonts w:cstheme="minorHAnsi"/>
        </w:rPr>
        <w:t>,</w:t>
      </w:r>
      <w:r w:rsidR="00C73365" w:rsidRPr="00343460">
        <w:rPr>
          <w:rFonts w:cstheme="minorHAnsi"/>
        </w:rPr>
        <w:t xml:space="preserve"> 60% of these </w:t>
      </w:r>
      <w:r>
        <w:rPr>
          <w:rFonts w:cstheme="minorHAnsi"/>
        </w:rPr>
        <w:t xml:space="preserve">smallholder </w:t>
      </w:r>
      <w:r w:rsidR="00C73365" w:rsidRPr="00343460">
        <w:rPr>
          <w:rFonts w:cstheme="minorHAnsi"/>
        </w:rPr>
        <w:t xml:space="preserve">farmers </w:t>
      </w:r>
      <w:r w:rsidR="00CA09A1">
        <w:rPr>
          <w:rFonts w:cstheme="minorHAnsi"/>
        </w:rPr>
        <w:t>live</w:t>
      </w:r>
      <w:r w:rsidR="00C73365" w:rsidRPr="00343460">
        <w:rPr>
          <w:rFonts w:cstheme="minorHAnsi"/>
        </w:rPr>
        <w:t xml:space="preserve"> on less than </w:t>
      </w:r>
      <w:r w:rsidR="00457E35">
        <w:rPr>
          <w:rFonts w:cstheme="minorHAnsi"/>
        </w:rPr>
        <w:t>USD</w:t>
      </w:r>
      <w:r w:rsidR="00C73365" w:rsidRPr="00343460">
        <w:rPr>
          <w:rFonts w:cstheme="minorHAnsi"/>
        </w:rPr>
        <w:t xml:space="preserve">2.50 </w:t>
      </w:r>
      <w:r w:rsidR="004B7239">
        <w:rPr>
          <w:rFonts w:cstheme="minorHAnsi"/>
        </w:rPr>
        <w:t>per</w:t>
      </w:r>
      <w:r w:rsidR="004B7239" w:rsidRPr="00343460">
        <w:rPr>
          <w:rFonts w:cstheme="minorHAnsi"/>
        </w:rPr>
        <w:t xml:space="preserve"> </w:t>
      </w:r>
      <w:r w:rsidR="00C73365" w:rsidRPr="00343460">
        <w:rPr>
          <w:rFonts w:cstheme="minorHAnsi"/>
        </w:rPr>
        <w:t xml:space="preserve">day. Their main incentive is to </w:t>
      </w:r>
      <w:r w:rsidR="00FB40F9">
        <w:rPr>
          <w:rFonts w:cstheme="minorHAnsi"/>
        </w:rPr>
        <w:t>increase their disposable income for</w:t>
      </w:r>
      <w:r w:rsidR="00C73365" w:rsidRPr="00343460">
        <w:rPr>
          <w:rFonts w:cstheme="minorHAnsi"/>
        </w:rPr>
        <w:t xml:space="preserve"> expenditure </w:t>
      </w:r>
      <w:r w:rsidR="00FB40F9">
        <w:rPr>
          <w:rFonts w:cstheme="minorHAnsi"/>
        </w:rPr>
        <w:t>on</w:t>
      </w:r>
      <w:r w:rsidR="00FB40F9" w:rsidRPr="00343460">
        <w:rPr>
          <w:rFonts w:cstheme="minorHAnsi"/>
        </w:rPr>
        <w:t xml:space="preserve"> </w:t>
      </w:r>
      <w:r w:rsidR="00C73365" w:rsidRPr="00343460">
        <w:rPr>
          <w:rFonts w:cstheme="minorHAnsi"/>
        </w:rPr>
        <w:t>health, education, debt</w:t>
      </w:r>
      <w:r w:rsidR="00FB40F9">
        <w:rPr>
          <w:rFonts w:cstheme="minorHAnsi"/>
        </w:rPr>
        <w:t xml:space="preserve">s </w:t>
      </w:r>
      <w:r w:rsidR="00C73365" w:rsidRPr="00343460">
        <w:rPr>
          <w:rFonts w:cstheme="minorHAnsi"/>
        </w:rPr>
        <w:t>and customary obligations.</w:t>
      </w:r>
      <w:r w:rsidR="007E3AA9">
        <w:rPr>
          <w:rFonts w:cstheme="minorHAnsi"/>
        </w:rPr>
        <w:t xml:space="preserve"> </w:t>
      </w:r>
      <w:r w:rsidR="005D461A">
        <w:rPr>
          <w:rFonts w:cstheme="minorHAnsi"/>
        </w:rPr>
        <w:t>PRISMA-</w:t>
      </w:r>
      <w:r w:rsidR="00AE0368">
        <w:rPr>
          <w:rFonts w:cstheme="minorHAnsi"/>
        </w:rPr>
        <w:t>2</w:t>
      </w:r>
      <w:r w:rsidR="007E3AA9">
        <w:rPr>
          <w:rFonts w:cstheme="minorHAnsi"/>
        </w:rPr>
        <w:t xml:space="preserve"> </w:t>
      </w:r>
      <w:r w:rsidR="00FB40F9">
        <w:rPr>
          <w:rFonts w:cstheme="minorHAnsi"/>
        </w:rPr>
        <w:t>does not work</w:t>
      </w:r>
      <w:r>
        <w:rPr>
          <w:rFonts w:cstheme="minorHAnsi"/>
        </w:rPr>
        <w:t xml:space="preserve"> directly with farming households</w:t>
      </w:r>
      <w:r w:rsidR="00C73365" w:rsidRPr="00343460">
        <w:rPr>
          <w:rFonts w:cstheme="minorHAnsi"/>
        </w:rPr>
        <w:t xml:space="preserve"> but rather through the two sets of partners </w:t>
      </w:r>
      <w:r w:rsidR="007E3AA9">
        <w:rPr>
          <w:rFonts w:cstheme="minorHAnsi"/>
        </w:rPr>
        <w:t>o</w:t>
      </w:r>
      <w:r w:rsidR="00D83708">
        <w:rPr>
          <w:rFonts w:cstheme="minorHAnsi"/>
        </w:rPr>
        <w:t>utlined below: businesse</w:t>
      </w:r>
      <w:r w:rsidR="007E3AA9">
        <w:rPr>
          <w:rFonts w:cstheme="minorHAnsi"/>
        </w:rPr>
        <w:t>s in</w:t>
      </w:r>
      <w:r w:rsidR="00D83708">
        <w:rPr>
          <w:rFonts w:cstheme="minorHAnsi"/>
        </w:rPr>
        <w:t>volved in agri-business and businesse</w:t>
      </w:r>
      <w:r w:rsidR="007E3AA9">
        <w:rPr>
          <w:rFonts w:cstheme="minorHAnsi"/>
        </w:rPr>
        <w:t xml:space="preserve">s that provide financial </w:t>
      </w:r>
      <w:r w:rsidR="00DA7754">
        <w:rPr>
          <w:rFonts w:cstheme="minorHAnsi"/>
        </w:rPr>
        <w:t xml:space="preserve">and other </w:t>
      </w:r>
      <w:r w:rsidR="007E3AA9">
        <w:rPr>
          <w:rFonts w:cstheme="minorHAnsi"/>
        </w:rPr>
        <w:t>services.</w:t>
      </w:r>
    </w:p>
    <w:p w14:paraId="24EE0B96" w14:textId="06ECBE94" w:rsidR="009B62B3" w:rsidRDefault="00D83708" w:rsidP="001D25D4">
      <w:pPr>
        <w:rPr>
          <w:rFonts w:asciiTheme="majorHAnsi" w:eastAsiaTheme="majorEastAsia" w:hAnsiTheme="majorHAnsi" w:cstheme="majorBidi"/>
          <w:i/>
          <w:iCs/>
          <w:color w:val="1F3864" w:themeColor="accent1" w:themeShade="80"/>
        </w:rPr>
      </w:pPr>
      <w:r>
        <w:rPr>
          <w:rFonts w:cstheme="minorHAnsi"/>
          <w:i/>
        </w:rPr>
        <w:t>Businesses</w:t>
      </w:r>
      <w:r w:rsidR="007E3AA9" w:rsidRPr="00D43874">
        <w:rPr>
          <w:rFonts w:cstheme="minorHAnsi"/>
          <w:i/>
        </w:rPr>
        <w:t xml:space="preserve"> involved in agri-business</w:t>
      </w:r>
      <w:r w:rsidR="00FB40F9" w:rsidRPr="00D43874">
        <w:rPr>
          <w:rFonts w:cstheme="minorHAnsi"/>
          <w:i/>
        </w:rPr>
        <w:t xml:space="preserve"> and other services</w:t>
      </w:r>
      <w:r w:rsidR="00C73365" w:rsidRPr="00343460">
        <w:rPr>
          <w:rFonts w:cstheme="minorHAnsi"/>
          <w:b/>
        </w:rPr>
        <w:t xml:space="preserve"> </w:t>
      </w:r>
      <w:r w:rsidR="00C73365" w:rsidRPr="00343460">
        <w:rPr>
          <w:rFonts w:cstheme="minorHAnsi"/>
        </w:rPr>
        <w:t xml:space="preserve">willing to invest </w:t>
      </w:r>
      <w:r w:rsidR="000C3BA0">
        <w:rPr>
          <w:rFonts w:cstheme="minorHAnsi"/>
        </w:rPr>
        <w:t xml:space="preserve">either in </w:t>
      </w:r>
      <w:r w:rsidR="00C73365" w:rsidRPr="00343460">
        <w:rPr>
          <w:rFonts w:cstheme="minorHAnsi"/>
        </w:rPr>
        <w:t xml:space="preserve">delivering goods and services to </w:t>
      </w:r>
      <w:r w:rsidR="00DA7754">
        <w:rPr>
          <w:rFonts w:cstheme="minorHAnsi"/>
        </w:rPr>
        <w:t xml:space="preserve">new </w:t>
      </w:r>
      <w:r w:rsidR="00C73365" w:rsidRPr="00343460">
        <w:rPr>
          <w:rFonts w:cstheme="minorHAnsi"/>
        </w:rPr>
        <w:t>markets (</w:t>
      </w:r>
      <w:r w:rsidR="00FB40F9">
        <w:rPr>
          <w:rFonts w:cstheme="minorHAnsi"/>
        </w:rPr>
        <w:t xml:space="preserve">i.e. </w:t>
      </w:r>
      <w:r w:rsidR="00DA7754">
        <w:rPr>
          <w:rFonts w:cstheme="minorHAnsi"/>
        </w:rPr>
        <w:t xml:space="preserve">smallholder </w:t>
      </w:r>
      <w:r w:rsidR="00C73365" w:rsidRPr="00343460">
        <w:rPr>
          <w:rFonts w:cstheme="minorHAnsi"/>
        </w:rPr>
        <w:t xml:space="preserve">farmers) that they </w:t>
      </w:r>
      <w:r w:rsidR="00DA7754">
        <w:rPr>
          <w:rFonts w:cstheme="minorHAnsi"/>
        </w:rPr>
        <w:t>used to</w:t>
      </w:r>
      <w:r w:rsidR="00DA7754" w:rsidRPr="00343460">
        <w:rPr>
          <w:rFonts w:cstheme="minorHAnsi"/>
        </w:rPr>
        <w:t xml:space="preserve"> </w:t>
      </w:r>
      <w:r w:rsidR="00C73365" w:rsidRPr="00343460">
        <w:rPr>
          <w:rFonts w:cstheme="minorHAnsi"/>
        </w:rPr>
        <w:t>consider sub-optimal</w:t>
      </w:r>
      <w:r w:rsidR="000C3BA0">
        <w:rPr>
          <w:rFonts w:cstheme="minorHAnsi"/>
        </w:rPr>
        <w:t xml:space="preserve"> or in the increased off take of more or better agricultural produce</w:t>
      </w:r>
      <w:r w:rsidR="00C73365" w:rsidRPr="00343460">
        <w:rPr>
          <w:rFonts w:cstheme="minorHAnsi"/>
        </w:rPr>
        <w:t xml:space="preserve">. Their main incentives are: </w:t>
      </w:r>
      <w:r w:rsidR="00FB40F9">
        <w:rPr>
          <w:rFonts w:cstheme="minorHAnsi"/>
        </w:rPr>
        <w:t>(</w:t>
      </w:r>
      <w:r w:rsidR="00C73365" w:rsidRPr="00343460">
        <w:rPr>
          <w:rFonts w:cstheme="minorHAnsi"/>
        </w:rPr>
        <w:t xml:space="preserve">a) to raise their profitability through increased </w:t>
      </w:r>
      <w:proofErr w:type="gramStart"/>
      <w:r w:rsidR="00C73365" w:rsidRPr="00343460">
        <w:rPr>
          <w:rFonts w:cstheme="minorHAnsi"/>
        </w:rPr>
        <w:t>sales,</w:t>
      </w:r>
      <w:proofErr w:type="gramEnd"/>
      <w:r w:rsidR="00C73365" w:rsidRPr="00343460">
        <w:rPr>
          <w:rFonts w:cstheme="minorHAnsi"/>
        </w:rPr>
        <w:t xml:space="preserve"> expanded market share</w:t>
      </w:r>
      <w:r w:rsidR="006929A6">
        <w:rPr>
          <w:rFonts w:cstheme="minorHAnsi"/>
        </w:rPr>
        <w:t>,</w:t>
      </w:r>
      <w:r w:rsidR="00C73365" w:rsidRPr="00343460">
        <w:rPr>
          <w:rFonts w:cstheme="minorHAnsi"/>
        </w:rPr>
        <w:t xml:space="preserve"> or reduced costs</w:t>
      </w:r>
      <w:r w:rsidR="00DA7754">
        <w:rPr>
          <w:rFonts w:cstheme="minorHAnsi"/>
        </w:rPr>
        <w:t>;</w:t>
      </w:r>
      <w:r w:rsidR="00C73365" w:rsidRPr="00343460">
        <w:rPr>
          <w:rFonts w:cstheme="minorHAnsi"/>
        </w:rPr>
        <w:t xml:space="preserve"> and </w:t>
      </w:r>
      <w:r w:rsidR="00FB40F9">
        <w:rPr>
          <w:rFonts w:cstheme="minorHAnsi"/>
        </w:rPr>
        <w:t>(</w:t>
      </w:r>
      <w:r w:rsidR="00C73365" w:rsidRPr="00343460">
        <w:rPr>
          <w:rFonts w:cstheme="minorHAnsi"/>
        </w:rPr>
        <w:t xml:space="preserve">b) to create a positive image of their brand. </w:t>
      </w:r>
      <w:r w:rsidR="00660E9A">
        <w:rPr>
          <w:rFonts w:cstheme="minorHAnsi"/>
        </w:rPr>
        <w:t xml:space="preserve">Other types of businesses that provide a service that can meet a demand/fill a gap are also relevant e.g. banks, value chain finance providers, fee-for-service research institutions. </w:t>
      </w:r>
      <w:r w:rsidR="005D461A">
        <w:rPr>
          <w:rFonts w:cstheme="minorHAnsi"/>
        </w:rPr>
        <w:t>PRISMA-2</w:t>
      </w:r>
      <w:r w:rsidR="00DA7754">
        <w:rPr>
          <w:rFonts w:cstheme="minorHAnsi"/>
        </w:rPr>
        <w:t xml:space="preserve"> offers</w:t>
      </w:r>
      <w:r w:rsidR="00C73365" w:rsidRPr="00343460">
        <w:rPr>
          <w:rFonts w:cstheme="minorHAnsi"/>
        </w:rPr>
        <w:t xml:space="preserve"> this type of partner</w:t>
      </w:r>
      <w:r w:rsidR="00243660">
        <w:rPr>
          <w:rFonts w:cstheme="minorHAnsi"/>
        </w:rPr>
        <w:t xml:space="preserve"> </w:t>
      </w:r>
      <w:r w:rsidR="00C73365" w:rsidRPr="00343460">
        <w:rPr>
          <w:rFonts w:cstheme="minorHAnsi"/>
        </w:rPr>
        <w:t>reduc</w:t>
      </w:r>
      <w:r w:rsidR="00DA7754">
        <w:rPr>
          <w:rFonts w:cstheme="minorHAnsi"/>
        </w:rPr>
        <w:t>ed</w:t>
      </w:r>
      <w:r w:rsidR="00C73365" w:rsidRPr="00343460">
        <w:rPr>
          <w:rFonts w:cstheme="minorHAnsi"/>
        </w:rPr>
        <w:t xml:space="preserve"> investment risk in new or unexplored </w:t>
      </w:r>
      <w:r w:rsidR="007F736A">
        <w:rPr>
          <w:rFonts w:cstheme="minorHAnsi"/>
        </w:rPr>
        <w:t>market</w:t>
      </w:r>
      <w:r w:rsidR="000D6A3B">
        <w:rPr>
          <w:rFonts w:cstheme="minorHAnsi"/>
        </w:rPr>
        <w:t>s</w:t>
      </w:r>
      <w:r w:rsidR="00C73365" w:rsidRPr="00343460">
        <w:rPr>
          <w:rFonts w:cstheme="minorHAnsi"/>
        </w:rPr>
        <w:t xml:space="preserve"> that has </w:t>
      </w:r>
      <w:r w:rsidR="00C73365" w:rsidRPr="00343460">
        <w:rPr>
          <w:rFonts w:cstheme="minorHAnsi"/>
          <w:i/>
        </w:rPr>
        <w:t>definite</w:t>
      </w:r>
      <w:r w:rsidR="001724B6">
        <w:rPr>
          <w:rFonts w:cstheme="minorHAnsi"/>
        </w:rPr>
        <w:t xml:space="preserve"> impact on farming households</w:t>
      </w:r>
      <w:r w:rsidR="00C73365" w:rsidRPr="00343460">
        <w:rPr>
          <w:rFonts w:cstheme="minorHAnsi"/>
        </w:rPr>
        <w:t xml:space="preserve"> and </w:t>
      </w:r>
      <w:r w:rsidR="00C73365" w:rsidRPr="00343460">
        <w:rPr>
          <w:rFonts w:cstheme="minorHAnsi"/>
          <w:i/>
        </w:rPr>
        <w:t>probable</w:t>
      </w:r>
      <w:r w:rsidR="00C73365" w:rsidRPr="00343460">
        <w:rPr>
          <w:rFonts w:cstheme="minorHAnsi"/>
        </w:rPr>
        <w:t xml:space="preserve"> </w:t>
      </w:r>
      <w:r w:rsidR="007F736A">
        <w:rPr>
          <w:rFonts w:cstheme="minorHAnsi"/>
        </w:rPr>
        <w:t>impact on partner bottom lines.</w:t>
      </w:r>
    </w:p>
    <w:p w14:paraId="1B764351" w14:textId="10823E4A" w:rsidR="00C73365" w:rsidRPr="004A5A58" w:rsidRDefault="00C73365" w:rsidP="00CB3B49">
      <w:pPr>
        <w:pStyle w:val="Heading9"/>
      </w:pPr>
      <w:r w:rsidRPr="004A5A58">
        <w:t>Co-</w:t>
      </w:r>
      <w:r w:rsidR="00FB40F9" w:rsidRPr="004A5A58">
        <w:t>facilitator stakeholders</w:t>
      </w:r>
    </w:p>
    <w:p w14:paraId="44E88D0E" w14:textId="4A990EE7" w:rsidR="00D15956" w:rsidRPr="00CB3B49" w:rsidRDefault="006929A6" w:rsidP="00CB3B49">
      <w:pPr>
        <w:rPr>
          <w:rFonts w:cstheme="minorHAnsi"/>
        </w:rPr>
      </w:pPr>
      <w:r w:rsidRPr="00D1669B">
        <w:rPr>
          <w:rFonts w:cs="Arial"/>
          <w:b/>
          <w:noProof/>
          <w:lang w:eastAsia="en-AU"/>
        </w:rPr>
        <mc:AlternateContent>
          <mc:Choice Requires="wps">
            <w:drawing>
              <wp:anchor distT="45720" distB="45720" distL="114300" distR="114300" simplePos="0" relativeHeight="251662848" behindDoc="0" locked="0" layoutInCell="1" allowOverlap="1" wp14:anchorId="75040C1B" wp14:editId="5B0035B2">
                <wp:simplePos x="0" y="0"/>
                <wp:positionH relativeFrom="margin">
                  <wp:posOffset>-10160</wp:posOffset>
                </wp:positionH>
                <wp:positionV relativeFrom="paragraph">
                  <wp:posOffset>1364615</wp:posOffset>
                </wp:positionV>
                <wp:extent cx="6178550" cy="1821815"/>
                <wp:effectExtent l="0" t="0" r="12700" b="260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821815"/>
                        </a:xfrm>
                        <a:prstGeom prst="rect">
                          <a:avLst/>
                        </a:prstGeom>
                        <a:solidFill>
                          <a:schemeClr val="accent1">
                            <a:lumMod val="40000"/>
                            <a:lumOff val="60000"/>
                          </a:schemeClr>
                        </a:solidFill>
                        <a:ln w="9525">
                          <a:solidFill>
                            <a:srgbClr val="000000"/>
                          </a:solidFill>
                          <a:miter lim="800000"/>
                          <a:headEnd/>
                          <a:tailEnd/>
                        </a:ln>
                      </wps:spPr>
                      <wps:txbx>
                        <w:txbxContent>
                          <w:p w14:paraId="523CCED4" w14:textId="1B7134CE" w:rsidR="00243660" w:rsidRDefault="00243660" w:rsidP="00E66EF5">
                            <w:r>
                              <w:rPr>
                                <w:rFonts w:cs="Arial"/>
                                <w:b/>
                              </w:rPr>
                              <w:t>Box 3</w:t>
                            </w:r>
                            <w:r w:rsidRPr="00D1669B">
                              <w:rPr>
                                <w:rFonts w:cs="Arial"/>
                                <w:b/>
                              </w:rPr>
                              <w:t xml:space="preserve">. </w:t>
                            </w:r>
                            <w:r>
                              <w:rPr>
                                <w:rFonts w:cs="Arial"/>
                                <w:b/>
                              </w:rPr>
                              <w:t>NGO Co-Facilitators in NTT</w:t>
                            </w:r>
                          </w:p>
                          <w:p w14:paraId="124599D7" w14:textId="50D981DC" w:rsidR="00243660" w:rsidRPr="003464A4" w:rsidRDefault="00243660" w:rsidP="00E66EF5">
                            <w:pPr>
                              <w:rPr>
                                <w:sz w:val="18"/>
                                <w:szCs w:val="18"/>
                              </w:rPr>
                            </w:pPr>
                            <w:r>
                              <w:rPr>
                                <w:sz w:val="18"/>
                                <w:szCs w:val="18"/>
                              </w:rPr>
                              <w:t xml:space="preserve">PRISMA collaborates with an NGO, </w:t>
                            </w:r>
                            <w:r w:rsidRPr="003464A4">
                              <w:rPr>
                                <w:sz w:val="18"/>
                                <w:szCs w:val="18"/>
                              </w:rPr>
                              <w:t>HIVOS</w:t>
                            </w:r>
                            <w:r>
                              <w:rPr>
                                <w:sz w:val="18"/>
                                <w:szCs w:val="18"/>
                              </w:rPr>
                              <w:t>,</w:t>
                            </w:r>
                            <w:r w:rsidRPr="003464A4">
                              <w:rPr>
                                <w:sz w:val="18"/>
                                <w:szCs w:val="18"/>
                              </w:rPr>
                              <w:t xml:space="preserve"> </w:t>
                            </w:r>
                            <w:r>
                              <w:rPr>
                                <w:sz w:val="18"/>
                                <w:szCs w:val="18"/>
                              </w:rPr>
                              <w:t>in the pig sector with great success (see Box 1).</w:t>
                            </w:r>
                            <w:r w:rsidRPr="003464A4">
                              <w:rPr>
                                <w:sz w:val="18"/>
                                <w:szCs w:val="18"/>
                              </w:rPr>
                              <w:t xml:space="preserve"> </w:t>
                            </w:r>
                            <w:r>
                              <w:rPr>
                                <w:sz w:val="18"/>
                                <w:szCs w:val="18"/>
                              </w:rPr>
                              <w:t>During the early stages of implementation, H</w:t>
                            </w:r>
                            <w:r w:rsidRPr="003464A4">
                              <w:rPr>
                                <w:sz w:val="18"/>
                                <w:szCs w:val="18"/>
                              </w:rPr>
                              <w:t xml:space="preserve">IVOS </w:t>
                            </w:r>
                            <w:r>
                              <w:rPr>
                                <w:sz w:val="18"/>
                                <w:szCs w:val="18"/>
                              </w:rPr>
                              <w:t>sub-contracted two local NGOs</w:t>
                            </w:r>
                            <w:r w:rsidRPr="003464A4">
                              <w:rPr>
                                <w:sz w:val="18"/>
                                <w:szCs w:val="18"/>
                              </w:rPr>
                              <w:t xml:space="preserve"> </w:t>
                            </w:r>
                            <w:r>
                              <w:rPr>
                                <w:sz w:val="18"/>
                                <w:szCs w:val="18"/>
                              </w:rPr>
                              <w:t xml:space="preserve">to utilise their </w:t>
                            </w:r>
                            <w:r w:rsidRPr="003464A4">
                              <w:rPr>
                                <w:sz w:val="18"/>
                                <w:szCs w:val="18"/>
                              </w:rPr>
                              <w:t xml:space="preserve">local networks </w:t>
                            </w:r>
                            <w:r>
                              <w:rPr>
                                <w:sz w:val="18"/>
                                <w:szCs w:val="18"/>
                              </w:rPr>
                              <w:t>in Flores. This enabled strong contact with farmers, but resulted in</w:t>
                            </w:r>
                            <w:r w:rsidRPr="003464A4">
                              <w:rPr>
                                <w:sz w:val="18"/>
                                <w:szCs w:val="18"/>
                              </w:rPr>
                              <w:t xml:space="preserve"> a very hand</w:t>
                            </w:r>
                            <w:r>
                              <w:rPr>
                                <w:sz w:val="18"/>
                                <w:szCs w:val="18"/>
                              </w:rPr>
                              <w:t>s</w:t>
                            </w:r>
                            <w:r w:rsidRPr="003464A4">
                              <w:rPr>
                                <w:sz w:val="18"/>
                                <w:szCs w:val="18"/>
                              </w:rPr>
                              <w:t xml:space="preserve">-on approach </w:t>
                            </w:r>
                            <w:r>
                              <w:rPr>
                                <w:sz w:val="18"/>
                                <w:szCs w:val="18"/>
                              </w:rPr>
                              <w:t>more akin to direct implementation. For example, during a monitoring visit by PRISMA, the farmers were unable to tell the reviewer the name of the private sector partner and deferred all answers to the local NGO</w:t>
                            </w:r>
                            <w:r w:rsidRPr="003464A4">
                              <w:rPr>
                                <w:sz w:val="18"/>
                                <w:szCs w:val="18"/>
                              </w:rPr>
                              <w:t>.</w:t>
                            </w:r>
                            <w:r>
                              <w:rPr>
                                <w:sz w:val="18"/>
                                <w:szCs w:val="18"/>
                              </w:rPr>
                              <w:t xml:space="preserve"> Nevertheless, this hands-on approach did allow for a </w:t>
                            </w:r>
                            <w:r w:rsidRPr="003464A4">
                              <w:rPr>
                                <w:sz w:val="18"/>
                                <w:szCs w:val="18"/>
                              </w:rPr>
                              <w:t>strong ground swell</w:t>
                            </w:r>
                            <w:r>
                              <w:rPr>
                                <w:sz w:val="18"/>
                                <w:szCs w:val="18"/>
                              </w:rPr>
                              <w:t xml:space="preserve"> of support for the program</w:t>
                            </w:r>
                            <w:r w:rsidRPr="003464A4">
                              <w:rPr>
                                <w:sz w:val="18"/>
                                <w:szCs w:val="18"/>
                              </w:rPr>
                              <w:t xml:space="preserve"> by farmers, </w:t>
                            </w:r>
                            <w:r>
                              <w:rPr>
                                <w:sz w:val="18"/>
                                <w:szCs w:val="18"/>
                              </w:rPr>
                              <w:t>albeit</w:t>
                            </w:r>
                            <w:r w:rsidRPr="003464A4">
                              <w:rPr>
                                <w:sz w:val="18"/>
                                <w:szCs w:val="18"/>
                              </w:rPr>
                              <w:t xml:space="preserve"> </w:t>
                            </w:r>
                            <w:r>
                              <w:rPr>
                                <w:sz w:val="18"/>
                                <w:szCs w:val="18"/>
                              </w:rPr>
                              <w:t xml:space="preserve">with </w:t>
                            </w:r>
                            <w:r w:rsidRPr="003464A4">
                              <w:rPr>
                                <w:sz w:val="18"/>
                                <w:szCs w:val="18"/>
                              </w:rPr>
                              <w:t xml:space="preserve">little input by the </w:t>
                            </w:r>
                            <w:r>
                              <w:rPr>
                                <w:sz w:val="18"/>
                                <w:szCs w:val="18"/>
                              </w:rPr>
                              <w:t>private sector partners</w:t>
                            </w:r>
                            <w:r w:rsidRPr="003464A4">
                              <w:rPr>
                                <w:sz w:val="18"/>
                                <w:szCs w:val="18"/>
                              </w:rPr>
                              <w:t xml:space="preserve">. </w:t>
                            </w:r>
                            <w:r>
                              <w:rPr>
                                <w:sz w:val="18"/>
                                <w:szCs w:val="18"/>
                              </w:rPr>
                              <w:t xml:space="preserve">Subsequent mentoring by PRISMA </w:t>
                            </w:r>
                            <w:r w:rsidRPr="003464A4">
                              <w:rPr>
                                <w:sz w:val="18"/>
                                <w:szCs w:val="18"/>
                              </w:rPr>
                              <w:t xml:space="preserve">and a very active and dedicated HIVOS program coordinator </w:t>
                            </w:r>
                            <w:r>
                              <w:rPr>
                                <w:sz w:val="18"/>
                                <w:szCs w:val="18"/>
                              </w:rPr>
                              <w:t>(</w:t>
                            </w:r>
                            <w:r w:rsidRPr="003464A4">
                              <w:rPr>
                                <w:sz w:val="18"/>
                                <w:szCs w:val="18"/>
                              </w:rPr>
                              <w:t>who was willing to learn</w:t>
                            </w:r>
                            <w:r>
                              <w:rPr>
                                <w:sz w:val="18"/>
                                <w:szCs w:val="18"/>
                              </w:rPr>
                              <w:t xml:space="preserve"> and take advice)</w:t>
                            </w:r>
                            <w:r w:rsidRPr="003464A4">
                              <w:rPr>
                                <w:sz w:val="18"/>
                                <w:szCs w:val="18"/>
                              </w:rPr>
                              <w:t xml:space="preserve">, </w:t>
                            </w:r>
                            <w:r>
                              <w:rPr>
                                <w:sz w:val="18"/>
                                <w:szCs w:val="18"/>
                              </w:rPr>
                              <w:t xml:space="preserve">made it possible for </w:t>
                            </w:r>
                            <w:r w:rsidRPr="003464A4">
                              <w:rPr>
                                <w:sz w:val="18"/>
                                <w:szCs w:val="18"/>
                              </w:rPr>
                              <w:t>the intervention to</w:t>
                            </w:r>
                            <w:r>
                              <w:rPr>
                                <w:sz w:val="18"/>
                                <w:szCs w:val="18"/>
                              </w:rPr>
                              <w:t xml:space="preserve"> strengthen its partnership with the private sector in its second year of implementation, and by doing so,</w:t>
                            </w:r>
                            <w:r w:rsidRPr="003464A4">
                              <w:rPr>
                                <w:sz w:val="18"/>
                                <w:szCs w:val="18"/>
                              </w:rPr>
                              <w:t xml:space="preserve"> </w:t>
                            </w:r>
                            <w:r>
                              <w:rPr>
                                <w:sz w:val="18"/>
                                <w:szCs w:val="18"/>
                              </w:rPr>
                              <w:t>expand its outreach</w:t>
                            </w:r>
                            <w:r w:rsidRPr="003464A4">
                              <w:rPr>
                                <w:sz w:val="18"/>
                                <w:szCs w:val="18"/>
                              </w:rPr>
                              <w:t xml:space="preserve"> and become more</w:t>
                            </w:r>
                            <w:r>
                              <w:rPr>
                                <w:sz w:val="18"/>
                                <w:szCs w:val="18"/>
                              </w:rPr>
                              <w:t xml:space="preserve"> sustainable</w:t>
                            </w:r>
                            <w:r w:rsidRPr="003464A4">
                              <w:rPr>
                                <w:sz w:val="18"/>
                                <w:szCs w:val="18"/>
                              </w:rPr>
                              <w:t xml:space="preserve">. </w:t>
                            </w:r>
                          </w:p>
                          <w:p w14:paraId="01D77768" w14:textId="77777777" w:rsidR="00243660" w:rsidRDefault="00243660" w:rsidP="00E66E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pt;margin-top:107.45pt;width:486.5pt;height:143.4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" fillcolor="#b4c6e7 [1300]">
                <v:textbox>
                  <w:txbxContent>
                    <w:p w14:paraId="523CCED4" w14:textId="1B7134CE" w:rsidR="00243660" w:rsidRDefault="00243660" w:rsidP="00E66EF5">
                      <w:r>
                        <w:rPr>
                          <w:rFonts w:cs="Arial"/>
                          <w:b/>
                        </w:rPr>
                        <w:t>Box 3</w:t>
                      </w:r>
                      <w:r w:rsidRPr="00D1669B">
                        <w:rPr>
                          <w:rFonts w:cs="Arial"/>
                          <w:b/>
                        </w:rPr>
                        <w:t xml:space="preserve">. </w:t>
                      </w:r>
                      <w:r>
                        <w:rPr>
                          <w:rFonts w:cs="Arial"/>
                          <w:b/>
                        </w:rPr>
                        <w:t>NGO Co-Facilitators in NTT</w:t>
                      </w:r>
                    </w:p>
                    <w:p w14:paraId="124599D7" w14:textId="50D981DC" w:rsidR="00243660" w:rsidRPr="003464A4" w:rsidRDefault="00243660" w:rsidP="00E66EF5">
                      <w:pPr>
                        <w:rPr>
                          <w:sz w:val="18"/>
                          <w:szCs w:val="18"/>
                        </w:rPr>
                      </w:pPr>
                      <w:r>
                        <w:rPr>
                          <w:sz w:val="18"/>
                          <w:szCs w:val="18"/>
                        </w:rPr>
                        <w:t xml:space="preserve">PRISMA collaborates with an NGO, </w:t>
                      </w:r>
                      <w:r w:rsidRPr="003464A4">
                        <w:rPr>
                          <w:sz w:val="18"/>
                          <w:szCs w:val="18"/>
                        </w:rPr>
                        <w:t>HIVOS</w:t>
                      </w:r>
                      <w:r>
                        <w:rPr>
                          <w:sz w:val="18"/>
                          <w:szCs w:val="18"/>
                        </w:rPr>
                        <w:t>,</w:t>
                      </w:r>
                      <w:r w:rsidRPr="003464A4">
                        <w:rPr>
                          <w:sz w:val="18"/>
                          <w:szCs w:val="18"/>
                        </w:rPr>
                        <w:t xml:space="preserve"> </w:t>
                      </w:r>
                      <w:r>
                        <w:rPr>
                          <w:sz w:val="18"/>
                          <w:szCs w:val="18"/>
                        </w:rPr>
                        <w:t>in the pig sector with great success (see Box 1).</w:t>
                      </w:r>
                      <w:r w:rsidRPr="003464A4">
                        <w:rPr>
                          <w:sz w:val="18"/>
                          <w:szCs w:val="18"/>
                        </w:rPr>
                        <w:t xml:space="preserve"> </w:t>
                      </w:r>
                      <w:r>
                        <w:rPr>
                          <w:sz w:val="18"/>
                          <w:szCs w:val="18"/>
                        </w:rPr>
                        <w:t>During the early stages of implementation, H</w:t>
                      </w:r>
                      <w:r w:rsidRPr="003464A4">
                        <w:rPr>
                          <w:sz w:val="18"/>
                          <w:szCs w:val="18"/>
                        </w:rPr>
                        <w:t xml:space="preserve">IVOS </w:t>
                      </w:r>
                      <w:r>
                        <w:rPr>
                          <w:sz w:val="18"/>
                          <w:szCs w:val="18"/>
                        </w:rPr>
                        <w:t>sub-contracted two local NGOs</w:t>
                      </w:r>
                      <w:r w:rsidRPr="003464A4">
                        <w:rPr>
                          <w:sz w:val="18"/>
                          <w:szCs w:val="18"/>
                        </w:rPr>
                        <w:t xml:space="preserve"> </w:t>
                      </w:r>
                      <w:r>
                        <w:rPr>
                          <w:sz w:val="18"/>
                          <w:szCs w:val="18"/>
                        </w:rPr>
                        <w:t xml:space="preserve">to utilise their </w:t>
                      </w:r>
                      <w:r w:rsidRPr="003464A4">
                        <w:rPr>
                          <w:sz w:val="18"/>
                          <w:szCs w:val="18"/>
                        </w:rPr>
                        <w:t xml:space="preserve">local networks </w:t>
                      </w:r>
                      <w:r>
                        <w:rPr>
                          <w:sz w:val="18"/>
                          <w:szCs w:val="18"/>
                        </w:rPr>
                        <w:t>in Flores. This enabled strong contact with farmers, but resulted in</w:t>
                      </w:r>
                      <w:r w:rsidRPr="003464A4">
                        <w:rPr>
                          <w:sz w:val="18"/>
                          <w:szCs w:val="18"/>
                        </w:rPr>
                        <w:t xml:space="preserve"> a very hand</w:t>
                      </w:r>
                      <w:r>
                        <w:rPr>
                          <w:sz w:val="18"/>
                          <w:szCs w:val="18"/>
                        </w:rPr>
                        <w:t>s</w:t>
                      </w:r>
                      <w:r w:rsidRPr="003464A4">
                        <w:rPr>
                          <w:sz w:val="18"/>
                          <w:szCs w:val="18"/>
                        </w:rPr>
                        <w:t xml:space="preserve">-on approach </w:t>
                      </w:r>
                      <w:r>
                        <w:rPr>
                          <w:sz w:val="18"/>
                          <w:szCs w:val="18"/>
                        </w:rPr>
                        <w:t>more akin to direct implementation. For example, during a monitoring visit by PRISMA, the farmers were unable to tell the reviewer the name of the private sector partner and deferred all answers to the local NGO</w:t>
                      </w:r>
                      <w:r w:rsidRPr="003464A4">
                        <w:rPr>
                          <w:sz w:val="18"/>
                          <w:szCs w:val="18"/>
                        </w:rPr>
                        <w:t>.</w:t>
                      </w:r>
                      <w:r>
                        <w:rPr>
                          <w:sz w:val="18"/>
                          <w:szCs w:val="18"/>
                        </w:rPr>
                        <w:t xml:space="preserve"> Nevertheless, this hands-on approach did allow for a </w:t>
                      </w:r>
                      <w:r w:rsidRPr="003464A4">
                        <w:rPr>
                          <w:sz w:val="18"/>
                          <w:szCs w:val="18"/>
                        </w:rPr>
                        <w:t>strong ground swell</w:t>
                      </w:r>
                      <w:r>
                        <w:rPr>
                          <w:sz w:val="18"/>
                          <w:szCs w:val="18"/>
                        </w:rPr>
                        <w:t xml:space="preserve"> of support for the program</w:t>
                      </w:r>
                      <w:r w:rsidRPr="003464A4">
                        <w:rPr>
                          <w:sz w:val="18"/>
                          <w:szCs w:val="18"/>
                        </w:rPr>
                        <w:t xml:space="preserve"> by farmers, </w:t>
                      </w:r>
                      <w:r>
                        <w:rPr>
                          <w:sz w:val="18"/>
                          <w:szCs w:val="18"/>
                        </w:rPr>
                        <w:t>albeit</w:t>
                      </w:r>
                      <w:r w:rsidRPr="003464A4">
                        <w:rPr>
                          <w:sz w:val="18"/>
                          <w:szCs w:val="18"/>
                        </w:rPr>
                        <w:t xml:space="preserve"> </w:t>
                      </w:r>
                      <w:r>
                        <w:rPr>
                          <w:sz w:val="18"/>
                          <w:szCs w:val="18"/>
                        </w:rPr>
                        <w:t xml:space="preserve">with </w:t>
                      </w:r>
                      <w:r w:rsidRPr="003464A4">
                        <w:rPr>
                          <w:sz w:val="18"/>
                          <w:szCs w:val="18"/>
                        </w:rPr>
                        <w:t xml:space="preserve">little input by the </w:t>
                      </w:r>
                      <w:r>
                        <w:rPr>
                          <w:sz w:val="18"/>
                          <w:szCs w:val="18"/>
                        </w:rPr>
                        <w:t>private sector partners</w:t>
                      </w:r>
                      <w:r w:rsidRPr="003464A4">
                        <w:rPr>
                          <w:sz w:val="18"/>
                          <w:szCs w:val="18"/>
                        </w:rPr>
                        <w:t xml:space="preserve">. </w:t>
                      </w:r>
                      <w:r>
                        <w:rPr>
                          <w:sz w:val="18"/>
                          <w:szCs w:val="18"/>
                        </w:rPr>
                        <w:t xml:space="preserve">Subsequent mentoring by PRISMA </w:t>
                      </w:r>
                      <w:r w:rsidRPr="003464A4">
                        <w:rPr>
                          <w:sz w:val="18"/>
                          <w:szCs w:val="18"/>
                        </w:rPr>
                        <w:t xml:space="preserve">and a very active and dedicated HIVOS program coordinator </w:t>
                      </w:r>
                      <w:r>
                        <w:rPr>
                          <w:sz w:val="18"/>
                          <w:szCs w:val="18"/>
                        </w:rPr>
                        <w:t>(</w:t>
                      </w:r>
                      <w:r w:rsidRPr="003464A4">
                        <w:rPr>
                          <w:sz w:val="18"/>
                          <w:szCs w:val="18"/>
                        </w:rPr>
                        <w:t>who was willing to learn</w:t>
                      </w:r>
                      <w:r>
                        <w:rPr>
                          <w:sz w:val="18"/>
                          <w:szCs w:val="18"/>
                        </w:rPr>
                        <w:t xml:space="preserve"> and take advice)</w:t>
                      </w:r>
                      <w:r w:rsidRPr="003464A4">
                        <w:rPr>
                          <w:sz w:val="18"/>
                          <w:szCs w:val="18"/>
                        </w:rPr>
                        <w:t xml:space="preserve">, </w:t>
                      </w:r>
                      <w:r>
                        <w:rPr>
                          <w:sz w:val="18"/>
                          <w:szCs w:val="18"/>
                        </w:rPr>
                        <w:t xml:space="preserve">made it possible for </w:t>
                      </w:r>
                      <w:r w:rsidRPr="003464A4">
                        <w:rPr>
                          <w:sz w:val="18"/>
                          <w:szCs w:val="18"/>
                        </w:rPr>
                        <w:t>the intervention to</w:t>
                      </w:r>
                      <w:r>
                        <w:rPr>
                          <w:sz w:val="18"/>
                          <w:szCs w:val="18"/>
                        </w:rPr>
                        <w:t xml:space="preserve"> strengthen its partnership with the private sector in its second year of implementation, and by doing so,</w:t>
                      </w:r>
                      <w:r w:rsidRPr="003464A4">
                        <w:rPr>
                          <w:sz w:val="18"/>
                          <w:szCs w:val="18"/>
                        </w:rPr>
                        <w:t xml:space="preserve"> </w:t>
                      </w:r>
                      <w:r>
                        <w:rPr>
                          <w:sz w:val="18"/>
                          <w:szCs w:val="18"/>
                        </w:rPr>
                        <w:t>expand its outreach</w:t>
                      </w:r>
                      <w:r w:rsidRPr="003464A4">
                        <w:rPr>
                          <w:sz w:val="18"/>
                          <w:szCs w:val="18"/>
                        </w:rPr>
                        <w:t xml:space="preserve"> and become more</w:t>
                      </w:r>
                      <w:r>
                        <w:rPr>
                          <w:sz w:val="18"/>
                          <w:szCs w:val="18"/>
                        </w:rPr>
                        <w:t xml:space="preserve"> sustainable</w:t>
                      </w:r>
                      <w:r w:rsidRPr="003464A4">
                        <w:rPr>
                          <w:sz w:val="18"/>
                          <w:szCs w:val="18"/>
                        </w:rPr>
                        <w:t xml:space="preserve">. </w:t>
                      </w:r>
                    </w:p>
                    <w:p w14:paraId="01D77768" w14:textId="77777777" w:rsidR="00243660" w:rsidRDefault="00243660" w:rsidP="00E66EF5"/>
                  </w:txbxContent>
                </v:textbox>
                <w10:wrap type="square" anchorx="margin"/>
              </v:shape>
            </w:pict>
          </mc:Fallback>
        </mc:AlternateContent>
      </w:r>
      <w:r w:rsidR="00AE0368">
        <w:rPr>
          <w:rFonts w:cstheme="minorHAnsi"/>
        </w:rPr>
        <w:t>PRISMA-2</w:t>
      </w:r>
      <w:r w:rsidR="00C73365" w:rsidRPr="00343460">
        <w:rPr>
          <w:rFonts w:cstheme="minorHAnsi"/>
        </w:rPr>
        <w:t xml:space="preserve"> </w:t>
      </w:r>
      <w:r w:rsidR="00B9259F">
        <w:rPr>
          <w:rFonts w:cstheme="minorHAnsi"/>
        </w:rPr>
        <w:t xml:space="preserve">will </w:t>
      </w:r>
      <w:r w:rsidR="00C73365" w:rsidRPr="00343460">
        <w:rPr>
          <w:rFonts w:cstheme="minorHAnsi"/>
        </w:rPr>
        <w:t>collaborate</w:t>
      </w:r>
      <w:r w:rsidR="00B9259F">
        <w:rPr>
          <w:rFonts w:cstheme="minorHAnsi"/>
        </w:rPr>
        <w:t xml:space="preserve"> with other organisations</w:t>
      </w:r>
      <w:r w:rsidR="00C73365" w:rsidRPr="00343460">
        <w:rPr>
          <w:rFonts w:cstheme="minorHAnsi"/>
        </w:rPr>
        <w:t xml:space="preserve"> to augment its own facilitation capacity. The bulk of </w:t>
      </w:r>
      <w:r w:rsidR="005D461A">
        <w:rPr>
          <w:rFonts w:cstheme="minorHAnsi"/>
        </w:rPr>
        <w:t>PRISMA-2</w:t>
      </w:r>
      <w:r w:rsidR="00C73365" w:rsidRPr="00343460">
        <w:rPr>
          <w:rFonts w:cstheme="minorHAnsi"/>
        </w:rPr>
        <w:t xml:space="preserve"> interventions </w:t>
      </w:r>
      <w:r w:rsidR="00294364">
        <w:rPr>
          <w:rFonts w:cstheme="minorHAnsi"/>
        </w:rPr>
        <w:t xml:space="preserve">will be </w:t>
      </w:r>
      <w:r w:rsidR="00C73365" w:rsidRPr="00343460">
        <w:rPr>
          <w:rFonts w:cstheme="minorHAnsi"/>
        </w:rPr>
        <w:t xml:space="preserve">implemented directly with </w:t>
      </w:r>
      <w:r w:rsidR="00973BE5">
        <w:rPr>
          <w:rFonts w:cstheme="minorHAnsi"/>
        </w:rPr>
        <w:t>businesses</w:t>
      </w:r>
      <w:r w:rsidR="00294364">
        <w:rPr>
          <w:rFonts w:cstheme="minorHAnsi"/>
        </w:rPr>
        <w:t>. However, in some cases there is</w:t>
      </w:r>
      <w:r w:rsidR="001724B6">
        <w:rPr>
          <w:rFonts w:cstheme="minorHAnsi"/>
        </w:rPr>
        <w:t xml:space="preserve"> value in collaborating</w:t>
      </w:r>
      <w:r w:rsidR="007E3AA9">
        <w:rPr>
          <w:rFonts w:cstheme="minorHAnsi"/>
        </w:rPr>
        <w:t xml:space="preserve"> with other </w:t>
      </w:r>
      <w:r w:rsidR="00FB40F9">
        <w:rPr>
          <w:rFonts w:cstheme="minorHAnsi"/>
        </w:rPr>
        <w:t xml:space="preserve">specialised </w:t>
      </w:r>
      <w:r w:rsidR="007E3AA9">
        <w:rPr>
          <w:rFonts w:cstheme="minorHAnsi"/>
        </w:rPr>
        <w:t>organisations</w:t>
      </w:r>
      <w:r w:rsidR="001E55F5">
        <w:rPr>
          <w:rFonts w:cstheme="minorHAnsi"/>
        </w:rPr>
        <w:t xml:space="preserve">, such as </w:t>
      </w:r>
      <w:r w:rsidR="002964E0" w:rsidRPr="001724B6">
        <w:rPr>
          <w:rFonts w:cstheme="minorHAnsi"/>
        </w:rPr>
        <w:t>non-government organisations (</w:t>
      </w:r>
      <w:r w:rsidR="00294364" w:rsidRPr="001724B6">
        <w:rPr>
          <w:rFonts w:cstheme="minorHAnsi"/>
        </w:rPr>
        <w:t>NGOs</w:t>
      </w:r>
      <w:r w:rsidR="002964E0" w:rsidRPr="001724B6">
        <w:rPr>
          <w:rFonts w:cstheme="minorHAnsi"/>
        </w:rPr>
        <w:t>)</w:t>
      </w:r>
      <w:r w:rsidR="009D0B16">
        <w:rPr>
          <w:rFonts w:cstheme="minorHAnsi"/>
        </w:rPr>
        <w:t>, not-for-profit</w:t>
      </w:r>
      <w:r w:rsidR="00C73365" w:rsidRPr="001724B6">
        <w:rPr>
          <w:rFonts w:cstheme="minorHAnsi"/>
        </w:rPr>
        <w:t xml:space="preserve"> </w:t>
      </w:r>
      <w:r w:rsidR="001E55F5" w:rsidRPr="001724B6">
        <w:rPr>
          <w:rFonts w:cstheme="minorHAnsi"/>
        </w:rPr>
        <w:t>or other types of organisation</w:t>
      </w:r>
      <w:r w:rsidR="004C69FD">
        <w:rPr>
          <w:rFonts w:cstheme="minorHAnsi"/>
        </w:rPr>
        <w:t>s</w:t>
      </w:r>
      <w:r w:rsidR="001E55F5" w:rsidRPr="001724B6">
        <w:rPr>
          <w:rFonts w:cstheme="minorHAnsi"/>
        </w:rPr>
        <w:t xml:space="preserve"> that</w:t>
      </w:r>
      <w:r w:rsidR="00C73365" w:rsidRPr="001724B6">
        <w:rPr>
          <w:rFonts w:cstheme="minorHAnsi"/>
        </w:rPr>
        <w:t xml:space="preserve"> have strong public missions</w:t>
      </w:r>
      <w:r w:rsidR="00E83F21">
        <w:rPr>
          <w:rFonts w:cstheme="minorHAnsi"/>
        </w:rPr>
        <w:t xml:space="preserve"> (see Annex</w:t>
      </w:r>
      <w:r w:rsidR="001236FF">
        <w:rPr>
          <w:rFonts w:cstheme="minorHAnsi"/>
        </w:rPr>
        <w:t xml:space="preserve"> 12</w:t>
      </w:r>
      <w:r w:rsidR="007743E7">
        <w:rPr>
          <w:rFonts w:cstheme="minorHAnsi"/>
        </w:rPr>
        <w:t>).</w:t>
      </w:r>
      <w:r w:rsidR="004C69FD">
        <w:rPr>
          <w:rFonts w:cstheme="minorHAnsi"/>
        </w:rPr>
        <w:t xml:space="preserve"> </w:t>
      </w:r>
      <w:r w:rsidR="009730E0">
        <w:rPr>
          <w:rFonts w:cstheme="minorHAnsi"/>
        </w:rPr>
        <w:t>C</w:t>
      </w:r>
      <w:r w:rsidR="004C69FD">
        <w:rPr>
          <w:rFonts w:cstheme="minorHAnsi"/>
        </w:rPr>
        <w:t>reating a pool of trained organisations and consultants may also lead to a new market for M</w:t>
      </w:r>
      <w:r w:rsidR="009730E0">
        <w:rPr>
          <w:rFonts w:cstheme="minorHAnsi"/>
        </w:rPr>
        <w:t>SD</w:t>
      </w:r>
      <w:r w:rsidR="004C69FD">
        <w:rPr>
          <w:rFonts w:cstheme="minorHAnsi"/>
        </w:rPr>
        <w:t xml:space="preserve"> services that can be utilised by business or Government.</w:t>
      </w:r>
    </w:p>
    <w:p w14:paraId="6B7CC5B3" w14:textId="79E468E5" w:rsidR="00C73365" w:rsidRPr="004A5A58" w:rsidRDefault="00C73365" w:rsidP="004A5A58">
      <w:pPr>
        <w:pStyle w:val="Heading9"/>
      </w:pPr>
      <w:r w:rsidRPr="004A5A58">
        <w:t xml:space="preserve">Enabling </w:t>
      </w:r>
      <w:r w:rsidR="00FB40F9" w:rsidRPr="004A5A58">
        <w:t>stakeholders</w:t>
      </w:r>
    </w:p>
    <w:p w14:paraId="306F2913" w14:textId="71FE625B" w:rsidR="00ED278E" w:rsidRDefault="0060430D" w:rsidP="00CB3B49">
      <w:pPr>
        <w:rPr>
          <w:rFonts w:cstheme="minorHAnsi"/>
        </w:rPr>
      </w:pPr>
      <w:r>
        <w:rPr>
          <w:rFonts w:cstheme="minorHAnsi"/>
        </w:rPr>
        <w:t xml:space="preserve">While </w:t>
      </w:r>
      <w:r w:rsidR="006929A6">
        <w:rPr>
          <w:rFonts w:cstheme="minorHAnsi"/>
        </w:rPr>
        <w:t xml:space="preserve">the </w:t>
      </w:r>
      <w:r>
        <w:rPr>
          <w:rFonts w:cstheme="minorHAnsi"/>
        </w:rPr>
        <w:t>public sector are not directly engaged in del</w:t>
      </w:r>
      <w:r w:rsidR="006929A6">
        <w:rPr>
          <w:rFonts w:cstheme="minorHAnsi"/>
        </w:rPr>
        <w:t xml:space="preserve">ivering most interventions in an MSD </w:t>
      </w:r>
      <w:r>
        <w:rPr>
          <w:rFonts w:cstheme="minorHAnsi"/>
        </w:rPr>
        <w:t>program</w:t>
      </w:r>
      <w:r w:rsidR="00CB3B49">
        <w:rPr>
          <w:rFonts w:cstheme="minorHAnsi"/>
        </w:rPr>
        <w:t>,</w:t>
      </w:r>
      <w:r>
        <w:rPr>
          <w:rFonts w:cstheme="minorHAnsi"/>
        </w:rPr>
        <w:t xml:space="preserve"> they </w:t>
      </w:r>
      <w:r w:rsidR="00D90489">
        <w:rPr>
          <w:rFonts w:cstheme="minorHAnsi"/>
        </w:rPr>
        <w:t>play an important role</w:t>
      </w:r>
      <w:r>
        <w:rPr>
          <w:rFonts w:cstheme="minorHAnsi"/>
        </w:rPr>
        <w:t xml:space="preserve"> in creating the </w:t>
      </w:r>
      <w:r w:rsidR="00823B72">
        <w:rPr>
          <w:rFonts w:cstheme="minorHAnsi"/>
        </w:rPr>
        <w:t xml:space="preserve">market </w:t>
      </w:r>
      <w:r>
        <w:rPr>
          <w:rFonts w:cstheme="minorHAnsi"/>
        </w:rPr>
        <w:t>conditions that i</w:t>
      </w:r>
      <w:r w:rsidR="00D83708">
        <w:rPr>
          <w:rFonts w:cstheme="minorHAnsi"/>
        </w:rPr>
        <w:t>ncentivise both farmers and businesse</w:t>
      </w:r>
      <w:r>
        <w:rPr>
          <w:rFonts w:cstheme="minorHAnsi"/>
        </w:rPr>
        <w:t xml:space="preserve">s to make investment choices that are resource efficient and sustainable. </w:t>
      </w:r>
      <w:r w:rsidR="00A57DE9">
        <w:rPr>
          <w:rFonts w:cstheme="minorHAnsi"/>
        </w:rPr>
        <w:t>Supporting the government to t</w:t>
      </w:r>
      <w:r>
        <w:rPr>
          <w:rFonts w:cstheme="minorHAnsi"/>
        </w:rPr>
        <w:t xml:space="preserve">ransition from the traditional role of a supplier to one of a facilitator or enabler </w:t>
      </w:r>
      <w:r w:rsidR="00A57DE9">
        <w:rPr>
          <w:rFonts w:cstheme="minorHAnsi"/>
        </w:rPr>
        <w:t xml:space="preserve">will be the key focus of </w:t>
      </w:r>
      <w:r w:rsidR="004D6DEF">
        <w:rPr>
          <w:rFonts w:cstheme="minorHAnsi"/>
        </w:rPr>
        <w:t>DFAT and the Program’s</w:t>
      </w:r>
      <w:r w:rsidR="00A57DE9">
        <w:rPr>
          <w:rFonts w:cstheme="minorHAnsi"/>
        </w:rPr>
        <w:t xml:space="preserve"> engagement with selected ministries.</w:t>
      </w:r>
      <w:r w:rsidR="00A57DE9" w:rsidRPr="00343460">
        <w:rPr>
          <w:rFonts w:cstheme="minorHAnsi"/>
        </w:rPr>
        <w:t xml:space="preserve"> This</w:t>
      </w:r>
      <w:r w:rsidR="00A57DE9">
        <w:rPr>
          <w:rFonts w:cstheme="minorHAnsi"/>
        </w:rPr>
        <w:t xml:space="preserve"> </w:t>
      </w:r>
      <w:r w:rsidR="00C73365" w:rsidRPr="00343460">
        <w:rPr>
          <w:rFonts w:cstheme="minorHAnsi"/>
        </w:rPr>
        <w:t>set of stakeholde</w:t>
      </w:r>
      <w:r w:rsidR="008D6CC7">
        <w:rPr>
          <w:rFonts w:cstheme="minorHAnsi"/>
        </w:rPr>
        <w:t xml:space="preserve">rs </w:t>
      </w:r>
      <w:r w:rsidR="00440AA5">
        <w:rPr>
          <w:rFonts w:cstheme="minorHAnsi"/>
        </w:rPr>
        <w:t xml:space="preserve">influence </w:t>
      </w:r>
      <w:r w:rsidR="008D6CC7">
        <w:rPr>
          <w:rFonts w:cstheme="minorHAnsi"/>
        </w:rPr>
        <w:t xml:space="preserve">the </w:t>
      </w:r>
      <w:r w:rsidR="0048579F">
        <w:rPr>
          <w:rFonts w:cstheme="minorHAnsi"/>
        </w:rPr>
        <w:t>business environment</w:t>
      </w:r>
      <w:r w:rsidR="00CB3B49">
        <w:rPr>
          <w:rFonts w:cstheme="minorHAnsi"/>
        </w:rPr>
        <w:t>,</w:t>
      </w:r>
      <w:r w:rsidR="0048579F">
        <w:rPr>
          <w:rFonts w:cstheme="minorHAnsi"/>
        </w:rPr>
        <w:t xml:space="preserve"> </w:t>
      </w:r>
      <w:r w:rsidR="00C73365" w:rsidRPr="00343460">
        <w:rPr>
          <w:rFonts w:cstheme="minorHAnsi"/>
        </w:rPr>
        <w:t xml:space="preserve">not only for </w:t>
      </w:r>
      <w:r w:rsidR="005D461A">
        <w:rPr>
          <w:rFonts w:cstheme="minorHAnsi"/>
        </w:rPr>
        <w:t>PRISMA-2</w:t>
      </w:r>
      <w:r w:rsidR="00CB3B49">
        <w:rPr>
          <w:rFonts w:cstheme="minorHAnsi"/>
        </w:rPr>
        <w:t>,</w:t>
      </w:r>
      <w:r w:rsidR="00C73365" w:rsidRPr="00343460">
        <w:rPr>
          <w:rFonts w:cstheme="minorHAnsi"/>
        </w:rPr>
        <w:t xml:space="preserve"> </w:t>
      </w:r>
      <w:r w:rsidR="008D6CC7">
        <w:rPr>
          <w:rFonts w:cstheme="minorHAnsi"/>
        </w:rPr>
        <w:t>but also for its partners and</w:t>
      </w:r>
      <w:r w:rsidR="006929A6">
        <w:rPr>
          <w:rFonts w:cstheme="minorHAnsi"/>
        </w:rPr>
        <w:t xml:space="preserve"> </w:t>
      </w:r>
      <w:r w:rsidR="00C73365" w:rsidRPr="00343460">
        <w:rPr>
          <w:rFonts w:cstheme="minorHAnsi"/>
        </w:rPr>
        <w:t>co-facilitators</w:t>
      </w:r>
      <w:r w:rsidR="001724B6">
        <w:rPr>
          <w:rFonts w:cstheme="minorHAnsi"/>
        </w:rPr>
        <w:t xml:space="preserve">. In addition, they </w:t>
      </w:r>
      <w:r w:rsidR="00C73365" w:rsidRPr="00343460">
        <w:rPr>
          <w:rFonts w:cstheme="minorHAnsi"/>
        </w:rPr>
        <w:t>impact the core transactions between th</w:t>
      </w:r>
      <w:r w:rsidR="006929A6">
        <w:rPr>
          <w:rFonts w:cstheme="minorHAnsi"/>
        </w:rPr>
        <w:t>e P</w:t>
      </w:r>
      <w:r w:rsidR="001724B6">
        <w:rPr>
          <w:rFonts w:cstheme="minorHAnsi"/>
        </w:rPr>
        <w:t>rogram’s partners and farmers</w:t>
      </w:r>
      <w:r w:rsidR="00C73365" w:rsidRPr="00343460">
        <w:rPr>
          <w:rFonts w:cstheme="minorHAnsi"/>
        </w:rPr>
        <w:t xml:space="preserve">. The </w:t>
      </w:r>
      <w:r w:rsidR="00D90489">
        <w:rPr>
          <w:rFonts w:cstheme="minorHAnsi"/>
        </w:rPr>
        <w:t>most important</w:t>
      </w:r>
      <w:r w:rsidR="00C73365" w:rsidRPr="00343460">
        <w:rPr>
          <w:rFonts w:cstheme="minorHAnsi"/>
        </w:rPr>
        <w:t xml:space="preserve"> enablers</w:t>
      </w:r>
      <w:r w:rsidR="00D90489">
        <w:rPr>
          <w:rFonts w:cstheme="minorHAnsi"/>
        </w:rPr>
        <w:t xml:space="preserve"> are</w:t>
      </w:r>
      <w:r w:rsidR="009264C6">
        <w:rPr>
          <w:rFonts w:cstheme="minorHAnsi"/>
        </w:rPr>
        <w:t>:</w:t>
      </w:r>
    </w:p>
    <w:p w14:paraId="5DA19F6A" w14:textId="3B961D2D" w:rsidR="00D15956" w:rsidRDefault="00D90489" w:rsidP="00CB3B49">
      <w:r w:rsidRPr="00E9331B">
        <w:rPr>
          <w:b/>
        </w:rPr>
        <w:t>Ministry for National Development Planning</w:t>
      </w:r>
      <w:r w:rsidRPr="00D90489">
        <w:rPr>
          <w:b/>
        </w:rPr>
        <w:t xml:space="preserve"> (</w:t>
      </w:r>
      <w:r w:rsidR="0032742D" w:rsidRPr="00C16954">
        <w:rPr>
          <w:b/>
        </w:rPr>
        <w:t>BAPPENAS</w:t>
      </w:r>
      <w:r>
        <w:rPr>
          <w:b/>
        </w:rPr>
        <w:t>)</w:t>
      </w:r>
      <w:r w:rsidR="0032742D" w:rsidRPr="00C16954">
        <w:rPr>
          <w:b/>
        </w:rPr>
        <w:t>:</w:t>
      </w:r>
      <w:r w:rsidR="0032742D" w:rsidRPr="00C16954">
        <w:t xml:space="preserve"> </w:t>
      </w:r>
      <w:r w:rsidR="00ED278E" w:rsidRPr="00C16954">
        <w:t xml:space="preserve">Of central importance to the program is BAPPENAS. It co-implements the program with DFAT and co-chairs the </w:t>
      </w:r>
      <w:r w:rsidR="009264C6">
        <w:t>Program Coordination Committee (PCC)</w:t>
      </w:r>
      <w:r w:rsidR="00ED278E" w:rsidRPr="00C16954">
        <w:t xml:space="preserve"> which reviews progress and sets key priorities for future work. </w:t>
      </w:r>
      <w:r w:rsidR="00CA39D6">
        <w:t>I</w:t>
      </w:r>
      <w:r w:rsidR="00ED278E" w:rsidRPr="00C16954">
        <w:t>t is responsible for formulating policies and strategies for the forthcoming RPJM</w:t>
      </w:r>
      <w:r w:rsidR="00D15956">
        <w:t>N</w:t>
      </w:r>
      <w:r w:rsidR="00ED278E" w:rsidRPr="00C16954">
        <w:t xml:space="preserve"> (</w:t>
      </w:r>
      <w:r w:rsidR="004C69FD">
        <w:t xml:space="preserve">Indonesia’s </w:t>
      </w:r>
      <w:r w:rsidR="00ED278E" w:rsidRPr="00C16954">
        <w:t xml:space="preserve">5-year </w:t>
      </w:r>
      <w:r w:rsidR="004C69FD">
        <w:t xml:space="preserve">development </w:t>
      </w:r>
      <w:r w:rsidR="00ED278E" w:rsidRPr="00C16954">
        <w:t>plan)</w:t>
      </w:r>
      <w:r w:rsidR="00CA39D6">
        <w:t xml:space="preserve"> and coordinating between other ministries</w:t>
      </w:r>
      <w:r w:rsidR="00ED278E" w:rsidRPr="00DE0823">
        <w:t xml:space="preserve">. </w:t>
      </w:r>
      <w:r w:rsidR="004C69FD">
        <w:t>Through collaboration with donors, i</w:t>
      </w:r>
      <w:r w:rsidR="00ED278E" w:rsidRPr="00DE0823">
        <w:t>t also pilot</w:t>
      </w:r>
      <w:r w:rsidR="004C69FD">
        <w:t>s</w:t>
      </w:r>
      <w:r w:rsidR="00ED278E" w:rsidRPr="00DE0823">
        <w:t xml:space="preserve"> </w:t>
      </w:r>
      <w:r w:rsidR="009264C6">
        <w:t>approaches</w:t>
      </w:r>
      <w:r w:rsidR="00ED278E" w:rsidRPr="00DE0823">
        <w:t xml:space="preserve"> that </w:t>
      </w:r>
      <w:r w:rsidR="009264C6">
        <w:t>may</w:t>
      </w:r>
      <w:r w:rsidR="00ED278E" w:rsidRPr="00DE0823">
        <w:t xml:space="preserve"> be </w:t>
      </w:r>
      <w:r w:rsidR="00CA39D6">
        <w:t xml:space="preserve">used as </w:t>
      </w:r>
      <w:r w:rsidR="00CA39D6">
        <w:lastRenderedPageBreak/>
        <w:t>an evidence base for advice to</w:t>
      </w:r>
      <w:r w:rsidR="00ED278E" w:rsidRPr="00874DE6">
        <w:t xml:space="preserve"> line ministries and local government. PRISMA-2’s </w:t>
      </w:r>
      <w:r w:rsidR="00CA39D6">
        <w:t>MSD</w:t>
      </w:r>
      <w:r w:rsidR="00ED278E" w:rsidRPr="00A16DE2">
        <w:t xml:space="preserve"> </w:t>
      </w:r>
      <w:r w:rsidR="004B7239" w:rsidRPr="00FA1C30">
        <w:t>approach,</w:t>
      </w:r>
      <w:r w:rsidR="00ED278E" w:rsidRPr="00FA1C30">
        <w:t xml:space="preserve"> with its rigorously measured impact, high outreach to the poor and its replicable model for engaging with the private sector</w:t>
      </w:r>
      <w:r w:rsidR="003B39E1" w:rsidRPr="00FA1C30">
        <w:t>,</w:t>
      </w:r>
      <w:r w:rsidR="00ED278E" w:rsidRPr="00FA1C30">
        <w:t xml:space="preserve"> is </w:t>
      </w:r>
      <w:r w:rsidR="00243660">
        <w:t>an approach to piloting</w:t>
      </w:r>
      <w:r w:rsidR="00ED278E" w:rsidRPr="00FA1C30">
        <w:t xml:space="preserve"> that </w:t>
      </w:r>
      <w:r>
        <w:t xml:space="preserve">BAPPENAS </w:t>
      </w:r>
      <w:r w:rsidR="009730E0">
        <w:t>wishes to use as a model</w:t>
      </w:r>
      <w:r>
        <w:t xml:space="preserve"> </w:t>
      </w:r>
      <w:r w:rsidR="00ED278E" w:rsidRPr="00FA1C30">
        <w:t>for wider dissemination.</w:t>
      </w:r>
      <w:r w:rsidR="004D6DEF">
        <w:t xml:space="preserve"> Given the cross-sectoral nature of agriculture, rural development, and food, BAPPENAS is the most suitable counterpart for PRI</w:t>
      </w:r>
      <w:r w:rsidR="00073B43">
        <w:t>S</w:t>
      </w:r>
      <w:r w:rsidR="004D6DEF">
        <w:t>MA-2.</w:t>
      </w:r>
    </w:p>
    <w:p w14:paraId="790A9CD8" w14:textId="0AA98D21" w:rsidR="00D15956" w:rsidRDefault="0032742D" w:rsidP="00CB3B49">
      <w:pPr>
        <w:rPr>
          <w:rFonts w:cstheme="minorHAnsi"/>
        </w:rPr>
      </w:pPr>
      <w:r>
        <w:rPr>
          <w:rFonts w:cstheme="minorHAnsi"/>
          <w:b/>
        </w:rPr>
        <w:t xml:space="preserve">The Ministry of Public Works and the </w:t>
      </w:r>
      <w:r w:rsidRPr="00C16954">
        <w:rPr>
          <w:b/>
        </w:rPr>
        <w:t>Ministry of Research, Technology and Higher Education</w:t>
      </w:r>
      <w:r>
        <w:t xml:space="preserve"> </w:t>
      </w:r>
      <w:r w:rsidRPr="00E9331B">
        <w:rPr>
          <w:b/>
        </w:rPr>
        <w:t>(</w:t>
      </w:r>
      <w:proofErr w:type="spellStart"/>
      <w:r w:rsidRPr="00E9331B">
        <w:rPr>
          <w:rFonts w:cstheme="minorHAnsi"/>
          <w:b/>
        </w:rPr>
        <w:t>Kemenristekdikti</w:t>
      </w:r>
      <w:proofErr w:type="spellEnd"/>
      <w:r w:rsidRPr="00E9331B">
        <w:rPr>
          <w:rFonts w:cstheme="minorHAnsi"/>
          <w:b/>
        </w:rPr>
        <w:t>):</w:t>
      </w:r>
      <w:r>
        <w:rPr>
          <w:rFonts w:cstheme="minorHAnsi"/>
        </w:rPr>
        <w:t xml:space="preserve"> These two ministries </w:t>
      </w:r>
      <w:r w:rsidR="0011053B">
        <w:rPr>
          <w:rFonts w:cstheme="minorHAnsi"/>
        </w:rPr>
        <w:t>were</w:t>
      </w:r>
      <w:r>
        <w:rPr>
          <w:rFonts w:cstheme="minorHAnsi"/>
        </w:rPr>
        <w:t xml:space="preserve"> directly involved as </w:t>
      </w:r>
      <w:r w:rsidR="00163E33">
        <w:rPr>
          <w:rFonts w:cstheme="minorHAnsi"/>
        </w:rPr>
        <w:t xml:space="preserve">counterparts </w:t>
      </w:r>
      <w:r>
        <w:rPr>
          <w:rFonts w:cstheme="minorHAnsi"/>
        </w:rPr>
        <w:t>in the implementation of AIP-Rural</w:t>
      </w:r>
      <w:r w:rsidR="0011053B">
        <w:rPr>
          <w:rFonts w:cstheme="minorHAnsi"/>
        </w:rPr>
        <w:t xml:space="preserve"> (t</w:t>
      </w:r>
      <w:r>
        <w:rPr>
          <w:rFonts w:cstheme="minorHAnsi"/>
        </w:rPr>
        <w:t xml:space="preserve">he Ministry of Public Works </w:t>
      </w:r>
      <w:r w:rsidR="009264C6">
        <w:rPr>
          <w:rFonts w:cstheme="minorHAnsi"/>
        </w:rPr>
        <w:t xml:space="preserve">chaired the PCC for </w:t>
      </w:r>
      <w:r>
        <w:rPr>
          <w:rFonts w:cstheme="minorHAnsi"/>
        </w:rPr>
        <w:t>TIRTA</w:t>
      </w:r>
      <w:r w:rsidR="00CA39D6">
        <w:rPr>
          <w:rFonts w:cstheme="minorHAnsi"/>
        </w:rPr>
        <w:t>,</w:t>
      </w:r>
      <w:r>
        <w:rPr>
          <w:rFonts w:cstheme="minorHAnsi"/>
        </w:rPr>
        <w:t xml:space="preserve"> while </w:t>
      </w:r>
      <w:proofErr w:type="spellStart"/>
      <w:r>
        <w:rPr>
          <w:rFonts w:cstheme="minorHAnsi"/>
        </w:rPr>
        <w:t>Kem</w:t>
      </w:r>
      <w:r w:rsidR="009264C6">
        <w:rPr>
          <w:rFonts w:cstheme="minorHAnsi"/>
        </w:rPr>
        <w:t>enristekdikti</w:t>
      </w:r>
      <w:proofErr w:type="spellEnd"/>
      <w:r w:rsidR="009264C6">
        <w:rPr>
          <w:rFonts w:cstheme="minorHAnsi"/>
        </w:rPr>
        <w:t xml:space="preserve"> chaired the PCC for</w:t>
      </w:r>
      <w:r>
        <w:rPr>
          <w:rFonts w:cstheme="minorHAnsi"/>
        </w:rPr>
        <w:t xml:space="preserve"> ARISA</w:t>
      </w:r>
      <w:r w:rsidR="0011053B">
        <w:rPr>
          <w:rFonts w:cstheme="minorHAnsi"/>
        </w:rPr>
        <w:t>)</w:t>
      </w:r>
      <w:r>
        <w:rPr>
          <w:rFonts w:cstheme="minorHAnsi"/>
        </w:rPr>
        <w:t>.</w:t>
      </w:r>
      <w:r w:rsidR="007668E9">
        <w:rPr>
          <w:rFonts w:cstheme="minorHAnsi"/>
        </w:rPr>
        <w:t xml:space="preserve"> It is envisaged that these two ministries with their influence on the policies and budgets</w:t>
      </w:r>
      <w:r>
        <w:rPr>
          <w:rFonts w:cstheme="minorHAnsi"/>
        </w:rPr>
        <w:t xml:space="preserve"> </w:t>
      </w:r>
      <w:r w:rsidR="0011053B">
        <w:rPr>
          <w:rFonts w:cstheme="minorHAnsi"/>
        </w:rPr>
        <w:t>for agricultural infrastructure</w:t>
      </w:r>
      <w:r w:rsidR="007668E9">
        <w:rPr>
          <w:rFonts w:cstheme="minorHAnsi"/>
        </w:rPr>
        <w:t xml:space="preserve"> and applied agricultura</w:t>
      </w:r>
      <w:r w:rsidR="009264C6">
        <w:rPr>
          <w:rFonts w:cstheme="minorHAnsi"/>
        </w:rPr>
        <w:t>l research will maintain a</w:t>
      </w:r>
      <w:r w:rsidR="007668E9">
        <w:rPr>
          <w:rFonts w:cstheme="minorHAnsi"/>
        </w:rPr>
        <w:t xml:space="preserve"> relationship with PRISMA</w:t>
      </w:r>
      <w:r w:rsidR="00D15956">
        <w:rPr>
          <w:rFonts w:cstheme="minorHAnsi"/>
        </w:rPr>
        <w:t>-2</w:t>
      </w:r>
      <w:r w:rsidR="001117AB">
        <w:rPr>
          <w:rFonts w:cstheme="minorHAnsi"/>
        </w:rPr>
        <w:t xml:space="preserve"> </w:t>
      </w:r>
      <w:r w:rsidR="009264C6">
        <w:rPr>
          <w:rFonts w:cstheme="minorHAnsi"/>
        </w:rPr>
        <w:t xml:space="preserve">through the </w:t>
      </w:r>
      <w:r w:rsidR="007668E9">
        <w:rPr>
          <w:rFonts w:cstheme="minorHAnsi"/>
        </w:rPr>
        <w:t>PCC</w:t>
      </w:r>
      <w:r w:rsidR="00163E33">
        <w:rPr>
          <w:rFonts w:cstheme="minorHAnsi"/>
        </w:rPr>
        <w:t xml:space="preserve"> where relevant</w:t>
      </w:r>
      <w:r w:rsidR="007668E9">
        <w:rPr>
          <w:rFonts w:cstheme="minorHAnsi"/>
        </w:rPr>
        <w:t>.</w:t>
      </w:r>
    </w:p>
    <w:p w14:paraId="05146771" w14:textId="1CE5FABC" w:rsidR="00C73365" w:rsidRPr="00343460" w:rsidRDefault="00C73365" w:rsidP="00CB3B49">
      <w:pPr>
        <w:rPr>
          <w:rFonts w:cstheme="minorHAnsi"/>
        </w:rPr>
      </w:pPr>
      <w:r w:rsidRPr="00343460">
        <w:rPr>
          <w:rFonts w:cstheme="minorHAnsi"/>
          <w:b/>
        </w:rPr>
        <w:t>Ministry of Agriculture and provincial</w:t>
      </w:r>
      <w:r w:rsidR="00194027">
        <w:rPr>
          <w:rFonts w:cstheme="minorHAnsi"/>
          <w:b/>
        </w:rPr>
        <w:t xml:space="preserve"> and </w:t>
      </w:r>
      <w:r w:rsidRPr="00343460">
        <w:rPr>
          <w:rFonts w:cstheme="minorHAnsi"/>
          <w:b/>
        </w:rPr>
        <w:t xml:space="preserve">district </w:t>
      </w:r>
      <w:r w:rsidR="0048579F">
        <w:rPr>
          <w:rFonts w:cstheme="minorHAnsi"/>
          <w:b/>
        </w:rPr>
        <w:t>g</w:t>
      </w:r>
      <w:r w:rsidRPr="00343460">
        <w:rPr>
          <w:rFonts w:cstheme="minorHAnsi"/>
          <w:b/>
        </w:rPr>
        <w:t>overnments</w:t>
      </w:r>
      <w:r w:rsidR="00194027" w:rsidRPr="00D43874">
        <w:rPr>
          <w:rFonts w:cstheme="minorHAnsi"/>
          <w:b/>
        </w:rPr>
        <w:t>:</w:t>
      </w:r>
      <w:r w:rsidRPr="00343460">
        <w:rPr>
          <w:rFonts w:cstheme="minorHAnsi"/>
        </w:rPr>
        <w:t xml:space="preserve"> The Ministry of Agriculture is a central player in the design and implementation of agricultural </w:t>
      </w:r>
      <w:r w:rsidR="00663AEF">
        <w:rPr>
          <w:rFonts w:cstheme="minorHAnsi"/>
        </w:rPr>
        <w:t xml:space="preserve">policy and </w:t>
      </w:r>
      <w:r w:rsidRPr="00343460">
        <w:rPr>
          <w:rFonts w:cstheme="minorHAnsi"/>
        </w:rPr>
        <w:t>subsidies (</w:t>
      </w:r>
      <w:r w:rsidR="0011053B">
        <w:rPr>
          <w:rFonts w:cstheme="minorHAnsi"/>
        </w:rPr>
        <w:t xml:space="preserve">e.g. for </w:t>
      </w:r>
      <w:r w:rsidRPr="00343460">
        <w:rPr>
          <w:rFonts w:cstheme="minorHAnsi"/>
        </w:rPr>
        <w:t>seeds and fertiliser)</w:t>
      </w:r>
      <w:r w:rsidR="00663AEF">
        <w:rPr>
          <w:rFonts w:cstheme="minorHAnsi"/>
        </w:rPr>
        <w:t>, which impact agricultural market</w:t>
      </w:r>
      <w:r w:rsidR="003F46DC">
        <w:rPr>
          <w:rFonts w:cstheme="minorHAnsi"/>
        </w:rPr>
        <w:t>s</w:t>
      </w:r>
      <w:r w:rsidR="00663AEF">
        <w:rPr>
          <w:rFonts w:cstheme="minorHAnsi"/>
        </w:rPr>
        <w:t xml:space="preserve"> in Indonesia</w:t>
      </w:r>
      <w:r w:rsidRPr="00343460">
        <w:rPr>
          <w:rFonts w:cstheme="minorHAnsi"/>
        </w:rPr>
        <w:t xml:space="preserve">. It supports public agricultural extension and research. Local </w:t>
      </w:r>
      <w:r w:rsidR="006E26D1">
        <w:rPr>
          <w:rFonts w:cstheme="minorHAnsi"/>
        </w:rPr>
        <w:t>g</w:t>
      </w:r>
      <w:r w:rsidRPr="00343460">
        <w:rPr>
          <w:rFonts w:cstheme="minorHAnsi"/>
        </w:rPr>
        <w:t xml:space="preserve">overnment </w:t>
      </w:r>
      <w:r w:rsidR="006E26D1">
        <w:rPr>
          <w:rFonts w:cstheme="minorHAnsi"/>
        </w:rPr>
        <w:t xml:space="preserve">agencies </w:t>
      </w:r>
      <w:r w:rsidRPr="00343460">
        <w:rPr>
          <w:rFonts w:cstheme="minorHAnsi"/>
        </w:rPr>
        <w:t xml:space="preserve">often manage </w:t>
      </w:r>
      <w:r w:rsidR="006E26D1">
        <w:rPr>
          <w:rFonts w:cstheme="minorHAnsi"/>
        </w:rPr>
        <w:t xml:space="preserve">delivery of </w:t>
      </w:r>
      <w:r w:rsidRPr="00343460">
        <w:rPr>
          <w:rFonts w:cstheme="minorHAnsi"/>
        </w:rPr>
        <w:t xml:space="preserve">parts of </w:t>
      </w:r>
      <w:r w:rsidR="006E26D1">
        <w:rPr>
          <w:rFonts w:cstheme="minorHAnsi"/>
        </w:rPr>
        <w:t>national agricultural</w:t>
      </w:r>
      <w:r w:rsidRPr="00343460">
        <w:rPr>
          <w:rFonts w:cstheme="minorHAnsi"/>
        </w:rPr>
        <w:t xml:space="preserve"> subsidy program</w:t>
      </w:r>
      <w:r w:rsidR="006E26D1">
        <w:rPr>
          <w:rFonts w:cstheme="minorHAnsi"/>
        </w:rPr>
        <w:t>s</w:t>
      </w:r>
      <w:r w:rsidR="001724B6">
        <w:rPr>
          <w:rFonts w:cstheme="minorHAnsi"/>
        </w:rPr>
        <w:t xml:space="preserve">. As </w:t>
      </w:r>
      <w:r w:rsidR="00194027">
        <w:rPr>
          <w:rFonts w:cstheme="minorHAnsi"/>
        </w:rPr>
        <w:t>they are</w:t>
      </w:r>
      <w:r w:rsidRPr="00343460">
        <w:rPr>
          <w:rFonts w:cstheme="minorHAnsi"/>
        </w:rPr>
        <w:t xml:space="preserve"> closer to the target beneficiaries </w:t>
      </w:r>
      <w:r w:rsidR="00194027">
        <w:rPr>
          <w:rFonts w:cstheme="minorHAnsi"/>
        </w:rPr>
        <w:t>they</w:t>
      </w:r>
      <w:r w:rsidR="00194027" w:rsidRPr="00343460">
        <w:rPr>
          <w:rFonts w:cstheme="minorHAnsi"/>
        </w:rPr>
        <w:t xml:space="preserve"> </w:t>
      </w:r>
      <w:r w:rsidR="00194027">
        <w:rPr>
          <w:rFonts w:cstheme="minorHAnsi"/>
        </w:rPr>
        <w:t>are</w:t>
      </w:r>
      <w:r w:rsidR="00194027" w:rsidRPr="00343460">
        <w:rPr>
          <w:rFonts w:cstheme="minorHAnsi"/>
        </w:rPr>
        <w:t xml:space="preserve"> </w:t>
      </w:r>
      <w:r w:rsidRPr="00343460">
        <w:rPr>
          <w:rFonts w:cstheme="minorHAnsi"/>
        </w:rPr>
        <w:t xml:space="preserve">often pragmatic and open to </w:t>
      </w:r>
      <w:r w:rsidR="0011053B">
        <w:rPr>
          <w:rFonts w:cstheme="minorHAnsi"/>
        </w:rPr>
        <w:t>new ways of delivering benefits to smallholder farm</w:t>
      </w:r>
      <w:r w:rsidR="00A51426">
        <w:rPr>
          <w:rFonts w:cstheme="minorHAnsi"/>
        </w:rPr>
        <w:t>ing</w:t>
      </w:r>
      <w:r w:rsidR="0011053B">
        <w:rPr>
          <w:rFonts w:cstheme="minorHAnsi"/>
        </w:rPr>
        <w:t xml:space="preserve"> households</w:t>
      </w:r>
      <w:r w:rsidRPr="00343460">
        <w:rPr>
          <w:rFonts w:cstheme="minorHAnsi"/>
        </w:rPr>
        <w:t xml:space="preserve">. </w:t>
      </w:r>
      <w:r w:rsidR="003F46DC">
        <w:rPr>
          <w:rFonts w:cstheme="minorHAnsi"/>
        </w:rPr>
        <w:t>For example</w:t>
      </w:r>
      <w:r w:rsidR="003B39E1">
        <w:rPr>
          <w:rFonts w:cstheme="minorHAnsi"/>
        </w:rPr>
        <w:t>,</w:t>
      </w:r>
      <w:r w:rsidR="003F46DC">
        <w:rPr>
          <w:rFonts w:cstheme="minorHAnsi"/>
        </w:rPr>
        <w:t xml:space="preserve"> PRISMA engaged with the district government in </w:t>
      </w:r>
      <w:proofErr w:type="spellStart"/>
      <w:r w:rsidR="003F46DC">
        <w:rPr>
          <w:rFonts w:cstheme="minorHAnsi"/>
        </w:rPr>
        <w:t>Sumenep</w:t>
      </w:r>
      <w:proofErr w:type="spellEnd"/>
      <w:r w:rsidR="003F46DC">
        <w:rPr>
          <w:rFonts w:cstheme="minorHAnsi"/>
        </w:rPr>
        <w:t xml:space="preserve"> in Madura to optimise resources </w:t>
      </w:r>
      <w:r w:rsidR="003B39E1">
        <w:rPr>
          <w:rFonts w:cstheme="minorHAnsi"/>
        </w:rPr>
        <w:t>allocated to</w:t>
      </w:r>
      <w:r w:rsidR="003F46DC">
        <w:rPr>
          <w:rFonts w:cstheme="minorHAnsi"/>
        </w:rPr>
        <w:t xml:space="preserve"> maize seed subsidies by integrating their program aimed at productivity increases into a broader private sector initiative to increase </w:t>
      </w:r>
      <w:r w:rsidR="0011053B">
        <w:rPr>
          <w:rFonts w:cstheme="minorHAnsi"/>
        </w:rPr>
        <w:t>adoption</w:t>
      </w:r>
      <w:r w:rsidR="003F46DC">
        <w:rPr>
          <w:rFonts w:cstheme="minorHAnsi"/>
        </w:rPr>
        <w:t xml:space="preserve"> of hybrid seeds</w:t>
      </w:r>
      <w:r w:rsidR="005C2288">
        <w:rPr>
          <w:rFonts w:cstheme="minorHAnsi"/>
        </w:rPr>
        <w:t xml:space="preserve"> on the whole island of Madura.</w:t>
      </w:r>
    </w:p>
    <w:p w14:paraId="4145C29C" w14:textId="0D888CFF" w:rsidR="00C73365" w:rsidRPr="007B0A15" w:rsidRDefault="009264C6" w:rsidP="00CB3B49">
      <w:pPr>
        <w:rPr>
          <w:rFonts w:cstheme="minorHAnsi"/>
        </w:rPr>
      </w:pPr>
      <w:r>
        <w:rPr>
          <w:rFonts w:cstheme="minorHAnsi"/>
          <w:b/>
        </w:rPr>
        <w:t>Financial Services Authority (</w:t>
      </w:r>
      <w:r w:rsidR="00C73365" w:rsidRPr="007B0A15">
        <w:rPr>
          <w:rFonts w:cstheme="minorHAnsi"/>
          <w:b/>
        </w:rPr>
        <w:t>OJK</w:t>
      </w:r>
      <w:r>
        <w:rPr>
          <w:rFonts w:cstheme="minorHAnsi"/>
          <w:b/>
        </w:rPr>
        <w:t>)</w:t>
      </w:r>
      <w:r w:rsidR="00C73365" w:rsidRPr="007B0A15">
        <w:rPr>
          <w:rFonts w:cstheme="minorHAnsi"/>
          <w:b/>
        </w:rPr>
        <w:t xml:space="preserve"> and Bank Indonesia</w:t>
      </w:r>
      <w:r w:rsidR="00461ADE">
        <w:rPr>
          <w:rFonts w:cstheme="minorHAnsi"/>
          <w:b/>
        </w:rPr>
        <w:t>:</w:t>
      </w:r>
      <w:r w:rsidR="00461ADE" w:rsidRPr="007B0A15">
        <w:rPr>
          <w:rFonts w:cstheme="minorHAnsi"/>
          <w:b/>
        </w:rPr>
        <w:t xml:space="preserve"> </w:t>
      </w:r>
      <w:r>
        <w:rPr>
          <w:rFonts w:cstheme="minorHAnsi"/>
        </w:rPr>
        <w:t>These institution</w:t>
      </w:r>
      <w:r w:rsidR="00C73365" w:rsidRPr="007B0A15">
        <w:rPr>
          <w:rFonts w:cstheme="minorHAnsi"/>
        </w:rPr>
        <w:t xml:space="preserve">s </w:t>
      </w:r>
      <w:r w:rsidR="006E26D1">
        <w:rPr>
          <w:rFonts w:cstheme="minorHAnsi"/>
        </w:rPr>
        <w:t>are</w:t>
      </w:r>
      <w:r w:rsidR="006E26D1" w:rsidRPr="007B0A15">
        <w:rPr>
          <w:rFonts w:cstheme="minorHAnsi"/>
        </w:rPr>
        <w:t xml:space="preserve"> </w:t>
      </w:r>
      <w:r w:rsidR="00C73365" w:rsidRPr="007B0A15">
        <w:rPr>
          <w:rFonts w:cstheme="minorHAnsi"/>
        </w:rPr>
        <w:t xml:space="preserve">relevant to </w:t>
      </w:r>
      <w:r w:rsidR="007879DC">
        <w:rPr>
          <w:rFonts w:cstheme="minorHAnsi"/>
        </w:rPr>
        <w:t xml:space="preserve">some </w:t>
      </w:r>
      <w:r w:rsidR="00C73365" w:rsidRPr="007B0A15">
        <w:rPr>
          <w:rFonts w:cstheme="minorHAnsi"/>
        </w:rPr>
        <w:t xml:space="preserve">agricultural finance </w:t>
      </w:r>
      <w:r w:rsidR="007879DC">
        <w:rPr>
          <w:rFonts w:cstheme="minorHAnsi"/>
        </w:rPr>
        <w:t>interventions</w:t>
      </w:r>
      <w:r w:rsidR="00C73365" w:rsidRPr="007B0A15">
        <w:rPr>
          <w:rFonts w:cstheme="minorHAnsi"/>
        </w:rPr>
        <w:t>. OJK regulat</w:t>
      </w:r>
      <w:r w:rsidR="00461ADE">
        <w:rPr>
          <w:rFonts w:cstheme="minorHAnsi"/>
        </w:rPr>
        <w:t xml:space="preserve">es </w:t>
      </w:r>
      <w:r w:rsidR="00C73365" w:rsidRPr="007B0A15">
        <w:rPr>
          <w:rFonts w:cstheme="minorHAnsi"/>
        </w:rPr>
        <w:t>the financ</w:t>
      </w:r>
      <w:r w:rsidR="00461ADE">
        <w:rPr>
          <w:rFonts w:cstheme="minorHAnsi"/>
        </w:rPr>
        <w:t>ial</w:t>
      </w:r>
      <w:r w:rsidR="00C73365" w:rsidRPr="007B0A15">
        <w:rPr>
          <w:rFonts w:cstheme="minorHAnsi"/>
        </w:rPr>
        <w:t xml:space="preserve"> sector, a task it has taken </w:t>
      </w:r>
      <w:r w:rsidR="00461ADE" w:rsidRPr="007B0A15">
        <w:rPr>
          <w:rFonts w:cstheme="minorHAnsi"/>
        </w:rPr>
        <w:t>o</w:t>
      </w:r>
      <w:r w:rsidR="00461ADE">
        <w:rPr>
          <w:rFonts w:cstheme="minorHAnsi"/>
        </w:rPr>
        <w:t>ver</w:t>
      </w:r>
      <w:r w:rsidR="00C73365" w:rsidRPr="007B0A15">
        <w:rPr>
          <w:rFonts w:cstheme="minorHAnsi"/>
        </w:rPr>
        <w:t xml:space="preserve"> from Bank Indonesia</w:t>
      </w:r>
      <w:r w:rsidR="00461ADE">
        <w:rPr>
          <w:rFonts w:cstheme="minorHAnsi"/>
        </w:rPr>
        <w:t xml:space="preserve"> in the last two years</w:t>
      </w:r>
      <w:r w:rsidR="00C73365" w:rsidRPr="007B0A15">
        <w:rPr>
          <w:rFonts w:cstheme="minorHAnsi"/>
        </w:rPr>
        <w:t xml:space="preserve">. </w:t>
      </w:r>
      <w:r w:rsidR="00194027">
        <w:rPr>
          <w:rFonts w:cstheme="minorHAnsi"/>
        </w:rPr>
        <w:t>Its</w:t>
      </w:r>
      <w:r w:rsidR="00194027" w:rsidRPr="007B0A15">
        <w:rPr>
          <w:rFonts w:cstheme="minorHAnsi"/>
        </w:rPr>
        <w:t xml:space="preserve"> </w:t>
      </w:r>
      <w:r w:rsidR="00461ADE">
        <w:rPr>
          <w:rFonts w:cstheme="minorHAnsi"/>
        </w:rPr>
        <w:t>primary</w:t>
      </w:r>
      <w:r w:rsidR="00461ADE" w:rsidRPr="007B0A15">
        <w:rPr>
          <w:rFonts w:cstheme="minorHAnsi"/>
        </w:rPr>
        <w:t xml:space="preserve"> </w:t>
      </w:r>
      <w:r w:rsidR="00C73365" w:rsidRPr="007B0A15">
        <w:rPr>
          <w:rFonts w:cstheme="minorHAnsi"/>
        </w:rPr>
        <w:t xml:space="preserve">function is to monitor </w:t>
      </w:r>
      <w:r w:rsidR="00194027">
        <w:rPr>
          <w:rFonts w:cstheme="minorHAnsi"/>
        </w:rPr>
        <w:t>no</w:t>
      </w:r>
      <w:r w:rsidR="00194027" w:rsidRPr="007B0A15">
        <w:rPr>
          <w:rFonts w:cstheme="minorHAnsi"/>
        </w:rPr>
        <w:t>n</w:t>
      </w:r>
      <w:r w:rsidR="00C73365" w:rsidRPr="007B0A15">
        <w:rPr>
          <w:rFonts w:cstheme="minorHAnsi"/>
        </w:rPr>
        <w:t>-</w:t>
      </w:r>
      <w:r w:rsidR="00194027">
        <w:rPr>
          <w:rFonts w:cstheme="minorHAnsi"/>
        </w:rPr>
        <w:t>p</w:t>
      </w:r>
      <w:r w:rsidR="00194027" w:rsidRPr="007B0A15">
        <w:rPr>
          <w:rFonts w:cstheme="minorHAnsi"/>
        </w:rPr>
        <w:t xml:space="preserve">erforming </w:t>
      </w:r>
      <w:r w:rsidR="00194027">
        <w:rPr>
          <w:rFonts w:cstheme="minorHAnsi"/>
        </w:rPr>
        <w:t>l</w:t>
      </w:r>
      <w:r w:rsidR="00194027" w:rsidRPr="007B0A15">
        <w:rPr>
          <w:rFonts w:cstheme="minorHAnsi"/>
        </w:rPr>
        <w:t xml:space="preserve">oans </w:t>
      </w:r>
      <w:r w:rsidR="00C73365" w:rsidRPr="007B0A15">
        <w:rPr>
          <w:rFonts w:cstheme="minorHAnsi"/>
        </w:rPr>
        <w:t>and keep</w:t>
      </w:r>
      <w:r w:rsidR="006E26D1">
        <w:rPr>
          <w:rFonts w:cstheme="minorHAnsi"/>
        </w:rPr>
        <w:t xml:space="preserve"> them</w:t>
      </w:r>
      <w:r w:rsidR="00C73365" w:rsidRPr="007B0A15">
        <w:rPr>
          <w:rFonts w:cstheme="minorHAnsi"/>
        </w:rPr>
        <w:t xml:space="preserve"> below 3</w:t>
      </w:r>
      <w:r w:rsidR="00675B61">
        <w:rPr>
          <w:rFonts w:cstheme="minorHAnsi"/>
        </w:rPr>
        <w:t>%</w:t>
      </w:r>
      <w:r w:rsidR="00C73365" w:rsidRPr="007B0A15">
        <w:rPr>
          <w:rFonts w:cstheme="minorHAnsi"/>
        </w:rPr>
        <w:t xml:space="preserve"> of bank portfolios. Bank Indonesia still sets many bank</w:t>
      </w:r>
      <w:r w:rsidR="00461ADE">
        <w:rPr>
          <w:rFonts w:cstheme="minorHAnsi"/>
        </w:rPr>
        <w:t>ing</w:t>
      </w:r>
      <w:r w:rsidR="00C73365" w:rsidRPr="007B0A15">
        <w:rPr>
          <w:rFonts w:cstheme="minorHAnsi"/>
        </w:rPr>
        <w:t xml:space="preserve"> regulations</w:t>
      </w:r>
      <w:r w:rsidR="00461ADE">
        <w:rPr>
          <w:rFonts w:cstheme="minorHAnsi"/>
        </w:rPr>
        <w:t>,</w:t>
      </w:r>
      <w:r w:rsidR="00C73365" w:rsidRPr="007B0A15">
        <w:rPr>
          <w:rFonts w:cstheme="minorHAnsi"/>
        </w:rPr>
        <w:t xml:space="preserve"> including</w:t>
      </w:r>
      <w:r w:rsidR="00461ADE">
        <w:rPr>
          <w:rFonts w:cstheme="minorHAnsi"/>
        </w:rPr>
        <w:t xml:space="preserve"> </w:t>
      </w:r>
      <w:r w:rsidR="007879DC">
        <w:rPr>
          <w:rFonts w:cstheme="minorHAnsi"/>
        </w:rPr>
        <w:t xml:space="preserve">for </w:t>
      </w:r>
      <w:proofErr w:type="spellStart"/>
      <w:r w:rsidR="00C73365" w:rsidRPr="007B0A15">
        <w:rPr>
          <w:rFonts w:cstheme="minorHAnsi"/>
        </w:rPr>
        <w:t>agri</w:t>
      </w:r>
      <w:proofErr w:type="spellEnd"/>
      <w:r w:rsidR="00C73365" w:rsidRPr="007B0A15">
        <w:rPr>
          <w:rFonts w:cstheme="minorHAnsi"/>
        </w:rPr>
        <w:t xml:space="preserve">-finance. </w:t>
      </w:r>
      <w:r w:rsidR="00461ADE">
        <w:rPr>
          <w:rFonts w:cstheme="minorHAnsi"/>
        </w:rPr>
        <w:t>T</w:t>
      </w:r>
      <w:r w:rsidR="00C73365" w:rsidRPr="007B0A15">
        <w:rPr>
          <w:rFonts w:cstheme="minorHAnsi"/>
        </w:rPr>
        <w:t>ogether with the Ministry of Finance</w:t>
      </w:r>
      <w:r w:rsidR="00461ADE">
        <w:rPr>
          <w:rFonts w:cstheme="minorHAnsi"/>
        </w:rPr>
        <w:t>, OJK and Bank Indonesia</w:t>
      </w:r>
      <w:r w:rsidR="00C73365" w:rsidRPr="007B0A15">
        <w:rPr>
          <w:rFonts w:cstheme="minorHAnsi"/>
        </w:rPr>
        <w:t xml:space="preserve"> oversee the implementation of the KUR project that guarantees loans to SMEs and small</w:t>
      </w:r>
      <w:r w:rsidR="007879DC">
        <w:rPr>
          <w:rFonts w:cstheme="minorHAnsi"/>
        </w:rPr>
        <w:t>holder</w:t>
      </w:r>
      <w:r w:rsidR="00C73365" w:rsidRPr="007B0A15">
        <w:rPr>
          <w:rFonts w:cstheme="minorHAnsi"/>
        </w:rPr>
        <w:t xml:space="preserve"> farm</w:t>
      </w:r>
      <w:r w:rsidR="00C16954">
        <w:rPr>
          <w:rFonts w:cstheme="minorHAnsi"/>
        </w:rPr>
        <w:t>ing</w:t>
      </w:r>
      <w:r w:rsidR="007879DC">
        <w:rPr>
          <w:rFonts w:cstheme="minorHAnsi"/>
        </w:rPr>
        <w:t xml:space="preserve"> household</w:t>
      </w:r>
      <w:r w:rsidR="00C73365" w:rsidRPr="007B0A15">
        <w:rPr>
          <w:rFonts w:cstheme="minorHAnsi"/>
        </w:rPr>
        <w:t>s.</w:t>
      </w:r>
    </w:p>
    <w:p w14:paraId="58463BD8" w14:textId="01993F8F" w:rsidR="00C73365" w:rsidRDefault="00D90489" w:rsidP="00CB3B49">
      <w:pPr>
        <w:rPr>
          <w:rFonts w:cstheme="minorHAnsi"/>
        </w:rPr>
      </w:pPr>
      <w:r>
        <w:rPr>
          <w:rFonts w:cstheme="minorHAnsi"/>
          <w:b/>
        </w:rPr>
        <w:t xml:space="preserve">The President’s Office (KSP), </w:t>
      </w:r>
      <w:r w:rsidR="00C73365" w:rsidRPr="007B0A15">
        <w:rPr>
          <w:rFonts w:cstheme="minorHAnsi"/>
          <w:b/>
        </w:rPr>
        <w:t>Coordinating Ministry for Economic Affairs (CMEA)</w:t>
      </w:r>
      <w:r w:rsidR="00F82434">
        <w:rPr>
          <w:rFonts w:cstheme="minorHAnsi"/>
          <w:b/>
        </w:rPr>
        <w:t>,</w:t>
      </w:r>
      <w:r w:rsidR="00C73365" w:rsidRPr="007B0A15">
        <w:rPr>
          <w:rFonts w:cstheme="minorHAnsi"/>
          <w:b/>
        </w:rPr>
        <w:t xml:space="preserve"> and the Ministry of Finance</w:t>
      </w:r>
      <w:r w:rsidR="00461ADE">
        <w:rPr>
          <w:rFonts w:cstheme="minorHAnsi"/>
          <w:b/>
        </w:rPr>
        <w:t>:</w:t>
      </w:r>
      <w:r w:rsidR="00C73365" w:rsidRPr="007B0A15">
        <w:rPr>
          <w:rFonts w:cstheme="minorHAnsi"/>
        </w:rPr>
        <w:t xml:space="preserve"> </w:t>
      </w:r>
      <w:r w:rsidR="00461ADE">
        <w:rPr>
          <w:rFonts w:cstheme="minorHAnsi"/>
        </w:rPr>
        <w:t>The</w:t>
      </w:r>
      <w:r w:rsidR="000C3BA0">
        <w:rPr>
          <w:rFonts w:cstheme="minorHAnsi"/>
        </w:rPr>
        <w:t>se</w:t>
      </w:r>
      <w:r w:rsidR="00461ADE">
        <w:rPr>
          <w:rFonts w:cstheme="minorHAnsi"/>
        </w:rPr>
        <w:t xml:space="preserve"> organisations </w:t>
      </w:r>
      <w:r w:rsidR="007879DC">
        <w:rPr>
          <w:rFonts w:cstheme="minorHAnsi"/>
        </w:rPr>
        <w:t xml:space="preserve">adjust macro-economic settings and, amongst other functions, </w:t>
      </w:r>
      <w:r w:rsidR="00C73365" w:rsidRPr="007B0A15">
        <w:rPr>
          <w:rFonts w:cstheme="minorHAnsi"/>
        </w:rPr>
        <w:t>influence</w:t>
      </w:r>
      <w:r w:rsidR="00461ADE">
        <w:rPr>
          <w:rFonts w:cstheme="minorHAnsi"/>
        </w:rPr>
        <w:t xml:space="preserve"> </w:t>
      </w:r>
      <w:r w:rsidR="00660E9A">
        <w:rPr>
          <w:rFonts w:cstheme="minorHAnsi"/>
        </w:rPr>
        <w:t>agriculture policy</w:t>
      </w:r>
      <w:r w:rsidR="00C73365" w:rsidRPr="007B0A15">
        <w:rPr>
          <w:rFonts w:cstheme="minorHAnsi"/>
        </w:rPr>
        <w:t xml:space="preserve">. </w:t>
      </w:r>
      <w:r>
        <w:rPr>
          <w:rFonts w:cstheme="minorHAnsi"/>
        </w:rPr>
        <w:t xml:space="preserve">KSP are currently focused on issues of food security, subsidies, and stunting and are </w:t>
      </w:r>
      <w:r w:rsidR="00F82434">
        <w:rPr>
          <w:rFonts w:cstheme="minorHAnsi"/>
        </w:rPr>
        <w:t>interested in</w:t>
      </w:r>
      <w:r>
        <w:rPr>
          <w:rFonts w:cstheme="minorHAnsi"/>
        </w:rPr>
        <w:t xml:space="preserve"> new models that may provide solutions. </w:t>
      </w:r>
      <w:r w:rsidR="00C73365" w:rsidRPr="007B0A15">
        <w:rPr>
          <w:rFonts w:cstheme="minorHAnsi"/>
        </w:rPr>
        <w:t>CMEA support</w:t>
      </w:r>
      <w:r w:rsidR="00461ADE">
        <w:rPr>
          <w:rFonts w:cstheme="minorHAnsi"/>
        </w:rPr>
        <w:t xml:space="preserve">s </w:t>
      </w:r>
      <w:r w:rsidR="00C73365" w:rsidRPr="007B0A15">
        <w:rPr>
          <w:rFonts w:cstheme="minorHAnsi"/>
        </w:rPr>
        <w:t xml:space="preserve">reform </w:t>
      </w:r>
      <w:r w:rsidR="00461ADE">
        <w:rPr>
          <w:rFonts w:cstheme="minorHAnsi"/>
        </w:rPr>
        <w:t>of</w:t>
      </w:r>
      <w:r w:rsidR="00461ADE" w:rsidRPr="007B0A15">
        <w:rPr>
          <w:rFonts w:cstheme="minorHAnsi"/>
        </w:rPr>
        <w:t xml:space="preserve"> </w:t>
      </w:r>
      <w:r w:rsidR="00C73365" w:rsidRPr="007B0A15">
        <w:rPr>
          <w:rFonts w:cstheme="minorHAnsi"/>
        </w:rPr>
        <w:t xml:space="preserve">agricultural subsidies, specifically </w:t>
      </w:r>
      <w:r w:rsidR="006E26D1">
        <w:rPr>
          <w:rFonts w:cstheme="minorHAnsi"/>
        </w:rPr>
        <w:t xml:space="preserve">for </w:t>
      </w:r>
      <w:r w:rsidR="00C73365" w:rsidRPr="007B0A15">
        <w:rPr>
          <w:rFonts w:cstheme="minorHAnsi"/>
        </w:rPr>
        <w:t>seeds and fertili</w:t>
      </w:r>
      <w:r w:rsidR="00A16DE2">
        <w:rPr>
          <w:rFonts w:cstheme="minorHAnsi"/>
        </w:rPr>
        <w:t>s</w:t>
      </w:r>
      <w:r w:rsidR="00C73365" w:rsidRPr="007B0A15">
        <w:rPr>
          <w:rFonts w:cstheme="minorHAnsi"/>
        </w:rPr>
        <w:t>ers, and trade liberalisation</w:t>
      </w:r>
      <w:r w:rsidR="001724B6">
        <w:rPr>
          <w:rFonts w:cstheme="minorHAnsi"/>
        </w:rPr>
        <w:t>.</w:t>
      </w:r>
      <w:r w:rsidR="00461ADE">
        <w:rPr>
          <w:rFonts w:cstheme="minorHAnsi"/>
        </w:rPr>
        <w:t xml:space="preserve"> </w:t>
      </w:r>
      <w:r w:rsidR="001724B6">
        <w:rPr>
          <w:rFonts w:cstheme="minorHAnsi"/>
        </w:rPr>
        <w:t>T</w:t>
      </w:r>
      <w:r w:rsidR="00C73365" w:rsidRPr="007B0A15">
        <w:rPr>
          <w:rFonts w:cstheme="minorHAnsi"/>
        </w:rPr>
        <w:t xml:space="preserve">he Ministry of Finance is sympathetic to the fiscal </w:t>
      </w:r>
      <w:r w:rsidR="00461ADE">
        <w:rPr>
          <w:rFonts w:cstheme="minorHAnsi"/>
        </w:rPr>
        <w:t>benefits</w:t>
      </w:r>
      <w:r w:rsidR="00461ADE" w:rsidRPr="007B0A15">
        <w:rPr>
          <w:rFonts w:cstheme="minorHAnsi"/>
        </w:rPr>
        <w:t xml:space="preserve"> </w:t>
      </w:r>
      <w:r w:rsidR="00C73365" w:rsidRPr="007B0A15">
        <w:rPr>
          <w:rFonts w:cstheme="minorHAnsi"/>
        </w:rPr>
        <w:t>of reducing the overall burden of su</w:t>
      </w:r>
      <w:r w:rsidR="005C2288">
        <w:rPr>
          <w:rFonts w:cstheme="minorHAnsi"/>
        </w:rPr>
        <w:t>bsidies on the national budget.</w:t>
      </w:r>
    </w:p>
    <w:p w14:paraId="5FC58525" w14:textId="6B186BA9" w:rsidR="00C73365" w:rsidRPr="004A5A58" w:rsidRDefault="00C73365" w:rsidP="00CB3B49">
      <w:pPr>
        <w:pStyle w:val="Heading9"/>
      </w:pPr>
      <w:r w:rsidRPr="004A5A58">
        <w:t xml:space="preserve">Supporting </w:t>
      </w:r>
      <w:r w:rsidR="004712BA">
        <w:t>stakeholders</w:t>
      </w:r>
    </w:p>
    <w:p w14:paraId="3791BCE0" w14:textId="161069A2" w:rsidR="00C73365" w:rsidRPr="007B0A15" w:rsidRDefault="00C73365" w:rsidP="00CB3B49">
      <w:pPr>
        <w:rPr>
          <w:rFonts w:cstheme="minorHAnsi"/>
        </w:rPr>
      </w:pPr>
      <w:r w:rsidRPr="007B0A15">
        <w:rPr>
          <w:rFonts w:cstheme="minorHAnsi"/>
        </w:rPr>
        <w:t>These are the stakeholders that support the role of the private sector in agriculture and who stand to benefit from its expansion. They include:</w:t>
      </w:r>
    </w:p>
    <w:p w14:paraId="08AAB8E9" w14:textId="4B0E54D5" w:rsidR="00DA645F" w:rsidRDefault="00C73365" w:rsidP="00CB3B49">
      <w:pPr>
        <w:rPr>
          <w:rFonts w:cstheme="minorHAnsi"/>
        </w:rPr>
      </w:pPr>
      <w:r w:rsidRPr="007B0A15">
        <w:rPr>
          <w:rFonts w:cstheme="minorHAnsi"/>
          <w:b/>
        </w:rPr>
        <w:t xml:space="preserve">Business </w:t>
      </w:r>
      <w:r w:rsidR="00461ADE">
        <w:rPr>
          <w:rFonts w:cstheme="minorHAnsi"/>
          <w:b/>
        </w:rPr>
        <w:t>m</w:t>
      </w:r>
      <w:r w:rsidR="00461ADE" w:rsidRPr="007B0A15">
        <w:rPr>
          <w:rFonts w:cstheme="minorHAnsi"/>
          <w:b/>
        </w:rPr>
        <w:t xml:space="preserve">embership </w:t>
      </w:r>
      <w:r w:rsidR="00461ADE">
        <w:rPr>
          <w:rFonts w:cstheme="minorHAnsi"/>
          <w:b/>
        </w:rPr>
        <w:t>o</w:t>
      </w:r>
      <w:r w:rsidR="00461ADE" w:rsidRPr="007B0A15">
        <w:rPr>
          <w:rFonts w:cstheme="minorHAnsi"/>
          <w:b/>
        </w:rPr>
        <w:t>rganisations</w:t>
      </w:r>
      <w:r w:rsidR="00747538">
        <w:rPr>
          <w:rFonts w:cstheme="minorHAnsi"/>
          <w:b/>
        </w:rPr>
        <w:t>:</w:t>
      </w:r>
      <w:r w:rsidR="00461ADE" w:rsidRPr="007B0A15">
        <w:rPr>
          <w:rFonts w:cstheme="minorHAnsi"/>
        </w:rPr>
        <w:t xml:space="preserve"> </w:t>
      </w:r>
      <w:r w:rsidR="00CA39D6">
        <w:rPr>
          <w:rFonts w:cstheme="minorHAnsi"/>
        </w:rPr>
        <w:t>r</w:t>
      </w:r>
      <w:r w:rsidRPr="007B0A15">
        <w:rPr>
          <w:rFonts w:cstheme="minorHAnsi"/>
        </w:rPr>
        <w:t>epresent the interests of the private sector</w:t>
      </w:r>
      <w:r w:rsidR="007879DC">
        <w:rPr>
          <w:rFonts w:cstheme="minorHAnsi"/>
        </w:rPr>
        <w:t xml:space="preserve"> and seek to influence policy makers</w:t>
      </w:r>
      <w:r w:rsidRPr="007B0A15">
        <w:rPr>
          <w:rFonts w:cstheme="minorHAnsi"/>
        </w:rPr>
        <w:t xml:space="preserve">. </w:t>
      </w:r>
      <w:r w:rsidR="007668E9">
        <w:rPr>
          <w:rFonts w:cstheme="minorHAnsi"/>
        </w:rPr>
        <w:t>While there are many business associations, t</w:t>
      </w:r>
      <w:r w:rsidRPr="007B0A15">
        <w:rPr>
          <w:rFonts w:cstheme="minorHAnsi"/>
        </w:rPr>
        <w:t xml:space="preserve">he most significant </w:t>
      </w:r>
      <w:r w:rsidR="007879DC">
        <w:rPr>
          <w:rFonts w:cstheme="minorHAnsi"/>
        </w:rPr>
        <w:t xml:space="preserve">for PRISMA-2 </w:t>
      </w:r>
      <w:r w:rsidR="00F42918">
        <w:rPr>
          <w:rFonts w:cstheme="minorHAnsi"/>
        </w:rPr>
        <w:t>is</w:t>
      </w:r>
      <w:r w:rsidR="00D15956">
        <w:rPr>
          <w:rFonts w:cstheme="minorHAnsi"/>
        </w:rPr>
        <w:t xml:space="preserve"> </w:t>
      </w:r>
      <w:proofErr w:type="spellStart"/>
      <w:r w:rsidR="00D15956">
        <w:rPr>
          <w:rFonts w:cstheme="minorHAnsi"/>
        </w:rPr>
        <w:t>PISAgro</w:t>
      </w:r>
      <w:proofErr w:type="spellEnd"/>
      <w:r w:rsidR="00F42918">
        <w:rPr>
          <w:rFonts w:cstheme="minorHAnsi"/>
        </w:rPr>
        <w:t xml:space="preserve"> </w:t>
      </w:r>
      <w:r w:rsidR="00305EFB">
        <w:rPr>
          <w:rFonts w:cstheme="minorHAnsi"/>
        </w:rPr>
        <w:t>and the Indonesian-Australian Business Council</w:t>
      </w:r>
      <w:r w:rsidR="00A2545B" w:rsidRPr="00A2545B">
        <w:rPr>
          <w:rFonts w:cstheme="minorHAnsi"/>
        </w:rPr>
        <w:t>.</w:t>
      </w:r>
      <w:r w:rsidR="00B629BC">
        <w:rPr>
          <w:rFonts w:cstheme="minorHAnsi"/>
        </w:rPr>
        <w:t xml:space="preserve"> Both </w:t>
      </w:r>
      <w:r w:rsidR="00D15956">
        <w:rPr>
          <w:rFonts w:cstheme="minorHAnsi"/>
        </w:rPr>
        <w:t>these organisations have</w:t>
      </w:r>
      <w:r w:rsidR="007668E9">
        <w:rPr>
          <w:rFonts w:cstheme="minorHAnsi"/>
        </w:rPr>
        <w:t xml:space="preserve"> specific mandate</w:t>
      </w:r>
      <w:r w:rsidR="00F647AC">
        <w:rPr>
          <w:rFonts w:cstheme="minorHAnsi"/>
        </w:rPr>
        <w:t>s</w:t>
      </w:r>
      <w:r w:rsidR="007668E9">
        <w:rPr>
          <w:rFonts w:cstheme="minorHAnsi"/>
        </w:rPr>
        <w:t xml:space="preserve"> in relation to agricultural growth, as well as their own strengths and challenges. </w:t>
      </w:r>
      <w:r w:rsidR="00747538">
        <w:rPr>
          <w:rFonts w:cstheme="minorHAnsi"/>
        </w:rPr>
        <w:t>DFAT</w:t>
      </w:r>
      <w:r w:rsidR="00243660">
        <w:rPr>
          <w:rFonts w:cstheme="minorHAnsi"/>
        </w:rPr>
        <w:t xml:space="preserve"> is currently the only donor which</w:t>
      </w:r>
      <w:r w:rsidR="00747538">
        <w:rPr>
          <w:rFonts w:cstheme="minorHAnsi"/>
        </w:rPr>
        <w:t xml:space="preserve"> is a member of </w:t>
      </w:r>
      <w:proofErr w:type="spellStart"/>
      <w:r w:rsidR="00747538">
        <w:rPr>
          <w:rFonts w:cstheme="minorHAnsi"/>
        </w:rPr>
        <w:t>PISAgro</w:t>
      </w:r>
      <w:proofErr w:type="spellEnd"/>
      <w:r w:rsidR="00747538">
        <w:rPr>
          <w:rFonts w:cstheme="minorHAnsi"/>
        </w:rPr>
        <w:t xml:space="preserve"> and </w:t>
      </w:r>
      <w:r w:rsidR="007668E9">
        <w:rPr>
          <w:rFonts w:cstheme="minorHAnsi"/>
        </w:rPr>
        <w:t>PRISMA</w:t>
      </w:r>
      <w:r w:rsidR="00747538">
        <w:rPr>
          <w:rFonts w:cstheme="minorHAnsi"/>
        </w:rPr>
        <w:t>-</w:t>
      </w:r>
      <w:r w:rsidR="007668E9">
        <w:rPr>
          <w:rFonts w:cstheme="minorHAnsi"/>
        </w:rPr>
        <w:t>2 will engage with them when th</w:t>
      </w:r>
      <w:r w:rsidR="00D15956">
        <w:rPr>
          <w:rFonts w:cstheme="minorHAnsi"/>
        </w:rPr>
        <w:t>eir respective objectives align</w:t>
      </w:r>
      <w:r w:rsidR="005C2288">
        <w:rPr>
          <w:rFonts w:cstheme="minorHAnsi"/>
        </w:rPr>
        <w:t>.</w:t>
      </w:r>
    </w:p>
    <w:p w14:paraId="12EDFFD3" w14:textId="2636F04C" w:rsidR="00C73365" w:rsidRPr="007B0A15" w:rsidRDefault="00C73365" w:rsidP="00CB3B49">
      <w:pPr>
        <w:rPr>
          <w:rFonts w:cstheme="minorHAnsi"/>
        </w:rPr>
      </w:pPr>
      <w:r w:rsidRPr="007B0A15">
        <w:rPr>
          <w:rFonts w:cstheme="minorHAnsi"/>
          <w:b/>
        </w:rPr>
        <w:t>Think tanks and policy research organizations</w:t>
      </w:r>
      <w:r w:rsidR="00747538">
        <w:rPr>
          <w:rFonts w:cstheme="minorHAnsi"/>
          <w:b/>
        </w:rPr>
        <w:t>:</w:t>
      </w:r>
      <w:r w:rsidRPr="007B0A15">
        <w:rPr>
          <w:rFonts w:cstheme="minorHAnsi"/>
        </w:rPr>
        <w:t xml:space="preserve"> This set of stakeholders is small, </w:t>
      </w:r>
      <w:r w:rsidR="00461ADE">
        <w:rPr>
          <w:rFonts w:cstheme="minorHAnsi"/>
        </w:rPr>
        <w:t>indicating</w:t>
      </w:r>
      <w:r w:rsidR="00461ADE" w:rsidRPr="007B0A15">
        <w:rPr>
          <w:rFonts w:cstheme="minorHAnsi"/>
        </w:rPr>
        <w:t xml:space="preserve"> </w:t>
      </w:r>
      <w:r w:rsidRPr="007B0A15">
        <w:rPr>
          <w:rFonts w:cstheme="minorHAnsi"/>
        </w:rPr>
        <w:t xml:space="preserve">the scarcity of demand for evidence-based </w:t>
      </w:r>
      <w:r w:rsidR="00163E33">
        <w:rPr>
          <w:rFonts w:cstheme="minorHAnsi"/>
        </w:rPr>
        <w:t xml:space="preserve">agricultural </w:t>
      </w:r>
      <w:r w:rsidRPr="007B0A15">
        <w:rPr>
          <w:rFonts w:cstheme="minorHAnsi"/>
        </w:rPr>
        <w:t xml:space="preserve">policy in Indonesia. The </w:t>
      </w:r>
      <w:r w:rsidR="00461ADE">
        <w:rPr>
          <w:rFonts w:cstheme="minorHAnsi"/>
        </w:rPr>
        <w:t>most relevant</w:t>
      </w:r>
      <w:r w:rsidR="00461ADE" w:rsidRPr="007B0A15">
        <w:rPr>
          <w:rFonts w:cstheme="minorHAnsi"/>
        </w:rPr>
        <w:t xml:space="preserve"> </w:t>
      </w:r>
      <w:r w:rsidRPr="007B0A15">
        <w:rPr>
          <w:rFonts w:cstheme="minorHAnsi"/>
        </w:rPr>
        <w:t>organisations</w:t>
      </w:r>
      <w:r w:rsidR="00461ADE">
        <w:rPr>
          <w:rFonts w:cstheme="minorHAnsi"/>
        </w:rPr>
        <w:t xml:space="preserve"> are</w:t>
      </w:r>
      <w:r w:rsidRPr="007B0A15">
        <w:rPr>
          <w:rFonts w:cstheme="minorHAnsi"/>
        </w:rPr>
        <w:t xml:space="preserve">: The </w:t>
      </w:r>
      <w:r w:rsidRPr="007B0A15">
        <w:rPr>
          <w:rFonts w:cstheme="minorHAnsi"/>
        </w:rPr>
        <w:lastRenderedPageBreak/>
        <w:t>Centre for Innovation and Policy</w:t>
      </w:r>
      <w:r w:rsidR="00CA39D6">
        <w:rPr>
          <w:rFonts w:cstheme="minorHAnsi"/>
        </w:rPr>
        <w:t>,</w:t>
      </w:r>
      <w:r w:rsidR="00461ADE">
        <w:rPr>
          <w:rFonts w:cstheme="minorHAnsi"/>
        </w:rPr>
        <w:t xml:space="preserve"> which focuses on</w:t>
      </w:r>
      <w:r w:rsidRPr="007B0A15">
        <w:rPr>
          <w:rFonts w:cstheme="minorHAnsi"/>
        </w:rPr>
        <w:t xml:space="preserve"> science and technology policy research; SMERU, </w:t>
      </w:r>
      <w:r w:rsidR="00461ADE">
        <w:rPr>
          <w:rFonts w:cstheme="minorHAnsi"/>
        </w:rPr>
        <w:t>well known for its</w:t>
      </w:r>
      <w:r w:rsidRPr="007B0A15">
        <w:rPr>
          <w:rFonts w:cstheme="minorHAnsi"/>
        </w:rPr>
        <w:t xml:space="preserve"> poverty orientation, but with limited experience in agriculture; The Centre for Indonesian Policy Studies</w:t>
      </w:r>
      <w:r w:rsidR="00CA39D6">
        <w:rPr>
          <w:rFonts w:cstheme="minorHAnsi"/>
        </w:rPr>
        <w:t xml:space="preserve"> (CIPS)</w:t>
      </w:r>
      <w:r w:rsidR="00461ADE">
        <w:rPr>
          <w:rFonts w:cstheme="minorHAnsi"/>
        </w:rPr>
        <w:t>,</w:t>
      </w:r>
      <w:r w:rsidRPr="007B0A15">
        <w:rPr>
          <w:rFonts w:cstheme="minorHAnsi"/>
        </w:rPr>
        <w:t xml:space="preserve"> which focuse</w:t>
      </w:r>
      <w:r w:rsidR="00461ADE">
        <w:rPr>
          <w:rFonts w:cstheme="minorHAnsi"/>
        </w:rPr>
        <w:t>s</w:t>
      </w:r>
      <w:r w:rsidRPr="007B0A15">
        <w:rPr>
          <w:rFonts w:cstheme="minorHAnsi"/>
        </w:rPr>
        <w:t xml:space="preserve"> on food policy; and J-PAL</w:t>
      </w:r>
      <w:r w:rsidR="00B14AA4">
        <w:rPr>
          <w:rFonts w:cstheme="minorHAnsi"/>
        </w:rPr>
        <w:t>,</w:t>
      </w:r>
      <w:r w:rsidRPr="007B0A15">
        <w:rPr>
          <w:rFonts w:cstheme="minorHAnsi"/>
        </w:rPr>
        <w:t xml:space="preserve"> </w:t>
      </w:r>
      <w:r w:rsidR="00CA39D6">
        <w:rPr>
          <w:rFonts w:cstheme="minorHAnsi"/>
        </w:rPr>
        <w:t xml:space="preserve">which </w:t>
      </w:r>
      <w:r w:rsidR="00461ADE">
        <w:rPr>
          <w:rFonts w:cstheme="minorHAnsi"/>
        </w:rPr>
        <w:t>conducts evaluations</w:t>
      </w:r>
      <w:r w:rsidRPr="007B0A15">
        <w:rPr>
          <w:rFonts w:cstheme="minorHAnsi"/>
        </w:rPr>
        <w:t xml:space="preserve"> using randomised control</w:t>
      </w:r>
      <w:r w:rsidR="00B14AA4">
        <w:rPr>
          <w:rFonts w:cstheme="minorHAnsi"/>
        </w:rPr>
        <w:t>led</w:t>
      </w:r>
      <w:r w:rsidRPr="007B0A15">
        <w:rPr>
          <w:rFonts w:cstheme="minorHAnsi"/>
        </w:rPr>
        <w:t xml:space="preserve"> tr</w:t>
      </w:r>
      <w:r w:rsidR="00461ADE">
        <w:rPr>
          <w:rFonts w:cstheme="minorHAnsi"/>
        </w:rPr>
        <w:t>ials</w:t>
      </w:r>
      <w:r w:rsidR="00B14AA4">
        <w:rPr>
          <w:rFonts w:cstheme="minorHAnsi"/>
        </w:rPr>
        <w:t xml:space="preserve"> or similar quantitative methods</w:t>
      </w:r>
      <w:r w:rsidRPr="007B0A15">
        <w:rPr>
          <w:rFonts w:cstheme="minorHAnsi"/>
        </w:rPr>
        <w:t>.</w:t>
      </w:r>
    </w:p>
    <w:p w14:paraId="5D1370FE" w14:textId="5D80CDD5" w:rsidR="004F0162" w:rsidRDefault="00C73365" w:rsidP="00CB3B49">
      <w:pPr>
        <w:rPr>
          <w:rFonts w:cstheme="minorHAnsi"/>
        </w:rPr>
      </w:pPr>
      <w:r w:rsidRPr="007B0A15">
        <w:rPr>
          <w:rFonts w:cstheme="minorHAnsi"/>
          <w:b/>
        </w:rPr>
        <w:t>Service providers</w:t>
      </w:r>
      <w:r w:rsidR="00461ADE">
        <w:rPr>
          <w:rFonts w:cstheme="minorHAnsi"/>
        </w:rPr>
        <w:t>:</w:t>
      </w:r>
      <w:r w:rsidR="00461ADE" w:rsidRPr="007B0A15">
        <w:rPr>
          <w:rFonts w:cstheme="minorHAnsi"/>
        </w:rPr>
        <w:t xml:space="preserve"> </w:t>
      </w:r>
      <w:r w:rsidRPr="007B0A15">
        <w:rPr>
          <w:rFonts w:cstheme="minorHAnsi"/>
        </w:rPr>
        <w:t>Th</w:t>
      </w:r>
      <w:r w:rsidR="000E5B6A">
        <w:rPr>
          <w:rFonts w:cstheme="minorHAnsi"/>
        </w:rPr>
        <w:t>ere are</w:t>
      </w:r>
      <w:r w:rsidRPr="007B0A15">
        <w:rPr>
          <w:rFonts w:cstheme="minorHAnsi"/>
        </w:rPr>
        <w:t xml:space="preserve"> a wide range </w:t>
      </w:r>
      <w:r w:rsidR="00A2545B">
        <w:rPr>
          <w:rFonts w:cstheme="minorHAnsi"/>
        </w:rPr>
        <w:t xml:space="preserve">of </w:t>
      </w:r>
      <w:r w:rsidRPr="007B0A15">
        <w:rPr>
          <w:rFonts w:cstheme="minorHAnsi"/>
        </w:rPr>
        <w:t xml:space="preserve">private enterprises that support the stakeholders </w:t>
      </w:r>
      <w:r w:rsidR="000E5B6A">
        <w:rPr>
          <w:rFonts w:cstheme="minorHAnsi"/>
        </w:rPr>
        <w:t>in the</w:t>
      </w:r>
      <w:r w:rsidRPr="007B0A15">
        <w:rPr>
          <w:rFonts w:cstheme="minorHAnsi"/>
        </w:rPr>
        <w:t xml:space="preserve"> core </w:t>
      </w:r>
      <w:r w:rsidR="000E5B6A">
        <w:rPr>
          <w:rFonts w:cstheme="minorHAnsi"/>
        </w:rPr>
        <w:t>transaction</w:t>
      </w:r>
      <w:r w:rsidR="00B14AA4">
        <w:rPr>
          <w:rFonts w:cstheme="minorHAnsi"/>
        </w:rPr>
        <w:t>s of each intervention</w:t>
      </w:r>
      <w:r w:rsidRPr="007B0A15">
        <w:rPr>
          <w:rFonts w:cstheme="minorHAnsi"/>
        </w:rPr>
        <w:t xml:space="preserve">. </w:t>
      </w:r>
      <w:r w:rsidR="000E5B6A" w:rsidRPr="007B0A15">
        <w:rPr>
          <w:rFonts w:cstheme="minorHAnsi"/>
        </w:rPr>
        <w:t>The</w:t>
      </w:r>
      <w:r w:rsidR="000E5B6A">
        <w:rPr>
          <w:rFonts w:cstheme="minorHAnsi"/>
        </w:rPr>
        <w:t xml:space="preserve">se </w:t>
      </w:r>
      <w:r w:rsidRPr="007B0A15">
        <w:rPr>
          <w:rFonts w:cstheme="minorHAnsi"/>
        </w:rPr>
        <w:t>are</w:t>
      </w:r>
      <w:r w:rsidR="000E5B6A">
        <w:rPr>
          <w:rFonts w:cstheme="minorHAnsi"/>
        </w:rPr>
        <w:t xml:space="preserve"> usually</w:t>
      </w:r>
      <w:r w:rsidRPr="007B0A15">
        <w:rPr>
          <w:rFonts w:cstheme="minorHAnsi"/>
        </w:rPr>
        <w:t xml:space="preserve"> specialists and include: </w:t>
      </w:r>
      <w:r w:rsidR="00A16DE2">
        <w:rPr>
          <w:rFonts w:cstheme="minorHAnsi"/>
        </w:rPr>
        <w:t xml:space="preserve">businesses </w:t>
      </w:r>
      <w:r w:rsidR="000E5B6A">
        <w:rPr>
          <w:rFonts w:cstheme="minorHAnsi"/>
        </w:rPr>
        <w:t>selling</w:t>
      </w:r>
      <w:r w:rsidRPr="007B0A15">
        <w:rPr>
          <w:rFonts w:cstheme="minorHAnsi"/>
        </w:rPr>
        <w:t xml:space="preserve"> and maint</w:t>
      </w:r>
      <w:r w:rsidR="000E5B6A">
        <w:rPr>
          <w:rFonts w:cstheme="minorHAnsi"/>
        </w:rPr>
        <w:t>aining</w:t>
      </w:r>
      <w:r w:rsidRPr="007B0A15">
        <w:rPr>
          <w:rFonts w:cstheme="minorHAnsi"/>
        </w:rPr>
        <w:t xml:space="preserve"> </w:t>
      </w:r>
      <w:r w:rsidR="00B14AA4">
        <w:rPr>
          <w:rFonts w:cstheme="minorHAnsi"/>
        </w:rPr>
        <w:t>agricultural</w:t>
      </w:r>
      <w:r w:rsidR="00B14AA4" w:rsidRPr="007B0A15">
        <w:rPr>
          <w:rFonts w:cstheme="minorHAnsi"/>
        </w:rPr>
        <w:t xml:space="preserve"> </w:t>
      </w:r>
      <w:r w:rsidRPr="007B0A15">
        <w:rPr>
          <w:rFonts w:cstheme="minorHAnsi"/>
        </w:rPr>
        <w:t>equipment; consult</w:t>
      </w:r>
      <w:r w:rsidR="000E5B6A">
        <w:rPr>
          <w:rFonts w:cstheme="minorHAnsi"/>
        </w:rPr>
        <w:t xml:space="preserve">ants </w:t>
      </w:r>
      <w:r w:rsidR="00747538">
        <w:rPr>
          <w:rFonts w:cstheme="minorHAnsi"/>
        </w:rPr>
        <w:t>who</w:t>
      </w:r>
      <w:r w:rsidR="00747538" w:rsidRPr="007B0A15">
        <w:rPr>
          <w:rFonts w:cstheme="minorHAnsi"/>
        </w:rPr>
        <w:t xml:space="preserve"> </w:t>
      </w:r>
      <w:r w:rsidRPr="007B0A15">
        <w:rPr>
          <w:rFonts w:cstheme="minorHAnsi"/>
        </w:rPr>
        <w:t>provid</w:t>
      </w:r>
      <w:r w:rsidR="000E5B6A">
        <w:rPr>
          <w:rFonts w:cstheme="minorHAnsi"/>
        </w:rPr>
        <w:t>e</w:t>
      </w:r>
      <w:r w:rsidRPr="007B0A15">
        <w:rPr>
          <w:rFonts w:cstheme="minorHAnsi"/>
        </w:rPr>
        <w:t xml:space="preserve"> banks with strategy advice; and public relations </w:t>
      </w:r>
      <w:r w:rsidR="00A16DE2">
        <w:rPr>
          <w:rFonts w:cstheme="minorHAnsi"/>
        </w:rPr>
        <w:t>businesses</w:t>
      </w:r>
      <w:r w:rsidRPr="007B0A15">
        <w:rPr>
          <w:rFonts w:cstheme="minorHAnsi"/>
        </w:rPr>
        <w:t>,</w:t>
      </w:r>
      <w:r w:rsidR="000E5B6A">
        <w:rPr>
          <w:rFonts w:cstheme="minorHAnsi"/>
        </w:rPr>
        <w:t xml:space="preserve"> such as </w:t>
      </w:r>
      <w:r w:rsidRPr="007B0A15">
        <w:rPr>
          <w:rFonts w:cstheme="minorHAnsi"/>
        </w:rPr>
        <w:t xml:space="preserve">Edelman, </w:t>
      </w:r>
      <w:r w:rsidR="000E5B6A">
        <w:rPr>
          <w:rFonts w:cstheme="minorHAnsi"/>
        </w:rPr>
        <w:t>which has</w:t>
      </w:r>
      <w:r w:rsidR="000E5B6A" w:rsidRPr="007B0A15">
        <w:rPr>
          <w:rFonts w:cstheme="minorHAnsi"/>
        </w:rPr>
        <w:t xml:space="preserve"> </w:t>
      </w:r>
      <w:r w:rsidRPr="007B0A15">
        <w:rPr>
          <w:rFonts w:cstheme="minorHAnsi"/>
        </w:rPr>
        <w:t>conduct</w:t>
      </w:r>
      <w:r w:rsidR="000E5B6A">
        <w:rPr>
          <w:rFonts w:cstheme="minorHAnsi"/>
        </w:rPr>
        <w:t>ed</w:t>
      </w:r>
      <w:r w:rsidRPr="007B0A15">
        <w:rPr>
          <w:rFonts w:cstheme="minorHAnsi"/>
        </w:rPr>
        <w:t xml:space="preserve"> social marketing campaigns on early flowering technology in the mango sector in East Java</w:t>
      </w:r>
      <w:r w:rsidR="00747538">
        <w:rPr>
          <w:rFonts w:cstheme="minorHAnsi"/>
        </w:rPr>
        <w:t xml:space="preserve"> for PRISMA</w:t>
      </w:r>
      <w:r w:rsidR="000C3BA0">
        <w:rPr>
          <w:rFonts w:cstheme="minorHAnsi"/>
        </w:rPr>
        <w:t>.</w:t>
      </w:r>
    </w:p>
    <w:p w14:paraId="4AB92380" w14:textId="3ED397BA" w:rsidR="003A7B41" w:rsidRPr="00D56A61" w:rsidRDefault="003A7B41" w:rsidP="00CB3B49">
      <w:pPr>
        <w:rPr>
          <w:rFonts w:cstheme="minorHAnsi"/>
          <w:b/>
        </w:rPr>
      </w:pPr>
      <w:r w:rsidRPr="00D56A61">
        <w:rPr>
          <w:rFonts w:cstheme="minorHAnsi"/>
          <w:b/>
        </w:rPr>
        <w:t>Donors:</w:t>
      </w:r>
      <w:r w:rsidR="00554011" w:rsidRPr="00D56A61">
        <w:rPr>
          <w:rFonts w:cstheme="minorHAnsi"/>
          <w:b/>
        </w:rPr>
        <w:t xml:space="preserve"> </w:t>
      </w:r>
      <w:r w:rsidR="00A5791F" w:rsidRPr="002B6D01">
        <w:rPr>
          <w:rFonts w:cstheme="minorHAnsi"/>
        </w:rPr>
        <w:t xml:space="preserve">Australia is the largest bilateral agriculture donor in Indonesia and the only donor taking </w:t>
      </w:r>
      <w:r w:rsidR="00CA39D6">
        <w:rPr>
          <w:rFonts w:cstheme="minorHAnsi"/>
        </w:rPr>
        <w:t xml:space="preserve">an MSD </w:t>
      </w:r>
      <w:r w:rsidR="00A5791F" w:rsidRPr="002B6D01">
        <w:rPr>
          <w:rFonts w:cstheme="minorHAnsi"/>
        </w:rPr>
        <w:t>approach.</w:t>
      </w:r>
      <w:r w:rsidR="00A5791F">
        <w:rPr>
          <w:rFonts w:cstheme="minorHAnsi"/>
          <w:b/>
        </w:rPr>
        <w:t xml:space="preserve"> </w:t>
      </w:r>
      <w:r w:rsidR="00507D45" w:rsidRPr="002B6D01">
        <w:rPr>
          <w:rFonts w:cstheme="minorHAnsi"/>
        </w:rPr>
        <w:t xml:space="preserve">Other donors and UN organisations </w:t>
      </w:r>
      <w:r w:rsidR="00507D45">
        <w:rPr>
          <w:rFonts w:cstheme="minorHAnsi"/>
        </w:rPr>
        <w:t xml:space="preserve">have programs that </w:t>
      </w:r>
      <w:r w:rsidR="00507D45" w:rsidRPr="002B6D01">
        <w:rPr>
          <w:rFonts w:cstheme="minorHAnsi"/>
        </w:rPr>
        <w:t xml:space="preserve">focus on </w:t>
      </w:r>
      <w:r w:rsidR="00507D45">
        <w:rPr>
          <w:rFonts w:cstheme="minorHAnsi"/>
        </w:rPr>
        <w:t xml:space="preserve">agriculture </w:t>
      </w:r>
      <w:r w:rsidR="00507D45" w:rsidRPr="002B6D01">
        <w:rPr>
          <w:rFonts w:cstheme="minorHAnsi"/>
        </w:rPr>
        <w:t xml:space="preserve">value chains, </w:t>
      </w:r>
      <w:r w:rsidR="00EE4F96">
        <w:rPr>
          <w:rFonts w:cstheme="minorHAnsi"/>
        </w:rPr>
        <w:t xml:space="preserve">the environment, </w:t>
      </w:r>
      <w:r w:rsidR="00507D45" w:rsidRPr="002B6D01">
        <w:rPr>
          <w:rFonts w:cstheme="minorHAnsi"/>
        </w:rPr>
        <w:t>irrigation</w:t>
      </w:r>
      <w:r w:rsidR="000D39DE">
        <w:rPr>
          <w:rFonts w:cstheme="minorHAnsi"/>
        </w:rPr>
        <w:t xml:space="preserve"> loans</w:t>
      </w:r>
      <w:r w:rsidR="00507D45" w:rsidRPr="002B6D01">
        <w:rPr>
          <w:rFonts w:cstheme="minorHAnsi"/>
        </w:rPr>
        <w:t xml:space="preserve">, </w:t>
      </w:r>
      <w:r w:rsidR="000D39DE">
        <w:rPr>
          <w:rFonts w:cstheme="minorHAnsi"/>
        </w:rPr>
        <w:t xml:space="preserve">research and </w:t>
      </w:r>
      <w:r w:rsidR="00507D45" w:rsidRPr="002B6D01">
        <w:rPr>
          <w:rFonts w:cstheme="minorHAnsi"/>
        </w:rPr>
        <w:t xml:space="preserve">innovation </w:t>
      </w:r>
      <w:r w:rsidR="000D39DE">
        <w:rPr>
          <w:rFonts w:cstheme="minorHAnsi"/>
        </w:rPr>
        <w:t>support</w:t>
      </w:r>
      <w:r w:rsidR="002B6D01">
        <w:rPr>
          <w:rFonts w:cstheme="minorHAnsi"/>
        </w:rPr>
        <w:t>,</w:t>
      </w:r>
      <w:r w:rsidR="000D39DE">
        <w:rPr>
          <w:rFonts w:cstheme="minorHAnsi"/>
        </w:rPr>
        <w:t xml:space="preserve"> </w:t>
      </w:r>
      <w:r w:rsidR="00507D45" w:rsidRPr="002B6D01">
        <w:rPr>
          <w:rFonts w:cstheme="minorHAnsi"/>
        </w:rPr>
        <w:t xml:space="preserve">and finance. </w:t>
      </w:r>
      <w:r w:rsidR="000D39DE">
        <w:rPr>
          <w:rFonts w:cstheme="minorHAnsi"/>
        </w:rPr>
        <w:t xml:space="preserve">DFID </w:t>
      </w:r>
      <w:r w:rsidR="00234257">
        <w:rPr>
          <w:rFonts w:cstheme="minorHAnsi"/>
        </w:rPr>
        <w:t xml:space="preserve">recently launched its Green Economic Growth </w:t>
      </w:r>
      <w:r w:rsidR="000D39DE">
        <w:rPr>
          <w:rFonts w:cstheme="minorHAnsi"/>
        </w:rPr>
        <w:t>P</w:t>
      </w:r>
      <w:r w:rsidR="00234257">
        <w:rPr>
          <w:rFonts w:cstheme="minorHAnsi"/>
        </w:rPr>
        <w:t>rogram in Papua (</w:t>
      </w:r>
      <w:r w:rsidR="003B5678">
        <w:rPr>
          <w:lang w:val="en"/>
        </w:rPr>
        <w:t xml:space="preserve">£10m and up to £200m in potential public and private finance, </w:t>
      </w:r>
      <w:r w:rsidR="000D39DE">
        <w:rPr>
          <w:rFonts w:cstheme="minorHAnsi"/>
        </w:rPr>
        <w:t>2016-2022</w:t>
      </w:r>
      <w:r w:rsidR="002B6D01">
        <w:rPr>
          <w:rFonts w:cstheme="minorHAnsi"/>
        </w:rPr>
        <w:t>)</w:t>
      </w:r>
      <w:r w:rsidR="00234257">
        <w:rPr>
          <w:rFonts w:cstheme="minorHAnsi"/>
        </w:rPr>
        <w:t xml:space="preserve"> </w:t>
      </w:r>
      <w:r w:rsidR="002B6D01">
        <w:rPr>
          <w:rFonts w:cstheme="minorHAnsi"/>
        </w:rPr>
        <w:t>focusing</w:t>
      </w:r>
      <w:r w:rsidR="00234257">
        <w:rPr>
          <w:rFonts w:cstheme="minorHAnsi"/>
        </w:rPr>
        <w:t xml:space="preserve"> </w:t>
      </w:r>
      <w:r w:rsidR="002B6D01">
        <w:rPr>
          <w:rFonts w:cstheme="minorHAnsi"/>
        </w:rPr>
        <w:t xml:space="preserve">on developing </w:t>
      </w:r>
      <w:r w:rsidR="000D39DE">
        <w:rPr>
          <w:rFonts w:cstheme="minorHAnsi"/>
        </w:rPr>
        <w:t>low carbon business opportunities, including in agriculture</w:t>
      </w:r>
      <w:r w:rsidR="003B5678">
        <w:rPr>
          <w:rFonts w:cstheme="minorHAnsi"/>
        </w:rPr>
        <w:t xml:space="preserve"> and processing</w:t>
      </w:r>
      <w:r w:rsidR="00234257">
        <w:rPr>
          <w:rFonts w:cstheme="minorHAnsi"/>
        </w:rPr>
        <w:t>.</w:t>
      </w:r>
      <w:r w:rsidR="000D39DE">
        <w:rPr>
          <w:rStyle w:val="FootnoteReference"/>
          <w:rFonts w:cstheme="minorHAnsi"/>
        </w:rPr>
        <w:footnoteReference w:id="37"/>
      </w:r>
      <w:r w:rsidR="00234257">
        <w:rPr>
          <w:rFonts w:cstheme="minorHAnsi"/>
        </w:rPr>
        <w:t xml:space="preserve"> </w:t>
      </w:r>
      <w:r w:rsidR="004A0B4C">
        <w:rPr>
          <w:rFonts w:cstheme="minorHAnsi"/>
        </w:rPr>
        <w:t>The United States Government’s Millennium Challenge Corporation invested $332.5m in the Green Prosperity Project (2013-18)</w:t>
      </w:r>
      <w:r w:rsidR="00EE4F96">
        <w:rPr>
          <w:rFonts w:cstheme="minorHAnsi"/>
        </w:rPr>
        <w:t xml:space="preserve"> </w:t>
      </w:r>
      <w:r w:rsidR="004A0B4C">
        <w:rPr>
          <w:rFonts w:cstheme="minorHAnsi"/>
        </w:rPr>
        <w:t>to improve land use practices and access to renewable energy to increase agriculture productivity.</w:t>
      </w:r>
      <w:r w:rsidR="00EE4F96">
        <w:rPr>
          <w:rStyle w:val="FootnoteReference"/>
          <w:rFonts w:cstheme="minorHAnsi"/>
        </w:rPr>
        <w:footnoteReference w:id="38"/>
      </w:r>
      <w:r w:rsidR="00EE4F96">
        <w:rPr>
          <w:rFonts w:cstheme="minorHAnsi"/>
        </w:rPr>
        <w:t xml:space="preserve"> </w:t>
      </w:r>
      <w:r w:rsidR="00234257">
        <w:t>New Zealand Aid</w:t>
      </w:r>
      <w:r w:rsidR="001B3EA5">
        <w:rPr>
          <w:rStyle w:val="FootnoteReference"/>
        </w:rPr>
        <w:footnoteReference w:id="39"/>
      </w:r>
      <w:r w:rsidR="001B3EA5">
        <w:t xml:space="preserve"> </w:t>
      </w:r>
      <w:r w:rsidR="00A5791F" w:rsidRPr="004D30D5">
        <w:t xml:space="preserve"> </w:t>
      </w:r>
      <w:r w:rsidR="00A5791F">
        <w:t xml:space="preserve">and the </w:t>
      </w:r>
      <w:r w:rsidR="00A5791F" w:rsidRPr="004D30D5">
        <w:t>Swiss</w:t>
      </w:r>
      <w:r w:rsidR="00A5791F">
        <w:t xml:space="preserve"> </w:t>
      </w:r>
      <w:r w:rsidR="001B3EA5">
        <w:t>Government</w:t>
      </w:r>
      <w:r w:rsidR="001B3EA5">
        <w:rPr>
          <w:rStyle w:val="FootnoteReference"/>
        </w:rPr>
        <w:footnoteReference w:id="40"/>
      </w:r>
      <w:r w:rsidR="00234257">
        <w:t xml:space="preserve"> have small programs</w:t>
      </w:r>
      <w:r w:rsidR="002B6D01">
        <w:t xml:space="preserve"> in </w:t>
      </w:r>
      <w:r w:rsidR="0011097E">
        <w:t>value chains</w:t>
      </w:r>
      <w:r w:rsidR="002B6D01">
        <w:t xml:space="preserve"> and </w:t>
      </w:r>
      <w:proofErr w:type="spellStart"/>
      <w:r w:rsidR="0011097E">
        <w:t>agri</w:t>
      </w:r>
      <w:proofErr w:type="spellEnd"/>
      <w:r w:rsidR="0011097E">
        <w:t>-</w:t>
      </w:r>
      <w:r w:rsidR="002B6D01">
        <w:t>finance</w:t>
      </w:r>
      <w:r w:rsidR="00A5791F">
        <w:t>.</w:t>
      </w:r>
      <w:r w:rsidR="00507D45">
        <w:t xml:space="preserve"> </w:t>
      </w:r>
      <w:r w:rsidR="00660E9A">
        <w:t>International</w:t>
      </w:r>
      <w:r w:rsidR="00507D45">
        <w:t xml:space="preserve"> organisations</w:t>
      </w:r>
      <w:r w:rsidR="00A5791F">
        <w:t xml:space="preserve"> are active in this space, including</w:t>
      </w:r>
      <w:r w:rsidR="00A5791F" w:rsidRPr="004D30D5">
        <w:t xml:space="preserve"> International F</w:t>
      </w:r>
      <w:r w:rsidR="006C02EA">
        <w:t>und</w:t>
      </w:r>
      <w:r w:rsidR="00A5791F" w:rsidRPr="004D30D5">
        <w:t xml:space="preserve"> for Agriculture Development (IFAD),</w:t>
      </w:r>
      <w:r w:rsidR="00507D45">
        <w:rPr>
          <w:rStyle w:val="FootnoteReference"/>
        </w:rPr>
        <w:footnoteReference w:id="41"/>
      </w:r>
      <w:r w:rsidR="00A5791F" w:rsidRPr="004D30D5">
        <w:t xml:space="preserve"> Food and Agriculture Organisation (FAO),</w:t>
      </w:r>
      <w:r w:rsidR="00EE4F96">
        <w:rPr>
          <w:rStyle w:val="FootnoteReference"/>
        </w:rPr>
        <w:footnoteReference w:id="42"/>
      </w:r>
      <w:r w:rsidR="00A5791F" w:rsidRPr="004D30D5">
        <w:t xml:space="preserve"> World Food Programme (WFP),</w:t>
      </w:r>
      <w:r w:rsidR="00EE4F96">
        <w:rPr>
          <w:rStyle w:val="FootnoteReference"/>
        </w:rPr>
        <w:footnoteReference w:id="43"/>
      </w:r>
      <w:r w:rsidR="00A5791F" w:rsidRPr="004D30D5">
        <w:t xml:space="preserve"> </w:t>
      </w:r>
      <w:r w:rsidR="00507D45">
        <w:t>the International Finance Corporation (IFC),</w:t>
      </w:r>
      <w:r w:rsidR="00507D45">
        <w:rPr>
          <w:rStyle w:val="FootnoteReference"/>
        </w:rPr>
        <w:footnoteReference w:id="44"/>
      </w:r>
      <w:r w:rsidR="00507D45">
        <w:t xml:space="preserve"> </w:t>
      </w:r>
      <w:r w:rsidR="00234257">
        <w:t xml:space="preserve">the </w:t>
      </w:r>
      <w:r w:rsidR="00A5791F" w:rsidRPr="004D30D5">
        <w:t>Asia</w:t>
      </w:r>
      <w:r w:rsidR="002B6D01">
        <w:t>n</w:t>
      </w:r>
      <w:r w:rsidR="00A5791F" w:rsidRPr="004D30D5">
        <w:t xml:space="preserve"> Dev</w:t>
      </w:r>
      <w:r w:rsidR="00A5791F">
        <w:t>elopment Bank (ADB)</w:t>
      </w:r>
      <w:r w:rsidR="00507D45">
        <w:rPr>
          <w:rStyle w:val="FootnoteReference"/>
        </w:rPr>
        <w:footnoteReference w:id="45"/>
      </w:r>
      <w:r w:rsidR="00A5791F">
        <w:t>,</w:t>
      </w:r>
      <w:r w:rsidR="00234257">
        <w:t xml:space="preserve"> and the World Bank.</w:t>
      </w:r>
      <w:r w:rsidR="00EE4F96">
        <w:rPr>
          <w:rStyle w:val="FootnoteReference"/>
        </w:rPr>
        <w:footnoteReference w:id="46"/>
      </w:r>
      <w:r w:rsidR="001B3EA5">
        <w:t xml:space="preserve"> </w:t>
      </w:r>
      <w:r w:rsidR="002B6D01">
        <w:t>PRISMA-2 will strengthen its focus on coordinating with other stakeho</w:t>
      </w:r>
      <w:r w:rsidR="005C2288">
        <w:t>lders to share lessons learned.</w:t>
      </w:r>
    </w:p>
    <w:p w14:paraId="5E2EB71B" w14:textId="325A2FD9" w:rsidR="008D0E64" w:rsidRDefault="00747538" w:rsidP="00CB3B49">
      <w:r>
        <w:t>W</w:t>
      </w:r>
      <w:r w:rsidR="008D0E64" w:rsidRPr="008B1E5F">
        <w:t xml:space="preserve">hile </w:t>
      </w:r>
      <w:r w:rsidR="005D461A">
        <w:t>PRISMA-2</w:t>
      </w:r>
      <w:r w:rsidR="008D0E64" w:rsidRPr="008B1E5F">
        <w:t xml:space="preserve">’s central objective is to restructure the core transaction between farmers and private sector </w:t>
      </w:r>
      <w:r w:rsidR="002F27A6">
        <w:t>businesses</w:t>
      </w:r>
      <w:r w:rsidR="008D0E64" w:rsidRPr="008B1E5F">
        <w:t xml:space="preserve">, doing this sustainably means that it is critical to also </w:t>
      </w:r>
      <w:r w:rsidR="00B14AA4">
        <w:t xml:space="preserve">communicate or </w:t>
      </w:r>
      <w:r w:rsidR="008D0E64" w:rsidRPr="008B1E5F">
        <w:t>work with a wide range of actors that have mid</w:t>
      </w:r>
      <w:r w:rsidR="003B39E1">
        <w:t>-</w:t>
      </w:r>
      <w:r w:rsidR="008D0E64" w:rsidRPr="008B1E5F">
        <w:t xml:space="preserve"> and long-term influence on making these changes systemic. </w:t>
      </w:r>
      <w:r w:rsidR="005D461A">
        <w:t>PRISMA-2</w:t>
      </w:r>
      <w:r w:rsidR="008D0E64" w:rsidRPr="008B1E5F">
        <w:t>’s offer to engage with them begins with a clear understanding of their interest</w:t>
      </w:r>
      <w:r w:rsidR="00B629BC">
        <w:t>s</w:t>
      </w:r>
      <w:r w:rsidR="008D0E64" w:rsidRPr="008B1E5F">
        <w:t xml:space="preserve"> and then identifying where these interests converge with </w:t>
      </w:r>
      <w:r w:rsidR="00CA39D6">
        <w:t>the Program’s</w:t>
      </w:r>
      <w:r w:rsidR="008D0E64">
        <w:t>.</w:t>
      </w:r>
    </w:p>
    <w:p w14:paraId="741AB647" w14:textId="2C023F92" w:rsidR="00C94F48" w:rsidRPr="00D43874" w:rsidRDefault="008F2859" w:rsidP="00CB3B49">
      <w:pPr>
        <w:pStyle w:val="Heading3"/>
      </w:pPr>
      <w:bookmarkStart w:id="12" w:name="_Toc499298844"/>
      <w:r w:rsidRPr="00D43874">
        <w:t>Sustainability</w:t>
      </w:r>
      <w:r w:rsidR="00B629BC">
        <w:t xml:space="preserve"> and Scale</w:t>
      </w:r>
      <w:bookmarkEnd w:id="12"/>
    </w:p>
    <w:p w14:paraId="53074737" w14:textId="77777777" w:rsidR="00AE63DC" w:rsidRDefault="00AE63DC" w:rsidP="00CB3B49">
      <w:pPr>
        <w:rPr>
          <w:rFonts w:cstheme="minorHAnsi"/>
        </w:rPr>
      </w:pPr>
      <w:r>
        <w:rPr>
          <w:rFonts w:cstheme="minorHAnsi"/>
        </w:rPr>
        <w:t>PRISMA-2 is designed</w:t>
      </w:r>
      <w:r w:rsidRPr="00343460">
        <w:rPr>
          <w:rFonts w:cstheme="minorHAnsi"/>
        </w:rPr>
        <w:t xml:space="preserve"> to leave a durable legacy of innovative, inclusive and resilient market systems that better serve Indonesia’s smallholder farm</w:t>
      </w:r>
      <w:r>
        <w:rPr>
          <w:rFonts w:cstheme="minorHAnsi"/>
        </w:rPr>
        <w:t>ing households in selected provinces</w:t>
      </w:r>
      <w:r w:rsidRPr="00343460">
        <w:rPr>
          <w:rFonts w:cstheme="minorHAnsi"/>
        </w:rPr>
        <w:t xml:space="preserve">, providing them with access to the resources and opportunities that they need to be more productive, </w:t>
      </w:r>
      <w:r>
        <w:rPr>
          <w:rFonts w:cstheme="minorHAnsi"/>
        </w:rPr>
        <w:t xml:space="preserve">sell more and earn more income. </w:t>
      </w:r>
      <w:r w:rsidR="00761951" w:rsidRPr="00343460">
        <w:rPr>
          <w:rFonts w:cstheme="minorHAnsi"/>
        </w:rPr>
        <w:lastRenderedPageBreak/>
        <w:t xml:space="preserve">Sustainability </w:t>
      </w:r>
      <w:r w:rsidR="00514314">
        <w:rPr>
          <w:rFonts w:cstheme="minorHAnsi"/>
        </w:rPr>
        <w:t xml:space="preserve">and increasing up-take by farmers of an intervention’s innovation </w:t>
      </w:r>
      <w:r w:rsidR="00761951" w:rsidRPr="00343460">
        <w:rPr>
          <w:rFonts w:cstheme="minorHAnsi"/>
        </w:rPr>
        <w:t xml:space="preserve">is </w:t>
      </w:r>
      <w:r w:rsidR="00514314">
        <w:rPr>
          <w:rFonts w:cstheme="minorHAnsi"/>
        </w:rPr>
        <w:t>an explicit goal</w:t>
      </w:r>
      <w:r w:rsidR="00761951" w:rsidRPr="00343460">
        <w:rPr>
          <w:rFonts w:cstheme="minorHAnsi"/>
        </w:rPr>
        <w:t xml:space="preserve"> </w:t>
      </w:r>
      <w:r w:rsidR="00747538">
        <w:rPr>
          <w:rFonts w:cstheme="minorHAnsi"/>
        </w:rPr>
        <w:t>of</w:t>
      </w:r>
      <w:r w:rsidR="00747538" w:rsidRPr="00343460">
        <w:rPr>
          <w:rFonts w:cstheme="minorHAnsi"/>
        </w:rPr>
        <w:t xml:space="preserve"> </w:t>
      </w:r>
      <w:r w:rsidR="00483539">
        <w:rPr>
          <w:rFonts w:cstheme="minorHAnsi"/>
        </w:rPr>
        <w:t>PRISMA-2’s</w:t>
      </w:r>
      <w:r w:rsidR="00761951" w:rsidRPr="00343460">
        <w:rPr>
          <w:rFonts w:cstheme="minorHAnsi"/>
        </w:rPr>
        <w:t xml:space="preserve"> approach</w:t>
      </w:r>
      <w:r w:rsidR="00D3077A">
        <w:rPr>
          <w:rStyle w:val="FootnoteReference"/>
          <w:rFonts w:cstheme="minorHAnsi"/>
        </w:rPr>
        <w:footnoteReference w:id="47"/>
      </w:r>
      <w:r>
        <w:rPr>
          <w:rFonts w:cstheme="minorHAnsi"/>
        </w:rPr>
        <w:t>.</w:t>
      </w:r>
    </w:p>
    <w:p w14:paraId="2A555B62" w14:textId="074963CB" w:rsidR="00761951" w:rsidRPr="00343460" w:rsidRDefault="00D3077A" w:rsidP="00CB3B49">
      <w:pPr>
        <w:rPr>
          <w:rFonts w:cstheme="minorHAnsi"/>
        </w:rPr>
      </w:pPr>
      <w:r>
        <w:rPr>
          <w:rFonts w:cstheme="minorHAnsi"/>
        </w:rPr>
        <w:t xml:space="preserve">The </w:t>
      </w:r>
      <w:r w:rsidR="00AE63DC">
        <w:rPr>
          <w:rFonts w:cstheme="minorHAnsi"/>
        </w:rPr>
        <w:t xml:space="preserve">Program’s </w:t>
      </w:r>
      <w:r>
        <w:rPr>
          <w:rFonts w:cstheme="minorHAnsi"/>
        </w:rPr>
        <w:t xml:space="preserve">approach </w:t>
      </w:r>
      <w:r w:rsidR="00A72EF8">
        <w:rPr>
          <w:rFonts w:cstheme="minorHAnsi"/>
        </w:rPr>
        <w:t>focuses on</w:t>
      </w:r>
      <w:r w:rsidRPr="00C82D97">
        <w:rPr>
          <w:rFonts w:cstheme="minorHAnsi"/>
        </w:rPr>
        <w:t xml:space="preserve"> understand</w:t>
      </w:r>
      <w:r w:rsidR="00A72EF8">
        <w:rPr>
          <w:rFonts w:cstheme="minorHAnsi"/>
        </w:rPr>
        <w:t>ing</w:t>
      </w:r>
      <w:r w:rsidRPr="00C82D97">
        <w:rPr>
          <w:rFonts w:cstheme="minorHAnsi"/>
        </w:rPr>
        <w:t xml:space="preserve"> how </w:t>
      </w:r>
      <w:r w:rsidR="00514314">
        <w:rPr>
          <w:rFonts w:cstheme="minorHAnsi"/>
        </w:rPr>
        <w:t xml:space="preserve">actors perform </w:t>
      </w:r>
      <w:r w:rsidRPr="00C82D97">
        <w:rPr>
          <w:rFonts w:cstheme="minorHAnsi"/>
        </w:rPr>
        <w:t xml:space="preserve">key functions in a market system – those necessary to support improved smallholder productivity, sales, profit and incomes – </w:t>
      </w:r>
      <w:r w:rsidR="001E55F5">
        <w:rPr>
          <w:rFonts w:cstheme="minorHAnsi"/>
        </w:rPr>
        <w:t xml:space="preserve">and how these actors and functions </w:t>
      </w:r>
      <w:r w:rsidRPr="00C82D97">
        <w:rPr>
          <w:rFonts w:cstheme="minorHAnsi"/>
        </w:rPr>
        <w:t xml:space="preserve">can be stimulated to work better, and continue working better once </w:t>
      </w:r>
      <w:r w:rsidR="00292C05">
        <w:rPr>
          <w:rFonts w:cstheme="minorHAnsi"/>
        </w:rPr>
        <w:t>development assistance ends</w:t>
      </w:r>
      <w:r w:rsidRPr="00C82D97">
        <w:rPr>
          <w:rFonts w:cstheme="minorHAnsi"/>
        </w:rPr>
        <w:t xml:space="preserve">. It focuses on securing local ownership </w:t>
      </w:r>
      <w:r w:rsidR="00514314">
        <w:rPr>
          <w:rFonts w:cstheme="minorHAnsi"/>
        </w:rPr>
        <w:t xml:space="preserve">by actors </w:t>
      </w:r>
      <w:r w:rsidRPr="00C82D97">
        <w:rPr>
          <w:rFonts w:cstheme="minorHAnsi"/>
        </w:rPr>
        <w:t>of solutions and delivery mechanisms. The approach identifies barriers to growth in agricultural sectors of importance to smallholders, and then works with private and public partners with an interest in addressing those constraints, stimulating investment in new business models that support sustainable, inclusive growth and lead to wider systemic change.</w:t>
      </w:r>
      <w:r>
        <w:rPr>
          <w:rFonts w:cstheme="minorHAnsi"/>
        </w:rPr>
        <w:t xml:space="preserve"> </w:t>
      </w:r>
      <w:r w:rsidR="00761951" w:rsidRPr="00343460">
        <w:rPr>
          <w:rFonts w:cstheme="minorHAnsi"/>
        </w:rPr>
        <w:t xml:space="preserve">This commitment to sustainability will inform how the </w:t>
      </w:r>
      <w:r w:rsidR="00AE63DC">
        <w:rPr>
          <w:rFonts w:cstheme="minorHAnsi"/>
        </w:rPr>
        <w:t>P</w:t>
      </w:r>
      <w:r w:rsidR="00761951" w:rsidRPr="00343460">
        <w:rPr>
          <w:rFonts w:cstheme="minorHAnsi"/>
        </w:rPr>
        <w:t>rogram intervenes in sectors, how it will achieve scale and how it will influence stakeholders in Indonesia</w:t>
      </w:r>
      <w:r w:rsidR="0036598A">
        <w:rPr>
          <w:rFonts w:cstheme="minorHAnsi"/>
        </w:rPr>
        <w:t>.</w:t>
      </w:r>
      <w:r w:rsidR="0067137A">
        <w:rPr>
          <w:rStyle w:val="FootnoteReference"/>
          <w:rFonts w:cstheme="minorHAnsi"/>
        </w:rPr>
        <w:footnoteReference w:id="48"/>
      </w:r>
      <w:r w:rsidR="00AE63DC">
        <w:rPr>
          <w:rFonts w:cstheme="minorHAnsi"/>
        </w:rPr>
        <w:t xml:space="preserve"> </w:t>
      </w:r>
      <w:r w:rsidR="00305EFB">
        <w:rPr>
          <w:rFonts w:cstheme="minorHAnsi"/>
        </w:rPr>
        <w:t>T</w:t>
      </w:r>
      <w:r w:rsidR="00761951" w:rsidRPr="00343460">
        <w:rPr>
          <w:rFonts w:cstheme="minorHAnsi"/>
        </w:rPr>
        <w:t xml:space="preserve">he </w:t>
      </w:r>
      <w:r w:rsidR="00B629BC">
        <w:rPr>
          <w:rFonts w:cstheme="minorHAnsi"/>
        </w:rPr>
        <w:t>PRISMA-2</w:t>
      </w:r>
      <w:r w:rsidR="00761951" w:rsidRPr="00343460">
        <w:rPr>
          <w:rFonts w:cstheme="minorHAnsi"/>
        </w:rPr>
        <w:t xml:space="preserve"> approach to sustainability </w:t>
      </w:r>
      <w:r w:rsidR="00B629BC">
        <w:rPr>
          <w:rFonts w:cstheme="minorHAnsi"/>
        </w:rPr>
        <w:t>will operate</w:t>
      </w:r>
      <w:r w:rsidR="007858FE">
        <w:rPr>
          <w:rFonts w:cstheme="minorHAnsi"/>
        </w:rPr>
        <w:t xml:space="preserve"> at</w:t>
      </w:r>
      <w:r w:rsidR="00761951" w:rsidRPr="00343460">
        <w:rPr>
          <w:rFonts w:cstheme="minorHAnsi"/>
        </w:rPr>
        <w:t xml:space="preserve"> three levels:</w:t>
      </w:r>
    </w:p>
    <w:p w14:paraId="279F9A8A" w14:textId="163F77CF" w:rsidR="00761951" w:rsidRPr="001724B6" w:rsidRDefault="00073B43" w:rsidP="004B220D">
      <w:pPr>
        <w:pStyle w:val="ListParagraph"/>
        <w:numPr>
          <w:ilvl w:val="0"/>
          <w:numId w:val="46"/>
        </w:numPr>
        <w:spacing w:before="240" w:after="240" w:line="264" w:lineRule="auto"/>
        <w:rPr>
          <w:rFonts w:cstheme="minorHAnsi"/>
        </w:rPr>
      </w:pPr>
      <w:r>
        <w:rPr>
          <w:rFonts w:cstheme="minorHAnsi"/>
          <w:b/>
        </w:rPr>
        <w:t xml:space="preserve">Level 1: </w:t>
      </w:r>
      <w:r w:rsidR="00761951" w:rsidRPr="001724B6">
        <w:rPr>
          <w:rFonts w:cstheme="minorHAnsi"/>
          <w:b/>
        </w:rPr>
        <w:t>Sustainability of innovations and investment stimulated by the Program.</w:t>
      </w:r>
      <w:r w:rsidR="00761951" w:rsidRPr="001724B6">
        <w:rPr>
          <w:rFonts w:cstheme="minorHAnsi"/>
        </w:rPr>
        <w:t xml:space="preserve"> </w:t>
      </w:r>
      <w:r w:rsidR="005D461A">
        <w:rPr>
          <w:rFonts w:cstheme="minorHAnsi"/>
        </w:rPr>
        <w:t>PRISMA-2</w:t>
      </w:r>
      <w:r w:rsidR="00761951" w:rsidRPr="001724B6">
        <w:rPr>
          <w:rFonts w:cstheme="minorHAnsi"/>
        </w:rPr>
        <w:t xml:space="preserve"> </w:t>
      </w:r>
      <w:r w:rsidR="00E73991" w:rsidRPr="001724B6">
        <w:rPr>
          <w:rFonts w:cstheme="minorHAnsi"/>
        </w:rPr>
        <w:t xml:space="preserve">will </w:t>
      </w:r>
      <w:r w:rsidR="008F2859" w:rsidRPr="001724B6">
        <w:rPr>
          <w:rFonts w:cstheme="minorHAnsi"/>
        </w:rPr>
        <w:t xml:space="preserve">work with partners to </w:t>
      </w:r>
      <w:r w:rsidR="00761951" w:rsidRPr="001724B6">
        <w:rPr>
          <w:rFonts w:cstheme="minorHAnsi"/>
        </w:rPr>
        <w:t>identif</w:t>
      </w:r>
      <w:r w:rsidR="008F2859" w:rsidRPr="001724B6">
        <w:rPr>
          <w:rFonts w:cstheme="minorHAnsi"/>
        </w:rPr>
        <w:t>y</w:t>
      </w:r>
      <w:r w:rsidR="00761951" w:rsidRPr="001724B6">
        <w:rPr>
          <w:rFonts w:cstheme="minorHAnsi"/>
        </w:rPr>
        <w:t xml:space="preserve"> opportunities for innovations that can benefit smallholder farmers and be pro</w:t>
      </w:r>
      <w:r w:rsidR="00AE63DC">
        <w:rPr>
          <w:rFonts w:cstheme="minorHAnsi"/>
        </w:rPr>
        <w:t>fitable for the private sector.</w:t>
      </w:r>
      <w:r w:rsidR="00761951" w:rsidRPr="001724B6">
        <w:rPr>
          <w:rFonts w:cstheme="minorHAnsi"/>
        </w:rPr>
        <w:t xml:space="preserve"> Program analysis</w:t>
      </w:r>
      <w:r w:rsidR="00E73991" w:rsidRPr="001724B6">
        <w:rPr>
          <w:rFonts w:cstheme="minorHAnsi"/>
        </w:rPr>
        <w:t xml:space="preserve"> will</w:t>
      </w:r>
      <w:r w:rsidR="00761951" w:rsidRPr="001724B6">
        <w:rPr>
          <w:rFonts w:cstheme="minorHAnsi"/>
        </w:rPr>
        <w:t xml:space="preserve"> establish a viable business case for </w:t>
      </w:r>
      <w:r w:rsidR="000135FA" w:rsidRPr="001724B6">
        <w:rPr>
          <w:rFonts w:cstheme="minorHAnsi"/>
        </w:rPr>
        <w:t>each</w:t>
      </w:r>
      <w:r w:rsidR="00761951" w:rsidRPr="001724B6">
        <w:rPr>
          <w:rFonts w:cstheme="minorHAnsi"/>
        </w:rPr>
        <w:t xml:space="preserve"> innovation and then support the private sector to invest in and operationalise it commercially. Sustainability </w:t>
      </w:r>
      <w:r w:rsidR="00E73991" w:rsidRPr="001724B6">
        <w:rPr>
          <w:rFonts w:cstheme="minorHAnsi"/>
        </w:rPr>
        <w:t xml:space="preserve">will be </w:t>
      </w:r>
      <w:r w:rsidR="00761951" w:rsidRPr="001724B6">
        <w:rPr>
          <w:rFonts w:cstheme="minorHAnsi"/>
        </w:rPr>
        <w:t xml:space="preserve">ensured if the innovation delivers a tangible benefit to farmers and generates a commercial return for the </w:t>
      </w:r>
      <w:r w:rsidR="008F2859" w:rsidRPr="001724B6">
        <w:rPr>
          <w:rFonts w:cstheme="minorHAnsi"/>
        </w:rPr>
        <w:t>private sector partner(s)</w:t>
      </w:r>
      <w:r w:rsidR="00761951" w:rsidRPr="001724B6">
        <w:rPr>
          <w:rFonts w:cstheme="minorHAnsi"/>
        </w:rPr>
        <w:t xml:space="preserve">. Commercial viability and co-investment by the private sector are essential to sustainability because they </w:t>
      </w:r>
      <w:r w:rsidR="008F2859" w:rsidRPr="001724B6">
        <w:rPr>
          <w:rFonts w:cstheme="minorHAnsi"/>
        </w:rPr>
        <w:t xml:space="preserve">motivate </w:t>
      </w:r>
      <w:r w:rsidR="00761951" w:rsidRPr="001724B6">
        <w:rPr>
          <w:rFonts w:cstheme="minorHAnsi"/>
        </w:rPr>
        <w:t xml:space="preserve">a </w:t>
      </w:r>
      <w:r w:rsidR="002F27A6">
        <w:rPr>
          <w:rFonts w:cstheme="minorHAnsi"/>
        </w:rPr>
        <w:t>business</w:t>
      </w:r>
      <w:r w:rsidR="008F2859" w:rsidRPr="001724B6">
        <w:rPr>
          <w:rFonts w:cstheme="minorHAnsi"/>
        </w:rPr>
        <w:t xml:space="preserve"> to</w:t>
      </w:r>
      <w:r w:rsidR="00761951" w:rsidRPr="001724B6">
        <w:rPr>
          <w:rFonts w:cstheme="minorHAnsi"/>
        </w:rPr>
        <w:t xml:space="preserve"> commit to continue</w:t>
      </w:r>
      <w:r w:rsidR="008F2859" w:rsidRPr="001724B6">
        <w:rPr>
          <w:rFonts w:cstheme="minorHAnsi"/>
        </w:rPr>
        <w:t>d delivery of the innovation</w:t>
      </w:r>
      <w:r w:rsidR="00761951" w:rsidRPr="001724B6">
        <w:rPr>
          <w:rFonts w:cstheme="minorHAnsi"/>
        </w:rPr>
        <w:t>.</w:t>
      </w:r>
      <w:r w:rsidR="00E73991" w:rsidRPr="001724B6">
        <w:rPr>
          <w:rFonts w:cstheme="minorHAnsi"/>
        </w:rPr>
        <w:t xml:space="preserve"> </w:t>
      </w:r>
      <w:r w:rsidR="00761951" w:rsidRPr="001724B6">
        <w:rPr>
          <w:rFonts w:cstheme="minorHAnsi"/>
        </w:rPr>
        <w:t>The acid tests of sustainability are</w:t>
      </w:r>
      <w:r w:rsidR="00163E33">
        <w:rPr>
          <w:rFonts w:cstheme="minorHAnsi"/>
        </w:rPr>
        <w:t>:</w:t>
      </w:r>
      <w:r w:rsidR="00761951" w:rsidRPr="001724B6">
        <w:rPr>
          <w:rFonts w:cstheme="minorHAnsi"/>
        </w:rPr>
        <w:t xml:space="preserve"> (a) a </w:t>
      </w:r>
      <w:r w:rsidR="002F27A6">
        <w:rPr>
          <w:rFonts w:cstheme="minorHAnsi"/>
        </w:rPr>
        <w:t>business</w:t>
      </w:r>
      <w:r w:rsidR="00761951" w:rsidRPr="001724B6">
        <w:rPr>
          <w:rFonts w:cstheme="minorHAnsi"/>
        </w:rPr>
        <w:t xml:space="preserve"> continuing to invest in an </w:t>
      </w:r>
      <w:r w:rsidR="00B629BC">
        <w:rPr>
          <w:rFonts w:cstheme="minorHAnsi"/>
        </w:rPr>
        <w:t>innovation without any further p</w:t>
      </w:r>
      <w:r w:rsidR="00761951" w:rsidRPr="001724B6">
        <w:rPr>
          <w:rFonts w:cstheme="minorHAnsi"/>
        </w:rPr>
        <w:t xml:space="preserve">rogram support, and (b) other </w:t>
      </w:r>
      <w:r w:rsidR="002F27A6">
        <w:rPr>
          <w:rFonts w:cstheme="minorHAnsi"/>
        </w:rPr>
        <w:t>businesse</w:t>
      </w:r>
      <w:r w:rsidR="00761951" w:rsidRPr="001724B6">
        <w:rPr>
          <w:rFonts w:cstheme="minorHAnsi"/>
        </w:rPr>
        <w:t>s recognising the innovation’s value and taking it up themselves. This ‘crowding in’ achieves further sustainability and scale, as the innovation expands to a critical mass of take up – the innovation becomes the new norm in a sector.</w:t>
      </w:r>
    </w:p>
    <w:p w14:paraId="40068C1F" w14:textId="3CAFD6A0" w:rsidR="00B52E30" w:rsidRPr="001724B6" w:rsidRDefault="00073B43" w:rsidP="004B220D">
      <w:pPr>
        <w:pStyle w:val="ListParagraph"/>
        <w:numPr>
          <w:ilvl w:val="0"/>
          <w:numId w:val="46"/>
        </w:numPr>
        <w:spacing w:before="240" w:after="240" w:line="264" w:lineRule="auto"/>
        <w:rPr>
          <w:rFonts w:cstheme="minorHAnsi"/>
        </w:rPr>
      </w:pPr>
      <w:r>
        <w:rPr>
          <w:rFonts w:cstheme="minorHAnsi"/>
          <w:b/>
        </w:rPr>
        <w:t xml:space="preserve">Level 2: </w:t>
      </w:r>
      <w:r w:rsidR="00761951" w:rsidRPr="001724B6">
        <w:rPr>
          <w:rFonts w:cstheme="minorHAnsi"/>
          <w:b/>
        </w:rPr>
        <w:t>Building on initial innovations to strengthen sector adaptability and resilience</w:t>
      </w:r>
      <w:r w:rsidR="00761951" w:rsidRPr="001724B6">
        <w:rPr>
          <w:rFonts w:cstheme="minorHAnsi"/>
          <w:b/>
          <w:i/>
        </w:rPr>
        <w:t xml:space="preserve"> </w:t>
      </w:r>
      <w:r w:rsidR="00761951" w:rsidRPr="001724B6">
        <w:rPr>
          <w:rFonts w:cstheme="minorHAnsi"/>
        </w:rPr>
        <w:t xml:space="preserve">so that </w:t>
      </w:r>
      <w:r w:rsidR="00252D2C" w:rsidRPr="001724B6">
        <w:rPr>
          <w:rFonts w:cstheme="minorHAnsi"/>
        </w:rPr>
        <w:t xml:space="preserve">sector actors </w:t>
      </w:r>
      <w:r w:rsidR="00761951" w:rsidRPr="001724B6">
        <w:rPr>
          <w:rFonts w:cstheme="minorHAnsi"/>
        </w:rPr>
        <w:t xml:space="preserve">have the capability to anticipate, mitigate or respond to opportunities and threats in </w:t>
      </w:r>
      <w:r w:rsidR="00163E33">
        <w:rPr>
          <w:rFonts w:cstheme="minorHAnsi"/>
        </w:rPr>
        <w:t xml:space="preserve">the </w:t>
      </w:r>
      <w:r w:rsidR="00761951" w:rsidRPr="001724B6">
        <w:rPr>
          <w:rFonts w:cstheme="minorHAnsi"/>
        </w:rPr>
        <w:t xml:space="preserve">future. Sustainability is not a static concept. Sectors change, so the actors within them </w:t>
      </w:r>
      <w:r w:rsidR="000135FA" w:rsidRPr="001724B6">
        <w:rPr>
          <w:rFonts w:cstheme="minorHAnsi"/>
        </w:rPr>
        <w:t>must change as well if they are to survive and thrive</w:t>
      </w:r>
      <w:r w:rsidR="00761951" w:rsidRPr="001724B6">
        <w:rPr>
          <w:rFonts w:cstheme="minorHAnsi"/>
        </w:rPr>
        <w:t xml:space="preserve">. Having introduced a successful, sustainable innovation – a new way of doing things – </w:t>
      </w:r>
      <w:r w:rsidR="005D461A">
        <w:rPr>
          <w:rFonts w:cstheme="minorHAnsi"/>
        </w:rPr>
        <w:t>PRISMA-2</w:t>
      </w:r>
      <w:r w:rsidR="00761951" w:rsidRPr="001724B6">
        <w:rPr>
          <w:rFonts w:cstheme="minorHAnsi"/>
        </w:rPr>
        <w:t xml:space="preserve"> will work </w:t>
      </w:r>
      <w:r w:rsidR="00012F17" w:rsidRPr="001724B6">
        <w:rPr>
          <w:rFonts w:cstheme="minorHAnsi"/>
        </w:rPr>
        <w:t xml:space="preserve">with sector partners </w:t>
      </w:r>
      <w:r w:rsidR="00761951" w:rsidRPr="001724B6">
        <w:rPr>
          <w:rFonts w:cstheme="minorHAnsi"/>
        </w:rPr>
        <w:t xml:space="preserve">to ensure that the innovation is supported by other </w:t>
      </w:r>
      <w:r w:rsidR="00012F17" w:rsidRPr="001724B6">
        <w:rPr>
          <w:rFonts w:cstheme="minorHAnsi"/>
        </w:rPr>
        <w:t xml:space="preserve">actors </w:t>
      </w:r>
      <w:r w:rsidR="00761951" w:rsidRPr="001724B6">
        <w:rPr>
          <w:rFonts w:cstheme="minorHAnsi"/>
        </w:rPr>
        <w:t>in the sector. This will mean strengthening other key functions or rules that support the innovation introduced by the private sector. For instance, building links between business, research organisations and other service providers to drive continuous innovation and capacity improvement, introducing banks to the sector to secure adequate capital and liquidity, or working with government to ensure appropriate regulations or public facilities are in place. These supporting functions and rules ensure adaptability and resilience, but also contribute to further scale up by promoting take up of an innovation or reducing barriers to entry in a sector</w:t>
      </w:r>
      <w:r w:rsidR="00D56A61">
        <w:rPr>
          <w:rFonts w:cstheme="minorHAnsi"/>
        </w:rPr>
        <w:t xml:space="preserve"> (see Box </w:t>
      </w:r>
      <w:r w:rsidR="001D3321">
        <w:rPr>
          <w:rFonts w:cstheme="minorHAnsi"/>
        </w:rPr>
        <w:t>5</w:t>
      </w:r>
      <w:r w:rsidR="00D56A61">
        <w:rPr>
          <w:rFonts w:cstheme="minorHAnsi"/>
        </w:rPr>
        <w:t>)</w:t>
      </w:r>
      <w:r w:rsidR="005C2288">
        <w:rPr>
          <w:rFonts w:cstheme="minorHAnsi"/>
        </w:rPr>
        <w:t>.</w:t>
      </w:r>
    </w:p>
    <w:p w14:paraId="2731215C" w14:textId="62B70E09" w:rsidR="00710E81" w:rsidRDefault="00073B43" w:rsidP="004B220D">
      <w:pPr>
        <w:pStyle w:val="ListParagraph"/>
        <w:numPr>
          <w:ilvl w:val="0"/>
          <w:numId w:val="46"/>
        </w:numPr>
        <w:rPr>
          <w:rFonts w:cstheme="minorHAnsi"/>
        </w:rPr>
      </w:pPr>
      <w:r w:rsidRPr="007A0995">
        <w:rPr>
          <w:rFonts w:cstheme="minorHAnsi"/>
          <w:b/>
        </w:rPr>
        <w:t>Level 3:</w:t>
      </w:r>
      <w:r>
        <w:rPr>
          <w:rFonts w:cstheme="minorHAnsi"/>
        </w:rPr>
        <w:t xml:space="preserve"> </w:t>
      </w:r>
      <w:r w:rsidR="001D25D4" w:rsidRPr="001D25D4">
        <w:rPr>
          <w:rFonts w:cstheme="minorHAnsi"/>
          <w:b/>
        </w:rPr>
        <w:t>E</w:t>
      </w:r>
      <w:r w:rsidR="00A63BDB" w:rsidRPr="0090329E">
        <w:rPr>
          <w:rFonts w:cstheme="minorHAnsi"/>
          <w:b/>
        </w:rPr>
        <w:t xml:space="preserve">mbedding the </w:t>
      </w:r>
      <w:r w:rsidR="00AE63DC">
        <w:rPr>
          <w:rFonts w:cstheme="minorHAnsi"/>
          <w:b/>
        </w:rPr>
        <w:t>MSD</w:t>
      </w:r>
      <w:r w:rsidR="00A63BDB" w:rsidRPr="0090329E">
        <w:rPr>
          <w:rFonts w:cstheme="minorHAnsi"/>
          <w:b/>
        </w:rPr>
        <w:t xml:space="preserve"> approach more broadly within Indonesia</w:t>
      </w:r>
      <w:r w:rsidR="00D9476A">
        <w:rPr>
          <w:rFonts w:cstheme="minorHAnsi"/>
          <w:b/>
        </w:rPr>
        <w:t xml:space="preserve"> through influencing policy and institutional behaviour</w:t>
      </w:r>
      <w:r w:rsidR="00A63BDB" w:rsidRPr="0090329E">
        <w:rPr>
          <w:rFonts w:cstheme="minorHAnsi"/>
          <w:b/>
        </w:rPr>
        <w:t xml:space="preserve">; </w:t>
      </w:r>
      <w:r w:rsidR="00D9476A">
        <w:rPr>
          <w:rFonts w:cstheme="minorHAnsi"/>
          <w:b/>
        </w:rPr>
        <w:t xml:space="preserve">either directly </w:t>
      </w:r>
      <w:r w:rsidR="00163E33">
        <w:rPr>
          <w:rFonts w:cstheme="minorHAnsi"/>
          <w:b/>
        </w:rPr>
        <w:t xml:space="preserve">or </w:t>
      </w:r>
      <w:r w:rsidR="00D9476A">
        <w:rPr>
          <w:rFonts w:cstheme="minorHAnsi"/>
          <w:b/>
        </w:rPr>
        <w:t xml:space="preserve">through </w:t>
      </w:r>
      <w:r w:rsidR="00163E33">
        <w:rPr>
          <w:rFonts w:cstheme="minorHAnsi"/>
          <w:b/>
        </w:rPr>
        <w:t>‘</w:t>
      </w:r>
      <w:r w:rsidR="00A63BDB" w:rsidRPr="0090329E">
        <w:rPr>
          <w:rFonts w:cstheme="minorHAnsi"/>
          <w:b/>
        </w:rPr>
        <w:t>influencing the influencers</w:t>
      </w:r>
      <w:r w:rsidR="00163E33">
        <w:rPr>
          <w:rFonts w:cstheme="minorHAnsi"/>
          <w:b/>
        </w:rPr>
        <w:t>’</w:t>
      </w:r>
      <w:r w:rsidR="00A63BDB" w:rsidRPr="0090329E">
        <w:rPr>
          <w:rFonts w:cstheme="minorHAnsi"/>
          <w:b/>
        </w:rPr>
        <w:t>.</w:t>
      </w:r>
      <w:r w:rsidR="00A63BDB" w:rsidRPr="00633BE3">
        <w:rPr>
          <w:rFonts w:cstheme="minorHAnsi"/>
        </w:rPr>
        <w:t xml:space="preserve"> </w:t>
      </w:r>
      <w:r w:rsidR="00AE63DC">
        <w:rPr>
          <w:rFonts w:cstheme="minorHAnsi"/>
        </w:rPr>
        <w:t>MSD</w:t>
      </w:r>
      <w:r w:rsidR="00A63BDB" w:rsidRPr="00633BE3">
        <w:rPr>
          <w:rFonts w:cstheme="minorHAnsi"/>
        </w:rPr>
        <w:t xml:space="preserve"> is about identifying innovative, sustainable and cost-effective ways of achieving public goals, such as expanding access, promoting inclusi</w:t>
      </w:r>
      <w:r w:rsidR="00E533E9">
        <w:rPr>
          <w:rFonts w:cstheme="minorHAnsi"/>
        </w:rPr>
        <w:t>ve competitive markets,</w:t>
      </w:r>
      <w:r w:rsidR="00A63BDB" w:rsidRPr="00633BE3">
        <w:rPr>
          <w:rFonts w:cstheme="minorHAnsi"/>
        </w:rPr>
        <w:t xml:space="preserve"> and reducing poverty that can complement or reach beyond conventional government or aid-funded delivery mechanisms. It is therefore relevant to a var</w:t>
      </w:r>
      <w:r w:rsidR="0025131A">
        <w:rPr>
          <w:rFonts w:cstheme="minorHAnsi"/>
        </w:rPr>
        <w:t>iety of Indonesian stakeholders</w:t>
      </w:r>
      <w:r w:rsidR="00A63BDB" w:rsidRPr="00633BE3">
        <w:rPr>
          <w:rFonts w:cstheme="minorHAnsi"/>
        </w:rPr>
        <w:t xml:space="preserve">. </w:t>
      </w:r>
      <w:r w:rsidR="005D461A">
        <w:rPr>
          <w:rFonts w:cstheme="minorHAnsi"/>
        </w:rPr>
        <w:t>PRISMA-2</w:t>
      </w:r>
      <w:r w:rsidR="00A63BDB" w:rsidRPr="00633BE3">
        <w:rPr>
          <w:rFonts w:cstheme="minorHAnsi"/>
        </w:rPr>
        <w:t xml:space="preserve"> has an opportunity to leave a legacy of new thinking and practices, based on its practical experiences and the evidence that it generates, beyond the sectors in which it works directly. Consequently, </w:t>
      </w:r>
      <w:r w:rsidR="005D461A">
        <w:rPr>
          <w:rFonts w:cstheme="minorHAnsi"/>
        </w:rPr>
        <w:t>PRISMA-2</w:t>
      </w:r>
      <w:r w:rsidR="00A63BDB" w:rsidRPr="00633BE3">
        <w:rPr>
          <w:rFonts w:cstheme="minorHAnsi"/>
        </w:rPr>
        <w:t xml:space="preserve"> will have a stronger focus on using its experience and </w:t>
      </w:r>
      <w:r w:rsidR="00A63BDB" w:rsidRPr="00633BE3">
        <w:rPr>
          <w:rFonts w:cstheme="minorHAnsi"/>
        </w:rPr>
        <w:lastRenderedPageBreak/>
        <w:t xml:space="preserve">evidence to </w:t>
      </w:r>
      <w:r w:rsidR="0025131A">
        <w:rPr>
          <w:rFonts w:cstheme="minorHAnsi"/>
        </w:rPr>
        <w:t xml:space="preserve">equip decision makers in Government and policy influencers with the evidence to </w:t>
      </w:r>
      <w:r w:rsidR="00A63BDB" w:rsidRPr="00633BE3">
        <w:rPr>
          <w:rFonts w:cstheme="minorHAnsi"/>
        </w:rPr>
        <w:t xml:space="preserve">advocate for wider change in the agri-business environment in Indonesia. Whilst the Program is not a governance initiative with an explicit mandate to change national-level policy, </w:t>
      </w:r>
      <w:r w:rsidR="005D461A">
        <w:rPr>
          <w:rFonts w:cstheme="minorHAnsi"/>
        </w:rPr>
        <w:t>PRISMA-2</w:t>
      </w:r>
      <w:r w:rsidR="00A63BDB" w:rsidRPr="00633BE3">
        <w:rPr>
          <w:rFonts w:cstheme="minorHAnsi"/>
        </w:rPr>
        <w:t xml:space="preserve"> will be able to operate in an opportunistic, politically astute way to </w:t>
      </w:r>
      <w:r w:rsidR="006C02EA">
        <w:rPr>
          <w:rFonts w:cstheme="minorHAnsi"/>
        </w:rPr>
        <w:t xml:space="preserve">provide relevant evidence and analysis to </w:t>
      </w:r>
      <w:r w:rsidR="00A63BDB" w:rsidRPr="00633BE3">
        <w:rPr>
          <w:rFonts w:cstheme="minorHAnsi"/>
        </w:rPr>
        <w:t xml:space="preserve">the Indonesian government at national and sub-national levels </w:t>
      </w:r>
      <w:r w:rsidR="00D067FE">
        <w:rPr>
          <w:rFonts w:cstheme="minorHAnsi"/>
        </w:rPr>
        <w:t xml:space="preserve">to encourage competitive </w:t>
      </w:r>
      <w:r w:rsidR="00747538">
        <w:rPr>
          <w:rFonts w:cstheme="minorHAnsi"/>
        </w:rPr>
        <w:t xml:space="preserve">and </w:t>
      </w:r>
      <w:r w:rsidR="00D067FE">
        <w:rPr>
          <w:rFonts w:cstheme="minorHAnsi"/>
        </w:rPr>
        <w:t xml:space="preserve">open agricultural markets </w:t>
      </w:r>
      <w:r w:rsidR="00A63BDB" w:rsidRPr="00633BE3">
        <w:rPr>
          <w:rFonts w:cstheme="minorHAnsi"/>
        </w:rPr>
        <w:t>(see</w:t>
      </w:r>
      <w:r w:rsidR="001D3321">
        <w:rPr>
          <w:rFonts w:cstheme="minorHAnsi"/>
        </w:rPr>
        <w:t xml:space="preserve"> Box 5</w:t>
      </w:r>
      <w:r w:rsidR="00747538">
        <w:rPr>
          <w:rFonts w:cstheme="minorHAnsi"/>
        </w:rPr>
        <w:t xml:space="preserve"> and</w:t>
      </w:r>
      <w:r w:rsidR="001236FF">
        <w:rPr>
          <w:rFonts w:cstheme="minorHAnsi"/>
        </w:rPr>
        <w:t xml:space="preserve"> Annex 3</w:t>
      </w:r>
      <w:r w:rsidR="00A63BDB" w:rsidRPr="00633BE3">
        <w:rPr>
          <w:rFonts w:cstheme="minorHAnsi"/>
        </w:rPr>
        <w:t xml:space="preserve"> on lessons learned).</w:t>
      </w:r>
    </w:p>
    <w:p w14:paraId="6B278F2A" w14:textId="6096A972" w:rsidR="00CB15F5" w:rsidRDefault="00F35582" w:rsidP="00483539">
      <w:pPr>
        <w:rPr>
          <w:rFonts w:cstheme="minorHAnsi"/>
        </w:rPr>
      </w:pPr>
      <w:r w:rsidRPr="00D1669B">
        <w:rPr>
          <w:rFonts w:cs="Arial"/>
          <w:b/>
          <w:noProof/>
          <w:lang w:eastAsia="en-AU"/>
        </w:rPr>
        <mc:AlternateContent>
          <mc:Choice Requires="wps">
            <w:drawing>
              <wp:anchor distT="45720" distB="45720" distL="114300" distR="114300" simplePos="0" relativeHeight="251656704" behindDoc="0" locked="0" layoutInCell="1" allowOverlap="1" wp14:anchorId="71880C83" wp14:editId="60FF9D09">
                <wp:simplePos x="0" y="0"/>
                <wp:positionH relativeFrom="margin">
                  <wp:posOffset>-3175</wp:posOffset>
                </wp:positionH>
                <wp:positionV relativeFrom="paragraph">
                  <wp:posOffset>1156970</wp:posOffset>
                </wp:positionV>
                <wp:extent cx="6064250" cy="6130925"/>
                <wp:effectExtent l="0" t="0" r="12700"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6130925"/>
                        </a:xfrm>
                        <a:prstGeom prst="rect">
                          <a:avLst/>
                        </a:prstGeom>
                        <a:solidFill>
                          <a:schemeClr val="accent1">
                            <a:lumMod val="40000"/>
                            <a:lumOff val="60000"/>
                          </a:schemeClr>
                        </a:solidFill>
                        <a:ln w="9525">
                          <a:solidFill>
                            <a:srgbClr val="000000"/>
                          </a:solidFill>
                          <a:miter lim="800000"/>
                          <a:headEnd/>
                          <a:tailEnd/>
                        </a:ln>
                      </wps:spPr>
                      <wps:txbx>
                        <w:txbxContent>
                          <w:p w14:paraId="4FF3B978" w14:textId="717E7392" w:rsidR="00243660" w:rsidRDefault="00243660" w:rsidP="006B4285">
                            <w:r>
                              <w:rPr>
                                <w:rFonts w:cs="Arial"/>
                                <w:b/>
                              </w:rPr>
                              <w:t>Box 4</w:t>
                            </w:r>
                            <w:r w:rsidRPr="00D1669B">
                              <w:rPr>
                                <w:rFonts w:cs="Arial"/>
                                <w:b/>
                              </w:rPr>
                              <w:t xml:space="preserve">. </w:t>
                            </w:r>
                            <w:r>
                              <w:rPr>
                                <w:rFonts w:cs="Arial"/>
                                <w:b/>
                              </w:rPr>
                              <w:t>Stimulating Systemic Change to the Mango Sector in East Java</w:t>
                            </w:r>
                          </w:p>
                          <w:p w14:paraId="541F1333" w14:textId="77777777" w:rsidR="00243660" w:rsidRPr="00C13C23" w:rsidRDefault="00243660" w:rsidP="006B4285">
                            <w:pPr>
                              <w:rPr>
                                <w:sz w:val="18"/>
                                <w:szCs w:val="18"/>
                              </w:rPr>
                            </w:pPr>
                            <w:r w:rsidRPr="00C13C23">
                              <w:rPr>
                                <w:sz w:val="18"/>
                                <w:szCs w:val="18"/>
                              </w:rPr>
                              <w:t xml:space="preserve">Indonesia is the fourth largest mango producer globally, producing 2.4 million tons in 2014. Mango is the largest fruit crop in Indonesia, but production is highly seasonal.  Since off-season prices can be up to four times higher, early flowering technology offers an off-season production opportunity to improve farmer and trader incomes. </w:t>
                            </w:r>
                          </w:p>
                          <w:p w14:paraId="473066DD" w14:textId="55A4A89E" w:rsidR="00243660" w:rsidRPr="00C13C23" w:rsidRDefault="00243660" w:rsidP="006B4285">
                            <w:pPr>
                              <w:rPr>
                                <w:sz w:val="18"/>
                                <w:szCs w:val="18"/>
                              </w:rPr>
                            </w:pPr>
                            <w:r w:rsidRPr="00C13C23">
                              <w:rPr>
                                <w:sz w:val="18"/>
                                <w:szCs w:val="18"/>
                              </w:rPr>
                              <w:t>East Java dominates mango production in Indonesia, accounting for approximately one-third of national production. PRISMA identified a market opportunity to stimulate mango production during the off-season when prices are particularly high.  Starting in September 2014 in East Java and NTB, PRISMA worked with collectors and an input supplier (PT Syngenta Indonesia) to introduce early flowering technology and good practice mango management.  After less than two years, the results attributable to PRISMA in East Java include: 4,438 households with measured increase in income (of which 20% poor); private sector co-investment of AUD210</w:t>
                            </w:r>
                            <w:proofErr w:type="gramStart"/>
                            <w:r w:rsidRPr="00C13C23">
                              <w:rPr>
                                <w:sz w:val="18"/>
                                <w:szCs w:val="18"/>
                              </w:rPr>
                              <w:t>,000</w:t>
                            </w:r>
                            <w:proofErr w:type="gramEnd"/>
                            <w:r w:rsidRPr="00C13C23">
                              <w:rPr>
                                <w:sz w:val="18"/>
                                <w:szCs w:val="18"/>
                              </w:rPr>
                              <w:t xml:space="preserve"> (76% leverage of the DFAT investment); and measured net attributable income improvement of 24% (in total IDR8.5 billion in 18 months). </w:t>
                            </w:r>
                          </w:p>
                          <w:p w14:paraId="26E7163C" w14:textId="77777777" w:rsidR="00243660" w:rsidRPr="00C13C23" w:rsidRDefault="00243660" w:rsidP="006B4285">
                            <w:pPr>
                              <w:rPr>
                                <w:sz w:val="18"/>
                                <w:szCs w:val="18"/>
                              </w:rPr>
                            </w:pPr>
                            <w:r w:rsidRPr="00C13C23">
                              <w:rPr>
                                <w:sz w:val="18"/>
                                <w:szCs w:val="18"/>
                              </w:rPr>
                              <w:t xml:space="preserve">This mango intervention is a good example of market development taking change to scale: </w:t>
                            </w:r>
                          </w:p>
                          <w:p w14:paraId="0A4CCF7F" w14:textId="21F29EEE" w:rsidR="00243660" w:rsidRPr="00C13C23" w:rsidRDefault="00243660" w:rsidP="006B4285">
                            <w:pPr>
                              <w:rPr>
                                <w:sz w:val="18"/>
                                <w:szCs w:val="18"/>
                              </w:rPr>
                            </w:pPr>
                            <w:r w:rsidRPr="00C13C23">
                              <w:rPr>
                                <w:sz w:val="18"/>
                                <w:szCs w:val="18"/>
                              </w:rPr>
                              <w:t xml:space="preserve">• </w:t>
                            </w:r>
                            <w:r w:rsidRPr="00C13C23">
                              <w:rPr>
                                <w:b/>
                                <w:sz w:val="18"/>
                                <w:szCs w:val="18"/>
                              </w:rPr>
                              <w:t>Adopt</w:t>
                            </w:r>
                            <w:r w:rsidRPr="00C13C23">
                              <w:rPr>
                                <w:sz w:val="18"/>
                                <w:szCs w:val="18"/>
                              </w:rPr>
                              <w:t xml:space="preserve"> – Syngenta and PRISMA introduced mango collectors and lead farmers to early flowering technology and good practices through targeted farmer field days and expos.  Field agronomists financed by Syngenta and PRISMA facilitated demonstration plots (“seeing </w:t>
                            </w:r>
                            <w:proofErr w:type="gramStart"/>
                            <w:r w:rsidRPr="00C13C23">
                              <w:rPr>
                                <w:sz w:val="18"/>
                                <w:szCs w:val="18"/>
                              </w:rPr>
                              <w:t>is believing</w:t>
                            </w:r>
                            <w:proofErr w:type="gramEnd"/>
                            <w:r w:rsidRPr="00C13C23">
                              <w:rPr>
                                <w:sz w:val="18"/>
                                <w:szCs w:val="18"/>
                              </w:rPr>
                              <w:t xml:space="preserve">”) and targeted information materials.  Over two </w:t>
                            </w:r>
                            <w:proofErr w:type="gramStart"/>
                            <w:r w:rsidRPr="00C13C23">
                              <w:rPr>
                                <w:sz w:val="18"/>
                                <w:szCs w:val="18"/>
                              </w:rPr>
                              <w:t>seasons</w:t>
                            </w:r>
                            <w:proofErr w:type="gramEnd"/>
                            <w:r w:rsidRPr="00C13C23">
                              <w:rPr>
                                <w:sz w:val="18"/>
                                <w:szCs w:val="18"/>
                              </w:rPr>
                              <w:t xml:space="preserve"> collectors, lead farmers and PRISMA/Syngenta field agronomists exposed 8,497 farmers to the innovation and 5,099 households adopted it and increased their enterprise income as a result.  In 2016/17 the projected outreach is an additional 6,500 households and the net attributable increase is projected to be at least 50%. </w:t>
                            </w:r>
                          </w:p>
                          <w:p w14:paraId="3FC0EA7E" w14:textId="089855A4" w:rsidR="00243660" w:rsidRPr="00C13C23" w:rsidRDefault="00243660" w:rsidP="006B4285">
                            <w:pPr>
                              <w:rPr>
                                <w:sz w:val="18"/>
                                <w:szCs w:val="18"/>
                              </w:rPr>
                            </w:pPr>
                            <w:r w:rsidRPr="00C13C23">
                              <w:rPr>
                                <w:sz w:val="18"/>
                                <w:szCs w:val="18"/>
                              </w:rPr>
                              <w:t>•</w:t>
                            </w:r>
                            <w:r w:rsidRPr="00C13C23">
                              <w:rPr>
                                <w:b/>
                                <w:sz w:val="18"/>
                                <w:szCs w:val="18"/>
                              </w:rPr>
                              <w:t xml:space="preserve"> Adapt</w:t>
                            </w:r>
                            <w:r w:rsidRPr="00C13C23">
                              <w:rPr>
                                <w:sz w:val="18"/>
                                <w:szCs w:val="18"/>
                              </w:rPr>
                              <w:t xml:space="preserve"> – Based on early adoption results, Syngenta started including mango production and the early flowing products </w:t>
                            </w:r>
                            <w:proofErr w:type="spellStart"/>
                            <w:r w:rsidRPr="00C13C23">
                              <w:rPr>
                                <w:sz w:val="18"/>
                                <w:szCs w:val="18"/>
                              </w:rPr>
                              <w:t>Cultar</w:t>
                            </w:r>
                            <w:proofErr w:type="spellEnd"/>
                            <w:r w:rsidRPr="00C13C23">
                              <w:rPr>
                                <w:sz w:val="18"/>
                                <w:szCs w:val="18"/>
                              </w:rPr>
                              <w:t xml:space="preserve"> ® and </w:t>
                            </w:r>
                            <w:proofErr w:type="spellStart"/>
                            <w:r w:rsidRPr="00C13C23">
                              <w:rPr>
                                <w:sz w:val="18"/>
                                <w:szCs w:val="18"/>
                              </w:rPr>
                              <w:t>Amistar</w:t>
                            </w:r>
                            <w:proofErr w:type="spellEnd"/>
                            <w:r w:rsidRPr="00C13C23">
                              <w:rPr>
                                <w:sz w:val="18"/>
                                <w:szCs w:val="18"/>
                              </w:rPr>
                              <w:t xml:space="preserve"> Top ® in their 2016 business plan.  They increased imports of the active ingredient by 80% (to 1.8 tons) in 2015 and set targets for 2016 of 4.5 tons.  Syngenta also employed two additional field agronomists to focus on mango production and early flowering technology in East Java. </w:t>
                            </w:r>
                          </w:p>
                          <w:p w14:paraId="66F0B5D1" w14:textId="0E4C80F9" w:rsidR="00243660" w:rsidRPr="00C13C23" w:rsidRDefault="00243660" w:rsidP="006B4285">
                            <w:pPr>
                              <w:rPr>
                                <w:sz w:val="18"/>
                                <w:szCs w:val="18"/>
                              </w:rPr>
                            </w:pPr>
                            <w:r w:rsidRPr="00C13C23">
                              <w:rPr>
                                <w:sz w:val="18"/>
                                <w:szCs w:val="18"/>
                              </w:rPr>
                              <w:t xml:space="preserve">• </w:t>
                            </w:r>
                            <w:r w:rsidRPr="00C13C23">
                              <w:rPr>
                                <w:b/>
                                <w:sz w:val="18"/>
                                <w:szCs w:val="18"/>
                              </w:rPr>
                              <w:t>Expand</w:t>
                            </w:r>
                            <w:r w:rsidRPr="00C13C23">
                              <w:rPr>
                                <w:sz w:val="18"/>
                                <w:szCs w:val="18"/>
                              </w:rPr>
                              <w:t xml:space="preserve"> – Other members of farmer groups adopted the innovation package.  Syngenta also started to expand the offering to farmers growing other crops (e.g. dragon fruit and apples). Several competing suppliers of the inputs needed for early flowering technology are now targeting the East Java mango market, including PT Rainbow </w:t>
                            </w:r>
                            <w:proofErr w:type="spellStart"/>
                            <w:r w:rsidRPr="00C13C23">
                              <w:rPr>
                                <w:sz w:val="18"/>
                                <w:szCs w:val="18"/>
                              </w:rPr>
                              <w:t>Agri</w:t>
                            </w:r>
                            <w:proofErr w:type="spellEnd"/>
                            <w:r w:rsidRPr="00C13C23">
                              <w:rPr>
                                <w:sz w:val="18"/>
                                <w:szCs w:val="18"/>
                              </w:rPr>
                              <w:t>-sciences Indonesia (RAID) (‘crowding in’).  Part of their strategy is to offer the input in a smaller container (50mL) than that offered by Syngenta (250mL) so that smaller mango producers can afford the inputs.  At the same time, farmers renting their mango trees to collectors have increased their annual fee by 30% to around IDR200</w:t>
                            </w:r>
                            <w:proofErr w:type="gramStart"/>
                            <w:r w:rsidRPr="00C13C23">
                              <w:rPr>
                                <w:sz w:val="18"/>
                                <w:szCs w:val="18"/>
                              </w:rPr>
                              <w:t>,000</w:t>
                            </w:r>
                            <w:proofErr w:type="gramEnd"/>
                            <w:r w:rsidRPr="00C13C23">
                              <w:rPr>
                                <w:sz w:val="18"/>
                                <w:szCs w:val="18"/>
                              </w:rPr>
                              <w:t xml:space="preserve"> per tree. </w:t>
                            </w:r>
                          </w:p>
                          <w:p w14:paraId="3B7C0F28" w14:textId="77777777" w:rsidR="00243660" w:rsidRPr="00C13C23" w:rsidRDefault="00243660" w:rsidP="006B4285">
                            <w:pPr>
                              <w:rPr>
                                <w:sz w:val="18"/>
                                <w:szCs w:val="18"/>
                              </w:rPr>
                            </w:pPr>
                            <w:r w:rsidRPr="00C13C23">
                              <w:rPr>
                                <w:sz w:val="18"/>
                                <w:szCs w:val="18"/>
                              </w:rPr>
                              <w:t xml:space="preserve">• </w:t>
                            </w:r>
                            <w:r w:rsidRPr="00C13C23">
                              <w:rPr>
                                <w:b/>
                                <w:sz w:val="18"/>
                                <w:szCs w:val="18"/>
                              </w:rPr>
                              <w:t xml:space="preserve">Respond </w:t>
                            </w:r>
                            <w:r w:rsidRPr="00C13C23">
                              <w:rPr>
                                <w:sz w:val="18"/>
                                <w:szCs w:val="18"/>
                              </w:rPr>
                              <w:t xml:space="preserve">– In 2016 other market actors supported adoption of the innovation by mango farmers.  For example, one collector/trader in </w:t>
                            </w:r>
                            <w:proofErr w:type="spellStart"/>
                            <w:r w:rsidRPr="00C13C23">
                              <w:rPr>
                                <w:sz w:val="18"/>
                                <w:szCs w:val="18"/>
                              </w:rPr>
                              <w:t>Pasuruan</w:t>
                            </w:r>
                            <w:proofErr w:type="spellEnd"/>
                            <w:r w:rsidRPr="00C13C23">
                              <w:rPr>
                                <w:sz w:val="18"/>
                                <w:szCs w:val="18"/>
                              </w:rPr>
                              <w:t xml:space="preserve"> District now provides input-finance to farmers he trusts so they can adopt the innovation and then sell their off-season production to him. </w:t>
                            </w:r>
                          </w:p>
                          <w:p w14:paraId="215E5184" w14:textId="77777777" w:rsidR="00243660" w:rsidRPr="00C13C23" w:rsidRDefault="00243660" w:rsidP="006B4285">
                            <w:pPr>
                              <w:rPr>
                                <w:sz w:val="18"/>
                                <w:szCs w:val="18"/>
                              </w:rPr>
                            </w:pPr>
                            <w:r w:rsidRPr="00C13C23">
                              <w:rPr>
                                <w:sz w:val="18"/>
                                <w:szCs w:val="18"/>
                              </w:rPr>
                              <w:t>In 2017 and 2018 PRISMA will work with Syngenta and RAID to target the 200,000 mango producers in East Java and their collectors and input retailers with a social-media campaign and series of targeted expos and field days to facilitate rapid scale-up.  All participants have an incentive to sustain this change beyond the life of PRISMA.</w:t>
                            </w:r>
                          </w:p>
                          <w:p w14:paraId="3A6A0294" w14:textId="77777777" w:rsidR="00243660" w:rsidRDefault="00243660" w:rsidP="006B42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pt;margin-top:91.1pt;width:477.5pt;height:482.7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" fillcolor="#b4c6e7 [1300]">
                <v:textbox>
                  <w:txbxContent>
                    <w:p w14:paraId="4FF3B978" w14:textId="717E7392" w:rsidR="00243660" w:rsidRDefault="00243660" w:rsidP="006B4285">
                      <w:r>
                        <w:rPr>
                          <w:rFonts w:cs="Arial"/>
                          <w:b/>
                        </w:rPr>
                        <w:t>Box 4</w:t>
                      </w:r>
                      <w:r w:rsidRPr="00D1669B">
                        <w:rPr>
                          <w:rFonts w:cs="Arial"/>
                          <w:b/>
                        </w:rPr>
                        <w:t xml:space="preserve">. </w:t>
                      </w:r>
                      <w:r>
                        <w:rPr>
                          <w:rFonts w:cs="Arial"/>
                          <w:b/>
                        </w:rPr>
                        <w:t>Stimulating Systemic Change to the Mango Sector in East Java</w:t>
                      </w:r>
                    </w:p>
                    <w:p w14:paraId="541F1333" w14:textId="77777777" w:rsidR="00243660" w:rsidRPr="00C13C23" w:rsidRDefault="00243660" w:rsidP="006B4285">
                      <w:pPr>
                        <w:rPr>
                          <w:sz w:val="18"/>
                          <w:szCs w:val="18"/>
                        </w:rPr>
                      </w:pPr>
                      <w:r w:rsidRPr="00C13C23">
                        <w:rPr>
                          <w:sz w:val="18"/>
                          <w:szCs w:val="18"/>
                        </w:rPr>
                        <w:t xml:space="preserve">Indonesia is the fourth largest mango producer globally, producing 2.4 million tons in 2014. Mango is the largest fruit crop in Indonesia, but production is highly seasonal.  Since off-season prices can be up to four times higher, early flowering technology offers an off-season production opportunity to improve farmer and trader incomes. </w:t>
                      </w:r>
                    </w:p>
                    <w:p w14:paraId="473066DD" w14:textId="55A4A89E" w:rsidR="00243660" w:rsidRPr="00C13C23" w:rsidRDefault="00243660" w:rsidP="006B4285">
                      <w:pPr>
                        <w:rPr>
                          <w:sz w:val="18"/>
                          <w:szCs w:val="18"/>
                        </w:rPr>
                      </w:pPr>
                      <w:r w:rsidRPr="00C13C23">
                        <w:rPr>
                          <w:sz w:val="18"/>
                          <w:szCs w:val="18"/>
                        </w:rPr>
                        <w:t>East Java dominates mango production in Indonesia, accounting for approximately one-third of national production. PRISMA identified a market opportunity to stimulate mango production during the off-season when prices are particularly high.  Starting in September 2014 in East Java and NTB, PRISMA worked with collectors and an input supplier (PT Syngenta Indonesia) to introduce early flowering technology and good practice mango management.  After less than two years, the results attributable to PRISMA in East Java include: 4,438 households with measured increase in income (of which 20% poor); private sector co-investment of AUD210</w:t>
                      </w:r>
                      <w:proofErr w:type="gramStart"/>
                      <w:r w:rsidRPr="00C13C23">
                        <w:rPr>
                          <w:sz w:val="18"/>
                          <w:szCs w:val="18"/>
                        </w:rPr>
                        <w:t>,000</w:t>
                      </w:r>
                      <w:proofErr w:type="gramEnd"/>
                      <w:r w:rsidRPr="00C13C23">
                        <w:rPr>
                          <w:sz w:val="18"/>
                          <w:szCs w:val="18"/>
                        </w:rPr>
                        <w:t xml:space="preserve"> (76% leverage of the DFAT investment); and measured net attributable income improvement of 24% (in total IDR8.5 billion in 18 months). </w:t>
                      </w:r>
                    </w:p>
                    <w:p w14:paraId="26E7163C" w14:textId="77777777" w:rsidR="00243660" w:rsidRPr="00C13C23" w:rsidRDefault="00243660" w:rsidP="006B4285">
                      <w:pPr>
                        <w:rPr>
                          <w:sz w:val="18"/>
                          <w:szCs w:val="18"/>
                        </w:rPr>
                      </w:pPr>
                      <w:r w:rsidRPr="00C13C23">
                        <w:rPr>
                          <w:sz w:val="18"/>
                          <w:szCs w:val="18"/>
                        </w:rPr>
                        <w:t xml:space="preserve">This mango intervention is a good example of market development taking change to scale: </w:t>
                      </w:r>
                    </w:p>
                    <w:p w14:paraId="0A4CCF7F" w14:textId="21F29EEE" w:rsidR="00243660" w:rsidRPr="00C13C23" w:rsidRDefault="00243660" w:rsidP="006B4285">
                      <w:pPr>
                        <w:rPr>
                          <w:sz w:val="18"/>
                          <w:szCs w:val="18"/>
                        </w:rPr>
                      </w:pPr>
                      <w:r w:rsidRPr="00C13C23">
                        <w:rPr>
                          <w:sz w:val="18"/>
                          <w:szCs w:val="18"/>
                        </w:rPr>
                        <w:t xml:space="preserve">• </w:t>
                      </w:r>
                      <w:r w:rsidRPr="00C13C23">
                        <w:rPr>
                          <w:b/>
                          <w:sz w:val="18"/>
                          <w:szCs w:val="18"/>
                        </w:rPr>
                        <w:t>Adopt</w:t>
                      </w:r>
                      <w:r w:rsidRPr="00C13C23">
                        <w:rPr>
                          <w:sz w:val="18"/>
                          <w:szCs w:val="18"/>
                        </w:rPr>
                        <w:t xml:space="preserve"> – Syngenta and PRISMA introduced mango collectors and lead farmers to early flowering technology and good practices through targeted farmer field days and expos.  Field agronomists financed by Syngenta and PRISMA facilitated demonstration plots (“seeing </w:t>
                      </w:r>
                      <w:proofErr w:type="gramStart"/>
                      <w:r w:rsidRPr="00C13C23">
                        <w:rPr>
                          <w:sz w:val="18"/>
                          <w:szCs w:val="18"/>
                        </w:rPr>
                        <w:t>is believing</w:t>
                      </w:r>
                      <w:proofErr w:type="gramEnd"/>
                      <w:r w:rsidRPr="00C13C23">
                        <w:rPr>
                          <w:sz w:val="18"/>
                          <w:szCs w:val="18"/>
                        </w:rPr>
                        <w:t xml:space="preserve">”) and targeted information materials.  Over two </w:t>
                      </w:r>
                      <w:proofErr w:type="gramStart"/>
                      <w:r w:rsidRPr="00C13C23">
                        <w:rPr>
                          <w:sz w:val="18"/>
                          <w:szCs w:val="18"/>
                        </w:rPr>
                        <w:t>seasons</w:t>
                      </w:r>
                      <w:proofErr w:type="gramEnd"/>
                      <w:r w:rsidRPr="00C13C23">
                        <w:rPr>
                          <w:sz w:val="18"/>
                          <w:szCs w:val="18"/>
                        </w:rPr>
                        <w:t xml:space="preserve"> collectors, lead farmers and PRISMA/Syngenta field agronomists exposed 8,497 farmers to the innovation and 5,099 households adopted it and increased their enterprise income as a result.  In 2016/17 the projected outreach is an additional 6,500 households and the net attributable increase is projected to be at least 50%. </w:t>
                      </w:r>
                    </w:p>
                    <w:p w14:paraId="3FC0EA7E" w14:textId="089855A4" w:rsidR="00243660" w:rsidRPr="00C13C23" w:rsidRDefault="00243660" w:rsidP="006B4285">
                      <w:pPr>
                        <w:rPr>
                          <w:sz w:val="18"/>
                          <w:szCs w:val="18"/>
                        </w:rPr>
                      </w:pPr>
                      <w:r w:rsidRPr="00C13C23">
                        <w:rPr>
                          <w:sz w:val="18"/>
                          <w:szCs w:val="18"/>
                        </w:rPr>
                        <w:t>•</w:t>
                      </w:r>
                      <w:r w:rsidRPr="00C13C23">
                        <w:rPr>
                          <w:b/>
                          <w:sz w:val="18"/>
                          <w:szCs w:val="18"/>
                        </w:rPr>
                        <w:t xml:space="preserve"> Adapt</w:t>
                      </w:r>
                      <w:r w:rsidRPr="00C13C23">
                        <w:rPr>
                          <w:sz w:val="18"/>
                          <w:szCs w:val="18"/>
                        </w:rPr>
                        <w:t xml:space="preserve"> – Based on early adoption results, Syngenta started including mango production and the early flowing products </w:t>
                      </w:r>
                      <w:proofErr w:type="spellStart"/>
                      <w:r w:rsidRPr="00C13C23">
                        <w:rPr>
                          <w:sz w:val="18"/>
                          <w:szCs w:val="18"/>
                        </w:rPr>
                        <w:t>Cultar</w:t>
                      </w:r>
                      <w:proofErr w:type="spellEnd"/>
                      <w:r w:rsidRPr="00C13C23">
                        <w:rPr>
                          <w:sz w:val="18"/>
                          <w:szCs w:val="18"/>
                        </w:rPr>
                        <w:t xml:space="preserve"> ® and </w:t>
                      </w:r>
                      <w:proofErr w:type="spellStart"/>
                      <w:r w:rsidRPr="00C13C23">
                        <w:rPr>
                          <w:sz w:val="18"/>
                          <w:szCs w:val="18"/>
                        </w:rPr>
                        <w:t>Amistar</w:t>
                      </w:r>
                      <w:proofErr w:type="spellEnd"/>
                      <w:r w:rsidRPr="00C13C23">
                        <w:rPr>
                          <w:sz w:val="18"/>
                          <w:szCs w:val="18"/>
                        </w:rPr>
                        <w:t xml:space="preserve"> Top ® in their 2016 business plan.  They increased imports of the active ingredient by 80% (to 1.8 tons) in 2015 and set targets for 2016 of 4.5 tons.  Syngenta also employed two additional field agronomists to focus on mango production and early flowering technology in East Java. </w:t>
                      </w:r>
                    </w:p>
                    <w:p w14:paraId="66F0B5D1" w14:textId="0E4C80F9" w:rsidR="00243660" w:rsidRPr="00C13C23" w:rsidRDefault="00243660" w:rsidP="006B4285">
                      <w:pPr>
                        <w:rPr>
                          <w:sz w:val="18"/>
                          <w:szCs w:val="18"/>
                        </w:rPr>
                      </w:pPr>
                      <w:r w:rsidRPr="00C13C23">
                        <w:rPr>
                          <w:sz w:val="18"/>
                          <w:szCs w:val="18"/>
                        </w:rPr>
                        <w:t xml:space="preserve">• </w:t>
                      </w:r>
                      <w:r w:rsidRPr="00C13C23">
                        <w:rPr>
                          <w:b/>
                          <w:sz w:val="18"/>
                          <w:szCs w:val="18"/>
                        </w:rPr>
                        <w:t>Expand</w:t>
                      </w:r>
                      <w:r w:rsidRPr="00C13C23">
                        <w:rPr>
                          <w:sz w:val="18"/>
                          <w:szCs w:val="18"/>
                        </w:rPr>
                        <w:t xml:space="preserve"> – Other members of farmer groups adopted the innovation package.  Syngenta also started to expand the offering to farmers growing other crops (e.g. dragon fruit and apples). Several competing suppliers of the inputs needed for early flowering technology are now targeting the East Java mango market, including PT Rainbow </w:t>
                      </w:r>
                      <w:proofErr w:type="spellStart"/>
                      <w:r w:rsidRPr="00C13C23">
                        <w:rPr>
                          <w:sz w:val="18"/>
                          <w:szCs w:val="18"/>
                        </w:rPr>
                        <w:t>Agri</w:t>
                      </w:r>
                      <w:proofErr w:type="spellEnd"/>
                      <w:r w:rsidRPr="00C13C23">
                        <w:rPr>
                          <w:sz w:val="18"/>
                          <w:szCs w:val="18"/>
                        </w:rPr>
                        <w:t>-sciences Indonesia (RAID) (‘crowding in’).  Part of their strategy is to offer the input in a smaller container (50mL) than that offered by Syngenta (250mL) so that smaller mango producers can afford the inputs.  At the same time, farmers renting their mango trees to collectors have increased their annual fee by 30% to around IDR200</w:t>
                      </w:r>
                      <w:proofErr w:type="gramStart"/>
                      <w:r w:rsidRPr="00C13C23">
                        <w:rPr>
                          <w:sz w:val="18"/>
                          <w:szCs w:val="18"/>
                        </w:rPr>
                        <w:t>,000</w:t>
                      </w:r>
                      <w:proofErr w:type="gramEnd"/>
                      <w:r w:rsidRPr="00C13C23">
                        <w:rPr>
                          <w:sz w:val="18"/>
                          <w:szCs w:val="18"/>
                        </w:rPr>
                        <w:t xml:space="preserve"> per tree. </w:t>
                      </w:r>
                    </w:p>
                    <w:p w14:paraId="3B7C0F28" w14:textId="77777777" w:rsidR="00243660" w:rsidRPr="00C13C23" w:rsidRDefault="00243660" w:rsidP="006B4285">
                      <w:pPr>
                        <w:rPr>
                          <w:sz w:val="18"/>
                          <w:szCs w:val="18"/>
                        </w:rPr>
                      </w:pPr>
                      <w:r w:rsidRPr="00C13C23">
                        <w:rPr>
                          <w:sz w:val="18"/>
                          <w:szCs w:val="18"/>
                        </w:rPr>
                        <w:t xml:space="preserve">• </w:t>
                      </w:r>
                      <w:r w:rsidRPr="00C13C23">
                        <w:rPr>
                          <w:b/>
                          <w:sz w:val="18"/>
                          <w:szCs w:val="18"/>
                        </w:rPr>
                        <w:t xml:space="preserve">Respond </w:t>
                      </w:r>
                      <w:r w:rsidRPr="00C13C23">
                        <w:rPr>
                          <w:sz w:val="18"/>
                          <w:szCs w:val="18"/>
                        </w:rPr>
                        <w:t xml:space="preserve">– In 2016 other market actors supported adoption of the innovation by mango farmers.  For example, one collector/trader in </w:t>
                      </w:r>
                      <w:proofErr w:type="spellStart"/>
                      <w:r w:rsidRPr="00C13C23">
                        <w:rPr>
                          <w:sz w:val="18"/>
                          <w:szCs w:val="18"/>
                        </w:rPr>
                        <w:t>Pasuruan</w:t>
                      </w:r>
                      <w:proofErr w:type="spellEnd"/>
                      <w:r w:rsidRPr="00C13C23">
                        <w:rPr>
                          <w:sz w:val="18"/>
                          <w:szCs w:val="18"/>
                        </w:rPr>
                        <w:t xml:space="preserve"> District now provides input-finance to farmers he trusts so they can adopt the innovation and then sell their off-season production to him. </w:t>
                      </w:r>
                    </w:p>
                    <w:p w14:paraId="215E5184" w14:textId="77777777" w:rsidR="00243660" w:rsidRPr="00C13C23" w:rsidRDefault="00243660" w:rsidP="006B4285">
                      <w:pPr>
                        <w:rPr>
                          <w:sz w:val="18"/>
                          <w:szCs w:val="18"/>
                        </w:rPr>
                      </w:pPr>
                      <w:r w:rsidRPr="00C13C23">
                        <w:rPr>
                          <w:sz w:val="18"/>
                          <w:szCs w:val="18"/>
                        </w:rPr>
                        <w:t>In 2017 and 2018 PRISMA will work with Syngenta and RAID to target the 200,000 mango producers in East Java and their collectors and input retailers with a social-media campaign and series of targeted expos and field days to facilitate rapid scale-up.  All participants have an incentive to sustain this change beyond the life of PRISMA.</w:t>
                      </w:r>
                    </w:p>
                    <w:p w14:paraId="3A6A0294" w14:textId="77777777" w:rsidR="00243660" w:rsidRDefault="00243660" w:rsidP="006B4285"/>
                  </w:txbxContent>
                </v:textbox>
                <w10:wrap type="square" anchorx="margin"/>
              </v:shape>
            </w:pict>
          </mc:Fallback>
        </mc:AlternateContent>
      </w:r>
      <w:r w:rsidR="008733C8" w:rsidRPr="008733C8">
        <w:rPr>
          <w:rFonts w:cstheme="minorHAnsi"/>
        </w:rPr>
        <w:t>The first two levels of sustainability have already been demonstrated in AIP-Rural and will continue to be a focus of PRISMA-2 interventions; they are the main way in which the program will achieve large-scale impact on the incomes of smallholder farming households. They</w:t>
      </w:r>
      <w:r w:rsidR="001D3321">
        <w:rPr>
          <w:rFonts w:cstheme="minorHAnsi"/>
        </w:rPr>
        <w:t xml:space="preserve"> are illustrated in Box 1, Box 4</w:t>
      </w:r>
      <w:r w:rsidR="008733C8" w:rsidRPr="008733C8">
        <w:rPr>
          <w:rFonts w:cstheme="minorHAnsi"/>
        </w:rPr>
        <w:t xml:space="preserve"> and Box </w:t>
      </w:r>
      <w:r w:rsidR="001D3321">
        <w:rPr>
          <w:rFonts w:cstheme="minorHAnsi"/>
        </w:rPr>
        <w:t>5</w:t>
      </w:r>
      <w:r w:rsidR="008733C8" w:rsidRPr="008733C8">
        <w:rPr>
          <w:rFonts w:cstheme="minorHAnsi"/>
        </w:rPr>
        <w:t xml:space="preserve">. However, there will be more emphasis </w:t>
      </w:r>
      <w:proofErr w:type="gramStart"/>
      <w:r w:rsidR="008733C8" w:rsidRPr="008733C8">
        <w:rPr>
          <w:rFonts w:cstheme="minorHAnsi"/>
        </w:rPr>
        <w:t>on level three sustainability in PRISMA-2,</w:t>
      </w:r>
      <w:proofErr w:type="gramEnd"/>
      <w:r w:rsidR="008733C8" w:rsidRPr="008733C8">
        <w:rPr>
          <w:rFonts w:cstheme="minorHAnsi"/>
        </w:rPr>
        <w:t xml:space="preserve"> as would be expected of a ten-year program.</w:t>
      </w:r>
    </w:p>
    <w:p w14:paraId="75AB6324" w14:textId="72F8E301" w:rsidR="00305EFB" w:rsidRPr="00CB15F5" w:rsidRDefault="00CB15F5" w:rsidP="007A0995">
      <w:pPr>
        <w:pStyle w:val="Heading9"/>
      </w:pPr>
      <w:r>
        <w:lastRenderedPageBreak/>
        <w:t>Policy influence</w:t>
      </w:r>
    </w:p>
    <w:p w14:paraId="3B949DDE" w14:textId="0F6F19B4" w:rsidR="00914A5E" w:rsidRDefault="00CB15F5" w:rsidP="00CD161A">
      <w:pPr>
        <w:rPr>
          <w:rFonts w:cstheme="minorHAnsi"/>
        </w:rPr>
      </w:pPr>
      <w:r>
        <w:rPr>
          <w:rFonts w:cstheme="minorHAnsi"/>
        </w:rPr>
        <w:t xml:space="preserve">PRISMA-2 will have a </w:t>
      </w:r>
      <w:r w:rsidR="00914A5E">
        <w:rPr>
          <w:rFonts w:cstheme="minorHAnsi"/>
        </w:rPr>
        <w:t>strengthened</w:t>
      </w:r>
      <w:r>
        <w:rPr>
          <w:rFonts w:cstheme="minorHAnsi"/>
        </w:rPr>
        <w:t xml:space="preserve"> focus on influencing wider policy change in Indonesia’s agriculture business enabling environment. It will do so through equipping decision makers (</w:t>
      </w:r>
      <w:proofErr w:type="spellStart"/>
      <w:r>
        <w:rPr>
          <w:rFonts w:cstheme="minorHAnsi"/>
        </w:rPr>
        <w:t>eg</w:t>
      </w:r>
      <w:proofErr w:type="spellEnd"/>
      <w:r>
        <w:rPr>
          <w:rFonts w:cstheme="minorHAnsi"/>
        </w:rPr>
        <w:t>. national and provincial government) and influencers (</w:t>
      </w:r>
      <w:proofErr w:type="spellStart"/>
      <w:r>
        <w:rPr>
          <w:rFonts w:cstheme="minorHAnsi"/>
        </w:rPr>
        <w:t>eg</w:t>
      </w:r>
      <w:proofErr w:type="spellEnd"/>
      <w:r>
        <w:rPr>
          <w:rFonts w:cstheme="minorHAnsi"/>
        </w:rPr>
        <w:t xml:space="preserve">. think tanks, businesses) with evidence from the </w:t>
      </w:r>
      <w:r w:rsidR="00ED7AA6">
        <w:rPr>
          <w:rFonts w:cstheme="minorHAnsi"/>
        </w:rPr>
        <w:t>P</w:t>
      </w:r>
      <w:r>
        <w:rPr>
          <w:rFonts w:cstheme="minorHAnsi"/>
        </w:rPr>
        <w:t xml:space="preserve">rogram to support </w:t>
      </w:r>
      <w:r w:rsidR="00E533E9">
        <w:rPr>
          <w:rFonts w:cstheme="minorHAnsi"/>
        </w:rPr>
        <w:t>the development of positive food and agriculture policies</w:t>
      </w:r>
      <w:r>
        <w:rPr>
          <w:rFonts w:cstheme="minorHAnsi"/>
        </w:rPr>
        <w:t>.</w:t>
      </w:r>
    </w:p>
    <w:p w14:paraId="37B82280" w14:textId="49384087" w:rsidR="00CD161A" w:rsidRDefault="00CD161A" w:rsidP="00483539">
      <w:pPr>
        <w:rPr>
          <w:rFonts w:cstheme="minorHAnsi"/>
        </w:rPr>
      </w:pPr>
      <w:r w:rsidRPr="00CA5BDC">
        <w:rPr>
          <w:rFonts w:cstheme="minorHAnsi"/>
        </w:rPr>
        <w:t xml:space="preserve">DFAT engages with national government and other national-level organisations </w:t>
      </w:r>
      <w:r>
        <w:rPr>
          <w:rFonts w:cstheme="minorHAnsi"/>
        </w:rPr>
        <w:t>on policy issues to support</w:t>
      </w:r>
      <w:r w:rsidRPr="00CA5BDC">
        <w:rPr>
          <w:rFonts w:cstheme="minorHAnsi"/>
        </w:rPr>
        <w:t xml:space="preserve"> mutually beneficial outcomes in line with Australia’s national interests as well as Indonesia</w:t>
      </w:r>
      <w:r>
        <w:rPr>
          <w:rFonts w:cstheme="minorHAnsi"/>
        </w:rPr>
        <w:t>n</w:t>
      </w:r>
      <w:r w:rsidRPr="00CA5BDC">
        <w:rPr>
          <w:rFonts w:cstheme="minorHAnsi"/>
        </w:rPr>
        <w:t xml:space="preserve"> priorities. Australia’s portfolio of aid programs, including</w:t>
      </w:r>
      <w:r>
        <w:rPr>
          <w:rFonts w:cstheme="minorHAnsi"/>
        </w:rPr>
        <w:t xml:space="preserve"> AIPEG/AI-ECO,</w:t>
      </w:r>
      <w:r w:rsidRPr="00CA5BDC">
        <w:rPr>
          <w:rFonts w:cstheme="minorHAnsi"/>
        </w:rPr>
        <w:t xml:space="preserve"> </w:t>
      </w:r>
      <w:r>
        <w:rPr>
          <w:rFonts w:cstheme="minorHAnsi"/>
        </w:rPr>
        <w:t>KSI,</w:t>
      </w:r>
      <w:r w:rsidRPr="00CA5BDC">
        <w:rPr>
          <w:rFonts w:cstheme="minorHAnsi"/>
        </w:rPr>
        <w:t xml:space="preserve"> KOMPAK, and MAHKOTA, are designed to support evidence-based policy changes in line with Indonesia’s economic and poverty reduction agenda. PRISMA-2 will contribute to DFAT’s policy agenda</w:t>
      </w:r>
      <w:r w:rsidR="00914A5E">
        <w:rPr>
          <w:rFonts w:cstheme="minorHAnsi"/>
        </w:rPr>
        <w:t xml:space="preserve"> on specific issues</w:t>
      </w:r>
      <w:r w:rsidRPr="00CA5BDC">
        <w:rPr>
          <w:rFonts w:cstheme="minorHAnsi"/>
        </w:rPr>
        <w:t xml:space="preserve"> wherever possible, through its expertise, evidence and networks. These contributions will be guided by clear influencing strategies and division of labour between DFAT </w:t>
      </w:r>
      <w:r>
        <w:rPr>
          <w:rFonts w:cstheme="minorHAnsi"/>
        </w:rPr>
        <w:t>staff</w:t>
      </w:r>
      <w:r w:rsidRPr="00CA5BDC">
        <w:rPr>
          <w:rFonts w:cstheme="minorHAnsi"/>
        </w:rPr>
        <w:t>, other DFAT-funded initiatives, and PRISMA-2.</w:t>
      </w:r>
      <w:r>
        <w:rPr>
          <w:rFonts w:cstheme="minorHAnsi"/>
        </w:rPr>
        <w:t xml:space="preserve"> </w:t>
      </w:r>
    </w:p>
    <w:p w14:paraId="1DE223B3" w14:textId="3439D7BF" w:rsidR="00CB15F5" w:rsidRDefault="00CB15F5" w:rsidP="00483539">
      <w:pPr>
        <w:rPr>
          <w:rFonts w:cstheme="minorHAnsi"/>
        </w:rPr>
      </w:pPr>
      <w:r>
        <w:rPr>
          <w:rFonts w:cstheme="minorHAnsi"/>
        </w:rPr>
        <w:t>At the national level, DFAT and BAPPENAS will take the lead in disseminating evidence to support policies that promote food security</w:t>
      </w:r>
      <w:r w:rsidR="00CD161A">
        <w:rPr>
          <w:rFonts w:cstheme="minorHAnsi"/>
        </w:rPr>
        <w:t>,</w:t>
      </w:r>
      <w:r>
        <w:rPr>
          <w:rFonts w:cstheme="minorHAnsi"/>
        </w:rPr>
        <w:t xml:space="preserve"> including by reducing food price volatili</w:t>
      </w:r>
      <w:r w:rsidR="008325D1">
        <w:rPr>
          <w:rFonts w:cstheme="minorHAnsi"/>
        </w:rPr>
        <w:t>ty</w:t>
      </w:r>
      <w:r w:rsidR="00686632">
        <w:rPr>
          <w:rFonts w:cstheme="minorHAnsi"/>
        </w:rPr>
        <w:t>, increasing agricultural productivity</w:t>
      </w:r>
      <w:r w:rsidR="00DD426E">
        <w:rPr>
          <w:rFonts w:cstheme="minorHAnsi"/>
        </w:rPr>
        <w:t>,</w:t>
      </w:r>
      <w:r w:rsidR="00686632">
        <w:rPr>
          <w:rFonts w:cstheme="minorHAnsi"/>
        </w:rPr>
        <w:t xml:space="preserve"> </w:t>
      </w:r>
      <w:r w:rsidR="008325D1">
        <w:rPr>
          <w:rFonts w:cstheme="minorHAnsi"/>
        </w:rPr>
        <w:t xml:space="preserve">and </w:t>
      </w:r>
      <w:r w:rsidR="00686632">
        <w:rPr>
          <w:rFonts w:cstheme="minorHAnsi"/>
        </w:rPr>
        <w:t>creating</w:t>
      </w:r>
      <w:r w:rsidR="008325D1">
        <w:rPr>
          <w:rFonts w:cstheme="minorHAnsi"/>
        </w:rPr>
        <w:t xml:space="preserve"> more open and competitive markets. Strategies could include commissioning research or policy papers, presenting PRISMA-2 evidence to line ministries, or </w:t>
      </w:r>
      <w:r w:rsidR="00914A5E">
        <w:rPr>
          <w:rFonts w:cstheme="minorHAnsi"/>
        </w:rPr>
        <w:t xml:space="preserve">forming ‘coalitions’ </w:t>
      </w:r>
      <w:r w:rsidR="008325D1">
        <w:rPr>
          <w:rFonts w:cstheme="minorHAnsi"/>
        </w:rPr>
        <w:t xml:space="preserve">with </w:t>
      </w:r>
      <w:r w:rsidR="00914A5E">
        <w:rPr>
          <w:rFonts w:cstheme="minorHAnsi"/>
        </w:rPr>
        <w:t xml:space="preserve">other DFAT programs, think tanks or businesses </w:t>
      </w:r>
      <w:r w:rsidR="008325D1">
        <w:rPr>
          <w:rFonts w:cstheme="minorHAnsi"/>
        </w:rPr>
        <w:t xml:space="preserve">on specific issues. </w:t>
      </w:r>
      <w:r w:rsidR="004D6DEF">
        <w:rPr>
          <w:rFonts w:cstheme="minorHAnsi"/>
        </w:rPr>
        <w:t xml:space="preserve">For example, there may be opportunity to collaborate with KOMPAK to influence more strategic Dana </w:t>
      </w:r>
      <w:proofErr w:type="spellStart"/>
      <w:r w:rsidR="004D6DEF">
        <w:rPr>
          <w:rFonts w:cstheme="minorHAnsi"/>
        </w:rPr>
        <w:t>Desa</w:t>
      </w:r>
      <w:proofErr w:type="spellEnd"/>
      <w:r w:rsidR="004D6DEF">
        <w:rPr>
          <w:rFonts w:cstheme="minorHAnsi"/>
        </w:rPr>
        <w:t xml:space="preserve"> spending on agriculture, with MAMPU on women’s </w:t>
      </w:r>
      <w:r w:rsidR="00E533E9">
        <w:rPr>
          <w:rFonts w:cstheme="minorHAnsi"/>
        </w:rPr>
        <w:t xml:space="preserve">rural </w:t>
      </w:r>
      <w:r w:rsidR="004D6DEF">
        <w:rPr>
          <w:rFonts w:cstheme="minorHAnsi"/>
        </w:rPr>
        <w:t xml:space="preserve">economic development, or AIPEG and MAHKOTA on agriculture subsidy reform. </w:t>
      </w:r>
      <w:r w:rsidR="00CD161A" w:rsidRPr="00B629BC">
        <w:t>PR</w:t>
      </w:r>
      <w:r w:rsidR="00CD161A">
        <w:t>ISMA-2</w:t>
      </w:r>
      <w:r w:rsidR="00CD161A" w:rsidRPr="00B629BC">
        <w:t xml:space="preserve"> will need to be responsive to DFAT and </w:t>
      </w:r>
      <w:proofErr w:type="spellStart"/>
      <w:r w:rsidR="00CD161A" w:rsidRPr="00B629BC">
        <w:t>GoI</w:t>
      </w:r>
      <w:proofErr w:type="spellEnd"/>
      <w:r w:rsidR="00CD161A" w:rsidRPr="00B629BC">
        <w:t xml:space="preserve"> requests and develop a strategic twin track approach to influencing a broader sustainable business enabling environment, both directly through its business partnerships and in a supporting function to DFAT.</w:t>
      </w:r>
    </w:p>
    <w:p w14:paraId="296D7704" w14:textId="6579E745" w:rsidR="00BD2C8B" w:rsidRPr="00CA5BDC" w:rsidRDefault="00686632" w:rsidP="00483539">
      <w:pPr>
        <w:rPr>
          <w:rFonts w:cstheme="minorHAnsi"/>
        </w:rPr>
      </w:pPr>
      <w:r>
        <w:rPr>
          <w:rFonts w:cstheme="minorHAnsi"/>
        </w:rPr>
        <w:t>PRISMA-2</w:t>
      </w:r>
      <w:r w:rsidR="008325D1">
        <w:rPr>
          <w:rFonts w:cstheme="minorHAnsi"/>
        </w:rPr>
        <w:t xml:space="preserve"> will take the lead on identifying issues that specifically hinder interventions</w:t>
      </w:r>
      <w:r w:rsidR="00914A5E">
        <w:rPr>
          <w:rFonts w:cstheme="minorHAnsi"/>
        </w:rPr>
        <w:t>,</w:t>
      </w:r>
      <w:r w:rsidR="008325D1">
        <w:rPr>
          <w:rFonts w:cstheme="minorHAnsi"/>
        </w:rPr>
        <w:t xml:space="preserve"> </w:t>
      </w:r>
      <w:r w:rsidR="00914A5E">
        <w:rPr>
          <w:rFonts w:cstheme="minorHAnsi"/>
        </w:rPr>
        <w:t>and engaging with business partners and</w:t>
      </w:r>
      <w:r w:rsidR="008325D1">
        <w:rPr>
          <w:rFonts w:cstheme="minorHAnsi"/>
        </w:rPr>
        <w:t xml:space="preserve"> </w:t>
      </w:r>
      <w:r w:rsidR="00CD161A">
        <w:rPr>
          <w:rFonts w:cstheme="minorHAnsi"/>
        </w:rPr>
        <w:t xml:space="preserve">provincial and </w:t>
      </w:r>
      <w:r w:rsidR="008325D1">
        <w:rPr>
          <w:rFonts w:cstheme="minorHAnsi"/>
        </w:rPr>
        <w:t xml:space="preserve">local government to build their awareness, understanding and support for MSD. </w:t>
      </w:r>
      <w:r w:rsidR="00BD2C8B" w:rsidRPr="00CA5BDC">
        <w:rPr>
          <w:rFonts w:cstheme="minorHAnsi"/>
        </w:rPr>
        <w:t xml:space="preserve">The Program’s distinctive value will be in its understanding of specific sectors, its relations with private sector </w:t>
      </w:r>
      <w:r w:rsidR="007858FE">
        <w:rPr>
          <w:rFonts w:cstheme="minorHAnsi"/>
        </w:rPr>
        <w:t xml:space="preserve">actors in those sectors </w:t>
      </w:r>
      <w:r w:rsidR="00BD2C8B" w:rsidRPr="00CA5BDC">
        <w:rPr>
          <w:rFonts w:cstheme="minorHAnsi"/>
        </w:rPr>
        <w:t>and the evidence it generates from its interventions that can inform decision makers. Its strategy will be to ‘influence the influencers’, i.e. it will identify stakeholders who are well-positioned to influence decision makers, and ensure that they have the right evidence and strategies to advocate for change, based on analysis and evidence from the Program’s interventions in sectors.</w:t>
      </w:r>
      <w:r w:rsidR="002E553B" w:rsidRPr="00CA5BDC">
        <w:rPr>
          <w:rFonts w:cstheme="minorHAnsi"/>
        </w:rPr>
        <w:t xml:space="preserve"> </w:t>
      </w:r>
      <w:r w:rsidR="00BD2C8B" w:rsidRPr="00CA5BDC">
        <w:rPr>
          <w:rFonts w:cstheme="minorHAnsi"/>
        </w:rPr>
        <w:t xml:space="preserve">In practice, this means that </w:t>
      </w:r>
      <w:r w:rsidR="005D461A" w:rsidRPr="00CA5BDC">
        <w:rPr>
          <w:rFonts w:cstheme="minorHAnsi"/>
        </w:rPr>
        <w:t>PRISMA-2</w:t>
      </w:r>
      <w:r w:rsidR="00BD2C8B" w:rsidRPr="00CA5BDC">
        <w:rPr>
          <w:rFonts w:cstheme="minorHAnsi"/>
        </w:rPr>
        <w:t xml:space="preserve"> will aim to influence:</w:t>
      </w:r>
    </w:p>
    <w:p w14:paraId="677B9F9B" w14:textId="222BDB4C" w:rsidR="00BD2C8B" w:rsidRPr="00CA5BDC" w:rsidRDefault="000D5D64" w:rsidP="004B220D">
      <w:pPr>
        <w:pStyle w:val="ListParagraph"/>
        <w:numPr>
          <w:ilvl w:val="0"/>
          <w:numId w:val="25"/>
        </w:numPr>
        <w:rPr>
          <w:rFonts w:cstheme="minorHAnsi"/>
        </w:rPr>
      </w:pPr>
      <w:r w:rsidRPr="00CA5BDC">
        <w:rPr>
          <w:rFonts w:cstheme="minorHAnsi"/>
          <w:i/>
        </w:rPr>
        <w:t xml:space="preserve">The </w:t>
      </w:r>
      <w:r w:rsidRPr="00CA5BDC">
        <w:rPr>
          <w:rFonts w:cstheme="minorHAnsi"/>
          <w:b/>
          <w:i/>
        </w:rPr>
        <w:t>b</w:t>
      </w:r>
      <w:r w:rsidR="002E553B" w:rsidRPr="00CA5BDC">
        <w:rPr>
          <w:rFonts w:cstheme="minorHAnsi"/>
          <w:b/>
          <w:i/>
        </w:rPr>
        <w:t>usiness</w:t>
      </w:r>
      <w:r w:rsidRPr="00CA5BDC">
        <w:rPr>
          <w:rFonts w:cstheme="minorHAnsi"/>
          <w:b/>
          <w:i/>
        </w:rPr>
        <w:t xml:space="preserve"> community</w:t>
      </w:r>
      <w:r w:rsidR="00BD2C8B" w:rsidRPr="00CA5BDC">
        <w:rPr>
          <w:rFonts w:cstheme="minorHAnsi"/>
        </w:rPr>
        <w:t xml:space="preserve"> to </w:t>
      </w:r>
      <w:r w:rsidR="002E553B" w:rsidRPr="00CA5BDC">
        <w:rPr>
          <w:rFonts w:cstheme="minorHAnsi"/>
        </w:rPr>
        <w:t xml:space="preserve">incorporate </w:t>
      </w:r>
      <w:r w:rsidR="00BD2C8B" w:rsidRPr="00CA5BDC">
        <w:rPr>
          <w:rFonts w:cstheme="minorHAnsi"/>
        </w:rPr>
        <w:t xml:space="preserve">innovative approaches </w:t>
      </w:r>
      <w:r w:rsidRPr="00CA5BDC">
        <w:rPr>
          <w:rFonts w:cstheme="minorHAnsi"/>
        </w:rPr>
        <w:t xml:space="preserve">across </w:t>
      </w:r>
      <w:r w:rsidR="00BD2C8B" w:rsidRPr="00CA5BDC">
        <w:rPr>
          <w:rFonts w:cstheme="minorHAnsi"/>
        </w:rPr>
        <w:t xml:space="preserve">their corporate structures and practices. There is an opportunity to encourage large businesses to shift away from regarding </w:t>
      </w:r>
      <w:r w:rsidR="002E25D1" w:rsidRPr="00CA5BDC">
        <w:rPr>
          <w:rFonts w:cstheme="minorHAnsi"/>
        </w:rPr>
        <w:t xml:space="preserve">their relationship with </w:t>
      </w:r>
      <w:r w:rsidR="00BD2C8B" w:rsidRPr="00CA5BDC">
        <w:rPr>
          <w:rFonts w:cstheme="minorHAnsi"/>
        </w:rPr>
        <w:t xml:space="preserve">lower income groups as a matter of philanthropy </w:t>
      </w:r>
      <w:r w:rsidR="00D067FE">
        <w:rPr>
          <w:rFonts w:cstheme="minorHAnsi"/>
        </w:rPr>
        <w:t>or</w:t>
      </w:r>
      <w:r w:rsidR="00BD2C8B" w:rsidRPr="00CA5BDC">
        <w:rPr>
          <w:rFonts w:cstheme="minorHAnsi"/>
        </w:rPr>
        <w:t xml:space="preserve"> corpo</w:t>
      </w:r>
      <w:r w:rsidR="009D174E">
        <w:rPr>
          <w:rFonts w:cstheme="minorHAnsi"/>
        </w:rPr>
        <w:t>rate social responsibility</w:t>
      </w:r>
      <w:r w:rsidR="00BD2C8B" w:rsidRPr="00CA5BDC">
        <w:rPr>
          <w:rFonts w:cstheme="minorHAnsi"/>
        </w:rPr>
        <w:t xml:space="preserve"> – </w:t>
      </w:r>
      <w:r w:rsidR="002E25D1" w:rsidRPr="00CA5BDC">
        <w:rPr>
          <w:rFonts w:cstheme="minorHAnsi"/>
        </w:rPr>
        <w:t>to one where the</w:t>
      </w:r>
      <w:r w:rsidR="00E8481B" w:rsidRPr="00CA5BDC">
        <w:rPr>
          <w:rFonts w:cstheme="minorHAnsi"/>
        </w:rPr>
        <w:t>y</w:t>
      </w:r>
      <w:r w:rsidR="002E25D1" w:rsidRPr="00CA5BDC">
        <w:rPr>
          <w:rFonts w:cstheme="minorHAnsi"/>
        </w:rPr>
        <w:t xml:space="preserve"> </w:t>
      </w:r>
      <w:r w:rsidR="00BD2C8B" w:rsidRPr="00CA5BDC">
        <w:rPr>
          <w:rFonts w:cstheme="minorHAnsi"/>
        </w:rPr>
        <w:t xml:space="preserve">recognise the significant commercial opportunities in serving these </w:t>
      </w:r>
      <w:r w:rsidR="002E25D1" w:rsidRPr="00CA5BDC">
        <w:rPr>
          <w:rFonts w:cstheme="minorHAnsi"/>
        </w:rPr>
        <w:t xml:space="preserve">market segments </w:t>
      </w:r>
      <w:r w:rsidR="00BD2C8B" w:rsidRPr="00CA5BDC">
        <w:rPr>
          <w:rFonts w:cstheme="minorHAnsi"/>
        </w:rPr>
        <w:t xml:space="preserve">better. The </w:t>
      </w:r>
      <w:r w:rsidR="009D174E">
        <w:rPr>
          <w:rFonts w:cstheme="minorHAnsi"/>
        </w:rPr>
        <w:t>P</w:t>
      </w:r>
      <w:r w:rsidR="00BD2C8B" w:rsidRPr="00CA5BDC">
        <w:rPr>
          <w:rFonts w:cstheme="minorHAnsi"/>
        </w:rPr>
        <w:t xml:space="preserve">rogram will work with other organisations that inform corporate policies and practices, such as consultants and business schools. Corporates </w:t>
      </w:r>
      <w:r w:rsidRPr="00CA5BDC">
        <w:rPr>
          <w:rFonts w:cstheme="minorHAnsi"/>
        </w:rPr>
        <w:t xml:space="preserve">in turn </w:t>
      </w:r>
      <w:r w:rsidR="00BD2C8B" w:rsidRPr="00CA5BDC">
        <w:rPr>
          <w:rFonts w:cstheme="minorHAnsi"/>
        </w:rPr>
        <w:t xml:space="preserve">can be </w:t>
      </w:r>
      <w:r w:rsidRPr="00CA5BDC">
        <w:rPr>
          <w:rFonts w:cstheme="minorHAnsi"/>
        </w:rPr>
        <w:t xml:space="preserve">a </w:t>
      </w:r>
      <w:r w:rsidR="00BD2C8B" w:rsidRPr="00CA5BDC">
        <w:rPr>
          <w:rFonts w:cstheme="minorHAnsi"/>
        </w:rPr>
        <w:t xml:space="preserve">powerful </w:t>
      </w:r>
      <w:r w:rsidRPr="00CA5BDC">
        <w:rPr>
          <w:rFonts w:cstheme="minorHAnsi"/>
        </w:rPr>
        <w:t>influence on</w:t>
      </w:r>
      <w:r w:rsidR="00BD2C8B" w:rsidRPr="00CA5BDC">
        <w:rPr>
          <w:rFonts w:cstheme="minorHAnsi"/>
        </w:rPr>
        <w:t xml:space="preserve"> government, either individually or through represen</w:t>
      </w:r>
      <w:r w:rsidR="00D04C54" w:rsidRPr="00CA5BDC">
        <w:rPr>
          <w:rFonts w:cstheme="minorHAnsi"/>
        </w:rPr>
        <w:t xml:space="preserve">tative bodies, such as </w:t>
      </w:r>
      <w:proofErr w:type="spellStart"/>
      <w:r w:rsidR="00D04C54" w:rsidRPr="00CA5BDC">
        <w:rPr>
          <w:rFonts w:cstheme="minorHAnsi"/>
        </w:rPr>
        <w:t>PISAgro</w:t>
      </w:r>
      <w:proofErr w:type="spellEnd"/>
      <w:r w:rsidR="00D04C54" w:rsidRPr="00CA5BDC">
        <w:rPr>
          <w:rFonts w:cstheme="minorHAnsi"/>
        </w:rPr>
        <w:t>.</w:t>
      </w:r>
    </w:p>
    <w:p w14:paraId="2125D353" w14:textId="7FD9508F" w:rsidR="00BD2C8B" w:rsidRPr="00F35582" w:rsidRDefault="002E553B" w:rsidP="00483539">
      <w:pPr>
        <w:pStyle w:val="ListParagraph"/>
        <w:numPr>
          <w:ilvl w:val="0"/>
          <w:numId w:val="25"/>
        </w:numPr>
        <w:rPr>
          <w:rFonts w:cstheme="minorHAnsi"/>
        </w:rPr>
      </w:pPr>
      <w:r w:rsidRPr="00CA5BDC">
        <w:rPr>
          <w:rFonts w:cstheme="minorHAnsi"/>
          <w:b/>
          <w:i/>
        </w:rPr>
        <w:t>O</w:t>
      </w:r>
      <w:r w:rsidR="00BD2C8B" w:rsidRPr="00CA5BDC">
        <w:rPr>
          <w:rFonts w:cstheme="minorHAnsi"/>
          <w:b/>
          <w:i/>
        </w:rPr>
        <w:t>ther stakeholders</w:t>
      </w:r>
      <w:r w:rsidR="00BD2C8B" w:rsidRPr="00CA5BDC">
        <w:rPr>
          <w:rFonts w:cstheme="minorHAnsi"/>
        </w:rPr>
        <w:t xml:space="preserve"> </w:t>
      </w:r>
      <w:r w:rsidR="000D5D64" w:rsidRPr="00CA5BDC">
        <w:rPr>
          <w:rFonts w:cstheme="minorHAnsi"/>
        </w:rPr>
        <w:t xml:space="preserve">to adopt </w:t>
      </w:r>
      <w:r w:rsidR="009D174E">
        <w:rPr>
          <w:rFonts w:cstheme="minorHAnsi"/>
        </w:rPr>
        <w:t>MSD</w:t>
      </w:r>
      <w:r w:rsidR="000D5D64" w:rsidRPr="00CA5BDC">
        <w:rPr>
          <w:rFonts w:cstheme="minorHAnsi"/>
        </w:rPr>
        <w:t xml:space="preserve"> practices in pursuit of their goals. For instance, some of the stakeholders that </w:t>
      </w:r>
      <w:r w:rsidR="009D174E">
        <w:rPr>
          <w:rFonts w:cstheme="minorHAnsi"/>
        </w:rPr>
        <w:t>the P</w:t>
      </w:r>
      <w:r w:rsidR="000D5D64" w:rsidRPr="00CA5BDC">
        <w:rPr>
          <w:rFonts w:cstheme="minorHAnsi"/>
        </w:rPr>
        <w:t xml:space="preserve">rogram </w:t>
      </w:r>
      <w:r w:rsidR="00E73991" w:rsidRPr="00CA5BDC">
        <w:rPr>
          <w:rFonts w:cstheme="minorHAnsi"/>
        </w:rPr>
        <w:t xml:space="preserve">will </w:t>
      </w:r>
      <w:r w:rsidR="000D5D64" w:rsidRPr="00CA5BDC">
        <w:rPr>
          <w:rFonts w:cstheme="minorHAnsi"/>
        </w:rPr>
        <w:t>work with in a sector</w:t>
      </w:r>
      <w:r w:rsidRPr="00CA5BDC">
        <w:rPr>
          <w:rFonts w:cstheme="minorHAnsi"/>
        </w:rPr>
        <w:t xml:space="preserve"> (</w:t>
      </w:r>
      <w:r w:rsidR="000D5D64" w:rsidRPr="00CA5BDC">
        <w:rPr>
          <w:rFonts w:cstheme="minorHAnsi"/>
        </w:rPr>
        <w:t xml:space="preserve">i.e. </w:t>
      </w:r>
      <w:r w:rsidR="00BD2C8B" w:rsidRPr="00CA5BDC">
        <w:rPr>
          <w:rFonts w:cstheme="minorHAnsi"/>
        </w:rPr>
        <w:t xml:space="preserve">those </w:t>
      </w:r>
      <w:r w:rsidR="000D5D64" w:rsidRPr="00CA5BDC">
        <w:rPr>
          <w:rFonts w:cstheme="minorHAnsi"/>
        </w:rPr>
        <w:t>responsible for</w:t>
      </w:r>
      <w:r w:rsidR="00BD2C8B" w:rsidRPr="00CA5BDC">
        <w:rPr>
          <w:rFonts w:cstheme="minorHAnsi"/>
        </w:rPr>
        <w:t xml:space="preserve"> </w:t>
      </w:r>
      <w:r w:rsidR="000D5D64" w:rsidRPr="00CA5BDC">
        <w:rPr>
          <w:rFonts w:cstheme="minorHAnsi"/>
        </w:rPr>
        <w:t xml:space="preserve">specific </w:t>
      </w:r>
      <w:r w:rsidR="00BD2C8B" w:rsidRPr="00CA5BDC">
        <w:rPr>
          <w:rFonts w:cstheme="minorHAnsi"/>
        </w:rPr>
        <w:t>supporting functions and rules for a sector at a district, provincial or national level</w:t>
      </w:r>
      <w:r w:rsidRPr="00CA5BDC">
        <w:rPr>
          <w:rFonts w:cstheme="minorHAnsi"/>
        </w:rPr>
        <w:t>)</w:t>
      </w:r>
      <w:r w:rsidR="000D5D64" w:rsidRPr="00CA5BDC">
        <w:rPr>
          <w:rFonts w:cstheme="minorHAnsi"/>
        </w:rPr>
        <w:t xml:space="preserve"> usually have a wider mandate</w:t>
      </w:r>
      <w:r w:rsidR="00BD2C8B" w:rsidRPr="00CA5BDC">
        <w:rPr>
          <w:rFonts w:cstheme="minorHAnsi"/>
        </w:rPr>
        <w:t xml:space="preserve">. Having experienced the advantages of working in different ways with the </w:t>
      </w:r>
      <w:r w:rsidR="00E73991" w:rsidRPr="00CA5BDC">
        <w:rPr>
          <w:rFonts w:cstheme="minorHAnsi"/>
        </w:rPr>
        <w:t>p</w:t>
      </w:r>
      <w:r w:rsidR="00BD2C8B" w:rsidRPr="00CA5BDC">
        <w:rPr>
          <w:rFonts w:cstheme="minorHAnsi"/>
        </w:rPr>
        <w:t>rogram, these organisations can be supported to promulgate these lessons more broadly, e.g. within government systems, the academic system or civil society organis</w:t>
      </w:r>
      <w:r w:rsidR="00D04C54" w:rsidRPr="00CA5BDC">
        <w:rPr>
          <w:rFonts w:cstheme="minorHAnsi"/>
        </w:rPr>
        <w:t xml:space="preserve">ations, such as </w:t>
      </w:r>
      <w:r w:rsidR="002E25D1" w:rsidRPr="00CA5BDC">
        <w:rPr>
          <w:rFonts w:cstheme="minorHAnsi"/>
        </w:rPr>
        <w:t xml:space="preserve">not </w:t>
      </w:r>
      <w:r w:rsidR="00243660">
        <w:rPr>
          <w:rFonts w:cstheme="minorHAnsi"/>
        </w:rPr>
        <w:t xml:space="preserve">for </w:t>
      </w:r>
      <w:r w:rsidR="002E25D1" w:rsidRPr="00CA5BDC">
        <w:rPr>
          <w:rFonts w:cstheme="minorHAnsi"/>
        </w:rPr>
        <w:t xml:space="preserve">profit organisations and </w:t>
      </w:r>
      <w:r w:rsidR="00D04C54" w:rsidRPr="00CA5BDC">
        <w:rPr>
          <w:rFonts w:cstheme="minorHAnsi"/>
        </w:rPr>
        <w:t>farmers groups.</w:t>
      </w:r>
      <w:r w:rsidR="00BD2C8B" w:rsidRPr="00CA5BDC">
        <w:rPr>
          <w:rFonts w:cstheme="minorHAnsi"/>
        </w:rPr>
        <w:t xml:space="preserve"> </w:t>
      </w:r>
      <w:r w:rsidR="000D5D64" w:rsidRPr="00CA5BDC">
        <w:rPr>
          <w:rFonts w:cstheme="minorHAnsi"/>
        </w:rPr>
        <w:t>This might include greater emphasis</w:t>
      </w:r>
      <w:r w:rsidR="00BD2C8B" w:rsidRPr="00CA5BDC">
        <w:rPr>
          <w:rFonts w:cstheme="minorHAnsi"/>
        </w:rPr>
        <w:t xml:space="preserve"> </w:t>
      </w:r>
      <w:r w:rsidR="000D5D64" w:rsidRPr="00CA5BDC">
        <w:rPr>
          <w:rFonts w:cstheme="minorHAnsi"/>
        </w:rPr>
        <w:t xml:space="preserve">on </w:t>
      </w:r>
      <w:r w:rsidR="00BD2C8B" w:rsidRPr="00CA5BDC">
        <w:rPr>
          <w:rFonts w:cstheme="minorHAnsi"/>
        </w:rPr>
        <w:t xml:space="preserve">policies, </w:t>
      </w:r>
      <w:r w:rsidR="00BD2C8B" w:rsidRPr="00CA5BDC">
        <w:rPr>
          <w:rFonts w:cstheme="minorHAnsi"/>
        </w:rPr>
        <w:lastRenderedPageBreak/>
        <w:t>regulations and actions that are more evidence-based, the adoption of innovative mechanisms for achieving public goals, such as public-private collaboration and stimulating private sector innovation and invest</w:t>
      </w:r>
      <w:r w:rsidR="004712BA">
        <w:rPr>
          <w:rFonts w:cstheme="minorHAnsi"/>
        </w:rPr>
        <w:t>ment in underdeveloped markets.</w:t>
      </w:r>
    </w:p>
    <w:p w14:paraId="037C409D" w14:textId="262EDDE8" w:rsidR="00763643" w:rsidRPr="00F35582" w:rsidRDefault="00F35582">
      <w:pPr>
        <w:rPr>
          <w:rFonts w:cstheme="minorHAnsi"/>
        </w:rPr>
      </w:pPr>
      <w:r w:rsidRPr="00D1669B">
        <w:rPr>
          <w:rFonts w:cs="Arial"/>
          <w:b/>
          <w:noProof/>
          <w:lang w:eastAsia="en-AU"/>
        </w:rPr>
        <mc:AlternateContent>
          <mc:Choice Requires="wps">
            <w:drawing>
              <wp:anchor distT="45720" distB="45720" distL="114300" distR="114300" simplePos="0" relativeHeight="251701760" behindDoc="0" locked="0" layoutInCell="1" allowOverlap="1" wp14:anchorId="3B5DB7B1" wp14:editId="6A77F576">
                <wp:simplePos x="0" y="0"/>
                <wp:positionH relativeFrom="page">
                  <wp:posOffset>737870</wp:posOffset>
                </wp:positionH>
                <wp:positionV relativeFrom="paragraph">
                  <wp:posOffset>2069465</wp:posOffset>
                </wp:positionV>
                <wp:extent cx="6178550" cy="5704840"/>
                <wp:effectExtent l="0" t="0" r="12700" b="1016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5704840"/>
                        </a:xfrm>
                        <a:prstGeom prst="rect">
                          <a:avLst/>
                        </a:prstGeom>
                        <a:solidFill>
                          <a:schemeClr val="accent1">
                            <a:lumMod val="40000"/>
                            <a:lumOff val="60000"/>
                          </a:schemeClr>
                        </a:solidFill>
                        <a:ln w="9525">
                          <a:solidFill>
                            <a:srgbClr val="000000"/>
                          </a:solidFill>
                          <a:miter lim="800000"/>
                          <a:headEnd/>
                          <a:tailEnd/>
                        </a:ln>
                      </wps:spPr>
                      <wps:txbx>
                        <w:txbxContent>
                          <w:p w14:paraId="50C77EA2" w14:textId="13A39395" w:rsidR="00243660" w:rsidRDefault="00243660" w:rsidP="00763643">
                            <w:r>
                              <w:rPr>
                                <w:rFonts w:cs="Arial"/>
                                <w:b/>
                              </w:rPr>
                              <w:t>Box 5</w:t>
                            </w:r>
                            <w:r w:rsidRPr="00D1669B">
                              <w:rPr>
                                <w:rFonts w:cs="Arial"/>
                                <w:b/>
                              </w:rPr>
                              <w:t xml:space="preserve">. </w:t>
                            </w:r>
                            <w:r>
                              <w:rPr>
                                <w:rFonts w:cs="Arial"/>
                                <w:b/>
                              </w:rPr>
                              <w:t>Influencing Regulations in the Shallot Sector</w:t>
                            </w:r>
                          </w:p>
                          <w:p w14:paraId="1051DE27" w14:textId="77777777" w:rsidR="00243660" w:rsidRPr="00973BE5" w:rsidRDefault="00243660" w:rsidP="00763643">
                            <w:pPr>
                              <w:jc w:val="both"/>
                              <w:rPr>
                                <w:sz w:val="18"/>
                                <w:szCs w:val="18"/>
                              </w:rPr>
                            </w:pPr>
                            <w:r w:rsidRPr="00973BE5">
                              <w:rPr>
                                <w:sz w:val="18"/>
                                <w:szCs w:val="18"/>
                              </w:rPr>
                              <w:t xml:space="preserve">AIP-Rural </w:t>
                            </w:r>
                            <w:r>
                              <w:rPr>
                                <w:sz w:val="18"/>
                                <w:szCs w:val="18"/>
                              </w:rPr>
                              <w:t>acts</w:t>
                            </w:r>
                            <w:r w:rsidRPr="00973BE5">
                              <w:rPr>
                                <w:sz w:val="18"/>
                                <w:szCs w:val="18"/>
                              </w:rPr>
                              <w:t xml:space="preserve"> opportunistically </w:t>
                            </w:r>
                            <w:r>
                              <w:rPr>
                                <w:sz w:val="18"/>
                                <w:szCs w:val="18"/>
                              </w:rPr>
                              <w:t>to influence policy makers to support a more competitive and open business enabling environment in Indonesia’s agriculture sector</w:t>
                            </w:r>
                            <w:r w:rsidRPr="00973BE5">
                              <w:rPr>
                                <w:sz w:val="18"/>
                                <w:szCs w:val="18"/>
                              </w:rPr>
                              <w:t xml:space="preserve">. When </w:t>
                            </w:r>
                            <w:r>
                              <w:rPr>
                                <w:sz w:val="18"/>
                                <w:szCs w:val="18"/>
                              </w:rPr>
                              <w:t xml:space="preserve">PRISMA </w:t>
                            </w:r>
                            <w:proofErr w:type="gramStart"/>
                            <w:r>
                              <w:rPr>
                                <w:sz w:val="18"/>
                                <w:szCs w:val="18"/>
                              </w:rPr>
                              <w:t>staff</w:t>
                            </w:r>
                            <w:r w:rsidRPr="00973BE5">
                              <w:rPr>
                                <w:sz w:val="18"/>
                                <w:szCs w:val="18"/>
                              </w:rPr>
                              <w:t xml:space="preserve"> s</w:t>
                            </w:r>
                            <w:r>
                              <w:rPr>
                                <w:sz w:val="18"/>
                                <w:szCs w:val="18"/>
                              </w:rPr>
                              <w:t>ee</w:t>
                            </w:r>
                            <w:proofErr w:type="gramEnd"/>
                            <w:r w:rsidRPr="00973BE5">
                              <w:rPr>
                                <w:sz w:val="18"/>
                                <w:szCs w:val="18"/>
                              </w:rPr>
                              <w:t xml:space="preserve"> opportunities</w:t>
                            </w:r>
                            <w:r>
                              <w:rPr>
                                <w:sz w:val="18"/>
                                <w:szCs w:val="18"/>
                              </w:rPr>
                              <w:t xml:space="preserve"> or allies, they </w:t>
                            </w:r>
                            <w:r w:rsidRPr="00973BE5">
                              <w:rPr>
                                <w:sz w:val="18"/>
                                <w:szCs w:val="18"/>
                              </w:rPr>
                              <w:t>use their technical knowledge and networks of contacts</w:t>
                            </w:r>
                            <w:r>
                              <w:rPr>
                                <w:sz w:val="18"/>
                                <w:szCs w:val="18"/>
                              </w:rPr>
                              <w:t xml:space="preserve"> </w:t>
                            </w:r>
                            <w:r w:rsidRPr="00973BE5">
                              <w:rPr>
                                <w:sz w:val="18"/>
                                <w:szCs w:val="18"/>
                              </w:rPr>
                              <w:t>to influence change, often working in concert with market actors. It is anticipated that PRISMA</w:t>
                            </w:r>
                            <w:r>
                              <w:rPr>
                                <w:sz w:val="18"/>
                                <w:szCs w:val="18"/>
                              </w:rPr>
                              <w:t>-2</w:t>
                            </w:r>
                            <w:r w:rsidRPr="00973BE5">
                              <w:rPr>
                                <w:sz w:val="18"/>
                                <w:szCs w:val="18"/>
                              </w:rPr>
                              <w:t xml:space="preserve"> will follow a similar approach</w:t>
                            </w:r>
                            <w:r>
                              <w:rPr>
                                <w:sz w:val="18"/>
                                <w:szCs w:val="18"/>
                              </w:rPr>
                              <w:t xml:space="preserve"> in order to stimulate wider systemic change</w:t>
                            </w:r>
                            <w:r w:rsidRPr="00973BE5">
                              <w:rPr>
                                <w:sz w:val="18"/>
                                <w:szCs w:val="18"/>
                              </w:rPr>
                              <w:t>. The following case study illustrates the approach in practice.</w:t>
                            </w:r>
                          </w:p>
                          <w:p w14:paraId="2FC434B8" w14:textId="77777777" w:rsidR="00243660" w:rsidRPr="00973BE5" w:rsidRDefault="00243660" w:rsidP="00763643">
                            <w:pPr>
                              <w:jc w:val="both"/>
                              <w:rPr>
                                <w:sz w:val="18"/>
                                <w:szCs w:val="18"/>
                              </w:rPr>
                            </w:pPr>
                            <w:r w:rsidRPr="00973BE5">
                              <w:rPr>
                                <w:sz w:val="18"/>
                                <w:szCs w:val="18"/>
                              </w:rPr>
                              <w:t xml:space="preserve">More than 120,000 farmers cultivate </w:t>
                            </w:r>
                            <w:r>
                              <w:rPr>
                                <w:sz w:val="18"/>
                                <w:szCs w:val="18"/>
                              </w:rPr>
                              <w:t>s</w:t>
                            </w:r>
                            <w:r w:rsidRPr="00973BE5">
                              <w:rPr>
                                <w:sz w:val="18"/>
                                <w:szCs w:val="18"/>
                              </w:rPr>
                              <w:t xml:space="preserve">hallots, an important ingredient in Indonesian cuisine. There are many benefits for farmers if they grow shallots from seeds, but it is technically difficult, so most farmers purchase bulbs from traders or split the shallots that they harvest into smaller bulbs for planting their next crop. This results in low productivity and quality crops. AIP-Rural worked with several nurseries in Lombok and Sumbawa that specialize in growing improved shallot varieties up to the planting bulb stage, so that farmers have access to higher-yielding bulb varieties without suffering the high failure rates associated with growing bulbs from seed themselves. The private sector partner for this intervention was EWINDO, a major producer in Indonesia with more than 7,000 contract farmers. </w:t>
                            </w:r>
                          </w:p>
                          <w:p w14:paraId="15273350" w14:textId="77777777" w:rsidR="00243660" w:rsidRPr="00973BE5" w:rsidRDefault="00243660" w:rsidP="00763643">
                            <w:pPr>
                              <w:jc w:val="both"/>
                              <w:rPr>
                                <w:sz w:val="18"/>
                                <w:szCs w:val="18"/>
                              </w:rPr>
                            </w:pPr>
                            <w:r w:rsidRPr="00973BE5">
                              <w:rPr>
                                <w:sz w:val="18"/>
                                <w:szCs w:val="18"/>
                              </w:rPr>
                              <w:t>At the same time</w:t>
                            </w:r>
                            <w:r>
                              <w:rPr>
                                <w:sz w:val="18"/>
                                <w:szCs w:val="18"/>
                              </w:rPr>
                              <w:t>,</w:t>
                            </w:r>
                            <w:r w:rsidRPr="00973BE5">
                              <w:rPr>
                                <w:sz w:val="18"/>
                                <w:szCs w:val="18"/>
                              </w:rPr>
                              <w:t xml:space="preserve"> government officials in </w:t>
                            </w:r>
                            <w:proofErr w:type="spellStart"/>
                            <w:r w:rsidRPr="00973BE5">
                              <w:rPr>
                                <w:sz w:val="18"/>
                                <w:szCs w:val="18"/>
                              </w:rPr>
                              <w:t>Grobogan</w:t>
                            </w:r>
                            <w:proofErr w:type="spellEnd"/>
                            <w:r w:rsidRPr="00973BE5">
                              <w:rPr>
                                <w:sz w:val="18"/>
                                <w:szCs w:val="18"/>
                              </w:rPr>
                              <w:t xml:space="preserve">, Central Java, tried to plant EWINDO’s improved variety so that they could then distribute the bulbs free to farmers in their area. The harvest was a complete failure, so </w:t>
                            </w:r>
                            <w:r>
                              <w:rPr>
                                <w:sz w:val="18"/>
                                <w:szCs w:val="18"/>
                              </w:rPr>
                              <w:t xml:space="preserve">the </w:t>
                            </w:r>
                            <w:r w:rsidRPr="00973BE5">
                              <w:rPr>
                                <w:sz w:val="18"/>
                                <w:szCs w:val="18"/>
                              </w:rPr>
                              <w:t>government asked EWINDO to help conduct a second trial. EWINDO recommended that before this happen</w:t>
                            </w:r>
                            <w:r>
                              <w:rPr>
                                <w:sz w:val="18"/>
                                <w:szCs w:val="18"/>
                              </w:rPr>
                              <w:t>,</w:t>
                            </w:r>
                            <w:r w:rsidRPr="00973BE5">
                              <w:rPr>
                                <w:sz w:val="18"/>
                                <w:szCs w:val="18"/>
                              </w:rPr>
                              <w:t xml:space="preserve"> selected farmers and public officials visit the nurseries supported by PRISMA in Lombok to learn how they had succeeded. </w:t>
                            </w:r>
                            <w:r>
                              <w:rPr>
                                <w:sz w:val="18"/>
                                <w:szCs w:val="18"/>
                              </w:rPr>
                              <w:t>After seeing PRISMA’s interventions in action, the</w:t>
                            </w:r>
                            <w:r w:rsidRPr="00973BE5">
                              <w:rPr>
                                <w:sz w:val="18"/>
                                <w:szCs w:val="18"/>
                              </w:rPr>
                              <w:t xml:space="preserve"> government selected farmers to set up three private nurseries, using the methods they had learnt from the </w:t>
                            </w:r>
                            <w:r>
                              <w:rPr>
                                <w:sz w:val="18"/>
                                <w:szCs w:val="18"/>
                              </w:rPr>
                              <w:t>PRISMA</w:t>
                            </w:r>
                            <w:r w:rsidRPr="00973BE5">
                              <w:rPr>
                                <w:sz w:val="18"/>
                                <w:szCs w:val="18"/>
                              </w:rPr>
                              <w:t xml:space="preserve"> nurseries. Since these nurseries were private</w:t>
                            </w:r>
                            <w:r>
                              <w:rPr>
                                <w:sz w:val="18"/>
                                <w:szCs w:val="18"/>
                              </w:rPr>
                              <w:t>ly owned</w:t>
                            </w:r>
                            <w:r w:rsidRPr="00973BE5">
                              <w:rPr>
                                <w:sz w:val="18"/>
                                <w:szCs w:val="18"/>
                              </w:rPr>
                              <w:t xml:space="preserve"> and government wanted to distribute certified bulbs to their farmers, they asked the district seed certification body, BPSP, to certify the bulbs. BPSP was used to certifying seeds (rice, maize soya etc.) but had never certified a process of moving from seeds to bulbs</w:t>
                            </w:r>
                            <w:r>
                              <w:rPr>
                                <w:sz w:val="18"/>
                                <w:szCs w:val="18"/>
                              </w:rPr>
                              <w:t xml:space="preserve"> so they developed a new method</w:t>
                            </w:r>
                            <w:r w:rsidRPr="00973BE5">
                              <w:rPr>
                                <w:sz w:val="18"/>
                                <w:szCs w:val="18"/>
                              </w:rPr>
                              <w:t xml:space="preserve">.  </w:t>
                            </w:r>
                          </w:p>
                          <w:p w14:paraId="1BE84DF2" w14:textId="77777777" w:rsidR="00243660" w:rsidRPr="00973BE5" w:rsidRDefault="00243660" w:rsidP="00763643">
                            <w:pPr>
                              <w:jc w:val="both"/>
                              <w:rPr>
                                <w:sz w:val="18"/>
                                <w:szCs w:val="18"/>
                              </w:rPr>
                            </w:pPr>
                            <w:r w:rsidRPr="00973BE5">
                              <w:rPr>
                                <w:sz w:val="18"/>
                                <w:szCs w:val="18"/>
                              </w:rPr>
                              <w:t xml:space="preserve">All thirty-three district branches of BPSP travelled to </w:t>
                            </w:r>
                            <w:proofErr w:type="spellStart"/>
                            <w:r w:rsidRPr="00973BE5">
                              <w:rPr>
                                <w:sz w:val="18"/>
                                <w:szCs w:val="18"/>
                              </w:rPr>
                              <w:t>Grobogan</w:t>
                            </w:r>
                            <w:proofErr w:type="spellEnd"/>
                            <w:r w:rsidRPr="00973BE5">
                              <w:rPr>
                                <w:sz w:val="18"/>
                                <w:szCs w:val="18"/>
                              </w:rPr>
                              <w:t xml:space="preserve"> to learn </w:t>
                            </w:r>
                            <w:r>
                              <w:rPr>
                                <w:sz w:val="18"/>
                                <w:szCs w:val="18"/>
                              </w:rPr>
                              <w:t xml:space="preserve">about </w:t>
                            </w:r>
                            <w:r w:rsidRPr="00973BE5">
                              <w:rPr>
                                <w:sz w:val="18"/>
                                <w:szCs w:val="18"/>
                              </w:rPr>
                              <w:t xml:space="preserve">the new certification process. </w:t>
                            </w:r>
                            <w:r>
                              <w:rPr>
                                <w:sz w:val="18"/>
                                <w:szCs w:val="18"/>
                              </w:rPr>
                              <w:t>PRISMA also supported t</w:t>
                            </w:r>
                            <w:r w:rsidRPr="00973BE5">
                              <w:rPr>
                                <w:sz w:val="18"/>
                                <w:szCs w:val="18"/>
                              </w:rPr>
                              <w:t xml:space="preserve">hirty more private nurseries </w:t>
                            </w:r>
                            <w:r>
                              <w:rPr>
                                <w:sz w:val="18"/>
                                <w:szCs w:val="18"/>
                              </w:rPr>
                              <w:t>to be</w:t>
                            </w:r>
                            <w:r w:rsidRPr="00973BE5">
                              <w:rPr>
                                <w:sz w:val="18"/>
                                <w:szCs w:val="18"/>
                              </w:rPr>
                              <w:t xml:space="preserve"> trained in the </w:t>
                            </w:r>
                            <w:r>
                              <w:rPr>
                                <w:sz w:val="18"/>
                                <w:szCs w:val="18"/>
                              </w:rPr>
                              <w:t>PRISMA</w:t>
                            </w:r>
                            <w:r w:rsidRPr="00973BE5">
                              <w:rPr>
                                <w:sz w:val="18"/>
                                <w:szCs w:val="18"/>
                              </w:rPr>
                              <w:t xml:space="preserve"> nurseries so</w:t>
                            </w:r>
                            <w:r>
                              <w:rPr>
                                <w:sz w:val="18"/>
                                <w:szCs w:val="18"/>
                              </w:rPr>
                              <w:t xml:space="preserve"> </w:t>
                            </w:r>
                            <w:r w:rsidRPr="00973BE5">
                              <w:rPr>
                                <w:sz w:val="18"/>
                                <w:szCs w:val="18"/>
                              </w:rPr>
                              <w:t xml:space="preserve">they could be certified. This led to increased demand for EWINDO shallot seeds, which caused a </w:t>
                            </w:r>
                            <w:r>
                              <w:rPr>
                                <w:sz w:val="18"/>
                                <w:szCs w:val="18"/>
                              </w:rPr>
                              <w:t xml:space="preserve">new </w:t>
                            </w:r>
                            <w:r w:rsidRPr="00973BE5">
                              <w:rPr>
                                <w:sz w:val="18"/>
                                <w:szCs w:val="18"/>
                              </w:rPr>
                              <w:t xml:space="preserve">problem. </w:t>
                            </w:r>
                            <w:r>
                              <w:rPr>
                                <w:sz w:val="18"/>
                                <w:szCs w:val="18"/>
                              </w:rPr>
                              <w:t>The Ministry of Trade had restricted the import of h</w:t>
                            </w:r>
                            <w:r w:rsidRPr="00973BE5">
                              <w:rPr>
                                <w:sz w:val="18"/>
                                <w:szCs w:val="18"/>
                              </w:rPr>
                              <w:t>igher volumes of seed</w:t>
                            </w:r>
                            <w:r>
                              <w:rPr>
                                <w:sz w:val="18"/>
                                <w:szCs w:val="18"/>
                              </w:rPr>
                              <w:t>s</w:t>
                            </w:r>
                            <w:r w:rsidRPr="00973BE5">
                              <w:rPr>
                                <w:sz w:val="18"/>
                                <w:szCs w:val="18"/>
                              </w:rPr>
                              <w:t xml:space="preserve"> </w:t>
                            </w:r>
                            <w:r>
                              <w:rPr>
                                <w:sz w:val="18"/>
                                <w:szCs w:val="18"/>
                              </w:rPr>
                              <w:t>to encourage domestic self-sufficiency</w:t>
                            </w:r>
                            <w:r w:rsidRPr="00973BE5">
                              <w:rPr>
                                <w:sz w:val="18"/>
                                <w:szCs w:val="18"/>
                              </w:rPr>
                              <w:t>; EWINDO was informed by government that restrictions would not be lifted because consumers preferred the taste of the existing varieties and demand for new varieties was low.</w:t>
                            </w:r>
                          </w:p>
                          <w:p w14:paraId="3A02F423" w14:textId="77777777" w:rsidR="00243660" w:rsidRPr="00973BE5" w:rsidRDefault="00243660" w:rsidP="00763643">
                            <w:pPr>
                              <w:rPr>
                                <w:sz w:val="18"/>
                                <w:szCs w:val="18"/>
                              </w:rPr>
                            </w:pPr>
                            <w:r w:rsidRPr="00973BE5">
                              <w:rPr>
                                <w:sz w:val="18"/>
                                <w:szCs w:val="18"/>
                              </w:rPr>
                              <w:t xml:space="preserve">In coordination with local governments, </w:t>
                            </w:r>
                            <w:r>
                              <w:rPr>
                                <w:sz w:val="18"/>
                                <w:szCs w:val="18"/>
                              </w:rPr>
                              <w:t>PRISMA</w:t>
                            </w:r>
                            <w:r w:rsidRPr="00973BE5">
                              <w:rPr>
                                <w:sz w:val="18"/>
                                <w:szCs w:val="18"/>
                              </w:rPr>
                              <w:t xml:space="preserve"> supported EWINDO to </w:t>
                            </w:r>
                            <w:r>
                              <w:rPr>
                                <w:sz w:val="18"/>
                                <w:szCs w:val="18"/>
                              </w:rPr>
                              <w:t>undertake evidence-based advocacy</w:t>
                            </w:r>
                            <w:r w:rsidRPr="00973BE5">
                              <w:rPr>
                                <w:sz w:val="18"/>
                                <w:szCs w:val="18"/>
                              </w:rPr>
                              <w:t xml:space="preserve"> by setting up two demonstration sites targeting the Ministry of Agriculture with the core message that productivity could be enhanced by 50 % </w:t>
                            </w:r>
                            <w:r>
                              <w:rPr>
                                <w:sz w:val="18"/>
                                <w:szCs w:val="18"/>
                              </w:rPr>
                              <w:t>by using bulbs,</w:t>
                            </w:r>
                            <w:r w:rsidRPr="00973BE5">
                              <w:rPr>
                                <w:sz w:val="18"/>
                                <w:szCs w:val="18"/>
                              </w:rPr>
                              <w:t xml:space="preserve"> while meeting the tastes of Indonesian consumers. </w:t>
                            </w:r>
                            <w:r>
                              <w:rPr>
                                <w:sz w:val="18"/>
                                <w:szCs w:val="18"/>
                              </w:rPr>
                              <w:t xml:space="preserve">A Ministry of Agriculture representative was so convinced by PRISMA’s results that she issued a recommendation to the Ministry of Trade to lift the import restrictions, and </w:t>
                            </w:r>
                            <w:r w:rsidRPr="00973BE5">
                              <w:rPr>
                                <w:sz w:val="18"/>
                                <w:szCs w:val="18"/>
                              </w:rPr>
                              <w:t>EWINDO and another shallot seed importer were permitted to import as much seed as required. EWINDO’s sales of shallot seeds have now grown from 300kg to 2,000kg, and there are more than eighty nurseries in Indonesia serving 10,000 farmers with improved planting bulbs.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8.1pt;margin-top:162.95pt;width:486.5pt;height:449.2pt;z-index:251701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" fillcolor="#b4c6e7 [1300]">
                <v:textbox>
                  <w:txbxContent>
                    <w:p w14:paraId="50C77EA2" w14:textId="13A39395" w:rsidR="00243660" w:rsidRDefault="00243660" w:rsidP="00763643">
                      <w:r>
                        <w:rPr>
                          <w:rFonts w:cs="Arial"/>
                          <w:b/>
                        </w:rPr>
                        <w:t>Box 5</w:t>
                      </w:r>
                      <w:r w:rsidRPr="00D1669B">
                        <w:rPr>
                          <w:rFonts w:cs="Arial"/>
                          <w:b/>
                        </w:rPr>
                        <w:t xml:space="preserve">. </w:t>
                      </w:r>
                      <w:r>
                        <w:rPr>
                          <w:rFonts w:cs="Arial"/>
                          <w:b/>
                        </w:rPr>
                        <w:t>Influencing Regulations in the Shallot Sector</w:t>
                      </w:r>
                    </w:p>
                    <w:p w14:paraId="1051DE27" w14:textId="77777777" w:rsidR="00243660" w:rsidRPr="00973BE5" w:rsidRDefault="00243660" w:rsidP="00763643">
                      <w:pPr>
                        <w:jc w:val="both"/>
                        <w:rPr>
                          <w:sz w:val="18"/>
                          <w:szCs w:val="18"/>
                        </w:rPr>
                      </w:pPr>
                      <w:r w:rsidRPr="00973BE5">
                        <w:rPr>
                          <w:sz w:val="18"/>
                          <w:szCs w:val="18"/>
                        </w:rPr>
                        <w:t xml:space="preserve">AIP-Rural </w:t>
                      </w:r>
                      <w:r>
                        <w:rPr>
                          <w:sz w:val="18"/>
                          <w:szCs w:val="18"/>
                        </w:rPr>
                        <w:t>acts</w:t>
                      </w:r>
                      <w:r w:rsidRPr="00973BE5">
                        <w:rPr>
                          <w:sz w:val="18"/>
                          <w:szCs w:val="18"/>
                        </w:rPr>
                        <w:t xml:space="preserve"> opportunistically </w:t>
                      </w:r>
                      <w:r>
                        <w:rPr>
                          <w:sz w:val="18"/>
                          <w:szCs w:val="18"/>
                        </w:rPr>
                        <w:t>to influence policy makers to support a more competitive and open business enabling environment in Indonesia’s agriculture sector</w:t>
                      </w:r>
                      <w:r w:rsidRPr="00973BE5">
                        <w:rPr>
                          <w:sz w:val="18"/>
                          <w:szCs w:val="18"/>
                        </w:rPr>
                        <w:t xml:space="preserve">. When </w:t>
                      </w:r>
                      <w:r>
                        <w:rPr>
                          <w:sz w:val="18"/>
                          <w:szCs w:val="18"/>
                        </w:rPr>
                        <w:t xml:space="preserve">PRISMA </w:t>
                      </w:r>
                      <w:proofErr w:type="gramStart"/>
                      <w:r>
                        <w:rPr>
                          <w:sz w:val="18"/>
                          <w:szCs w:val="18"/>
                        </w:rPr>
                        <w:t>staff</w:t>
                      </w:r>
                      <w:r w:rsidRPr="00973BE5">
                        <w:rPr>
                          <w:sz w:val="18"/>
                          <w:szCs w:val="18"/>
                        </w:rPr>
                        <w:t xml:space="preserve"> s</w:t>
                      </w:r>
                      <w:r>
                        <w:rPr>
                          <w:sz w:val="18"/>
                          <w:szCs w:val="18"/>
                        </w:rPr>
                        <w:t>ee</w:t>
                      </w:r>
                      <w:proofErr w:type="gramEnd"/>
                      <w:r w:rsidRPr="00973BE5">
                        <w:rPr>
                          <w:sz w:val="18"/>
                          <w:szCs w:val="18"/>
                        </w:rPr>
                        <w:t xml:space="preserve"> opportunities</w:t>
                      </w:r>
                      <w:r>
                        <w:rPr>
                          <w:sz w:val="18"/>
                          <w:szCs w:val="18"/>
                        </w:rPr>
                        <w:t xml:space="preserve"> or allies, they </w:t>
                      </w:r>
                      <w:r w:rsidRPr="00973BE5">
                        <w:rPr>
                          <w:sz w:val="18"/>
                          <w:szCs w:val="18"/>
                        </w:rPr>
                        <w:t>use their technical knowledge and networks of contacts</w:t>
                      </w:r>
                      <w:r>
                        <w:rPr>
                          <w:sz w:val="18"/>
                          <w:szCs w:val="18"/>
                        </w:rPr>
                        <w:t xml:space="preserve"> </w:t>
                      </w:r>
                      <w:r w:rsidRPr="00973BE5">
                        <w:rPr>
                          <w:sz w:val="18"/>
                          <w:szCs w:val="18"/>
                        </w:rPr>
                        <w:t>to influence change, often working in concert with market actors. It is anticipated that PRISMA</w:t>
                      </w:r>
                      <w:r>
                        <w:rPr>
                          <w:sz w:val="18"/>
                          <w:szCs w:val="18"/>
                        </w:rPr>
                        <w:t>-2</w:t>
                      </w:r>
                      <w:r w:rsidRPr="00973BE5">
                        <w:rPr>
                          <w:sz w:val="18"/>
                          <w:szCs w:val="18"/>
                        </w:rPr>
                        <w:t xml:space="preserve"> will follow a similar approach</w:t>
                      </w:r>
                      <w:r>
                        <w:rPr>
                          <w:sz w:val="18"/>
                          <w:szCs w:val="18"/>
                        </w:rPr>
                        <w:t xml:space="preserve"> in order to stimulate wider systemic change</w:t>
                      </w:r>
                      <w:r w:rsidRPr="00973BE5">
                        <w:rPr>
                          <w:sz w:val="18"/>
                          <w:szCs w:val="18"/>
                        </w:rPr>
                        <w:t>. The following case study illustrates the approach in practice.</w:t>
                      </w:r>
                    </w:p>
                    <w:p w14:paraId="2FC434B8" w14:textId="77777777" w:rsidR="00243660" w:rsidRPr="00973BE5" w:rsidRDefault="00243660" w:rsidP="00763643">
                      <w:pPr>
                        <w:jc w:val="both"/>
                        <w:rPr>
                          <w:sz w:val="18"/>
                          <w:szCs w:val="18"/>
                        </w:rPr>
                      </w:pPr>
                      <w:r w:rsidRPr="00973BE5">
                        <w:rPr>
                          <w:sz w:val="18"/>
                          <w:szCs w:val="18"/>
                        </w:rPr>
                        <w:t xml:space="preserve">More than 120,000 farmers cultivate </w:t>
                      </w:r>
                      <w:r>
                        <w:rPr>
                          <w:sz w:val="18"/>
                          <w:szCs w:val="18"/>
                        </w:rPr>
                        <w:t>s</w:t>
                      </w:r>
                      <w:r w:rsidRPr="00973BE5">
                        <w:rPr>
                          <w:sz w:val="18"/>
                          <w:szCs w:val="18"/>
                        </w:rPr>
                        <w:t xml:space="preserve">hallots, an important ingredient in Indonesian cuisine. There are many benefits for farmers if they grow shallots from seeds, but it is technically difficult, so most farmers purchase bulbs from traders or split the shallots that they harvest into smaller bulbs for planting their next crop. This results in low productivity and quality crops. AIP-Rural worked with several nurseries in Lombok and Sumbawa that specialize in growing improved shallot varieties up to the planting bulb stage, so that farmers have access to higher-yielding bulb varieties without suffering the high failure rates associated with growing bulbs from seed themselves. The private sector partner for this intervention was EWINDO, a major producer in Indonesia with more than 7,000 contract farmers. </w:t>
                      </w:r>
                    </w:p>
                    <w:p w14:paraId="15273350" w14:textId="77777777" w:rsidR="00243660" w:rsidRPr="00973BE5" w:rsidRDefault="00243660" w:rsidP="00763643">
                      <w:pPr>
                        <w:jc w:val="both"/>
                        <w:rPr>
                          <w:sz w:val="18"/>
                          <w:szCs w:val="18"/>
                        </w:rPr>
                      </w:pPr>
                      <w:r w:rsidRPr="00973BE5">
                        <w:rPr>
                          <w:sz w:val="18"/>
                          <w:szCs w:val="18"/>
                        </w:rPr>
                        <w:t>At the same time</w:t>
                      </w:r>
                      <w:r>
                        <w:rPr>
                          <w:sz w:val="18"/>
                          <w:szCs w:val="18"/>
                        </w:rPr>
                        <w:t>,</w:t>
                      </w:r>
                      <w:r w:rsidRPr="00973BE5">
                        <w:rPr>
                          <w:sz w:val="18"/>
                          <w:szCs w:val="18"/>
                        </w:rPr>
                        <w:t xml:space="preserve"> government officials in </w:t>
                      </w:r>
                      <w:proofErr w:type="spellStart"/>
                      <w:r w:rsidRPr="00973BE5">
                        <w:rPr>
                          <w:sz w:val="18"/>
                          <w:szCs w:val="18"/>
                        </w:rPr>
                        <w:t>Grobogan</w:t>
                      </w:r>
                      <w:proofErr w:type="spellEnd"/>
                      <w:r w:rsidRPr="00973BE5">
                        <w:rPr>
                          <w:sz w:val="18"/>
                          <w:szCs w:val="18"/>
                        </w:rPr>
                        <w:t xml:space="preserve">, Central Java, tried to plant EWINDO’s improved variety so that they could then distribute the bulbs free to farmers in their area. The harvest was a complete failure, so </w:t>
                      </w:r>
                      <w:r>
                        <w:rPr>
                          <w:sz w:val="18"/>
                          <w:szCs w:val="18"/>
                        </w:rPr>
                        <w:t xml:space="preserve">the </w:t>
                      </w:r>
                      <w:r w:rsidRPr="00973BE5">
                        <w:rPr>
                          <w:sz w:val="18"/>
                          <w:szCs w:val="18"/>
                        </w:rPr>
                        <w:t>government asked EWINDO to help conduct a second trial. EWINDO recommended that before this happen</w:t>
                      </w:r>
                      <w:r>
                        <w:rPr>
                          <w:sz w:val="18"/>
                          <w:szCs w:val="18"/>
                        </w:rPr>
                        <w:t>,</w:t>
                      </w:r>
                      <w:r w:rsidRPr="00973BE5">
                        <w:rPr>
                          <w:sz w:val="18"/>
                          <w:szCs w:val="18"/>
                        </w:rPr>
                        <w:t xml:space="preserve"> selected farmers and public officials visit the nurseries supported by PRISMA in Lombok to learn how they had succeeded. </w:t>
                      </w:r>
                      <w:r>
                        <w:rPr>
                          <w:sz w:val="18"/>
                          <w:szCs w:val="18"/>
                        </w:rPr>
                        <w:t>After seeing PRISMA’s interventions in action, the</w:t>
                      </w:r>
                      <w:r w:rsidRPr="00973BE5">
                        <w:rPr>
                          <w:sz w:val="18"/>
                          <w:szCs w:val="18"/>
                        </w:rPr>
                        <w:t xml:space="preserve"> government selected farmers to set up three private nurseries, using the methods they had learnt from the </w:t>
                      </w:r>
                      <w:r>
                        <w:rPr>
                          <w:sz w:val="18"/>
                          <w:szCs w:val="18"/>
                        </w:rPr>
                        <w:t>PRISMA</w:t>
                      </w:r>
                      <w:r w:rsidRPr="00973BE5">
                        <w:rPr>
                          <w:sz w:val="18"/>
                          <w:szCs w:val="18"/>
                        </w:rPr>
                        <w:t xml:space="preserve"> nurseries. Since these nurseries were private</w:t>
                      </w:r>
                      <w:r>
                        <w:rPr>
                          <w:sz w:val="18"/>
                          <w:szCs w:val="18"/>
                        </w:rPr>
                        <w:t>ly owned</w:t>
                      </w:r>
                      <w:r w:rsidRPr="00973BE5">
                        <w:rPr>
                          <w:sz w:val="18"/>
                          <w:szCs w:val="18"/>
                        </w:rPr>
                        <w:t xml:space="preserve"> and government wanted to distribute certified bulbs to their farmers, they asked the district seed certification body, BPSP, to certify the bulbs. BPSP was used to certifying seeds (rice, maize soya etc.) but had never certified a process of moving from seeds to bulbs</w:t>
                      </w:r>
                      <w:r>
                        <w:rPr>
                          <w:sz w:val="18"/>
                          <w:szCs w:val="18"/>
                        </w:rPr>
                        <w:t xml:space="preserve"> so they developed a new method</w:t>
                      </w:r>
                      <w:r w:rsidRPr="00973BE5">
                        <w:rPr>
                          <w:sz w:val="18"/>
                          <w:szCs w:val="18"/>
                        </w:rPr>
                        <w:t xml:space="preserve">.  </w:t>
                      </w:r>
                    </w:p>
                    <w:p w14:paraId="1BE84DF2" w14:textId="77777777" w:rsidR="00243660" w:rsidRPr="00973BE5" w:rsidRDefault="00243660" w:rsidP="00763643">
                      <w:pPr>
                        <w:jc w:val="both"/>
                        <w:rPr>
                          <w:sz w:val="18"/>
                          <w:szCs w:val="18"/>
                        </w:rPr>
                      </w:pPr>
                      <w:r w:rsidRPr="00973BE5">
                        <w:rPr>
                          <w:sz w:val="18"/>
                          <w:szCs w:val="18"/>
                        </w:rPr>
                        <w:t xml:space="preserve">All thirty-three district branches of BPSP travelled to </w:t>
                      </w:r>
                      <w:proofErr w:type="spellStart"/>
                      <w:r w:rsidRPr="00973BE5">
                        <w:rPr>
                          <w:sz w:val="18"/>
                          <w:szCs w:val="18"/>
                        </w:rPr>
                        <w:t>Grobogan</w:t>
                      </w:r>
                      <w:proofErr w:type="spellEnd"/>
                      <w:r w:rsidRPr="00973BE5">
                        <w:rPr>
                          <w:sz w:val="18"/>
                          <w:szCs w:val="18"/>
                        </w:rPr>
                        <w:t xml:space="preserve"> to learn </w:t>
                      </w:r>
                      <w:r>
                        <w:rPr>
                          <w:sz w:val="18"/>
                          <w:szCs w:val="18"/>
                        </w:rPr>
                        <w:t xml:space="preserve">about </w:t>
                      </w:r>
                      <w:r w:rsidRPr="00973BE5">
                        <w:rPr>
                          <w:sz w:val="18"/>
                          <w:szCs w:val="18"/>
                        </w:rPr>
                        <w:t xml:space="preserve">the new certification process. </w:t>
                      </w:r>
                      <w:r>
                        <w:rPr>
                          <w:sz w:val="18"/>
                          <w:szCs w:val="18"/>
                        </w:rPr>
                        <w:t>PRISMA also supported t</w:t>
                      </w:r>
                      <w:r w:rsidRPr="00973BE5">
                        <w:rPr>
                          <w:sz w:val="18"/>
                          <w:szCs w:val="18"/>
                        </w:rPr>
                        <w:t xml:space="preserve">hirty more private nurseries </w:t>
                      </w:r>
                      <w:r>
                        <w:rPr>
                          <w:sz w:val="18"/>
                          <w:szCs w:val="18"/>
                        </w:rPr>
                        <w:t>to be</w:t>
                      </w:r>
                      <w:r w:rsidRPr="00973BE5">
                        <w:rPr>
                          <w:sz w:val="18"/>
                          <w:szCs w:val="18"/>
                        </w:rPr>
                        <w:t xml:space="preserve"> trained in the </w:t>
                      </w:r>
                      <w:r>
                        <w:rPr>
                          <w:sz w:val="18"/>
                          <w:szCs w:val="18"/>
                        </w:rPr>
                        <w:t>PRISMA</w:t>
                      </w:r>
                      <w:r w:rsidRPr="00973BE5">
                        <w:rPr>
                          <w:sz w:val="18"/>
                          <w:szCs w:val="18"/>
                        </w:rPr>
                        <w:t xml:space="preserve"> nurseries so</w:t>
                      </w:r>
                      <w:r>
                        <w:rPr>
                          <w:sz w:val="18"/>
                          <w:szCs w:val="18"/>
                        </w:rPr>
                        <w:t xml:space="preserve"> </w:t>
                      </w:r>
                      <w:r w:rsidRPr="00973BE5">
                        <w:rPr>
                          <w:sz w:val="18"/>
                          <w:szCs w:val="18"/>
                        </w:rPr>
                        <w:t xml:space="preserve">they could be certified. This led to increased demand for EWINDO shallot seeds, which caused a </w:t>
                      </w:r>
                      <w:r>
                        <w:rPr>
                          <w:sz w:val="18"/>
                          <w:szCs w:val="18"/>
                        </w:rPr>
                        <w:t xml:space="preserve">new </w:t>
                      </w:r>
                      <w:r w:rsidRPr="00973BE5">
                        <w:rPr>
                          <w:sz w:val="18"/>
                          <w:szCs w:val="18"/>
                        </w:rPr>
                        <w:t xml:space="preserve">problem. </w:t>
                      </w:r>
                      <w:r>
                        <w:rPr>
                          <w:sz w:val="18"/>
                          <w:szCs w:val="18"/>
                        </w:rPr>
                        <w:t>The Ministry of Trade had restricted the import of h</w:t>
                      </w:r>
                      <w:r w:rsidRPr="00973BE5">
                        <w:rPr>
                          <w:sz w:val="18"/>
                          <w:szCs w:val="18"/>
                        </w:rPr>
                        <w:t>igher volumes of seed</w:t>
                      </w:r>
                      <w:r>
                        <w:rPr>
                          <w:sz w:val="18"/>
                          <w:szCs w:val="18"/>
                        </w:rPr>
                        <w:t>s</w:t>
                      </w:r>
                      <w:r w:rsidRPr="00973BE5">
                        <w:rPr>
                          <w:sz w:val="18"/>
                          <w:szCs w:val="18"/>
                        </w:rPr>
                        <w:t xml:space="preserve"> </w:t>
                      </w:r>
                      <w:r>
                        <w:rPr>
                          <w:sz w:val="18"/>
                          <w:szCs w:val="18"/>
                        </w:rPr>
                        <w:t>to encourage domestic self-sufficiency</w:t>
                      </w:r>
                      <w:r w:rsidRPr="00973BE5">
                        <w:rPr>
                          <w:sz w:val="18"/>
                          <w:szCs w:val="18"/>
                        </w:rPr>
                        <w:t>; EWINDO was informed by government that restrictions would not be lifted because consumers preferred the taste of the existing varieties and demand for new varieties was low.</w:t>
                      </w:r>
                    </w:p>
                    <w:p w14:paraId="3A02F423" w14:textId="77777777" w:rsidR="00243660" w:rsidRPr="00973BE5" w:rsidRDefault="00243660" w:rsidP="00763643">
                      <w:pPr>
                        <w:rPr>
                          <w:sz w:val="18"/>
                          <w:szCs w:val="18"/>
                        </w:rPr>
                      </w:pPr>
                      <w:r w:rsidRPr="00973BE5">
                        <w:rPr>
                          <w:sz w:val="18"/>
                          <w:szCs w:val="18"/>
                        </w:rPr>
                        <w:t xml:space="preserve">In coordination with local governments, </w:t>
                      </w:r>
                      <w:r>
                        <w:rPr>
                          <w:sz w:val="18"/>
                          <w:szCs w:val="18"/>
                        </w:rPr>
                        <w:t>PRISMA</w:t>
                      </w:r>
                      <w:r w:rsidRPr="00973BE5">
                        <w:rPr>
                          <w:sz w:val="18"/>
                          <w:szCs w:val="18"/>
                        </w:rPr>
                        <w:t xml:space="preserve"> supported EWINDO to </w:t>
                      </w:r>
                      <w:r>
                        <w:rPr>
                          <w:sz w:val="18"/>
                          <w:szCs w:val="18"/>
                        </w:rPr>
                        <w:t>undertake evidence-based advocacy</w:t>
                      </w:r>
                      <w:r w:rsidRPr="00973BE5">
                        <w:rPr>
                          <w:sz w:val="18"/>
                          <w:szCs w:val="18"/>
                        </w:rPr>
                        <w:t xml:space="preserve"> by setting up two demonstration sites targeting the Ministry of Agriculture with the core message that productivity could be enhanced by 50 % </w:t>
                      </w:r>
                      <w:r>
                        <w:rPr>
                          <w:sz w:val="18"/>
                          <w:szCs w:val="18"/>
                        </w:rPr>
                        <w:t>by using bulbs,</w:t>
                      </w:r>
                      <w:r w:rsidRPr="00973BE5">
                        <w:rPr>
                          <w:sz w:val="18"/>
                          <w:szCs w:val="18"/>
                        </w:rPr>
                        <w:t xml:space="preserve"> while meeting the tastes of Indonesian consumers. </w:t>
                      </w:r>
                      <w:r>
                        <w:rPr>
                          <w:sz w:val="18"/>
                          <w:szCs w:val="18"/>
                        </w:rPr>
                        <w:t xml:space="preserve">A Ministry of Agriculture representative was so convinced by PRISMA’s results that she issued a recommendation to the Ministry of Trade to lift the import restrictions, and </w:t>
                      </w:r>
                      <w:r w:rsidRPr="00973BE5">
                        <w:rPr>
                          <w:sz w:val="18"/>
                          <w:szCs w:val="18"/>
                        </w:rPr>
                        <w:t>EWINDO and another shallot seed importer were permitted to import as much seed as required. EWINDO’s sales of shallot seeds have now grown from 300kg to 2,000kg, and there are more than eighty nurseries in Indonesia serving 10,000 farmers with improved planting bulbs.</w:t>
                      </w:r>
                    </w:p>
                  </w:txbxContent>
                </v:textbox>
                <w10:wrap type="square" anchorx="page"/>
              </v:shape>
            </w:pict>
          </mc:Fallback>
        </mc:AlternateContent>
      </w:r>
      <w:r w:rsidR="00CD161A">
        <w:rPr>
          <w:rFonts w:cstheme="minorHAnsi"/>
        </w:rPr>
        <w:t xml:space="preserve">PRISMA-2 will need to take a flexible, opportunistic, and ‘right-sized’ approach to this component of work. </w:t>
      </w:r>
      <w:r w:rsidR="00BD2C8B" w:rsidRPr="00343460">
        <w:rPr>
          <w:rFonts w:cstheme="minorHAnsi"/>
        </w:rPr>
        <w:t xml:space="preserve">A more purposeful approach to influencing </w:t>
      </w:r>
      <w:r w:rsidR="00D9476A">
        <w:rPr>
          <w:rFonts w:cstheme="minorHAnsi"/>
        </w:rPr>
        <w:t xml:space="preserve">policy </w:t>
      </w:r>
      <w:r w:rsidR="00BD2C8B" w:rsidRPr="00343460">
        <w:rPr>
          <w:rFonts w:cstheme="minorHAnsi"/>
        </w:rPr>
        <w:t>will require dedicated resources, in terms of personnel that are experienced in public advocacy, corporate engagement</w:t>
      </w:r>
      <w:r w:rsidR="00D9476A">
        <w:rPr>
          <w:rFonts w:cstheme="minorHAnsi"/>
        </w:rPr>
        <w:t>,</w:t>
      </w:r>
      <w:r w:rsidR="00BD2C8B" w:rsidRPr="00343460">
        <w:rPr>
          <w:rFonts w:cstheme="minorHAnsi"/>
        </w:rPr>
        <w:t xml:space="preserve"> and public relations, adequate resources for generating and disseminating evidence, including collaborative research and analysis, case studies, policy briefs and media events and campaigns</w:t>
      </w:r>
      <w:r w:rsidR="004D6DEF">
        <w:rPr>
          <w:rFonts w:cstheme="minorHAnsi"/>
        </w:rPr>
        <w:t>, and specific M&amp;E to track progress</w:t>
      </w:r>
      <w:r w:rsidR="00686632">
        <w:rPr>
          <w:rFonts w:cstheme="minorHAnsi"/>
        </w:rPr>
        <w:t xml:space="preserve">; however it should not distract the Program from achievement of its </w:t>
      </w:r>
      <w:r w:rsidR="004D6DEF">
        <w:rPr>
          <w:rFonts w:cstheme="minorHAnsi"/>
        </w:rPr>
        <w:t xml:space="preserve">core </w:t>
      </w:r>
      <w:r w:rsidR="00686632">
        <w:rPr>
          <w:rFonts w:cstheme="minorHAnsi"/>
        </w:rPr>
        <w:t>goal</w:t>
      </w:r>
      <w:r w:rsidR="00BD2C8B" w:rsidRPr="00343460">
        <w:rPr>
          <w:rFonts w:cstheme="minorHAnsi"/>
        </w:rPr>
        <w:t>.</w:t>
      </w:r>
      <w:r w:rsidR="00914A5E">
        <w:rPr>
          <w:rFonts w:cstheme="minorHAnsi"/>
        </w:rPr>
        <w:t xml:space="preserve"> </w:t>
      </w:r>
      <w:r w:rsidR="00914A5E" w:rsidRPr="00CA5BDC">
        <w:rPr>
          <w:rFonts w:cstheme="minorHAnsi"/>
        </w:rPr>
        <w:t>Influencing measures at this level are not anticipated to impact directly on smallholder incomes,</w:t>
      </w:r>
      <w:r w:rsidR="00914A5E">
        <w:rPr>
          <w:rFonts w:cstheme="minorHAnsi"/>
        </w:rPr>
        <w:t xml:space="preserve"> and so the Program will need to ensure that activities are appropriate</w:t>
      </w:r>
      <w:r w:rsidR="00D9476A">
        <w:rPr>
          <w:rFonts w:cstheme="minorHAnsi"/>
        </w:rPr>
        <w:t xml:space="preserve"> and</w:t>
      </w:r>
      <w:r w:rsidR="00914A5E" w:rsidRPr="00CA5BDC">
        <w:rPr>
          <w:rFonts w:cstheme="minorHAnsi"/>
        </w:rPr>
        <w:t xml:space="preserve"> based on clear theories of change, from program action to changes in stakeholder practices</w:t>
      </w:r>
      <w:r w:rsidR="00914A5E">
        <w:rPr>
          <w:rFonts w:cstheme="minorHAnsi"/>
        </w:rPr>
        <w:t>. The contractor will be responsible for developing a Policy Strategy</w:t>
      </w:r>
      <w:r w:rsidR="00D9476A">
        <w:rPr>
          <w:rFonts w:cstheme="minorHAnsi"/>
        </w:rPr>
        <w:t xml:space="preserve"> </w:t>
      </w:r>
      <w:r w:rsidR="00914A5E">
        <w:rPr>
          <w:rFonts w:cstheme="minorHAnsi"/>
        </w:rPr>
        <w:t xml:space="preserve">to identify goals and methods to achieve them. </w:t>
      </w:r>
    </w:p>
    <w:p w14:paraId="1C103444" w14:textId="1710AAFA" w:rsidR="00AE204A" w:rsidRPr="00D43874" w:rsidRDefault="00AE204A" w:rsidP="00483539">
      <w:pPr>
        <w:pStyle w:val="Heading3"/>
      </w:pPr>
      <w:bookmarkStart w:id="13" w:name="_Toc499298845"/>
      <w:r w:rsidRPr="00D43874">
        <w:lastRenderedPageBreak/>
        <w:t>Innovation</w:t>
      </w:r>
      <w:bookmarkEnd w:id="13"/>
    </w:p>
    <w:p w14:paraId="34B1D61E" w14:textId="6BA860CB" w:rsidR="00AE204A" w:rsidRDefault="005D461A" w:rsidP="00483539">
      <w:r>
        <w:t>PRISMA-2</w:t>
      </w:r>
      <w:r w:rsidR="00B147F5">
        <w:t>’s approach</w:t>
      </w:r>
      <w:r w:rsidR="00AE204A">
        <w:t xml:space="preserve"> </w:t>
      </w:r>
      <w:r w:rsidR="00686FA8">
        <w:t>is</w:t>
      </w:r>
      <w:r w:rsidR="00AE204A">
        <w:t xml:space="preserve"> </w:t>
      </w:r>
      <w:r w:rsidR="00B147F5">
        <w:t xml:space="preserve">inherently </w:t>
      </w:r>
      <w:r w:rsidR="00AE204A">
        <w:t>innovative</w:t>
      </w:r>
      <w:r w:rsidR="000A4AB1">
        <w:t>, by harnessing the capacity and incentives of the private sector to deliver sustainable development solutions. Like AIP-Rural, PRISMA</w:t>
      </w:r>
      <w:r w:rsidR="007858FE">
        <w:t>-2</w:t>
      </w:r>
      <w:r w:rsidR="000A4AB1">
        <w:t xml:space="preserve"> will promote a combination of technical</w:t>
      </w:r>
      <w:r w:rsidR="005C2288">
        <w:t xml:space="preserve"> and institutional innovations.</w:t>
      </w:r>
    </w:p>
    <w:p w14:paraId="14D5B245" w14:textId="6524B30B" w:rsidR="00AA386E" w:rsidRDefault="00AA386E" w:rsidP="00483539">
      <w:pPr>
        <w:pStyle w:val="Heading9"/>
      </w:pPr>
      <w:r>
        <w:t>Technical innovations</w:t>
      </w:r>
    </w:p>
    <w:p w14:paraId="25700655" w14:textId="101581D3" w:rsidR="00AE204A" w:rsidRDefault="000A4AB1" w:rsidP="00483539">
      <w:r>
        <w:t>T</w:t>
      </w:r>
      <w:r w:rsidR="00AE204A">
        <w:t xml:space="preserve">hrough its analysis-led innovations, </w:t>
      </w:r>
      <w:r w:rsidR="007858FE">
        <w:t>PRISMA-2</w:t>
      </w:r>
      <w:r>
        <w:t xml:space="preserve"> </w:t>
      </w:r>
      <w:r w:rsidR="00AE204A">
        <w:t xml:space="preserve">will identify and introduce new </w:t>
      </w:r>
      <w:r>
        <w:t xml:space="preserve">technical </w:t>
      </w:r>
      <w:r w:rsidR="00AE204A">
        <w:t xml:space="preserve">solutions to </w:t>
      </w:r>
      <w:r w:rsidR="007858FE">
        <w:t xml:space="preserve">address </w:t>
      </w:r>
      <w:r w:rsidR="00AE204A">
        <w:t xml:space="preserve">agricultural constraints </w:t>
      </w:r>
      <w:r w:rsidR="007858FE">
        <w:t>affecting</w:t>
      </w:r>
      <w:r w:rsidR="00AE204A">
        <w:t xml:space="preserve"> smallholder competitiveness. These </w:t>
      </w:r>
      <w:r>
        <w:t xml:space="preserve">typically will </w:t>
      </w:r>
      <w:r w:rsidR="00AE204A">
        <w:t>relat</w:t>
      </w:r>
      <w:r>
        <w:t>e</w:t>
      </w:r>
      <w:r w:rsidR="00AE204A">
        <w:t xml:space="preserve"> to inputs, </w:t>
      </w:r>
      <w:r w:rsidR="007858FE">
        <w:t xml:space="preserve">agricultural </w:t>
      </w:r>
      <w:r w:rsidR="00AE204A">
        <w:t xml:space="preserve">practices or the way outputs are handled. </w:t>
      </w:r>
      <w:r w:rsidR="00AE204A" w:rsidRPr="00D43874">
        <w:t xml:space="preserve">For example, AIP-Rural partnered with a commercial agricultural input supplier, </w:t>
      </w:r>
      <w:r w:rsidR="00686FA8" w:rsidRPr="00D43874">
        <w:t xml:space="preserve">PT </w:t>
      </w:r>
      <w:r w:rsidR="00AE204A" w:rsidRPr="00D43874">
        <w:t>Syngenta</w:t>
      </w:r>
      <w:r w:rsidR="00686FA8" w:rsidRPr="00D43874">
        <w:t xml:space="preserve"> Indonesia</w:t>
      </w:r>
      <w:r w:rsidR="00AE204A" w:rsidRPr="00D43874">
        <w:t>, to improve small</w:t>
      </w:r>
      <w:r w:rsidR="00CB4A43">
        <w:t>holder</w:t>
      </w:r>
      <w:r w:rsidR="00AE204A" w:rsidRPr="00D43874">
        <w:t xml:space="preserve"> farmer incomes by changing their practices in the mango sector</w:t>
      </w:r>
      <w:r w:rsidR="00BE1FE0">
        <w:t xml:space="preserve"> (see Box 4</w:t>
      </w:r>
      <w:r w:rsidR="00710E81">
        <w:t>)</w:t>
      </w:r>
      <w:r w:rsidR="00AE204A" w:rsidRPr="00D43874">
        <w:t xml:space="preserve">. The innovation was subsequently copied by farmers that cultivate </w:t>
      </w:r>
      <w:proofErr w:type="spellStart"/>
      <w:r w:rsidR="00AE204A" w:rsidRPr="00D43874">
        <w:t>rambutans</w:t>
      </w:r>
      <w:proofErr w:type="spellEnd"/>
      <w:r w:rsidR="00AE204A" w:rsidRPr="00D43874">
        <w:t xml:space="preserve"> and lychees, opening up a whole new product range for Syngenta while increasing the incomes of thousands of small</w:t>
      </w:r>
      <w:r w:rsidR="00440AA5">
        <w:t>holder</w:t>
      </w:r>
      <w:r w:rsidR="00AE204A" w:rsidRPr="00D43874">
        <w:t xml:space="preserve"> farm</w:t>
      </w:r>
      <w:r w:rsidR="00440AA5">
        <w:t>ing households</w:t>
      </w:r>
      <w:r w:rsidR="00AE204A" w:rsidRPr="00D43874">
        <w:t>.</w:t>
      </w:r>
      <w:r w:rsidR="00BE1FE0">
        <w:t xml:space="preserve"> </w:t>
      </w:r>
      <w:r w:rsidR="00433010">
        <w:t>Similarly, the introduction of tree forage (</w:t>
      </w:r>
      <w:proofErr w:type="spellStart"/>
      <w:r w:rsidR="00433010" w:rsidRPr="00DE0823">
        <w:rPr>
          <w:i/>
        </w:rPr>
        <w:t>Leucaena</w:t>
      </w:r>
      <w:proofErr w:type="spellEnd"/>
      <w:r w:rsidR="00433010">
        <w:t xml:space="preserve">) systems to supplement </w:t>
      </w:r>
      <w:r w:rsidR="00134298">
        <w:t>cattle feed</w:t>
      </w:r>
      <w:r w:rsidR="00433010">
        <w:t xml:space="preserve"> in NTB has increased the income of smallholder farm</w:t>
      </w:r>
      <w:r w:rsidR="00A51426">
        <w:t>ing</w:t>
      </w:r>
      <w:r w:rsidR="00433010">
        <w:t xml:space="preserve"> households working with local agroforestry researchers and beef traders by increasing weight gains and improving animal management.</w:t>
      </w:r>
    </w:p>
    <w:p w14:paraId="671845FF" w14:textId="5F621606" w:rsidR="00AA386E" w:rsidRDefault="00433010" w:rsidP="00DE0823">
      <w:pPr>
        <w:pStyle w:val="Heading9"/>
      </w:pPr>
      <w:r>
        <w:t>Institutional</w:t>
      </w:r>
      <w:r w:rsidR="00AA386E">
        <w:t xml:space="preserve"> innovation</w:t>
      </w:r>
    </w:p>
    <w:p w14:paraId="7D60D6F7" w14:textId="39B69D90" w:rsidR="004918E6" w:rsidRPr="00382F87" w:rsidRDefault="000A4AB1" w:rsidP="005E1048">
      <w:r>
        <w:t xml:space="preserve">The </w:t>
      </w:r>
      <w:r w:rsidR="009D174E">
        <w:t>P</w:t>
      </w:r>
      <w:r>
        <w:t>rogram</w:t>
      </w:r>
      <w:r w:rsidR="00AE204A">
        <w:t xml:space="preserve"> will</w:t>
      </w:r>
      <w:r>
        <w:t xml:space="preserve"> also</w:t>
      </w:r>
      <w:r w:rsidR="00AE204A">
        <w:t xml:space="preserve"> stimulate institutional innovation within sectors</w:t>
      </w:r>
      <w:r w:rsidR="009D174E">
        <w:t xml:space="preserve">, </w:t>
      </w:r>
      <w:r w:rsidR="00440AA5">
        <w:t xml:space="preserve">for example, </w:t>
      </w:r>
      <w:r w:rsidR="00AE204A">
        <w:t>new ways of delivering solutions</w:t>
      </w:r>
      <w:r>
        <w:t xml:space="preserve"> through the private sector</w:t>
      </w:r>
      <w:r w:rsidR="00134298">
        <w:t>. This may</w:t>
      </w:r>
      <w:r w:rsidR="009D174E">
        <w:t xml:space="preserve"> entail</w:t>
      </w:r>
      <w:r>
        <w:t xml:space="preserve"> changes in the roles </w:t>
      </w:r>
      <w:r w:rsidR="004918E6">
        <w:t xml:space="preserve">of </w:t>
      </w:r>
      <w:r>
        <w:t xml:space="preserve">other market </w:t>
      </w:r>
      <w:r w:rsidR="00596DEC">
        <w:t>actors</w:t>
      </w:r>
      <w:r>
        <w:t xml:space="preserve"> who perform other supporting functions or rules</w:t>
      </w:r>
      <w:r w:rsidR="00AE204A">
        <w:t xml:space="preserve">. </w:t>
      </w:r>
      <w:r w:rsidR="00AE204A" w:rsidRPr="00382F87">
        <w:t xml:space="preserve">For instance, it has generally been seen as the role of government to provide information to farmers through extension services; historically the effectiveness of public extension services has been constrained by limited resources, </w:t>
      </w:r>
      <w:r w:rsidR="00134298">
        <w:t>skilled</w:t>
      </w:r>
      <w:r w:rsidR="00AE204A" w:rsidRPr="00382F87">
        <w:t xml:space="preserve"> staff and up-to-date know-how. AIP-Rural has found that large scale </w:t>
      </w:r>
      <w:r w:rsidR="002F27A6">
        <w:t>businesses</w:t>
      </w:r>
      <w:r w:rsidR="00AE204A" w:rsidRPr="00382F87">
        <w:t xml:space="preserve">, such as input suppliers, can be encouraged to </w:t>
      </w:r>
      <w:r w:rsidR="009E0173" w:rsidRPr="00382F87">
        <w:t xml:space="preserve">incorporate </w:t>
      </w:r>
      <w:r w:rsidR="00AE204A" w:rsidRPr="00382F87">
        <w:t xml:space="preserve">agricultural advice </w:t>
      </w:r>
      <w:r w:rsidR="000059DB" w:rsidRPr="00382F87">
        <w:t xml:space="preserve">for </w:t>
      </w:r>
      <w:r w:rsidR="00AE204A" w:rsidRPr="00382F87">
        <w:t xml:space="preserve">their customers into their routine marketing activities, because they have the resources, motivation and access to the latest agronomic information to do so on a sustainable basis. This innovation benefits farmers’ productivity, is good for the </w:t>
      </w:r>
      <w:r w:rsidR="002F27A6">
        <w:t>business</w:t>
      </w:r>
      <w:r w:rsidR="00AE204A" w:rsidRPr="00382F87">
        <w:t xml:space="preserve">’s relations with its customers, and reduces the likelihood of farmers misusing the </w:t>
      </w:r>
      <w:r w:rsidR="002F27A6">
        <w:t>business</w:t>
      </w:r>
      <w:r w:rsidR="00AE204A" w:rsidRPr="00382F87">
        <w:t xml:space="preserve">’s inputs, which reduces the </w:t>
      </w:r>
      <w:r w:rsidR="002F27A6">
        <w:t>business</w:t>
      </w:r>
      <w:r w:rsidR="005C2288">
        <w:t>’s reputational risk.</w:t>
      </w:r>
    </w:p>
    <w:p w14:paraId="55AF9EA7" w14:textId="745F471B" w:rsidR="00AE204A" w:rsidRPr="005E1048" w:rsidRDefault="009E0173" w:rsidP="00483539">
      <w:pPr>
        <w:pStyle w:val="BodyText1"/>
        <w:jc w:val="left"/>
        <w:rPr>
          <w:rFonts w:asciiTheme="minorHAnsi" w:eastAsiaTheme="minorEastAsia" w:hAnsiTheme="minorHAnsi" w:cstheme="minorBidi"/>
          <w:lang w:bidi="ar-SA"/>
        </w:rPr>
      </w:pPr>
      <w:r w:rsidRPr="005E1048">
        <w:rPr>
          <w:rFonts w:asciiTheme="minorHAnsi" w:eastAsiaTheme="minorEastAsia" w:hAnsiTheme="minorHAnsi" w:cstheme="minorBidi"/>
          <w:lang w:bidi="ar-SA"/>
        </w:rPr>
        <w:t>A</w:t>
      </w:r>
      <w:r w:rsidR="00AE204A" w:rsidRPr="005E1048">
        <w:rPr>
          <w:rFonts w:asciiTheme="minorHAnsi" w:eastAsiaTheme="minorEastAsia" w:hAnsiTheme="minorHAnsi" w:cstheme="minorBidi"/>
          <w:lang w:bidi="ar-SA"/>
        </w:rPr>
        <w:t>gricultural finance</w:t>
      </w:r>
      <w:r w:rsidRPr="005E1048">
        <w:rPr>
          <w:rFonts w:asciiTheme="minorHAnsi" w:eastAsiaTheme="minorEastAsia" w:hAnsiTheme="minorHAnsi" w:cstheme="minorBidi"/>
          <w:lang w:bidi="ar-SA"/>
        </w:rPr>
        <w:t xml:space="preserve"> is another area requiring</w:t>
      </w:r>
      <w:r w:rsidR="00AA386E" w:rsidRPr="005E1048">
        <w:rPr>
          <w:rFonts w:asciiTheme="minorHAnsi" w:eastAsiaTheme="minorEastAsia" w:hAnsiTheme="minorHAnsi" w:cstheme="minorBidi"/>
          <w:lang w:bidi="ar-SA"/>
        </w:rPr>
        <w:t xml:space="preserve"> institutional</w:t>
      </w:r>
      <w:r w:rsidRPr="005E1048">
        <w:rPr>
          <w:rFonts w:asciiTheme="minorHAnsi" w:eastAsiaTheme="minorEastAsia" w:hAnsiTheme="minorHAnsi" w:cstheme="minorBidi"/>
          <w:lang w:bidi="ar-SA"/>
        </w:rPr>
        <w:t xml:space="preserve"> innovation</w:t>
      </w:r>
      <w:r w:rsidR="00AE204A" w:rsidRPr="005E1048">
        <w:rPr>
          <w:rFonts w:asciiTheme="minorHAnsi" w:eastAsiaTheme="minorEastAsia" w:hAnsiTheme="minorHAnsi" w:cstheme="minorBidi"/>
          <w:lang w:bidi="ar-SA"/>
        </w:rPr>
        <w:t>. It is difficult for smallholders to access bank finance</w:t>
      </w:r>
      <w:r w:rsidR="00AE204A" w:rsidRPr="00382F87">
        <w:t xml:space="preserve"> </w:t>
      </w:r>
      <w:r w:rsidR="00AE204A" w:rsidRPr="005E1048">
        <w:rPr>
          <w:rFonts w:asciiTheme="minorHAnsi" w:eastAsiaTheme="minorEastAsia" w:hAnsiTheme="minorHAnsi" w:cstheme="minorBidi"/>
          <w:lang w:bidi="ar-SA"/>
        </w:rPr>
        <w:t>because banks tend to regard farming as too risky and expensive</w:t>
      </w:r>
      <w:r w:rsidR="00B147F5">
        <w:rPr>
          <w:rFonts w:asciiTheme="minorHAnsi" w:eastAsiaTheme="minorEastAsia" w:hAnsiTheme="minorHAnsi" w:cstheme="minorBidi"/>
          <w:lang w:bidi="ar-SA"/>
        </w:rPr>
        <w:t>;</w:t>
      </w:r>
      <w:r w:rsidR="00AE204A" w:rsidRPr="005E1048">
        <w:rPr>
          <w:rFonts w:asciiTheme="minorHAnsi" w:eastAsiaTheme="minorEastAsia" w:hAnsiTheme="minorHAnsi" w:cstheme="minorBidi"/>
          <w:lang w:bidi="ar-SA"/>
        </w:rPr>
        <w:t xml:space="preserve"> farmers often lack formal collateral, the transaction costs of reaching </w:t>
      </w:r>
      <w:r w:rsidR="00D324B4" w:rsidRPr="005E1048">
        <w:rPr>
          <w:rFonts w:asciiTheme="minorHAnsi" w:eastAsiaTheme="minorEastAsia" w:hAnsiTheme="minorHAnsi" w:cstheme="minorBidi"/>
          <w:lang w:bidi="ar-SA"/>
        </w:rPr>
        <w:t xml:space="preserve">smallholders </w:t>
      </w:r>
      <w:r w:rsidR="00AE204A" w:rsidRPr="005E1048">
        <w:rPr>
          <w:rFonts w:asciiTheme="minorHAnsi" w:eastAsiaTheme="minorEastAsia" w:hAnsiTheme="minorHAnsi" w:cstheme="minorBidi"/>
          <w:lang w:bidi="ar-SA"/>
        </w:rPr>
        <w:t>are high, and banks typically are not well informed about agricultur</w:t>
      </w:r>
      <w:r w:rsidR="00D324B4" w:rsidRPr="005E1048">
        <w:rPr>
          <w:rFonts w:asciiTheme="minorHAnsi" w:eastAsiaTheme="minorEastAsia" w:hAnsiTheme="minorHAnsi" w:cstheme="minorBidi"/>
          <w:lang w:bidi="ar-SA"/>
        </w:rPr>
        <w:t>e.</w:t>
      </w:r>
      <w:r w:rsidR="00127196" w:rsidRPr="005E1048">
        <w:rPr>
          <w:rFonts w:asciiTheme="minorHAnsi" w:eastAsiaTheme="minorEastAsia" w:hAnsiTheme="minorHAnsi" w:cstheme="minorBidi"/>
          <w:lang w:bidi="ar-SA"/>
        </w:rPr>
        <w:t xml:space="preserve"> An alternative model</w:t>
      </w:r>
      <w:r w:rsidR="00D324B4" w:rsidRPr="005E1048">
        <w:rPr>
          <w:rFonts w:asciiTheme="minorHAnsi" w:eastAsiaTheme="minorEastAsia" w:hAnsiTheme="minorHAnsi" w:cstheme="minorBidi"/>
          <w:lang w:bidi="ar-SA"/>
        </w:rPr>
        <w:t xml:space="preserve"> piloted</w:t>
      </w:r>
      <w:r w:rsidR="00AE204A" w:rsidRPr="005E1048">
        <w:rPr>
          <w:rFonts w:asciiTheme="minorHAnsi" w:eastAsiaTheme="minorEastAsia" w:hAnsiTheme="minorHAnsi" w:cstheme="minorBidi"/>
          <w:lang w:bidi="ar-SA"/>
        </w:rPr>
        <w:t xml:space="preserve"> by AIP-Rural is value chain finance, which uses value chain relationships to overcome these barriers. For example, a bank issues a loan to farmers secured against a contract with a large buyer or against a warehouse receipt from a recognised storage facility, both of which are already known to the bank. By involving an established actor from the sector – with in-depth understanding of its risks and rewards, and long-standing relations with farmers – value chain finance reduces lending risks by leveraging relationships as assets, and reduces the transaction costs of lending by using value chain actors as loan assessors, distributors or collectors for financial services.</w:t>
      </w:r>
    </w:p>
    <w:p w14:paraId="2F92172A" w14:textId="6E367DDF" w:rsidR="005E1048" w:rsidRDefault="000A4AB1" w:rsidP="00483539">
      <w:pPr>
        <w:pStyle w:val="BodyText1"/>
        <w:jc w:val="left"/>
        <w:rPr>
          <w:rFonts w:asciiTheme="minorHAnsi" w:eastAsiaTheme="minorEastAsia" w:hAnsiTheme="minorHAnsi" w:cstheme="minorBidi"/>
          <w:lang w:bidi="ar-SA"/>
        </w:rPr>
      </w:pPr>
      <w:r w:rsidRPr="005E1048">
        <w:rPr>
          <w:rFonts w:asciiTheme="minorHAnsi" w:eastAsiaTheme="minorEastAsia" w:hAnsiTheme="minorHAnsi" w:cstheme="minorBidi"/>
          <w:lang w:bidi="ar-SA"/>
        </w:rPr>
        <w:t>As noted in the previous sub-section</w:t>
      </w:r>
      <w:r w:rsidR="00AE204A" w:rsidRPr="005E1048">
        <w:rPr>
          <w:rFonts w:asciiTheme="minorHAnsi" w:eastAsiaTheme="minorEastAsia" w:hAnsiTheme="minorHAnsi" w:cstheme="minorBidi"/>
          <w:lang w:bidi="ar-SA"/>
        </w:rPr>
        <w:t xml:space="preserve">, </w:t>
      </w:r>
      <w:r w:rsidR="005D461A" w:rsidRPr="005E1048">
        <w:rPr>
          <w:rFonts w:asciiTheme="minorHAnsi" w:eastAsiaTheme="minorEastAsia" w:hAnsiTheme="minorHAnsi" w:cstheme="minorBidi"/>
          <w:lang w:bidi="ar-SA"/>
        </w:rPr>
        <w:t>PRISMA-2</w:t>
      </w:r>
      <w:r w:rsidR="00AE204A" w:rsidRPr="005E1048">
        <w:rPr>
          <w:rFonts w:asciiTheme="minorHAnsi" w:eastAsiaTheme="minorEastAsia" w:hAnsiTheme="minorHAnsi" w:cstheme="minorBidi"/>
          <w:lang w:bidi="ar-SA"/>
        </w:rPr>
        <w:t xml:space="preserve"> will promote innovative approaches and the capacity for innovation more widely across the Indonesian institutional landscape. </w:t>
      </w:r>
      <w:r w:rsidR="009E0173" w:rsidRPr="005E1048">
        <w:rPr>
          <w:rFonts w:asciiTheme="minorHAnsi" w:eastAsiaTheme="minorEastAsia" w:hAnsiTheme="minorHAnsi" w:cstheme="minorBidi"/>
          <w:lang w:bidi="ar-SA"/>
        </w:rPr>
        <w:t>In doing so, it</w:t>
      </w:r>
      <w:r w:rsidR="00AE204A" w:rsidRPr="005E1048">
        <w:rPr>
          <w:rFonts w:asciiTheme="minorHAnsi" w:eastAsiaTheme="minorEastAsia" w:hAnsiTheme="minorHAnsi" w:cstheme="minorBidi"/>
          <w:lang w:bidi="ar-SA"/>
        </w:rPr>
        <w:t xml:space="preserve"> can contribute to </w:t>
      </w:r>
      <w:r w:rsidR="009E0173" w:rsidRPr="005E1048">
        <w:rPr>
          <w:rFonts w:asciiTheme="minorHAnsi" w:eastAsiaTheme="minorEastAsia" w:hAnsiTheme="minorHAnsi" w:cstheme="minorBidi"/>
          <w:lang w:bidi="ar-SA"/>
        </w:rPr>
        <w:t xml:space="preserve">a </w:t>
      </w:r>
      <w:r w:rsidR="00AE204A" w:rsidRPr="005E1048">
        <w:rPr>
          <w:rFonts w:asciiTheme="minorHAnsi" w:eastAsiaTheme="minorEastAsia" w:hAnsiTheme="minorHAnsi" w:cstheme="minorBidi"/>
          <w:lang w:bidi="ar-SA"/>
        </w:rPr>
        <w:t>momentum for change towards more market-oriented, pluralistic approaches in Indonesia</w:t>
      </w:r>
      <w:r w:rsidR="000D4B02" w:rsidRPr="005E1048">
        <w:rPr>
          <w:rFonts w:asciiTheme="minorHAnsi" w:eastAsiaTheme="minorEastAsia" w:hAnsiTheme="minorHAnsi" w:cstheme="minorBidi"/>
          <w:lang w:bidi="ar-SA"/>
        </w:rPr>
        <w:t xml:space="preserve"> within policy discussions at the national level</w:t>
      </w:r>
      <w:r w:rsidR="005C2288">
        <w:rPr>
          <w:rFonts w:asciiTheme="minorHAnsi" w:eastAsiaTheme="minorEastAsia" w:hAnsiTheme="minorHAnsi" w:cstheme="minorBidi"/>
          <w:lang w:bidi="ar-SA"/>
        </w:rPr>
        <w:t>.</w:t>
      </w:r>
    </w:p>
    <w:p w14:paraId="1F1B1D0F" w14:textId="77777777" w:rsidR="005C2288" w:rsidRPr="005E1048" w:rsidRDefault="005C2288" w:rsidP="00483539">
      <w:pPr>
        <w:pStyle w:val="BodyText1"/>
        <w:jc w:val="left"/>
        <w:rPr>
          <w:rFonts w:asciiTheme="minorHAnsi" w:eastAsiaTheme="minorEastAsia" w:hAnsiTheme="minorHAnsi" w:cstheme="minorBidi"/>
          <w:lang w:bidi="ar-SA"/>
        </w:rPr>
      </w:pPr>
    </w:p>
    <w:p w14:paraId="1C9E0D80" w14:textId="7593DD92" w:rsidR="001056C2" w:rsidRDefault="007E4A1B" w:rsidP="00314E16">
      <w:pPr>
        <w:pStyle w:val="Heading3"/>
      </w:pPr>
      <w:bookmarkStart w:id="14" w:name="_Toc499298846"/>
      <w:r w:rsidRPr="00D43874">
        <w:lastRenderedPageBreak/>
        <w:t xml:space="preserve">Value for </w:t>
      </w:r>
      <w:r w:rsidR="00962EBA">
        <w:t>M</w:t>
      </w:r>
      <w:r w:rsidR="009356CB" w:rsidRPr="00D43874">
        <w:t>oney</w:t>
      </w:r>
      <w:bookmarkEnd w:id="14"/>
    </w:p>
    <w:p w14:paraId="5BBB8EE8" w14:textId="05C9F3E1" w:rsidR="00A93668" w:rsidRDefault="00CB602B" w:rsidP="00483539">
      <w:pPr>
        <w:rPr>
          <w:rFonts w:ascii="Calibri" w:hAnsi="Calibri" w:cs="Calibri"/>
        </w:rPr>
      </w:pPr>
      <w:r w:rsidRPr="0009185D">
        <w:rPr>
          <w:rFonts w:ascii="Calibri" w:hAnsi="Calibri" w:cs="Calibri"/>
        </w:rPr>
        <w:t xml:space="preserve">Value for Money (VFM) is an explicit focus and benefit of the </w:t>
      </w:r>
      <w:r w:rsidR="00A93668">
        <w:rPr>
          <w:rFonts w:ascii="Calibri" w:hAnsi="Calibri" w:cs="Calibri"/>
        </w:rPr>
        <w:t>MSD</w:t>
      </w:r>
      <w:r w:rsidRPr="0009185D">
        <w:rPr>
          <w:rFonts w:ascii="Calibri" w:hAnsi="Calibri" w:cs="Calibri"/>
        </w:rPr>
        <w:t xml:space="preserve"> approach.  </w:t>
      </w:r>
      <w:r w:rsidR="00633041" w:rsidRPr="0009185D">
        <w:rPr>
          <w:rFonts w:ascii="Calibri" w:hAnsi="Calibri" w:cs="Calibri"/>
        </w:rPr>
        <w:t xml:space="preserve">Retaining the approach and tools developed under AIP-Rural, </w:t>
      </w:r>
      <w:r w:rsidR="00633041">
        <w:rPr>
          <w:rFonts w:ascii="Calibri" w:hAnsi="Calibri" w:cs="Calibri"/>
        </w:rPr>
        <w:t>PRISMA-2</w:t>
      </w:r>
      <w:r w:rsidR="00633041" w:rsidRPr="0009185D">
        <w:rPr>
          <w:rFonts w:ascii="Calibri" w:hAnsi="Calibri" w:cs="Calibri"/>
        </w:rPr>
        <w:t xml:space="preserve"> will </w:t>
      </w:r>
      <w:r w:rsidR="00A8384D">
        <w:rPr>
          <w:rFonts w:ascii="Calibri" w:hAnsi="Calibri" w:cs="Calibri"/>
        </w:rPr>
        <w:t>retain a strong focus on the measurement, management</w:t>
      </w:r>
      <w:r w:rsidR="00A93668">
        <w:rPr>
          <w:rFonts w:ascii="Calibri" w:hAnsi="Calibri" w:cs="Calibri"/>
        </w:rPr>
        <w:t>,</w:t>
      </w:r>
      <w:r w:rsidR="00A8384D">
        <w:rPr>
          <w:rFonts w:ascii="Calibri" w:hAnsi="Calibri" w:cs="Calibri"/>
        </w:rPr>
        <w:t xml:space="preserve"> and improveme</w:t>
      </w:r>
      <w:r w:rsidR="005C2288">
        <w:rPr>
          <w:rFonts w:ascii="Calibri" w:hAnsi="Calibri" w:cs="Calibri"/>
        </w:rPr>
        <w:t>nt of VFM indicators over time.</w:t>
      </w:r>
    </w:p>
    <w:p w14:paraId="106F9DD3" w14:textId="6981200A" w:rsidR="00A93668" w:rsidRDefault="00A93668" w:rsidP="00483539">
      <w:pPr>
        <w:rPr>
          <w:rFonts w:ascii="Calibri" w:hAnsi="Calibri" w:cs="Calibri"/>
        </w:rPr>
      </w:pPr>
      <w:r w:rsidRPr="0009185D">
        <w:rPr>
          <w:rFonts w:ascii="Calibri" w:hAnsi="Calibri" w:cs="Calibri"/>
        </w:rPr>
        <w:t>AIP-</w:t>
      </w:r>
      <w:proofErr w:type="spellStart"/>
      <w:r w:rsidRPr="0009185D">
        <w:rPr>
          <w:rFonts w:ascii="Calibri" w:hAnsi="Calibri" w:cs="Calibri"/>
        </w:rPr>
        <w:t>Rural</w:t>
      </w:r>
      <w:r>
        <w:rPr>
          <w:rFonts w:ascii="Calibri" w:hAnsi="Calibri" w:cs="Calibri"/>
        </w:rPr>
        <w:t>’s</w:t>
      </w:r>
      <w:proofErr w:type="spellEnd"/>
      <w:r>
        <w:rPr>
          <w:rFonts w:ascii="Calibri" w:hAnsi="Calibri" w:cs="Calibri"/>
        </w:rPr>
        <w:t xml:space="preserve"> mid-term review found that VFM trends in AIP-Rural were </w:t>
      </w:r>
      <w:r w:rsidR="00807169">
        <w:rPr>
          <w:rFonts w:ascii="Calibri" w:hAnsi="Calibri" w:cs="Calibri"/>
        </w:rPr>
        <w:t xml:space="preserve">progressively </w:t>
      </w:r>
      <w:r>
        <w:rPr>
          <w:rFonts w:ascii="Calibri" w:hAnsi="Calibri" w:cs="Calibri"/>
        </w:rPr>
        <w:t>improving and represented a good return on donor investment.</w:t>
      </w:r>
      <w:r>
        <w:rPr>
          <w:rStyle w:val="FootnoteReference"/>
          <w:rFonts w:ascii="Calibri" w:hAnsi="Calibri" w:cs="Calibri"/>
        </w:rPr>
        <w:footnoteReference w:id="49"/>
      </w:r>
      <w:r>
        <w:rPr>
          <w:rFonts w:ascii="Calibri" w:hAnsi="Calibri" w:cs="Calibri"/>
        </w:rPr>
        <w:t xml:space="preserve"> Whilst the early years of implementation generally had low VFM (as expected), AIP-Rural has steadily improved its VFM indicators,</w:t>
      </w:r>
      <w:r>
        <w:rPr>
          <w:rStyle w:val="FootnoteReference"/>
          <w:rFonts w:ascii="Calibri" w:hAnsi="Calibri" w:cs="Calibri"/>
        </w:rPr>
        <w:footnoteReference w:id="50"/>
      </w:r>
      <w:r>
        <w:rPr>
          <w:rFonts w:ascii="Calibri" w:hAnsi="Calibri" w:cs="Calibri"/>
        </w:rPr>
        <w:t xml:space="preserve"> with AUD35.6 million</w:t>
      </w:r>
      <w:r w:rsidR="0028742B">
        <w:rPr>
          <w:rFonts w:ascii="Calibri" w:hAnsi="Calibri" w:cs="Calibri"/>
        </w:rPr>
        <w:t xml:space="preserve"> already</w:t>
      </w:r>
      <w:r>
        <w:rPr>
          <w:rFonts w:ascii="Calibri" w:hAnsi="Calibri" w:cs="Calibri"/>
        </w:rPr>
        <w:t xml:space="preserve"> generated against the program’s AUD55.5 million investment at June 2017.</w:t>
      </w:r>
      <w:r>
        <w:rPr>
          <w:rStyle w:val="FootnoteReference"/>
          <w:rFonts w:ascii="Calibri" w:hAnsi="Calibri" w:cs="Calibri"/>
        </w:rPr>
        <w:footnoteReference w:id="51"/>
      </w:r>
      <w:r>
        <w:rPr>
          <w:rFonts w:ascii="Calibri" w:hAnsi="Calibri" w:cs="Calibri"/>
        </w:rPr>
        <w:t xml:space="preserve"> O</w:t>
      </w:r>
      <w:r w:rsidRPr="0009185D">
        <w:rPr>
          <w:rFonts w:ascii="Calibri" w:hAnsi="Calibri" w:cs="Calibri"/>
        </w:rPr>
        <w:t xml:space="preserve">perating in challenging contexts such as eastern Indonesia can adversely affect </w:t>
      </w:r>
      <w:r>
        <w:rPr>
          <w:rFonts w:ascii="Calibri" w:hAnsi="Calibri" w:cs="Calibri"/>
        </w:rPr>
        <w:t>VFM</w:t>
      </w:r>
      <w:r w:rsidRPr="0009185D">
        <w:rPr>
          <w:rFonts w:ascii="Calibri" w:hAnsi="Calibri" w:cs="Calibri"/>
        </w:rPr>
        <w:t>,</w:t>
      </w:r>
      <w:r>
        <w:rPr>
          <w:rFonts w:ascii="Calibri" w:hAnsi="Calibri" w:cs="Calibri"/>
        </w:rPr>
        <w:t xml:space="preserve"> however evidence from AIP-Rural shows that</w:t>
      </w:r>
      <w:r w:rsidRPr="0009185D">
        <w:rPr>
          <w:rFonts w:ascii="Calibri" w:hAnsi="Calibri" w:cs="Calibri"/>
        </w:rPr>
        <w:t xml:space="preserve"> the majority of interventions show positive, measurable </w:t>
      </w:r>
      <w:r>
        <w:rPr>
          <w:rFonts w:ascii="Calibri" w:hAnsi="Calibri" w:cs="Calibri"/>
        </w:rPr>
        <w:t>VFM</w:t>
      </w:r>
      <w:r w:rsidRPr="0009185D">
        <w:rPr>
          <w:rFonts w:ascii="Calibri" w:hAnsi="Calibri" w:cs="Calibri"/>
        </w:rPr>
        <w:t xml:space="preserve"> after 2-3 years of implementation</w:t>
      </w:r>
      <w:r>
        <w:rPr>
          <w:rFonts w:ascii="Calibri" w:hAnsi="Calibri" w:cs="Calibri"/>
        </w:rPr>
        <w:t xml:space="preserve"> (see Chart 1)</w:t>
      </w:r>
      <w:r w:rsidRPr="0009185D">
        <w:rPr>
          <w:rFonts w:ascii="Calibri" w:hAnsi="Calibri" w:cs="Calibri"/>
        </w:rPr>
        <w:t>.</w:t>
      </w:r>
      <w:r>
        <w:rPr>
          <w:rFonts w:ascii="Calibri" w:hAnsi="Calibri" w:cs="Calibri"/>
        </w:rPr>
        <w:t xml:space="preserve"> PRISMA-2 is expected to continue these trends to deliver strong VFM and good return on the Australian Government’s $95 million investment.</w:t>
      </w:r>
    </w:p>
    <w:tbl>
      <w:tblPr>
        <w:tblStyle w:val="TableGrid11"/>
        <w:tblpPr w:leftFromText="180" w:rightFromText="180" w:vertAnchor="text"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7"/>
      </w:tblGrid>
      <w:tr w:rsidR="00F35582" w:rsidRPr="0009185D" w14:paraId="2B05F2CA" w14:textId="77777777" w:rsidTr="00F35582">
        <w:tc>
          <w:tcPr>
            <w:tcW w:w="5437" w:type="dxa"/>
          </w:tcPr>
          <w:p w14:paraId="6757B69F" w14:textId="77777777" w:rsidR="00F35582" w:rsidRPr="0009185D" w:rsidRDefault="00F35582" w:rsidP="00F35582">
            <w:pPr>
              <w:jc w:val="center"/>
              <w:rPr>
                <w:sz w:val="20"/>
                <w:lang w:eastAsia="en-AU"/>
              </w:rPr>
            </w:pPr>
            <w:r>
              <w:rPr>
                <w:noProof/>
                <w:lang w:eastAsia="en-AU"/>
              </w:rPr>
              <mc:AlternateContent>
                <mc:Choice Requires="wps">
                  <w:drawing>
                    <wp:anchor distT="0" distB="0" distL="114300" distR="114300" simplePos="0" relativeHeight="251706880" behindDoc="0" locked="0" layoutInCell="1" allowOverlap="1" wp14:anchorId="79305FA7" wp14:editId="4FD27B69">
                      <wp:simplePos x="0" y="0"/>
                      <wp:positionH relativeFrom="column">
                        <wp:posOffset>670914</wp:posOffset>
                      </wp:positionH>
                      <wp:positionV relativeFrom="paragraph">
                        <wp:posOffset>2331720</wp:posOffset>
                      </wp:positionV>
                      <wp:extent cx="2283195" cy="313055"/>
                      <wp:effectExtent l="0" t="0" r="317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195" cy="313055"/>
                              </a:xfrm>
                              <a:prstGeom prst="rect">
                                <a:avLst/>
                              </a:prstGeom>
                              <a:solidFill>
                                <a:srgbClr val="FFFFFF"/>
                              </a:solidFill>
                              <a:ln w="9525">
                                <a:noFill/>
                                <a:miter lim="800000"/>
                                <a:headEnd/>
                                <a:tailEnd/>
                              </a:ln>
                            </wps:spPr>
                            <wps:txbx>
                              <w:txbxContent>
                                <w:p w14:paraId="5790C162" w14:textId="77777777" w:rsidR="00243660" w:rsidRDefault="00243660" w:rsidP="00F35582">
                                  <w:r w:rsidRPr="0009185D">
                                    <w:rPr>
                                      <w:sz w:val="16"/>
                                      <w:szCs w:val="16"/>
                                      <w:lang w:eastAsia="en-AU"/>
                                    </w:rPr>
                                    <w:t xml:space="preserve">Source: AIP-Rural MIS </w:t>
                                  </w:r>
                                  <w:r>
                                    <w:rPr>
                                      <w:sz w:val="16"/>
                                      <w:szCs w:val="16"/>
                                      <w:lang w:eastAsia="en-AU"/>
                                    </w:rPr>
                                    <w:t>June 2017</w:t>
                                  </w:r>
                                  <w:r w:rsidRPr="0009185D">
                                    <w:rPr>
                                      <w:sz w:val="16"/>
                                      <w:szCs w:val="16"/>
                                      <w:lang w:eastAsia="en-AU"/>
                                    </w:rPr>
                                    <w:t xml:space="preserve"> and </w:t>
                                  </w:r>
                                  <w:proofErr w:type="spellStart"/>
                                  <w:r>
                                    <w:rPr>
                                      <w:sz w:val="16"/>
                                      <w:szCs w:val="16"/>
                                      <w:lang w:eastAsia="en-AU"/>
                                    </w:rPr>
                                    <w:t>PoC</w:t>
                                  </w:r>
                                  <w:proofErr w:type="spellEnd"/>
                                  <w:r w:rsidRPr="0009185D">
                                    <w:rPr>
                                      <w:sz w:val="16"/>
                                      <w:szCs w:val="16"/>
                                      <w:lang w:eastAsia="en-AU"/>
                                    </w:rPr>
                                    <w:t xml:space="preserve">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2.85pt;margin-top:183.6pt;width:179.8pt;height:24.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" stroked="f">
                      <v:textbox>
                        <w:txbxContent>
                          <w:p w14:paraId="5790C162" w14:textId="77777777" w:rsidR="00243660" w:rsidRDefault="00243660" w:rsidP="00F35582">
                            <w:r w:rsidRPr="0009185D">
                              <w:rPr>
                                <w:sz w:val="16"/>
                                <w:szCs w:val="16"/>
                                <w:lang w:eastAsia="en-AU"/>
                              </w:rPr>
                              <w:t xml:space="preserve">Source: AIP-Rural MIS </w:t>
                            </w:r>
                            <w:r>
                              <w:rPr>
                                <w:sz w:val="16"/>
                                <w:szCs w:val="16"/>
                                <w:lang w:eastAsia="en-AU"/>
                              </w:rPr>
                              <w:t>June 2017</w:t>
                            </w:r>
                            <w:r w:rsidRPr="0009185D">
                              <w:rPr>
                                <w:sz w:val="16"/>
                                <w:szCs w:val="16"/>
                                <w:lang w:eastAsia="en-AU"/>
                              </w:rPr>
                              <w:t xml:space="preserve"> and </w:t>
                            </w:r>
                            <w:proofErr w:type="spellStart"/>
                            <w:r>
                              <w:rPr>
                                <w:sz w:val="16"/>
                                <w:szCs w:val="16"/>
                                <w:lang w:eastAsia="en-AU"/>
                              </w:rPr>
                              <w:t>PoC</w:t>
                            </w:r>
                            <w:proofErr w:type="spellEnd"/>
                            <w:r w:rsidRPr="0009185D">
                              <w:rPr>
                                <w:sz w:val="16"/>
                                <w:szCs w:val="16"/>
                                <w:lang w:eastAsia="en-AU"/>
                              </w:rPr>
                              <w:t xml:space="preserve"> analysis</w:t>
                            </w:r>
                          </w:p>
                        </w:txbxContent>
                      </v:textbox>
                    </v:shape>
                  </w:pict>
                </mc:Fallback>
              </mc:AlternateContent>
            </w:r>
            <w:r w:rsidRPr="0009185D">
              <w:rPr>
                <w:rFonts w:cs="Calibri"/>
                <w:b/>
              </w:rPr>
              <w:t>Chart 1: Private sector leverage increases over time</w:t>
            </w:r>
            <w:r>
              <w:rPr>
                <w:noProof/>
                <w:sz w:val="20"/>
                <w:lang w:eastAsia="en-AU"/>
              </w:rPr>
              <w:drawing>
                <wp:inline distT="0" distB="0" distL="0" distR="0" wp14:anchorId="58D53AA4" wp14:editId="07379B12">
                  <wp:extent cx="3315401" cy="218850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7571" cy="2196538"/>
                          </a:xfrm>
                          <a:prstGeom prst="rect">
                            <a:avLst/>
                          </a:prstGeom>
                          <a:noFill/>
                        </pic:spPr>
                      </pic:pic>
                    </a:graphicData>
                  </a:graphic>
                </wp:inline>
              </w:drawing>
            </w:r>
          </w:p>
        </w:tc>
      </w:tr>
      <w:tr w:rsidR="00F35582" w:rsidRPr="0009185D" w14:paraId="18726F9C" w14:textId="77777777" w:rsidTr="00F35582">
        <w:tc>
          <w:tcPr>
            <w:tcW w:w="5437" w:type="dxa"/>
          </w:tcPr>
          <w:p w14:paraId="1E4000FB" w14:textId="77777777" w:rsidR="00F35582" w:rsidRPr="0009185D" w:rsidRDefault="00F35582" w:rsidP="00F35582">
            <w:pPr>
              <w:rPr>
                <w:sz w:val="20"/>
                <w:lang w:eastAsia="en-AU"/>
              </w:rPr>
            </w:pPr>
          </w:p>
        </w:tc>
      </w:tr>
    </w:tbl>
    <w:p w14:paraId="2539FFD8" w14:textId="2C8C0EDC" w:rsidR="00A93668" w:rsidRDefault="00A8384D" w:rsidP="00483539">
      <w:pPr>
        <w:rPr>
          <w:rFonts w:ascii="Calibri" w:hAnsi="Calibri" w:cs="Calibri"/>
        </w:rPr>
      </w:pPr>
      <w:r>
        <w:rPr>
          <w:rFonts w:ascii="Calibri" w:hAnsi="Calibri" w:cs="Calibri"/>
        </w:rPr>
        <w:t xml:space="preserve">The Program will </w:t>
      </w:r>
      <w:r w:rsidR="00633041" w:rsidRPr="0009185D">
        <w:rPr>
          <w:rFonts w:ascii="Calibri" w:hAnsi="Calibri" w:cs="Calibri"/>
        </w:rPr>
        <w:t xml:space="preserve">operationalise measurement of </w:t>
      </w:r>
      <w:r w:rsidR="009D174E">
        <w:rPr>
          <w:rFonts w:ascii="Calibri" w:hAnsi="Calibri" w:cs="Calibri"/>
        </w:rPr>
        <w:t>VFM</w:t>
      </w:r>
      <w:r w:rsidR="00633041" w:rsidRPr="0009185D">
        <w:rPr>
          <w:rFonts w:ascii="Calibri" w:hAnsi="Calibri" w:cs="Calibri"/>
        </w:rPr>
        <w:t xml:space="preserve"> by using the existing management information system (MIS) to monitor three </w:t>
      </w:r>
      <w:r w:rsidR="00633041">
        <w:rPr>
          <w:rFonts w:ascii="Calibri" w:hAnsi="Calibri" w:cs="Calibri"/>
        </w:rPr>
        <w:t>VFM</w:t>
      </w:r>
      <w:r w:rsidR="00633041" w:rsidRPr="0009185D">
        <w:rPr>
          <w:rFonts w:ascii="Calibri" w:hAnsi="Calibri" w:cs="Calibri"/>
        </w:rPr>
        <w:t xml:space="preserve"> indicators: investment leverage, social return on investment</w:t>
      </w:r>
      <w:r w:rsidR="00C261EA">
        <w:rPr>
          <w:rFonts w:ascii="Calibri" w:hAnsi="Calibri" w:cs="Calibri"/>
        </w:rPr>
        <w:t xml:space="preserve"> (SROI)</w:t>
      </w:r>
      <w:r w:rsidR="00633041" w:rsidRPr="0009185D">
        <w:rPr>
          <w:rFonts w:ascii="Calibri" w:hAnsi="Calibri" w:cs="Calibri"/>
        </w:rPr>
        <w:t>, and investment per farmer</w:t>
      </w:r>
      <w:r w:rsidR="00633041" w:rsidRPr="0009185D">
        <w:rPr>
          <w:rFonts w:ascii="Calibri" w:hAnsi="Calibri" w:cs="Calibri"/>
          <w:vertAlign w:val="superscript"/>
        </w:rPr>
        <w:footnoteReference w:id="52"/>
      </w:r>
      <w:r w:rsidR="006952A0">
        <w:rPr>
          <w:rFonts w:ascii="Calibri" w:hAnsi="Calibri" w:cs="Calibri"/>
        </w:rPr>
        <w:t xml:space="preserve"> in conjunction with DFAT’s VFM principles.</w:t>
      </w:r>
      <w:r w:rsidR="006952A0">
        <w:rPr>
          <w:rStyle w:val="FootnoteReference"/>
          <w:rFonts w:ascii="Calibri" w:hAnsi="Calibri" w:cs="Calibri"/>
        </w:rPr>
        <w:footnoteReference w:id="53"/>
      </w:r>
      <w:r w:rsidR="00A93668">
        <w:rPr>
          <w:rFonts w:ascii="Calibri" w:hAnsi="Calibri" w:cs="Calibri"/>
        </w:rPr>
        <w:t xml:space="preserve"> </w:t>
      </w:r>
      <w:r w:rsidR="00A93668" w:rsidRPr="0009185D">
        <w:rPr>
          <w:rFonts w:ascii="Calibri" w:hAnsi="Calibri" w:cs="Calibri"/>
        </w:rPr>
        <w:t xml:space="preserve">A central element of </w:t>
      </w:r>
      <w:r w:rsidR="00A93668">
        <w:rPr>
          <w:rFonts w:ascii="Calibri" w:hAnsi="Calibri" w:cs="Calibri"/>
        </w:rPr>
        <w:t>MSD</w:t>
      </w:r>
      <w:r w:rsidR="00A93668" w:rsidRPr="0009185D">
        <w:rPr>
          <w:rFonts w:ascii="Calibri" w:hAnsi="Calibri" w:cs="Calibri"/>
        </w:rPr>
        <w:t xml:space="preserve"> is use of donor investment to leverage investment by private sector partners. If an intervention opens up a commercial opportunity for a private sector partner, they have an incentive to co-finance it during adoption and then take it over during ada</w:t>
      </w:r>
      <w:r w:rsidR="00A93668">
        <w:rPr>
          <w:rFonts w:ascii="Calibri" w:hAnsi="Calibri" w:cs="Calibri"/>
        </w:rPr>
        <w:t>ption and expansion (see Annex 5)</w:t>
      </w:r>
      <w:r w:rsidR="00A93668" w:rsidRPr="0009185D">
        <w:rPr>
          <w:rFonts w:ascii="Calibri" w:hAnsi="Calibri" w:cs="Calibri"/>
        </w:rPr>
        <w:t xml:space="preserve">, </w:t>
      </w:r>
      <w:r w:rsidR="00A93668">
        <w:rPr>
          <w:rFonts w:ascii="Calibri" w:hAnsi="Calibri" w:cs="Calibri"/>
        </w:rPr>
        <w:t>thereby ensuring sustainability. PRISMA-2</w:t>
      </w:r>
      <w:r w:rsidR="00A93668" w:rsidRPr="0009185D">
        <w:rPr>
          <w:rFonts w:ascii="Calibri" w:hAnsi="Calibri" w:cs="Calibri"/>
        </w:rPr>
        <w:t xml:space="preserve"> will measure and report leverage for each intervention, and benchmark progress in investment leverage against the experience in AIP-Rural</w:t>
      </w:r>
      <w:r w:rsidR="00A93668">
        <w:rPr>
          <w:rFonts w:ascii="Calibri" w:hAnsi="Calibri" w:cs="Calibri"/>
        </w:rPr>
        <w:t xml:space="preserve"> and other global M4P programs.</w:t>
      </w:r>
      <w:r w:rsidR="00A93668" w:rsidRPr="0009185D">
        <w:rPr>
          <w:rFonts w:ascii="Calibri" w:hAnsi="Calibri" w:cs="Calibri"/>
        </w:rPr>
        <w:t xml:space="preserve"> A lesson from AIP-Rural, consistent with lessons from other MSD programs, is that </w:t>
      </w:r>
      <w:r w:rsidR="00A93668">
        <w:rPr>
          <w:rFonts w:ascii="Calibri" w:hAnsi="Calibri" w:cs="Calibri"/>
        </w:rPr>
        <w:t>VFM</w:t>
      </w:r>
      <w:r w:rsidR="00A93668" w:rsidRPr="0009185D">
        <w:rPr>
          <w:rFonts w:ascii="Calibri" w:hAnsi="Calibri" w:cs="Calibri"/>
        </w:rPr>
        <w:t xml:space="preserve"> improves over time, after early implementation of interventions begin to bear fruit and ‘crowding-in’ occurs (</w:t>
      </w:r>
      <w:r w:rsidR="00A93668">
        <w:rPr>
          <w:rFonts w:ascii="Calibri" w:hAnsi="Calibri" w:cs="Calibri"/>
        </w:rPr>
        <w:t xml:space="preserve">see </w:t>
      </w:r>
      <w:r w:rsidR="001D3321">
        <w:rPr>
          <w:rFonts w:ascii="Calibri" w:hAnsi="Calibri" w:cs="Calibri"/>
        </w:rPr>
        <w:t>Box 1 and Box 4</w:t>
      </w:r>
      <w:r w:rsidR="005C2288">
        <w:rPr>
          <w:rFonts w:ascii="Calibri" w:hAnsi="Calibri" w:cs="Calibri"/>
        </w:rPr>
        <w:t>).</w:t>
      </w:r>
    </w:p>
    <w:p w14:paraId="334201D3" w14:textId="01FB2BA3" w:rsidR="00A93668" w:rsidRDefault="00A93668" w:rsidP="00483539">
      <w:pPr>
        <w:rPr>
          <w:rFonts w:ascii="Calibri" w:hAnsi="Calibri" w:cs="Calibri"/>
        </w:rPr>
      </w:pPr>
      <w:r w:rsidRPr="0009185D">
        <w:rPr>
          <w:rFonts w:ascii="Calibri" w:hAnsi="Calibri" w:cs="Calibri"/>
        </w:rPr>
        <w:t xml:space="preserve">In </w:t>
      </w:r>
      <w:r>
        <w:rPr>
          <w:rFonts w:ascii="Calibri" w:hAnsi="Calibri" w:cs="Calibri"/>
        </w:rPr>
        <w:t>PRISMA-2</w:t>
      </w:r>
      <w:r w:rsidRPr="0009185D">
        <w:rPr>
          <w:rFonts w:ascii="Calibri" w:hAnsi="Calibri" w:cs="Calibri"/>
        </w:rPr>
        <w:t xml:space="preserve">, the full costs of interventions will be used to assess </w:t>
      </w:r>
      <w:r>
        <w:rPr>
          <w:rFonts w:ascii="Calibri" w:hAnsi="Calibri" w:cs="Calibri"/>
        </w:rPr>
        <w:t>VFM</w:t>
      </w:r>
      <w:r w:rsidRPr="0009185D">
        <w:rPr>
          <w:rFonts w:ascii="Calibri" w:hAnsi="Calibri" w:cs="Calibri"/>
        </w:rPr>
        <w:t xml:space="preserve">. This will be achieved by monitoring and including </w:t>
      </w:r>
      <w:proofErr w:type="gramStart"/>
      <w:r w:rsidRPr="0009185D">
        <w:rPr>
          <w:rFonts w:ascii="Calibri" w:hAnsi="Calibri" w:cs="Calibri"/>
        </w:rPr>
        <w:t>attributable</w:t>
      </w:r>
      <w:proofErr w:type="gramEnd"/>
      <w:r w:rsidRPr="0009185D">
        <w:rPr>
          <w:rFonts w:ascii="Calibri" w:hAnsi="Calibri" w:cs="Calibri"/>
        </w:rPr>
        <w:t xml:space="preserve"> technical personnel and other input costs for each intervention, and factoring these costs and management costs into portfolio reviews of interventions.</w:t>
      </w:r>
      <w:r w:rsidR="00807169">
        <w:rPr>
          <w:rFonts w:ascii="Calibri" w:hAnsi="Calibri" w:cs="Calibri"/>
        </w:rPr>
        <w:t xml:space="preserve"> This is because i</w:t>
      </w:r>
      <w:r w:rsidR="00807169" w:rsidRPr="0009185D">
        <w:rPr>
          <w:rFonts w:ascii="Calibri" w:hAnsi="Calibri" w:cs="Calibri"/>
        </w:rPr>
        <w:t xml:space="preserve">n </w:t>
      </w:r>
      <w:r w:rsidR="00807169">
        <w:rPr>
          <w:rFonts w:ascii="Calibri" w:hAnsi="Calibri" w:cs="Calibri"/>
        </w:rPr>
        <w:t>an MSD</w:t>
      </w:r>
      <w:r w:rsidR="00807169" w:rsidRPr="0009185D">
        <w:rPr>
          <w:rFonts w:ascii="Calibri" w:hAnsi="Calibri" w:cs="Calibri"/>
        </w:rPr>
        <w:t xml:space="preserve"> program, technical or intervention teams are the principal way in which value is added.  </w:t>
      </w:r>
      <w:r w:rsidRPr="0009185D">
        <w:rPr>
          <w:rFonts w:ascii="Calibri" w:hAnsi="Calibri" w:cs="Calibri"/>
        </w:rPr>
        <w:t>This will be reported to DFAT as an integral cost of each intervention.</w:t>
      </w:r>
    </w:p>
    <w:p w14:paraId="33080133" w14:textId="7FBAA7A5" w:rsidR="00E053F4" w:rsidRPr="00DE4A97" w:rsidRDefault="00A210F6" w:rsidP="00314E16">
      <w:pPr>
        <w:pStyle w:val="Heading3"/>
      </w:pPr>
      <w:bookmarkStart w:id="15" w:name="_Toc499298847"/>
      <w:r>
        <w:lastRenderedPageBreak/>
        <w:t>Implementati</w:t>
      </w:r>
      <w:r w:rsidR="00E8481B">
        <w:t>on</w:t>
      </w:r>
      <w:r w:rsidR="001D5852">
        <w:t xml:space="preserve"> Mechanisms</w:t>
      </w:r>
      <w:bookmarkEnd w:id="15"/>
    </w:p>
    <w:p w14:paraId="5282DC37" w14:textId="5C06AEC1" w:rsidR="00E053F4" w:rsidRPr="00343460" w:rsidRDefault="005D461A" w:rsidP="00E053F4">
      <w:pPr>
        <w:pStyle w:val="BodyText"/>
        <w:rPr>
          <w:rFonts w:cstheme="minorHAnsi"/>
        </w:rPr>
      </w:pPr>
      <w:bookmarkStart w:id="16" w:name="_Hlk488136693"/>
      <w:r>
        <w:rPr>
          <w:rFonts w:cstheme="minorHAnsi"/>
        </w:rPr>
        <w:t>PRISMA-2</w:t>
      </w:r>
      <w:r w:rsidR="00E053F4" w:rsidRPr="00343460">
        <w:rPr>
          <w:rFonts w:cstheme="minorHAnsi"/>
        </w:rPr>
        <w:t xml:space="preserve"> will be </w:t>
      </w:r>
      <w:r w:rsidR="00BE4BB7">
        <w:rPr>
          <w:rFonts w:cstheme="minorHAnsi"/>
        </w:rPr>
        <w:t xml:space="preserve">implemented as </w:t>
      </w:r>
      <w:r w:rsidR="00E053F4" w:rsidRPr="00343460">
        <w:rPr>
          <w:rFonts w:cstheme="minorHAnsi"/>
        </w:rPr>
        <w:t xml:space="preserve">a single program managed by one Contractor. </w:t>
      </w:r>
      <w:r w:rsidR="00776CE2">
        <w:rPr>
          <w:rFonts w:cstheme="minorHAnsi"/>
        </w:rPr>
        <w:t xml:space="preserve">PRISMA-2 will bring together elements and evidence from the four AIP-Rural sub-programs (PRISMA, SAFIRA, TIRTA and ARISA) where relevant to achieving PRISMA-2’s objectives. </w:t>
      </w:r>
      <w:r w:rsidR="00FD141F">
        <w:rPr>
          <w:rFonts w:cstheme="minorHAnsi"/>
        </w:rPr>
        <w:t>M</w:t>
      </w:r>
      <w:r w:rsidR="00E053F4" w:rsidRPr="00343460">
        <w:rPr>
          <w:rFonts w:cstheme="minorHAnsi"/>
        </w:rPr>
        <w:t>anagement of three out of the four current AIP-Rural project</w:t>
      </w:r>
      <w:r w:rsidR="001D5852">
        <w:rPr>
          <w:rFonts w:cstheme="minorHAnsi"/>
        </w:rPr>
        <w:t>s</w:t>
      </w:r>
      <w:r w:rsidR="00E053F4" w:rsidRPr="00343460">
        <w:rPr>
          <w:rFonts w:cstheme="minorHAnsi"/>
        </w:rPr>
        <w:t xml:space="preserve"> (PRISMA, SAFIRA and TIRTA) have</w:t>
      </w:r>
      <w:r w:rsidR="00FB79BA">
        <w:rPr>
          <w:rFonts w:cstheme="minorHAnsi"/>
        </w:rPr>
        <w:t xml:space="preserve"> already</w:t>
      </w:r>
      <w:r w:rsidR="00E053F4" w:rsidRPr="00343460">
        <w:rPr>
          <w:rFonts w:cstheme="minorHAnsi"/>
        </w:rPr>
        <w:t xml:space="preserve"> been </w:t>
      </w:r>
      <w:r w:rsidR="00394B15">
        <w:rPr>
          <w:rFonts w:cstheme="minorHAnsi"/>
        </w:rPr>
        <w:t xml:space="preserve">mostly </w:t>
      </w:r>
      <w:r w:rsidR="00E053F4" w:rsidRPr="00343460">
        <w:rPr>
          <w:rFonts w:cstheme="minorHAnsi"/>
        </w:rPr>
        <w:t xml:space="preserve">integrated, providing a solid foundation for a consolidated second phase of investment through </w:t>
      </w:r>
      <w:r>
        <w:rPr>
          <w:rFonts w:cstheme="minorHAnsi"/>
        </w:rPr>
        <w:t>PRISMA-2</w:t>
      </w:r>
      <w:r w:rsidR="00E053F4" w:rsidRPr="00343460">
        <w:rPr>
          <w:rFonts w:cstheme="minorHAnsi"/>
        </w:rPr>
        <w:t>. A single, integrated program approa</w:t>
      </w:r>
      <w:r w:rsidR="000227B1">
        <w:rPr>
          <w:rFonts w:cstheme="minorHAnsi"/>
        </w:rPr>
        <w:t xml:space="preserve">ch will enable adaptive </w:t>
      </w:r>
      <w:r w:rsidR="00E053F4" w:rsidRPr="00343460">
        <w:rPr>
          <w:rFonts w:cstheme="minorHAnsi"/>
        </w:rPr>
        <w:t>management and flexibility to respond to emerging opportunities and resourcing requirements.</w:t>
      </w:r>
      <w:bookmarkStart w:id="17" w:name="_Hlk488136708"/>
      <w:bookmarkEnd w:id="16"/>
      <w:r w:rsidR="008E2530">
        <w:rPr>
          <w:rFonts w:cstheme="minorHAnsi"/>
        </w:rPr>
        <w:t xml:space="preserve"> </w:t>
      </w:r>
      <w:r w:rsidR="00E053F4" w:rsidRPr="00343460">
        <w:rPr>
          <w:rFonts w:cstheme="minorHAnsi"/>
        </w:rPr>
        <w:t xml:space="preserve">The Contractor will be responsible for the management of all </w:t>
      </w:r>
      <w:r>
        <w:rPr>
          <w:rFonts w:cstheme="minorHAnsi"/>
        </w:rPr>
        <w:t>PRISMA-2</w:t>
      </w:r>
      <w:r w:rsidR="00E053F4" w:rsidRPr="00343460">
        <w:rPr>
          <w:rFonts w:cstheme="minorHAnsi"/>
        </w:rPr>
        <w:t xml:space="preserve"> funds, </w:t>
      </w:r>
      <w:r w:rsidR="0038387E">
        <w:rPr>
          <w:rFonts w:cstheme="minorHAnsi"/>
        </w:rPr>
        <w:t>disbursed through</w:t>
      </w:r>
      <w:r w:rsidR="0038387E" w:rsidRPr="00343460">
        <w:rPr>
          <w:rFonts w:cstheme="minorHAnsi"/>
        </w:rPr>
        <w:t xml:space="preserve"> </w:t>
      </w:r>
      <w:r w:rsidR="00E053F4" w:rsidRPr="00343460">
        <w:rPr>
          <w:rFonts w:cstheme="minorHAnsi"/>
        </w:rPr>
        <w:t xml:space="preserve">program interventions </w:t>
      </w:r>
      <w:r w:rsidR="003B6F2E">
        <w:rPr>
          <w:rFonts w:cstheme="minorHAnsi"/>
        </w:rPr>
        <w:t xml:space="preserve">and </w:t>
      </w:r>
      <w:r w:rsidR="00E053F4" w:rsidRPr="00343460">
        <w:rPr>
          <w:rFonts w:cstheme="minorHAnsi"/>
        </w:rPr>
        <w:t xml:space="preserve">delivered through Partnership Agreements with </w:t>
      </w:r>
      <w:r w:rsidR="00E94E0A">
        <w:rPr>
          <w:rFonts w:cstheme="minorHAnsi"/>
        </w:rPr>
        <w:t xml:space="preserve">partners including </w:t>
      </w:r>
      <w:r w:rsidR="00E053F4" w:rsidRPr="00343460">
        <w:rPr>
          <w:rFonts w:cstheme="minorHAnsi"/>
        </w:rPr>
        <w:t xml:space="preserve">key private sector partners, industry groups and </w:t>
      </w:r>
      <w:r w:rsidR="000227B1" w:rsidRPr="009128D0">
        <w:rPr>
          <w:rFonts w:cstheme="minorHAnsi"/>
        </w:rPr>
        <w:t>research/academic institutions</w:t>
      </w:r>
      <w:r w:rsidR="009128D0">
        <w:rPr>
          <w:rFonts w:cstheme="minorHAnsi"/>
        </w:rPr>
        <w:t xml:space="preserve"> (see </w:t>
      </w:r>
      <w:r w:rsidR="002B5DBE">
        <w:rPr>
          <w:rFonts w:cstheme="minorHAnsi"/>
        </w:rPr>
        <w:t xml:space="preserve">Stakeholder Relationships </w:t>
      </w:r>
      <w:r w:rsidR="00483539">
        <w:rPr>
          <w:rFonts w:cstheme="minorHAnsi"/>
        </w:rPr>
        <w:t>section</w:t>
      </w:r>
      <w:r w:rsidR="00E94E0A">
        <w:rPr>
          <w:rFonts w:cstheme="minorHAnsi"/>
        </w:rPr>
        <w:t>)</w:t>
      </w:r>
      <w:r w:rsidR="005C2288">
        <w:rPr>
          <w:rFonts w:cstheme="minorHAnsi"/>
        </w:rPr>
        <w:t>.</w:t>
      </w:r>
    </w:p>
    <w:p w14:paraId="167D9E71" w14:textId="60588CB8" w:rsidR="00960BBF" w:rsidRPr="00343460" w:rsidRDefault="00E053F4" w:rsidP="00314E16">
      <w:pPr>
        <w:pStyle w:val="Heading3"/>
        <w:rPr>
          <w:rFonts w:cstheme="minorHAnsi"/>
          <w:u w:val="single"/>
        </w:rPr>
      </w:pPr>
      <w:bookmarkStart w:id="18" w:name="_Toc499298848"/>
      <w:bookmarkEnd w:id="17"/>
      <w:r w:rsidRPr="00DE4A97">
        <w:t>Budget and Timeframe</w:t>
      </w:r>
      <w:bookmarkEnd w:id="18"/>
    </w:p>
    <w:p w14:paraId="42F5F5BB" w14:textId="4EF46E57" w:rsidR="00C261EA" w:rsidRPr="00343460" w:rsidRDefault="00E053F4" w:rsidP="00E053F4">
      <w:pPr>
        <w:pStyle w:val="BodyText"/>
        <w:rPr>
          <w:rFonts w:cstheme="minorHAnsi"/>
        </w:rPr>
      </w:pPr>
      <w:r w:rsidRPr="00343460">
        <w:rPr>
          <w:rFonts w:cstheme="minorHAnsi"/>
        </w:rPr>
        <w:t xml:space="preserve">The proposed total budget for </w:t>
      </w:r>
      <w:r w:rsidR="005D461A">
        <w:rPr>
          <w:rFonts w:cstheme="minorHAnsi"/>
        </w:rPr>
        <w:t>PRISMA-2</w:t>
      </w:r>
      <w:r w:rsidRPr="00343460">
        <w:rPr>
          <w:rFonts w:cstheme="minorHAnsi"/>
        </w:rPr>
        <w:t xml:space="preserve"> i</w:t>
      </w:r>
      <w:r w:rsidR="007351F4">
        <w:rPr>
          <w:rFonts w:cstheme="minorHAnsi"/>
        </w:rPr>
        <w:t>s AUD95</w:t>
      </w:r>
      <w:r w:rsidRPr="00343460">
        <w:rPr>
          <w:rFonts w:cstheme="minorHAnsi"/>
        </w:rPr>
        <w:t>m over five years (January 2019 – December 2023)</w:t>
      </w:r>
      <w:r w:rsidR="00691A1E">
        <w:rPr>
          <w:rFonts w:cstheme="minorHAnsi"/>
        </w:rPr>
        <w:t>, with AUD88</w:t>
      </w:r>
      <w:r w:rsidR="00243660">
        <w:rPr>
          <w:rFonts w:cstheme="minorHAnsi"/>
        </w:rPr>
        <w:t>m</w:t>
      </w:r>
      <w:r w:rsidR="00691A1E">
        <w:rPr>
          <w:rFonts w:cstheme="minorHAnsi"/>
        </w:rPr>
        <w:t xml:space="preserve"> to be tendered for implementation</w:t>
      </w:r>
      <w:r w:rsidRPr="00343460">
        <w:rPr>
          <w:rFonts w:cstheme="minorHAnsi"/>
        </w:rPr>
        <w:t xml:space="preserve">. Based on preliminary budgets the </w:t>
      </w:r>
      <w:r w:rsidR="00CA620B">
        <w:rPr>
          <w:rFonts w:cstheme="minorHAnsi"/>
        </w:rPr>
        <w:t xml:space="preserve">indicative </w:t>
      </w:r>
      <w:r w:rsidR="00F13336">
        <w:rPr>
          <w:rFonts w:cstheme="minorHAnsi"/>
        </w:rPr>
        <w:t>allocation</w:t>
      </w:r>
      <w:r w:rsidRPr="00343460">
        <w:rPr>
          <w:rFonts w:cstheme="minorHAnsi"/>
        </w:rPr>
        <w:t xml:space="preserve"> across the </w:t>
      </w:r>
      <w:r w:rsidR="005D461A">
        <w:rPr>
          <w:rFonts w:cstheme="minorHAnsi"/>
        </w:rPr>
        <w:t>PRISMA-2</w:t>
      </w:r>
      <w:r w:rsidRPr="00343460">
        <w:rPr>
          <w:rFonts w:cstheme="minorHAnsi"/>
        </w:rPr>
        <w:t xml:space="preserve"> program </w:t>
      </w:r>
      <w:r w:rsidR="000227B1">
        <w:rPr>
          <w:rFonts w:cstheme="minorHAnsi"/>
        </w:rPr>
        <w:t xml:space="preserve">is outlined below. A more detailed budget can be found at </w:t>
      </w:r>
      <w:r w:rsidR="000227B1" w:rsidRPr="002F2CF1">
        <w:rPr>
          <w:rFonts w:cstheme="minorHAnsi"/>
        </w:rPr>
        <w:t xml:space="preserve">Annex </w:t>
      </w:r>
      <w:r w:rsidR="001236FF">
        <w:rPr>
          <w:rFonts w:cstheme="minorHAnsi"/>
        </w:rPr>
        <w:t>7</w:t>
      </w:r>
      <w:r w:rsidR="000227B1" w:rsidRPr="002F2CF1">
        <w:rPr>
          <w:rFonts w:cstheme="minorHAnsi"/>
        </w:rPr>
        <w:t>.</w:t>
      </w:r>
    </w:p>
    <w:tbl>
      <w:tblPr>
        <w:tblStyle w:val="TableGrid"/>
        <w:tblW w:w="0" w:type="auto"/>
        <w:tblLook w:val="04A0" w:firstRow="1" w:lastRow="0" w:firstColumn="1" w:lastColumn="0" w:noHBand="0" w:noVBand="1"/>
      </w:tblPr>
      <w:tblGrid>
        <w:gridCol w:w="3284"/>
        <w:gridCol w:w="3285"/>
        <w:gridCol w:w="3285"/>
      </w:tblGrid>
      <w:tr w:rsidR="00900ECC" w14:paraId="1B8A0308" w14:textId="77777777" w:rsidTr="00960BBF">
        <w:tc>
          <w:tcPr>
            <w:tcW w:w="3284" w:type="dxa"/>
            <w:shd w:val="clear" w:color="auto" w:fill="B4C6E7" w:themeFill="accent1" w:themeFillTint="66"/>
          </w:tcPr>
          <w:p w14:paraId="059D9630" w14:textId="606764A5" w:rsidR="00900ECC" w:rsidRDefault="005C20EA" w:rsidP="00E053F4">
            <w:pPr>
              <w:pStyle w:val="BodyText"/>
              <w:rPr>
                <w:rFonts w:cstheme="minorHAnsi"/>
              </w:rPr>
            </w:pPr>
            <w:r>
              <w:rPr>
                <w:rFonts w:cstheme="minorHAnsi"/>
              </w:rPr>
              <w:t>Component</w:t>
            </w:r>
          </w:p>
        </w:tc>
        <w:tc>
          <w:tcPr>
            <w:tcW w:w="3285" w:type="dxa"/>
            <w:shd w:val="clear" w:color="auto" w:fill="B4C6E7" w:themeFill="accent1" w:themeFillTint="66"/>
          </w:tcPr>
          <w:p w14:paraId="09977054" w14:textId="740446D1" w:rsidR="00900ECC" w:rsidRDefault="005C20EA" w:rsidP="00E053F4">
            <w:pPr>
              <w:pStyle w:val="BodyText"/>
              <w:rPr>
                <w:rFonts w:cstheme="minorHAnsi"/>
              </w:rPr>
            </w:pPr>
            <w:r>
              <w:rPr>
                <w:rFonts w:cstheme="minorHAnsi"/>
              </w:rPr>
              <w:t>Five Year Budget</w:t>
            </w:r>
            <w:r w:rsidR="00960BBF">
              <w:rPr>
                <w:rFonts w:cstheme="minorHAnsi"/>
              </w:rPr>
              <w:t xml:space="preserve"> (AUD)</w:t>
            </w:r>
          </w:p>
        </w:tc>
        <w:tc>
          <w:tcPr>
            <w:tcW w:w="3285" w:type="dxa"/>
            <w:shd w:val="clear" w:color="auto" w:fill="B4C6E7" w:themeFill="accent1" w:themeFillTint="66"/>
          </w:tcPr>
          <w:p w14:paraId="11BD0589" w14:textId="78BAF354" w:rsidR="00900ECC" w:rsidRDefault="005C20EA" w:rsidP="00E053F4">
            <w:pPr>
              <w:pStyle w:val="BodyText"/>
              <w:rPr>
                <w:rFonts w:cstheme="minorHAnsi"/>
              </w:rPr>
            </w:pPr>
            <w:r>
              <w:rPr>
                <w:rFonts w:cstheme="minorHAnsi"/>
              </w:rPr>
              <w:t>Proportion</w:t>
            </w:r>
            <w:r w:rsidR="00960BBF">
              <w:rPr>
                <w:rFonts w:cstheme="minorHAnsi"/>
              </w:rPr>
              <w:t xml:space="preserve"> (%)</w:t>
            </w:r>
          </w:p>
        </w:tc>
      </w:tr>
      <w:tr w:rsidR="00900ECC" w14:paraId="070E2CC0" w14:textId="77777777" w:rsidTr="00900ECC">
        <w:tc>
          <w:tcPr>
            <w:tcW w:w="3284" w:type="dxa"/>
          </w:tcPr>
          <w:p w14:paraId="18A30E78" w14:textId="4A87514D" w:rsidR="00900ECC" w:rsidRDefault="001B3239" w:rsidP="00CA4F83">
            <w:pPr>
              <w:pStyle w:val="BodyText"/>
              <w:rPr>
                <w:rFonts w:cstheme="minorHAnsi"/>
              </w:rPr>
            </w:pPr>
            <w:r>
              <w:rPr>
                <w:rFonts w:cstheme="minorHAnsi"/>
              </w:rPr>
              <w:t xml:space="preserve">Management </w:t>
            </w:r>
            <w:r w:rsidR="00FD141F">
              <w:rPr>
                <w:rFonts w:cstheme="minorHAnsi"/>
              </w:rPr>
              <w:t>O</w:t>
            </w:r>
            <w:r>
              <w:rPr>
                <w:rFonts w:cstheme="minorHAnsi"/>
              </w:rPr>
              <w:t xml:space="preserve">verheads </w:t>
            </w:r>
          </w:p>
        </w:tc>
        <w:tc>
          <w:tcPr>
            <w:tcW w:w="3285" w:type="dxa"/>
          </w:tcPr>
          <w:p w14:paraId="426ECCCA" w14:textId="314D9D6A" w:rsidR="00900ECC" w:rsidRDefault="00781DFB" w:rsidP="00CA4F83">
            <w:pPr>
              <w:pStyle w:val="BodyText"/>
              <w:jc w:val="right"/>
              <w:rPr>
                <w:rFonts w:cstheme="minorHAnsi"/>
              </w:rPr>
            </w:pPr>
            <w:r>
              <w:rPr>
                <w:rFonts w:cstheme="minorHAnsi"/>
              </w:rPr>
              <w:t>9,680,000</w:t>
            </w:r>
          </w:p>
        </w:tc>
        <w:tc>
          <w:tcPr>
            <w:tcW w:w="3285" w:type="dxa"/>
          </w:tcPr>
          <w:p w14:paraId="2FB327E4" w14:textId="099CC14E" w:rsidR="00900ECC" w:rsidRDefault="009A1705" w:rsidP="00D43874">
            <w:pPr>
              <w:pStyle w:val="BodyText"/>
              <w:jc w:val="right"/>
              <w:rPr>
                <w:rFonts w:cstheme="minorHAnsi"/>
              </w:rPr>
            </w:pPr>
            <w:r>
              <w:rPr>
                <w:rFonts w:cstheme="minorHAnsi"/>
              </w:rPr>
              <w:t>10</w:t>
            </w:r>
            <w:r w:rsidR="001B3239">
              <w:rPr>
                <w:rFonts w:cstheme="minorHAnsi"/>
              </w:rPr>
              <w:t>%</w:t>
            </w:r>
          </w:p>
        </w:tc>
      </w:tr>
      <w:tr w:rsidR="00CA4F83" w14:paraId="608A2C27" w14:textId="77777777" w:rsidTr="00900ECC">
        <w:tc>
          <w:tcPr>
            <w:tcW w:w="3284" w:type="dxa"/>
          </w:tcPr>
          <w:p w14:paraId="4C5996E5" w14:textId="2FCCC8D5" w:rsidR="00CA4F83" w:rsidRDefault="00CA4F83" w:rsidP="00FD141F">
            <w:pPr>
              <w:pStyle w:val="BodyText"/>
              <w:rPr>
                <w:rFonts w:cstheme="minorHAnsi"/>
              </w:rPr>
            </w:pPr>
            <w:r>
              <w:rPr>
                <w:rFonts w:cstheme="minorHAnsi"/>
              </w:rPr>
              <w:t>Operational Costs</w:t>
            </w:r>
          </w:p>
        </w:tc>
        <w:tc>
          <w:tcPr>
            <w:tcW w:w="3285" w:type="dxa"/>
          </w:tcPr>
          <w:p w14:paraId="23FEA908" w14:textId="4D7C5A3B" w:rsidR="00CA4F83" w:rsidDel="00CA4F83" w:rsidRDefault="00CA4F83" w:rsidP="00D43874">
            <w:pPr>
              <w:pStyle w:val="BodyText"/>
              <w:jc w:val="right"/>
              <w:rPr>
                <w:rFonts w:cstheme="minorHAnsi"/>
              </w:rPr>
            </w:pPr>
            <w:r>
              <w:rPr>
                <w:rFonts w:cstheme="minorHAnsi"/>
              </w:rPr>
              <w:t>30,808,100</w:t>
            </w:r>
          </w:p>
        </w:tc>
        <w:tc>
          <w:tcPr>
            <w:tcW w:w="3285" w:type="dxa"/>
          </w:tcPr>
          <w:p w14:paraId="7BA76993" w14:textId="2909E982" w:rsidR="00CA4F83" w:rsidRDefault="009A1705" w:rsidP="00D43874">
            <w:pPr>
              <w:pStyle w:val="BodyText"/>
              <w:jc w:val="right"/>
              <w:rPr>
                <w:rFonts w:cstheme="minorHAnsi"/>
              </w:rPr>
            </w:pPr>
            <w:r>
              <w:rPr>
                <w:rFonts w:cstheme="minorHAnsi"/>
              </w:rPr>
              <w:t>33</w:t>
            </w:r>
            <w:r w:rsidR="00781DFB">
              <w:rPr>
                <w:rFonts w:cstheme="minorHAnsi"/>
              </w:rPr>
              <w:t>%</w:t>
            </w:r>
          </w:p>
        </w:tc>
      </w:tr>
      <w:tr w:rsidR="00900ECC" w14:paraId="687636FC" w14:textId="77777777" w:rsidTr="00900ECC">
        <w:tc>
          <w:tcPr>
            <w:tcW w:w="3284" w:type="dxa"/>
          </w:tcPr>
          <w:p w14:paraId="45D769D6" w14:textId="2D88C51B" w:rsidR="00900ECC" w:rsidRDefault="001B3239" w:rsidP="00E053F4">
            <w:pPr>
              <w:pStyle w:val="BodyText"/>
              <w:rPr>
                <w:rFonts w:cstheme="minorHAnsi"/>
              </w:rPr>
            </w:pPr>
            <w:r>
              <w:rPr>
                <w:rFonts w:cstheme="minorHAnsi"/>
              </w:rPr>
              <w:t xml:space="preserve">Intervention </w:t>
            </w:r>
            <w:r w:rsidR="005C20EA">
              <w:rPr>
                <w:rFonts w:cstheme="minorHAnsi"/>
              </w:rPr>
              <w:t>Costs</w:t>
            </w:r>
            <w:r w:rsidR="00DD3C93">
              <w:rPr>
                <w:rFonts w:cstheme="minorHAnsi"/>
              </w:rPr>
              <w:t xml:space="preserve"> (</w:t>
            </w:r>
            <w:r w:rsidR="00FA5D65">
              <w:rPr>
                <w:rFonts w:cstheme="minorHAnsi"/>
              </w:rPr>
              <w:t xml:space="preserve">implementation </w:t>
            </w:r>
            <w:r w:rsidR="00DD3C93">
              <w:rPr>
                <w:rFonts w:cstheme="minorHAnsi"/>
              </w:rPr>
              <w:t>personnel, partner</w:t>
            </w:r>
            <w:r w:rsidR="00382F87">
              <w:rPr>
                <w:rFonts w:cstheme="minorHAnsi"/>
              </w:rPr>
              <w:t>ship</w:t>
            </w:r>
            <w:r w:rsidR="00FA5D65">
              <w:rPr>
                <w:rFonts w:cstheme="minorHAnsi"/>
              </w:rPr>
              <w:t xml:space="preserve">s, intervention costs, capacity development, </w:t>
            </w:r>
            <w:proofErr w:type="spellStart"/>
            <w:r w:rsidR="00FA5D65">
              <w:rPr>
                <w:rFonts w:cstheme="minorHAnsi"/>
              </w:rPr>
              <w:t>GoI</w:t>
            </w:r>
            <w:proofErr w:type="spellEnd"/>
            <w:r w:rsidR="00FA5D65">
              <w:rPr>
                <w:rFonts w:cstheme="minorHAnsi"/>
              </w:rPr>
              <w:t xml:space="preserve"> costs</w:t>
            </w:r>
            <w:r w:rsidR="00DD3C93">
              <w:rPr>
                <w:rFonts w:cstheme="minorHAnsi"/>
              </w:rPr>
              <w:t>)</w:t>
            </w:r>
          </w:p>
        </w:tc>
        <w:tc>
          <w:tcPr>
            <w:tcW w:w="3285" w:type="dxa"/>
          </w:tcPr>
          <w:p w14:paraId="74041766" w14:textId="22ACB364" w:rsidR="00900ECC" w:rsidRDefault="00CA4F83" w:rsidP="00D43874">
            <w:pPr>
              <w:pStyle w:val="BodyText"/>
              <w:jc w:val="right"/>
              <w:rPr>
                <w:rFonts w:cstheme="minorHAnsi"/>
              </w:rPr>
            </w:pPr>
            <w:r>
              <w:rPr>
                <w:rFonts w:cstheme="minorHAnsi"/>
              </w:rPr>
              <w:t>47,511,900</w:t>
            </w:r>
          </w:p>
        </w:tc>
        <w:tc>
          <w:tcPr>
            <w:tcW w:w="3285" w:type="dxa"/>
          </w:tcPr>
          <w:p w14:paraId="5C028A08" w14:textId="566ACD6E" w:rsidR="00900ECC" w:rsidRDefault="009A1705" w:rsidP="00D43874">
            <w:pPr>
              <w:pStyle w:val="BodyText"/>
              <w:jc w:val="right"/>
              <w:rPr>
                <w:rFonts w:cstheme="minorHAnsi"/>
              </w:rPr>
            </w:pPr>
            <w:r>
              <w:rPr>
                <w:rFonts w:cstheme="minorHAnsi"/>
              </w:rPr>
              <w:t>50</w:t>
            </w:r>
            <w:r w:rsidR="001B3239">
              <w:rPr>
                <w:rFonts w:cstheme="minorHAnsi"/>
              </w:rPr>
              <w:t>%</w:t>
            </w:r>
          </w:p>
        </w:tc>
      </w:tr>
      <w:tr w:rsidR="00691A1E" w14:paraId="1132CF8D" w14:textId="77777777" w:rsidTr="00900ECC">
        <w:tc>
          <w:tcPr>
            <w:tcW w:w="3284" w:type="dxa"/>
          </w:tcPr>
          <w:p w14:paraId="51726D7A" w14:textId="56DA35C9" w:rsidR="00691A1E" w:rsidRPr="00691A1E" w:rsidRDefault="00691A1E" w:rsidP="00691A1E">
            <w:pPr>
              <w:pStyle w:val="BodyText"/>
              <w:rPr>
                <w:rFonts w:cstheme="minorHAnsi"/>
              </w:rPr>
            </w:pPr>
            <w:r w:rsidRPr="00691A1E">
              <w:rPr>
                <w:rFonts w:cstheme="minorHAnsi"/>
              </w:rPr>
              <w:t>D</w:t>
            </w:r>
            <w:r w:rsidRPr="007A0995">
              <w:rPr>
                <w:rFonts w:cstheme="minorHAnsi"/>
              </w:rPr>
              <w:t xml:space="preserve">FAT </w:t>
            </w:r>
            <w:r>
              <w:rPr>
                <w:rFonts w:cstheme="minorHAnsi"/>
              </w:rPr>
              <w:t>resources</w:t>
            </w:r>
            <w:r w:rsidR="00CA4F83">
              <w:rPr>
                <w:rFonts w:cstheme="minorHAnsi"/>
              </w:rPr>
              <w:t xml:space="preserve"> (performance management, contract administration, SRP)</w:t>
            </w:r>
          </w:p>
        </w:tc>
        <w:tc>
          <w:tcPr>
            <w:tcW w:w="3285" w:type="dxa"/>
          </w:tcPr>
          <w:p w14:paraId="2DDEB817" w14:textId="6C7E9ECC" w:rsidR="00691A1E" w:rsidRDefault="00691A1E" w:rsidP="00D43874">
            <w:pPr>
              <w:pStyle w:val="BodyText"/>
              <w:jc w:val="right"/>
              <w:rPr>
                <w:rFonts w:cstheme="minorHAnsi"/>
              </w:rPr>
            </w:pPr>
            <w:r>
              <w:rPr>
                <w:rFonts w:cstheme="minorHAnsi"/>
              </w:rPr>
              <w:t>7,000,000</w:t>
            </w:r>
          </w:p>
        </w:tc>
        <w:tc>
          <w:tcPr>
            <w:tcW w:w="3285" w:type="dxa"/>
          </w:tcPr>
          <w:p w14:paraId="54490ADE" w14:textId="509ED8FE" w:rsidR="00691A1E" w:rsidRDefault="00691A1E" w:rsidP="00D43874">
            <w:pPr>
              <w:pStyle w:val="BodyText"/>
              <w:jc w:val="right"/>
              <w:rPr>
                <w:rFonts w:cstheme="minorHAnsi"/>
              </w:rPr>
            </w:pPr>
            <w:r>
              <w:rPr>
                <w:rFonts w:cstheme="minorHAnsi"/>
              </w:rPr>
              <w:t>7%</w:t>
            </w:r>
          </w:p>
        </w:tc>
      </w:tr>
    </w:tbl>
    <w:p w14:paraId="7B44ADD2" w14:textId="77777777" w:rsidR="00F35582" w:rsidRDefault="00F35582" w:rsidP="00794C57">
      <w:pPr>
        <w:pStyle w:val="BodyText"/>
        <w:rPr>
          <w:rFonts w:cstheme="minorHAnsi"/>
        </w:rPr>
      </w:pPr>
    </w:p>
    <w:p w14:paraId="22928B4C" w14:textId="1EB45CC0" w:rsidR="004412A1" w:rsidRDefault="00E053F4" w:rsidP="00794C57">
      <w:pPr>
        <w:pStyle w:val="BodyText"/>
        <w:rPr>
          <w:rFonts w:cstheme="minorHAnsi"/>
        </w:rPr>
      </w:pPr>
      <w:r w:rsidRPr="00343460">
        <w:rPr>
          <w:rFonts w:cstheme="minorHAnsi"/>
        </w:rPr>
        <w:t>Decisions on the focal areas for spending will be reviewed annually</w:t>
      </w:r>
      <w:r w:rsidR="00FD141F">
        <w:rPr>
          <w:rFonts w:cstheme="minorHAnsi"/>
        </w:rPr>
        <w:t xml:space="preserve"> through</w:t>
      </w:r>
      <w:r w:rsidRPr="00343460">
        <w:rPr>
          <w:rFonts w:cstheme="minorHAnsi"/>
        </w:rPr>
        <w:t xml:space="preserve"> the Annual Work Plan</w:t>
      </w:r>
      <w:r w:rsidR="001367C9">
        <w:rPr>
          <w:rFonts w:cstheme="minorHAnsi"/>
        </w:rPr>
        <w:t>.</w:t>
      </w:r>
      <w:r w:rsidRPr="00343460">
        <w:rPr>
          <w:rFonts w:cstheme="minorHAnsi"/>
        </w:rPr>
        <w:t xml:space="preserve"> It is anticipated that the Contractor will propose budgets for endorsement based on opportunity, need, performance and the impact of the program across outcomes, sectors and sub-sectors. The </w:t>
      </w:r>
      <w:r w:rsidR="00C261EA">
        <w:rPr>
          <w:rFonts w:cstheme="minorHAnsi"/>
        </w:rPr>
        <w:t>MSD</w:t>
      </w:r>
      <w:r w:rsidRPr="00343460">
        <w:rPr>
          <w:rFonts w:cstheme="minorHAnsi"/>
        </w:rPr>
        <w:t xml:space="preserve"> approach requires budget flexibility and a non-prescriptive approach to the funding of activities </w:t>
      </w:r>
      <w:r w:rsidR="001B3239">
        <w:rPr>
          <w:rFonts w:cstheme="minorHAnsi"/>
        </w:rPr>
        <w:t>to ensure</w:t>
      </w:r>
      <w:r w:rsidRPr="00343460">
        <w:rPr>
          <w:rFonts w:cstheme="minorHAnsi"/>
        </w:rPr>
        <w:t xml:space="preserve"> responsiveness to new opportunities, priorities and sectors and the ability to</w:t>
      </w:r>
      <w:r w:rsidR="001B3239">
        <w:rPr>
          <w:rFonts w:cstheme="minorHAnsi"/>
        </w:rPr>
        <w:t xml:space="preserve"> manage for portfolio performance by</w:t>
      </w:r>
      <w:r w:rsidRPr="00343460">
        <w:rPr>
          <w:rFonts w:cstheme="minorHAnsi"/>
        </w:rPr>
        <w:t xml:space="preserve"> drop</w:t>
      </w:r>
      <w:r w:rsidR="001B3239">
        <w:rPr>
          <w:rFonts w:cstheme="minorHAnsi"/>
        </w:rPr>
        <w:t>ping</w:t>
      </w:r>
      <w:r w:rsidRPr="00343460">
        <w:rPr>
          <w:rFonts w:cstheme="minorHAnsi"/>
        </w:rPr>
        <w:t xml:space="preserve"> or realign</w:t>
      </w:r>
      <w:r w:rsidR="001B3239">
        <w:rPr>
          <w:rFonts w:cstheme="minorHAnsi"/>
        </w:rPr>
        <w:t>ing</w:t>
      </w:r>
      <w:r w:rsidRPr="00343460">
        <w:rPr>
          <w:rFonts w:cstheme="minorHAnsi"/>
        </w:rPr>
        <w:t xml:space="preserve"> interventions that prove unsuccess</w:t>
      </w:r>
      <w:r w:rsidR="005C20EA">
        <w:rPr>
          <w:rFonts w:cstheme="minorHAnsi"/>
        </w:rPr>
        <w:t>ful</w:t>
      </w:r>
      <w:r w:rsidR="001B3239">
        <w:rPr>
          <w:rFonts w:cstheme="minorHAnsi"/>
        </w:rPr>
        <w:t xml:space="preserve"> or </w:t>
      </w:r>
      <w:r w:rsidR="001B3239" w:rsidRPr="007351F4">
        <w:rPr>
          <w:rFonts w:cstheme="minorHAnsi"/>
        </w:rPr>
        <w:t>unsustainable</w:t>
      </w:r>
      <w:r w:rsidR="00DD3C93" w:rsidRPr="007351F4">
        <w:rPr>
          <w:rFonts w:cstheme="minorHAnsi"/>
        </w:rPr>
        <w:t xml:space="preserve"> (see </w:t>
      </w:r>
      <w:r w:rsidR="007B279A" w:rsidRPr="007351F4">
        <w:rPr>
          <w:rFonts w:cstheme="minorHAnsi"/>
        </w:rPr>
        <w:t xml:space="preserve">Annex </w:t>
      </w:r>
      <w:r w:rsidR="001236FF">
        <w:rPr>
          <w:rFonts w:cstheme="minorHAnsi"/>
        </w:rPr>
        <w:t>3</w:t>
      </w:r>
      <w:r w:rsidR="00DD3C93" w:rsidRPr="007351F4">
        <w:rPr>
          <w:rFonts w:cstheme="minorHAnsi"/>
        </w:rPr>
        <w:t>)</w:t>
      </w:r>
      <w:r w:rsidR="005C20EA" w:rsidRPr="007351F4">
        <w:rPr>
          <w:rFonts w:cstheme="minorHAnsi"/>
        </w:rPr>
        <w:t>.</w:t>
      </w:r>
      <w:r w:rsidR="005C20EA">
        <w:rPr>
          <w:rFonts w:cstheme="minorHAnsi"/>
        </w:rPr>
        <w:t xml:space="preserve"> In addition, adviser and other input costs attributable to interventions will be monitored and included in budgeting and rep</w:t>
      </w:r>
      <w:r w:rsidR="005C2288">
        <w:rPr>
          <w:rFonts w:cstheme="minorHAnsi"/>
        </w:rPr>
        <w:t>orting on implementation costs.</w:t>
      </w:r>
    </w:p>
    <w:p w14:paraId="4C44996B" w14:textId="7CD89F96" w:rsidR="00314E16" w:rsidRPr="003B6F2E" w:rsidRDefault="00314E16" w:rsidP="00314E16">
      <w:pPr>
        <w:pStyle w:val="Heading1Numbered"/>
      </w:pPr>
      <w:bookmarkStart w:id="19" w:name="_Toc499298849"/>
      <w:r w:rsidRPr="003B6F2E">
        <w:t>Implementation Arrangements</w:t>
      </w:r>
      <w:bookmarkEnd w:id="19"/>
    </w:p>
    <w:p w14:paraId="283DA31C" w14:textId="5BA181C8" w:rsidR="00E053F4" w:rsidRDefault="00C761E8" w:rsidP="00794C57">
      <w:pPr>
        <w:pStyle w:val="BodyText"/>
        <w:rPr>
          <w:rFonts w:cstheme="minorHAnsi"/>
        </w:rPr>
      </w:pPr>
      <w:r w:rsidRPr="003B6F2E">
        <w:rPr>
          <w:rFonts w:cstheme="minorHAnsi"/>
        </w:rPr>
        <w:t xml:space="preserve">This section outlines the governance, management, transition and staffing resources required to deliver </w:t>
      </w:r>
      <w:r w:rsidR="005D461A" w:rsidRPr="003B6F2E">
        <w:rPr>
          <w:rFonts w:cstheme="minorHAnsi"/>
        </w:rPr>
        <w:t>PRISMA-2</w:t>
      </w:r>
      <w:r w:rsidRPr="003B6F2E">
        <w:rPr>
          <w:rFonts w:cstheme="minorHAnsi"/>
        </w:rPr>
        <w:t>.</w:t>
      </w:r>
    </w:p>
    <w:p w14:paraId="5869F091" w14:textId="74C3D842" w:rsidR="00896A6B" w:rsidRPr="00E74E19" w:rsidRDefault="00896A6B" w:rsidP="007A0995">
      <w:pPr>
        <w:pStyle w:val="Heading3"/>
        <w:rPr>
          <w:rFonts w:cstheme="minorHAnsi"/>
        </w:rPr>
      </w:pPr>
      <w:bookmarkStart w:id="20" w:name="_Toc499298850"/>
      <w:r w:rsidRPr="00382F87">
        <w:t xml:space="preserve">Key differences between AIP-Rural and </w:t>
      </w:r>
      <w:r>
        <w:t>PRISMA-2</w:t>
      </w:r>
      <w:bookmarkEnd w:id="20"/>
    </w:p>
    <w:p w14:paraId="733EC39D" w14:textId="57CEBD1E" w:rsidR="00896A6B" w:rsidRPr="00343460" w:rsidRDefault="00896A6B" w:rsidP="00896A6B">
      <w:pPr>
        <w:rPr>
          <w:rFonts w:cstheme="minorHAnsi"/>
        </w:rPr>
      </w:pPr>
      <w:r w:rsidRPr="00343460">
        <w:rPr>
          <w:rFonts w:cstheme="minorHAnsi"/>
        </w:rPr>
        <w:t>Although DFAT wants to ensure continuity and minim</w:t>
      </w:r>
      <w:r>
        <w:rPr>
          <w:rFonts w:cstheme="minorHAnsi"/>
        </w:rPr>
        <w:t>ise</w:t>
      </w:r>
      <w:r w:rsidRPr="00343460">
        <w:rPr>
          <w:rFonts w:cstheme="minorHAnsi"/>
        </w:rPr>
        <w:t xml:space="preserve"> disruption to </w:t>
      </w:r>
      <w:r>
        <w:rPr>
          <w:rFonts w:cstheme="minorHAnsi"/>
        </w:rPr>
        <w:t>the</w:t>
      </w:r>
      <w:r w:rsidRPr="00343460">
        <w:rPr>
          <w:rFonts w:cstheme="minorHAnsi"/>
        </w:rPr>
        <w:t xml:space="preserve"> human resources, </w:t>
      </w:r>
      <w:r>
        <w:rPr>
          <w:rFonts w:cstheme="minorHAnsi"/>
        </w:rPr>
        <w:t xml:space="preserve">information </w:t>
      </w:r>
      <w:r w:rsidRPr="00343460">
        <w:rPr>
          <w:rFonts w:cstheme="minorHAnsi"/>
        </w:rPr>
        <w:t>systems</w:t>
      </w:r>
      <w:r>
        <w:rPr>
          <w:rFonts w:cstheme="minorHAnsi"/>
        </w:rPr>
        <w:t>,</w:t>
      </w:r>
      <w:r w:rsidRPr="00343460">
        <w:rPr>
          <w:rFonts w:cstheme="minorHAnsi"/>
        </w:rPr>
        <w:t xml:space="preserve"> and partner relationships</w:t>
      </w:r>
      <w:r>
        <w:rPr>
          <w:rFonts w:cstheme="minorHAnsi"/>
        </w:rPr>
        <w:t xml:space="preserve"> delivering AIP-Rural</w:t>
      </w:r>
      <w:r w:rsidRPr="00343460">
        <w:rPr>
          <w:rFonts w:cstheme="minorHAnsi"/>
        </w:rPr>
        <w:t xml:space="preserve">, there are nevertheless </w:t>
      </w:r>
      <w:r w:rsidR="003221C7">
        <w:rPr>
          <w:rFonts w:cstheme="minorHAnsi"/>
        </w:rPr>
        <w:t xml:space="preserve">key </w:t>
      </w:r>
      <w:r w:rsidRPr="00343460">
        <w:rPr>
          <w:rFonts w:cstheme="minorHAnsi"/>
        </w:rPr>
        <w:t xml:space="preserve">changes between AIP-Rural and </w:t>
      </w:r>
      <w:r>
        <w:rPr>
          <w:rFonts w:cstheme="minorHAnsi"/>
        </w:rPr>
        <w:t>PRISMA-2</w:t>
      </w:r>
      <w:r w:rsidRPr="00343460">
        <w:rPr>
          <w:rFonts w:cstheme="minorHAnsi"/>
        </w:rPr>
        <w:t xml:space="preserve"> that need to be considered, including:</w:t>
      </w:r>
    </w:p>
    <w:p w14:paraId="49E34F2D" w14:textId="7B0DBD59" w:rsidR="00896A6B" w:rsidRPr="00343460" w:rsidRDefault="00896A6B" w:rsidP="00896A6B">
      <w:pPr>
        <w:pStyle w:val="ListParagraph"/>
        <w:numPr>
          <w:ilvl w:val="0"/>
          <w:numId w:val="18"/>
        </w:numPr>
        <w:rPr>
          <w:rFonts w:cstheme="minorHAnsi"/>
        </w:rPr>
      </w:pPr>
      <w:r w:rsidRPr="007A0995">
        <w:rPr>
          <w:rFonts w:cstheme="minorHAnsi"/>
          <w:b/>
        </w:rPr>
        <w:lastRenderedPageBreak/>
        <w:t>Moving from a four-project model with the same goal and approach but with separate orientations (agribusiness, irrigation, finance and innovation) and contracts; to a single, integrated program with one Contractor</w:t>
      </w:r>
      <w:r w:rsidR="00E66484" w:rsidRPr="007A0995">
        <w:rPr>
          <w:rFonts w:cstheme="minorHAnsi"/>
          <w:b/>
        </w:rPr>
        <w:t>:</w:t>
      </w:r>
      <w:r>
        <w:rPr>
          <w:rFonts w:cstheme="minorHAnsi"/>
        </w:rPr>
        <w:t xml:space="preserve"> </w:t>
      </w:r>
      <w:r w:rsidR="00E66484">
        <w:rPr>
          <w:rFonts w:cstheme="minorHAnsi"/>
        </w:rPr>
        <w:t xml:space="preserve">PRISMA-2 will have the full flexibility to deliver a wide range of solutions using </w:t>
      </w:r>
      <w:r>
        <w:rPr>
          <w:rFonts w:cstheme="minorHAnsi"/>
        </w:rPr>
        <w:t xml:space="preserve">the </w:t>
      </w:r>
      <w:r w:rsidR="00E66484">
        <w:rPr>
          <w:rFonts w:cstheme="minorHAnsi"/>
        </w:rPr>
        <w:t>‘</w:t>
      </w:r>
      <w:r>
        <w:rPr>
          <w:rFonts w:cstheme="minorHAnsi"/>
        </w:rPr>
        <w:t>PRISMA model</w:t>
      </w:r>
      <w:r w:rsidR="00E66484">
        <w:rPr>
          <w:rFonts w:cstheme="minorHAnsi"/>
        </w:rPr>
        <w:t>’</w:t>
      </w:r>
      <w:r>
        <w:rPr>
          <w:rFonts w:cstheme="minorHAnsi"/>
        </w:rPr>
        <w:t xml:space="preserve"> as its c</w:t>
      </w:r>
      <w:r w:rsidR="00E66484">
        <w:rPr>
          <w:rFonts w:cstheme="minorHAnsi"/>
        </w:rPr>
        <w:t>ore program approach and drawing</w:t>
      </w:r>
      <w:r>
        <w:rPr>
          <w:rFonts w:cstheme="minorHAnsi"/>
        </w:rPr>
        <w:t xml:space="preserve"> on</w:t>
      </w:r>
      <w:r w:rsidR="00E66484">
        <w:rPr>
          <w:rFonts w:cstheme="minorHAnsi"/>
        </w:rPr>
        <w:t xml:space="preserve"> solutions</w:t>
      </w:r>
      <w:r>
        <w:rPr>
          <w:rFonts w:cstheme="minorHAnsi"/>
        </w:rPr>
        <w:t xml:space="preserve"> and evidence from the other three projects where </w:t>
      </w:r>
      <w:r w:rsidR="00E66484">
        <w:rPr>
          <w:rFonts w:cstheme="minorHAnsi"/>
        </w:rPr>
        <w:t>relevant to achieving</w:t>
      </w:r>
      <w:r>
        <w:rPr>
          <w:rFonts w:cstheme="minorHAnsi"/>
        </w:rPr>
        <w:t xml:space="preserve"> objectives.</w:t>
      </w:r>
      <w:r w:rsidR="00E66484">
        <w:rPr>
          <w:rFonts w:cstheme="minorHAnsi"/>
        </w:rPr>
        <w:t xml:space="preserve"> Experience from AIP-Rural has shown that impact and value for money is greater where a program has the flexibility to devise fit-for-purpose solutions, rather than being constrained by a specific thematic focus. </w:t>
      </w:r>
    </w:p>
    <w:p w14:paraId="306155D4" w14:textId="0A0E7A12" w:rsidR="00896A6B" w:rsidRPr="00343460" w:rsidRDefault="007511C6" w:rsidP="00896A6B">
      <w:pPr>
        <w:pStyle w:val="ListParagraph"/>
        <w:numPr>
          <w:ilvl w:val="0"/>
          <w:numId w:val="18"/>
        </w:numPr>
        <w:rPr>
          <w:rFonts w:cstheme="minorHAnsi"/>
        </w:rPr>
      </w:pPr>
      <w:r>
        <w:rPr>
          <w:rFonts w:cstheme="minorHAnsi"/>
          <w:b/>
        </w:rPr>
        <w:t>Scaling up to achieve new</w:t>
      </w:r>
      <w:r w:rsidR="00896A6B" w:rsidRPr="007A0995">
        <w:rPr>
          <w:rFonts w:cstheme="minorHAnsi"/>
          <w:b/>
        </w:rPr>
        <w:t xml:space="preserve"> ambitious targets:</w:t>
      </w:r>
      <w:r w:rsidR="00896A6B" w:rsidRPr="00343460">
        <w:rPr>
          <w:rFonts w:cstheme="minorHAnsi"/>
        </w:rPr>
        <w:t xml:space="preserve"> moving from an outreach of 300,000 </w:t>
      </w:r>
      <w:r w:rsidR="00896A6B">
        <w:rPr>
          <w:rFonts w:cstheme="minorHAnsi"/>
        </w:rPr>
        <w:t xml:space="preserve">smallholder </w:t>
      </w:r>
      <w:r w:rsidR="00896A6B" w:rsidRPr="00343460">
        <w:rPr>
          <w:rFonts w:cstheme="minorHAnsi"/>
        </w:rPr>
        <w:t>farming households</w:t>
      </w:r>
      <w:r w:rsidR="00896A6B">
        <w:rPr>
          <w:rFonts w:cstheme="minorHAnsi"/>
        </w:rPr>
        <w:t xml:space="preserve"> (2013-2018)</w:t>
      </w:r>
      <w:r w:rsidR="00896A6B" w:rsidRPr="00343460">
        <w:rPr>
          <w:rFonts w:cstheme="minorHAnsi"/>
        </w:rPr>
        <w:t xml:space="preserve"> to </w:t>
      </w:r>
      <w:r w:rsidR="00896A6B">
        <w:rPr>
          <w:rFonts w:cstheme="minorHAnsi"/>
        </w:rPr>
        <w:t xml:space="preserve">an additional </w:t>
      </w:r>
      <w:r w:rsidR="00896A6B" w:rsidRPr="00343460">
        <w:rPr>
          <w:rFonts w:cstheme="minorHAnsi"/>
        </w:rPr>
        <w:t>700,000 households</w:t>
      </w:r>
      <w:r w:rsidR="00896A6B">
        <w:rPr>
          <w:rFonts w:cstheme="minorHAnsi"/>
        </w:rPr>
        <w:t xml:space="preserve"> (2019-2023)</w:t>
      </w:r>
      <w:r w:rsidR="00896A6B" w:rsidRPr="00343460">
        <w:rPr>
          <w:rFonts w:cstheme="minorHAnsi"/>
        </w:rPr>
        <w:t xml:space="preserve">, a large portion of </w:t>
      </w:r>
      <w:r w:rsidR="00896A6B">
        <w:rPr>
          <w:rFonts w:cstheme="minorHAnsi"/>
        </w:rPr>
        <w:t>which</w:t>
      </w:r>
      <w:r w:rsidR="00896A6B" w:rsidRPr="00343460">
        <w:rPr>
          <w:rFonts w:cstheme="minorHAnsi"/>
        </w:rPr>
        <w:t xml:space="preserve"> will </w:t>
      </w:r>
      <w:r w:rsidR="00896A6B">
        <w:rPr>
          <w:rFonts w:cstheme="minorHAnsi"/>
        </w:rPr>
        <w:t xml:space="preserve">consist of people living below </w:t>
      </w:r>
      <w:r w:rsidR="00896A6B" w:rsidRPr="00343460">
        <w:rPr>
          <w:rFonts w:cstheme="minorHAnsi"/>
        </w:rPr>
        <w:t>US</w:t>
      </w:r>
      <w:r w:rsidR="00896A6B">
        <w:rPr>
          <w:rFonts w:cstheme="minorHAnsi"/>
        </w:rPr>
        <w:t>D</w:t>
      </w:r>
      <w:r w:rsidR="00896A6B" w:rsidRPr="00343460">
        <w:rPr>
          <w:rFonts w:cstheme="minorHAnsi"/>
        </w:rPr>
        <w:t>2.50 per day</w:t>
      </w:r>
      <w:r w:rsidR="00896A6B">
        <w:rPr>
          <w:rFonts w:cstheme="minorHAnsi"/>
        </w:rPr>
        <w:t xml:space="preserve"> at PPP. This will require a new portfolio of interventions and scaling up of existing successful interventions.</w:t>
      </w:r>
    </w:p>
    <w:p w14:paraId="21266FBF" w14:textId="11ECF70F" w:rsidR="00896A6B" w:rsidRPr="00343460" w:rsidRDefault="00896A6B" w:rsidP="00896A6B">
      <w:pPr>
        <w:pStyle w:val="ListParagraph"/>
        <w:numPr>
          <w:ilvl w:val="0"/>
          <w:numId w:val="18"/>
        </w:numPr>
        <w:rPr>
          <w:rFonts w:cstheme="minorHAnsi"/>
        </w:rPr>
      </w:pPr>
      <w:r w:rsidRPr="007A0995">
        <w:rPr>
          <w:rFonts w:cstheme="minorHAnsi"/>
          <w:b/>
        </w:rPr>
        <w:t>Increasing the geographic coverage of the Program</w:t>
      </w:r>
      <w:r w:rsidR="007511C6">
        <w:rPr>
          <w:rFonts w:cstheme="minorHAnsi"/>
          <w:b/>
        </w:rPr>
        <w:t xml:space="preserve"> to six provinces</w:t>
      </w:r>
      <w:r w:rsidR="00E66484" w:rsidRPr="007A0995">
        <w:rPr>
          <w:rFonts w:cstheme="minorHAnsi"/>
          <w:b/>
        </w:rPr>
        <w:t>:</w:t>
      </w:r>
      <w:r w:rsidRPr="00343460">
        <w:rPr>
          <w:rFonts w:cstheme="minorHAnsi"/>
        </w:rPr>
        <w:t xml:space="preserve"> </w:t>
      </w:r>
      <w:r w:rsidR="007511C6">
        <w:rPr>
          <w:rFonts w:cstheme="minorHAnsi"/>
        </w:rPr>
        <w:t xml:space="preserve">adding the </w:t>
      </w:r>
      <w:proofErr w:type="gramStart"/>
      <w:r w:rsidR="007511C6">
        <w:rPr>
          <w:rFonts w:cstheme="minorHAnsi"/>
        </w:rPr>
        <w:t>new,</w:t>
      </w:r>
      <w:proofErr w:type="gramEnd"/>
      <w:r w:rsidR="007511C6">
        <w:rPr>
          <w:rFonts w:cstheme="minorHAnsi"/>
        </w:rPr>
        <w:t xml:space="preserve"> and importantly large province of Central Java to the </w:t>
      </w:r>
      <w:r w:rsidRPr="00343460">
        <w:rPr>
          <w:rFonts w:cstheme="minorHAnsi"/>
        </w:rPr>
        <w:t xml:space="preserve">existing </w:t>
      </w:r>
      <w:r w:rsidR="007511C6">
        <w:rPr>
          <w:rFonts w:cstheme="minorHAnsi"/>
        </w:rPr>
        <w:t>five</w:t>
      </w:r>
      <w:r w:rsidRPr="00343460">
        <w:rPr>
          <w:rFonts w:cstheme="minorHAnsi"/>
        </w:rPr>
        <w:t xml:space="preserve"> provinces </w:t>
      </w:r>
      <w:r w:rsidR="007511C6">
        <w:rPr>
          <w:rFonts w:cstheme="minorHAnsi"/>
        </w:rPr>
        <w:t>of East Java, NTT, NTB, Papua and West Papua</w:t>
      </w:r>
      <w:r w:rsidRPr="00343460">
        <w:rPr>
          <w:rFonts w:cstheme="minorHAnsi"/>
        </w:rPr>
        <w:t>, thereby expanding intervention locations</w:t>
      </w:r>
      <w:r>
        <w:rPr>
          <w:rFonts w:cstheme="minorHAnsi"/>
        </w:rPr>
        <w:t xml:space="preserve"> and </w:t>
      </w:r>
      <w:r w:rsidRPr="00343460">
        <w:rPr>
          <w:rFonts w:cstheme="minorHAnsi"/>
        </w:rPr>
        <w:t>interfaces with local government.</w:t>
      </w:r>
    </w:p>
    <w:p w14:paraId="31139C8F" w14:textId="328FE2DD" w:rsidR="00896A6B" w:rsidRPr="003221C7" w:rsidRDefault="00896A6B" w:rsidP="007A0995">
      <w:pPr>
        <w:pStyle w:val="ListParagraph"/>
        <w:numPr>
          <w:ilvl w:val="0"/>
          <w:numId w:val="18"/>
        </w:numPr>
        <w:rPr>
          <w:rFonts w:cstheme="minorHAnsi"/>
        </w:rPr>
      </w:pPr>
      <w:r w:rsidRPr="007A0995">
        <w:rPr>
          <w:rFonts w:cstheme="minorHAnsi"/>
          <w:b/>
        </w:rPr>
        <w:t>Strengthening the focus on policy influence, the wider agri-business enabling environment</w:t>
      </w:r>
      <w:r w:rsidR="00E66484">
        <w:rPr>
          <w:rFonts w:cstheme="minorHAnsi"/>
          <w:b/>
        </w:rPr>
        <w:t>, and systemic change</w:t>
      </w:r>
      <w:r w:rsidR="00E66484">
        <w:rPr>
          <w:rFonts w:cstheme="minorHAnsi"/>
        </w:rPr>
        <w:t>:</w:t>
      </w:r>
      <w:r w:rsidRPr="00343460">
        <w:rPr>
          <w:rFonts w:cstheme="minorHAnsi"/>
        </w:rPr>
        <w:t xml:space="preserve"> through </w:t>
      </w:r>
      <w:r w:rsidR="00E66484">
        <w:rPr>
          <w:rFonts w:cstheme="minorHAnsi"/>
        </w:rPr>
        <w:t xml:space="preserve">equipping decision makers with evidence and the development of </w:t>
      </w:r>
      <w:r w:rsidRPr="00343460">
        <w:rPr>
          <w:rFonts w:cstheme="minorHAnsi"/>
        </w:rPr>
        <w:t xml:space="preserve">strategic partnerships with key </w:t>
      </w:r>
      <w:r>
        <w:rPr>
          <w:rFonts w:cstheme="minorHAnsi"/>
        </w:rPr>
        <w:t>policy and agri-business influencers.</w:t>
      </w:r>
    </w:p>
    <w:p w14:paraId="60E0A97E" w14:textId="5AF942AB" w:rsidR="00ED2BAF" w:rsidRPr="00343460" w:rsidRDefault="00090933" w:rsidP="00274C18">
      <w:pPr>
        <w:pStyle w:val="Heading3"/>
        <w:rPr>
          <w:rFonts w:cstheme="minorHAnsi"/>
        </w:rPr>
      </w:pPr>
      <w:bookmarkStart w:id="21" w:name="_Toc499298851"/>
      <w:r w:rsidRPr="0058415A">
        <w:t xml:space="preserve">Governance Arrangements and </w:t>
      </w:r>
      <w:r w:rsidR="003D7A68" w:rsidRPr="0058415A">
        <w:t>Structure</w:t>
      </w:r>
      <w:bookmarkEnd w:id="21"/>
    </w:p>
    <w:p w14:paraId="65949BA5" w14:textId="5BA86C30" w:rsidR="007957A8" w:rsidRPr="00343460" w:rsidRDefault="005D461A" w:rsidP="00794C57">
      <w:pPr>
        <w:pStyle w:val="BodyText"/>
        <w:rPr>
          <w:rFonts w:cstheme="minorHAnsi"/>
        </w:rPr>
      </w:pPr>
      <w:bookmarkStart w:id="22" w:name="_Hlk488136759"/>
      <w:r>
        <w:rPr>
          <w:rFonts w:cstheme="minorHAnsi"/>
        </w:rPr>
        <w:t>PRISMA-2</w:t>
      </w:r>
      <w:r w:rsidR="007A0845" w:rsidRPr="00343460">
        <w:rPr>
          <w:rFonts w:cstheme="minorHAnsi"/>
        </w:rPr>
        <w:t xml:space="preserve"> will be implemented in accordance with the Australia-Indonesia bilateral </w:t>
      </w:r>
      <w:r w:rsidR="007B1C8F">
        <w:rPr>
          <w:rFonts w:cstheme="minorHAnsi"/>
        </w:rPr>
        <w:t xml:space="preserve">General Agreement on </w:t>
      </w:r>
      <w:r w:rsidR="001B3239">
        <w:rPr>
          <w:rFonts w:cstheme="minorHAnsi"/>
        </w:rPr>
        <w:t>Development Cooperation</w:t>
      </w:r>
      <w:r w:rsidR="007A0845" w:rsidRPr="00343460">
        <w:rPr>
          <w:rFonts w:cstheme="minorHAnsi"/>
        </w:rPr>
        <w:t xml:space="preserve">. BAPPENAS </w:t>
      </w:r>
      <w:r w:rsidR="00343460">
        <w:rPr>
          <w:rFonts w:cstheme="minorHAnsi"/>
        </w:rPr>
        <w:t xml:space="preserve">will be the key </w:t>
      </w:r>
      <w:r w:rsidR="00C63276">
        <w:rPr>
          <w:rFonts w:cstheme="minorHAnsi"/>
        </w:rPr>
        <w:t xml:space="preserve">Indonesian </w:t>
      </w:r>
      <w:r w:rsidR="00343460">
        <w:rPr>
          <w:rFonts w:cstheme="minorHAnsi"/>
        </w:rPr>
        <w:t>Counterpart</w:t>
      </w:r>
      <w:r w:rsidR="00C62DB0">
        <w:rPr>
          <w:rFonts w:cstheme="minorHAnsi"/>
        </w:rPr>
        <w:t xml:space="preserve">. As </w:t>
      </w:r>
      <w:r>
        <w:rPr>
          <w:rFonts w:cstheme="minorHAnsi"/>
        </w:rPr>
        <w:t>PRISMA-2</w:t>
      </w:r>
      <w:r w:rsidR="00C62DB0">
        <w:rPr>
          <w:rFonts w:cstheme="minorHAnsi"/>
        </w:rPr>
        <w:t xml:space="preserve"> is a multi</w:t>
      </w:r>
      <w:r w:rsidR="00174F66">
        <w:rPr>
          <w:rFonts w:cstheme="minorHAnsi"/>
        </w:rPr>
        <w:t>-</w:t>
      </w:r>
      <w:r w:rsidR="00C62DB0">
        <w:rPr>
          <w:rFonts w:cstheme="minorHAnsi"/>
        </w:rPr>
        <w:t xml:space="preserve">sectoral </w:t>
      </w:r>
      <w:r w:rsidR="00776CE2">
        <w:rPr>
          <w:rFonts w:cstheme="minorHAnsi"/>
        </w:rPr>
        <w:t xml:space="preserve">innovative </w:t>
      </w:r>
      <w:r w:rsidR="00C62DB0">
        <w:rPr>
          <w:rFonts w:cstheme="minorHAnsi"/>
        </w:rPr>
        <w:t>agricultur</w:t>
      </w:r>
      <w:r w:rsidR="003B6F2E">
        <w:rPr>
          <w:rFonts w:cstheme="minorHAnsi"/>
        </w:rPr>
        <w:t>al</w:t>
      </w:r>
      <w:r w:rsidR="00C62DB0">
        <w:rPr>
          <w:rFonts w:cstheme="minorHAnsi"/>
        </w:rPr>
        <w:t xml:space="preserve"> market program </w:t>
      </w:r>
      <w:r w:rsidR="003B6F2E">
        <w:rPr>
          <w:rFonts w:cstheme="minorHAnsi"/>
        </w:rPr>
        <w:t>working across a range of sectors, sub-sectors and geographies</w:t>
      </w:r>
      <w:r w:rsidR="002B5DBE">
        <w:rPr>
          <w:rFonts w:cstheme="minorHAnsi"/>
        </w:rPr>
        <w:t>,</w:t>
      </w:r>
      <w:r w:rsidR="003B6F2E">
        <w:rPr>
          <w:rFonts w:cstheme="minorHAnsi"/>
        </w:rPr>
        <w:t xml:space="preserve"> </w:t>
      </w:r>
      <w:r w:rsidR="00C62DB0">
        <w:rPr>
          <w:rFonts w:cstheme="minorHAnsi"/>
        </w:rPr>
        <w:t>BAPPENAS is the most suitable Gove</w:t>
      </w:r>
      <w:r w:rsidR="00650B83">
        <w:rPr>
          <w:rFonts w:cstheme="minorHAnsi"/>
        </w:rPr>
        <w:t>rnment of Indonesia counterpart</w:t>
      </w:r>
      <w:r w:rsidR="00C62DB0">
        <w:rPr>
          <w:rFonts w:cstheme="minorHAnsi"/>
        </w:rPr>
        <w:t>.</w:t>
      </w:r>
      <w:r w:rsidR="00650B83">
        <w:rPr>
          <w:rFonts w:cstheme="minorHAnsi"/>
        </w:rPr>
        <w:t xml:space="preserve"> </w:t>
      </w:r>
      <w:r w:rsidR="007A0845" w:rsidRPr="00343460">
        <w:rPr>
          <w:rFonts w:cstheme="minorHAnsi"/>
        </w:rPr>
        <w:t xml:space="preserve">The program will align with BAPPENAS priorities, </w:t>
      </w:r>
      <w:r w:rsidR="00C63276">
        <w:rPr>
          <w:rFonts w:cstheme="minorHAnsi"/>
        </w:rPr>
        <w:t xml:space="preserve">outlined </w:t>
      </w:r>
      <w:r w:rsidR="007A0845" w:rsidRPr="00343460">
        <w:rPr>
          <w:rFonts w:cstheme="minorHAnsi"/>
        </w:rPr>
        <w:t xml:space="preserve">in </w:t>
      </w:r>
      <w:r w:rsidR="00634D82" w:rsidRPr="00343460">
        <w:rPr>
          <w:rFonts w:cstheme="minorHAnsi"/>
        </w:rPr>
        <w:t>the</w:t>
      </w:r>
      <w:r w:rsidR="007A0845" w:rsidRPr="00343460">
        <w:rPr>
          <w:rFonts w:cstheme="minorHAnsi"/>
        </w:rPr>
        <w:t xml:space="preserve"> RPJMN</w:t>
      </w:r>
      <w:r w:rsidR="004872D8">
        <w:rPr>
          <w:rStyle w:val="FootnoteReference"/>
          <w:rFonts w:cstheme="minorHAnsi"/>
        </w:rPr>
        <w:footnoteReference w:id="54"/>
      </w:r>
      <w:r w:rsidR="007A0845" w:rsidRPr="00343460">
        <w:rPr>
          <w:rFonts w:cstheme="minorHAnsi"/>
        </w:rPr>
        <w:t xml:space="preserve">, to ensure </w:t>
      </w:r>
      <w:r>
        <w:rPr>
          <w:rFonts w:cstheme="minorHAnsi"/>
        </w:rPr>
        <w:t>PRISMA-2</w:t>
      </w:r>
      <w:r w:rsidR="007A0845" w:rsidRPr="00343460">
        <w:rPr>
          <w:rFonts w:cstheme="minorHAnsi"/>
        </w:rPr>
        <w:t xml:space="preserve"> supports development plans at the national and sub-national levels </w:t>
      </w:r>
      <w:r w:rsidR="00090933" w:rsidRPr="00343460">
        <w:rPr>
          <w:rFonts w:cstheme="minorHAnsi"/>
        </w:rPr>
        <w:t>and to enable coordination with relevant key line agencies in each of the program provinces at the sub-national level.</w:t>
      </w:r>
      <w:bookmarkEnd w:id="22"/>
    </w:p>
    <w:p w14:paraId="25D32A48" w14:textId="78D4A162" w:rsidR="00ED2BAF" w:rsidRPr="00343460" w:rsidRDefault="00C62DB0" w:rsidP="00794C57">
      <w:pPr>
        <w:pStyle w:val="BodyText"/>
        <w:rPr>
          <w:rFonts w:cstheme="minorHAnsi"/>
        </w:rPr>
      </w:pPr>
      <w:r>
        <w:rPr>
          <w:rFonts w:cstheme="minorHAnsi"/>
        </w:rPr>
        <w:t>T</w:t>
      </w:r>
      <w:r w:rsidR="007957A8" w:rsidRPr="00343460">
        <w:rPr>
          <w:rFonts w:cstheme="minorHAnsi"/>
        </w:rPr>
        <w:t xml:space="preserve">his represents a shift in governance arrangements from AIP-Rural, which involved </w:t>
      </w:r>
      <w:r w:rsidR="00FF6C49" w:rsidRPr="00343460">
        <w:rPr>
          <w:rFonts w:cstheme="minorHAnsi"/>
        </w:rPr>
        <w:t xml:space="preserve">separate </w:t>
      </w:r>
      <w:r w:rsidR="007957A8" w:rsidRPr="00343460">
        <w:rPr>
          <w:rFonts w:cstheme="minorHAnsi"/>
        </w:rPr>
        <w:t>S</w:t>
      </w:r>
      <w:r w:rsidR="00650B83">
        <w:rPr>
          <w:rFonts w:cstheme="minorHAnsi"/>
        </w:rPr>
        <w:t xml:space="preserve">ubsidiary </w:t>
      </w:r>
      <w:r w:rsidR="007957A8" w:rsidRPr="00343460">
        <w:rPr>
          <w:rFonts w:cstheme="minorHAnsi"/>
        </w:rPr>
        <w:t>A</w:t>
      </w:r>
      <w:r w:rsidR="00650B83">
        <w:rPr>
          <w:rFonts w:cstheme="minorHAnsi"/>
        </w:rPr>
        <w:t>rrangement</w:t>
      </w:r>
      <w:r w:rsidR="007957A8" w:rsidRPr="00343460">
        <w:rPr>
          <w:rFonts w:cstheme="minorHAnsi"/>
        </w:rPr>
        <w:t xml:space="preserve">s with </w:t>
      </w:r>
      <w:r w:rsidR="00D91833">
        <w:rPr>
          <w:rFonts w:cstheme="minorHAnsi"/>
        </w:rPr>
        <w:t xml:space="preserve">three </w:t>
      </w:r>
      <w:proofErr w:type="spellStart"/>
      <w:r w:rsidR="00D91833">
        <w:rPr>
          <w:rFonts w:cstheme="minorHAnsi"/>
        </w:rPr>
        <w:t>G</w:t>
      </w:r>
      <w:r w:rsidR="00FD141F">
        <w:rPr>
          <w:rFonts w:cstheme="minorHAnsi"/>
        </w:rPr>
        <w:t>o</w:t>
      </w:r>
      <w:r w:rsidR="00D91833">
        <w:rPr>
          <w:rFonts w:cstheme="minorHAnsi"/>
        </w:rPr>
        <w:t>I</w:t>
      </w:r>
      <w:proofErr w:type="spellEnd"/>
      <w:r w:rsidR="00D91833">
        <w:rPr>
          <w:rFonts w:cstheme="minorHAnsi"/>
        </w:rPr>
        <w:t xml:space="preserve"> agencies (</w:t>
      </w:r>
      <w:r w:rsidR="007957A8" w:rsidRPr="00343460">
        <w:rPr>
          <w:rFonts w:cstheme="minorHAnsi"/>
        </w:rPr>
        <w:t>BAPPENAS, Ministry of Public Works and</w:t>
      </w:r>
      <w:r w:rsidR="00FF24A0">
        <w:rPr>
          <w:rFonts w:cstheme="minorHAnsi"/>
        </w:rPr>
        <w:t xml:space="preserve"> </w:t>
      </w:r>
      <w:r w:rsidR="00C261EA">
        <w:rPr>
          <w:rFonts w:cstheme="minorHAnsi"/>
        </w:rPr>
        <w:t xml:space="preserve">a </w:t>
      </w:r>
      <w:proofErr w:type="spellStart"/>
      <w:r w:rsidR="00C261EA">
        <w:rPr>
          <w:rFonts w:cstheme="minorHAnsi"/>
        </w:rPr>
        <w:t>MoA</w:t>
      </w:r>
      <w:proofErr w:type="spellEnd"/>
      <w:r w:rsidR="00C261EA">
        <w:rPr>
          <w:rFonts w:cstheme="minorHAnsi"/>
        </w:rPr>
        <w:t xml:space="preserve"> with the </w:t>
      </w:r>
      <w:r w:rsidR="00FF24A0">
        <w:rPr>
          <w:rFonts w:cstheme="minorHAnsi"/>
        </w:rPr>
        <w:t>Ministry of Research, Technology and Higher Education</w:t>
      </w:r>
      <w:r w:rsidR="00D91833">
        <w:rPr>
          <w:rFonts w:cstheme="minorHAnsi"/>
        </w:rPr>
        <w:t>)</w:t>
      </w:r>
      <w:r>
        <w:rPr>
          <w:rFonts w:cstheme="minorHAnsi"/>
        </w:rPr>
        <w:t>. W</w:t>
      </w:r>
      <w:r w:rsidR="00D91833">
        <w:rPr>
          <w:rFonts w:cstheme="minorHAnsi"/>
        </w:rPr>
        <w:t xml:space="preserve">ith </w:t>
      </w:r>
      <w:r w:rsidR="00650B83">
        <w:rPr>
          <w:rFonts w:cstheme="minorHAnsi"/>
        </w:rPr>
        <w:t>support from the</w:t>
      </w:r>
      <w:r w:rsidR="00D91833">
        <w:rPr>
          <w:rFonts w:cstheme="minorHAnsi"/>
        </w:rPr>
        <w:t xml:space="preserve"> Contractor</w:t>
      </w:r>
      <w:r>
        <w:rPr>
          <w:rFonts w:cstheme="minorHAnsi"/>
        </w:rPr>
        <w:t>,</w:t>
      </w:r>
      <w:r w:rsidR="00D91833">
        <w:rPr>
          <w:rFonts w:cstheme="minorHAnsi"/>
        </w:rPr>
        <w:t xml:space="preserve"> BAPPENAS will coordinate the strategic involvement of relevant line Ministries and partners through the PCC</w:t>
      </w:r>
      <w:r w:rsidR="00C261EA">
        <w:rPr>
          <w:rFonts w:cstheme="minorHAnsi"/>
        </w:rPr>
        <w:t>,</w:t>
      </w:r>
      <w:r w:rsidR="00FD141F">
        <w:rPr>
          <w:rFonts w:cstheme="minorHAnsi"/>
        </w:rPr>
        <w:t xml:space="preserve"> </w:t>
      </w:r>
      <w:r w:rsidR="00C261EA">
        <w:rPr>
          <w:rFonts w:cstheme="minorHAnsi"/>
        </w:rPr>
        <w:t xml:space="preserve">on an ad hoc basis </w:t>
      </w:r>
      <w:r w:rsidR="00307B57">
        <w:rPr>
          <w:rFonts w:cstheme="minorHAnsi"/>
        </w:rPr>
        <w:t>as</w:t>
      </w:r>
      <w:r w:rsidR="00FD141F">
        <w:rPr>
          <w:rFonts w:cstheme="minorHAnsi"/>
        </w:rPr>
        <w:t xml:space="preserve"> required</w:t>
      </w:r>
      <w:r w:rsidR="00307B57">
        <w:rPr>
          <w:rFonts w:cstheme="minorHAnsi"/>
        </w:rPr>
        <w:t xml:space="preserve"> e.g. </w:t>
      </w:r>
      <w:r w:rsidR="00FD141F">
        <w:rPr>
          <w:rFonts w:cstheme="minorHAnsi"/>
        </w:rPr>
        <w:t xml:space="preserve">the </w:t>
      </w:r>
      <w:r w:rsidR="00D91833">
        <w:rPr>
          <w:rFonts w:cstheme="minorHAnsi"/>
        </w:rPr>
        <w:t xml:space="preserve">Ministry of Public Works, </w:t>
      </w:r>
      <w:r w:rsidR="00FF24A0">
        <w:rPr>
          <w:rFonts w:cstheme="minorHAnsi"/>
        </w:rPr>
        <w:t>Ministry of Research, Technology and Higher Education</w:t>
      </w:r>
      <w:r w:rsidR="00D91833">
        <w:rPr>
          <w:rFonts w:cstheme="minorHAnsi"/>
        </w:rPr>
        <w:t>, Ministry of Agriculture, Ministry of Trade</w:t>
      </w:r>
      <w:r>
        <w:rPr>
          <w:rFonts w:cstheme="minorHAnsi"/>
        </w:rPr>
        <w:t>, OJK</w:t>
      </w:r>
      <w:r w:rsidR="00D91833">
        <w:rPr>
          <w:rFonts w:cstheme="minorHAnsi"/>
        </w:rPr>
        <w:t xml:space="preserve"> and private sector </w:t>
      </w:r>
      <w:r w:rsidR="002F27A6">
        <w:rPr>
          <w:rFonts w:cstheme="minorHAnsi"/>
        </w:rPr>
        <w:t>businesses</w:t>
      </w:r>
      <w:r w:rsidR="00C63276">
        <w:rPr>
          <w:rFonts w:cstheme="minorHAnsi"/>
        </w:rPr>
        <w:t>.</w:t>
      </w:r>
    </w:p>
    <w:p w14:paraId="00EAF03C" w14:textId="516B8F64" w:rsidR="00FF6C49" w:rsidRPr="00343460" w:rsidRDefault="006E21C5" w:rsidP="00794C57">
      <w:pPr>
        <w:pStyle w:val="BodyText"/>
        <w:rPr>
          <w:rFonts w:cstheme="minorHAnsi"/>
        </w:rPr>
      </w:pPr>
      <w:r w:rsidRPr="00343460">
        <w:rPr>
          <w:rFonts w:cstheme="minorHAnsi"/>
        </w:rPr>
        <w:t xml:space="preserve">DFAT will </w:t>
      </w:r>
      <w:r w:rsidR="00785D8A">
        <w:rPr>
          <w:rFonts w:cstheme="minorHAnsi"/>
        </w:rPr>
        <w:t>have overall responsibility</w:t>
      </w:r>
      <w:r w:rsidR="00FF6C49" w:rsidRPr="00343460">
        <w:rPr>
          <w:rFonts w:cstheme="minorHAnsi"/>
        </w:rPr>
        <w:t xml:space="preserve"> for managing relationships, priority setting and communications with the </w:t>
      </w:r>
      <w:proofErr w:type="spellStart"/>
      <w:r w:rsidR="00FF6C49" w:rsidRPr="00343460">
        <w:rPr>
          <w:rFonts w:cstheme="minorHAnsi"/>
        </w:rPr>
        <w:t>GoI</w:t>
      </w:r>
      <w:proofErr w:type="spellEnd"/>
      <w:r w:rsidR="00FF6C49" w:rsidRPr="00343460">
        <w:rPr>
          <w:rFonts w:cstheme="minorHAnsi"/>
        </w:rPr>
        <w:t xml:space="preserve"> at the national and sub-national</w:t>
      </w:r>
      <w:r w:rsidR="00D25EA5">
        <w:rPr>
          <w:rFonts w:cstheme="minorHAnsi"/>
        </w:rPr>
        <w:t xml:space="preserve"> </w:t>
      </w:r>
      <w:proofErr w:type="gramStart"/>
      <w:r w:rsidR="00D25EA5">
        <w:rPr>
          <w:rFonts w:cstheme="minorHAnsi"/>
        </w:rPr>
        <w:t>levels</w:t>
      </w:r>
      <w:r w:rsidR="00FF6C49" w:rsidRPr="00343460">
        <w:rPr>
          <w:rFonts w:cstheme="minorHAnsi"/>
        </w:rPr>
        <w:t>,</w:t>
      </w:r>
      <w:proofErr w:type="gramEnd"/>
      <w:r w:rsidR="00FF6C49" w:rsidRPr="00343460">
        <w:rPr>
          <w:rFonts w:cstheme="minorHAnsi"/>
        </w:rPr>
        <w:t xml:space="preserve"> however, the Contractor </w:t>
      </w:r>
      <w:r w:rsidRPr="00343460">
        <w:rPr>
          <w:rFonts w:cstheme="minorHAnsi"/>
        </w:rPr>
        <w:t xml:space="preserve">team </w:t>
      </w:r>
      <w:r w:rsidR="00FF6C49" w:rsidRPr="00343460">
        <w:rPr>
          <w:rFonts w:cstheme="minorHAnsi"/>
        </w:rPr>
        <w:t xml:space="preserve">will liaise with relevant government agencies at the sub-national level as part of the development and implementation of program </w:t>
      </w:r>
      <w:r w:rsidRPr="00343460">
        <w:rPr>
          <w:rFonts w:cstheme="minorHAnsi"/>
        </w:rPr>
        <w:t xml:space="preserve">partnerships, </w:t>
      </w:r>
      <w:r w:rsidR="00FF6C49" w:rsidRPr="00343460">
        <w:rPr>
          <w:rFonts w:cstheme="minorHAnsi"/>
        </w:rPr>
        <w:t>interventions and activities</w:t>
      </w:r>
      <w:r w:rsidR="00307B57">
        <w:rPr>
          <w:rFonts w:cstheme="minorHAnsi"/>
        </w:rPr>
        <w:t>,</w:t>
      </w:r>
      <w:r w:rsidR="00F47AFE">
        <w:rPr>
          <w:rFonts w:cstheme="minorHAnsi"/>
        </w:rPr>
        <w:t xml:space="preserve"> and support DFAT’s engagement at the national level</w:t>
      </w:r>
      <w:r w:rsidR="00FF6C49" w:rsidRPr="00343460">
        <w:rPr>
          <w:rFonts w:cstheme="minorHAnsi"/>
        </w:rPr>
        <w:t xml:space="preserve">. </w:t>
      </w:r>
      <w:r w:rsidRPr="00343460">
        <w:rPr>
          <w:rFonts w:cstheme="minorHAnsi"/>
        </w:rPr>
        <w:t xml:space="preserve">DFAT will work closely with BAPPENAS and other relevant </w:t>
      </w:r>
      <w:r w:rsidR="00C65755" w:rsidRPr="00343460">
        <w:rPr>
          <w:rFonts w:cstheme="minorHAnsi"/>
        </w:rPr>
        <w:t>government agencies to identify information needs and evidence requirements, such as case studies and policy briefs, to support broader reforms to market system</w:t>
      </w:r>
      <w:r w:rsidR="00C63276">
        <w:rPr>
          <w:rFonts w:cstheme="minorHAnsi"/>
        </w:rPr>
        <w:t>s and the enabling environment.</w:t>
      </w:r>
    </w:p>
    <w:p w14:paraId="51FD0DE8" w14:textId="12CB8BC8" w:rsidR="00B46B0A" w:rsidRPr="00483539" w:rsidRDefault="00127196" w:rsidP="00483539">
      <w:pPr>
        <w:rPr>
          <w:rFonts w:cstheme="minorHAnsi"/>
        </w:rPr>
      </w:pPr>
      <w:r>
        <w:rPr>
          <w:rFonts w:cstheme="minorHAnsi"/>
        </w:rPr>
        <w:t>As shown in the summary governance and management structu</w:t>
      </w:r>
      <w:r w:rsidR="00ED4418">
        <w:rPr>
          <w:rFonts w:cstheme="minorHAnsi"/>
        </w:rPr>
        <w:t>re (Chart 2</w:t>
      </w:r>
      <w:r>
        <w:rPr>
          <w:rFonts w:cstheme="minorHAnsi"/>
        </w:rPr>
        <w:t>), a</w:t>
      </w:r>
      <w:r w:rsidR="00C65755" w:rsidRPr="00343460">
        <w:rPr>
          <w:rFonts w:cstheme="minorHAnsi"/>
        </w:rPr>
        <w:t xml:space="preserve"> Strategic Review Panel (SRP) </w:t>
      </w:r>
      <w:r w:rsidR="00307B57">
        <w:rPr>
          <w:rFonts w:cstheme="minorHAnsi"/>
        </w:rPr>
        <w:t xml:space="preserve">will continue to be directly engaged by DFAT </w:t>
      </w:r>
      <w:r w:rsidR="00785D8A">
        <w:rPr>
          <w:rFonts w:cstheme="minorHAnsi"/>
        </w:rPr>
        <w:t xml:space="preserve">to support </w:t>
      </w:r>
      <w:r w:rsidR="00C63276">
        <w:rPr>
          <w:rFonts w:cstheme="minorHAnsi"/>
        </w:rPr>
        <w:t xml:space="preserve">management of </w:t>
      </w:r>
      <w:r w:rsidR="00785D8A">
        <w:rPr>
          <w:rFonts w:cstheme="minorHAnsi"/>
        </w:rPr>
        <w:t xml:space="preserve">the strategic direction </w:t>
      </w:r>
      <w:r w:rsidR="00307B57">
        <w:rPr>
          <w:rFonts w:cstheme="minorHAnsi"/>
        </w:rPr>
        <w:t>of</w:t>
      </w:r>
      <w:r w:rsidR="00C63276">
        <w:rPr>
          <w:rFonts w:cstheme="minorHAnsi"/>
        </w:rPr>
        <w:t xml:space="preserve"> </w:t>
      </w:r>
      <w:r w:rsidR="00785D8A">
        <w:rPr>
          <w:rFonts w:cstheme="minorHAnsi"/>
        </w:rPr>
        <w:t xml:space="preserve">the </w:t>
      </w:r>
      <w:r w:rsidR="00307B57">
        <w:rPr>
          <w:rFonts w:cstheme="minorHAnsi"/>
        </w:rPr>
        <w:t>P</w:t>
      </w:r>
      <w:r w:rsidR="00785D8A">
        <w:rPr>
          <w:rFonts w:cstheme="minorHAnsi"/>
        </w:rPr>
        <w:t>rogram</w:t>
      </w:r>
      <w:r w:rsidR="00307B57">
        <w:rPr>
          <w:rFonts w:cstheme="minorHAnsi"/>
        </w:rPr>
        <w:t xml:space="preserve"> and provide regular course correction</w:t>
      </w:r>
      <w:r w:rsidR="00C65755" w:rsidRPr="00343460">
        <w:rPr>
          <w:rFonts w:cstheme="minorHAnsi"/>
        </w:rPr>
        <w:t xml:space="preserve">. The SRP will consist of between 2-5 consultants with </w:t>
      </w:r>
      <w:r w:rsidR="00C65755" w:rsidRPr="00343460">
        <w:rPr>
          <w:rFonts w:cstheme="minorHAnsi"/>
        </w:rPr>
        <w:lastRenderedPageBreak/>
        <w:t>technical expertise across a rang</w:t>
      </w:r>
      <w:r w:rsidR="00307B57">
        <w:rPr>
          <w:rFonts w:cstheme="minorHAnsi"/>
        </w:rPr>
        <w:t>e of functions relevant to the P</w:t>
      </w:r>
      <w:r w:rsidR="00C65755" w:rsidRPr="00343460">
        <w:rPr>
          <w:rFonts w:cstheme="minorHAnsi"/>
        </w:rPr>
        <w:t xml:space="preserve">rogram and will continue to conduct 6-monthly reviews for the first 1.5-2 years of implementation and </w:t>
      </w:r>
      <w:r w:rsidR="00731EA7">
        <w:rPr>
          <w:rFonts w:cstheme="minorHAnsi"/>
        </w:rPr>
        <w:t xml:space="preserve">may </w:t>
      </w:r>
      <w:r w:rsidR="00C65755" w:rsidRPr="00343460">
        <w:rPr>
          <w:rFonts w:cstheme="minorHAnsi"/>
        </w:rPr>
        <w:t>mov</w:t>
      </w:r>
      <w:r w:rsidR="00C63276">
        <w:rPr>
          <w:rFonts w:cstheme="minorHAnsi"/>
        </w:rPr>
        <w:t>e to annual reviews thereafter.</w:t>
      </w:r>
      <w:r w:rsidR="0028742B">
        <w:rPr>
          <w:rFonts w:cstheme="minorHAnsi"/>
        </w:rPr>
        <w:t xml:space="preserve"> The SRP are also able to function as an ad hoc ‘help desk’ for DFAT enquiries </w:t>
      </w:r>
      <w:r w:rsidR="009A1705">
        <w:rPr>
          <w:rFonts w:cstheme="minorHAnsi"/>
        </w:rPr>
        <w:t xml:space="preserve">related to issues such as </w:t>
      </w:r>
      <w:r w:rsidR="0028742B">
        <w:rPr>
          <w:rFonts w:cstheme="minorHAnsi"/>
        </w:rPr>
        <w:t xml:space="preserve">program management, operations, assessment of performance payments, or strategic decisions. </w:t>
      </w:r>
    </w:p>
    <w:p w14:paraId="7F619E53" w14:textId="399E2167" w:rsidR="00776CE2" w:rsidRPr="00900ECC" w:rsidRDefault="00776CE2" w:rsidP="00776CE2">
      <w:pPr>
        <w:pStyle w:val="BodyText"/>
        <w:rPr>
          <w:rFonts w:cstheme="minorHAnsi"/>
        </w:rPr>
      </w:pPr>
      <w:r>
        <w:rPr>
          <w:rFonts w:cstheme="minorHAnsi"/>
          <w:noProof/>
          <w:lang w:eastAsia="en-AU"/>
        </w:rPr>
        <mc:AlternateContent>
          <mc:Choice Requires="wpi">
            <w:drawing>
              <wp:anchor distT="0" distB="0" distL="114300" distR="114300" simplePos="0" relativeHeight="251694592" behindDoc="0" locked="0" layoutInCell="1" allowOverlap="1" wp14:anchorId="5F03CF76" wp14:editId="303ABEB4">
                <wp:simplePos x="0" y="0"/>
                <wp:positionH relativeFrom="column">
                  <wp:posOffset>2738403</wp:posOffset>
                </wp:positionH>
                <wp:positionV relativeFrom="paragraph">
                  <wp:posOffset>768905</wp:posOffset>
                </wp:positionV>
                <wp:extent cx="160" cy="160"/>
                <wp:effectExtent l="38100" t="38100" r="38100" b="38100"/>
                <wp:wrapNone/>
                <wp:docPr id="24" name="Ink 24"/>
                <wp:cNvGraphicFramePr/>
                <a:graphic xmlns:a="http://schemas.openxmlformats.org/drawingml/2006/main">
                  <a:graphicData uri="http://schemas.microsoft.com/office/word/2010/wordprocessingInk">
                    <w14:contentPart bwMode="auto" r:id="rId21">
                      <w14:nvContentPartPr>
                        <w14:cNvContentPartPr/>
                      </w14:nvContentPartPr>
                      <w14:xfrm>
                        <a:off x="0" y="0"/>
                        <a:ext cx="160" cy="160"/>
                      </w14:xfrm>
                    </w14:contentPart>
                  </a:graphicData>
                </a:graphic>
              </wp:anchor>
            </w:drawing>
          </mc:Choice>
          <mc:Fallback xmlns:w15="http://schemas.microsoft.com/office/word/2012/wordml">
            <w:pict>
              <v:shapetype w14:anchorId="1C1C17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215.45pt;margin-top:60.4pt;width:.25pt;height:.2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">
                <v:imagedata r:id="rId26" o:title=""/>
              </v:shape>
            </w:pict>
          </mc:Fallback>
        </mc:AlternateContent>
      </w:r>
      <w:r>
        <w:rPr>
          <w:rFonts w:cstheme="minorHAnsi"/>
          <w:noProof/>
          <w:lang w:eastAsia="en-AU"/>
        </w:rPr>
        <mc:AlternateContent>
          <mc:Choice Requires="wpi">
            <w:drawing>
              <wp:anchor distT="0" distB="0" distL="114300" distR="114300" simplePos="0" relativeHeight="251693568" behindDoc="0" locked="0" layoutInCell="1" allowOverlap="1" wp14:anchorId="58B2DB40" wp14:editId="60921A9D">
                <wp:simplePos x="0" y="0"/>
                <wp:positionH relativeFrom="column">
                  <wp:posOffset>2704643</wp:posOffset>
                </wp:positionH>
                <wp:positionV relativeFrom="paragraph">
                  <wp:posOffset>756265</wp:posOffset>
                </wp:positionV>
                <wp:extent cx="160" cy="160"/>
                <wp:effectExtent l="38100" t="38100" r="38100" b="38100"/>
                <wp:wrapNone/>
                <wp:docPr id="27" name="Ink 27"/>
                <wp:cNvGraphicFramePr/>
                <a:graphic xmlns:a="http://schemas.openxmlformats.org/drawingml/2006/main">
                  <a:graphicData uri="http://schemas.microsoft.com/office/word/2010/wordprocessingInk">
                    <w14:contentPart bwMode="auto" r:id="rId27">
                      <w14:nvContentPartPr>
                        <w14:cNvContentPartPr/>
                      </w14:nvContentPartPr>
                      <w14:xfrm>
                        <a:off x="0" y="0"/>
                        <a:ext cx="160" cy="160"/>
                      </w14:xfrm>
                    </w14:contentPart>
                  </a:graphicData>
                </a:graphic>
              </wp:anchor>
            </w:drawing>
          </mc:Choice>
          <mc:Fallback xmlns:w15="http://schemas.microsoft.com/office/word/2012/wordml">
            <w:pict>
              <v:shape w14:anchorId="0493B188" id="Ink 27" o:spid="_x0000_s1026" type="#_x0000_t75" style="position:absolute;margin-left:212.8pt;margin-top:59.4pt;width:.25pt;height:.2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">
                <v:imagedata r:id="rId26" o:title=""/>
              </v:shape>
            </w:pict>
          </mc:Fallback>
        </mc:AlternateContent>
      </w:r>
      <w:r w:rsidRPr="00900ECC">
        <w:rPr>
          <w:rFonts w:cstheme="minorHAnsi"/>
        </w:rPr>
        <w:t>The current governance and management structure for AIP-Rural is included a</w:t>
      </w:r>
      <w:r w:rsidRPr="00E8481B">
        <w:rPr>
          <w:rFonts w:cstheme="minorHAnsi"/>
        </w:rPr>
        <w:t xml:space="preserve">t Annex </w:t>
      </w:r>
      <w:r>
        <w:rPr>
          <w:rFonts w:cstheme="minorHAnsi"/>
        </w:rPr>
        <w:t>8</w:t>
      </w:r>
      <w:r w:rsidRPr="00900ECC">
        <w:rPr>
          <w:rFonts w:cstheme="minorHAnsi"/>
        </w:rPr>
        <w:t xml:space="preserve">. This </w:t>
      </w:r>
      <w:r>
        <w:rPr>
          <w:rFonts w:cstheme="minorHAnsi"/>
        </w:rPr>
        <w:t>is included</w:t>
      </w:r>
      <w:r w:rsidRPr="00900ECC">
        <w:rPr>
          <w:rFonts w:cstheme="minorHAnsi"/>
        </w:rPr>
        <w:t xml:space="preserve"> to ensure prospective tenderers have the necessary information on the current structure, however, tenderers will</w:t>
      </w:r>
      <w:r>
        <w:rPr>
          <w:rFonts w:cstheme="minorHAnsi"/>
        </w:rPr>
        <w:t xml:space="preserve"> be expected to propose a</w:t>
      </w:r>
      <w:r w:rsidRPr="00900ECC">
        <w:rPr>
          <w:rFonts w:cstheme="minorHAnsi"/>
        </w:rPr>
        <w:t xml:space="preserve"> </w:t>
      </w:r>
      <w:r>
        <w:rPr>
          <w:rFonts w:cstheme="minorHAnsi"/>
        </w:rPr>
        <w:t xml:space="preserve">PRISMA-2 </w:t>
      </w:r>
      <w:r w:rsidRPr="00900ECC">
        <w:rPr>
          <w:rFonts w:cstheme="minorHAnsi"/>
        </w:rPr>
        <w:t>management structure</w:t>
      </w:r>
      <w:r>
        <w:rPr>
          <w:rFonts w:cstheme="minorHAnsi"/>
        </w:rPr>
        <w:t xml:space="preserve"> </w:t>
      </w:r>
      <w:r w:rsidRPr="00900ECC">
        <w:rPr>
          <w:rFonts w:cstheme="minorHAnsi"/>
        </w:rPr>
        <w:t>as part of their proposal.</w:t>
      </w:r>
    </w:p>
    <w:p w14:paraId="2E8024F8" w14:textId="00BF3DED" w:rsidR="000501C4" w:rsidRPr="00ED4418" w:rsidRDefault="005E45EA" w:rsidP="00794C57">
      <w:pPr>
        <w:pStyle w:val="BodyText"/>
        <w:rPr>
          <w:rFonts w:cstheme="minorHAnsi"/>
          <w:b/>
        </w:rPr>
      </w:pPr>
      <w:r w:rsidRPr="00ED4418">
        <w:rPr>
          <w:rFonts w:cstheme="minorHAnsi"/>
          <w:b/>
        </w:rPr>
        <w:t>Chart</w:t>
      </w:r>
      <w:r w:rsidR="009128D0" w:rsidRPr="00ED4418">
        <w:rPr>
          <w:rFonts w:cstheme="minorHAnsi"/>
          <w:b/>
        </w:rPr>
        <w:t xml:space="preserve"> </w:t>
      </w:r>
      <w:r w:rsidR="002F2CF1" w:rsidRPr="00ED4418">
        <w:rPr>
          <w:rFonts w:cstheme="minorHAnsi"/>
          <w:b/>
        </w:rPr>
        <w:t>2</w:t>
      </w:r>
      <w:r w:rsidRPr="00ED4418">
        <w:rPr>
          <w:rFonts w:cstheme="minorHAnsi"/>
          <w:b/>
        </w:rPr>
        <w:t xml:space="preserve">: </w:t>
      </w:r>
      <w:r w:rsidR="005D461A" w:rsidRPr="00ED4418">
        <w:rPr>
          <w:rFonts w:cstheme="minorHAnsi"/>
          <w:b/>
        </w:rPr>
        <w:t>PRISMA-2</w:t>
      </w:r>
      <w:r w:rsidRPr="00ED4418">
        <w:rPr>
          <w:rFonts w:cstheme="minorHAnsi"/>
          <w:b/>
        </w:rPr>
        <w:t xml:space="preserve"> Governance and Management Structure</w:t>
      </w:r>
    </w:p>
    <w:p w14:paraId="2EC7F03C" w14:textId="1B380D09" w:rsidR="000501C4" w:rsidRDefault="000501C4" w:rsidP="00794C57">
      <w:pPr>
        <w:pStyle w:val="BodyText"/>
        <w:rPr>
          <w:rFonts w:cstheme="minorHAnsi"/>
        </w:rPr>
      </w:pPr>
      <w:r w:rsidRPr="000501C4">
        <w:rPr>
          <w:rFonts w:cstheme="minorHAnsi"/>
          <w:noProof/>
          <w:lang w:eastAsia="en-AU"/>
        </w:rPr>
        <w:drawing>
          <wp:inline distT="0" distB="0" distL="0" distR="0" wp14:anchorId="5BA63BF1" wp14:editId="717D442E">
            <wp:extent cx="6120130" cy="496487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964870"/>
                    </a:xfrm>
                    <a:prstGeom prst="rect">
                      <a:avLst/>
                    </a:prstGeom>
                    <a:noFill/>
                    <a:ln>
                      <a:noFill/>
                    </a:ln>
                  </pic:spPr>
                </pic:pic>
              </a:graphicData>
            </a:graphic>
          </wp:inline>
        </w:drawing>
      </w:r>
    </w:p>
    <w:p w14:paraId="538D61E2" w14:textId="16DCFE0E" w:rsidR="00E053F4" w:rsidRPr="00754CA2" w:rsidRDefault="00650B83" w:rsidP="00274C18">
      <w:pPr>
        <w:pStyle w:val="Heading3"/>
        <w:rPr>
          <w:rFonts w:cstheme="minorHAnsi"/>
          <w:highlight w:val="yellow"/>
        </w:rPr>
      </w:pPr>
      <w:bookmarkStart w:id="23" w:name="_Toc499298852"/>
      <w:r>
        <w:t>Appointment of a</w:t>
      </w:r>
      <w:r w:rsidR="00E053F4" w:rsidRPr="00754CA2">
        <w:t xml:space="preserve"> Contractor</w:t>
      </w:r>
      <w:bookmarkEnd w:id="23"/>
    </w:p>
    <w:p w14:paraId="420A02EA" w14:textId="29E2525D" w:rsidR="00E053F4" w:rsidRPr="00343460" w:rsidRDefault="00E053F4" w:rsidP="00794C57">
      <w:pPr>
        <w:pStyle w:val="BodyText"/>
        <w:rPr>
          <w:rFonts w:cstheme="minorHAnsi"/>
        </w:rPr>
      </w:pPr>
      <w:r w:rsidRPr="00343460">
        <w:rPr>
          <w:rFonts w:cstheme="minorHAnsi"/>
        </w:rPr>
        <w:t xml:space="preserve">A Contractor will be engaged </w:t>
      </w:r>
      <w:r w:rsidR="008B0642">
        <w:rPr>
          <w:rFonts w:cstheme="minorHAnsi"/>
        </w:rPr>
        <w:t xml:space="preserve">through a competitive tender process </w:t>
      </w:r>
      <w:r w:rsidRPr="00343460">
        <w:rPr>
          <w:rFonts w:cstheme="minorHAnsi"/>
        </w:rPr>
        <w:t>to coordinate and support national and subnational activities and facilitate and manage partnerships and interventions under th</w:t>
      </w:r>
      <w:r w:rsidR="00307B57">
        <w:rPr>
          <w:rFonts w:cstheme="minorHAnsi"/>
        </w:rPr>
        <w:t>e P</w:t>
      </w:r>
      <w:r w:rsidRPr="00343460">
        <w:rPr>
          <w:rFonts w:cstheme="minorHAnsi"/>
        </w:rPr>
        <w:t xml:space="preserve">rogram. </w:t>
      </w:r>
      <w:r w:rsidR="00650B83">
        <w:rPr>
          <w:rFonts w:cstheme="minorHAnsi"/>
        </w:rPr>
        <w:t xml:space="preserve">The </w:t>
      </w:r>
      <w:r w:rsidR="00207425" w:rsidRPr="00343460">
        <w:rPr>
          <w:rFonts w:cstheme="minorHAnsi"/>
        </w:rPr>
        <w:t xml:space="preserve">Contractor will </w:t>
      </w:r>
      <w:r w:rsidR="00C65755" w:rsidRPr="00343460">
        <w:rPr>
          <w:rFonts w:cstheme="minorHAnsi"/>
        </w:rPr>
        <w:t>deliver</w:t>
      </w:r>
      <w:r w:rsidR="00207425" w:rsidRPr="00343460">
        <w:rPr>
          <w:rFonts w:cstheme="minorHAnsi"/>
        </w:rPr>
        <w:t xml:space="preserve"> the </w:t>
      </w:r>
      <w:r w:rsidR="00307B57">
        <w:rPr>
          <w:rFonts w:cstheme="minorHAnsi"/>
        </w:rPr>
        <w:t>P</w:t>
      </w:r>
      <w:r w:rsidR="00207425" w:rsidRPr="00343460">
        <w:rPr>
          <w:rFonts w:cstheme="minorHAnsi"/>
        </w:rPr>
        <w:t>rogram from a central program office in Surabaya</w:t>
      </w:r>
      <w:r w:rsidR="003B6F2E">
        <w:rPr>
          <w:rFonts w:cstheme="minorHAnsi"/>
        </w:rPr>
        <w:t>.</w:t>
      </w:r>
      <w:r w:rsidR="00D51EB2">
        <w:rPr>
          <w:rFonts w:cstheme="minorHAnsi"/>
        </w:rPr>
        <w:t xml:space="preserve"> </w:t>
      </w:r>
      <w:r w:rsidR="003B6F2E">
        <w:rPr>
          <w:rFonts w:cstheme="minorHAnsi"/>
        </w:rPr>
        <w:t>T</w:t>
      </w:r>
      <w:r w:rsidR="00174F66">
        <w:rPr>
          <w:rFonts w:cstheme="minorHAnsi"/>
        </w:rPr>
        <w:t>he program team will be required to liaise with local government and private sector partners</w:t>
      </w:r>
      <w:r w:rsidR="000501C4">
        <w:rPr>
          <w:rFonts w:cstheme="minorHAnsi"/>
        </w:rPr>
        <w:t xml:space="preserve"> in</w:t>
      </w:r>
      <w:r w:rsidR="00174F66">
        <w:rPr>
          <w:rFonts w:cstheme="minorHAnsi"/>
        </w:rPr>
        <w:t xml:space="preserve"> the six program provinces</w:t>
      </w:r>
      <w:r w:rsidR="002A2C8D">
        <w:rPr>
          <w:rFonts w:cstheme="minorHAnsi"/>
        </w:rPr>
        <w:t>.</w:t>
      </w:r>
    </w:p>
    <w:p w14:paraId="4E0E7F57" w14:textId="715AAC57" w:rsidR="00A621E4" w:rsidRPr="00343460" w:rsidRDefault="00650B83" w:rsidP="00794C57">
      <w:pPr>
        <w:pStyle w:val="BodyText"/>
        <w:rPr>
          <w:rFonts w:cstheme="minorHAnsi"/>
        </w:rPr>
      </w:pPr>
      <w:r>
        <w:rPr>
          <w:rFonts w:cstheme="minorHAnsi"/>
        </w:rPr>
        <w:t xml:space="preserve">The </w:t>
      </w:r>
      <w:r w:rsidR="00A621E4" w:rsidRPr="00343460">
        <w:rPr>
          <w:rFonts w:cstheme="minorHAnsi"/>
        </w:rPr>
        <w:t>Contra</w:t>
      </w:r>
      <w:r w:rsidR="004712BA">
        <w:rPr>
          <w:rFonts w:cstheme="minorHAnsi"/>
        </w:rPr>
        <w:t>ctor’s main roles will include:</w:t>
      </w:r>
    </w:p>
    <w:p w14:paraId="4CEE487A" w14:textId="3DF4C1EE" w:rsidR="00A621E4" w:rsidRPr="00343460" w:rsidRDefault="00776CE2" w:rsidP="004B220D">
      <w:pPr>
        <w:pStyle w:val="BodyText"/>
        <w:numPr>
          <w:ilvl w:val="0"/>
          <w:numId w:val="16"/>
        </w:numPr>
        <w:rPr>
          <w:rFonts w:cstheme="minorHAnsi"/>
        </w:rPr>
      </w:pPr>
      <w:r>
        <w:rPr>
          <w:rFonts w:cstheme="minorHAnsi"/>
        </w:rPr>
        <w:lastRenderedPageBreak/>
        <w:t>Effective o</w:t>
      </w:r>
      <w:r w:rsidR="00A621E4" w:rsidRPr="00343460">
        <w:rPr>
          <w:rFonts w:cstheme="minorHAnsi"/>
        </w:rPr>
        <w:t>perational management</w:t>
      </w:r>
      <w:r w:rsidR="002C09B3">
        <w:rPr>
          <w:rFonts w:cstheme="minorHAnsi"/>
        </w:rPr>
        <w:t xml:space="preserve"> </w:t>
      </w:r>
      <w:r>
        <w:rPr>
          <w:rFonts w:cstheme="minorHAnsi"/>
        </w:rPr>
        <w:t xml:space="preserve">of finances, human resources, and facilitation of the </w:t>
      </w:r>
      <w:r w:rsidR="00D324B4">
        <w:rPr>
          <w:rFonts w:cstheme="minorHAnsi"/>
        </w:rPr>
        <w:t xml:space="preserve">development of interventions </w:t>
      </w:r>
      <w:r>
        <w:rPr>
          <w:rFonts w:cstheme="minorHAnsi"/>
        </w:rPr>
        <w:t>and managing partner agreements, consistent with DFAT policies and Australian Government legislation</w:t>
      </w:r>
    </w:p>
    <w:p w14:paraId="364777CD" w14:textId="0780B668" w:rsidR="00A621E4" w:rsidRPr="00343460" w:rsidRDefault="003B6F2E" w:rsidP="004B220D">
      <w:pPr>
        <w:pStyle w:val="BodyText"/>
        <w:numPr>
          <w:ilvl w:val="0"/>
          <w:numId w:val="16"/>
        </w:numPr>
        <w:rPr>
          <w:rFonts w:cstheme="minorHAnsi"/>
        </w:rPr>
      </w:pPr>
      <w:r>
        <w:rPr>
          <w:rFonts w:cstheme="minorHAnsi"/>
        </w:rPr>
        <w:t>Adaptive r</w:t>
      </w:r>
      <w:r w:rsidR="00A621E4" w:rsidRPr="00343460">
        <w:rPr>
          <w:rFonts w:cstheme="minorHAnsi"/>
        </w:rPr>
        <w:t>esearch</w:t>
      </w:r>
      <w:r>
        <w:rPr>
          <w:rFonts w:cstheme="minorHAnsi"/>
        </w:rPr>
        <w:t xml:space="preserve"> and evaluative studies</w:t>
      </w:r>
      <w:r w:rsidR="00A621E4" w:rsidRPr="00343460">
        <w:rPr>
          <w:rFonts w:cstheme="minorHAnsi"/>
        </w:rPr>
        <w:t>, quality analysis and strategy development</w:t>
      </w:r>
    </w:p>
    <w:p w14:paraId="3DE507DB" w14:textId="6E004E3D" w:rsidR="00A621E4" w:rsidRPr="00343460" w:rsidRDefault="002C09B3" w:rsidP="004B220D">
      <w:pPr>
        <w:pStyle w:val="BodyText"/>
        <w:numPr>
          <w:ilvl w:val="0"/>
          <w:numId w:val="16"/>
        </w:numPr>
        <w:rPr>
          <w:rFonts w:cstheme="minorHAnsi"/>
        </w:rPr>
      </w:pPr>
      <w:r>
        <w:rPr>
          <w:rFonts w:cstheme="minorHAnsi"/>
        </w:rPr>
        <w:t>Monitoring and r</w:t>
      </w:r>
      <w:r w:rsidR="00A621E4" w:rsidRPr="00343460">
        <w:rPr>
          <w:rFonts w:cstheme="minorHAnsi"/>
        </w:rPr>
        <w:t>esults measurement</w:t>
      </w:r>
      <w:r>
        <w:rPr>
          <w:rFonts w:cstheme="minorHAnsi"/>
        </w:rPr>
        <w:t xml:space="preserve"> to the DCED </w:t>
      </w:r>
      <w:r w:rsidR="00307B57">
        <w:rPr>
          <w:rFonts w:cstheme="minorHAnsi"/>
        </w:rPr>
        <w:t>and</w:t>
      </w:r>
      <w:r w:rsidR="00D324B4">
        <w:rPr>
          <w:rFonts w:cstheme="minorHAnsi"/>
        </w:rPr>
        <w:t xml:space="preserve"> DFAT M&amp;E Standards</w:t>
      </w:r>
      <w:r>
        <w:rPr>
          <w:rFonts w:cstheme="minorHAnsi"/>
        </w:rPr>
        <w:t>,</w:t>
      </w:r>
      <w:r w:rsidR="00A621E4" w:rsidRPr="00343460">
        <w:rPr>
          <w:rFonts w:cstheme="minorHAnsi"/>
        </w:rPr>
        <w:t xml:space="preserve"> MIS management</w:t>
      </w:r>
      <w:r>
        <w:rPr>
          <w:rFonts w:cstheme="minorHAnsi"/>
        </w:rPr>
        <w:t xml:space="preserve"> and performance reporting for internal management</w:t>
      </w:r>
      <w:r w:rsidR="00307B57">
        <w:rPr>
          <w:rFonts w:cstheme="minorHAnsi"/>
        </w:rPr>
        <w:t>,</w:t>
      </w:r>
      <w:r>
        <w:rPr>
          <w:rFonts w:cstheme="minorHAnsi"/>
        </w:rPr>
        <w:t xml:space="preserve"> and external progress reporting</w:t>
      </w:r>
      <w:r w:rsidR="00D324B4">
        <w:rPr>
          <w:rFonts w:cstheme="minorHAnsi"/>
        </w:rPr>
        <w:t xml:space="preserve"> to DFAT</w:t>
      </w:r>
    </w:p>
    <w:p w14:paraId="3FCB0902" w14:textId="398BA553" w:rsidR="00A621E4" w:rsidRPr="00343460" w:rsidRDefault="002C09B3" w:rsidP="004B220D">
      <w:pPr>
        <w:pStyle w:val="BodyText"/>
        <w:numPr>
          <w:ilvl w:val="0"/>
          <w:numId w:val="16"/>
        </w:numPr>
        <w:rPr>
          <w:rFonts w:cstheme="minorHAnsi"/>
        </w:rPr>
      </w:pPr>
      <w:r>
        <w:rPr>
          <w:rFonts w:cstheme="minorHAnsi"/>
        </w:rPr>
        <w:t xml:space="preserve">Commissioning and conducting intervention impact </w:t>
      </w:r>
      <w:r w:rsidR="0062388E">
        <w:rPr>
          <w:rFonts w:cstheme="minorHAnsi"/>
        </w:rPr>
        <w:t>assessments</w:t>
      </w:r>
      <w:r>
        <w:rPr>
          <w:rFonts w:cstheme="minorHAnsi"/>
        </w:rPr>
        <w:t xml:space="preserve"> to the DCED standard and other evaluative analyses for l</w:t>
      </w:r>
      <w:r w:rsidR="00A621E4" w:rsidRPr="00343460">
        <w:rPr>
          <w:rFonts w:cstheme="minorHAnsi"/>
        </w:rPr>
        <w:t xml:space="preserve">earning and </w:t>
      </w:r>
      <w:r>
        <w:rPr>
          <w:rFonts w:cstheme="minorHAnsi"/>
        </w:rPr>
        <w:t>performance assessment</w:t>
      </w:r>
      <w:r w:rsidR="00583A4A">
        <w:rPr>
          <w:rFonts w:cstheme="minorHAnsi"/>
        </w:rPr>
        <w:t>, e.g. case studies</w:t>
      </w:r>
    </w:p>
    <w:p w14:paraId="37E207BA" w14:textId="4B702519" w:rsidR="00A621E4" w:rsidRPr="00343460" w:rsidRDefault="00A621E4" w:rsidP="004B220D">
      <w:pPr>
        <w:pStyle w:val="BodyText"/>
        <w:numPr>
          <w:ilvl w:val="0"/>
          <w:numId w:val="16"/>
        </w:numPr>
        <w:rPr>
          <w:rFonts w:cstheme="minorHAnsi"/>
        </w:rPr>
      </w:pPr>
      <w:r w:rsidRPr="00343460">
        <w:rPr>
          <w:rFonts w:cstheme="minorHAnsi"/>
        </w:rPr>
        <w:t>Technical assistance</w:t>
      </w:r>
    </w:p>
    <w:p w14:paraId="667708EA" w14:textId="2E69B083" w:rsidR="00A621E4" w:rsidRPr="00343460" w:rsidRDefault="00A621E4" w:rsidP="004B220D">
      <w:pPr>
        <w:pStyle w:val="BodyText"/>
        <w:numPr>
          <w:ilvl w:val="0"/>
          <w:numId w:val="16"/>
        </w:numPr>
        <w:rPr>
          <w:rFonts w:cstheme="minorHAnsi"/>
        </w:rPr>
      </w:pPr>
      <w:r w:rsidRPr="00343460">
        <w:rPr>
          <w:rFonts w:cstheme="minorHAnsi"/>
        </w:rPr>
        <w:t>Communications and reporting</w:t>
      </w:r>
    </w:p>
    <w:p w14:paraId="6FB33D99" w14:textId="3F0AD1D9" w:rsidR="00A621E4" w:rsidRPr="00343460" w:rsidRDefault="00A621E4" w:rsidP="004B220D">
      <w:pPr>
        <w:pStyle w:val="BodyText"/>
        <w:numPr>
          <w:ilvl w:val="0"/>
          <w:numId w:val="16"/>
        </w:numPr>
        <w:rPr>
          <w:rFonts w:cstheme="minorHAnsi"/>
        </w:rPr>
      </w:pPr>
      <w:r w:rsidRPr="00343460">
        <w:rPr>
          <w:rFonts w:cstheme="minorHAnsi"/>
        </w:rPr>
        <w:t>Risk management</w:t>
      </w:r>
      <w:r w:rsidR="00D62E94">
        <w:rPr>
          <w:rFonts w:cstheme="minorHAnsi"/>
        </w:rPr>
        <w:t xml:space="preserve">, including in relation to safeguards, fraud, security, </w:t>
      </w:r>
      <w:proofErr w:type="gramStart"/>
      <w:r w:rsidR="00D62E94">
        <w:rPr>
          <w:rFonts w:cstheme="minorHAnsi"/>
        </w:rPr>
        <w:t>workplace</w:t>
      </w:r>
      <w:proofErr w:type="gramEnd"/>
      <w:r w:rsidR="00D62E94">
        <w:rPr>
          <w:rFonts w:cstheme="minorHAnsi"/>
        </w:rPr>
        <w:t xml:space="preserve"> health and safety, and program risks.</w:t>
      </w:r>
    </w:p>
    <w:p w14:paraId="299A74E8" w14:textId="7E279BF2" w:rsidR="00A621E4" w:rsidRPr="00343460" w:rsidRDefault="00A621E4" w:rsidP="004B220D">
      <w:pPr>
        <w:pStyle w:val="BodyText"/>
        <w:numPr>
          <w:ilvl w:val="0"/>
          <w:numId w:val="16"/>
        </w:numPr>
        <w:rPr>
          <w:rFonts w:cstheme="minorHAnsi"/>
        </w:rPr>
      </w:pPr>
      <w:r w:rsidRPr="00343460">
        <w:rPr>
          <w:rFonts w:cstheme="minorHAnsi"/>
        </w:rPr>
        <w:t xml:space="preserve">Liaison with DFAT and key partners including supporting DFAT information and reporting needs </w:t>
      </w:r>
      <w:r w:rsidR="00960595" w:rsidRPr="00343460">
        <w:rPr>
          <w:rFonts w:cstheme="minorHAnsi"/>
        </w:rPr>
        <w:t>such as briefs on sector issues, policy and program achievements</w:t>
      </w:r>
    </w:p>
    <w:p w14:paraId="411181DF" w14:textId="2D22C33F" w:rsidR="00EF5177" w:rsidRPr="00343460" w:rsidRDefault="00960595" w:rsidP="004B220D">
      <w:pPr>
        <w:pStyle w:val="BodyText"/>
        <w:numPr>
          <w:ilvl w:val="0"/>
          <w:numId w:val="16"/>
        </w:numPr>
        <w:rPr>
          <w:rFonts w:cstheme="minorHAnsi"/>
        </w:rPr>
      </w:pPr>
      <w:r w:rsidRPr="00343460">
        <w:rPr>
          <w:rFonts w:cstheme="minorHAnsi"/>
        </w:rPr>
        <w:t>Supporting linkages and collaboration with other relevant DFAT programs including KOMPAK, MAMPU, KSI</w:t>
      </w:r>
      <w:r w:rsidR="005470B9">
        <w:rPr>
          <w:rFonts w:cstheme="minorHAnsi"/>
        </w:rPr>
        <w:t>, MAHKOTA</w:t>
      </w:r>
      <w:r w:rsidRPr="00343460">
        <w:rPr>
          <w:rFonts w:cstheme="minorHAnsi"/>
        </w:rPr>
        <w:t xml:space="preserve"> and AIPEG</w:t>
      </w:r>
      <w:r w:rsidR="00D62E94">
        <w:rPr>
          <w:rFonts w:cstheme="minorHAnsi"/>
        </w:rPr>
        <w:t>/AI-ECO</w:t>
      </w:r>
      <w:r w:rsidR="00024C51">
        <w:rPr>
          <w:rFonts w:cstheme="minorHAnsi"/>
        </w:rPr>
        <w:t xml:space="preserve"> as well as other</w:t>
      </w:r>
      <w:r w:rsidR="000617E4">
        <w:rPr>
          <w:rFonts w:cstheme="minorHAnsi"/>
        </w:rPr>
        <w:t xml:space="preserve"> </w:t>
      </w:r>
      <w:r w:rsidR="00D62E94">
        <w:rPr>
          <w:rFonts w:cstheme="minorHAnsi"/>
        </w:rPr>
        <w:t xml:space="preserve">donor </w:t>
      </w:r>
      <w:r w:rsidR="000617E4">
        <w:rPr>
          <w:rFonts w:cstheme="minorHAnsi"/>
        </w:rPr>
        <w:t xml:space="preserve">programs </w:t>
      </w:r>
      <w:r w:rsidR="00D62E94">
        <w:rPr>
          <w:rFonts w:cstheme="minorHAnsi"/>
        </w:rPr>
        <w:t xml:space="preserve">and partners, </w:t>
      </w:r>
      <w:r w:rsidR="000617E4">
        <w:rPr>
          <w:rFonts w:cstheme="minorHAnsi"/>
        </w:rPr>
        <w:t xml:space="preserve">such as </w:t>
      </w:r>
      <w:proofErr w:type="spellStart"/>
      <w:r w:rsidR="000617E4">
        <w:rPr>
          <w:rFonts w:cstheme="minorHAnsi"/>
        </w:rPr>
        <w:t>PISAgro</w:t>
      </w:r>
      <w:proofErr w:type="spellEnd"/>
      <w:r w:rsidRPr="00343460">
        <w:rPr>
          <w:rFonts w:cstheme="minorHAnsi"/>
        </w:rPr>
        <w:t>.</w:t>
      </w:r>
    </w:p>
    <w:p w14:paraId="08C7A0B8" w14:textId="2655C623" w:rsidR="00011E04" w:rsidRPr="00754CA2" w:rsidRDefault="00EF5177" w:rsidP="00274C18">
      <w:pPr>
        <w:pStyle w:val="Heading3"/>
      </w:pPr>
      <w:bookmarkStart w:id="24" w:name="_Toc499298853"/>
      <w:r w:rsidRPr="00754CA2">
        <w:t>Res</w:t>
      </w:r>
      <w:r w:rsidR="00011E04" w:rsidRPr="00754CA2">
        <w:t xml:space="preserve">ourcing </w:t>
      </w:r>
      <w:r w:rsidR="00350E8A" w:rsidRPr="00754CA2">
        <w:t>and Recruitment</w:t>
      </w:r>
      <w:bookmarkEnd w:id="24"/>
    </w:p>
    <w:p w14:paraId="222102CE" w14:textId="119DD137" w:rsidR="00D47879" w:rsidRDefault="00960595" w:rsidP="00794C57">
      <w:pPr>
        <w:pStyle w:val="BodyText"/>
        <w:rPr>
          <w:rFonts w:cstheme="minorHAnsi"/>
        </w:rPr>
      </w:pPr>
      <w:r w:rsidRPr="00343460">
        <w:rPr>
          <w:rFonts w:cstheme="minorHAnsi"/>
        </w:rPr>
        <w:t xml:space="preserve">The </w:t>
      </w:r>
      <w:r w:rsidR="007E5658">
        <w:rPr>
          <w:rFonts w:cstheme="minorHAnsi"/>
        </w:rPr>
        <w:t>C</w:t>
      </w:r>
      <w:r w:rsidRPr="00343460">
        <w:rPr>
          <w:rFonts w:cstheme="minorHAnsi"/>
        </w:rPr>
        <w:t xml:space="preserve">ontractor </w:t>
      </w:r>
      <w:r w:rsidR="00011E04" w:rsidRPr="00343460">
        <w:rPr>
          <w:rFonts w:cstheme="minorHAnsi"/>
        </w:rPr>
        <w:t>will provide</w:t>
      </w:r>
      <w:r w:rsidR="00F35582">
        <w:rPr>
          <w:rFonts w:cstheme="minorHAnsi"/>
        </w:rPr>
        <w:t xml:space="preserve"> high quality program direction</w:t>
      </w:r>
      <w:r w:rsidR="0022728F">
        <w:rPr>
          <w:rFonts w:cstheme="minorHAnsi"/>
        </w:rPr>
        <w:t>, strategy and operational</w:t>
      </w:r>
      <w:r w:rsidR="00011E04" w:rsidRPr="00343460">
        <w:rPr>
          <w:rFonts w:cstheme="minorHAnsi"/>
        </w:rPr>
        <w:t xml:space="preserve"> </w:t>
      </w:r>
      <w:r w:rsidR="00D47879" w:rsidRPr="00343460">
        <w:rPr>
          <w:rFonts w:cstheme="minorHAnsi"/>
        </w:rPr>
        <w:t xml:space="preserve">support </w:t>
      </w:r>
      <w:r w:rsidR="00011E04" w:rsidRPr="00343460">
        <w:rPr>
          <w:rFonts w:cstheme="minorHAnsi"/>
        </w:rPr>
        <w:t xml:space="preserve">to </w:t>
      </w:r>
      <w:r w:rsidR="0066379C" w:rsidRPr="00343460">
        <w:rPr>
          <w:rFonts w:cstheme="minorHAnsi"/>
        </w:rPr>
        <w:t>manage and implement the</w:t>
      </w:r>
      <w:r w:rsidR="00002770" w:rsidRPr="00343460">
        <w:rPr>
          <w:rFonts w:cstheme="minorHAnsi"/>
        </w:rPr>
        <w:t xml:space="preserve"> </w:t>
      </w:r>
      <w:r w:rsidR="005D461A">
        <w:rPr>
          <w:rFonts w:cstheme="minorHAnsi"/>
        </w:rPr>
        <w:t>PRISMA-2</w:t>
      </w:r>
      <w:r w:rsidR="0066379C" w:rsidRPr="00343460">
        <w:rPr>
          <w:rFonts w:cstheme="minorHAnsi"/>
        </w:rPr>
        <w:t xml:space="preserve"> program. </w:t>
      </w:r>
      <w:r w:rsidR="0022728F">
        <w:rPr>
          <w:rFonts w:cstheme="minorHAnsi"/>
        </w:rPr>
        <w:t>The Contractor will be expected to put forward an organisational structure to support the high quality and efficient implementation of PRISMA-2 activities in six provinces</w:t>
      </w:r>
      <w:r w:rsidR="002576AC">
        <w:rPr>
          <w:rFonts w:cstheme="minorHAnsi"/>
        </w:rPr>
        <w:t xml:space="preserve"> (the current organisation</w:t>
      </w:r>
      <w:r w:rsidR="00F35582">
        <w:rPr>
          <w:rFonts w:cstheme="minorHAnsi"/>
        </w:rPr>
        <w:t>al</w:t>
      </w:r>
      <w:r w:rsidR="002576AC">
        <w:rPr>
          <w:rFonts w:cstheme="minorHAnsi"/>
        </w:rPr>
        <w:t xml:space="preserve"> structure can be viewed at Annex 8)</w:t>
      </w:r>
      <w:r w:rsidR="0022728F">
        <w:rPr>
          <w:rFonts w:cstheme="minorHAnsi"/>
        </w:rPr>
        <w:t xml:space="preserve">. </w:t>
      </w:r>
      <w:r w:rsidR="00D47879" w:rsidRPr="00AC56A5">
        <w:rPr>
          <w:rFonts w:cstheme="minorHAnsi"/>
        </w:rPr>
        <w:t xml:space="preserve">The Contractor </w:t>
      </w:r>
      <w:r w:rsidR="002575C2">
        <w:rPr>
          <w:rFonts w:cstheme="minorHAnsi"/>
        </w:rPr>
        <w:t xml:space="preserve">will </w:t>
      </w:r>
      <w:r w:rsidR="00DD426E">
        <w:rPr>
          <w:rFonts w:cstheme="minorHAnsi"/>
        </w:rPr>
        <w:t xml:space="preserve">propose </w:t>
      </w:r>
      <w:r w:rsidR="0000674C">
        <w:rPr>
          <w:rFonts w:cstheme="minorHAnsi"/>
        </w:rPr>
        <w:t>personnel</w:t>
      </w:r>
      <w:r w:rsidR="002575C2">
        <w:rPr>
          <w:rFonts w:cstheme="minorHAnsi"/>
        </w:rPr>
        <w:t xml:space="preserve"> for the positions of</w:t>
      </w:r>
      <w:r w:rsidR="00805A04" w:rsidRPr="00AC56A5">
        <w:rPr>
          <w:rFonts w:cstheme="minorHAnsi"/>
        </w:rPr>
        <w:t xml:space="preserve"> Contractor Representative</w:t>
      </w:r>
      <w:r w:rsidR="0022728F">
        <w:rPr>
          <w:rFonts w:cstheme="minorHAnsi"/>
        </w:rPr>
        <w:t xml:space="preserve"> </w:t>
      </w:r>
      <w:r w:rsidR="00805A04" w:rsidRPr="00AC56A5">
        <w:rPr>
          <w:rFonts w:cstheme="minorHAnsi"/>
        </w:rPr>
        <w:t xml:space="preserve">and Head of Operations and Finance (see Terms of Reference at Annex </w:t>
      </w:r>
      <w:r w:rsidR="001236FF">
        <w:rPr>
          <w:rFonts w:cstheme="minorHAnsi"/>
        </w:rPr>
        <w:t>9</w:t>
      </w:r>
      <w:r w:rsidR="00805A04" w:rsidRPr="00AC56A5">
        <w:rPr>
          <w:rFonts w:cstheme="minorHAnsi"/>
        </w:rPr>
        <w:t>)</w:t>
      </w:r>
      <w:r w:rsidR="0022728F">
        <w:rPr>
          <w:rFonts w:cstheme="minorHAnsi"/>
        </w:rPr>
        <w:t>,</w:t>
      </w:r>
      <w:r w:rsidR="00805A04" w:rsidRPr="00AC56A5">
        <w:rPr>
          <w:rFonts w:cstheme="minorHAnsi"/>
        </w:rPr>
        <w:t xml:space="preserve"> </w:t>
      </w:r>
      <w:r w:rsidR="002575C2">
        <w:rPr>
          <w:rFonts w:cstheme="minorHAnsi"/>
        </w:rPr>
        <w:t>as well as</w:t>
      </w:r>
      <w:r w:rsidR="00D47879" w:rsidRPr="00AC56A5">
        <w:rPr>
          <w:rFonts w:cstheme="minorHAnsi"/>
        </w:rPr>
        <w:t xml:space="preserve"> </w:t>
      </w:r>
      <w:r w:rsidR="002575C2">
        <w:rPr>
          <w:rFonts w:cstheme="minorHAnsi"/>
        </w:rPr>
        <w:t xml:space="preserve">any </w:t>
      </w:r>
      <w:r w:rsidR="00D47879" w:rsidRPr="00AC56A5">
        <w:rPr>
          <w:rFonts w:cstheme="minorHAnsi"/>
        </w:rPr>
        <w:t>a</w:t>
      </w:r>
      <w:r w:rsidR="00805A04" w:rsidRPr="00AC56A5">
        <w:rPr>
          <w:rFonts w:cstheme="minorHAnsi"/>
        </w:rPr>
        <w:t xml:space="preserve">dditional </w:t>
      </w:r>
      <w:r w:rsidR="0000674C">
        <w:rPr>
          <w:rFonts w:cstheme="minorHAnsi"/>
        </w:rPr>
        <w:t xml:space="preserve">proposed core </w:t>
      </w:r>
      <w:r w:rsidR="00805A04" w:rsidRPr="00AC56A5">
        <w:rPr>
          <w:rFonts w:cstheme="minorHAnsi"/>
        </w:rPr>
        <w:t xml:space="preserve">management personnel </w:t>
      </w:r>
      <w:r w:rsidR="0000674C">
        <w:rPr>
          <w:rFonts w:cstheme="minorHAnsi"/>
        </w:rPr>
        <w:t xml:space="preserve">and technical advisers </w:t>
      </w:r>
      <w:r w:rsidR="002575C2">
        <w:rPr>
          <w:rFonts w:cstheme="minorHAnsi"/>
        </w:rPr>
        <w:t xml:space="preserve">needed </w:t>
      </w:r>
      <w:r w:rsidR="00805A04" w:rsidRPr="00AC56A5">
        <w:rPr>
          <w:rFonts w:cstheme="minorHAnsi"/>
        </w:rPr>
        <w:t>to deliver the program</w:t>
      </w:r>
      <w:r w:rsidR="00D47879" w:rsidRPr="00AC56A5">
        <w:rPr>
          <w:rFonts w:cstheme="minorHAnsi"/>
        </w:rPr>
        <w:t xml:space="preserve">. </w:t>
      </w:r>
      <w:r w:rsidR="00D51EB2">
        <w:rPr>
          <w:rFonts w:cstheme="minorHAnsi"/>
        </w:rPr>
        <w:t xml:space="preserve">The </w:t>
      </w:r>
      <w:r w:rsidR="0000674C">
        <w:rPr>
          <w:rFonts w:cstheme="minorHAnsi"/>
        </w:rPr>
        <w:t>Team Leader will be contracted through a joint recruitment process with DFAT during the</w:t>
      </w:r>
      <w:r w:rsidR="00650B83">
        <w:rPr>
          <w:rFonts w:cstheme="minorHAnsi"/>
        </w:rPr>
        <w:t xml:space="preserve"> program</w:t>
      </w:r>
      <w:r w:rsidR="0000674C">
        <w:rPr>
          <w:rFonts w:cstheme="minorHAnsi"/>
        </w:rPr>
        <w:t xml:space="preserve"> transition phase</w:t>
      </w:r>
      <w:r w:rsidR="0022728F">
        <w:rPr>
          <w:rFonts w:cstheme="minorHAnsi"/>
        </w:rPr>
        <w:t xml:space="preserve"> (proposed Terms of Reference at Annex 9)</w:t>
      </w:r>
      <w:r w:rsidR="0000674C">
        <w:rPr>
          <w:rFonts w:cstheme="minorHAnsi"/>
        </w:rPr>
        <w:t xml:space="preserve">. </w:t>
      </w:r>
      <w:r w:rsidR="00D47879" w:rsidRPr="00343460">
        <w:rPr>
          <w:rFonts w:cstheme="minorHAnsi"/>
        </w:rPr>
        <w:t xml:space="preserve">The </w:t>
      </w:r>
      <w:r w:rsidR="0000674C">
        <w:rPr>
          <w:rFonts w:cstheme="minorHAnsi"/>
        </w:rPr>
        <w:t>core</w:t>
      </w:r>
      <w:r w:rsidR="00D47879" w:rsidRPr="00343460">
        <w:rPr>
          <w:rFonts w:cstheme="minorHAnsi"/>
        </w:rPr>
        <w:t xml:space="preserve"> management team will liaise closely with DFAT throughout implementation to ensure the </w:t>
      </w:r>
      <w:r w:rsidR="0022728F">
        <w:rPr>
          <w:rFonts w:cstheme="minorHAnsi"/>
        </w:rPr>
        <w:t>P</w:t>
      </w:r>
      <w:r w:rsidR="00D47879" w:rsidRPr="00343460">
        <w:rPr>
          <w:rFonts w:cstheme="minorHAnsi"/>
        </w:rPr>
        <w:t xml:space="preserve">rogram remains responsive to </w:t>
      </w:r>
      <w:r w:rsidR="007E5658">
        <w:rPr>
          <w:rFonts w:cstheme="minorHAnsi"/>
        </w:rPr>
        <w:t>Indonesian</w:t>
      </w:r>
      <w:r w:rsidR="007E5658" w:rsidRPr="00343460">
        <w:rPr>
          <w:rFonts w:cstheme="minorHAnsi"/>
        </w:rPr>
        <w:t xml:space="preserve"> </w:t>
      </w:r>
      <w:r w:rsidR="00D47879" w:rsidRPr="00343460">
        <w:rPr>
          <w:rFonts w:cstheme="minorHAnsi"/>
        </w:rPr>
        <w:t xml:space="preserve">and Australian priorities and </w:t>
      </w:r>
      <w:r w:rsidR="007E5658">
        <w:rPr>
          <w:rFonts w:cstheme="minorHAnsi"/>
        </w:rPr>
        <w:t xml:space="preserve">meets their </w:t>
      </w:r>
      <w:r w:rsidR="005C2288">
        <w:rPr>
          <w:rFonts w:cstheme="minorHAnsi"/>
        </w:rPr>
        <w:t>information needs.</w:t>
      </w:r>
    </w:p>
    <w:p w14:paraId="25E469FE" w14:textId="77777777" w:rsidR="00F35582" w:rsidRDefault="0022728F" w:rsidP="00794C57">
      <w:pPr>
        <w:pStyle w:val="BodyText"/>
        <w:rPr>
          <w:rFonts w:cstheme="minorHAnsi"/>
        </w:rPr>
      </w:pPr>
      <w:r>
        <w:rPr>
          <w:rFonts w:cstheme="minorHAnsi"/>
        </w:rPr>
        <w:t xml:space="preserve">All existing high-performing </w:t>
      </w:r>
      <w:r w:rsidRPr="00343460">
        <w:rPr>
          <w:rFonts w:cstheme="minorHAnsi"/>
        </w:rPr>
        <w:t xml:space="preserve">AIP-Rural </w:t>
      </w:r>
      <w:r>
        <w:rPr>
          <w:rFonts w:cstheme="minorHAnsi"/>
        </w:rPr>
        <w:t>implementation personnel (Head</w:t>
      </w:r>
      <w:r w:rsidR="00F35582">
        <w:rPr>
          <w:rFonts w:cstheme="minorHAnsi"/>
        </w:rPr>
        <w:t>s</w:t>
      </w:r>
      <w:r>
        <w:rPr>
          <w:rFonts w:cstheme="minorHAnsi"/>
        </w:rPr>
        <w:t xml:space="preserve"> of Portfolio</w:t>
      </w:r>
      <w:r w:rsidR="00DE4530">
        <w:rPr>
          <w:rFonts w:cstheme="minorHAnsi"/>
        </w:rPr>
        <w:t xml:space="preserve">, Head of Monitoring and Evaluation, </w:t>
      </w:r>
      <w:r>
        <w:rPr>
          <w:rFonts w:cstheme="minorHAnsi"/>
        </w:rPr>
        <w:t xml:space="preserve">and below) and operations and finance </w:t>
      </w:r>
      <w:r w:rsidRPr="00343460">
        <w:rPr>
          <w:rFonts w:cstheme="minorHAnsi"/>
        </w:rPr>
        <w:t>personnel</w:t>
      </w:r>
      <w:r>
        <w:rPr>
          <w:rFonts w:cstheme="minorHAnsi"/>
        </w:rPr>
        <w:t xml:space="preserve"> </w:t>
      </w:r>
      <w:r w:rsidR="00F35582">
        <w:rPr>
          <w:rFonts w:cstheme="minorHAnsi"/>
        </w:rPr>
        <w:t xml:space="preserve">will </w:t>
      </w:r>
      <w:r>
        <w:rPr>
          <w:rFonts w:cstheme="minorHAnsi"/>
        </w:rPr>
        <w:t>be retained by the Contractor for an initial period of six months</w:t>
      </w:r>
      <w:r w:rsidR="00DE4530">
        <w:rPr>
          <w:rFonts w:cstheme="minorHAnsi"/>
        </w:rPr>
        <w:t xml:space="preserve"> </w:t>
      </w:r>
      <w:r w:rsidR="002576AC">
        <w:rPr>
          <w:rFonts w:cstheme="minorHAnsi"/>
        </w:rPr>
        <w:t>(</w:t>
      </w:r>
      <w:proofErr w:type="spellStart"/>
      <w:r w:rsidR="002576AC">
        <w:rPr>
          <w:rFonts w:cstheme="minorHAnsi"/>
        </w:rPr>
        <w:t>aprox</w:t>
      </w:r>
      <w:proofErr w:type="spellEnd"/>
      <w:r w:rsidR="002576AC">
        <w:rPr>
          <w:rFonts w:cstheme="minorHAnsi"/>
        </w:rPr>
        <w:t>. 135 staff</w:t>
      </w:r>
      <w:r>
        <w:rPr>
          <w:rFonts w:cstheme="minorHAnsi"/>
        </w:rPr>
        <w:t>). Contracting will occur during</w:t>
      </w:r>
      <w:r w:rsidR="003221C7">
        <w:rPr>
          <w:rFonts w:cstheme="minorHAnsi"/>
        </w:rPr>
        <w:t xml:space="preserve"> the transition period</w:t>
      </w:r>
      <w:r w:rsidR="002576AC">
        <w:rPr>
          <w:rFonts w:cstheme="minorHAnsi"/>
        </w:rPr>
        <w:t xml:space="preserve"> (Oct – Dec 2018)</w:t>
      </w:r>
      <w:r w:rsidR="00DE4530">
        <w:rPr>
          <w:rFonts w:cstheme="minorHAnsi"/>
        </w:rPr>
        <w:t>, subject to interest from personnel</w:t>
      </w:r>
      <w:r>
        <w:rPr>
          <w:rFonts w:cstheme="minorHAnsi"/>
        </w:rPr>
        <w:t>. The extension of personnel contracts beyond this six</w:t>
      </w:r>
      <w:r w:rsidR="002576AC">
        <w:rPr>
          <w:rFonts w:cstheme="minorHAnsi"/>
        </w:rPr>
        <w:t xml:space="preserve"> month period will be at</w:t>
      </w:r>
      <w:r>
        <w:rPr>
          <w:rFonts w:cstheme="minorHAnsi"/>
        </w:rPr>
        <w:t xml:space="preserve"> the discretion of the</w:t>
      </w:r>
      <w:r w:rsidRPr="00343460">
        <w:rPr>
          <w:rFonts w:cstheme="minorHAnsi"/>
        </w:rPr>
        <w:t xml:space="preserve"> Contractor and subject to performance review</w:t>
      </w:r>
      <w:r>
        <w:rPr>
          <w:rFonts w:cstheme="minorHAnsi"/>
        </w:rPr>
        <w:t xml:space="preserve"> and program needs</w:t>
      </w:r>
      <w:r w:rsidRPr="00343460">
        <w:rPr>
          <w:rFonts w:cstheme="minorHAnsi"/>
        </w:rPr>
        <w:t>.</w:t>
      </w:r>
      <w:r w:rsidR="002576AC">
        <w:rPr>
          <w:rFonts w:cstheme="minorHAnsi"/>
        </w:rPr>
        <w:t xml:space="preserve"> </w:t>
      </w:r>
      <w:r w:rsidR="002576AC" w:rsidRPr="00343460">
        <w:rPr>
          <w:rFonts w:cstheme="minorHAnsi"/>
        </w:rPr>
        <w:t xml:space="preserve">This approach recognises the importance of retaining existing </w:t>
      </w:r>
      <w:r w:rsidR="002576AC">
        <w:rPr>
          <w:rFonts w:cstheme="minorHAnsi"/>
        </w:rPr>
        <w:t>skilled personnel</w:t>
      </w:r>
      <w:r w:rsidR="00DE4530">
        <w:rPr>
          <w:rFonts w:cstheme="minorHAnsi"/>
        </w:rPr>
        <w:t xml:space="preserve">, in particular their </w:t>
      </w:r>
      <w:r w:rsidR="002576AC" w:rsidRPr="00343460">
        <w:rPr>
          <w:rFonts w:cstheme="minorHAnsi"/>
        </w:rPr>
        <w:t xml:space="preserve">program knowledge and </w:t>
      </w:r>
      <w:r w:rsidR="00DE4530">
        <w:rPr>
          <w:rFonts w:cstheme="minorHAnsi"/>
        </w:rPr>
        <w:t>business relationships,</w:t>
      </w:r>
      <w:r w:rsidR="002576AC" w:rsidRPr="00343460">
        <w:rPr>
          <w:rFonts w:cstheme="minorHAnsi"/>
        </w:rPr>
        <w:t xml:space="preserve"> integral to the </w:t>
      </w:r>
      <w:r w:rsidR="002576AC">
        <w:rPr>
          <w:rFonts w:cstheme="minorHAnsi"/>
        </w:rPr>
        <w:t xml:space="preserve">transition </w:t>
      </w:r>
      <w:r w:rsidR="002576AC" w:rsidRPr="00343460">
        <w:rPr>
          <w:rFonts w:cstheme="minorHAnsi"/>
        </w:rPr>
        <w:t xml:space="preserve">from AIP-Rural to </w:t>
      </w:r>
      <w:r w:rsidR="002576AC">
        <w:rPr>
          <w:rFonts w:cstheme="minorHAnsi"/>
        </w:rPr>
        <w:t xml:space="preserve">PRISMA-2 (see </w:t>
      </w:r>
      <w:r w:rsidR="002576AC" w:rsidRPr="002F2CF1">
        <w:rPr>
          <w:rFonts w:cstheme="minorHAnsi"/>
        </w:rPr>
        <w:t xml:space="preserve">Annex </w:t>
      </w:r>
      <w:r w:rsidR="002576AC">
        <w:rPr>
          <w:rFonts w:cstheme="minorHAnsi"/>
        </w:rPr>
        <w:t>3).</w:t>
      </w:r>
      <w:r w:rsidR="00F35582">
        <w:rPr>
          <w:rFonts w:cstheme="minorHAnsi"/>
        </w:rPr>
        <w:t xml:space="preserve"> </w:t>
      </w:r>
    </w:p>
    <w:p w14:paraId="31746E1D" w14:textId="46C2F4E3" w:rsidR="00D47879" w:rsidRPr="00343460" w:rsidRDefault="00D47879" w:rsidP="00794C57">
      <w:pPr>
        <w:pStyle w:val="BodyText"/>
        <w:rPr>
          <w:rFonts w:cstheme="minorHAnsi"/>
        </w:rPr>
      </w:pPr>
      <w:r w:rsidRPr="00343460">
        <w:rPr>
          <w:rFonts w:cstheme="minorHAnsi"/>
        </w:rPr>
        <w:t xml:space="preserve">Employment conditions for international staff contracted as part of the </w:t>
      </w:r>
      <w:r w:rsidR="0000674C">
        <w:rPr>
          <w:rFonts w:cstheme="minorHAnsi"/>
        </w:rPr>
        <w:t>core</w:t>
      </w:r>
      <w:r w:rsidRPr="00343460">
        <w:rPr>
          <w:rFonts w:cstheme="minorHAnsi"/>
        </w:rPr>
        <w:t xml:space="preserve"> management team will </w:t>
      </w:r>
      <w:r w:rsidR="008405A0">
        <w:rPr>
          <w:rFonts w:cstheme="minorHAnsi"/>
        </w:rPr>
        <w:t>a</w:t>
      </w:r>
      <w:r w:rsidRPr="00343460">
        <w:rPr>
          <w:rFonts w:cstheme="minorHAnsi"/>
        </w:rPr>
        <w:t>li</w:t>
      </w:r>
      <w:r w:rsidR="008405A0">
        <w:rPr>
          <w:rFonts w:cstheme="minorHAnsi"/>
        </w:rPr>
        <w:t>g</w:t>
      </w:r>
      <w:r w:rsidRPr="00343460">
        <w:rPr>
          <w:rFonts w:cstheme="minorHAnsi"/>
        </w:rPr>
        <w:t xml:space="preserve">n with the </w:t>
      </w:r>
      <w:r w:rsidR="002575C2">
        <w:rPr>
          <w:rFonts w:cstheme="minorHAnsi"/>
        </w:rPr>
        <w:t xml:space="preserve">DFAT </w:t>
      </w:r>
      <w:r w:rsidRPr="00343460">
        <w:rPr>
          <w:rFonts w:cstheme="minorHAnsi"/>
        </w:rPr>
        <w:t xml:space="preserve">Adviser Remuneration Framework. Remuneration rates and employment conditions for national staff </w:t>
      </w:r>
      <w:r w:rsidR="005C63BD" w:rsidRPr="00343460">
        <w:rPr>
          <w:rFonts w:cstheme="minorHAnsi"/>
        </w:rPr>
        <w:t>will be expected to be commensurate with existing norms</w:t>
      </w:r>
      <w:r w:rsidR="00B1300F" w:rsidRPr="00343460">
        <w:rPr>
          <w:rFonts w:cstheme="minorHAnsi"/>
        </w:rPr>
        <w:t>,</w:t>
      </w:r>
      <w:r w:rsidR="005C63BD" w:rsidRPr="00343460">
        <w:rPr>
          <w:rFonts w:cstheme="minorHAnsi"/>
        </w:rPr>
        <w:t xml:space="preserve"> and align with other donor-funded programs in Indonesia and </w:t>
      </w:r>
      <w:r w:rsidR="00350E8A" w:rsidRPr="00343460">
        <w:rPr>
          <w:rFonts w:cstheme="minorHAnsi"/>
        </w:rPr>
        <w:t xml:space="preserve">local </w:t>
      </w:r>
      <w:r w:rsidR="005C63BD" w:rsidRPr="00343460">
        <w:rPr>
          <w:rFonts w:cstheme="minorHAnsi"/>
        </w:rPr>
        <w:t>employment and manpower legislation</w:t>
      </w:r>
      <w:r w:rsidR="005C2288">
        <w:rPr>
          <w:rFonts w:cstheme="minorHAnsi"/>
        </w:rPr>
        <w:t>.</w:t>
      </w:r>
    </w:p>
    <w:p w14:paraId="1AC102FA" w14:textId="55D5E5E6" w:rsidR="0058415A" w:rsidRPr="0058415A" w:rsidRDefault="0058415A" w:rsidP="00274C18">
      <w:pPr>
        <w:pStyle w:val="Heading3"/>
      </w:pPr>
      <w:bookmarkStart w:id="25" w:name="_Toc499298854"/>
      <w:r w:rsidRPr="0058415A">
        <w:lastRenderedPageBreak/>
        <w:t xml:space="preserve">Program </w:t>
      </w:r>
      <w:r w:rsidR="00EB7BBB" w:rsidRPr="0058415A">
        <w:t>Transition</w:t>
      </w:r>
      <w:bookmarkEnd w:id="25"/>
    </w:p>
    <w:p w14:paraId="32BD77B2" w14:textId="03821560" w:rsidR="004A49AC" w:rsidRPr="00343460" w:rsidRDefault="004A49AC" w:rsidP="00483539">
      <w:pPr>
        <w:rPr>
          <w:rFonts w:cstheme="minorHAnsi"/>
        </w:rPr>
      </w:pPr>
      <w:r w:rsidRPr="00343460">
        <w:rPr>
          <w:rFonts w:cstheme="minorHAnsi"/>
        </w:rPr>
        <w:t xml:space="preserve">It is important that </w:t>
      </w:r>
      <w:r w:rsidR="00B21192">
        <w:rPr>
          <w:rFonts w:cstheme="minorHAnsi"/>
        </w:rPr>
        <w:t>momentum is</w:t>
      </w:r>
      <w:r w:rsidRPr="00343460">
        <w:rPr>
          <w:rFonts w:cstheme="minorHAnsi"/>
        </w:rPr>
        <w:t xml:space="preserve"> </w:t>
      </w:r>
      <w:r w:rsidR="00895CC2">
        <w:rPr>
          <w:rFonts w:cstheme="minorHAnsi"/>
        </w:rPr>
        <w:t>maintained during</w:t>
      </w:r>
      <w:r w:rsidRPr="00343460">
        <w:rPr>
          <w:rFonts w:cstheme="minorHAnsi"/>
        </w:rPr>
        <w:t xml:space="preserve"> the transition from AIP-Rural to </w:t>
      </w:r>
      <w:r w:rsidR="005D461A">
        <w:rPr>
          <w:rFonts w:cstheme="minorHAnsi"/>
        </w:rPr>
        <w:t>PRISMA-2</w:t>
      </w:r>
      <w:r w:rsidRPr="00343460">
        <w:rPr>
          <w:rFonts w:cstheme="minorHAnsi"/>
        </w:rPr>
        <w:t xml:space="preserve">. The following Transition </w:t>
      </w:r>
      <w:r w:rsidR="00F47AFE">
        <w:rPr>
          <w:rFonts w:cstheme="minorHAnsi"/>
        </w:rPr>
        <w:t>Principles</w:t>
      </w:r>
      <w:r w:rsidR="00F47AFE" w:rsidRPr="00343460">
        <w:rPr>
          <w:rFonts w:cstheme="minorHAnsi"/>
        </w:rPr>
        <w:t xml:space="preserve"> </w:t>
      </w:r>
      <w:r w:rsidR="00F47AFE">
        <w:rPr>
          <w:rFonts w:cstheme="minorHAnsi"/>
        </w:rPr>
        <w:t>will</w:t>
      </w:r>
      <w:r w:rsidRPr="00343460">
        <w:rPr>
          <w:rFonts w:cstheme="minorHAnsi"/>
        </w:rPr>
        <w:t xml:space="preserve"> mitigate the risks </w:t>
      </w:r>
      <w:r w:rsidR="00D51EB2">
        <w:rPr>
          <w:rFonts w:cstheme="minorHAnsi"/>
        </w:rPr>
        <w:t>associated with the</w:t>
      </w:r>
      <w:r w:rsidR="00F47AFE">
        <w:rPr>
          <w:rFonts w:cstheme="minorHAnsi"/>
        </w:rPr>
        <w:t xml:space="preserve"> </w:t>
      </w:r>
      <w:r w:rsidR="000603DC">
        <w:rPr>
          <w:rFonts w:cstheme="minorHAnsi"/>
        </w:rPr>
        <w:t>transition</w:t>
      </w:r>
      <w:r w:rsidRPr="00343460">
        <w:rPr>
          <w:rFonts w:cstheme="minorHAnsi"/>
        </w:rPr>
        <w:t>:</w:t>
      </w:r>
    </w:p>
    <w:p w14:paraId="66020EC0" w14:textId="5ED23092" w:rsidR="002576AC" w:rsidRDefault="002576AC" w:rsidP="004B220D">
      <w:pPr>
        <w:pStyle w:val="ListParagraph"/>
        <w:numPr>
          <w:ilvl w:val="0"/>
          <w:numId w:val="18"/>
        </w:numPr>
        <w:rPr>
          <w:rFonts w:cstheme="minorHAnsi"/>
        </w:rPr>
      </w:pPr>
      <w:r>
        <w:rPr>
          <w:rFonts w:cstheme="minorHAnsi"/>
        </w:rPr>
        <w:t>A sound understanding of the MSD approach and an awareness of the elements needed to maintain momentum in the Program, whilst also</w:t>
      </w:r>
      <w:r w:rsidR="003221C7">
        <w:rPr>
          <w:rFonts w:cstheme="minorHAnsi"/>
        </w:rPr>
        <w:t xml:space="preserve"> identifying opportunities fo</w:t>
      </w:r>
      <w:r w:rsidR="00A71288">
        <w:rPr>
          <w:rFonts w:cstheme="minorHAnsi"/>
        </w:rPr>
        <w:t>r innovation and improvement in</w:t>
      </w:r>
      <w:r>
        <w:rPr>
          <w:rFonts w:cstheme="minorHAnsi"/>
        </w:rPr>
        <w:t xml:space="preserve"> interventions, systems, and approaches in order to scale up and achieve systemic change.</w:t>
      </w:r>
      <w:r w:rsidR="00896A6B">
        <w:rPr>
          <w:rFonts w:cstheme="minorHAnsi"/>
        </w:rPr>
        <w:t xml:space="preserve"> For example, AIP-</w:t>
      </w:r>
      <w:proofErr w:type="spellStart"/>
      <w:r w:rsidR="00896A6B">
        <w:rPr>
          <w:rFonts w:cstheme="minorHAnsi"/>
        </w:rPr>
        <w:t>Rural’s</w:t>
      </w:r>
      <w:proofErr w:type="spellEnd"/>
      <w:r w:rsidR="00896A6B">
        <w:rPr>
          <w:rFonts w:cstheme="minorHAnsi"/>
        </w:rPr>
        <w:t xml:space="preserve"> implementation systems (</w:t>
      </w:r>
      <w:proofErr w:type="spellStart"/>
      <w:r w:rsidR="00896A6B">
        <w:rPr>
          <w:rFonts w:cstheme="minorHAnsi"/>
        </w:rPr>
        <w:t>eg</w:t>
      </w:r>
      <w:proofErr w:type="spellEnd"/>
      <w:r w:rsidR="00896A6B">
        <w:rPr>
          <w:rFonts w:cstheme="minorHAnsi"/>
        </w:rPr>
        <w:t xml:space="preserve">. </w:t>
      </w:r>
      <w:r w:rsidR="00896A6B" w:rsidRPr="00343460">
        <w:rPr>
          <w:rFonts w:cstheme="minorHAnsi"/>
        </w:rPr>
        <w:t>intervention identification and development, quality control</w:t>
      </w:r>
      <w:r w:rsidR="00896A6B">
        <w:rPr>
          <w:rFonts w:cstheme="minorHAnsi"/>
        </w:rPr>
        <w:t>, results measurement</w:t>
      </w:r>
      <w:r w:rsidR="00896A6B" w:rsidRPr="00343460">
        <w:rPr>
          <w:rFonts w:cstheme="minorHAnsi"/>
        </w:rPr>
        <w:t>)</w:t>
      </w:r>
      <w:r w:rsidR="00896A6B">
        <w:rPr>
          <w:rFonts w:cstheme="minorHAnsi"/>
        </w:rPr>
        <w:t xml:space="preserve"> and approach to social inclusion (</w:t>
      </w:r>
      <w:proofErr w:type="spellStart"/>
      <w:r w:rsidR="00896A6B">
        <w:rPr>
          <w:rFonts w:cstheme="minorHAnsi"/>
        </w:rPr>
        <w:t>eg</w:t>
      </w:r>
      <w:proofErr w:type="spellEnd"/>
      <w:r w:rsidR="00896A6B">
        <w:rPr>
          <w:rFonts w:cstheme="minorHAnsi"/>
        </w:rPr>
        <w:t>. gender, disability) provide a sound starting point, however there is opportunity to improve and build on these systems and approaches.</w:t>
      </w:r>
    </w:p>
    <w:p w14:paraId="29A5A4F5" w14:textId="7F4A1E0F" w:rsidR="004A49AC" w:rsidRPr="00343460" w:rsidRDefault="00F47AFE" w:rsidP="004B220D">
      <w:pPr>
        <w:pStyle w:val="ListParagraph"/>
        <w:numPr>
          <w:ilvl w:val="0"/>
          <w:numId w:val="18"/>
        </w:numPr>
        <w:rPr>
          <w:rFonts w:cstheme="minorHAnsi"/>
        </w:rPr>
      </w:pPr>
      <w:r>
        <w:rPr>
          <w:rFonts w:cstheme="minorHAnsi"/>
        </w:rPr>
        <w:t>Retainin</w:t>
      </w:r>
      <w:r w:rsidR="00650B83">
        <w:rPr>
          <w:rFonts w:cstheme="minorHAnsi"/>
        </w:rPr>
        <w:t xml:space="preserve">g </w:t>
      </w:r>
      <w:r w:rsidR="002576AC">
        <w:rPr>
          <w:rFonts w:cstheme="minorHAnsi"/>
        </w:rPr>
        <w:t xml:space="preserve">high performing </w:t>
      </w:r>
      <w:r w:rsidR="00650B83">
        <w:rPr>
          <w:rFonts w:cstheme="minorHAnsi"/>
        </w:rPr>
        <w:t>implementation</w:t>
      </w:r>
      <w:r w:rsidR="00D51EB2">
        <w:rPr>
          <w:rFonts w:cstheme="minorHAnsi"/>
        </w:rPr>
        <w:t xml:space="preserve"> personnel</w:t>
      </w:r>
      <w:r w:rsidR="00650B83">
        <w:rPr>
          <w:rFonts w:cstheme="minorHAnsi"/>
        </w:rPr>
        <w:t xml:space="preserve"> and operations and finance </w:t>
      </w:r>
      <w:r w:rsidR="004A49AC" w:rsidRPr="00343460">
        <w:rPr>
          <w:rFonts w:cstheme="minorHAnsi"/>
        </w:rPr>
        <w:t>personnel that have been recruited and trained</w:t>
      </w:r>
      <w:r w:rsidR="00895CC2">
        <w:rPr>
          <w:rFonts w:cstheme="minorHAnsi"/>
        </w:rPr>
        <w:t xml:space="preserve"> </w:t>
      </w:r>
      <w:r w:rsidR="00307B57">
        <w:rPr>
          <w:rFonts w:cstheme="minorHAnsi"/>
        </w:rPr>
        <w:t>in</w:t>
      </w:r>
      <w:r w:rsidR="00895CC2">
        <w:rPr>
          <w:rFonts w:cstheme="minorHAnsi"/>
        </w:rPr>
        <w:t xml:space="preserve"> AIP-Rural</w:t>
      </w:r>
      <w:r w:rsidR="004A49AC" w:rsidRPr="00343460">
        <w:rPr>
          <w:rFonts w:cstheme="minorHAnsi"/>
        </w:rPr>
        <w:t xml:space="preserve">, and </w:t>
      </w:r>
      <w:r w:rsidR="00585C14" w:rsidRPr="00343460">
        <w:rPr>
          <w:rFonts w:cstheme="minorHAnsi"/>
        </w:rPr>
        <w:t xml:space="preserve">who </w:t>
      </w:r>
      <w:r w:rsidR="004A49AC" w:rsidRPr="00343460">
        <w:rPr>
          <w:rFonts w:cstheme="minorHAnsi"/>
        </w:rPr>
        <w:t xml:space="preserve">have acquired </w:t>
      </w:r>
      <w:r w:rsidR="00936188">
        <w:rPr>
          <w:rFonts w:cstheme="minorHAnsi"/>
        </w:rPr>
        <w:t xml:space="preserve">partner relationships and </w:t>
      </w:r>
      <w:r w:rsidR="004A49AC" w:rsidRPr="00343460">
        <w:rPr>
          <w:rFonts w:cstheme="minorHAnsi"/>
        </w:rPr>
        <w:t xml:space="preserve">considerable experience in the practical application of </w:t>
      </w:r>
      <w:r w:rsidR="00307B57">
        <w:rPr>
          <w:rFonts w:cstheme="minorHAnsi"/>
        </w:rPr>
        <w:t>MSD</w:t>
      </w:r>
      <w:r w:rsidR="004A49AC" w:rsidRPr="00343460">
        <w:rPr>
          <w:rFonts w:cstheme="minorHAnsi"/>
        </w:rPr>
        <w:t xml:space="preserve"> in the Indonesian context.</w:t>
      </w:r>
    </w:p>
    <w:p w14:paraId="2E491FD1" w14:textId="6C7AFEAC" w:rsidR="004A49AC" w:rsidRPr="00343460" w:rsidRDefault="00896A6B" w:rsidP="004B220D">
      <w:pPr>
        <w:pStyle w:val="ListParagraph"/>
        <w:numPr>
          <w:ilvl w:val="0"/>
          <w:numId w:val="18"/>
        </w:numPr>
        <w:rPr>
          <w:rFonts w:cstheme="minorHAnsi"/>
        </w:rPr>
      </w:pPr>
      <w:r>
        <w:rPr>
          <w:rFonts w:cstheme="minorHAnsi"/>
        </w:rPr>
        <w:t xml:space="preserve">Adopting a </w:t>
      </w:r>
      <w:r w:rsidR="003221C7">
        <w:rPr>
          <w:rFonts w:cstheme="minorHAnsi"/>
        </w:rPr>
        <w:t>dual</w:t>
      </w:r>
      <w:r>
        <w:rPr>
          <w:rFonts w:cstheme="minorHAnsi"/>
        </w:rPr>
        <w:t xml:space="preserve"> intervention portfolio approach: r</w:t>
      </w:r>
      <w:r w:rsidR="00F47AFE">
        <w:rPr>
          <w:rFonts w:cstheme="minorHAnsi"/>
        </w:rPr>
        <w:t>etaining existing successful interventions and partnerships to avoid a</w:t>
      </w:r>
      <w:r w:rsidR="000603DC" w:rsidRPr="00343460">
        <w:rPr>
          <w:rFonts w:cstheme="minorHAnsi"/>
        </w:rPr>
        <w:t xml:space="preserve"> </w:t>
      </w:r>
      <w:r w:rsidR="004A49AC" w:rsidRPr="00343460">
        <w:rPr>
          <w:rFonts w:cstheme="minorHAnsi"/>
        </w:rPr>
        <w:t>possible erosion of private sector and governmental partner relationships</w:t>
      </w:r>
      <w:r>
        <w:rPr>
          <w:rFonts w:cstheme="minorHAnsi"/>
        </w:rPr>
        <w:t xml:space="preserve">, whilst also having a strategy to quickly develop a portfolio of new interventions and scale up </w:t>
      </w:r>
      <w:r w:rsidR="00A71288">
        <w:rPr>
          <w:rFonts w:cstheme="minorHAnsi"/>
        </w:rPr>
        <w:t xml:space="preserve">of </w:t>
      </w:r>
      <w:r>
        <w:rPr>
          <w:rFonts w:cstheme="minorHAnsi"/>
        </w:rPr>
        <w:t>existing interventions</w:t>
      </w:r>
      <w:r w:rsidR="004A49AC" w:rsidRPr="00343460">
        <w:rPr>
          <w:rFonts w:cstheme="minorHAnsi"/>
        </w:rPr>
        <w:t>.</w:t>
      </w:r>
      <w:r>
        <w:rPr>
          <w:rFonts w:cstheme="minorHAnsi"/>
        </w:rPr>
        <w:t xml:space="preserve"> This combin</w:t>
      </w:r>
      <w:r w:rsidR="00245AFD">
        <w:rPr>
          <w:rFonts w:cstheme="minorHAnsi"/>
        </w:rPr>
        <w:t>ed approach</w:t>
      </w:r>
      <w:r>
        <w:rPr>
          <w:rFonts w:cstheme="minorHAnsi"/>
        </w:rPr>
        <w:t xml:space="preserve"> will be</w:t>
      </w:r>
      <w:r w:rsidRPr="00343460">
        <w:rPr>
          <w:rFonts w:cstheme="minorHAnsi"/>
        </w:rPr>
        <w:t xml:space="preserve"> essential to fulfilling the outreach, impact and</w:t>
      </w:r>
      <w:r>
        <w:rPr>
          <w:rFonts w:cstheme="minorHAnsi"/>
        </w:rPr>
        <w:t xml:space="preserve"> sustainability targets of the P</w:t>
      </w:r>
      <w:r w:rsidRPr="00343460">
        <w:rPr>
          <w:rFonts w:cstheme="minorHAnsi"/>
        </w:rPr>
        <w:t>rogram</w:t>
      </w:r>
      <w:r>
        <w:rPr>
          <w:rFonts w:cstheme="minorHAnsi"/>
        </w:rPr>
        <w:t>.</w:t>
      </w:r>
    </w:p>
    <w:p w14:paraId="3E6A67BC" w14:textId="33B57BE3" w:rsidR="004A49AC" w:rsidRPr="00CD41EF" w:rsidRDefault="00F47AFE" w:rsidP="00CD41EF">
      <w:pPr>
        <w:pStyle w:val="Heading9"/>
      </w:pPr>
      <w:r>
        <w:t xml:space="preserve">Transition </w:t>
      </w:r>
      <w:r w:rsidR="00E66484">
        <w:t>Period (Oct – Dec 2018)</w:t>
      </w:r>
    </w:p>
    <w:p w14:paraId="673A2D91" w14:textId="488D9F19" w:rsidR="00E66484" w:rsidRDefault="009D46B1" w:rsidP="00483539">
      <w:r>
        <w:t>The PRISMA-2 Contract</w:t>
      </w:r>
      <w:r w:rsidR="00E66484">
        <w:t xml:space="preserve"> will begin before the Program start date of 1 January 2019 to enable a smooth transition between phases</w:t>
      </w:r>
      <w:r w:rsidR="00E74E19">
        <w:t xml:space="preserve"> and reduce the risk of loss of momentum</w:t>
      </w:r>
      <w:r w:rsidR="00E66484">
        <w:t>. During this three month transition period, the Contractor will be expected to:</w:t>
      </w:r>
    </w:p>
    <w:p w14:paraId="45C34BDB" w14:textId="77777777" w:rsidR="00E66484" w:rsidRDefault="00E66484" w:rsidP="007A0995">
      <w:pPr>
        <w:pStyle w:val="ListParagraph"/>
        <w:numPr>
          <w:ilvl w:val="0"/>
          <w:numId w:val="62"/>
        </w:numPr>
      </w:pPr>
      <w:r>
        <w:t>Jointly recruit a Team Leader with DFAT</w:t>
      </w:r>
    </w:p>
    <w:p w14:paraId="40D95C05" w14:textId="3D87215F" w:rsidR="00F35582" w:rsidRDefault="00E66484" w:rsidP="007A0995">
      <w:pPr>
        <w:pStyle w:val="ListParagraph"/>
        <w:numPr>
          <w:ilvl w:val="0"/>
          <w:numId w:val="61"/>
        </w:numPr>
      </w:pPr>
      <w:r>
        <w:t xml:space="preserve">Offer contracts to </w:t>
      </w:r>
      <w:r w:rsidR="0076025B">
        <w:t xml:space="preserve">highly performing </w:t>
      </w:r>
      <w:r w:rsidR="0042541B">
        <w:t>AIP-Rural</w:t>
      </w:r>
      <w:r w:rsidR="009D46B1">
        <w:t xml:space="preserve"> personnel</w:t>
      </w:r>
      <w:r w:rsidR="00373375">
        <w:t xml:space="preserve"> for</w:t>
      </w:r>
      <w:r w:rsidR="004A49AC" w:rsidRPr="0058415A">
        <w:t xml:space="preserve"> </w:t>
      </w:r>
      <w:r w:rsidR="005D461A">
        <w:t>PRISMA-2</w:t>
      </w:r>
      <w:r>
        <w:t>.</w:t>
      </w:r>
      <w:r w:rsidR="00C00F11">
        <w:t xml:space="preserve"> </w:t>
      </w:r>
      <w:r w:rsidR="00483539">
        <w:t>They</w:t>
      </w:r>
      <w:r w:rsidR="00483539" w:rsidRPr="0058415A">
        <w:t xml:space="preserve"> </w:t>
      </w:r>
      <w:r w:rsidR="00483539">
        <w:t>include Heads of Portfolio, Head of Monitoring and Results Measurement, their portfolio teams, and operations and finance personnel</w:t>
      </w:r>
      <w:r>
        <w:t xml:space="preserve"> (totalling </w:t>
      </w:r>
      <w:proofErr w:type="spellStart"/>
      <w:r>
        <w:t>aprox</w:t>
      </w:r>
      <w:proofErr w:type="spellEnd"/>
      <w:r>
        <w:t>. 135 staff).</w:t>
      </w:r>
      <w:r w:rsidR="00F35582">
        <w:t xml:space="preserve"> </w:t>
      </w:r>
    </w:p>
    <w:p w14:paraId="4DD70CED" w14:textId="6DABF2B2" w:rsidR="00E66484" w:rsidRDefault="00E66484" w:rsidP="007A0995">
      <w:pPr>
        <w:pStyle w:val="ListParagraph"/>
        <w:numPr>
          <w:ilvl w:val="0"/>
          <w:numId w:val="61"/>
        </w:numPr>
      </w:pPr>
      <w:r>
        <w:t>Develop c</w:t>
      </w:r>
      <w:r w:rsidR="009375F9">
        <w:t xml:space="preserve">ontracts </w:t>
      </w:r>
      <w:r w:rsidR="00F47AFE">
        <w:t xml:space="preserve">with </w:t>
      </w:r>
      <w:r>
        <w:t xml:space="preserve">existing </w:t>
      </w:r>
      <w:r w:rsidR="00F47AFE">
        <w:t>business partners and co</w:t>
      </w:r>
      <w:r w:rsidR="009D473B">
        <w:t>-</w:t>
      </w:r>
      <w:r w:rsidR="00F47AFE">
        <w:t xml:space="preserve">facilitators </w:t>
      </w:r>
      <w:r w:rsidR="009375F9">
        <w:t xml:space="preserve">for </w:t>
      </w:r>
      <w:r w:rsidR="00F47AFE">
        <w:t xml:space="preserve">successful </w:t>
      </w:r>
      <w:r w:rsidR="009375F9">
        <w:t xml:space="preserve">interventions </w:t>
      </w:r>
      <w:r w:rsidR="009D46B1">
        <w:t>under AIP-Rural</w:t>
      </w:r>
      <w:r w:rsidR="00904A63">
        <w:t>, ready for seamless implementation in Jan</w:t>
      </w:r>
      <w:r w:rsidR="00FB79BA">
        <w:t>uary</w:t>
      </w:r>
      <w:r w:rsidR="00904A63">
        <w:t xml:space="preserve"> 2019</w:t>
      </w:r>
      <w:r w:rsidR="00E8481B">
        <w:t xml:space="preserve">. </w:t>
      </w:r>
    </w:p>
    <w:p w14:paraId="05C50831" w14:textId="480E8787" w:rsidR="009375F9" w:rsidRDefault="00245AFD" w:rsidP="007A0995">
      <w:pPr>
        <w:pStyle w:val="ListParagraph"/>
        <w:numPr>
          <w:ilvl w:val="0"/>
          <w:numId w:val="61"/>
        </w:numPr>
      </w:pPr>
      <w:r>
        <w:t>Work with the outgoing contractor to transfer and adopt the m</w:t>
      </w:r>
      <w:r w:rsidR="009375F9">
        <w:t>easurement systems designed for AIP-</w:t>
      </w:r>
      <w:proofErr w:type="gramStart"/>
      <w:r w:rsidR="009375F9">
        <w:t xml:space="preserve">Rural </w:t>
      </w:r>
      <w:r w:rsidR="009D46B1">
        <w:t>.</w:t>
      </w:r>
      <w:proofErr w:type="gramEnd"/>
      <w:r w:rsidR="009D46B1">
        <w:t xml:space="preserve"> </w:t>
      </w:r>
    </w:p>
    <w:p w14:paraId="275266CD" w14:textId="064F97B8" w:rsidR="00E74E19" w:rsidRDefault="00E74E19" w:rsidP="007A0995">
      <w:pPr>
        <w:pStyle w:val="ListParagraph"/>
        <w:numPr>
          <w:ilvl w:val="0"/>
          <w:numId w:val="61"/>
        </w:numPr>
      </w:pPr>
      <w:r>
        <w:t xml:space="preserve">Establish operational and finance systems to support the delivery of the above contracting and </w:t>
      </w:r>
      <w:r w:rsidR="00245AFD">
        <w:t>PRISMA-2</w:t>
      </w:r>
      <w:r>
        <w:t xml:space="preserve"> implementation.</w:t>
      </w:r>
    </w:p>
    <w:p w14:paraId="1D420ABB" w14:textId="5ABFD8D4" w:rsidR="00E74E19" w:rsidRDefault="00245AFD" w:rsidP="00E74E19">
      <w:r>
        <w:t xml:space="preserve">The Contractor will be expected to develop a transition plan to achieve these outcomes. </w:t>
      </w:r>
      <w:r w:rsidR="00E74E19">
        <w:t xml:space="preserve">The in-country presence of the Contractor Representative for a period of at least six months to oversee this transition and initial implementation will be strongly encouraged. </w:t>
      </w:r>
    </w:p>
    <w:p w14:paraId="1C345689" w14:textId="77777777" w:rsidR="0076025B" w:rsidRPr="00754CA2" w:rsidRDefault="0076025B" w:rsidP="0076025B">
      <w:pPr>
        <w:pStyle w:val="Heading3"/>
      </w:pPr>
      <w:bookmarkStart w:id="26" w:name="_Toc499298855"/>
      <w:r w:rsidRPr="00754CA2">
        <w:t>Communications and Reporting</w:t>
      </w:r>
      <w:bookmarkEnd w:id="26"/>
      <w:r w:rsidRPr="00754CA2">
        <w:t xml:space="preserve"> </w:t>
      </w:r>
    </w:p>
    <w:p w14:paraId="1EE8980B" w14:textId="77777777" w:rsidR="0076025B" w:rsidRPr="00343460" w:rsidRDefault="0076025B" w:rsidP="0076025B">
      <w:pPr>
        <w:pStyle w:val="BodyText"/>
        <w:rPr>
          <w:rFonts w:cstheme="minorHAnsi"/>
        </w:rPr>
      </w:pPr>
      <w:r>
        <w:rPr>
          <w:rFonts w:cstheme="minorHAnsi"/>
        </w:rPr>
        <w:t xml:space="preserve">The </w:t>
      </w:r>
      <w:r w:rsidRPr="00343460">
        <w:rPr>
          <w:rFonts w:cstheme="minorHAnsi"/>
        </w:rPr>
        <w:t xml:space="preserve">Contractor will work with DFAT to develop a </w:t>
      </w:r>
      <w:r>
        <w:rPr>
          <w:rFonts w:cstheme="minorHAnsi"/>
        </w:rPr>
        <w:t>PRISMA-2</w:t>
      </w:r>
      <w:r w:rsidRPr="00343460">
        <w:rPr>
          <w:rFonts w:cstheme="minorHAnsi"/>
        </w:rPr>
        <w:t xml:space="preserve"> Communications Plan that support</w:t>
      </w:r>
      <w:r>
        <w:rPr>
          <w:rFonts w:cstheme="minorHAnsi"/>
        </w:rPr>
        <w:t>s</w:t>
      </w:r>
      <w:r w:rsidRPr="00343460">
        <w:rPr>
          <w:rFonts w:cstheme="minorHAnsi"/>
        </w:rPr>
        <w:t xml:space="preserve"> the dissemination of inf</w:t>
      </w:r>
      <w:r>
        <w:rPr>
          <w:rFonts w:cstheme="minorHAnsi"/>
        </w:rPr>
        <w:t>ormation and learning from the P</w:t>
      </w:r>
      <w:r w:rsidRPr="00343460">
        <w:rPr>
          <w:rFonts w:cstheme="minorHAnsi"/>
        </w:rPr>
        <w:t xml:space="preserve">rogram to key stakeholders. The Communications Strategy will identify information needs for all key stakeholders, including </w:t>
      </w:r>
      <w:r>
        <w:rPr>
          <w:rFonts w:cstheme="minorHAnsi"/>
        </w:rPr>
        <w:t xml:space="preserve">BAPPENAS, </w:t>
      </w:r>
      <w:r w:rsidRPr="00343460">
        <w:rPr>
          <w:rFonts w:cstheme="minorHAnsi"/>
        </w:rPr>
        <w:t>DFAT,</w:t>
      </w:r>
      <w:r>
        <w:rPr>
          <w:rFonts w:cstheme="minorHAnsi"/>
        </w:rPr>
        <w:t xml:space="preserve"> government and non-government stakeholders, and the Australian and Indonesian public,</w:t>
      </w:r>
      <w:r w:rsidRPr="00343460">
        <w:rPr>
          <w:rFonts w:cstheme="minorHAnsi"/>
        </w:rPr>
        <w:t xml:space="preserve"> and outline a range of mechanisms for sharing learning and other relevant information </w:t>
      </w:r>
      <w:r>
        <w:rPr>
          <w:rFonts w:cstheme="minorHAnsi"/>
        </w:rPr>
        <w:t>on MSD</w:t>
      </w:r>
      <w:r w:rsidRPr="00343460">
        <w:rPr>
          <w:rFonts w:cstheme="minorHAnsi"/>
        </w:rPr>
        <w:t xml:space="preserve">. Qualitative data will be tailored to different audiences and purposes, such as policy briefs, case studies, and stories of change to ensure </w:t>
      </w:r>
      <w:r>
        <w:rPr>
          <w:rFonts w:cstheme="minorHAnsi"/>
        </w:rPr>
        <w:t xml:space="preserve">evidence from PRISMA-2 </w:t>
      </w:r>
      <w:r w:rsidRPr="00343460">
        <w:rPr>
          <w:rFonts w:cstheme="minorHAnsi"/>
        </w:rPr>
        <w:t xml:space="preserve">supports broader </w:t>
      </w:r>
      <w:r>
        <w:rPr>
          <w:rFonts w:cstheme="minorHAnsi"/>
        </w:rPr>
        <w:t>analysis</w:t>
      </w:r>
      <w:r w:rsidRPr="00343460">
        <w:rPr>
          <w:rFonts w:cstheme="minorHAnsi"/>
        </w:rPr>
        <w:t xml:space="preserve"> of the enabling environment and is relevant and </w:t>
      </w:r>
      <w:r w:rsidRPr="00343460">
        <w:rPr>
          <w:rFonts w:cstheme="minorHAnsi"/>
        </w:rPr>
        <w:lastRenderedPageBreak/>
        <w:t xml:space="preserve">meaningful to a range of different stakeholders. Quantitative data sourced from the MIS </w:t>
      </w:r>
      <w:r>
        <w:rPr>
          <w:rFonts w:cstheme="minorHAnsi"/>
        </w:rPr>
        <w:t xml:space="preserve">(see Annex 5) </w:t>
      </w:r>
      <w:r w:rsidRPr="00343460">
        <w:rPr>
          <w:rFonts w:cstheme="minorHAnsi"/>
        </w:rPr>
        <w:t>will be collated into reports that provide DFAT and key program partners with a synopsis of hea</w:t>
      </w:r>
      <w:r>
        <w:rPr>
          <w:rFonts w:cstheme="minorHAnsi"/>
        </w:rPr>
        <w:t>dline results from the program.</w:t>
      </w:r>
      <w:r w:rsidRPr="00343460">
        <w:rPr>
          <w:rFonts w:cstheme="minorHAnsi"/>
        </w:rPr>
        <w:t xml:space="preserve"> </w:t>
      </w:r>
      <w:r>
        <w:rPr>
          <w:rFonts w:cstheme="minorHAnsi"/>
        </w:rPr>
        <w:t>Selected stakeholders, including DFAT and BAPPENAS will have on-line access to the MIS so there is a common body of evidence to support management and policy dialogue.</w:t>
      </w:r>
      <w:r w:rsidRPr="00343460">
        <w:rPr>
          <w:rFonts w:cstheme="minorHAnsi"/>
        </w:rPr>
        <w:t xml:space="preserve">  </w:t>
      </w:r>
    </w:p>
    <w:p w14:paraId="193187D3" w14:textId="788A906B" w:rsidR="0076025B" w:rsidRPr="00F35582" w:rsidRDefault="0076025B" w:rsidP="00F35582">
      <w:pPr>
        <w:pStyle w:val="BodyText"/>
        <w:rPr>
          <w:rFonts w:cstheme="minorHAnsi"/>
        </w:rPr>
      </w:pPr>
      <w:r>
        <w:rPr>
          <w:rFonts w:cstheme="minorHAnsi"/>
        </w:rPr>
        <w:t>The reporting cycle for the P</w:t>
      </w:r>
      <w:r w:rsidRPr="00343460">
        <w:rPr>
          <w:rFonts w:cstheme="minorHAnsi"/>
        </w:rPr>
        <w:t xml:space="preserve">rogram </w:t>
      </w:r>
      <w:r>
        <w:rPr>
          <w:rFonts w:cstheme="minorHAnsi"/>
        </w:rPr>
        <w:t>(see Annex 5) will include a semi-annual progress report and implementation plans, with the content and structure to be determined by DFAT</w:t>
      </w:r>
      <w:r w:rsidRPr="00343460">
        <w:rPr>
          <w:rFonts w:cstheme="minorHAnsi"/>
        </w:rPr>
        <w:t xml:space="preserve"> in consul</w:t>
      </w:r>
      <w:r>
        <w:rPr>
          <w:rFonts w:cstheme="minorHAnsi"/>
        </w:rPr>
        <w:t>tation with the</w:t>
      </w:r>
      <w:r w:rsidRPr="00343460">
        <w:rPr>
          <w:rFonts w:cstheme="minorHAnsi"/>
        </w:rPr>
        <w:t xml:space="preserve"> Contractor, and set out in the program operations manual and annual work plan. The inception phase of the </w:t>
      </w:r>
      <w:r>
        <w:rPr>
          <w:rFonts w:cstheme="minorHAnsi"/>
        </w:rPr>
        <w:t>P</w:t>
      </w:r>
      <w:r w:rsidRPr="00343460">
        <w:rPr>
          <w:rFonts w:cstheme="minorHAnsi"/>
        </w:rPr>
        <w:t>rogram will see the development</w:t>
      </w:r>
      <w:r>
        <w:rPr>
          <w:rFonts w:cstheme="minorHAnsi"/>
        </w:rPr>
        <w:t xml:space="preserve"> or updating </w:t>
      </w:r>
      <w:r w:rsidRPr="00343460">
        <w:rPr>
          <w:rFonts w:cstheme="minorHAnsi"/>
        </w:rPr>
        <w:t xml:space="preserve">of </w:t>
      </w:r>
      <w:r>
        <w:rPr>
          <w:rFonts w:cstheme="minorHAnsi"/>
        </w:rPr>
        <w:t>existing strategies and plans for phase 2.</w:t>
      </w:r>
      <w:r w:rsidRPr="00343460">
        <w:rPr>
          <w:rFonts w:cstheme="minorHAnsi"/>
        </w:rPr>
        <w:t xml:space="preserve"> </w:t>
      </w:r>
    </w:p>
    <w:p w14:paraId="6B4492CF" w14:textId="7DADB3EC" w:rsidR="00EB7BBB" w:rsidRPr="0058415A" w:rsidRDefault="00D86E99" w:rsidP="00274C18">
      <w:pPr>
        <w:pStyle w:val="Heading3"/>
      </w:pPr>
      <w:bookmarkStart w:id="27" w:name="_Toc499298856"/>
      <w:r>
        <w:t>Results Measurement,</w:t>
      </w:r>
      <w:r w:rsidR="006F3A6C" w:rsidRPr="0058415A">
        <w:t xml:space="preserve"> MIS</w:t>
      </w:r>
      <w:r>
        <w:t xml:space="preserve"> and Evaluation</w:t>
      </w:r>
      <w:bookmarkEnd w:id="27"/>
    </w:p>
    <w:p w14:paraId="2EE2AC51" w14:textId="5FDF3B92" w:rsidR="00C63DD9" w:rsidRDefault="005D461A" w:rsidP="00483539">
      <w:r>
        <w:t>PRISMA-2</w:t>
      </w:r>
      <w:r w:rsidR="003B27BF" w:rsidRPr="00B1619E">
        <w:t xml:space="preserve"> will continue the culture of evidence-based man</w:t>
      </w:r>
      <w:r w:rsidR="0042541B">
        <w:t>agement initiated in AIP-Rural (see</w:t>
      </w:r>
      <w:r w:rsidR="003B27BF" w:rsidRPr="00B1619E">
        <w:t xml:space="preserve"> </w:t>
      </w:r>
      <w:r w:rsidR="003B27BF" w:rsidRPr="00E8481B">
        <w:t xml:space="preserve">Annex </w:t>
      </w:r>
      <w:r w:rsidR="001236FF">
        <w:t>5</w:t>
      </w:r>
      <w:r w:rsidR="00F35582">
        <w:t>), using</w:t>
      </w:r>
      <w:r w:rsidR="00C63DD9">
        <w:t xml:space="preserve"> DFAT standards and</w:t>
      </w:r>
      <w:r w:rsidR="0042541B">
        <w:t xml:space="preserve"> </w:t>
      </w:r>
      <w:r w:rsidR="00F35582">
        <w:t>t</w:t>
      </w:r>
      <w:r w:rsidR="003B27BF" w:rsidRPr="00E8481B">
        <w:t>he</w:t>
      </w:r>
      <w:r w:rsidR="003B27BF" w:rsidRPr="00B1619E">
        <w:t xml:space="preserve"> </w:t>
      </w:r>
      <w:r w:rsidR="0042541B">
        <w:t xml:space="preserve">DCED </w:t>
      </w:r>
      <w:r w:rsidR="003B27BF" w:rsidRPr="00B1619E">
        <w:t>results measurement standard</w:t>
      </w:r>
      <w:r w:rsidR="00DB372C">
        <w:rPr>
          <w:rStyle w:val="FootnoteReference"/>
        </w:rPr>
        <w:footnoteReference w:id="55"/>
      </w:r>
      <w:r w:rsidR="003B27BF">
        <w:t xml:space="preserve">. </w:t>
      </w:r>
      <w:r w:rsidR="003B27BF" w:rsidRPr="00B1619E">
        <w:t xml:space="preserve">This enables consistent use of a common set of </w:t>
      </w:r>
      <w:r w:rsidR="005C2288">
        <w:t xml:space="preserve">key </w:t>
      </w:r>
      <w:r w:rsidR="003B27BF" w:rsidRPr="00B1619E">
        <w:t>performance and management indicators</w:t>
      </w:r>
      <w:r w:rsidR="003B27BF">
        <w:t xml:space="preserve"> and supports continuity from the current program to </w:t>
      </w:r>
      <w:r>
        <w:t>PRISMA-2</w:t>
      </w:r>
      <w:r w:rsidR="003B27BF">
        <w:t xml:space="preserve"> </w:t>
      </w:r>
      <w:r w:rsidR="003B27BF" w:rsidRPr="00CD41EF">
        <w:t>(</w:t>
      </w:r>
      <w:r w:rsidR="0042541B">
        <w:t xml:space="preserve">see </w:t>
      </w:r>
      <w:r w:rsidR="003B27BF" w:rsidRPr="00CD41EF">
        <w:t xml:space="preserve">Box </w:t>
      </w:r>
      <w:r w:rsidR="00483539">
        <w:t>6</w:t>
      </w:r>
      <w:r w:rsidR="003B27BF" w:rsidRPr="00CD41EF">
        <w:t>).</w:t>
      </w:r>
      <w:r w:rsidR="005C2288">
        <w:t xml:space="preserve">  </w:t>
      </w:r>
      <w:r w:rsidR="00C63DD9">
        <w:t xml:space="preserve">PRISMA-2’s results measurement will be used </w:t>
      </w:r>
      <w:r w:rsidR="000E3926">
        <w:t>by</w:t>
      </w:r>
      <w:r w:rsidR="00C63DD9">
        <w:t xml:space="preserve"> DFAT </w:t>
      </w:r>
      <w:r w:rsidR="000E3926">
        <w:t xml:space="preserve">in its </w:t>
      </w:r>
      <w:r w:rsidR="00D07A39">
        <w:t>oversight</w:t>
      </w:r>
      <w:r w:rsidR="000E3926">
        <w:t xml:space="preserve"> of the Program, </w:t>
      </w:r>
      <w:r w:rsidR="00C63DD9">
        <w:t>by PRISMA-2 in its management of interven</w:t>
      </w:r>
      <w:r w:rsidR="00D07A39">
        <w:t xml:space="preserve">tions, </w:t>
      </w:r>
      <w:r w:rsidR="00C63DD9">
        <w:t>outreach</w:t>
      </w:r>
      <w:r w:rsidR="00D07A39">
        <w:t>, and policy support</w:t>
      </w:r>
      <w:r w:rsidR="00C63DD9">
        <w:t xml:space="preserve">, </w:t>
      </w:r>
      <w:r w:rsidR="00D07A39">
        <w:t xml:space="preserve">and </w:t>
      </w:r>
      <w:r w:rsidR="00C63DD9">
        <w:t>by the Government of Indone</w:t>
      </w:r>
      <w:r w:rsidR="00177A43">
        <w:t>sia to monitor and collect lessons learned from the Program</w:t>
      </w:r>
      <w:r w:rsidR="00C63DD9">
        <w:t>.</w:t>
      </w:r>
    </w:p>
    <w:p w14:paraId="396E1DEB" w14:textId="2679A724" w:rsidR="005C2288" w:rsidRDefault="00D07A39" w:rsidP="00483539">
      <w:r>
        <w:t xml:space="preserve">PRISMA-2’s </w:t>
      </w:r>
      <w:r w:rsidR="00177A43">
        <w:t>Key Performance Indicators</w:t>
      </w:r>
      <w:r>
        <w:t xml:space="preserve"> </w:t>
      </w:r>
      <w:r w:rsidR="005C2288">
        <w:t>inform performance assessment indicators used by DFAT for the Indonesia program</w:t>
      </w:r>
      <w:r w:rsidR="0031388C">
        <w:t>,</w:t>
      </w:r>
      <w:r w:rsidR="005C2288">
        <w:rPr>
          <w:rStyle w:val="FootnoteReference"/>
        </w:rPr>
        <w:footnoteReference w:id="56"/>
      </w:r>
      <w:r w:rsidR="0031388C">
        <w:t xml:space="preserve"> </w:t>
      </w:r>
      <w:r w:rsidR="005C2288">
        <w:t xml:space="preserve">for example, </w:t>
      </w:r>
      <w:r w:rsidR="00C63DD9">
        <w:t xml:space="preserve">DFAT Objective 1.3 (more jobs and higher incomes, especially for poor households) and several Performance Benchmarks, including Indicator 1 (additional </w:t>
      </w:r>
      <w:r>
        <w:t>financing</w:t>
      </w:r>
      <w:r w:rsidR="00C63DD9">
        <w:t xml:space="preserve"> leveraged for Indonesian </w:t>
      </w:r>
      <w:r>
        <w:t>development</w:t>
      </w:r>
      <w:r w:rsidR="00C63DD9">
        <w:t xml:space="preserve">), </w:t>
      </w:r>
      <w:r>
        <w:t>Indicator 4</w:t>
      </w:r>
      <w:r w:rsidR="00C63DD9">
        <w:t xml:space="preserve"> (number of smallholder farmers, in particular women, with increased incomes), </w:t>
      </w:r>
      <w:r w:rsidR="00177A43">
        <w:t xml:space="preserve">Indicator 5 (partnerships with businesses), Indicator 11 (ICT that support development), </w:t>
      </w:r>
      <w:r w:rsidR="00C63DD9">
        <w:t xml:space="preserve">and </w:t>
      </w:r>
      <w:r>
        <w:t>in the future,</w:t>
      </w:r>
      <w:r w:rsidR="00C63DD9">
        <w:t xml:space="preserve"> </w:t>
      </w:r>
      <w:r w:rsidR="00177A43">
        <w:t xml:space="preserve">potentially </w:t>
      </w:r>
      <w:r w:rsidR="00C63DD9">
        <w:t>Indicator</w:t>
      </w:r>
      <w:r w:rsidR="00177A43">
        <w:t xml:space="preserve"> 3</w:t>
      </w:r>
      <w:r>
        <w:t xml:space="preserve"> (i</w:t>
      </w:r>
      <w:r w:rsidR="00C63DD9">
        <w:t>mprovements to market efficiency, regulation and financial systems), and Indicator 6 (</w:t>
      </w:r>
      <w:r>
        <w:t>i</w:t>
      </w:r>
      <w:r w:rsidR="00C63DD9">
        <w:t xml:space="preserve">mprovements to human development policies and programs).  </w:t>
      </w:r>
    </w:p>
    <w:p w14:paraId="3E8DD50E" w14:textId="77777777" w:rsidR="00C63DD9" w:rsidRDefault="00F35582" w:rsidP="0031388C">
      <w:r w:rsidRPr="00CD41EF">
        <w:rPr>
          <w:rFonts w:cstheme="minorHAnsi"/>
          <w:b/>
          <w:noProof/>
          <w:lang w:eastAsia="en-AU"/>
        </w:rPr>
        <mc:AlternateContent>
          <mc:Choice Requires="wps">
            <w:drawing>
              <wp:inline distT="0" distB="0" distL="0" distR="0" wp14:anchorId="6DD888E6" wp14:editId="60F9CB36">
                <wp:extent cx="5937250" cy="2733675"/>
                <wp:effectExtent l="0" t="0" r="25400" b="28575"/>
                <wp:docPr id="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733675"/>
                        </a:xfrm>
                        <a:prstGeom prst="rect">
                          <a:avLst/>
                        </a:prstGeom>
                        <a:solidFill>
                          <a:schemeClr val="accent1">
                            <a:lumMod val="40000"/>
                            <a:lumOff val="60000"/>
                          </a:schemeClr>
                        </a:solidFill>
                        <a:ln w="9525">
                          <a:solidFill>
                            <a:srgbClr val="000000"/>
                          </a:solidFill>
                          <a:miter lim="800000"/>
                          <a:headEnd/>
                          <a:tailEnd/>
                        </a:ln>
                      </wps:spPr>
                      <wps:txbx>
                        <w:txbxContent>
                          <w:p w14:paraId="18C13BEB" w14:textId="77777777" w:rsidR="00243660" w:rsidRPr="00483539" w:rsidRDefault="00243660" w:rsidP="00F35582">
                            <w:pPr>
                              <w:spacing w:after="120"/>
                              <w:rPr>
                                <w:rFonts w:cstheme="minorHAnsi"/>
                                <w:b/>
                              </w:rPr>
                            </w:pPr>
                            <w:r w:rsidRPr="00CD41EF">
                              <w:rPr>
                                <w:rFonts w:cstheme="minorHAnsi"/>
                                <w:b/>
                              </w:rPr>
                              <w:t xml:space="preserve">Box </w:t>
                            </w:r>
                            <w:r>
                              <w:rPr>
                                <w:rFonts w:cstheme="minorHAnsi"/>
                                <w:b/>
                              </w:rPr>
                              <w:t>6.</w:t>
                            </w:r>
                            <w:r w:rsidRPr="00CD41EF">
                              <w:rPr>
                                <w:rFonts w:cstheme="minorHAnsi"/>
                                <w:b/>
                              </w:rPr>
                              <w:t xml:space="preserve"> Key </w:t>
                            </w:r>
                            <w:r>
                              <w:rPr>
                                <w:rFonts w:cstheme="minorHAnsi"/>
                                <w:b/>
                              </w:rPr>
                              <w:t>Performance I</w:t>
                            </w:r>
                            <w:r w:rsidRPr="00CD41EF">
                              <w:rPr>
                                <w:rFonts w:cstheme="minorHAnsi"/>
                                <w:b/>
                              </w:rPr>
                              <w:t>ndicators</w:t>
                            </w:r>
                          </w:p>
                          <w:p w14:paraId="48246F80" w14:textId="77777777" w:rsidR="00243660" w:rsidRPr="0042541B" w:rsidRDefault="00243660" w:rsidP="00F35582">
                            <w:pPr>
                              <w:spacing w:after="0"/>
                              <w:rPr>
                                <w:sz w:val="18"/>
                                <w:szCs w:val="18"/>
                              </w:rPr>
                            </w:pPr>
                            <w:r w:rsidRPr="0042541B">
                              <w:rPr>
                                <w:sz w:val="18"/>
                                <w:szCs w:val="18"/>
                              </w:rPr>
                              <w:t>Key performance indicators used by AIP-Rural and to be used in PRISMA-2:</w:t>
                            </w:r>
                          </w:p>
                          <w:p w14:paraId="38D66621"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1 – Number of farming households that increase their income due to Program interventions (Outreach)</w:t>
                            </w:r>
                          </w:p>
                          <w:p w14:paraId="1418D7A8"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1a – Number of farming households under USD2.50 PPP poverty line with increased net-incomes</w:t>
                            </w:r>
                          </w:p>
                          <w:p w14:paraId="18160F71"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Pr>
                                <w:sz w:val="18"/>
                                <w:szCs w:val="18"/>
                              </w:rPr>
                              <w:t xml:space="preserve">KPI 2 – Net </w:t>
                            </w:r>
                            <w:r w:rsidRPr="0042541B">
                              <w:rPr>
                                <w:sz w:val="18"/>
                                <w:szCs w:val="18"/>
                              </w:rPr>
                              <w:t>attributable</w:t>
                            </w:r>
                            <w:r>
                              <w:rPr>
                                <w:sz w:val="18"/>
                                <w:szCs w:val="18"/>
                              </w:rPr>
                              <w:t xml:space="preserve"> a</w:t>
                            </w:r>
                            <w:r w:rsidRPr="0042541B">
                              <w:rPr>
                                <w:sz w:val="18"/>
                                <w:szCs w:val="18"/>
                              </w:rPr>
                              <w:t xml:space="preserve">dditional income </w:t>
                            </w:r>
                            <w:r>
                              <w:rPr>
                                <w:sz w:val="18"/>
                                <w:szCs w:val="18"/>
                              </w:rPr>
                              <w:t xml:space="preserve">change for targeted </w:t>
                            </w:r>
                            <w:r w:rsidRPr="0042541B">
                              <w:rPr>
                                <w:sz w:val="18"/>
                                <w:szCs w:val="18"/>
                              </w:rPr>
                              <w:t>farming households (NAIC)</w:t>
                            </w:r>
                          </w:p>
                          <w:p w14:paraId="215B1980"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2a – Net attributable additional incomes of farming households under USD2.50 PPP poverty line</w:t>
                            </w:r>
                          </w:p>
                          <w:p w14:paraId="3EEE06DC"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3 – Number of Intermediary Service Providers with increased turnover</w:t>
                            </w:r>
                          </w:p>
                          <w:p w14:paraId="4C8A0B13"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4 – Value of additional turnover of Intermediary Service Providers</w:t>
                            </w:r>
                          </w:p>
                          <w:p w14:paraId="66D7B9FB"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5 – Number of innovations introduced by private sector</w:t>
                            </w:r>
                          </w:p>
                          <w:p w14:paraId="7D06C977"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6 – Number of initiatives taken by government to improve business enabling environment</w:t>
                            </w:r>
                          </w:p>
                          <w:p w14:paraId="086BE108"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7 – Number of intervention partners (private sector and public sector)</w:t>
                            </w:r>
                          </w:p>
                          <w:p w14:paraId="2DA49AB1"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8 – Value of investment by private sector partners in IDR</w:t>
                            </w:r>
                            <w:r>
                              <w:rPr>
                                <w:sz w:val="18"/>
                                <w:szCs w:val="18"/>
                              </w:rPr>
                              <w:t xml:space="preserve">. </w:t>
                            </w:r>
                          </w:p>
                          <w:p w14:paraId="1ECF4747" w14:textId="77777777" w:rsidR="00243660" w:rsidRPr="0042541B" w:rsidRDefault="00243660" w:rsidP="00F35582">
                            <w:pPr>
                              <w:spacing w:after="0"/>
                              <w:rPr>
                                <w:sz w:val="18"/>
                                <w:szCs w:val="18"/>
                              </w:rPr>
                            </w:pPr>
                          </w:p>
                          <w:p w14:paraId="10EE3381" w14:textId="3429E0B7" w:rsidR="00243660" w:rsidRPr="0042541B" w:rsidRDefault="00243660" w:rsidP="00F35582">
                            <w:pPr>
                              <w:spacing w:after="0"/>
                              <w:rPr>
                                <w:sz w:val="18"/>
                                <w:szCs w:val="18"/>
                              </w:rPr>
                            </w:pPr>
                            <w:r w:rsidRPr="0042541B">
                              <w:rPr>
                                <w:sz w:val="18"/>
                                <w:szCs w:val="18"/>
                              </w:rPr>
                              <w:t>Management indicators such as disaggregated disbursement (direct intervention, personnel and management costs); variance from planned disbursement, outputs and human resource deployment; and time to recruitment and implementation of interventions are also consistently monitored</w:t>
                            </w:r>
                            <w:r>
                              <w:rPr>
                                <w:sz w:val="18"/>
                                <w:szCs w:val="18"/>
                              </w:rPr>
                              <w:t xml:space="preserve"> across the P</w:t>
                            </w:r>
                            <w:r w:rsidRPr="0042541B">
                              <w:rPr>
                                <w:sz w:val="18"/>
                                <w:szCs w:val="18"/>
                              </w:rPr>
                              <w:t>rogram.</w:t>
                            </w:r>
                            <w:r>
                              <w:rPr>
                                <w:sz w:val="18"/>
                                <w:szCs w:val="18"/>
                              </w:rPr>
                              <w:t xml:space="preserve">  KPI’s are sex-disaggregated.</w:t>
                            </w:r>
                          </w:p>
                        </w:txbxContent>
                      </wps:txbx>
                      <wps:bodyPr rot="0" vert="horz" wrap="square" lIns="91440" tIns="45720" rIns="91440" bIns="45720" anchor="t" anchorCtr="0" upright="1">
                        <a:noAutofit/>
                      </wps:bodyPr>
                    </wps:wsp>
                  </a:graphicData>
                </a:graphic>
              </wp:inline>
            </w:drawing>
          </mc:Choice>
          <mc:Fallback>
            <w:pict>
              <v:shape id="Text Box 95" o:spid="_x0000_s1035" type="#_x0000_t202" style="width:467.5pt;height:2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" fillcolor="#b4c6e7 [1300]">
                <v:textbox>
                  <w:txbxContent>
                    <w:p w14:paraId="18C13BEB" w14:textId="77777777" w:rsidR="00243660" w:rsidRPr="00483539" w:rsidRDefault="00243660" w:rsidP="00F35582">
                      <w:pPr>
                        <w:spacing w:after="120"/>
                        <w:rPr>
                          <w:rFonts w:cstheme="minorHAnsi"/>
                          <w:b/>
                        </w:rPr>
                      </w:pPr>
                      <w:r w:rsidRPr="00CD41EF">
                        <w:rPr>
                          <w:rFonts w:cstheme="minorHAnsi"/>
                          <w:b/>
                        </w:rPr>
                        <w:t xml:space="preserve">Box </w:t>
                      </w:r>
                      <w:r>
                        <w:rPr>
                          <w:rFonts w:cstheme="minorHAnsi"/>
                          <w:b/>
                        </w:rPr>
                        <w:t>6.</w:t>
                      </w:r>
                      <w:r w:rsidRPr="00CD41EF">
                        <w:rPr>
                          <w:rFonts w:cstheme="minorHAnsi"/>
                          <w:b/>
                        </w:rPr>
                        <w:t xml:space="preserve"> Key </w:t>
                      </w:r>
                      <w:r>
                        <w:rPr>
                          <w:rFonts w:cstheme="minorHAnsi"/>
                          <w:b/>
                        </w:rPr>
                        <w:t>Performance I</w:t>
                      </w:r>
                      <w:r w:rsidRPr="00CD41EF">
                        <w:rPr>
                          <w:rFonts w:cstheme="minorHAnsi"/>
                          <w:b/>
                        </w:rPr>
                        <w:t>ndicators</w:t>
                      </w:r>
                    </w:p>
                    <w:p w14:paraId="48246F80" w14:textId="77777777" w:rsidR="00243660" w:rsidRPr="0042541B" w:rsidRDefault="00243660" w:rsidP="00F35582">
                      <w:pPr>
                        <w:spacing w:after="0"/>
                        <w:rPr>
                          <w:sz w:val="18"/>
                          <w:szCs w:val="18"/>
                        </w:rPr>
                      </w:pPr>
                      <w:r w:rsidRPr="0042541B">
                        <w:rPr>
                          <w:sz w:val="18"/>
                          <w:szCs w:val="18"/>
                        </w:rPr>
                        <w:t>Key performance indicators used by AIP-Rural and to be used in PRISMA-2:</w:t>
                      </w:r>
                    </w:p>
                    <w:p w14:paraId="38D66621"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1 – Number of farming households that increase their income due to Program interventions (Outreach)</w:t>
                      </w:r>
                    </w:p>
                    <w:p w14:paraId="1418D7A8"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1a – Number of farming households under USD2.50 PPP poverty line with increased net-incomes</w:t>
                      </w:r>
                    </w:p>
                    <w:p w14:paraId="18160F71"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Pr>
                          <w:sz w:val="18"/>
                          <w:szCs w:val="18"/>
                        </w:rPr>
                        <w:t xml:space="preserve">KPI 2 – Net </w:t>
                      </w:r>
                      <w:r w:rsidRPr="0042541B">
                        <w:rPr>
                          <w:sz w:val="18"/>
                          <w:szCs w:val="18"/>
                        </w:rPr>
                        <w:t>attributable</w:t>
                      </w:r>
                      <w:r>
                        <w:rPr>
                          <w:sz w:val="18"/>
                          <w:szCs w:val="18"/>
                        </w:rPr>
                        <w:t xml:space="preserve"> a</w:t>
                      </w:r>
                      <w:r w:rsidRPr="0042541B">
                        <w:rPr>
                          <w:sz w:val="18"/>
                          <w:szCs w:val="18"/>
                        </w:rPr>
                        <w:t xml:space="preserve">dditional income </w:t>
                      </w:r>
                      <w:r>
                        <w:rPr>
                          <w:sz w:val="18"/>
                          <w:szCs w:val="18"/>
                        </w:rPr>
                        <w:t xml:space="preserve">change for targeted </w:t>
                      </w:r>
                      <w:r w:rsidRPr="0042541B">
                        <w:rPr>
                          <w:sz w:val="18"/>
                          <w:szCs w:val="18"/>
                        </w:rPr>
                        <w:t>farming households (NAIC)</w:t>
                      </w:r>
                    </w:p>
                    <w:p w14:paraId="215B1980"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2a – Net attributable additional incomes of farming households under USD2.50 PPP poverty line</w:t>
                      </w:r>
                    </w:p>
                    <w:p w14:paraId="3EEE06DC"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3 – Number of Intermediary Service Providers with increased turnover</w:t>
                      </w:r>
                    </w:p>
                    <w:p w14:paraId="4C8A0B13"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4 – Value of additional turnover of Intermediary Service Providers</w:t>
                      </w:r>
                    </w:p>
                    <w:p w14:paraId="66D7B9FB"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5 – Number of innovations introduced by private sector</w:t>
                      </w:r>
                    </w:p>
                    <w:p w14:paraId="7D06C977"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6 – Number of initiatives taken by government to improve business enabling environment</w:t>
                      </w:r>
                    </w:p>
                    <w:p w14:paraId="086BE108"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7 – Number of intervention partners (private sector and public sector)</w:t>
                      </w:r>
                    </w:p>
                    <w:p w14:paraId="2DA49AB1" w14:textId="77777777" w:rsidR="00243660" w:rsidRPr="0042541B" w:rsidRDefault="00243660" w:rsidP="00F35582">
                      <w:pPr>
                        <w:pStyle w:val="ListParagraph"/>
                        <w:numPr>
                          <w:ilvl w:val="0"/>
                          <w:numId w:val="17"/>
                        </w:numPr>
                        <w:spacing w:after="0" w:line="240" w:lineRule="auto"/>
                        <w:ind w:left="284" w:hanging="284"/>
                        <w:jc w:val="both"/>
                        <w:rPr>
                          <w:sz w:val="18"/>
                          <w:szCs w:val="18"/>
                        </w:rPr>
                      </w:pPr>
                      <w:r w:rsidRPr="0042541B">
                        <w:rPr>
                          <w:sz w:val="18"/>
                          <w:szCs w:val="18"/>
                        </w:rPr>
                        <w:t>KPI 8 – Value of investment by private sector partners in IDR</w:t>
                      </w:r>
                      <w:r>
                        <w:rPr>
                          <w:sz w:val="18"/>
                          <w:szCs w:val="18"/>
                        </w:rPr>
                        <w:t xml:space="preserve">. </w:t>
                      </w:r>
                    </w:p>
                    <w:p w14:paraId="1ECF4747" w14:textId="77777777" w:rsidR="00243660" w:rsidRPr="0042541B" w:rsidRDefault="00243660" w:rsidP="00F35582">
                      <w:pPr>
                        <w:spacing w:after="0"/>
                        <w:rPr>
                          <w:sz w:val="18"/>
                          <w:szCs w:val="18"/>
                        </w:rPr>
                      </w:pPr>
                    </w:p>
                    <w:p w14:paraId="10EE3381" w14:textId="3429E0B7" w:rsidR="00243660" w:rsidRPr="0042541B" w:rsidRDefault="00243660" w:rsidP="00F35582">
                      <w:pPr>
                        <w:spacing w:after="0"/>
                        <w:rPr>
                          <w:sz w:val="18"/>
                          <w:szCs w:val="18"/>
                        </w:rPr>
                      </w:pPr>
                      <w:r w:rsidRPr="0042541B">
                        <w:rPr>
                          <w:sz w:val="18"/>
                          <w:szCs w:val="18"/>
                        </w:rPr>
                        <w:t>Management indicators such as disaggregated disbursement (direct intervention, personnel and management costs); variance from planned disbursement, outputs and human resource deployment; and time to recruitment and implementation of interventions are also consistently monitored</w:t>
                      </w:r>
                      <w:r>
                        <w:rPr>
                          <w:sz w:val="18"/>
                          <w:szCs w:val="18"/>
                        </w:rPr>
                        <w:t xml:space="preserve"> across the P</w:t>
                      </w:r>
                      <w:r w:rsidRPr="0042541B">
                        <w:rPr>
                          <w:sz w:val="18"/>
                          <w:szCs w:val="18"/>
                        </w:rPr>
                        <w:t>rogram.</w:t>
                      </w:r>
                      <w:r>
                        <w:rPr>
                          <w:sz w:val="18"/>
                          <w:szCs w:val="18"/>
                        </w:rPr>
                        <w:t xml:space="preserve">  KPI’s are sex-disaggregated.</w:t>
                      </w:r>
                    </w:p>
                  </w:txbxContent>
                </v:textbox>
                <w10:anchorlock/>
              </v:shape>
            </w:pict>
          </mc:Fallback>
        </mc:AlternateContent>
      </w:r>
    </w:p>
    <w:p w14:paraId="09D65AA2" w14:textId="16165046" w:rsidR="00177A43" w:rsidRDefault="00483539" w:rsidP="0031388C">
      <w:r>
        <w:t>PRISMA-2</w:t>
      </w:r>
      <w:r w:rsidRPr="00B1619E">
        <w:t xml:space="preserve"> will use the monitoring and results measurement (MRM) system </w:t>
      </w:r>
      <w:r w:rsidR="00934764">
        <w:t xml:space="preserve">(see </w:t>
      </w:r>
      <w:r w:rsidR="0031388C">
        <w:t>A</w:t>
      </w:r>
      <w:r w:rsidR="00177A43">
        <w:t>IP-Rural Operations Manua</w:t>
      </w:r>
      <w:r w:rsidR="0031388C">
        <w:t>l</w:t>
      </w:r>
      <w:r w:rsidR="00934764">
        <w:t xml:space="preserve">) </w:t>
      </w:r>
      <w:r>
        <w:t xml:space="preserve">developed under AIP-Rural </w:t>
      </w:r>
      <w:r w:rsidRPr="00B1619E">
        <w:t xml:space="preserve">to monitor adequacy of progress and measure impact, as well as the </w:t>
      </w:r>
      <w:r>
        <w:t>related</w:t>
      </w:r>
      <w:r w:rsidRPr="00B1619E">
        <w:t xml:space="preserve"> Management Information System (MIS) to consolidate intervention MRM data </w:t>
      </w:r>
      <w:r w:rsidR="0042541B">
        <w:t>for reporting and benchmarking.</w:t>
      </w:r>
      <w:r w:rsidRPr="00B1619E">
        <w:t xml:space="preserve"> The MIS aggregates monitoring data from all interventions and analyses them against the 8 </w:t>
      </w:r>
      <w:r w:rsidRPr="00B1619E">
        <w:lastRenderedPageBreak/>
        <w:t>KPIs and other performance benchmarks as well as linking them with management indicators (e.g. finance, human resources, logistics) to support resource alloc</w:t>
      </w:r>
      <w:r w:rsidR="0042541B">
        <w:t>ation and management decisions.</w:t>
      </w:r>
      <w:r w:rsidRPr="00B1619E">
        <w:t xml:space="preserve"> The MIS is available on-line, </w:t>
      </w:r>
      <w:r w:rsidR="004C6AF9">
        <w:t xml:space="preserve">and </w:t>
      </w:r>
      <w:r w:rsidRPr="00B1619E">
        <w:t xml:space="preserve">provides raw data used in the quality management tool for </w:t>
      </w:r>
      <w:r>
        <w:t xml:space="preserve">intervention selection and semi-annual </w:t>
      </w:r>
      <w:r w:rsidRPr="00B1619E">
        <w:t>portfolio review</w:t>
      </w:r>
      <w:r w:rsidR="0042541B">
        <w:t xml:space="preserve">s. </w:t>
      </w:r>
    </w:p>
    <w:p w14:paraId="3FFD4A3C" w14:textId="7A212D71" w:rsidR="00F74373" w:rsidRPr="0031388C" w:rsidRDefault="00177A43" w:rsidP="0031388C">
      <w:r>
        <w:t xml:space="preserve">This information informs the Program’s decision making through regular intervention portfolio reviews. </w:t>
      </w:r>
      <w:r w:rsidR="0031388C">
        <w:t>P</w:t>
      </w:r>
      <w:r w:rsidR="0031388C" w:rsidRPr="00B1619E">
        <w:t>ortfolio review</w:t>
      </w:r>
      <w:r w:rsidR="0031388C">
        <w:t>s</w:t>
      </w:r>
      <w:r w:rsidR="0031388C" w:rsidRPr="00B1619E">
        <w:t xml:space="preserve"> for </w:t>
      </w:r>
      <w:r w:rsidR="0031388C">
        <w:t>PRISMA-2</w:t>
      </w:r>
      <w:r w:rsidR="0031388C" w:rsidRPr="00B1619E">
        <w:t xml:space="preserve"> will use a practical range of quantitative and qualitative indicators to rank intervention quality and performance: outreach, benefit, </w:t>
      </w:r>
      <w:proofErr w:type="gramStart"/>
      <w:r w:rsidR="0031388C" w:rsidRPr="00B1619E">
        <w:t>rationale</w:t>
      </w:r>
      <w:proofErr w:type="gramEnd"/>
      <w:r w:rsidR="0031388C" w:rsidRPr="00B1619E">
        <w:t>, value for money, quality of deal, quality of collaboration, systemic change potential, poverty, gender, and environment.</w:t>
      </w:r>
      <w:r w:rsidR="0031388C">
        <w:t xml:space="preserve"> </w:t>
      </w:r>
      <w:r w:rsidR="00483539" w:rsidRPr="00FC5AF6">
        <w:t xml:space="preserve">An example of the realignment of portfolio priorities </w:t>
      </w:r>
      <w:r w:rsidR="00483539">
        <w:t>after using</w:t>
      </w:r>
      <w:r w:rsidR="00483539" w:rsidRPr="00FC5AF6">
        <w:t xml:space="preserve"> the AIP-Rural quality management tool for a portfolio review</w:t>
      </w:r>
      <w:r w:rsidR="00483539">
        <w:t xml:space="preserve"> is presented in </w:t>
      </w:r>
      <w:r w:rsidR="00483539" w:rsidRPr="00CD41EF">
        <w:t>Chart 3</w:t>
      </w:r>
      <w:r w:rsidR="0042541B">
        <w:t xml:space="preserve">. </w:t>
      </w:r>
      <w:r w:rsidR="0031388C">
        <w:t>The Contractor is encouraged to refine this approach</w:t>
      </w:r>
      <w:r w:rsidR="00483539" w:rsidRPr="00B1619E">
        <w:t xml:space="preserve"> </w:t>
      </w:r>
      <w:r w:rsidR="00483539">
        <w:t xml:space="preserve">as </w:t>
      </w:r>
      <w:r w:rsidR="00483539" w:rsidRPr="00B1619E">
        <w:t>needed</w:t>
      </w:r>
      <w:r w:rsidR="00483539">
        <w:t xml:space="preserve">. </w:t>
      </w:r>
    </w:p>
    <w:p w14:paraId="63C23B83" w14:textId="47FF6BDD" w:rsidR="003B27BF" w:rsidRPr="00D2176E" w:rsidRDefault="00CD41EF" w:rsidP="00D2176E">
      <w:pPr>
        <w:rPr>
          <w:b/>
        </w:rPr>
      </w:pPr>
      <w:r w:rsidRPr="007743E7">
        <w:rPr>
          <w:b/>
        </w:rPr>
        <w:t>Chart 3</w:t>
      </w:r>
      <w:r w:rsidR="003B27BF" w:rsidRPr="00FC5AF6">
        <w:t xml:space="preserve">: An example of the </w:t>
      </w:r>
      <w:r w:rsidR="00B70FFB">
        <w:t>continuous management of</w:t>
      </w:r>
      <w:r w:rsidR="003B27BF" w:rsidRPr="00FC5AF6">
        <w:t xml:space="preserve"> portfolio pr</w:t>
      </w:r>
      <w:r w:rsidR="003B27BF">
        <w:t xml:space="preserve">iorities </w:t>
      </w:r>
      <w:r w:rsidR="00B70FFB">
        <w:t xml:space="preserve">using </w:t>
      </w:r>
      <w:r w:rsidR="003B27BF" w:rsidRPr="00FC5AF6">
        <w:t>the AIP-Rural quality management tool for portfolio review</w:t>
      </w:r>
      <w:r w:rsidR="00161545">
        <w:t>.</w:t>
      </w:r>
    </w:p>
    <w:p w14:paraId="227FB2F4" w14:textId="14516365" w:rsidR="00A54B00" w:rsidRPr="000129B1" w:rsidRDefault="00A54B00" w:rsidP="003B27BF">
      <w:pPr>
        <w:spacing w:after="0"/>
        <w:jc w:val="center"/>
      </w:pPr>
      <w:r>
        <w:rPr>
          <w:noProof/>
          <w:lang w:eastAsia="en-AU"/>
        </w:rPr>
        <w:drawing>
          <wp:inline distT="0" distB="0" distL="0" distR="0" wp14:anchorId="1408B023" wp14:editId="33DDCC30">
            <wp:extent cx="5526215" cy="31897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9652" cy="3197480"/>
                    </a:xfrm>
                    <a:prstGeom prst="rect">
                      <a:avLst/>
                    </a:prstGeom>
                    <a:noFill/>
                    <a:ln>
                      <a:noFill/>
                    </a:ln>
                  </pic:spPr>
                </pic:pic>
              </a:graphicData>
            </a:graphic>
          </wp:inline>
        </w:drawing>
      </w:r>
    </w:p>
    <w:p w14:paraId="2D71EA21" w14:textId="384EA6F4" w:rsidR="003B27BF" w:rsidRPr="000129B1" w:rsidRDefault="003B27BF" w:rsidP="003B27BF">
      <w:pPr>
        <w:spacing w:after="0"/>
        <w:rPr>
          <w:sz w:val="16"/>
          <w:szCs w:val="16"/>
        </w:rPr>
      </w:pPr>
      <w:r w:rsidRPr="000129B1">
        <w:rPr>
          <w:sz w:val="16"/>
          <w:szCs w:val="16"/>
        </w:rPr>
        <w:t>Source: PRISMA (201</w:t>
      </w:r>
      <w:r w:rsidR="00A54B00">
        <w:rPr>
          <w:sz w:val="16"/>
          <w:szCs w:val="16"/>
        </w:rPr>
        <w:t>7</w:t>
      </w:r>
      <w:r w:rsidRPr="000129B1">
        <w:rPr>
          <w:sz w:val="16"/>
          <w:szCs w:val="16"/>
        </w:rPr>
        <w:t>) PRIP Semester 1, 201</w:t>
      </w:r>
      <w:r w:rsidR="0042541B">
        <w:rPr>
          <w:sz w:val="16"/>
          <w:szCs w:val="16"/>
        </w:rPr>
        <w:t>7;</w:t>
      </w:r>
      <w:r w:rsidRPr="000129B1">
        <w:rPr>
          <w:sz w:val="16"/>
          <w:szCs w:val="16"/>
        </w:rPr>
        <w:t xml:space="preserve"> Annex </w:t>
      </w:r>
      <w:r w:rsidR="00A54B00">
        <w:rPr>
          <w:sz w:val="16"/>
          <w:szCs w:val="16"/>
        </w:rPr>
        <w:t>5</w:t>
      </w:r>
      <w:r w:rsidRPr="000129B1">
        <w:rPr>
          <w:sz w:val="16"/>
          <w:szCs w:val="16"/>
        </w:rPr>
        <w:t>.</w:t>
      </w:r>
    </w:p>
    <w:p w14:paraId="368C44C2" w14:textId="77777777" w:rsidR="0031388C" w:rsidRDefault="0031388C" w:rsidP="0031388C">
      <w:pPr>
        <w:rPr>
          <w:sz w:val="16"/>
          <w:szCs w:val="16"/>
        </w:rPr>
      </w:pPr>
    </w:p>
    <w:p w14:paraId="124387E2" w14:textId="77777777" w:rsidR="00177A43" w:rsidRPr="00B1619E" w:rsidRDefault="00177A43" w:rsidP="00177A43">
      <w:pPr>
        <w:spacing w:after="180"/>
      </w:pPr>
      <w:r>
        <w:t>PRISMA-2</w:t>
      </w:r>
      <w:r w:rsidRPr="00B1619E">
        <w:t xml:space="preserve"> </w:t>
      </w:r>
      <w:r>
        <w:t>uses a variety of tools to collect data and measure impact, including</w:t>
      </w:r>
      <w:r w:rsidRPr="00B1619E">
        <w:t xml:space="preserve"> statistically-designed, periodic intervention baseline studies and impact assessments to determine the number of households with net </w:t>
      </w:r>
      <w:r>
        <w:t>attributable additional income.</w:t>
      </w:r>
      <w:r w:rsidRPr="00B1619E">
        <w:t xml:space="preserve"> This gives robus</w:t>
      </w:r>
      <w:r>
        <w:t>t and verifiable outreach data.</w:t>
      </w:r>
      <w:r w:rsidRPr="00B1619E">
        <w:t xml:space="preserve"> Agricultural seasons mean measured outreach and income change is higher in t</w:t>
      </w:r>
      <w:r>
        <w:t>he second semester of the year.</w:t>
      </w:r>
      <w:r w:rsidRPr="00B1619E">
        <w:t xml:space="preserve"> In additi</w:t>
      </w:r>
      <w:r>
        <w:t>on, longitudinal income studies and case studies will continue to be</w:t>
      </w:r>
      <w:r w:rsidRPr="00B1619E">
        <w:t xml:space="preserve"> used to track income allocation by smallholder households in selected sub</w:t>
      </w:r>
      <w:r>
        <w:t>-</w:t>
      </w:r>
      <w:r w:rsidRPr="00B1619E">
        <w:t>sectors.</w:t>
      </w:r>
    </w:p>
    <w:p w14:paraId="5F165ECD" w14:textId="437D0304" w:rsidR="009375F9" w:rsidRDefault="009375F9" w:rsidP="0031388C">
      <w:r>
        <w:t xml:space="preserve">To monitor </w:t>
      </w:r>
      <w:r w:rsidR="00204F72">
        <w:t>social</w:t>
      </w:r>
      <w:r>
        <w:t xml:space="preserve"> inclusion, the MRM system will continue to disaggregate outreach and income change data by geography (province), sex (women and men) and household income level (above and below USD2.50 PPP). </w:t>
      </w:r>
      <w:r w:rsidR="00177A43">
        <w:t>The Program also uses Focus Group Discussions to generate qualitative data.</w:t>
      </w:r>
    </w:p>
    <w:p w14:paraId="3B25B937" w14:textId="71124EB1" w:rsidR="003B27BF" w:rsidRDefault="00177A43" w:rsidP="0042541B">
      <w:pPr>
        <w:spacing w:after="180"/>
      </w:pPr>
      <w:r>
        <w:t xml:space="preserve">The Contractor is encouraged to </w:t>
      </w:r>
      <w:r w:rsidR="00204F72">
        <w:t>explore opportunities</w:t>
      </w:r>
      <w:r w:rsidR="003B27BF" w:rsidRPr="00B1619E">
        <w:t xml:space="preserve"> to</w:t>
      </w:r>
      <w:r w:rsidR="00245AFD">
        <w:t xml:space="preserve"> </w:t>
      </w:r>
      <w:r>
        <w:t>adopt other measurement and data disaggregation to better inform management, refine facilitation with partners and ISP,</w:t>
      </w:r>
      <w:r w:rsidRPr="00447ED8">
        <w:t xml:space="preserve"> </w:t>
      </w:r>
      <w:proofErr w:type="gramStart"/>
      <w:r>
        <w:t>align</w:t>
      </w:r>
      <w:proofErr w:type="gramEnd"/>
      <w:r>
        <w:t xml:space="preserve"> with indicators used for the DFAT Indonesia PAF and DFAT Aggregated Development Results, and</w:t>
      </w:r>
      <w:r w:rsidRPr="00447ED8">
        <w:t xml:space="preserve"> </w:t>
      </w:r>
      <w:r>
        <w:t xml:space="preserve">better influence policy. </w:t>
      </w:r>
      <w:r w:rsidR="00245AFD">
        <w:t xml:space="preserve">For example, </w:t>
      </w:r>
      <w:r>
        <w:t xml:space="preserve">developing </w:t>
      </w:r>
      <w:r w:rsidR="004C6AF9">
        <w:t xml:space="preserve">new </w:t>
      </w:r>
      <w:r>
        <w:t xml:space="preserve">indicators to better track policy support work or </w:t>
      </w:r>
      <w:r w:rsidR="003B27BF" w:rsidRPr="00B1619E">
        <w:t>includ</w:t>
      </w:r>
      <w:r w:rsidR="00245AFD">
        <w:t>ing</w:t>
      </w:r>
      <w:r w:rsidR="003B27BF" w:rsidRPr="00B1619E">
        <w:t xml:space="preserve"> </w:t>
      </w:r>
      <w:r w:rsidR="00204F72">
        <w:t>more</w:t>
      </w:r>
      <w:r w:rsidR="003B27BF" w:rsidRPr="00B1619E">
        <w:t xml:space="preserve"> qualitative </w:t>
      </w:r>
      <w:r w:rsidR="003B27BF" w:rsidRPr="00B1619E">
        <w:lastRenderedPageBreak/>
        <w:t>indicators in the MRM system</w:t>
      </w:r>
      <w:r w:rsidR="00245AFD">
        <w:t xml:space="preserve"> such as</w:t>
      </w:r>
      <w:r w:rsidR="003B27BF" w:rsidRPr="00B1619E">
        <w:t xml:space="preserve"> time savings for </w:t>
      </w:r>
      <w:proofErr w:type="gramStart"/>
      <w:r w:rsidR="003B27BF" w:rsidRPr="00B1619E">
        <w:t>farmers (</w:t>
      </w:r>
      <w:r>
        <w:t>which is</w:t>
      </w:r>
      <w:proofErr w:type="gramEnd"/>
      <w:r>
        <w:t xml:space="preserve"> an </w:t>
      </w:r>
      <w:r w:rsidR="003B27BF" w:rsidRPr="00B1619E">
        <w:t>unexpected benefit</w:t>
      </w:r>
      <w:r>
        <w:t xml:space="preserve"> for women</w:t>
      </w:r>
      <w:r w:rsidR="003B27BF" w:rsidRPr="00B1619E">
        <w:t xml:space="preserve"> from pig and beef interventions)</w:t>
      </w:r>
      <w:r w:rsidR="0042541B">
        <w:t>.</w:t>
      </w:r>
      <w:r w:rsidR="003B27BF" w:rsidRPr="00B1619E">
        <w:t xml:space="preserve"> </w:t>
      </w:r>
      <w:r w:rsidR="003B27BF">
        <w:t>If this is measured consistently across interventions it could be monetised where appropriate for inclusion in assessment of</w:t>
      </w:r>
      <w:r w:rsidR="0042541B">
        <w:t xml:space="preserve"> net attributable income change,</w:t>
      </w:r>
      <w:r w:rsidR="003B27BF">
        <w:t xml:space="preserve"> identify other uses of time by </w:t>
      </w:r>
      <w:r w:rsidR="0042541B">
        <w:t>specific members of a household,</w:t>
      </w:r>
      <w:r w:rsidR="003B27BF">
        <w:t xml:space="preserve"> and highlight where an intervention imposes additional time burdens on s</w:t>
      </w:r>
      <w:r w:rsidR="0042541B">
        <w:t>pecific members of a household.</w:t>
      </w:r>
      <w:r w:rsidR="00245AFD">
        <w:t xml:space="preserve"> There may also be opportunity to monitor the indirect impact from the income increases generated by PRISMA-2 on other outcomes, such as nutrition, education, or health.</w:t>
      </w:r>
      <w:r w:rsidR="003B27BF">
        <w:t xml:space="preserve"> Such monitoring information is useful for gender analysis</w:t>
      </w:r>
      <w:r w:rsidR="0042541B">
        <w:t xml:space="preserve"> and informs portfolio reviews.</w:t>
      </w:r>
      <w:r w:rsidR="003B27BF">
        <w:t xml:space="preserve"> </w:t>
      </w:r>
      <w:r w:rsidR="003B27BF" w:rsidRPr="00B1619E">
        <w:t>More reporting of leading indicators already measured (e.g. access and use) and sex-disaggregated data (e.g. use and income</w:t>
      </w:r>
      <w:r w:rsidR="008B0BC5">
        <w:t xml:space="preserve"> change) would also add value.</w:t>
      </w:r>
    </w:p>
    <w:p w14:paraId="75B46745" w14:textId="5D59A0BE" w:rsidR="00C97D1A" w:rsidRPr="00B1619E" w:rsidRDefault="00C97D1A" w:rsidP="0042541B">
      <w:pPr>
        <w:spacing w:after="180"/>
      </w:pPr>
      <w:r w:rsidRPr="00B1619E">
        <w:t xml:space="preserve">DCED auditors will continue to be periodically engaged to conduct independent audits of the </w:t>
      </w:r>
      <w:r>
        <w:t>PRISMA-2 results measurement system.</w:t>
      </w:r>
      <w:r w:rsidRPr="00B1619E">
        <w:t xml:space="preserve"> The audits will be used to verify that results measurement documentation and processes </w:t>
      </w:r>
      <w:r>
        <w:t xml:space="preserve">are </w:t>
      </w:r>
      <w:r w:rsidRPr="00B1619E">
        <w:t>generat</w:t>
      </w:r>
      <w:r>
        <w:t>ing</w:t>
      </w:r>
      <w:r w:rsidRPr="00B1619E">
        <w:t xml:space="preserve"> credible information using mandatory and recommended control point</w:t>
      </w:r>
      <w:r>
        <w:t>s set out in the DCED Standard.</w:t>
      </w:r>
      <w:r w:rsidRPr="00B1619E">
        <w:t xml:space="preserve"> This also allows </w:t>
      </w:r>
      <w:r>
        <w:t>PRISMA-2</w:t>
      </w:r>
      <w:r w:rsidRPr="00B1619E">
        <w:t xml:space="preserve"> to be benchmarked against international peers.</w:t>
      </w:r>
    </w:p>
    <w:p w14:paraId="39E11BF2" w14:textId="5D7679DE" w:rsidR="001A54E1" w:rsidRPr="00265CF6" w:rsidRDefault="001A54E1" w:rsidP="001A54E1">
      <w:pPr>
        <w:spacing w:after="0"/>
      </w:pPr>
      <w:r w:rsidRPr="00265CF6">
        <w:t>Evaluative studies will be used by PRISMA-2 to explore why change is happening, and if change is not happening as expected</w:t>
      </w:r>
      <w:r w:rsidR="00265CF6">
        <w:t>,</w:t>
      </w:r>
      <w:r w:rsidR="0042541B">
        <w:t xml:space="preserve"> to explore why not.</w:t>
      </w:r>
      <w:r w:rsidRPr="00265CF6">
        <w:t xml:space="preserve"> Each study will be designed to learn lessons </w:t>
      </w:r>
      <w:r w:rsidR="0086102C" w:rsidRPr="00265CF6">
        <w:t>and</w:t>
      </w:r>
      <w:r w:rsidRPr="00265CF6">
        <w:t xml:space="preserve"> support specific management decisions or understand why p</w:t>
      </w:r>
      <w:r w:rsidR="0042541B">
        <w:t>articular results are emerging.</w:t>
      </w:r>
      <w:r w:rsidRPr="00265CF6">
        <w:t xml:space="preserve"> Key evaluation questions to guide annual performance analysis and reporting will include:</w:t>
      </w:r>
    </w:p>
    <w:p w14:paraId="0BF9EAE2" w14:textId="3EE2152C" w:rsidR="001A54E1" w:rsidRPr="00265CF6" w:rsidRDefault="001A54E1" w:rsidP="00204F72">
      <w:pPr>
        <w:pStyle w:val="ListParagraph"/>
        <w:numPr>
          <w:ilvl w:val="0"/>
          <w:numId w:val="64"/>
        </w:numPr>
        <w:spacing w:after="0"/>
      </w:pPr>
      <w:r w:rsidRPr="00265CF6">
        <w:t>To what extent do the political and policy contexts in Australia and Indonesia support the strategic intent and approach of PRISMA 2?</w:t>
      </w:r>
    </w:p>
    <w:p w14:paraId="0DB49D06" w14:textId="77777777" w:rsidR="001A54E1" w:rsidRPr="00265CF6" w:rsidRDefault="001A54E1" w:rsidP="00204F72">
      <w:pPr>
        <w:pStyle w:val="ListParagraph"/>
        <w:numPr>
          <w:ilvl w:val="0"/>
          <w:numId w:val="64"/>
        </w:numPr>
        <w:spacing w:after="0"/>
      </w:pPr>
      <w:r w:rsidRPr="00265CF6">
        <w:t>Is adequate progress being made towards end-of-program targets? If so, why?  If not, why not?</w:t>
      </w:r>
    </w:p>
    <w:p w14:paraId="64F89624" w14:textId="77777777" w:rsidR="001A54E1" w:rsidRPr="00265CF6" w:rsidRDefault="001A54E1" w:rsidP="00204F72">
      <w:pPr>
        <w:pStyle w:val="ListParagraph"/>
        <w:numPr>
          <w:ilvl w:val="0"/>
          <w:numId w:val="64"/>
        </w:numPr>
        <w:spacing w:after="0"/>
      </w:pPr>
      <w:r w:rsidRPr="00265CF6">
        <w:t>What is the trend in value for money indicators across the population of interventions making up the PRISMA 2 portfolio?</w:t>
      </w:r>
    </w:p>
    <w:p w14:paraId="2FA4CE4D" w14:textId="77777777" w:rsidR="001A54E1" w:rsidRPr="00265CF6" w:rsidRDefault="001A54E1" w:rsidP="00204F72">
      <w:pPr>
        <w:pStyle w:val="ListParagraph"/>
        <w:numPr>
          <w:ilvl w:val="0"/>
          <w:numId w:val="64"/>
        </w:numPr>
        <w:spacing w:after="0"/>
      </w:pPr>
      <w:r w:rsidRPr="00265CF6">
        <w:t>What is the trend in key performance indicators across the population of interventions making up the PRISMA 2 portfolio?</w:t>
      </w:r>
    </w:p>
    <w:p w14:paraId="608B370A" w14:textId="77777777" w:rsidR="001A54E1" w:rsidRPr="00265CF6" w:rsidRDefault="001A54E1" w:rsidP="00204F72">
      <w:pPr>
        <w:pStyle w:val="ListParagraph"/>
        <w:numPr>
          <w:ilvl w:val="0"/>
          <w:numId w:val="64"/>
        </w:numPr>
        <w:spacing w:after="0"/>
      </w:pPr>
      <w:r w:rsidRPr="00265CF6">
        <w:t>Are human and financial resources cost-effectively allocated across the population of interventions making up the PRISMA 2 portfolio?</w:t>
      </w:r>
    </w:p>
    <w:p w14:paraId="57CB5705" w14:textId="77777777" w:rsidR="001A54E1" w:rsidRDefault="001A54E1" w:rsidP="00204F72">
      <w:pPr>
        <w:pStyle w:val="ListParagraph"/>
        <w:numPr>
          <w:ilvl w:val="0"/>
          <w:numId w:val="64"/>
        </w:numPr>
        <w:spacing w:after="0"/>
      </w:pPr>
      <w:r w:rsidRPr="00265CF6">
        <w:t>What key drivers in the evolving context of eastern Indonesian agribusiness enable the program’s approach to work, or constrain its effectiveness?</w:t>
      </w:r>
    </w:p>
    <w:p w14:paraId="00BFBC8C" w14:textId="63344D09" w:rsidR="004D78C5" w:rsidRPr="00265CF6" w:rsidRDefault="004D78C5" w:rsidP="00204F72">
      <w:pPr>
        <w:pStyle w:val="ListParagraph"/>
        <w:numPr>
          <w:ilvl w:val="0"/>
          <w:numId w:val="64"/>
        </w:numPr>
        <w:spacing w:after="0"/>
      </w:pPr>
      <w:r>
        <w:t>What is PRISMA-2’s impact on women’s economic empowerment?</w:t>
      </w:r>
    </w:p>
    <w:p w14:paraId="7FE22BAE" w14:textId="77777777" w:rsidR="001A54E1" w:rsidRDefault="001A54E1" w:rsidP="00A223C8">
      <w:pPr>
        <w:spacing w:after="0"/>
        <w:rPr>
          <w:sz w:val="20"/>
        </w:rPr>
      </w:pPr>
    </w:p>
    <w:p w14:paraId="687C4F06" w14:textId="1F949E58" w:rsidR="004D78C5" w:rsidRDefault="004D78C5" w:rsidP="00A223C8">
      <w:pPr>
        <w:spacing w:after="0"/>
        <w:rPr>
          <w:sz w:val="20"/>
        </w:rPr>
      </w:pPr>
      <w:r>
        <w:t xml:space="preserve">In accordance with DFAT standards, a mid-term review is expected to be </w:t>
      </w:r>
      <w:r w:rsidR="00204F72">
        <w:t>commissioned for PRIS</w:t>
      </w:r>
      <w:r>
        <w:t xml:space="preserve">MA-2 in 2021. This provides an opportunity for independent review of the above questions, and examination of any management, operational or implementation issues to ensure the </w:t>
      </w:r>
      <w:r w:rsidR="00142216">
        <w:t>P</w:t>
      </w:r>
      <w:r>
        <w:t>rogram remains on track. Should outreach be insufficient, the mid-term review can also analyse opportunities for additional outreach, such as geographic expansion.</w:t>
      </w:r>
    </w:p>
    <w:p w14:paraId="03F08395" w14:textId="77777777" w:rsidR="004D78C5" w:rsidRPr="003B27BF" w:rsidRDefault="004D78C5" w:rsidP="00A223C8">
      <w:pPr>
        <w:spacing w:after="0"/>
        <w:rPr>
          <w:sz w:val="20"/>
        </w:rPr>
      </w:pPr>
    </w:p>
    <w:p w14:paraId="1BAE51CB" w14:textId="6862DD1C" w:rsidR="0093732E" w:rsidRPr="00786EC9" w:rsidRDefault="004A49AC" w:rsidP="00274C18">
      <w:pPr>
        <w:pStyle w:val="Heading3"/>
      </w:pPr>
      <w:bookmarkStart w:id="28" w:name="_Toc499298857"/>
      <w:r w:rsidRPr="00786EC9">
        <w:t>Gend</w:t>
      </w:r>
      <w:r w:rsidR="00DF04CF" w:rsidRPr="00786EC9">
        <w:t xml:space="preserve">er Equality </w:t>
      </w:r>
      <w:r w:rsidR="00C16824" w:rsidRPr="00786EC9">
        <w:t>&amp; Women’s Economic Empowerment</w:t>
      </w:r>
      <w:bookmarkEnd w:id="28"/>
    </w:p>
    <w:p w14:paraId="31F9AF7D" w14:textId="05AA86CF" w:rsidR="002738CB" w:rsidRDefault="002738CB" w:rsidP="00265CF6">
      <w:pPr>
        <w:spacing w:before="240"/>
        <w:jc w:val="both"/>
      </w:pPr>
      <w:r w:rsidRPr="00752162">
        <w:t xml:space="preserve">In February 2016, the Australian government published </w:t>
      </w:r>
      <w:proofErr w:type="gramStart"/>
      <w:r w:rsidRPr="00752162">
        <w:t>a new</w:t>
      </w:r>
      <w:proofErr w:type="gramEnd"/>
      <w:r w:rsidRPr="00752162">
        <w:t xml:space="preserve"> gender equality and women’s empowerment strategy that identifies </w:t>
      </w:r>
      <w:r w:rsidRPr="009D46B1">
        <w:t xml:space="preserve">women’s </w:t>
      </w:r>
      <w:r w:rsidRPr="00714439">
        <w:t>economic</w:t>
      </w:r>
      <w:r w:rsidRPr="009D46B1">
        <w:rPr>
          <w:i/>
        </w:rPr>
        <w:t xml:space="preserve"> </w:t>
      </w:r>
      <w:r w:rsidRPr="009D46B1">
        <w:t>empowerment as</w:t>
      </w:r>
      <w:r w:rsidRPr="00752162">
        <w:t xml:space="preserve"> one of its three </w:t>
      </w:r>
      <w:r>
        <w:t xml:space="preserve">top </w:t>
      </w:r>
      <w:r w:rsidRPr="00752162">
        <w:t>priorities. The strategy states that Australia</w:t>
      </w:r>
      <w:r>
        <w:t>n</w:t>
      </w:r>
      <w:r w:rsidRPr="00752162">
        <w:t xml:space="preserve"> aid programs will “integrate gender equality in our aid for trade, economic diplo</w:t>
      </w:r>
      <w:r>
        <w:t>macy and trade efforts, recognis</w:t>
      </w:r>
      <w:r w:rsidRPr="00752162">
        <w:t>ing that women’s economic empowerment is a driver of economic growth and prosperity.”</w:t>
      </w:r>
      <w:r w:rsidRPr="00752162">
        <w:rPr>
          <w:rStyle w:val="FootnoteReference"/>
        </w:rPr>
        <w:footnoteReference w:id="57"/>
      </w:r>
      <w:r w:rsidRPr="00752162">
        <w:t xml:space="preserve"> </w:t>
      </w:r>
      <w:r w:rsidR="009500CF">
        <w:t xml:space="preserve">The strategy is also informed by DFAT’s operational </w:t>
      </w:r>
      <w:r w:rsidR="009500CF" w:rsidRPr="0086460B">
        <w:t xml:space="preserve">guidance </w:t>
      </w:r>
      <w:r w:rsidR="009500CF">
        <w:t xml:space="preserve">note </w:t>
      </w:r>
      <w:r w:rsidR="009500CF" w:rsidRPr="0086460B">
        <w:t xml:space="preserve">on women’s economic </w:t>
      </w:r>
      <w:r w:rsidR="009500CF" w:rsidRPr="0086460B">
        <w:lastRenderedPageBreak/>
        <w:t>empowerment in agriculture.</w:t>
      </w:r>
      <w:r w:rsidR="009500CF" w:rsidRPr="0086460B">
        <w:rPr>
          <w:rStyle w:val="FootnoteReference"/>
          <w:rFonts w:ascii="FranklinGothicBook" w:hAnsi="FranklinGothicBook" w:cs="FranklinGothicBook"/>
          <w:sz w:val="20"/>
          <w:szCs w:val="20"/>
        </w:rPr>
        <w:footnoteReference w:id="58"/>
      </w:r>
      <w:r w:rsidR="00265CF6">
        <w:t xml:space="preserve"> </w:t>
      </w:r>
      <w:r>
        <w:t>The</w:t>
      </w:r>
      <w:r w:rsidR="009500CF">
        <w:t xml:space="preserve"> five dimensions of </w:t>
      </w:r>
      <w:r w:rsidR="009500CF" w:rsidRPr="0086460B">
        <w:t xml:space="preserve">women’s </w:t>
      </w:r>
      <w:r w:rsidR="009500CF">
        <w:t xml:space="preserve">economic </w:t>
      </w:r>
      <w:r w:rsidR="009500CF" w:rsidRPr="0086460B">
        <w:t>empowerment</w:t>
      </w:r>
      <w:r w:rsidR="009500CF">
        <w:t xml:space="preserve"> (</w:t>
      </w:r>
      <w:r>
        <w:t>WEE</w:t>
      </w:r>
      <w:r w:rsidR="009500CF">
        <w:t>)</w:t>
      </w:r>
      <w:r w:rsidR="00894774">
        <w:rPr>
          <w:rStyle w:val="FootnoteReference"/>
        </w:rPr>
        <w:footnoteReference w:id="59"/>
      </w:r>
      <w:r>
        <w:t xml:space="preserve"> have been applied and advanced globally by many private sector development projects including:</w:t>
      </w:r>
      <w:r w:rsidR="00D2176E">
        <w:t xml:space="preserve"> AIP-Rural</w:t>
      </w:r>
      <w:r w:rsidR="009500CF" w:rsidRPr="00991BB3">
        <w:t xml:space="preserve"> in Indonesia, </w:t>
      </w:r>
      <w:r w:rsidRPr="00991BB3">
        <w:t>the Market Development Facility in Fiji, Timor-Leste, Pakistan, Sri Lanka and Papua New Guinea</w:t>
      </w:r>
      <w:r>
        <w:t xml:space="preserve"> (DFAT)</w:t>
      </w:r>
      <w:r w:rsidRPr="00991BB3">
        <w:t xml:space="preserve">, </w:t>
      </w:r>
      <w:proofErr w:type="spellStart"/>
      <w:r w:rsidRPr="00991BB3">
        <w:t>Katalyst</w:t>
      </w:r>
      <w:proofErr w:type="spellEnd"/>
      <w:r w:rsidRPr="00991BB3">
        <w:t xml:space="preserve"> and M4C in Bangladesh</w:t>
      </w:r>
      <w:r>
        <w:t xml:space="preserve"> (DFID and SDC)</w:t>
      </w:r>
      <w:r w:rsidRPr="00991BB3">
        <w:t>, ALCP in Georgia</w:t>
      </w:r>
      <w:r>
        <w:t xml:space="preserve"> (SDC)</w:t>
      </w:r>
      <w:r w:rsidRPr="00991BB3">
        <w:t>, Arab Women’s Enterprise Fund in Egypt, Jordan and Palestine</w:t>
      </w:r>
      <w:r>
        <w:t xml:space="preserve"> (DFID)</w:t>
      </w:r>
      <w:r w:rsidRPr="00991BB3">
        <w:t>, Kenya Market Trust and Financial Sector Deepening Zambia</w:t>
      </w:r>
      <w:r w:rsidR="0086102C">
        <w:t xml:space="preserve"> (DFID/Gatsby Trust).</w:t>
      </w:r>
    </w:p>
    <w:p w14:paraId="3EEB45EF" w14:textId="5900C3CE" w:rsidR="00442E5E" w:rsidRDefault="00DB372C" w:rsidP="00442E5E">
      <w:pPr>
        <w:pStyle w:val="BodyText"/>
      </w:pPr>
      <w:r>
        <w:t>PRISMA-2</w:t>
      </w:r>
      <w:r w:rsidR="00894774">
        <w:t>’s</w:t>
      </w:r>
      <w:r>
        <w:t xml:space="preserve"> g</w:t>
      </w:r>
      <w:r w:rsidR="00DF04CF" w:rsidRPr="00DF04CF">
        <w:t>ender equality</w:t>
      </w:r>
      <w:r w:rsidR="00DF04CF">
        <w:t xml:space="preserve"> and women’s economic empowerment efforts will build on and expand the gender strategies developed and implemented in AIP-Rural</w:t>
      </w:r>
      <w:r w:rsidR="00874DE6">
        <w:t>.</w:t>
      </w:r>
      <w:r w:rsidR="00442E5E">
        <w:t xml:space="preserve"> PRISMA-2 will continue to articulate WEE in results chains, attribution, systemic change throughout the design and implementation of each intervention. The Program will encourage flexible application of the WEE framework, including the dimension of women’s role as market actors, service providers, business leaders, or their unique role in the community. Portfolio development will ensure an effective and practical integration of women by adopting a Twin-Track approach, where gender equality and WEE will be mainstreamed across the board</w:t>
      </w:r>
      <w:r w:rsidR="00204F72">
        <w:t>,</w:t>
      </w:r>
      <w:r w:rsidR="00442E5E">
        <w:t xml:space="preserve"> and at the same time </w:t>
      </w:r>
      <w:r w:rsidR="00204F72">
        <w:t xml:space="preserve">develop </w:t>
      </w:r>
      <w:r w:rsidR="00442E5E">
        <w:t>targeted</w:t>
      </w:r>
      <w:r w:rsidR="00204F72">
        <w:t xml:space="preserve"> interventions</w:t>
      </w:r>
      <w:r w:rsidR="00442E5E">
        <w:t xml:space="preserve"> to address the specific needs of women in a particular agricultural commodity.</w:t>
      </w:r>
    </w:p>
    <w:p w14:paraId="62E6BEA9" w14:textId="6FFE1419" w:rsidR="00442E5E" w:rsidRDefault="00442E5E" w:rsidP="00442E5E">
      <w:pPr>
        <w:pStyle w:val="BodyText"/>
      </w:pPr>
      <w:r>
        <w:t>Impact measurement will be expanded to reflect a greater emphasis on WEE. PRISMA-2 will embed several explicit WEE indicators, namely the increase in female beneficiary income, time-saving and participation in decision-making</w:t>
      </w:r>
      <w:r w:rsidR="00204F72">
        <w:t>. Proposed methods will include:</w:t>
      </w:r>
      <w:r>
        <w:t xml:space="preserve"> the use of gender analysis tools for developing interventions; capturing and reporting on the number of female beneficiaries and female-headed households impacted by the program (income, time-saving and decision-making); purposeful selection of female-orientated commodities/sectors for investment (e.g. pigs, coffee, peanuts); linking the private sector to female farmers; supporting the private sector to consider gender as part of market analysis; and the inclusion of gender and social inclusion expertise and gender focal points within the core program team. </w:t>
      </w:r>
      <w:r w:rsidR="00A919A0">
        <w:t>I</w:t>
      </w:r>
      <w:r>
        <w:t xml:space="preserve">mpact assessments will </w:t>
      </w:r>
      <w:r w:rsidR="00A919A0">
        <w:t>include</w:t>
      </w:r>
      <w:r>
        <w:t xml:space="preserve"> both quantitative and qualitative data.</w:t>
      </w:r>
    </w:p>
    <w:p w14:paraId="492D3542" w14:textId="24FEAE57" w:rsidR="00442E5E" w:rsidRDefault="00A919A0" w:rsidP="00442E5E">
      <w:pPr>
        <w:pStyle w:val="BodyText"/>
      </w:pPr>
      <w:r>
        <w:t xml:space="preserve">In addition, </w:t>
      </w:r>
      <w:r w:rsidR="00442E5E">
        <w:t xml:space="preserve">PRISMA-2 will upgrade documentation and toolkits to ensure WEE is mainstreamed across all programming and measured through the inclusion of a set of WEE indicators for the program (see </w:t>
      </w:r>
      <w:r w:rsidR="00442E5E" w:rsidRPr="00CD41EF">
        <w:t xml:space="preserve">Annex </w:t>
      </w:r>
      <w:r w:rsidR="00442E5E">
        <w:t>10). An example of how gender and women’s economic empowerment has been integrat</w:t>
      </w:r>
      <w:r>
        <w:t>ed is illustrated in Box 7</w:t>
      </w:r>
      <w:r w:rsidR="00442E5E">
        <w:t>.</w:t>
      </w:r>
    </w:p>
    <w:p w14:paraId="19F17F48" w14:textId="48A27975" w:rsidR="00D2176E" w:rsidRPr="000F4DCD" w:rsidRDefault="00D2176E" w:rsidP="00D2176E">
      <w:pPr>
        <w:pStyle w:val="Heading3"/>
      </w:pPr>
      <w:bookmarkStart w:id="29" w:name="_Toc499298858"/>
      <w:r w:rsidRPr="000F4DCD">
        <w:t>Inclusiveness</w:t>
      </w:r>
      <w:bookmarkEnd w:id="29"/>
    </w:p>
    <w:p w14:paraId="6B9183D9" w14:textId="66483AE1" w:rsidR="00D2176E" w:rsidRDefault="00D2176E" w:rsidP="00D2176E">
      <w:r w:rsidRPr="00B1619E">
        <w:t xml:space="preserve">For </w:t>
      </w:r>
      <w:r>
        <w:t>PRISMA-2</w:t>
      </w:r>
      <w:r w:rsidRPr="00B1619E">
        <w:t xml:space="preserve"> to achieve its outcomes, benefits within rural communities need to </w:t>
      </w:r>
      <w:r>
        <w:t xml:space="preserve">also </w:t>
      </w:r>
      <w:r w:rsidRPr="00B1619E">
        <w:t xml:space="preserve">reach those who are marginalised including the poorest of the poor, people with disabilities and indigenous peoples. </w:t>
      </w:r>
      <w:r>
        <w:t>PRISMA-2</w:t>
      </w:r>
      <w:r w:rsidRPr="00B1619E">
        <w:t xml:space="preserve"> will impact the net income of 700,000 smallholder farm</w:t>
      </w:r>
      <w:r>
        <w:t>ing</w:t>
      </w:r>
      <w:r w:rsidRPr="00B1619E">
        <w:t xml:space="preserve"> households, 60% of which are poor or near poor.</w:t>
      </w:r>
      <w:r>
        <w:t xml:space="preserve"> </w:t>
      </w:r>
      <w:r w:rsidRPr="00B1619E">
        <w:t>This will include smallholder farm owners and landless farm</w:t>
      </w:r>
      <w:r>
        <w:t>ing households</w:t>
      </w:r>
      <w:r w:rsidRPr="00B1619E">
        <w:t xml:space="preserve"> in the target program provinces. </w:t>
      </w:r>
      <w:r>
        <w:t>To monitor progress towards inclusion, the MRM system will continue to disaggregate outreach and income change data by geography (province), sex (women and men) and household income level (above and below USD2.50 PPP).  Other data disaggregation may be adopted by the team to inform management, refine facilitation with partners and ISP, and better influence influencers.</w:t>
      </w:r>
    </w:p>
    <w:p w14:paraId="6661BE28" w14:textId="77777777" w:rsidR="004C6AF9" w:rsidRDefault="004C6AF9" w:rsidP="00D2176E"/>
    <w:p w14:paraId="5CCAD153" w14:textId="23F735BB" w:rsidR="00D2176E" w:rsidRDefault="004C6AF9" w:rsidP="00D2176E">
      <w:r w:rsidRPr="00D64735">
        <w:rPr>
          <w:rFonts w:cs="Arial"/>
          <w:b/>
          <w:noProof/>
          <w:lang w:eastAsia="en-AU"/>
        </w:rPr>
        <w:lastRenderedPageBreak/>
        <mc:AlternateContent>
          <mc:Choice Requires="wps">
            <w:drawing>
              <wp:anchor distT="45720" distB="45720" distL="114300" distR="114300" simplePos="0" relativeHeight="251659776" behindDoc="0" locked="0" layoutInCell="1" allowOverlap="1" wp14:anchorId="6B7E7E4A" wp14:editId="314295C9">
                <wp:simplePos x="0" y="0"/>
                <wp:positionH relativeFrom="margin">
                  <wp:posOffset>-24765</wp:posOffset>
                </wp:positionH>
                <wp:positionV relativeFrom="paragraph">
                  <wp:posOffset>-465455</wp:posOffset>
                </wp:positionV>
                <wp:extent cx="6064250" cy="7545070"/>
                <wp:effectExtent l="0" t="0" r="12700" b="1778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7545070"/>
                        </a:xfrm>
                        <a:prstGeom prst="rect">
                          <a:avLst/>
                        </a:prstGeom>
                        <a:solidFill>
                          <a:srgbClr val="4472C4">
                            <a:lumMod val="40000"/>
                            <a:lumOff val="60000"/>
                          </a:srgbClr>
                        </a:solidFill>
                        <a:ln w="9525">
                          <a:solidFill>
                            <a:srgbClr val="000000"/>
                          </a:solidFill>
                          <a:miter lim="800000"/>
                          <a:headEnd/>
                          <a:tailEnd/>
                        </a:ln>
                      </wps:spPr>
                      <wps:txbx>
                        <w:txbxContent>
                          <w:p w14:paraId="2FF7EF85" w14:textId="0CDAA683" w:rsidR="00243660" w:rsidRDefault="00243660" w:rsidP="00D64735">
                            <w:r>
                              <w:rPr>
                                <w:rFonts w:cs="Arial"/>
                                <w:b/>
                              </w:rPr>
                              <w:t>Box 7</w:t>
                            </w:r>
                            <w:r w:rsidRPr="00D1669B">
                              <w:rPr>
                                <w:rFonts w:cs="Arial"/>
                                <w:b/>
                              </w:rPr>
                              <w:t xml:space="preserve">. </w:t>
                            </w:r>
                            <w:r>
                              <w:rPr>
                                <w:rFonts w:cs="Arial"/>
                                <w:b/>
                              </w:rPr>
                              <w:t>Integrating Gender and Women’s Economic Empowerment in AIP-Rural</w:t>
                            </w:r>
                          </w:p>
                          <w:p w14:paraId="42EE61B6" w14:textId="6B50D140" w:rsidR="00243660" w:rsidRPr="00874DE6" w:rsidRDefault="00243660" w:rsidP="00D64735">
                            <w:pPr>
                              <w:jc w:val="both"/>
                              <w:rPr>
                                <w:sz w:val="18"/>
                                <w:szCs w:val="18"/>
                              </w:rPr>
                            </w:pPr>
                            <w:r w:rsidRPr="00874DE6">
                              <w:rPr>
                                <w:sz w:val="18"/>
                                <w:szCs w:val="18"/>
                              </w:rPr>
                              <w:t>Since its inception, AIP-Rural has placed a strong emphasis on positively impacting women in agricultur</w:t>
                            </w:r>
                            <w:r>
                              <w:rPr>
                                <w:sz w:val="18"/>
                                <w:szCs w:val="18"/>
                              </w:rPr>
                              <w:t>e</w:t>
                            </w:r>
                            <w:r w:rsidRPr="00874DE6">
                              <w:rPr>
                                <w:sz w:val="18"/>
                                <w:szCs w:val="18"/>
                              </w:rPr>
                              <w:t xml:space="preserve">. All four of its projects </w:t>
                            </w:r>
                            <w:r>
                              <w:rPr>
                                <w:sz w:val="18"/>
                                <w:szCs w:val="18"/>
                              </w:rPr>
                              <w:t>use</w:t>
                            </w:r>
                            <w:r w:rsidRPr="00874DE6">
                              <w:rPr>
                                <w:sz w:val="18"/>
                                <w:szCs w:val="18"/>
                              </w:rPr>
                              <w:t xml:space="preserve"> tailor made gender strategies and operational guidelines that are consistent with </w:t>
                            </w:r>
                            <w:r>
                              <w:rPr>
                                <w:sz w:val="18"/>
                                <w:szCs w:val="18"/>
                              </w:rPr>
                              <w:t>Australian Government</w:t>
                            </w:r>
                            <w:r w:rsidRPr="00874DE6">
                              <w:rPr>
                                <w:sz w:val="18"/>
                                <w:szCs w:val="18"/>
                              </w:rPr>
                              <w:t xml:space="preserve"> policies </w:t>
                            </w:r>
                            <w:r>
                              <w:rPr>
                                <w:sz w:val="18"/>
                                <w:szCs w:val="18"/>
                              </w:rPr>
                              <w:t>and</w:t>
                            </w:r>
                            <w:r w:rsidRPr="00874DE6">
                              <w:rPr>
                                <w:sz w:val="18"/>
                                <w:szCs w:val="18"/>
                              </w:rPr>
                              <w:t xml:space="preserve"> </w:t>
                            </w:r>
                            <w:r>
                              <w:rPr>
                                <w:sz w:val="18"/>
                                <w:szCs w:val="18"/>
                              </w:rPr>
                              <w:t xml:space="preserve">a </w:t>
                            </w:r>
                            <w:r w:rsidRPr="00874DE6">
                              <w:rPr>
                                <w:sz w:val="18"/>
                                <w:szCs w:val="18"/>
                              </w:rPr>
                              <w:t>market development</w:t>
                            </w:r>
                            <w:r>
                              <w:rPr>
                                <w:sz w:val="18"/>
                                <w:szCs w:val="18"/>
                              </w:rPr>
                              <w:t xml:space="preserve"> approach</w:t>
                            </w:r>
                            <w:r w:rsidRPr="00874DE6">
                              <w:rPr>
                                <w:sz w:val="18"/>
                                <w:szCs w:val="18"/>
                              </w:rPr>
                              <w:t xml:space="preserve">. Women are recognised </w:t>
                            </w:r>
                            <w:r>
                              <w:rPr>
                                <w:sz w:val="18"/>
                                <w:szCs w:val="18"/>
                              </w:rPr>
                              <w:t xml:space="preserve">not only </w:t>
                            </w:r>
                            <w:r w:rsidRPr="00874DE6">
                              <w:rPr>
                                <w:sz w:val="18"/>
                                <w:szCs w:val="18"/>
                              </w:rPr>
                              <w:t xml:space="preserve">as being agents of innovation and change at the beneficiary level </w:t>
                            </w:r>
                            <w:r>
                              <w:rPr>
                                <w:sz w:val="18"/>
                                <w:szCs w:val="18"/>
                              </w:rPr>
                              <w:t xml:space="preserve">but they also make up </w:t>
                            </w:r>
                            <w:r w:rsidRPr="00874DE6">
                              <w:rPr>
                                <w:sz w:val="18"/>
                                <w:szCs w:val="18"/>
                              </w:rPr>
                              <w:t>a</w:t>
                            </w:r>
                            <w:r>
                              <w:rPr>
                                <w:sz w:val="18"/>
                                <w:szCs w:val="18"/>
                              </w:rPr>
                              <w:t>n increasing p</w:t>
                            </w:r>
                            <w:r w:rsidRPr="00874DE6">
                              <w:rPr>
                                <w:sz w:val="18"/>
                                <w:szCs w:val="18"/>
                              </w:rPr>
                              <w:t xml:space="preserve">roportion of intermediate service providers (retailers, collectors). </w:t>
                            </w:r>
                            <w:r>
                              <w:rPr>
                                <w:sz w:val="18"/>
                                <w:szCs w:val="18"/>
                              </w:rPr>
                              <w:t>Women’s e</w:t>
                            </w:r>
                            <w:r w:rsidRPr="00874DE6">
                              <w:rPr>
                                <w:sz w:val="18"/>
                                <w:szCs w:val="18"/>
                              </w:rPr>
                              <w:t xml:space="preserve">mpowerment objectives are </w:t>
                            </w:r>
                            <w:r>
                              <w:rPr>
                                <w:sz w:val="18"/>
                                <w:szCs w:val="18"/>
                              </w:rPr>
                              <w:t>a</w:t>
                            </w:r>
                            <w:r w:rsidRPr="00874DE6">
                              <w:rPr>
                                <w:sz w:val="18"/>
                                <w:szCs w:val="18"/>
                              </w:rPr>
                              <w:t xml:space="preserve"> strategic means to greater impact and outreach in rural agriculture. For this reason, every intervention is screened for opportunities to enhance the role of women. This analysis is done through a disaggregation of the roles that </w:t>
                            </w:r>
                            <w:r>
                              <w:rPr>
                                <w:sz w:val="18"/>
                                <w:szCs w:val="18"/>
                              </w:rPr>
                              <w:t>men and women</w:t>
                            </w:r>
                            <w:r w:rsidRPr="00874DE6">
                              <w:rPr>
                                <w:sz w:val="18"/>
                                <w:szCs w:val="18"/>
                              </w:rPr>
                              <w:t xml:space="preserve"> play in specific secto</w:t>
                            </w:r>
                            <w:r>
                              <w:rPr>
                                <w:sz w:val="18"/>
                                <w:szCs w:val="18"/>
                              </w:rPr>
                              <w:t>rs as well as undertaking focus</w:t>
                            </w:r>
                            <w:r w:rsidRPr="00874DE6">
                              <w:rPr>
                                <w:sz w:val="18"/>
                                <w:szCs w:val="18"/>
                              </w:rPr>
                              <w:t xml:space="preserve"> group discussions </w:t>
                            </w:r>
                            <w:r>
                              <w:rPr>
                                <w:sz w:val="18"/>
                                <w:szCs w:val="18"/>
                              </w:rPr>
                              <w:t>that</w:t>
                            </w:r>
                            <w:r w:rsidRPr="00874DE6">
                              <w:rPr>
                                <w:sz w:val="18"/>
                                <w:szCs w:val="18"/>
                              </w:rPr>
                              <w:t xml:space="preserve"> add qualitative insights </w:t>
                            </w:r>
                            <w:r>
                              <w:rPr>
                                <w:sz w:val="18"/>
                                <w:szCs w:val="18"/>
                              </w:rPr>
                              <w:t xml:space="preserve">used in </w:t>
                            </w:r>
                            <w:r w:rsidRPr="00874DE6">
                              <w:rPr>
                                <w:sz w:val="18"/>
                                <w:szCs w:val="18"/>
                              </w:rPr>
                              <w:t xml:space="preserve">intervention design and </w:t>
                            </w:r>
                            <w:r w:rsidRPr="009A2BAC">
                              <w:rPr>
                                <w:sz w:val="18"/>
                                <w:szCs w:val="18"/>
                              </w:rPr>
                              <w:t>implement</w:t>
                            </w:r>
                            <w:r>
                              <w:rPr>
                                <w:sz w:val="18"/>
                                <w:szCs w:val="18"/>
                              </w:rPr>
                              <w:t>ation.</w:t>
                            </w:r>
                          </w:p>
                          <w:p w14:paraId="03AD56D1" w14:textId="1C6B521E" w:rsidR="00243660" w:rsidRPr="00874DE6" w:rsidRDefault="00243660" w:rsidP="00D64735">
                            <w:pPr>
                              <w:jc w:val="both"/>
                              <w:rPr>
                                <w:sz w:val="18"/>
                                <w:szCs w:val="18"/>
                              </w:rPr>
                            </w:pPr>
                            <w:r>
                              <w:rPr>
                                <w:sz w:val="18"/>
                                <w:szCs w:val="18"/>
                              </w:rPr>
                              <w:t xml:space="preserve">A gender approach to MSD had been progressively built into PRISMA’s way of working, </w:t>
                            </w:r>
                            <w:r w:rsidRPr="00874DE6">
                              <w:rPr>
                                <w:sz w:val="18"/>
                                <w:szCs w:val="18"/>
                              </w:rPr>
                              <w:t>from: a) basic and passive gender awareness in all interventions</w:t>
                            </w:r>
                            <w:r>
                              <w:rPr>
                                <w:sz w:val="18"/>
                                <w:szCs w:val="18"/>
                              </w:rPr>
                              <w:t>,</w:t>
                            </w:r>
                            <w:r w:rsidRPr="00874DE6">
                              <w:rPr>
                                <w:sz w:val="18"/>
                                <w:szCs w:val="18"/>
                              </w:rPr>
                              <w:t xml:space="preserve"> to b) </w:t>
                            </w:r>
                            <w:r>
                              <w:rPr>
                                <w:sz w:val="18"/>
                                <w:szCs w:val="18"/>
                              </w:rPr>
                              <w:t xml:space="preserve">increasing </w:t>
                            </w:r>
                            <w:r w:rsidRPr="00874DE6">
                              <w:rPr>
                                <w:sz w:val="18"/>
                                <w:szCs w:val="18"/>
                              </w:rPr>
                              <w:t xml:space="preserve">staff behaviour change </w:t>
                            </w:r>
                            <w:r>
                              <w:rPr>
                                <w:sz w:val="18"/>
                                <w:szCs w:val="18"/>
                              </w:rPr>
                              <w:t xml:space="preserve">towards pro-active approaches </w:t>
                            </w:r>
                            <w:r w:rsidRPr="00874DE6">
                              <w:rPr>
                                <w:sz w:val="18"/>
                                <w:szCs w:val="18"/>
                              </w:rPr>
                              <w:t>in designing and implementing interventions</w:t>
                            </w:r>
                            <w:r>
                              <w:rPr>
                                <w:sz w:val="18"/>
                                <w:szCs w:val="18"/>
                              </w:rPr>
                              <w:t>,</w:t>
                            </w:r>
                            <w:r w:rsidRPr="00874DE6">
                              <w:rPr>
                                <w:sz w:val="18"/>
                                <w:szCs w:val="18"/>
                              </w:rPr>
                              <w:t xml:space="preserve"> and then eventually to c) an attitude shift of staff towards</w:t>
                            </w:r>
                            <w:r>
                              <w:rPr>
                                <w:sz w:val="18"/>
                                <w:szCs w:val="18"/>
                              </w:rPr>
                              <w:t xml:space="preserve"> fully</w:t>
                            </w:r>
                            <w:r w:rsidRPr="00874DE6">
                              <w:rPr>
                                <w:sz w:val="18"/>
                                <w:szCs w:val="18"/>
                              </w:rPr>
                              <w:t xml:space="preserve"> integrating women’s economic empowerment into programming.</w:t>
                            </w:r>
                          </w:p>
                          <w:p w14:paraId="2BE836BD" w14:textId="3AA47D3E" w:rsidR="00243660" w:rsidRPr="00874DE6" w:rsidRDefault="00243660" w:rsidP="00D64735">
                            <w:pPr>
                              <w:jc w:val="both"/>
                              <w:rPr>
                                <w:sz w:val="18"/>
                                <w:szCs w:val="18"/>
                              </w:rPr>
                            </w:pPr>
                            <w:r w:rsidRPr="00874DE6">
                              <w:rPr>
                                <w:sz w:val="18"/>
                                <w:szCs w:val="18"/>
                              </w:rPr>
                              <w:t>In 2013, the main emphasis for gender inclusion in the project was ‘</w:t>
                            </w:r>
                            <w:proofErr w:type="gramStart"/>
                            <w:r w:rsidRPr="00874DE6">
                              <w:rPr>
                                <w:sz w:val="18"/>
                                <w:szCs w:val="18"/>
                              </w:rPr>
                              <w:t>do</w:t>
                            </w:r>
                            <w:proofErr w:type="gramEnd"/>
                            <w:r w:rsidRPr="00874DE6">
                              <w:rPr>
                                <w:sz w:val="18"/>
                                <w:szCs w:val="18"/>
                              </w:rPr>
                              <w:t xml:space="preserve"> no harm’; a concept not well understood by staff and </w:t>
                            </w:r>
                            <w:r>
                              <w:rPr>
                                <w:sz w:val="18"/>
                                <w:szCs w:val="18"/>
                              </w:rPr>
                              <w:t xml:space="preserve">its </w:t>
                            </w:r>
                            <w:r w:rsidRPr="00874DE6">
                              <w:rPr>
                                <w:sz w:val="18"/>
                                <w:szCs w:val="18"/>
                              </w:rPr>
                              <w:t xml:space="preserve">partners. In fact, there was, at times, resistance to the </w:t>
                            </w:r>
                            <w:r>
                              <w:rPr>
                                <w:sz w:val="18"/>
                                <w:szCs w:val="18"/>
                              </w:rPr>
                              <w:t xml:space="preserve">focus on </w:t>
                            </w:r>
                            <w:r w:rsidRPr="00874DE6">
                              <w:rPr>
                                <w:sz w:val="18"/>
                                <w:szCs w:val="18"/>
                              </w:rPr>
                              <w:t>women</w:t>
                            </w:r>
                            <w:r>
                              <w:rPr>
                                <w:sz w:val="18"/>
                                <w:szCs w:val="18"/>
                              </w:rPr>
                              <w:t>,</w:t>
                            </w:r>
                            <w:r w:rsidRPr="00874DE6">
                              <w:rPr>
                                <w:sz w:val="18"/>
                                <w:szCs w:val="18"/>
                              </w:rPr>
                              <w:t xml:space="preserve"> as PRISMA identified </w:t>
                            </w:r>
                            <w:r>
                              <w:rPr>
                                <w:sz w:val="18"/>
                                <w:szCs w:val="18"/>
                              </w:rPr>
                              <w:t>its goal as being more</w:t>
                            </w:r>
                            <w:r w:rsidRPr="00874DE6">
                              <w:rPr>
                                <w:sz w:val="18"/>
                                <w:szCs w:val="18"/>
                              </w:rPr>
                              <w:t xml:space="preserve"> ‘private sector’ </w:t>
                            </w:r>
                            <w:r>
                              <w:rPr>
                                <w:sz w:val="18"/>
                                <w:szCs w:val="18"/>
                              </w:rPr>
                              <w:t>than ‘socially’ driven.</w:t>
                            </w:r>
                            <w:r w:rsidRPr="00874DE6">
                              <w:rPr>
                                <w:sz w:val="18"/>
                                <w:szCs w:val="18"/>
                              </w:rPr>
                              <w:t xml:space="preserve"> Since then, experience and knowledge ha</w:t>
                            </w:r>
                            <w:r>
                              <w:rPr>
                                <w:sz w:val="18"/>
                                <w:szCs w:val="18"/>
                              </w:rPr>
                              <w:t>s</w:t>
                            </w:r>
                            <w:r w:rsidRPr="00874DE6">
                              <w:rPr>
                                <w:sz w:val="18"/>
                                <w:szCs w:val="18"/>
                              </w:rPr>
                              <w:t xml:space="preserve"> grown </w:t>
                            </w:r>
                            <w:r>
                              <w:rPr>
                                <w:sz w:val="18"/>
                                <w:szCs w:val="18"/>
                              </w:rPr>
                              <w:t>among</w:t>
                            </w:r>
                            <w:r w:rsidRPr="00874DE6">
                              <w:rPr>
                                <w:sz w:val="18"/>
                                <w:szCs w:val="18"/>
                              </w:rPr>
                              <w:t xml:space="preserve"> all staff who now understand women’s empowerment to be an economic imperative as well as a human right for women in Indonesia</w:t>
                            </w:r>
                            <w:r>
                              <w:rPr>
                                <w:sz w:val="18"/>
                                <w:szCs w:val="18"/>
                              </w:rPr>
                              <w:t>. For example, the pig sector which focuses on female farmers, is the best performing intervention in AIP-Rural</w:t>
                            </w:r>
                            <w:r w:rsidRPr="00874DE6">
                              <w:rPr>
                                <w:sz w:val="18"/>
                                <w:szCs w:val="18"/>
                              </w:rPr>
                              <w:t>. PRISMA 2 will strive to build on these achievements while looking for new ways in which increased rural incomes will have an impact on positive social change at the household level.</w:t>
                            </w:r>
                          </w:p>
                          <w:p w14:paraId="0688CDF3" w14:textId="66BDD95C" w:rsidR="00243660" w:rsidRPr="00874DE6" w:rsidRDefault="00243660" w:rsidP="00D64735">
                            <w:pPr>
                              <w:jc w:val="both"/>
                              <w:rPr>
                                <w:sz w:val="18"/>
                                <w:szCs w:val="18"/>
                              </w:rPr>
                            </w:pPr>
                            <w:r>
                              <w:rPr>
                                <w:sz w:val="18"/>
                                <w:szCs w:val="18"/>
                              </w:rPr>
                              <w:t>To drive staff behaviour change, AIP-Rural instituted a</w:t>
                            </w:r>
                            <w:r w:rsidRPr="00874DE6">
                              <w:rPr>
                                <w:sz w:val="18"/>
                                <w:szCs w:val="18"/>
                              </w:rPr>
                              <w:t xml:space="preserve"> </w:t>
                            </w:r>
                            <w:r w:rsidRPr="00874DE6">
                              <w:rPr>
                                <w:b/>
                                <w:sz w:val="18"/>
                                <w:szCs w:val="18"/>
                              </w:rPr>
                              <w:t>Gender Intervention Concept Note Competition</w:t>
                            </w:r>
                            <w:r>
                              <w:rPr>
                                <w:b/>
                                <w:sz w:val="18"/>
                                <w:szCs w:val="18"/>
                              </w:rPr>
                              <w:t>.</w:t>
                            </w:r>
                            <w:r w:rsidRPr="00874DE6">
                              <w:rPr>
                                <w:sz w:val="18"/>
                                <w:szCs w:val="18"/>
                              </w:rPr>
                              <w:t xml:space="preserve"> </w:t>
                            </w:r>
                            <w:r>
                              <w:rPr>
                                <w:sz w:val="18"/>
                                <w:szCs w:val="18"/>
                              </w:rPr>
                              <w:t>O</w:t>
                            </w:r>
                            <w:r w:rsidRPr="00874DE6">
                              <w:rPr>
                                <w:sz w:val="18"/>
                                <w:szCs w:val="18"/>
                              </w:rPr>
                              <w:t xml:space="preserve">pen to all staff, </w:t>
                            </w:r>
                            <w:r>
                              <w:rPr>
                                <w:sz w:val="18"/>
                                <w:szCs w:val="18"/>
                              </w:rPr>
                              <w:t xml:space="preserve">sector teams prepared presentations which </w:t>
                            </w:r>
                            <w:r w:rsidRPr="00874DE6">
                              <w:rPr>
                                <w:sz w:val="18"/>
                                <w:szCs w:val="18"/>
                              </w:rPr>
                              <w:t xml:space="preserve">displayed expertise in </w:t>
                            </w:r>
                            <w:r>
                              <w:rPr>
                                <w:sz w:val="18"/>
                                <w:szCs w:val="18"/>
                              </w:rPr>
                              <w:t xml:space="preserve">understanding gender, </w:t>
                            </w:r>
                            <w:r w:rsidRPr="00874DE6">
                              <w:rPr>
                                <w:sz w:val="18"/>
                                <w:szCs w:val="18"/>
                              </w:rPr>
                              <w:t xml:space="preserve">research analysis, </w:t>
                            </w:r>
                            <w:proofErr w:type="gramStart"/>
                            <w:r w:rsidRPr="00874DE6">
                              <w:rPr>
                                <w:sz w:val="18"/>
                                <w:szCs w:val="18"/>
                              </w:rPr>
                              <w:t>intervention</w:t>
                            </w:r>
                            <w:proofErr w:type="gramEnd"/>
                            <w:r w:rsidRPr="00874DE6">
                              <w:rPr>
                                <w:sz w:val="18"/>
                                <w:szCs w:val="18"/>
                              </w:rPr>
                              <w:t xml:space="preserve"> design and results measurement</w:t>
                            </w:r>
                            <w:r>
                              <w:rPr>
                                <w:sz w:val="18"/>
                                <w:szCs w:val="18"/>
                              </w:rPr>
                              <w:t xml:space="preserve">. Judged by external specialists, </w:t>
                            </w:r>
                            <w:r w:rsidRPr="00874DE6">
                              <w:rPr>
                                <w:sz w:val="18"/>
                                <w:szCs w:val="18"/>
                              </w:rPr>
                              <w:t xml:space="preserve">six prize winners </w:t>
                            </w:r>
                            <w:r>
                              <w:rPr>
                                <w:sz w:val="18"/>
                                <w:szCs w:val="18"/>
                              </w:rPr>
                              <w:t xml:space="preserve">were selected and </w:t>
                            </w:r>
                            <w:r w:rsidRPr="00874DE6">
                              <w:rPr>
                                <w:sz w:val="18"/>
                                <w:szCs w:val="18"/>
                              </w:rPr>
                              <w:t xml:space="preserve">nine interventions were approved </w:t>
                            </w:r>
                            <w:r>
                              <w:rPr>
                                <w:sz w:val="18"/>
                                <w:szCs w:val="18"/>
                              </w:rPr>
                              <w:t>for</w:t>
                            </w:r>
                            <w:r w:rsidRPr="00874DE6">
                              <w:rPr>
                                <w:sz w:val="18"/>
                                <w:szCs w:val="18"/>
                              </w:rPr>
                              <w:t xml:space="preserve"> implement</w:t>
                            </w:r>
                            <w:r>
                              <w:rPr>
                                <w:sz w:val="18"/>
                                <w:szCs w:val="18"/>
                              </w:rPr>
                              <w:t>ation</w:t>
                            </w:r>
                            <w:r w:rsidRPr="00874DE6">
                              <w:rPr>
                                <w:sz w:val="18"/>
                                <w:szCs w:val="18"/>
                              </w:rPr>
                              <w:t>.</w:t>
                            </w:r>
                            <w:r>
                              <w:rPr>
                                <w:sz w:val="18"/>
                                <w:szCs w:val="18"/>
                              </w:rPr>
                              <w:t xml:space="preserve"> The mung bean concept note was one of the winning interventions - </w:t>
                            </w:r>
                          </w:p>
                          <w:p w14:paraId="49519C39" w14:textId="1C489D47" w:rsidR="00243660" w:rsidRPr="00874DE6" w:rsidRDefault="00243660" w:rsidP="00D64735">
                            <w:pPr>
                              <w:jc w:val="both"/>
                              <w:rPr>
                                <w:i/>
                                <w:sz w:val="16"/>
                                <w:szCs w:val="16"/>
                              </w:rPr>
                            </w:pPr>
                            <w:r w:rsidRPr="00874DE6">
                              <w:rPr>
                                <w:i/>
                                <w:sz w:val="16"/>
                                <w:szCs w:val="16"/>
                              </w:rPr>
                              <w:t xml:space="preserve">The analysis prepared for the intervention showed that women’s level of effort in the sector was 67% and their control over income was at 58% (compared to men’s 33% and 42% respectively). In specific areas, women’s level of effort averaged about 97%: </w:t>
                            </w:r>
                            <w:r w:rsidRPr="00874DE6">
                              <w:rPr>
                                <w:bCs/>
                                <w:i/>
                                <w:sz w:val="16"/>
                                <w:szCs w:val="16"/>
                              </w:rPr>
                              <w:t>seeds purchase</w:t>
                            </w:r>
                            <w:r w:rsidRPr="00874DE6">
                              <w:rPr>
                                <w:i/>
                                <w:sz w:val="16"/>
                                <w:szCs w:val="16"/>
                              </w:rPr>
                              <w:t xml:space="preserve">, </w:t>
                            </w:r>
                            <w:r w:rsidRPr="00874DE6">
                              <w:rPr>
                                <w:bCs/>
                                <w:i/>
                                <w:sz w:val="16"/>
                                <w:szCs w:val="16"/>
                              </w:rPr>
                              <w:t>harvesting</w:t>
                            </w:r>
                            <w:r w:rsidRPr="00874DE6">
                              <w:rPr>
                                <w:i/>
                                <w:sz w:val="16"/>
                                <w:szCs w:val="16"/>
                              </w:rPr>
                              <w:t xml:space="preserve">, and </w:t>
                            </w:r>
                            <w:r w:rsidRPr="00874DE6">
                              <w:rPr>
                                <w:bCs/>
                                <w:i/>
                                <w:sz w:val="16"/>
                                <w:szCs w:val="16"/>
                              </w:rPr>
                              <w:t>post-harvest processing.</w:t>
                            </w:r>
                            <w:r w:rsidRPr="00874DE6">
                              <w:rPr>
                                <w:i/>
                                <w:sz w:val="16"/>
                                <w:szCs w:val="16"/>
                              </w:rPr>
                              <w:t xml:space="preserve"> Because of the significant involvement of women,</w:t>
                            </w:r>
                            <w:r w:rsidRPr="00874DE6">
                              <w:rPr>
                                <w:i/>
                                <w:sz w:val="16"/>
                                <w:szCs w:val="16"/>
                                <w:lang w:val="id-ID"/>
                              </w:rPr>
                              <w:t xml:space="preserve"> </w:t>
                            </w:r>
                            <w:r w:rsidRPr="00874DE6">
                              <w:rPr>
                                <w:i/>
                                <w:sz w:val="16"/>
                                <w:szCs w:val="16"/>
                              </w:rPr>
                              <w:t xml:space="preserve">the sector team concluded that </w:t>
                            </w:r>
                            <w:r w:rsidRPr="00874DE6">
                              <w:rPr>
                                <w:i/>
                                <w:sz w:val="16"/>
                                <w:szCs w:val="16"/>
                                <w:lang w:val="id-ID"/>
                              </w:rPr>
                              <w:t xml:space="preserve">women </w:t>
                            </w:r>
                            <w:r w:rsidRPr="00874DE6">
                              <w:rPr>
                                <w:i/>
                                <w:sz w:val="16"/>
                                <w:szCs w:val="16"/>
                              </w:rPr>
                              <w:t>needed</w:t>
                            </w:r>
                            <w:r w:rsidRPr="00874DE6">
                              <w:rPr>
                                <w:i/>
                                <w:sz w:val="16"/>
                                <w:szCs w:val="16"/>
                                <w:lang w:val="id-ID"/>
                              </w:rPr>
                              <w:t xml:space="preserve"> to be aware of new opportunities (e.g. better inputs) </w:t>
                            </w:r>
                            <w:r w:rsidRPr="00874DE6">
                              <w:rPr>
                                <w:i/>
                                <w:sz w:val="16"/>
                                <w:szCs w:val="16"/>
                              </w:rPr>
                              <w:t>and techniques</w:t>
                            </w:r>
                            <w:r w:rsidRPr="00874DE6">
                              <w:rPr>
                                <w:i/>
                                <w:sz w:val="16"/>
                                <w:szCs w:val="16"/>
                                <w:lang w:val="id-ID"/>
                              </w:rPr>
                              <w:t xml:space="preserve"> </w:t>
                            </w:r>
                            <w:r w:rsidRPr="00874DE6">
                              <w:rPr>
                                <w:i/>
                                <w:sz w:val="16"/>
                                <w:szCs w:val="16"/>
                              </w:rPr>
                              <w:t>t</w:t>
                            </w:r>
                            <w:r w:rsidRPr="00874DE6">
                              <w:rPr>
                                <w:i/>
                                <w:sz w:val="16"/>
                                <w:szCs w:val="16"/>
                                <w:lang w:val="id-ID"/>
                              </w:rPr>
                              <w:t xml:space="preserve">o contribute </w:t>
                            </w:r>
                            <w:r w:rsidRPr="00874DE6">
                              <w:rPr>
                                <w:i/>
                                <w:sz w:val="16"/>
                                <w:szCs w:val="16"/>
                              </w:rPr>
                              <w:t xml:space="preserve">to increased yields, higher incomes and improved household well-being. </w:t>
                            </w:r>
                          </w:p>
                          <w:p w14:paraId="5443996D" w14:textId="6AA36CD1" w:rsidR="00243660" w:rsidRPr="00874DE6" w:rsidRDefault="00243660" w:rsidP="00D64735">
                            <w:pPr>
                              <w:jc w:val="both"/>
                              <w:rPr>
                                <w:i/>
                                <w:sz w:val="16"/>
                                <w:szCs w:val="16"/>
                              </w:rPr>
                            </w:pPr>
                            <w:r w:rsidRPr="00874DE6">
                              <w:rPr>
                                <w:bCs/>
                                <w:i/>
                                <w:sz w:val="16"/>
                                <w:szCs w:val="16"/>
                              </w:rPr>
                              <w:t>Based on this analysis, the intervention design proposed utilising female retailers, the heads of female farmer groups (KWT) and female cooperatives to encourage the sale, by women, of seeds and the promotion of innovations in the adoption of mung bean GAP</w:t>
                            </w:r>
                            <w:r>
                              <w:rPr>
                                <w:bCs/>
                                <w:i/>
                                <w:sz w:val="16"/>
                                <w:szCs w:val="16"/>
                              </w:rPr>
                              <w:t>, to women farmers</w:t>
                            </w:r>
                            <w:r w:rsidRPr="00874DE6">
                              <w:rPr>
                                <w:bCs/>
                                <w:i/>
                                <w:sz w:val="16"/>
                                <w:szCs w:val="16"/>
                              </w:rPr>
                              <w:t>.</w:t>
                            </w:r>
                            <w:r>
                              <w:rPr>
                                <w:bCs/>
                                <w:i/>
                                <w:sz w:val="16"/>
                                <w:szCs w:val="16"/>
                              </w:rPr>
                              <w:t xml:space="preserve"> </w:t>
                            </w:r>
                            <w:r w:rsidRPr="00874DE6">
                              <w:rPr>
                                <w:i/>
                                <w:sz w:val="16"/>
                                <w:szCs w:val="16"/>
                              </w:rPr>
                              <w:t>By introducing better seeds and GAP through female groups/cooperatives (much of this on credit) the sector team expects to empower women through the following measured dimensions:</w:t>
                            </w:r>
                          </w:p>
                          <w:p w14:paraId="4061D42C" w14:textId="28C67420" w:rsidR="00243660" w:rsidRPr="00874DE6" w:rsidRDefault="00243660" w:rsidP="004B220D">
                            <w:pPr>
                              <w:numPr>
                                <w:ilvl w:val="0"/>
                                <w:numId w:val="39"/>
                              </w:numPr>
                              <w:spacing w:after="0" w:line="240" w:lineRule="auto"/>
                              <w:ind w:left="714" w:hanging="357"/>
                              <w:jc w:val="both"/>
                              <w:rPr>
                                <w:i/>
                                <w:sz w:val="16"/>
                                <w:szCs w:val="16"/>
                              </w:rPr>
                            </w:pPr>
                            <w:r w:rsidRPr="00874DE6">
                              <w:rPr>
                                <w:b/>
                                <w:i/>
                                <w:sz w:val="16"/>
                                <w:szCs w:val="16"/>
                              </w:rPr>
                              <w:t xml:space="preserve">Increased </w:t>
                            </w:r>
                            <w:r>
                              <w:rPr>
                                <w:b/>
                                <w:i/>
                                <w:sz w:val="16"/>
                                <w:szCs w:val="16"/>
                              </w:rPr>
                              <w:t>I</w:t>
                            </w:r>
                            <w:r w:rsidRPr="00874DE6">
                              <w:rPr>
                                <w:b/>
                                <w:i/>
                                <w:sz w:val="16"/>
                                <w:szCs w:val="16"/>
                              </w:rPr>
                              <w:t xml:space="preserve">ncome </w:t>
                            </w:r>
                            <w:r w:rsidRPr="00874DE6">
                              <w:rPr>
                                <w:i/>
                                <w:sz w:val="16"/>
                                <w:szCs w:val="16"/>
                              </w:rPr>
                              <w:t xml:space="preserve">from mung bean productivity gains will increase female farmers’ </w:t>
                            </w:r>
                            <w:r w:rsidRPr="00874DE6">
                              <w:rPr>
                                <w:bCs/>
                                <w:i/>
                                <w:sz w:val="16"/>
                                <w:szCs w:val="16"/>
                              </w:rPr>
                              <w:t>access to additional income with no additional cultivation workload.</w:t>
                            </w:r>
                          </w:p>
                          <w:p w14:paraId="04157334" w14:textId="77777777" w:rsidR="00243660" w:rsidRPr="00874DE6" w:rsidRDefault="00243660" w:rsidP="004B220D">
                            <w:pPr>
                              <w:numPr>
                                <w:ilvl w:val="0"/>
                                <w:numId w:val="39"/>
                              </w:numPr>
                              <w:spacing w:after="0" w:line="240" w:lineRule="auto"/>
                              <w:ind w:left="714" w:hanging="357"/>
                              <w:jc w:val="both"/>
                              <w:rPr>
                                <w:i/>
                                <w:sz w:val="16"/>
                                <w:szCs w:val="16"/>
                              </w:rPr>
                            </w:pPr>
                            <w:r w:rsidRPr="00874DE6">
                              <w:rPr>
                                <w:b/>
                                <w:bCs/>
                                <w:i/>
                                <w:sz w:val="16"/>
                                <w:szCs w:val="16"/>
                              </w:rPr>
                              <w:t>Access to Resources -</w:t>
                            </w:r>
                            <w:r w:rsidRPr="00874DE6">
                              <w:rPr>
                                <w:i/>
                                <w:sz w:val="16"/>
                                <w:szCs w:val="16"/>
                              </w:rPr>
                              <w:t xml:space="preserve"> where female farmer groups and cooperatives can access the seeds on credit</w:t>
                            </w:r>
                            <w:r w:rsidRPr="00874DE6">
                              <w:rPr>
                                <w:bCs/>
                                <w:i/>
                                <w:sz w:val="16"/>
                                <w:szCs w:val="16"/>
                              </w:rPr>
                              <w:t>.</w:t>
                            </w:r>
                          </w:p>
                          <w:p w14:paraId="45F155DA" w14:textId="77777777" w:rsidR="00243660" w:rsidRPr="00874DE6" w:rsidRDefault="00243660" w:rsidP="004B220D">
                            <w:pPr>
                              <w:numPr>
                                <w:ilvl w:val="0"/>
                                <w:numId w:val="39"/>
                              </w:numPr>
                              <w:spacing w:after="0" w:line="240" w:lineRule="auto"/>
                              <w:ind w:left="714" w:hanging="357"/>
                              <w:jc w:val="both"/>
                              <w:rPr>
                                <w:i/>
                                <w:sz w:val="16"/>
                                <w:szCs w:val="16"/>
                              </w:rPr>
                            </w:pPr>
                            <w:r w:rsidRPr="00874DE6">
                              <w:rPr>
                                <w:b/>
                                <w:bCs/>
                                <w:i/>
                                <w:sz w:val="16"/>
                                <w:szCs w:val="16"/>
                              </w:rPr>
                              <w:t>Decision-Making</w:t>
                            </w:r>
                            <w:r w:rsidRPr="00874DE6">
                              <w:rPr>
                                <w:i/>
                                <w:sz w:val="16"/>
                                <w:szCs w:val="16"/>
                              </w:rPr>
                              <w:t xml:space="preserve"> – utilising these groups as distribution channels will increase female farmers’ knowledge and </w:t>
                            </w:r>
                            <w:r w:rsidRPr="00874DE6">
                              <w:rPr>
                                <w:bCs/>
                                <w:i/>
                                <w:sz w:val="16"/>
                                <w:szCs w:val="16"/>
                              </w:rPr>
                              <w:t xml:space="preserve">autonomy in production-related decisions; </w:t>
                            </w:r>
                          </w:p>
                          <w:p w14:paraId="56775C5E" w14:textId="77777777" w:rsidR="00243660" w:rsidRPr="00874DE6" w:rsidRDefault="00243660" w:rsidP="004B220D">
                            <w:pPr>
                              <w:numPr>
                                <w:ilvl w:val="0"/>
                                <w:numId w:val="39"/>
                              </w:numPr>
                              <w:spacing w:after="0" w:line="240" w:lineRule="auto"/>
                              <w:ind w:left="714" w:hanging="357"/>
                              <w:jc w:val="both"/>
                              <w:rPr>
                                <w:i/>
                                <w:sz w:val="16"/>
                                <w:szCs w:val="16"/>
                              </w:rPr>
                            </w:pPr>
                            <w:r w:rsidRPr="00874DE6">
                              <w:rPr>
                                <w:b/>
                                <w:bCs/>
                                <w:i/>
                                <w:sz w:val="16"/>
                                <w:szCs w:val="16"/>
                              </w:rPr>
                              <w:t>Workload</w:t>
                            </w:r>
                            <w:r w:rsidRPr="00874DE6">
                              <w:rPr>
                                <w:i/>
                                <w:sz w:val="16"/>
                                <w:szCs w:val="16"/>
                              </w:rPr>
                              <w:t xml:space="preserve"> – female farmers manually sort the retained quality seeds from the previous season before planting; providing female farmers with new and certified seeds will reduce their pre-cultivation workload.</w:t>
                            </w:r>
                          </w:p>
                          <w:p w14:paraId="3C1F69A0" w14:textId="77777777" w:rsidR="00243660" w:rsidRPr="00874DE6" w:rsidRDefault="00243660" w:rsidP="004B220D">
                            <w:pPr>
                              <w:numPr>
                                <w:ilvl w:val="0"/>
                                <w:numId w:val="39"/>
                              </w:numPr>
                              <w:spacing w:after="0" w:line="240" w:lineRule="auto"/>
                              <w:ind w:left="714" w:hanging="357"/>
                              <w:jc w:val="both"/>
                              <w:rPr>
                                <w:i/>
                                <w:sz w:val="16"/>
                                <w:szCs w:val="16"/>
                              </w:rPr>
                            </w:pPr>
                            <w:r w:rsidRPr="00874DE6">
                              <w:rPr>
                                <w:b/>
                                <w:bCs/>
                                <w:i/>
                                <w:sz w:val="16"/>
                                <w:szCs w:val="16"/>
                              </w:rPr>
                              <w:t>Leadership</w:t>
                            </w:r>
                            <w:r w:rsidRPr="00874DE6">
                              <w:rPr>
                                <w:i/>
                                <w:sz w:val="16"/>
                                <w:szCs w:val="16"/>
                              </w:rPr>
                              <w:t xml:space="preserve"> – having new female ISPs in the market will result in </w:t>
                            </w:r>
                            <w:r w:rsidRPr="00874DE6">
                              <w:rPr>
                                <w:bCs/>
                                <w:i/>
                                <w:sz w:val="16"/>
                                <w:szCs w:val="16"/>
                              </w:rPr>
                              <w:t>new role models for female farmers</w:t>
                            </w:r>
                            <w:r w:rsidRPr="00874DE6">
                              <w:rPr>
                                <w:i/>
                                <w:sz w:val="16"/>
                                <w:szCs w:val="16"/>
                              </w:rPr>
                              <w:t>, thus increasing female leadership and inclusiveness in the long term.</w:t>
                            </w:r>
                          </w:p>
                          <w:p w14:paraId="1C23F30C" w14:textId="77777777" w:rsidR="00243660" w:rsidRPr="00874DE6" w:rsidRDefault="00243660" w:rsidP="00D64735">
                            <w:pPr>
                              <w:jc w:val="both"/>
                              <w:rPr>
                                <w:i/>
                                <w:sz w:val="16"/>
                                <w:szCs w:val="16"/>
                              </w:rPr>
                            </w:pPr>
                            <w:r w:rsidRPr="00874DE6">
                              <w:rPr>
                                <w:i/>
                                <w:sz w:val="16"/>
                                <w:szCs w:val="16"/>
                              </w:rPr>
                              <w:t>In addition to women’s empowerment, the following indicators on production were also proposed: an 88% increase in productivity and 146% in net attributable income change.</w:t>
                            </w:r>
                          </w:p>
                          <w:p w14:paraId="30240CA6" w14:textId="2207B114" w:rsidR="00243660" w:rsidRPr="00874DE6" w:rsidRDefault="00243660" w:rsidP="00D64735">
                            <w:pPr>
                              <w:rPr>
                                <w:sz w:val="18"/>
                                <w:szCs w:val="18"/>
                              </w:rPr>
                            </w:pPr>
                            <w:r w:rsidRPr="00874DE6">
                              <w:rPr>
                                <w:sz w:val="18"/>
                                <w:szCs w:val="18"/>
                              </w:rPr>
                              <w:t>Th</w:t>
                            </w:r>
                            <w:r>
                              <w:rPr>
                                <w:sz w:val="18"/>
                                <w:szCs w:val="18"/>
                              </w:rPr>
                              <w:t>is</w:t>
                            </w:r>
                            <w:r w:rsidRPr="00874DE6">
                              <w:rPr>
                                <w:sz w:val="18"/>
                                <w:szCs w:val="18"/>
                              </w:rPr>
                              <w:t xml:space="preserve"> show</w:t>
                            </w:r>
                            <w:r>
                              <w:rPr>
                                <w:sz w:val="18"/>
                                <w:szCs w:val="18"/>
                              </w:rPr>
                              <w:t>s</w:t>
                            </w:r>
                            <w:r w:rsidRPr="00874DE6">
                              <w:rPr>
                                <w:sz w:val="18"/>
                                <w:szCs w:val="18"/>
                              </w:rPr>
                              <w:t xml:space="preserve"> a growing sophistication on the part of PRISMA staff to understand women’s roles, challenges and opportunities and to design and implement interventions that will lead to systemic change for women in agriculture and for the agricultural sectors themselves.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5pt;margin-top:-36.65pt;width:477.5pt;height:594.1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" fillcolor="#b4c7e7">
                <v:textbox>
                  <w:txbxContent>
                    <w:p w14:paraId="2FF7EF85" w14:textId="0CDAA683" w:rsidR="00243660" w:rsidRDefault="00243660" w:rsidP="00D64735">
                      <w:r>
                        <w:rPr>
                          <w:rFonts w:cs="Arial"/>
                          <w:b/>
                        </w:rPr>
                        <w:t>Box 7</w:t>
                      </w:r>
                      <w:r w:rsidRPr="00D1669B">
                        <w:rPr>
                          <w:rFonts w:cs="Arial"/>
                          <w:b/>
                        </w:rPr>
                        <w:t xml:space="preserve">. </w:t>
                      </w:r>
                      <w:r>
                        <w:rPr>
                          <w:rFonts w:cs="Arial"/>
                          <w:b/>
                        </w:rPr>
                        <w:t>Integrating Gender and Women’s Economic Empowerment in AIP-Rural</w:t>
                      </w:r>
                    </w:p>
                    <w:p w14:paraId="42EE61B6" w14:textId="6B50D140" w:rsidR="00243660" w:rsidRPr="00874DE6" w:rsidRDefault="00243660" w:rsidP="00D64735">
                      <w:pPr>
                        <w:jc w:val="both"/>
                        <w:rPr>
                          <w:sz w:val="18"/>
                          <w:szCs w:val="18"/>
                        </w:rPr>
                      </w:pPr>
                      <w:r w:rsidRPr="00874DE6">
                        <w:rPr>
                          <w:sz w:val="18"/>
                          <w:szCs w:val="18"/>
                        </w:rPr>
                        <w:t>Since its inception, AIP-Rural has placed a strong emphasis on positively impacting women in agricultur</w:t>
                      </w:r>
                      <w:r>
                        <w:rPr>
                          <w:sz w:val="18"/>
                          <w:szCs w:val="18"/>
                        </w:rPr>
                        <w:t>e</w:t>
                      </w:r>
                      <w:r w:rsidRPr="00874DE6">
                        <w:rPr>
                          <w:sz w:val="18"/>
                          <w:szCs w:val="18"/>
                        </w:rPr>
                        <w:t xml:space="preserve">. All four of its projects </w:t>
                      </w:r>
                      <w:r>
                        <w:rPr>
                          <w:sz w:val="18"/>
                          <w:szCs w:val="18"/>
                        </w:rPr>
                        <w:t>use</w:t>
                      </w:r>
                      <w:r w:rsidRPr="00874DE6">
                        <w:rPr>
                          <w:sz w:val="18"/>
                          <w:szCs w:val="18"/>
                        </w:rPr>
                        <w:t xml:space="preserve"> tailor made gender strategies and operational guidelines that are consistent with </w:t>
                      </w:r>
                      <w:r>
                        <w:rPr>
                          <w:sz w:val="18"/>
                          <w:szCs w:val="18"/>
                        </w:rPr>
                        <w:t>Australian Government</w:t>
                      </w:r>
                      <w:r w:rsidRPr="00874DE6">
                        <w:rPr>
                          <w:sz w:val="18"/>
                          <w:szCs w:val="18"/>
                        </w:rPr>
                        <w:t xml:space="preserve"> policies </w:t>
                      </w:r>
                      <w:r>
                        <w:rPr>
                          <w:sz w:val="18"/>
                          <w:szCs w:val="18"/>
                        </w:rPr>
                        <w:t>and</w:t>
                      </w:r>
                      <w:r w:rsidRPr="00874DE6">
                        <w:rPr>
                          <w:sz w:val="18"/>
                          <w:szCs w:val="18"/>
                        </w:rPr>
                        <w:t xml:space="preserve"> </w:t>
                      </w:r>
                      <w:r>
                        <w:rPr>
                          <w:sz w:val="18"/>
                          <w:szCs w:val="18"/>
                        </w:rPr>
                        <w:t xml:space="preserve">a </w:t>
                      </w:r>
                      <w:r w:rsidRPr="00874DE6">
                        <w:rPr>
                          <w:sz w:val="18"/>
                          <w:szCs w:val="18"/>
                        </w:rPr>
                        <w:t>market development</w:t>
                      </w:r>
                      <w:r>
                        <w:rPr>
                          <w:sz w:val="18"/>
                          <w:szCs w:val="18"/>
                        </w:rPr>
                        <w:t xml:space="preserve"> approach</w:t>
                      </w:r>
                      <w:r w:rsidRPr="00874DE6">
                        <w:rPr>
                          <w:sz w:val="18"/>
                          <w:szCs w:val="18"/>
                        </w:rPr>
                        <w:t xml:space="preserve">. Women are recognised </w:t>
                      </w:r>
                      <w:r>
                        <w:rPr>
                          <w:sz w:val="18"/>
                          <w:szCs w:val="18"/>
                        </w:rPr>
                        <w:t xml:space="preserve">not only </w:t>
                      </w:r>
                      <w:r w:rsidRPr="00874DE6">
                        <w:rPr>
                          <w:sz w:val="18"/>
                          <w:szCs w:val="18"/>
                        </w:rPr>
                        <w:t xml:space="preserve">as being agents of innovation and change at the beneficiary level </w:t>
                      </w:r>
                      <w:r>
                        <w:rPr>
                          <w:sz w:val="18"/>
                          <w:szCs w:val="18"/>
                        </w:rPr>
                        <w:t xml:space="preserve">but they also make up </w:t>
                      </w:r>
                      <w:r w:rsidRPr="00874DE6">
                        <w:rPr>
                          <w:sz w:val="18"/>
                          <w:szCs w:val="18"/>
                        </w:rPr>
                        <w:t>a</w:t>
                      </w:r>
                      <w:r>
                        <w:rPr>
                          <w:sz w:val="18"/>
                          <w:szCs w:val="18"/>
                        </w:rPr>
                        <w:t>n increasing p</w:t>
                      </w:r>
                      <w:r w:rsidRPr="00874DE6">
                        <w:rPr>
                          <w:sz w:val="18"/>
                          <w:szCs w:val="18"/>
                        </w:rPr>
                        <w:t xml:space="preserve">roportion of intermediate service providers (retailers, collectors). </w:t>
                      </w:r>
                      <w:r>
                        <w:rPr>
                          <w:sz w:val="18"/>
                          <w:szCs w:val="18"/>
                        </w:rPr>
                        <w:t>Women’s e</w:t>
                      </w:r>
                      <w:r w:rsidRPr="00874DE6">
                        <w:rPr>
                          <w:sz w:val="18"/>
                          <w:szCs w:val="18"/>
                        </w:rPr>
                        <w:t xml:space="preserve">mpowerment objectives are </w:t>
                      </w:r>
                      <w:r>
                        <w:rPr>
                          <w:sz w:val="18"/>
                          <w:szCs w:val="18"/>
                        </w:rPr>
                        <w:t>a</w:t>
                      </w:r>
                      <w:r w:rsidRPr="00874DE6">
                        <w:rPr>
                          <w:sz w:val="18"/>
                          <w:szCs w:val="18"/>
                        </w:rPr>
                        <w:t xml:space="preserve"> strategic means to greater impact and outreach in rural agriculture. For this reason, every intervention is screened for opportunities to enhance the role of women. This analysis is done through a disaggregation of the roles that </w:t>
                      </w:r>
                      <w:r>
                        <w:rPr>
                          <w:sz w:val="18"/>
                          <w:szCs w:val="18"/>
                        </w:rPr>
                        <w:t>men and women</w:t>
                      </w:r>
                      <w:r w:rsidRPr="00874DE6">
                        <w:rPr>
                          <w:sz w:val="18"/>
                          <w:szCs w:val="18"/>
                        </w:rPr>
                        <w:t xml:space="preserve"> play in specific secto</w:t>
                      </w:r>
                      <w:r>
                        <w:rPr>
                          <w:sz w:val="18"/>
                          <w:szCs w:val="18"/>
                        </w:rPr>
                        <w:t>rs as well as undertaking focus</w:t>
                      </w:r>
                      <w:r w:rsidRPr="00874DE6">
                        <w:rPr>
                          <w:sz w:val="18"/>
                          <w:szCs w:val="18"/>
                        </w:rPr>
                        <w:t xml:space="preserve"> group discussions </w:t>
                      </w:r>
                      <w:r>
                        <w:rPr>
                          <w:sz w:val="18"/>
                          <w:szCs w:val="18"/>
                        </w:rPr>
                        <w:t>that</w:t>
                      </w:r>
                      <w:r w:rsidRPr="00874DE6">
                        <w:rPr>
                          <w:sz w:val="18"/>
                          <w:szCs w:val="18"/>
                        </w:rPr>
                        <w:t xml:space="preserve"> add qualitative insights </w:t>
                      </w:r>
                      <w:r>
                        <w:rPr>
                          <w:sz w:val="18"/>
                          <w:szCs w:val="18"/>
                        </w:rPr>
                        <w:t xml:space="preserve">used in </w:t>
                      </w:r>
                      <w:r w:rsidRPr="00874DE6">
                        <w:rPr>
                          <w:sz w:val="18"/>
                          <w:szCs w:val="18"/>
                        </w:rPr>
                        <w:t xml:space="preserve">intervention design and </w:t>
                      </w:r>
                      <w:r w:rsidRPr="009A2BAC">
                        <w:rPr>
                          <w:sz w:val="18"/>
                          <w:szCs w:val="18"/>
                        </w:rPr>
                        <w:t>implement</w:t>
                      </w:r>
                      <w:r>
                        <w:rPr>
                          <w:sz w:val="18"/>
                          <w:szCs w:val="18"/>
                        </w:rPr>
                        <w:t>ation.</w:t>
                      </w:r>
                    </w:p>
                    <w:p w14:paraId="03AD56D1" w14:textId="1C6B521E" w:rsidR="00243660" w:rsidRPr="00874DE6" w:rsidRDefault="00243660" w:rsidP="00D64735">
                      <w:pPr>
                        <w:jc w:val="both"/>
                        <w:rPr>
                          <w:sz w:val="18"/>
                          <w:szCs w:val="18"/>
                        </w:rPr>
                      </w:pPr>
                      <w:r>
                        <w:rPr>
                          <w:sz w:val="18"/>
                          <w:szCs w:val="18"/>
                        </w:rPr>
                        <w:t xml:space="preserve">A gender approach to MSD had been progressively built into PRISMA’s way of working, </w:t>
                      </w:r>
                      <w:r w:rsidRPr="00874DE6">
                        <w:rPr>
                          <w:sz w:val="18"/>
                          <w:szCs w:val="18"/>
                        </w:rPr>
                        <w:t>from: a) basic and passive gender awareness in all interventions</w:t>
                      </w:r>
                      <w:r>
                        <w:rPr>
                          <w:sz w:val="18"/>
                          <w:szCs w:val="18"/>
                        </w:rPr>
                        <w:t>,</w:t>
                      </w:r>
                      <w:r w:rsidRPr="00874DE6">
                        <w:rPr>
                          <w:sz w:val="18"/>
                          <w:szCs w:val="18"/>
                        </w:rPr>
                        <w:t xml:space="preserve"> to b) </w:t>
                      </w:r>
                      <w:r>
                        <w:rPr>
                          <w:sz w:val="18"/>
                          <w:szCs w:val="18"/>
                        </w:rPr>
                        <w:t xml:space="preserve">increasing </w:t>
                      </w:r>
                      <w:r w:rsidRPr="00874DE6">
                        <w:rPr>
                          <w:sz w:val="18"/>
                          <w:szCs w:val="18"/>
                        </w:rPr>
                        <w:t xml:space="preserve">staff behaviour change </w:t>
                      </w:r>
                      <w:r>
                        <w:rPr>
                          <w:sz w:val="18"/>
                          <w:szCs w:val="18"/>
                        </w:rPr>
                        <w:t xml:space="preserve">towards pro-active approaches </w:t>
                      </w:r>
                      <w:r w:rsidRPr="00874DE6">
                        <w:rPr>
                          <w:sz w:val="18"/>
                          <w:szCs w:val="18"/>
                        </w:rPr>
                        <w:t>in designing and implementing interventions</w:t>
                      </w:r>
                      <w:r>
                        <w:rPr>
                          <w:sz w:val="18"/>
                          <w:szCs w:val="18"/>
                        </w:rPr>
                        <w:t>,</w:t>
                      </w:r>
                      <w:r w:rsidRPr="00874DE6">
                        <w:rPr>
                          <w:sz w:val="18"/>
                          <w:szCs w:val="18"/>
                        </w:rPr>
                        <w:t xml:space="preserve"> and then eventually to c) an attitude shift of staff towards</w:t>
                      </w:r>
                      <w:r>
                        <w:rPr>
                          <w:sz w:val="18"/>
                          <w:szCs w:val="18"/>
                        </w:rPr>
                        <w:t xml:space="preserve"> fully</w:t>
                      </w:r>
                      <w:r w:rsidRPr="00874DE6">
                        <w:rPr>
                          <w:sz w:val="18"/>
                          <w:szCs w:val="18"/>
                        </w:rPr>
                        <w:t xml:space="preserve"> integrating women’s economic empowerment into programming.</w:t>
                      </w:r>
                    </w:p>
                    <w:p w14:paraId="2BE836BD" w14:textId="3AA47D3E" w:rsidR="00243660" w:rsidRPr="00874DE6" w:rsidRDefault="00243660" w:rsidP="00D64735">
                      <w:pPr>
                        <w:jc w:val="both"/>
                        <w:rPr>
                          <w:sz w:val="18"/>
                          <w:szCs w:val="18"/>
                        </w:rPr>
                      </w:pPr>
                      <w:r w:rsidRPr="00874DE6">
                        <w:rPr>
                          <w:sz w:val="18"/>
                          <w:szCs w:val="18"/>
                        </w:rPr>
                        <w:t>In 2013, the main emphasis for gender inclusion in the project was ‘</w:t>
                      </w:r>
                      <w:proofErr w:type="gramStart"/>
                      <w:r w:rsidRPr="00874DE6">
                        <w:rPr>
                          <w:sz w:val="18"/>
                          <w:szCs w:val="18"/>
                        </w:rPr>
                        <w:t>do</w:t>
                      </w:r>
                      <w:proofErr w:type="gramEnd"/>
                      <w:r w:rsidRPr="00874DE6">
                        <w:rPr>
                          <w:sz w:val="18"/>
                          <w:szCs w:val="18"/>
                        </w:rPr>
                        <w:t xml:space="preserve"> no harm’; a concept not well understood by staff and </w:t>
                      </w:r>
                      <w:r>
                        <w:rPr>
                          <w:sz w:val="18"/>
                          <w:szCs w:val="18"/>
                        </w:rPr>
                        <w:t xml:space="preserve">its </w:t>
                      </w:r>
                      <w:r w:rsidRPr="00874DE6">
                        <w:rPr>
                          <w:sz w:val="18"/>
                          <w:szCs w:val="18"/>
                        </w:rPr>
                        <w:t xml:space="preserve">partners. In fact, there was, at times, resistance to the </w:t>
                      </w:r>
                      <w:r>
                        <w:rPr>
                          <w:sz w:val="18"/>
                          <w:szCs w:val="18"/>
                        </w:rPr>
                        <w:t xml:space="preserve">focus on </w:t>
                      </w:r>
                      <w:r w:rsidRPr="00874DE6">
                        <w:rPr>
                          <w:sz w:val="18"/>
                          <w:szCs w:val="18"/>
                        </w:rPr>
                        <w:t>women</w:t>
                      </w:r>
                      <w:r>
                        <w:rPr>
                          <w:sz w:val="18"/>
                          <w:szCs w:val="18"/>
                        </w:rPr>
                        <w:t>,</w:t>
                      </w:r>
                      <w:r w:rsidRPr="00874DE6">
                        <w:rPr>
                          <w:sz w:val="18"/>
                          <w:szCs w:val="18"/>
                        </w:rPr>
                        <w:t xml:space="preserve"> as PRISMA identified </w:t>
                      </w:r>
                      <w:r>
                        <w:rPr>
                          <w:sz w:val="18"/>
                          <w:szCs w:val="18"/>
                        </w:rPr>
                        <w:t>its goal as being more</w:t>
                      </w:r>
                      <w:r w:rsidRPr="00874DE6">
                        <w:rPr>
                          <w:sz w:val="18"/>
                          <w:szCs w:val="18"/>
                        </w:rPr>
                        <w:t xml:space="preserve"> ‘private sector’ </w:t>
                      </w:r>
                      <w:r>
                        <w:rPr>
                          <w:sz w:val="18"/>
                          <w:szCs w:val="18"/>
                        </w:rPr>
                        <w:t>than ‘socially’ driven.</w:t>
                      </w:r>
                      <w:r w:rsidRPr="00874DE6">
                        <w:rPr>
                          <w:sz w:val="18"/>
                          <w:szCs w:val="18"/>
                        </w:rPr>
                        <w:t xml:space="preserve"> Since then, experience and knowledge ha</w:t>
                      </w:r>
                      <w:r>
                        <w:rPr>
                          <w:sz w:val="18"/>
                          <w:szCs w:val="18"/>
                        </w:rPr>
                        <w:t>s</w:t>
                      </w:r>
                      <w:r w:rsidRPr="00874DE6">
                        <w:rPr>
                          <w:sz w:val="18"/>
                          <w:szCs w:val="18"/>
                        </w:rPr>
                        <w:t xml:space="preserve"> grown </w:t>
                      </w:r>
                      <w:r>
                        <w:rPr>
                          <w:sz w:val="18"/>
                          <w:szCs w:val="18"/>
                        </w:rPr>
                        <w:t>among</w:t>
                      </w:r>
                      <w:r w:rsidRPr="00874DE6">
                        <w:rPr>
                          <w:sz w:val="18"/>
                          <w:szCs w:val="18"/>
                        </w:rPr>
                        <w:t xml:space="preserve"> all staff who now understand women’s empowerment to be an economic imperative as well as a human right for women in Indonesia</w:t>
                      </w:r>
                      <w:r>
                        <w:rPr>
                          <w:sz w:val="18"/>
                          <w:szCs w:val="18"/>
                        </w:rPr>
                        <w:t>. For example, the pig sector which focuses on female farmers, is the best performing intervention in AIP-Rural</w:t>
                      </w:r>
                      <w:r w:rsidRPr="00874DE6">
                        <w:rPr>
                          <w:sz w:val="18"/>
                          <w:szCs w:val="18"/>
                        </w:rPr>
                        <w:t>. PRISMA 2 will strive to build on these achievements while looking for new ways in which increased rural incomes will have an impact on positive social change at the household level.</w:t>
                      </w:r>
                    </w:p>
                    <w:p w14:paraId="0688CDF3" w14:textId="66BDD95C" w:rsidR="00243660" w:rsidRPr="00874DE6" w:rsidRDefault="00243660" w:rsidP="00D64735">
                      <w:pPr>
                        <w:jc w:val="both"/>
                        <w:rPr>
                          <w:sz w:val="18"/>
                          <w:szCs w:val="18"/>
                        </w:rPr>
                      </w:pPr>
                      <w:r>
                        <w:rPr>
                          <w:sz w:val="18"/>
                          <w:szCs w:val="18"/>
                        </w:rPr>
                        <w:t>To drive staff behaviour change, AIP-Rural instituted a</w:t>
                      </w:r>
                      <w:r w:rsidRPr="00874DE6">
                        <w:rPr>
                          <w:sz w:val="18"/>
                          <w:szCs w:val="18"/>
                        </w:rPr>
                        <w:t xml:space="preserve"> </w:t>
                      </w:r>
                      <w:r w:rsidRPr="00874DE6">
                        <w:rPr>
                          <w:b/>
                          <w:sz w:val="18"/>
                          <w:szCs w:val="18"/>
                        </w:rPr>
                        <w:t>Gender Intervention Concept Note Competition</w:t>
                      </w:r>
                      <w:r>
                        <w:rPr>
                          <w:b/>
                          <w:sz w:val="18"/>
                          <w:szCs w:val="18"/>
                        </w:rPr>
                        <w:t>.</w:t>
                      </w:r>
                      <w:r w:rsidRPr="00874DE6">
                        <w:rPr>
                          <w:sz w:val="18"/>
                          <w:szCs w:val="18"/>
                        </w:rPr>
                        <w:t xml:space="preserve"> </w:t>
                      </w:r>
                      <w:r>
                        <w:rPr>
                          <w:sz w:val="18"/>
                          <w:szCs w:val="18"/>
                        </w:rPr>
                        <w:t>O</w:t>
                      </w:r>
                      <w:r w:rsidRPr="00874DE6">
                        <w:rPr>
                          <w:sz w:val="18"/>
                          <w:szCs w:val="18"/>
                        </w:rPr>
                        <w:t xml:space="preserve">pen to all staff, </w:t>
                      </w:r>
                      <w:r>
                        <w:rPr>
                          <w:sz w:val="18"/>
                          <w:szCs w:val="18"/>
                        </w:rPr>
                        <w:t xml:space="preserve">sector teams prepared presentations which </w:t>
                      </w:r>
                      <w:r w:rsidRPr="00874DE6">
                        <w:rPr>
                          <w:sz w:val="18"/>
                          <w:szCs w:val="18"/>
                        </w:rPr>
                        <w:t xml:space="preserve">displayed expertise in </w:t>
                      </w:r>
                      <w:r>
                        <w:rPr>
                          <w:sz w:val="18"/>
                          <w:szCs w:val="18"/>
                        </w:rPr>
                        <w:t xml:space="preserve">understanding gender, </w:t>
                      </w:r>
                      <w:r w:rsidRPr="00874DE6">
                        <w:rPr>
                          <w:sz w:val="18"/>
                          <w:szCs w:val="18"/>
                        </w:rPr>
                        <w:t xml:space="preserve">research analysis, </w:t>
                      </w:r>
                      <w:proofErr w:type="gramStart"/>
                      <w:r w:rsidRPr="00874DE6">
                        <w:rPr>
                          <w:sz w:val="18"/>
                          <w:szCs w:val="18"/>
                        </w:rPr>
                        <w:t>intervention</w:t>
                      </w:r>
                      <w:proofErr w:type="gramEnd"/>
                      <w:r w:rsidRPr="00874DE6">
                        <w:rPr>
                          <w:sz w:val="18"/>
                          <w:szCs w:val="18"/>
                        </w:rPr>
                        <w:t xml:space="preserve"> design and results measurement</w:t>
                      </w:r>
                      <w:r>
                        <w:rPr>
                          <w:sz w:val="18"/>
                          <w:szCs w:val="18"/>
                        </w:rPr>
                        <w:t xml:space="preserve">. Judged by external specialists, </w:t>
                      </w:r>
                      <w:r w:rsidRPr="00874DE6">
                        <w:rPr>
                          <w:sz w:val="18"/>
                          <w:szCs w:val="18"/>
                        </w:rPr>
                        <w:t xml:space="preserve">six prize winners </w:t>
                      </w:r>
                      <w:r>
                        <w:rPr>
                          <w:sz w:val="18"/>
                          <w:szCs w:val="18"/>
                        </w:rPr>
                        <w:t xml:space="preserve">were selected and </w:t>
                      </w:r>
                      <w:r w:rsidRPr="00874DE6">
                        <w:rPr>
                          <w:sz w:val="18"/>
                          <w:szCs w:val="18"/>
                        </w:rPr>
                        <w:t xml:space="preserve">nine interventions were approved </w:t>
                      </w:r>
                      <w:r>
                        <w:rPr>
                          <w:sz w:val="18"/>
                          <w:szCs w:val="18"/>
                        </w:rPr>
                        <w:t>for</w:t>
                      </w:r>
                      <w:r w:rsidRPr="00874DE6">
                        <w:rPr>
                          <w:sz w:val="18"/>
                          <w:szCs w:val="18"/>
                        </w:rPr>
                        <w:t xml:space="preserve"> implement</w:t>
                      </w:r>
                      <w:r>
                        <w:rPr>
                          <w:sz w:val="18"/>
                          <w:szCs w:val="18"/>
                        </w:rPr>
                        <w:t>ation</w:t>
                      </w:r>
                      <w:r w:rsidRPr="00874DE6">
                        <w:rPr>
                          <w:sz w:val="18"/>
                          <w:szCs w:val="18"/>
                        </w:rPr>
                        <w:t>.</w:t>
                      </w:r>
                      <w:r>
                        <w:rPr>
                          <w:sz w:val="18"/>
                          <w:szCs w:val="18"/>
                        </w:rPr>
                        <w:t xml:space="preserve"> The mung bean concept note was one of the winning interventions - </w:t>
                      </w:r>
                    </w:p>
                    <w:p w14:paraId="49519C39" w14:textId="1C489D47" w:rsidR="00243660" w:rsidRPr="00874DE6" w:rsidRDefault="00243660" w:rsidP="00D64735">
                      <w:pPr>
                        <w:jc w:val="both"/>
                        <w:rPr>
                          <w:i/>
                          <w:sz w:val="16"/>
                          <w:szCs w:val="16"/>
                        </w:rPr>
                      </w:pPr>
                      <w:r w:rsidRPr="00874DE6">
                        <w:rPr>
                          <w:i/>
                          <w:sz w:val="16"/>
                          <w:szCs w:val="16"/>
                        </w:rPr>
                        <w:t xml:space="preserve">The analysis prepared for the intervention showed that women’s level of effort in the sector was 67% and their control over income was at 58% (compared to men’s 33% and 42% respectively). In specific areas, women’s level of effort averaged about 97%: </w:t>
                      </w:r>
                      <w:r w:rsidRPr="00874DE6">
                        <w:rPr>
                          <w:bCs/>
                          <w:i/>
                          <w:sz w:val="16"/>
                          <w:szCs w:val="16"/>
                        </w:rPr>
                        <w:t>seeds purchase</w:t>
                      </w:r>
                      <w:r w:rsidRPr="00874DE6">
                        <w:rPr>
                          <w:i/>
                          <w:sz w:val="16"/>
                          <w:szCs w:val="16"/>
                        </w:rPr>
                        <w:t xml:space="preserve">, </w:t>
                      </w:r>
                      <w:r w:rsidRPr="00874DE6">
                        <w:rPr>
                          <w:bCs/>
                          <w:i/>
                          <w:sz w:val="16"/>
                          <w:szCs w:val="16"/>
                        </w:rPr>
                        <w:t>harvesting</w:t>
                      </w:r>
                      <w:r w:rsidRPr="00874DE6">
                        <w:rPr>
                          <w:i/>
                          <w:sz w:val="16"/>
                          <w:szCs w:val="16"/>
                        </w:rPr>
                        <w:t xml:space="preserve">, and </w:t>
                      </w:r>
                      <w:r w:rsidRPr="00874DE6">
                        <w:rPr>
                          <w:bCs/>
                          <w:i/>
                          <w:sz w:val="16"/>
                          <w:szCs w:val="16"/>
                        </w:rPr>
                        <w:t>post-harvest processing.</w:t>
                      </w:r>
                      <w:r w:rsidRPr="00874DE6">
                        <w:rPr>
                          <w:i/>
                          <w:sz w:val="16"/>
                          <w:szCs w:val="16"/>
                        </w:rPr>
                        <w:t xml:space="preserve"> Because of the significant involvement of women,</w:t>
                      </w:r>
                      <w:r w:rsidRPr="00874DE6">
                        <w:rPr>
                          <w:i/>
                          <w:sz w:val="16"/>
                          <w:szCs w:val="16"/>
                          <w:lang w:val="id-ID"/>
                        </w:rPr>
                        <w:t xml:space="preserve"> </w:t>
                      </w:r>
                      <w:r w:rsidRPr="00874DE6">
                        <w:rPr>
                          <w:i/>
                          <w:sz w:val="16"/>
                          <w:szCs w:val="16"/>
                        </w:rPr>
                        <w:t xml:space="preserve">the sector team concluded that </w:t>
                      </w:r>
                      <w:r w:rsidRPr="00874DE6">
                        <w:rPr>
                          <w:i/>
                          <w:sz w:val="16"/>
                          <w:szCs w:val="16"/>
                          <w:lang w:val="id-ID"/>
                        </w:rPr>
                        <w:t xml:space="preserve">women </w:t>
                      </w:r>
                      <w:r w:rsidRPr="00874DE6">
                        <w:rPr>
                          <w:i/>
                          <w:sz w:val="16"/>
                          <w:szCs w:val="16"/>
                        </w:rPr>
                        <w:t>needed</w:t>
                      </w:r>
                      <w:r w:rsidRPr="00874DE6">
                        <w:rPr>
                          <w:i/>
                          <w:sz w:val="16"/>
                          <w:szCs w:val="16"/>
                          <w:lang w:val="id-ID"/>
                        </w:rPr>
                        <w:t xml:space="preserve"> to be aware of new opportunities (e.g. better inputs) </w:t>
                      </w:r>
                      <w:r w:rsidRPr="00874DE6">
                        <w:rPr>
                          <w:i/>
                          <w:sz w:val="16"/>
                          <w:szCs w:val="16"/>
                        </w:rPr>
                        <w:t>and techniques</w:t>
                      </w:r>
                      <w:r w:rsidRPr="00874DE6">
                        <w:rPr>
                          <w:i/>
                          <w:sz w:val="16"/>
                          <w:szCs w:val="16"/>
                          <w:lang w:val="id-ID"/>
                        </w:rPr>
                        <w:t xml:space="preserve"> </w:t>
                      </w:r>
                      <w:r w:rsidRPr="00874DE6">
                        <w:rPr>
                          <w:i/>
                          <w:sz w:val="16"/>
                          <w:szCs w:val="16"/>
                        </w:rPr>
                        <w:t>t</w:t>
                      </w:r>
                      <w:r w:rsidRPr="00874DE6">
                        <w:rPr>
                          <w:i/>
                          <w:sz w:val="16"/>
                          <w:szCs w:val="16"/>
                          <w:lang w:val="id-ID"/>
                        </w:rPr>
                        <w:t xml:space="preserve">o contribute </w:t>
                      </w:r>
                      <w:r w:rsidRPr="00874DE6">
                        <w:rPr>
                          <w:i/>
                          <w:sz w:val="16"/>
                          <w:szCs w:val="16"/>
                        </w:rPr>
                        <w:t xml:space="preserve">to increased yields, higher incomes and improved household well-being. </w:t>
                      </w:r>
                    </w:p>
                    <w:p w14:paraId="5443996D" w14:textId="6AA36CD1" w:rsidR="00243660" w:rsidRPr="00874DE6" w:rsidRDefault="00243660" w:rsidP="00D64735">
                      <w:pPr>
                        <w:jc w:val="both"/>
                        <w:rPr>
                          <w:i/>
                          <w:sz w:val="16"/>
                          <w:szCs w:val="16"/>
                        </w:rPr>
                      </w:pPr>
                      <w:r w:rsidRPr="00874DE6">
                        <w:rPr>
                          <w:bCs/>
                          <w:i/>
                          <w:sz w:val="16"/>
                          <w:szCs w:val="16"/>
                        </w:rPr>
                        <w:t>Based on this analysis, the intervention design proposed utilising female retailers, the heads of female farmer groups (KWT) and female cooperatives to encourage the sale, by women, of seeds and the promotion of innovations in the adoption of mung bean GAP</w:t>
                      </w:r>
                      <w:r>
                        <w:rPr>
                          <w:bCs/>
                          <w:i/>
                          <w:sz w:val="16"/>
                          <w:szCs w:val="16"/>
                        </w:rPr>
                        <w:t>, to women farmers</w:t>
                      </w:r>
                      <w:r w:rsidRPr="00874DE6">
                        <w:rPr>
                          <w:bCs/>
                          <w:i/>
                          <w:sz w:val="16"/>
                          <w:szCs w:val="16"/>
                        </w:rPr>
                        <w:t>.</w:t>
                      </w:r>
                      <w:r>
                        <w:rPr>
                          <w:bCs/>
                          <w:i/>
                          <w:sz w:val="16"/>
                          <w:szCs w:val="16"/>
                        </w:rPr>
                        <w:t xml:space="preserve"> </w:t>
                      </w:r>
                      <w:r w:rsidRPr="00874DE6">
                        <w:rPr>
                          <w:i/>
                          <w:sz w:val="16"/>
                          <w:szCs w:val="16"/>
                        </w:rPr>
                        <w:t>By introducing better seeds and GAP through female groups/cooperatives (much of this on credit) the sector team expects to empower women through the following measured dimensions:</w:t>
                      </w:r>
                    </w:p>
                    <w:p w14:paraId="4061D42C" w14:textId="28C67420" w:rsidR="00243660" w:rsidRPr="00874DE6" w:rsidRDefault="00243660" w:rsidP="004B220D">
                      <w:pPr>
                        <w:numPr>
                          <w:ilvl w:val="0"/>
                          <w:numId w:val="39"/>
                        </w:numPr>
                        <w:spacing w:after="0" w:line="240" w:lineRule="auto"/>
                        <w:ind w:left="714" w:hanging="357"/>
                        <w:jc w:val="both"/>
                        <w:rPr>
                          <w:i/>
                          <w:sz w:val="16"/>
                          <w:szCs w:val="16"/>
                        </w:rPr>
                      </w:pPr>
                      <w:r w:rsidRPr="00874DE6">
                        <w:rPr>
                          <w:b/>
                          <w:i/>
                          <w:sz w:val="16"/>
                          <w:szCs w:val="16"/>
                        </w:rPr>
                        <w:t xml:space="preserve">Increased </w:t>
                      </w:r>
                      <w:r>
                        <w:rPr>
                          <w:b/>
                          <w:i/>
                          <w:sz w:val="16"/>
                          <w:szCs w:val="16"/>
                        </w:rPr>
                        <w:t>I</w:t>
                      </w:r>
                      <w:r w:rsidRPr="00874DE6">
                        <w:rPr>
                          <w:b/>
                          <w:i/>
                          <w:sz w:val="16"/>
                          <w:szCs w:val="16"/>
                        </w:rPr>
                        <w:t xml:space="preserve">ncome </w:t>
                      </w:r>
                      <w:r w:rsidRPr="00874DE6">
                        <w:rPr>
                          <w:i/>
                          <w:sz w:val="16"/>
                          <w:szCs w:val="16"/>
                        </w:rPr>
                        <w:t xml:space="preserve">from mung bean productivity gains will increase female farmers’ </w:t>
                      </w:r>
                      <w:r w:rsidRPr="00874DE6">
                        <w:rPr>
                          <w:bCs/>
                          <w:i/>
                          <w:sz w:val="16"/>
                          <w:szCs w:val="16"/>
                        </w:rPr>
                        <w:t>access to additional income with no additional cultivation workload.</w:t>
                      </w:r>
                    </w:p>
                    <w:p w14:paraId="04157334" w14:textId="77777777" w:rsidR="00243660" w:rsidRPr="00874DE6" w:rsidRDefault="00243660" w:rsidP="004B220D">
                      <w:pPr>
                        <w:numPr>
                          <w:ilvl w:val="0"/>
                          <w:numId w:val="39"/>
                        </w:numPr>
                        <w:spacing w:after="0" w:line="240" w:lineRule="auto"/>
                        <w:ind w:left="714" w:hanging="357"/>
                        <w:jc w:val="both"/>
                        <w:rPr>
                          <w:i/>
                          <w:sz w:val="16"/>
                          <w:szCs w:val="16"/>
                        </w:rPr>
                      </w:pPr>
                      <w:r w:rsidRPr="00874DE6">
                        <w:rPr>
                          <w:b/>
                          <w:bCs/>
                          <w:i/>
                          <w:sz w:val="16"/>
                          <w:szCs w:val="16"/>
                        </w:rPr>
                        <w:t>Access to Resources -</w:t>
                      </w:r>
                      <w:r w:rsidRPr="00874DE6">
                        <w:rPr>
                          <w:i/>
                          <w:sz w:val="16"/>
                          <w:szCs w:val="16"/>
                        </w:rPr>
                        <w:t xml:space="preserve"> where female farmer groups and cooperatives can access the seeds on credit</w:t>
                      </w:r>
                      <w:r w:rsidRPr="00874DE6">
                        <w:rPr>
                          <w:bCs/>
                          <w:i/>
                          <w:sz w:val="16"/>
                          <w:szCs w:val="16"/>
                        </w:rPr>
                        <w:t>.</w:t>
                      </w:r>
                    </w:p>
                    <w:p w14:paraId="45F155DA" w14:textId="77777777" w:rsidR="00243660" w:rsidRPr="00874DE6" w:rsidRDefault="00243660" w:rsidP="004B220D">
                      <w:pPr>
                        <w:numPr>
                          <w:ilvl w:val="0"/>
                          <w:numId w:val="39"/>
                        </w:numPr>
                        <w:spacing w:after="0" w:line="240" w:lineRule="auto"/>
                        <w:ind w:left="714" w:hanging="357"/>
                        <w:jc w:val="both"/>
                        <w:rPr>
                          <w:i/>
                          <w:sz w:val="16"/>
                          <w:szCs w:val="16"/>
                        </w:rPr>
                      </w:pPr>
                      <w:r w:rsidRPr="00874DE6">
                        <w:rPr>
                          <w:b/>
                          <w:bCs/>
                          <w:i/>
                          <w:sz w:val="16"/>
                          <w:szCs w:val="16"/>
                        </w:rPr>
                        <w:t>Decision-Making</w:t>
                      </w:r>
                      <w:r w:rsidRPr="00874DE6">
                        <w:rPr>
                          <w:i/>
                          <w:sz w:val="16"/>
                          <w:szCs w:val="16"/>
                        </w:rPr>
                        <w:t xml:space="preserve"> – utilising these groups as distribution channels will increase female farmers’ knowledge and </w:t>
                      </w:r>
                      <w:r w:rsidRPr="00874DE6">
                        <w:rPr>
                          <w:bCs/>
                          <w:i/>
                          <w:sz w:val="16"/>
                          <w:szCs w:val="16"/>
                        </w:rPr>
                        <w:t xml:space="preserve">autonomy in production-related decisions; </w:t>
                      </w:r>
                    </w:p>
                    <w:p w14:paraId="56775C5E" w14:textId="77777777" w:rsidR="00243660" w:rsidRPr="00874DE6" w:rsidRDefault="00243660" w:rsidP="004B220D">
                      <w:pPr>
                        <w:numPr>
                          <w:ilvl w:val="0"/>
                          <w:numId w:val="39"/>
                        </w:numPr>
                        <w:spacing w:after="0" w:line="240" w:lineRule="auto"/>
                        <w:ind w:left="714" w:hanging="357"/>
                        <w:jc w:val="both"/>
                        <w:rPr>
                          <w:i/>
                          <w:sz w:val="16"/>
                          <w:szCs w:val="16"/>
                        </w:rPr>
                      </w:pPr>
                      <w:r w:rsidRPr="00874DE6">
                        <w:rPr>
                          <w:b/>
                          <w:bCs/>
                          <w:i/>
                          <w:sz w:val="16"/>
                          <w:szCs w:val="16"/>
                        </w:rPr>
                        <w:t>Workload</w:t>
                      </w:r>
                      <w:r w:rsidRPr="00874DE6">
                        <w:rPr>
                          <w:i/>
                          <w:sz w:val="16"/>
                          <w:szCs w:val="16"/>
                        </w:rPr>
                        <w:t xml:space="preserve"> – female farmers manually sort the retained quality seeds from the previous season before planting; providing female farmers with new and certified seeds will reduce their pre-cultivation workload.</w:t>
                      </w:r>
                    </w:p>
                    <w:p w14:paraId="3C1F69A0" w14:textId="77777777" w:rsidR="00243660" w:rsidRPr="00874DE6" w:rsidRDefault="00243660" w:rsidP="004B220D">
                      <w:pPr>
                        <w:numPr>
                          <w:ilvl w:val="0"/>
                          <w:numId w:val="39"/>
                        </w:numPr>
                        <w:spacing w:after="0" w:line="240" w:lineRule="auto"/>
                        <w:ind w:left="714" w:hanging="357"/>
                        <w:jc w:val="both"/>
                        <w:rPr>
                          <w:i/>
                          <w:sz w:val="16"/>
                          <w:szCs w:val="16"/>
                        </w:rPr>
                      </w:pPr>
                      <w:r w:rsidRPr="00874DE6">
                        <w:rPr>
                          <w:b/>
                          <w:bCs/>
                          <w:i/>
                          <w:sz w:val="16"/>
                          <w:szCs w:val="16"/>
                        </w:rPr>
                        <w:t>Leadership</w:t>
                      </w:r>
                      <w:r w:rsidRPr="00874DE6">
                        <w:rPr>
                          <w:i/>
                          <w:sz w:val="16"/>
                          <w:szCs w:val="16"/>
                        </w:rPr>
                        <w:t xml:space="preserve"> – having new female ISPs in the market will result in </w:t>
                      </w:r>
                      <w:r w:rsidRPr="00874DE6">
                        <w:rPr>
                          <w:bCs/>
                          <w:i/>
                          <w:sz w:val="16"/>
                          <w:szCs w:val="16"/>
                        </w:rPr>
                        <w:t>new role models for female farmers</w:t>
                      </w:r>
                      <w:r w:rsidRPr="00874DE6">
                        <w:rPr>
                          <w:i/>
                          <w:sz w:val="16"/>
                          <w:szCs w:val="16"/>
                        </w:rPr>
                        <w:t>, thus increasing female leadership and inclusiveness in the long term.</w:t>
                      </w:r>
                    </w:p>
                    <w:p w14:paraId="1C23F30C" w14:textId="77777777" w:rsidR="00243660" w:rsidRPr="00874DE6" w:rsidRDefault="00243660" w:rsidP="00D64735">
                      <w:pPr>
                        <w:jc w:val="both"/>
                        <w:rPr>
                          <w:i/>
                          <w:sz w:val="16"/>
                          <w:szCs w:val="16"/>
                        </w:rPr>
                      </w:pPr>
                      <w:r w:rsidRPr="00874DE6">
                        <w:rPr>
                          <w:i/>
                          <w:sz w:val="16"/>
                          <w:szCs w:val="16"/>
                        </w:rPr>
                        <w:t>In addition to women’s empowerment, the following indicators on production were also proposed: an 88% increase in productivity and 146% in net attributable income change.</w:t>
                      </w:r>
                    </w:p>
                    <w:p w14:paraId="30240CA6" w14:textId="2207B114" w:rsidR="00243660" w:rsidRPr="00874DE6" w:rsidRDefault="00243660" w:rsidP="00D64735">
                      <w:pPr>
                        <w:rPr>
                          <w:sz w:val="18"/>
                          <w:szCs w:val="18"/>
                        </w:rPr>
                      </w:pPr>
                      <w:r w:rsidRPr="00874DE6">
                        <w:rPr>
                          <w:sz w:val="18"/>
                          <w:szCs w:val="18"/>
                        </w:rPr>
                        <w:t>Th</w:t>
                      </w:r>
                      <w:r>
                        <w:rPr>
                          <w:sz w:val="18"/>
                          <w:szCs w:val="18"/>
                        </w:rPr>
                        <w:t>is</w:t>
                      </w:r>
                      <w:r w:rsidRPr="00874DE6">
                        <w:rPr>
                          <w:sz w:val="18"/>
                          <w:szCs w:val="18"/>
                        </w:rPr>
                        <w:t xml:space="preserve"> show</w:t>
                      </w:r>
                      <w:r>
                        <w:rPr>
                          <w:sz w:val="18"/>
                          <w:szCs w:val="18"/>
                        </w:rPr>
                        <w:t>s</w:t>
                      </w:r>
                      <w:r w:rsidRPr="00874DE6">
                        <w:rPr>
                          <w:sz w:val="18"/>
                          <w:szCs w:val="18"/>
                        </w:rPr>
                        <w:t xml:space="preserve"> a growing sophistication on the part of PRISMA staff to understand women’s roles, challenges and opportunities and to design and implement interventions that will lead to systemic change for women in agriculture and for the agricultural sectors themselves.</w:t>
                      </w:r>
                    </w:p>
                  </w:txbxContent>
                </v:textbox>
                <w10:wrap type="square" anchorx="margin"/>
              </v:shape>
            </w:pict>
          </mc:Fallback>
        </mc:AlternateContent>
      </w:r>
      <w:r w:rsidR="00D2176E" w:rsidRPr="00B1619E">
        <w:t xml:space="preserve">Taking into account that indigenous peoples often face social and economic disadvantage, the </w:t>
      </w:r>
      <w:r w:rsidR="00D2176E">
        <w:t>PRISMA-2</w:t>
      </w:r>
      <w:r w:rsidR="00D2176E" w:rsidRPr="00B1619E">
        <w:t xml:space="preserve"> program will also seek to improve economic opportunities for indigenous people in Papua</w:t>
      </w:r>
      <w:r w:rsidR="00D2176E">
        <w:t xml:space="preserve"> and West Papua</w:t>
      </w:r>
      <w:r w:rsidR="00D2176E" w:rsidRPr="00B1619E">
        <w:t xml:space="preserve"> (</w:t>
      </w:r>
      <w:r w:rsidR="00D2176E">
        <w:t>two</w:t>
      </w:r>
      <w:r w:rsidR="00D2176E" w:rsidRPr="00B1619E">
        <w:t xml:space="preserve"> of the target provinces)</w:t>
      </w:r>
      <w:r w:rsidR="00D2176E">
        <w:t>,</w:t>
      </w:r>
      <w:r w:rsidR="00D2176E" w:rsidRPr="00B1619E">
        <w:t xml:space="preserve"> through program interventions</w:t>
      </w:r>
      <w:r w:rsidR="00D2176E">
        <w:t xml:space="preserve"> and collaboration with local NGOs</w:t>
      </w:r>
      <w:r w:rsidR="00D2176E" w:rsidRPr="00B1619E">
        <w:t xml:space="preserve">. </w:t>
      </w:r>
      <w:r w:rsidR="00DE43DE">
        <w:t>This</w:t>
      </w:r>
      <w:r w:rsidR="00D2176E" w:rsidRPr="00B1619E">
        <w:t xml:space="preserve"> will be guided by the DFAT Indigenous Peoples Strategy 2</w:t>
      </w:r>
      <w:r w:rsidR="008B0BC5">
        <w:t>015-19: A Framework for Action.</w:t>
      </w:r>
    </w:p>
    <w:p w14:paraId="08DBA592" w14:textId="726B91A2" w:rsidR="00DF74CC" w:rsidRDefault="004C6AF9" w:rsidP="00DF74CC">
      <w:pPr>
        <w:pStyle w:val="BodyText"/>
      </w:pPr>
      <w:proofErr w:type="gramStart"/>
      <w:r w:rsidRPr="004C6AF9">
        <w:t>Guided by the Australian Government’s Development for All 2015-2020:</w:t>
      </w:r>
      <w:r>
        <w:t xml:space="preserve"> </w:t>
      </w:r>
      <w:r w:rsidRPr="004C6AF9">
        <w:t>Strategy for strengthening disability-inclusive development in Australia’s aid program, PRISMA</w:t>
      </w:r>
      <w:r>
        <w:t>-2 will maintain and improve the</w:t>
      </w:r>
      <w:r w:rsidRPr="004C6AF9">
        <w:t xml:space="preserve"> disability strategy developed in AIP Rural.</w:t>
      </w:r>
      <w:proofErr w:type="gramEnd"/>
      <w:r w:rsidRPr="004C6AF9">
        <w:t xml:space="preserve"> </w:t>
      </w:r>
      <w:r w:rsidR="00DF74CC" w:rsidRPr="004C6AF9">
        <w:t>Approximately</w:t>
      </w:r>
      <w:r w:rsidR="00DF74CC" w:rsidRPr="00B1619E">
        <w:t xml:space="preserve"> 15-20% of the population of Indonesia </w:t>
      </w:r>
      <w:r w:rsidR="00DF74CC">
        <w:t xml:space="preserve">are </w:t>
      </w:r>
      <w:r w:rsidR="00DF74CC">
        <w:lastRenderedPageBreak/>
        <w:t>estimated</w:t>
      </w:r>
      <w:r w:rsidR="00DF74CC" w:rsidRPr="00B1619E">
        <w:t xml:space="preserve"> to have some form of disability</w:t>
      </w:r>
      <w:r w:rsidR="00DF74CC">
        <w:t xml:space="preserve">. </w:t>
      </w:r>
      <w:r w:rsidR="00A919A0">
        <w:t>P</w:t>
      </w:r>
      <w:r w:rsidR="00DF74CC">
        <w:t xml:space="preserve">eople with </w:t>
      </w:r>
      <w:r w:rsidR="00DF74CC" w:rsidRPr="00B1619E">
        <w:t>disabilities</w:t>
      </w:r>
      <w:r w:rsidR="00A919A0">
        <w:t xml:space="preserve"> in Indonesia</w:t>
      </w:r>
      <w:r w:rsidR="00DF74CC" w:rsidRPr="00B1619E">
        <w:t xml:space="preserve"> are often largely invisible, facing multiple barriers to accessing economic opportunities</w:t>
      </w:r>
      <w:r w:rsidR="00DF74CC">
        <w:t xml:space="preserve"> in Indonesia</w:t>
      </w:r>
      <w:r>
        <w:t>.</w:t>
      </w:r>
    </w:p>
    <w:p w14:paraId="6D6B90C0" w14:textId="1F6C6540" w:rsidR="00DF74CC" w:rsidRPr="004C6AF9" w:rsidRDefault="00A919A0" w:rsidP="00DF74CC">
      <w:pPr>
        <w:pStyle w:val="BodyText"/>
      </w:pPr>
      <w:r w:rsidRPr="004C6AF9">
        <w:t>AIP-Rural</w:t>
      </w:r>
      <w:r w:rsidR="00DF74CC" w:rsidRPr="004C6AF9">
        <w:t xml:space="preserve"> </w:t>
      </w:r>
      <w:r w:rsidR="004C6AF9" w:rsidRPr="004C6AF9">
        <w:t>has developed a</w:t>
      </w:r>
      <w:r w:rsidR="00DF74CC" w:rsidRPr="004C6AF9">
        <w:t xml:space="preserve"> </w:t>
      </w:r>
      <w:r w:rsidR="004C6AF9" w:rsidRPr="004C6AF9">
        <w:t xml:space="preserve">disability </w:t>
      </w:r>
      <w:r w:rsidR="00DF74CC" w:rsidRPr="004C6AF9">
        <w:t xml:space="preserve">guideline </w:t>
      </w:r>
      <w:r w:rsidR="004C6AF9" w:rsidRPr="004C6AF9">
        <w:t xml:space="preserve">which aims to ensure that interventions are inclusive of people with disability and that impact is captured. For example, </w:t>
      </w:r>
      <w:r w:rsidR="00DF74CC" w:rsidRPr="004C6AF9">
        <w:t xml:space="preserve">program personnel </w:t>
      </w:r>
      <w:r w:rsidR="004C6AF9" w:rsidRPr="004C6AF9">
        <w:t xml:space="preserve">have been trained </w:t>
      </w:r>
      <w:r w:rsidR="00DF74CC" w:rsidRPr="004C6AF9">
        <w:t>on disability and other inclusion issues</w:t>
      </w:r>
      <w:r w:rsidR="004C6AF9">
        <w:t xml:space="preserve"> and appointed</w:t>
      </w:r>
      <w:r w:rsidR="00DF74CC" w:rsidRPr="004C6AF9">
        <w:t xml:space="preserve"> disability focal points. </w:t>
      </w:r>
      <w:r w:rsidR="004C6AF9" w:rsidRPr="004C6AF9">
        <w:t xml:space="preserve">Impact is captured in the MRM and MIS measurement system </w:t>
      </w:r>
      <w:r w:rsidR="00DF74CC" w:rsidRPr="004C6AF9">
        <w:t xml:space="preserve">through inclusion </w:t>
      </w:r>
      <w:r w:rsidR="004C6AF9" w:rsidRPr="004C6AF9">
        <w:t xml:space="preserve">of disability </w:t>
      </w:r>
      <w:r w:rsidR="00DF74CC" w:rsidRPr="004C6AF9">
        <w:t>in intervention bas</w:t>
      </w:r>
      <w:r w:rsidR="004C6AF9" w:rsidRPr="004C6AF9">
        <w:t>elines, impact assessments, and focus group discussions.</w:t>
      </w:r>
    </w:p>
    <w:p w14:paraId="1CF646D4" w14:textId="574C7ED7" w:rsidR="004A49AC" w:rsidRPr="00831DD7" w:rsidRDefault="004A49AC" w:rsidP="00274C18">
      <w:pPr>
        <w:pStyle w:val="Heading3"/>
      </w:pPr>
      <w:bookmarkStart w:id="30" w:name="_Toc499298859"/>
      <w:r w:rsidRPr="00831DD7">
        <w:t>Child Protection</w:t>
      </w:r>
      <w:bookmarkEnd w:id="30"/>
    </w:p>
    <w:p w14:paraId="5ECD1CF8" w14:textId="64793BEB" w:rsidR="004A49AC" w:rsidRPr="00B1619E" w:rsidRDefault="0093732E" w:rsidP="00831DD7">
      <w:r w:rsidRPr="00B1619E">
        <w:t xml:space="preserve">Child protection will be integrated </w:t>
      </w:r>
      <w:r w:rsidR="008B7106">
        <w:t>in PRISMA-2</w:t>
      </w:r>
      <w:r w:rsidRPr="00B1619E">
        <w:t xml:space="preserve"> </w:t>
      </w:r>
      <w:r w:rsidR="00831DD7" w:rsidRPr="00B1619E">
        <w:t xml:space="preserve">and </w:t>
      </w:r>
      <w:r w:rsidR="00DE43DE">
        <w:t>its</w:t>
      </w:r>
      <w:r w:rsidR="00831DD7" w:rsidRPr="00B1619E">
        <w:t xml:space="preserve"> partnerships</w:t>
      </w:r>
      <w:r w:rsidR="00DE43DE">
        <w:t xml:space="preserve"> to ensure appropriate</w:t>
      </w:r>
      <w:r w:rsidRPr="00B1619E">
        <w:t xml:space="preserve"> safeguards</w:t>
      </w:r>
      <w:r w:rsidR="00DE43DE">
        <w:t xml:space="preserve"> are in place</w:t>
      </w:r>
      <w:r w:rsidRPr="00B1619E">
        <w:t xml:space="preserve"> to </w:t>
      </w:r>
      <w:r w:rsidR="008B7106">
        <w:t xml:space="preserve">protect children, </w:t>
      </w:r>
      <w:r w:rsidRPr="00B1619E">
        <w:t xml:space="preserve">prevent child exploitation </w:t>
      </w:r>
      <w:r w:rsidR="00634D82" w:rsidRPr="00B1619E">
        <w:t>in agriculture</w:t>
      </w:r>
      <w:r w:rsidR="00DE43DE">
        <w:t>,</w:t>
      </w:r>
      <w:r w:rsidR="00634D82" w:rsidRPr="00B1619E">
        <w:t xml:space="preserve"> </w:t>
      </w:r>
      <w:r w:rsidRPr="00B1619E">
        <w:t xml:space="preserve">and comply with applicable laws on child labour. </w:t>
      </w:r>
      <w:r w:rsidR="00C458B8" w:rsidRPr="00B1619E">
        <w:t xml:space="preserve">All program personnel will undertake training in child protection and the Contractor will </w:t>
      </w:r>
      <w:r w:rsidR="00847B82">
        <w:t xml:space="preserve">maintain existing or </w:t>
      </w:r>
      <w:r w:rsidR="00C458B8" w:rsidRPr="00B1619E">
        <w:t xml:space="preserve">develop </w:t>
      </w:r>
      <w:r w:rsidR="00847B82">
        <w:t xml:space="preserve">new </w:t>
      </w:r>
      <w:r w:rsidR="00C458B8" w:rsidRPr="00B1619E">
        <w:t>program specific child protection guidelines based on risk assessments undertaken through AIP-Rural</w:t>
      </w:r>
      <w:r w:rsidR="00B61E85" w:rsidRPr="00B1619E">
        <w:t>.</w:t>
      </w:r>
      <w:r w:rsidR="00FB79BA">
        <w:t xml:space="preserve"> In particular, </w:t>
      </w:r>
      <w:r w:rsidR="005D461A">
        <w:t>PRISMA-2</w:t>
      </w:r>
      <w:r w:rsidRPr="00B1619E">
        <w:t xml:space="preserve"> will work with </w:t>
      </w:r>
      <w:r w:rsidR="008B7106">
        <w:t>partner</w:t>
      </w:r>
      <w:r w:rsidRPr="00B1619E">
        <w:t xml:space="preserve"> businesses to ensure avoidance of “the infringement of children’s protection rights: in the delivery of activities and services by the business itself; by any operations in the supply and value chain; or indirectly through suppliers, customers and other business partners”</w:t>
      </w:r>
      <w:r w:rsidR="00355781">
        <w:rPr>
          <w:rStyle w:val="FootnoteReference"/>
        </w:rPr>
        <w:footnoteReference w:id="60"/>
      </w:r>
      <w:r w:rsidRPr="00B1619E">
        <w:t xml:space="preserve">. All </w:t>
      </w:r>
      <w:r w:rsidR="005D461A">
        <w:t>PRISMA-2</w:t>
      </w:r>
      <w:r w:rsidRPr="00B1619E">
        <w:t xml:space="preserve"> </w:t>
      </w:r>
      <w:r w:rsidR="00D75193">
        <w:t xml:space="preserve">co-facilitator </w:t>
      </w:r>
      <w:r w:rsidRPr="00B1619E">
        <w:t>partners will</w:t>
      </w:r>
      <w:r w:rsidR="00831DD7" w:rsidRPr="00B1619E">
        <w:t xml:space="preserve"> be expected to have a child protection policy and framework that complies with</w:t>
      </w:r>
      <w:r w:rsidRPr="00B1619E">
        <w:t xml:space="preserve"> DFAT</w:t>
      </w:r>
      <w:r w:rsidR="008B7106">
        <w:t>’s</w:t>
      </w:r>
      <w:r w:rsidRPr="00B1619E">
        <w:t xml:space="preserve"> Child Protection Policy and relevant DFAT guidance notes on child protection in agriculture and private enterprises.  </w:t>
      </w:r>
    </w:p>
    <w:p w14:paraId="2469672C" w14:textId="77777777" w:rsidR="001A4316" w:rsidRPr="00F155AD" w:rsidRDefault="001A4316" w:rsidP="00274C18">
      <w:pPr>
        <w:pStyle w:val="Heading3"/>
      </w:pPr>
      <w:bookmarkStart w:id="31" w:name="_Toc499298860"/>
      <w:r w:rsidRPr="00457EC6">
        <w:t>Nutrition</w:t>
      </w:r>
      <w:bookmarkEnd w:id="31"/>
    </w:p>
    <w:p w14:paraId="1FE031D3" w14:textId="27C8F15B" w:rsidR="001A4316" w:rsidRPr="001A4316" w:rsidRDefault="00163046" w:rsidP="00FF7AF2">
      <w:r>
        <w:t xml:space="preserve">PRISMA-2 will align with the 2015 DFAT Operational Guidance Note on Nutrition Sensitive Agriculture.  </w:t>
      </w:r>
      <w:r w:rsidR="001A4316">
        <w:t xml:space="preserve">While improved </w:t>
      </w:r>
      <w:r w:rsidR="001A4316" w:rsidRPr="00B1619E">
        <w:t>nutrition</w:t>
      </w:r>
      <w:r w:rsidR="001A4316">
        <w:t xml:space="preserve"> will not be a direct program outcome of </w:t>
      </w:r>
      <w:r w:rsidR="005D461A">
        <w:t>PRISMA-2</w:t>
      </w:r>
      <w:r w:rsidR="001A4316">
        <w:t xml:space="preserve">, the </w:t>
      </w:r>
      <w:r w:rsidR="00A919A0">
        <w:t>P</w:t>
      </w:r>
      <w:r w:rsidR="001A4316">
        <w:t xml:space="preserve">rogram will promote </w:t>
      </w:r>
      <w:r w:rsidR="00A919A0">
        <w:t xml:space="preserve">increased food security and </w:t>
      </w:r>
      <w:r w:rsidR="001A4316">
        <w:t>nutrition-sensitive agriculture. Firstly, it is expected that increasing agricultural productivity and smallholder farm</w:t>
      </w:r>
      <w:r w:rsidR="009375F9">
        <w:t>ing</w:t>
      </w:r>
      <w:r w:rsidR="001A4316">
        <w:t xml:space="preserve"> household income</w:t>
      </w:r>
      <w:r w:rsidR="00A919A0">
        <w:t>s</w:t>
      </w:r>
      <w:r w:rsidR="001A4316">
        <w:t xml:space="preserve"> will </w:t>
      </w:r>
      <w:r w:rsidR="009375F9">
        <w:t xml:space="preserve">improve </w:t>
      </w:r>
      <w:r w:rsidR="001A4316">
        <w:t>nutritional outcomes for the</w:t>
      </w:r>
      <w:r>
        <w:t xml:space="preserve"> targeted</w:t>
      </w:r>
      <w:r w:rsidR="001A4316">
        <w:t xml:space="preserve"> 700,000 households. </w:t>
      </w:r>
      <w:r w:rsidR="009A182B">
        <w:t xml:space="preserve">Secondly, investment in interventions across a range of commodities will promote crop diversification, </w:t>
      </w:r>
      <w:r w:rsidR="00142216">
        <w:t xml:space="preserve">including in high-nutrition commodities, </w:t>
      </w:r>
      <w:r w:rsidR="009A182B">
        <w:t>which should in turn support improved nutrition and food security</w:t>
      </w:r>
      <w:r w:rsidR="00A919A0">
        <w:t>,</w:t>
      </w:r>
      <w:r w:rsidR="009A182B">
        <w:t xml:space="preserve"> as well as</w:t>
      </w:r>
      <w:r w:rsidR="00A919A0">
        <w:t xml:space="preserve"> the</w:t>
      </w:r>
      <w:r w:rsidR="009A182B">
        <w:t xml:space="preserve"> sustainable delivery of program outcomes.</w:t>
      </w:r>
      <w:r w:rsidR="00FF7AF2">
        <w:t xml:space="preserve"> </w:t>
      </w:r>
      <w:r w:rsidR="00A919A0">
        <w:t xml:space="preserve">PRISMA-2 </w:t>
      </w:r>
      <w:r w:rsidR="00142216">
        <w:t xml:space="preserve">will </w:t>
      </w:r>
      <w:r w:rsidR="009A182B">
        <w:t xml:space="preserve">explore </w:t>
      </w:r>
      <w:r w:rsidR="00A919A0">
        <w:t>practical</w:t>
      </w:r>
      <w:r w:rsidR="00142216">
        <w:t xml:space="preserve"> </w:t>
      </w:r>
      <w:r w:rsidR="009A182B">
        <w:t xml:space="preserve">methods of tracking </w:t>
      </w:r>
      <w:r w:rsidR="00142216">
        <w:t xml:space="preserve">indirect </w:t>
      </w:r>
      <w:r w:rsidR="009A182B">
        <w:t>nutrition outcomes</w:t>
      </w:r>
      <w:r w:rsidR="00142216">
        <w:t>,</w:t>
      </w:r>
      <w:r w:rsidR="009A182B">
        <w:t xml:space="preserve"> such as </w:t>
      </w:r>
      <w:r w:rsidR="00142216">
        <w:t xml:space="preserve">through </w:t>
      </w:r>
      <w:r w:rsidR="009A182B">
        <w:t xml:space="preserve">collaborating with other DFAT supported programs that specifically work on this issue, incorporating indicators </w:t>
      </w:r>
      <w:r w:rsidR="00FF7AF2">
        <w:t>on how farming households use additional income</w:t>
      </w:r>
      <w:r w:rsidR="00142216">
        <w:t xml:space="preserve">, </w:t>
      </w:r>
      <w:r w:rsidR="00A919A0">
        <w:t>conducting longitudinal studies</w:t>
      </w:r>
      <w:r w:rsidR="00142216">
        <w:t>, or</w:t>
      </w:r>
      <w:r w:rsidR="00E12335">
        <w:t xml:space="preserve"> triangulating </w:t>
      </w:r>
      <w:r w:rsidR="00142216">
        <w:t xml:space="preserve">impact assessments </w:t>
      </w:r>
      <w:r w:rsidR="00E12335">
        <w:t>wi</w:t>
      </w:r>
      <w:r w:rsidR="00142216">
        <w:t xml:space="preserve">th </w:t>
      </w:r>
      <w:r w:rsidR="00E12335">
        <w:t xml:space="preserve">data </w:t>
      </w:r>
      <w:r w:rsidR="00FF7AF2">
        <w:t xml:space="preserve">on children’s </w:t>
      </w:r>
      <w:r w:rsidR="00142216">
        <w:t>nutrition</w:t>
      </w:r>
      <w:r w:rsidR="00FF7AF2">
        <w:t xml:space="preserve"> available </w:t>
      </w:r>
      <w:r w:rsidR="00A919A0">
        <w:t>from</w:t>
      </w:r>
      <w:r w:rsidR="009A182B">
        <w:t xml:space="preserve"> </w:t>
      </w:r>
      <w:proofErr w:type="spellStart"/>
      <w:r w:rsidR="00A919A0">
        <w:t>P</w:t>
      </w:r>
      <w:r w:rsidR="00E12335">
        <w:t>osyandu</w:t>
      </w:r>
      <w:proofErr w:type="spellEnd"/>
      <w:r w:rsidR="00E12335">
        <w:t xml:space="preserve"> </w:t>
      </w:r>
      <w:r w:rsidR="00FF7AF2">
        <w:t xml:space="preserve">or other local level agencies.  </w:t>
      </w:r>
    </w:p>
    <w:p w14:paraId="238F2CD4" w14:textId="1F44160D" w:rsidR="004A49AC" w:rsidRPr="00831DD7" w:rsidRDefault="00406AB6" w:rsidP="00274C18">
      <w:pPr>
        <w:pStyle w:val="Heading3"/>
      </w:pPr>
      <w:bookmarkStart w:id="32" w:name="_Toc499298861"/>
      <w:r>
        <w:t>Safeguards</w:t>
      </w:r>
      <w:bookmarkEnd w:id="32"/>
    </w:p>
    <w:p w14:paraId="3C5D102B" w14:textId="42EF7849" w:rsidR="004170C6" w:rsidRDefault="004170C6" w:rsidP="004170C6">
      <w:r w:rsidRPr="00457EC6">
        <w:rPr>
          <w:b/>
        </w:rPr>
        <w:t>Environmental safeguards</w:t>
      </w:r>
      <w:r>
        <w:rPr>
          <w:b/>
        </w:rPr>
        <w:t xml:space="preserve"> </w:t>
      </w:r>
      <w:r>
        <w:t>will continue to be guided by DFAT’s Environmental Policy</w:t>
      </w:r>
      <w:r>
        <w:rPr>
          <w:rStyle w:val="FootnoteReference"/>
        </w:rPr>
        <w:footnoteReference w:id="61"/>
      </w:r>
      <w:r>
        <w:t>, Australian Government legislation,</w:t>
      </w:r>
      <w:r>
        <w:rPr>
          <w:rStyle w:val="FootnoteReference"/>
        </w:rPr>
        <w:footnoteReference w:id="62"/>
      </w:r>
      <w:r>
        <w:t xml:space="preserve"> and Government of Indonesia environment law</w:t>
      </w:r>
      <w:r>
        <w:rPr>
          <w:rStyle w:val="FootnoteReference"/>
        </w:rPr>
        <w:footnoteReference w:id="63"/>
      </w:r>
      <w:r>
        <w:t xml:space="preserve"> and regulations related to water and agriculture.</w:t>
      </w:r>
      <w:r w:rsidR="00B3524F">
        <w:t xml:space="preserve"> PRISMA-2 will continue current practices in environmental impact management and is expected to continuously review and evaluate existing environment assessments and practices for further improvement and management of risk. </w:t>
      </w:r>
    </w:p>
    <w:p w14:paraId="1061D1D1" w14:textId="2A63589A" w:rsidR="00B3524F" w:rsidRDefault="00B3524F" w:rsidP="004170C6">
      <w:r>
        <w:t xml:space="preserve">Building on </w:t>
      </w:r>
      <w:r w:rsidR="00C00F11">
        <w:t>AIP-Rural</w:t>
      </w:r>
      <w:r>
        <w:t xml:space="preserve">, PRISMA-2 will take a </w:t>
      </w:r>
      <w:r w:rsidR="004170C6">
        <w:t>multi-tier approach to environmental safeguards, including</w:t>
      </w:r>
      <w:r>
        <w:t>:</w:t>
      </w:r>
    </w:p>
    <w:p w14:paraId="58AF0C18" w14:textId="77777777" w:rsidR="00B3524F" w:rsidRDefault="00B3524F" w:rsidP="00B3524F">
      <w:pPr>
        <w:pStyle w:val="ListParagraph"/>
        <w:numPr>
          <w:ilvl w:val="0"/>
          <w:numId w:val="65"/>
        </w:numPr>
      </w:pPr>
      <w:r>
        <w:t>An</w:t>
      </w:r>
      <w:r w:rsidR="004170C6">
        <w:t xml:space="preserve"> overarching Environment Strategy and Assessment (focusing on a Do No Harm approach an</w:t>
      </w:r>
      <w:r>
        <w:t>d Good Agricultural Practices)</w:t>
      </w:r>
    </w:p>
    <w:p w14:paraId="4DDA01DA" w14:textId="43EB5E00" w:rsidR="00B3524F" w:rsidRDefault="00B3524F" w:rsidP="00B3524F">
      <w:pPr>
        <w:pStyle w:val="ListParagraph"/>
        <w:numPr>
          <w:ilvl w:val="0"/>
          <w:numId w:val="65"/>
        </w:numPr>
      </w:pPr>
      <w:r>
        <w:lastRenderedPageBreak/>
        <w:t>Fu</w:t>
      </w:r>
      <w:r w:rsidR="004170C6">
        <w:t>ll integration of safeguards into</w:t>
      </w:r>
      <w:r>
        <w:t xml:space="preserve"> the intervention portfolio management process (</w:t>
      </w:r>
      <w:r w:rsidR="004170C6">
        <w:t>intervention concept notes, quality management, and risk management s</w:t>
      </w:r>
      <w:r>
        <w:t xml:space="preserve">ystems) </w:t>
      </w:r>
      <w:proofErr w:type="spellStart"/>
      <w:r>
        <w:t>eg</w:t>
      </w:r>
      <w:proofErr w:type="spellEnd"/>
      <w:r>
        <w:t xml:space="preserve">. </w:t>
      </w:r>
      <w:proofErr w:type="gramStart"/>
      <w:r>
        <w:t>every</w:t>
      </w:r>
      <w:proofErr w:type="gramEnd"/>
      <w:r>
        <w:t xml:space="preserve"> intervention sector analysis includes an environmental impact assessment which results in risk ratings of low, moderate, or high. Interventions with an environmental risk rating of moderate and above will be dropped. Regular monitoring includes a report on environmental risk mitigation progress, which is semi-annually evaluated.</w:t>
      </w:r>
    </w:p>
    <w:p w14:paraId="57DD2745" w14:textId="1E85AE99" w:rsidR="00B3524F" w:rsidRDefault="00B3524F" w:rsidP="00B3524F">
      <w:pPr>
        <w:pStyle w:val="ListParagraph"/>
        <w:numPr>
          <w:ilvl w:val="0"/>
          <w:numId w:val="65"/>
        </w:numPr>
      </w:pPr>
      <w:r>
        <w:t xml:space="preserve">Conducting Environmental Impact Assessments for </w:t>
      </w:r>
      <w:r w:rsidR="004170C6">
        <w:t>sector</w:t>
      </w:r>
      <w:r>
        <w:t>s</w:t>
      </w:r>
      <w:r w:rsidR="004170C6">
        <w:t xml:space="preserve"> or geographic </w:t>
      </w:r>
      <w:r>
        <w:t>areas that have specific risks</w:t>
      </w:r>
      <w:r w:rsidR="004170C6">
        <w:t xml:space="preserve"> </w:t>
      </w:r>
      <w:r>
        <w:t xml:space="preserve">(e.g. extraction of water from river systems, </w:t>
      </w:r>
      <w:proofErr w:type="gramStart"/>
      <w:r>
        <w:t>those introducing good agricultural practice use</w:t>
      </w:r>
      <w:proofErr w:type="gramEnd"/>
      <w:r>
        <w:t xml:space="preserve"> of inputs).</w:t>
      </w:r>
    </w:p>
    <w:p w14:paraId="59422773" w14:textId="3D60289A" w:rsidR="004170C6" w:rsidRDefault="00B3524F" w:rsidP="00B3524F">
      <w:r>
        <w:t xml:space="preserve">The Program </w:t>
      </w:r>
      <w:r w:rsidR="004170C6">
        <w:t xml:space="preserve">engages environment experts to assess environmental risks and protection measures, and </w:t>
      </w:r>
      <w:r>
        <w:t>can commission</w:t>
      </w:r>
      <w:r w:rsidR="004170C6">
        <w:t xml:space="preserve"> specific technical advice on emerging issues such as the impact of changes in weather patterns, natural disasters, and climate change.</w:t>
      </w:r>
    </w:p>
    <w:p w14:paraId="71D92AD2" w14:textId="2A4119C0" w:rsidR="004170C6" w:rsidRDefault="004170C6" w:rsidP="004170C6">
      <w:r>
        <w:t>PRISMA-2 will manage</w:t>
      </w:r>
      <w:r w:rsidRPr="00457EC6">
        <w:t xml:space="preserve"> the risks associated with pesticides and other chemicals in food and agriculture with intervention plans that include integrated pest management, good practice management and standard operating procedures</w:t>
      </w:r>
      <w:r>
        <w:t xml:space="preserve"> that align with international good practice.</w:t>
      </w:r>
      <w:r w:rsidRPr="00457EC6">
        <w:t xml:space="preserve"> Partners and</w:t>
      </w:r>
      <w:r>
        <w:t xml:space="preserve"> intermediate service providers will train</w:t>
      </w:r>
      <w:r w:rsidRPr="00457EC6">
        <w:t xml:space="preserve"> farmers in these good practices and procedures and monitor their use with support from </w:t>
      </w:r>
      <w:r>
        <w:t>PRISMA-2.</w:t>
      </w:r>
      <w:r>
        <w:rPr>
          <w:szCs w:val="24"/>
          <w:lang w:val="en-US"/>
        </w:rPr>
        <w:t xml:space="preserve"> </w:t>
      </w:r>
      <w:r>
        <w:t xml:space="preserve"> I</w:t>
      </w:r>
      <w:r w:rsidRPr="00457EC6">
        <w:t>nterventions introducing pesticides and other chemicals to food and agricultural producers will meet Indonesian standards and only use inputs licensed for use in Indonesia (</w:t>
      </w:r>
      <w:r w:rsidRPr="00457EC6">
        <w:rPr>
          <w:i/>
        </w:rPr>
        <w:t>e.g</w:t>
      </w:r>
      <w:r w:rsidRPr="00457EC6">
        <w:t>. as per label permits) as well as comply with relevant standards</w:t>
      </w:r>
      <w:r>
        <w:t>.</w:t>
      </w:r>
      <w:r w:rsidRPr="00457EC6">
        <w:t xml:space="preserve"> </w:t>
      </w:r>
    </w:p>
    <w:p w14:paraId="5B27D874" w14:textId="02039613" w:rsidR="009B34E4" w:rsidRPr="00772FC3" w:rsidRDefault="007B172C" w:rsidP="00772FC3">
      <w:pPr>
        <w:pStyle w:val="BodyText"/>
        <w:rPr>
          <w:sz w:val="20"/>
        </w:rPr>
      </w:pPr>
      <w:r w:rsidRPr="00355781">
        <w:rPr>
          <w:b/>
        </w:rPr>
        <w:t>Animal welfare</w:t>
      </w:r>
      <w:r w:rsidRPr="00355781">
        <w:t xml:space="preserve"> will continue to be </w:t>
      </w:r>
      <w:r w:rsidR="00243660">
        <w:t>actively promoted</w:t>
      </w:r>
      <w:r>
        <w:t xml:space="preserve"> in the design and implementation of PRISMA-2 interventions. </w:t>
      </w:r>
      <w:r w:rsidR="00243660">
        <w:t>Under AIP-Rural, t</w:t>
      </w:r>
      <w:r>
        <w:t xml:space="preserve">he welfare of cattle and pigs was </w:t>
      </w:r>
      <w:r w:rsidR="00243660">
        <w:t xml:space="preserve">improved </w:t>
      </w:r>
      <w:r>
        <w:t xml:space="preserve">by promoting Good Rearing Practices, including </w:t>
      </w:r>
      <w:r w:rsidR="00243660">
        <w:t xml:space="preserve">veterinary services, </w:t>
      </w:r>
      <w:r>
        <w:t xml:space="preserve">clean and well-ventilated shelter, </w:t>
      </w:r>
      <w:proofErr w:type="gramStart"/>
      <w:r>
        <w:rPr>
          <w:i/>
        </w:rPr>
        <w:t>ad</w:t>
      </w:r>
      <w:proofErr w:type="gramEnd"/>
      <w:r>
        <w:rPr>
          <w:i/>
        </w:rPr>
        <w:t xml:space="preserve"> libitum </w:t>
      </w:r>
      <w:r w:rsidRPr="00C80956">
        <w:t>access to fresh water</w:t>
      </w:r>
      <w:r>
        <w:t>, and rubber-stand mats for cattle on concrete pads (e.g. dairy cattle and some small-scale beef cattle feeding interventions). These practices will be continued and further strengthened in PRISMA-2 to ensure that interventions in commodities involving animals continue to apply animal welfare safeguards aligned with GAP standards codified in Indonesia and ASEAN. Program interventions with a focus on animals will continue to comply with DFAT Safeguard Manuals</w:t>
      </w:r>
      <w:r>
        <w:rPr>
          <w:rStyle w:val="FootnoteReference"/>
        </w:rPr>
        <w:footnoteReference w:id="64"/>
      </w:r>
      <w:r>
        <w:t xml:space="preserve"> and Impact Assessments will be completed for those interventions that include specific risks related to the management of farm animals to identify specific animal welfare considerations and safeguards. Interventions involving animal production will meet Indonesian animal welfare standards where they exist</w:t>
      </w:r>
      <w:r>
        <w:rPr>
          <w:sz w:val="20"/>
        </w:rPr>
        <w:t>.</w:t>
      </w:r>
      <w:r>
        <w:rPr>
          <w:rStyle w:val="FootnoteReference"/>
          <w:sz w:val="20"/>
        </w:rPr>
        <w:footnoteReference w:id="65"/>
      </w:r>
    </w:p>
    <w:p w14:paraId="3E364CE8" w14:textId="7F0D44D7" w:rsidR="004A49AC" w:rsidRPr="00EB7BBB" w:rsidRDefault="004A49AC" w:rsidP="00274C18">
      <w:pPr>
        <w:pStyle w:val="Heading3"/>
      </w:pPr>
      <w:bookmarkStart w:id="33" w:name="_Toc499298862"/>
      <w:r w:rsidRPr="003F0EE7">
        <w:t>Risk Management</w:t>
      </w:r>
      <w:bookmarkEnd w:id="33"/>
    </w:p>
    <w:p w14:paraId="64FDA079" w14:textId="2412BE30" w:rsidR="00ED2BAF" w:rsidRDefault="00015DA8" w:rsidP="00794C57">
      <w:pPr>
        <w:pStyle w:val="BodyText"/>
        <w:rPr>
          <w:rFonts w:cstheme="minorHAnsi"/>
        </w:rPr>
      </w:pPr>
      <w:r>
        <w:rPr>
          <w:rFonts w:cstheme="minorHAnsi"/>
        </w:rPr>
        <w:t>Building on the practices adopted by AIP-Rural, r</w:t>
      </w:r>
      <w:r w:rsidR="00922B73" w:rsidRPr="00922B73">
        <w:rPr>
          <w:rFonts w:cstheme="minorHAnsi"/>
        </w:rPr>
        <w:t xml:space="preserve">isk management </w:t>
      </w:r>
      <w:r>
        <w:rPr>
          <w:rFonts w:cstheme="minorHAnsi"/>
        </w:rPr>
        <w:t>will be</w:t>
      </w:r>
      <w:r w:rsidRPr="00922B73">
        <w:rPr>
          <w:rFonts w:cstheme="minorHAnsi"/>
        </w:rPr>
        <w:t xml:space="preserve"> </w:t>
      </w:r>
      <w:r w:rsidR="00031E3E">
        <w:rPr>
          <w:rFonts w:cstheme="minorHAnsi"/>
        </w:rPr>
        <w:t>integral</w:t>
      </w:r>
      <w:r w:rsidR="00031E3E" w:rsidRPr="00922B73">
        <w:rPr>
          <w:rFonts w:cstheme="minorHAnsi"/>
        </w:rPr>
        <w:t xml:space="preserve"> </w:t>
      </w:r>
      <w:r w:rsidR="00922B73" w:rsidRPr="00922B73">
        <w:rPr>
          <w:rFonts w:cstheme="minorHAnsi"/>
        </w:rPr>
        <w:t xml:space="preserve">to implementation of </w:t>
      </w:r>
      <w:r w:rsidR="005D461A">
        <w:rPr>
          <w:rFonts w:cstheme="minorHAnsi"/>
        </w:rPr>
        <w:t>PRISMA-2</w:t>
      </w:r>
      <w:r w:rsidR="00922B73" w:rsidRPr="00922B73">
        <w:rPr>
          <w:rFonts w:cstheme="minorHAnsi"/>
        </w:rPr>
        <w:t xml:space="preserve"> and </w:t>
      </w:r>
      <w:r>
        <w:rPr>
          <w:rFonts w:cstheme="minorHAnsi"/>
        </w:rPr>
        <w:t>informed by the Monitoring and</w:t>
      </w:r>
      <w:r w:rsidR="00922B73" w:rsidRPr="00922B73">
        <w:rPr>
          <w:rFonts w:cstheme="minorHAnsi"/>
        </w:rPr>
        <w:t xml:space="preserve"> Results Measurement</w:t>
      </w:r>
      <w:r>
        <w:rPr>
          <w:rFonts w:cstheme="minorHAnsi"/>
        </w:rPr>
        <w:t xml:space="preserve"> system</w:t>
      </w:r>
      <w:r w:rsidR="00922B73" w:rsidRPr="00922B73">
        <w:rPr>
          <w:rFonts w:cstheme="minorHAnsi"/>
        </w:rPr>
        <w:t xml:space="preserve">. </w:t>
      </w:r>
      <w:r w:rsidR="00922B73">
        <w:rPr>
          <w:rFonts w:cstheme="minorHAnsi"/>
        </w:rPr>
        <w:t xml:space="preserve">This section outlines the key identified risks </w:t>
      </w:r>
      <w:r w:rsidR="005F6B80">
        <w:rPr>
          <w:rFonts w:cstheme="minorHAnsi"/>
        </w:rPr>
        <w:t xml:space="preserve">and a </w:t>
      </w:r>
      <w:r w:rsidR="00922B73">
        <w:rPr>
          <w:rFonts w:cstheme="minorHAnsi"/>
        </w:rPr>
        <w:t>Risk Matrix (</w:t>
      </w:r>
      <w:r w:rsidR="00922B73" w:rsidRPr="009B34E4">
        <w:rPr>
          <w:rFonts w:cstheme="minorHAnsi"/>
        </w:rPr>
        <w:t xml:space="preserve">Annex </w:t>
      </w:r>
      <w:r w:rsidR="001236FF">
        <w:rPr>
          <w:rFonts w:cstheme="minorHAnsi"/>
        </w:rPr>
        <w:t>11</w:t>
      </w:r>
      <w:r w:rsidR="00922B73" w:rsidRPr="009B34E4">
        <w:rPr>
          <w:rFonts w:cstheme="minorHAnsi"/>
        </w:rPr>
        <w:t>)</w:t>
      </w:r>
      <w:r w:rsidR="00922B73">
        <w:rPr>
          <w:rFonts w:cstheme="minorHAnsi"/>
        </w:rPr>
        <w:t xml:space="preserve"> provides a preliminary assessment of high level risks</w:t>
      </w:r>
      <w:r w:rsidR="00DE43DE" w:rsidRPr="00DE43DE">
        <w:rPr>
          <w:rFonts w:cstheme="minorHAnsi"/>
        </w:rPr>
        <w:t xml:space="preserve"> </w:t>
      </w:r>
      <w:r w:rsidR="00DE43DE">
        <w:rPr>
          <w:rFonts w:cstheme="minorHAnsi"/>
        </w:rPr>
        <w:t>and corresponding potential mitigation strategies</w:t>
      </w:r>
      <w:r w:rsidR="00922B73">
        <w:rPr>
          <w:rFonts w:cstheme="minorHAnsi"/>
        </w:rPr>
        <w:t>, based on the current</w:t>
      </w:r>
      <w:r w:rsidR="00DE43DE">
        <w:rPr>
          <w:rFonts w:cstheme="minorHAnsi"/>
        </w:rPr>
        <w:t xml:space="preserve"> AIP-Rural program</w:t>
      </w:r>
      <w:r w:rsidR="00922B73">
        <w:rPr>
          <w:rFonts w:cstheme="minorHAnsi"/>
        </w:rPr>
        <w:t xml:space="preserve">. During the </w:t>
      </w:r>
      <w:r>
        <w:rPr>
          <w:rFonts w:cstheme="minorHAnsi"/>
        </w:rPr>
        <w:t xml:space="preserve">inception </w:t>
      </w:r>
      <w:r w:rsidR="00922B73">
        <w:rPr>
          <w:rFonts w:cstheme="minorHAnsi"/>
        </w:rPr>
        <w:t xml:space="preserve">phase the Contractor will use the matrix as the basis for developing a more comprehensive risk management plan. The risk management plan will be reviewed regularly </w:t>
      </w:r>
      <w:r>
        <w:rPr>
          <w:rFonts w:cstheme="minorHAnsi"/>
        </w:rPr>
        <w:t xml:space="preserve">by the senior management team </w:t>
      </w:r>
      <w:r w:rsidR="00922B73">
        <w:rPr>
          <w:rFonts w:cstheme="minorHAnsi"/>
        </w:rPr>
        <w:t>and will guide implementation, ensuring early identifica</w:t>
      </w:r>
      <w:r w:rsidR="00156D02">
        <w:rPr>
          <w:rFonts w:cstheme="minorHAnsi"/>
        </w:rPr>
        <w:t>tion and management of potential risks. Risks will be included in progress reports and communicated early to ensure all stakeholders can contribute to risk manage</w:t>
      </w:r>
      <w:r w:rsidR="008B0BC5">
        <w:rPr>
          <w:rFonts w:cstheme="minorHAnsi"/>
        </w:rPr>
        <w:t>ment throughout implementation.</w:t>
      </w:r>
    </w:p>
    <w:p w14:paraId="404AD946" w14:textId="77777777" w:rsidR="00C00F11" w:rsidRDefault="00C00F11" w:rsidP="00794C57">
      <w:pPr>
        <w:pStyle w:val="BodyText"/>
        <w:rPr>
          <w:rFonts w:cstheme="minorHAnsi"/>
        </w:rPr>
      </w:pPr>
    </w:p>
    <w:p w14:paraId="6765A164" w14:textId="48D1D0F4" w:rsidR="00156D02" w:rsidRDefault="00015DA8" w:rsidP="00794C57">
      <w:pPr>
        <w:pStyle w:val="BodyText"/>
        <w:rPr>
          <w:rFonts w:cstheme="minorHAnsi"/>
        </w:rPr>
      </w:pPr>
      <w:r>
        <w:rPr>
          <w:rFonts w:cstheme="minorHAnsi"/>
        </w:rPr>
        <w:lastRenderedPageBreak/>
        <w:t>H</w:t>
      </w:r>
      <w:r w:rsidR="00156D02">
        <w:rPr>
          <w:rFonts w:cstheme="minorHAnsi"/>
        </w:rPr>
        <w:t>igh-level risks to the program include:</w:t>
      </w:r>
    </w:p>
    <w:p w14:paraId="17F7C35B" w14:textId="2F245550" w:rsidR="0090397D" w:rsidRDefault="00015DA8" w:rsidP="004B220D">
      <w:pPr>
        <w:pStyle w:val="BodyText"/>
        <w:numPr>
          <w:ilvl w:val="0"/>
          <w:numId w:val="19"/>
        </w:numPr>
        <w:rPr>
          <w:rFonts w:cstheme="minorHAnsi"/>
        </w:rPr>
      </w:pPr>
      <w:r>
        <w:rPr>
          <w:rFonts w:cstheme="minorHAnsi"/>
        </w:rPr>
        <w:t>P</w:t>
      </w:r>
      <w:r w:rsidR="0090397D">
        <w:rPr>
          <w:rFonts w:cstheme="minorHAnsi"/>
        </w:rPr>
        <w:t xml:space="preserve">ersonnel retention and </w:t>
      </w:r>
      <w:r>
        <w:rPr>
          <w:rFonts w:cstheme="minorHAnsi"/>
        </w:rPr>
        <w:t xml:space="preserve">maintaining </w:t>
      </w:r>
      <w:r w:rsidR="0090397D">
        <w:rPr>
          <w:rFonts w:cstheme="minorHAnsi"/>
        </w:rPr>
        <w:t>momentum</w:t>
      </w:r>
      <w:r>
        <w:rPr>
          <w:rFonts w:cstheme="minorHAnsi"/>
        </w:rPr>
        <w:t xml:space="preserve"> of delivery during transition </w:t>
      </w:r>
      <w:r w:rsidR="00C10062">
        <w:rPr>
          <w:rFonts w:cstheme="minorHAnsi"/>
        </w:rPr>
        <w:t xml:space="preserve">from AIP-Rural </w:t>
      </w:r>
      <w:r>
        <w:rPr>
          <w:rFonts w:cstheme="minorHAnsi"/>
        </w:rPr>
        <w:t xml:space="preserve">to </w:t>
      </w:r>
      <w:r w:rsidR="005D461A">
        <w:rPr>
          <w:rFonts w:cstheme="minorHAnsi"/>
        </w:rPr>
        <w:t>PRISMA-2</w:t>
      </w:r>
      <w:r w:rsidR="0090397D">
        <w:rPr>
          <w:rFonts w:cstheme="minorHAnsi"/>
        </w:rPr>
        <w:t xml:space="preserve">. </w:t>
      </w:r>
    </w:p>
    <w:p w14:paraId="2084AA97" w14:textId="0F2C22C8" w:rsidR="005B78C6" w:rsidRDefault="00015DA8" w:rsidP="004B220D">
      <w:pPr>
        <w:pStyle w:val="BodyText"/>
        <w:numPr>
          <w:ilvl w:val="0"/>
          <w:numId w:val="19"/>
        </w:numPr>
        <w:rPr>
          <w:rFonts w:cstheme="minorHAnsi"/>
        </w:rPr>
      </w:pPr>
      <w:r>
        <w:rPr>
          <w:rFonts w:cstheme="minorHAnsi"/>
        </w:rPr>
        <w:t>Constraining</w:t>
      </w:r>
      <w:r w:rsidR="005B78C6">
        <w:rPr>
          <w:rFonts w:cstheme="minorHAnsi"/>
        </w:rPr>
        <w:t xml:space="preserve"> government policies and other agribusiness enabling factors, including vested interests and subsidies</w:t>
      </w:r>
      <w:r>
        <w:rPr>
          <w:rFonts w:cstheme="minorHAnsi"/>
        </w:rPr>
        <w:t xml:space="preserve"> that</w:t>
      </w:r>
      <w:r w:rsidR="005B78C6">
        <w:rPr>
          <w:rFonts w:cstheme="minorHAnsi"/>
        </w:rPr>
        <w:t xml:space="preserve"> distort market systems </w:t>
      </w:r>
      <w:r w:rsidR="006D7254">
        <w:rPr>
          <w:rFonts w:cstheme="minorHAnsi"/>
        </w:rPr>
        <w:t xml:space="preserve">and prevent competitive private sector </w:t>
      </w:r>
      <w:r>
        <w:rPr>
          <w:rFonts w:cstheme="minorHAnsi"/>
        </w:rPr>
        <w:t>actors from</w:t>
      </w:r>
      <w:r w:rsidR="005B78C6">
        <w:rPr>
          <w:rFonts w:cstheme="minorHAnsi"/>
        </w:rPr>
        <w:t xml:space="preserve"> achiev</w:t>
      </w:r>
      <w:r w:rsidR="007F19E2">
        <w:rPr>
          <w:rFonts w:cstheme="minorHAnsi"/>
        </w:rPr>
        <w:t>ing</w:t>
      </w:r>
      <w:r w:rsidR="005B78C6">
        <w:rPr>
          <w:rFonts w:cstheme="minorHAnsi"/>
        </w:rPr>
        <w:t xml:space="preserve"> systemic change </w:t>
      </w:r>
      <w:r w:rsidR="007F19E2">
        <w:rPr>
          <w:rFonts w:cstheme="minorHAnsi"/>
        </w:rPr>
        <w:t xml:space="preserve">in </w:t>
      </w:r>
      <w:r w:rsidR="008B0BC5">
        <w:rPr>
          <w:rFonts w:cstheme="minorHAnsi"/>
        </w:rPr>
        <w:t>market systems.</w:t>
      </w:r>
    </w:p>
    <w:p w14:paraId="103F912A" w14:textId="00F0AE4B" w:rsidR="005B78C6" w:rsidRPr="00FA6679" w:rsidRDefault="005B78C6" w:rsidP="004B220D">
      <w:pPr>
        <w:pStyle w:val="BodyText"/>
        <w:numPr>
          <w:ilvl w:val="0"/>
          <w:numId w:val="19"/>
        </w:numPr>
        <w:rPr>
          <w:rFonts w:cstheme="minorHAnsi"/>
        </w:rPr>
      </w:pPr>
      <w:r>
        <w:rPr>
          <w:rFonts w:cstheme="minorHAnsi"/>
        </w:rPr>
        <w:t xml:space="preserve">Crop failure </w:t>
      </w:r>
      <w:r w:rsidR="007F19E2">
        <w:rPr>
          <w:rFonts w:cstheme="minorHAnsi"/>
        </w:rPr>
        <w:t xml:space="preserve">or productivity constraints </w:t>
      </w:r>
      <w:r>
        <w:rPr>
          <w:rFonts w:cstheme="minorHAnsi"/>
        </w:rPr>
        <w:t xml:space="preserve">due to </w:t>
      </w:r>
      <w:r w:rsidR="007F19E2">
        <w:rPr>
          <w:rFonts w:cstheme="minorHAnsi"/>
        </w:rPr>
        <w:t xml:space="preserve">adverse </w:t>
      </w:r>
      <w:r>
        <w:rPr>
          <w:rFonts w:cstheme="minorHAnsi"/>
        </w:rPr>
        <w:t xml:space="preserve">weather </w:t>
      </w:r>
      <w:r w:rsidR="007F19E2">
        <w:rPr>
          <w:rFonts w:cstheme="minorHAnsi"/>
        </w:rPr>
        <w:t>events</w:t>
      </w:r>
      <w:r w:rsidR="008B0BC5">
        <w:rPr>
          <w:rFonts w:cstheme="minorHAnsi"/>
        </w:rPr>
        <w:t>.</w:t>
      </w:r>
    </w:p>
    <w:p w14:paraId="0443737C" w14:textId="49BFC5FA" w:rsidR="006D7254" w:rsidRDefault="006D7254" w:rsidP="004B220D">
      <w:pPr>
        <w:pStyle w:val="BodyText"/>
        <w:numPr>
          <w:ilvl w:val="0"/>
          <w:numId w:val="19"/>
        </w:numPr>
        <w:rPr>
          <w:rFonts w:cstheme="minorHAnsi"/>
        </w:rPr>
      </w:pPr>
      <w:r>
        <w:rPr>
          <w:rFonts w:cstheme="minorHAnsi"/>
        </w:rPr>
        <w:t xml:space="preserve">Changes in market systems through program interventions do not </w:t>
      </w:r>
      <w:r w:rsidR="006346C7">
        <w:rPr>
          <w:rFonts w:cstheme="minorHAnsi"/>
        </w:rPr>
        <w:t xml:space="preserve">lead </w:t>
      </w:r>
      <w:r>
        <w:rPr>
          <w:rFonts w:cstheme="minorHAnsi"/>
        </w:rPr>
        <w:t>to broader systemic and/or institutional change within market system</w:t>
      </w:r>
      <w:r w:rsidR="008B0BC5">
        <w:rPr>
          <w:rFonts w:cstheme="minorHAnsi"/>
        </w:rPr>
        <w:t>s and private sector companies.</w:t>
      </w:r>
    </w:p>
    <w:p w14:paraId="5BE3F74F" w14:textId="6E649392" w:rsidR="00785B9F" w:rsidRDefault="006D7254" w:rsidP="004B220D">
      <w:pPr>
        <w:pStyle w:val="BodyText"/>
        <w:numPr>
          <w:ilvl w:val="0"/>
          <w:numId w:val="19"/>
        </w:numPr>
        <w:rPr>
          <w:rFonts w:cstheme="minorHAnsi"/>
        </w:rPr>
      </w:pPr>
      <w:r>
        <w:rPr>
          <w:rFonts w:cstheme="minorHAnsi"/>
        </w:rPr>
        <w:t>Interventions lead to environmental damage or have negative impacts on human health and animal welfare, leading to reputational risks for the program and DFAT.</w:t>
      </w:r>
    </w:p>
    <w:p w14:paraId="1C8ACC49" w14:textId="1A0F275B" w:rsidR="009B34E4" w:rsidRDefault="00B30FE3" w:rsidP="00794C57">
      <w:pPr>
        <w:pStyle w:val="BodyText"/>
        <w:rPr>
          <w:rFonts w:cstheme="minorHAnsi"/>
        </w:rPr>
      </w:pPr>
      <w:r w:rsidRPr="00B207EF">
        <w:rPr>
          <w:rFonts w:cstheme="minorHAnsi"/>
        </w:rPr>
        <w:t>The use of analysis, measurement and portfolio management tools will be integral to overall risk management and mitigation throughou</w:t>
      </w:r>
      <w:r w:rsidR="009B34E4">
        <w:rPr>
          <w:rFonts w:cstheme="minorHAnsi"/>
        </w:rPr>
        <w:t xml:space="preserve">t implementation of </w:t>
      </w:r>
      <w:r w:rsidR="005D461A">
        <w:rPr>
          <w:rFonts w:cstheme="minorHAnsi"/>
        </w:rPr>
        <w:t>PRISMA-2</w:t>
      </w:r>
      <w:r w:rsidR="00E66993">
        <w:rPr>
          <w:rFonts w:cstheme="minorHAnsi"/>
        </w:rPr>
        <w:t>.</w:t>
      </w:r>
    </w:p>
    <w:p w14:paraId="5DBE35D9" w14:textId="77777777" w:rsidR="008B0BC5" w:rsidRDefault="008B0BC5" w:rsidP="00794C57">
      <w:pPr>
        <w:pStyle w:val="BodyText"/>
        <w:rPr>
          <w:rFonts w:cstheme="minorHAnsi"/>
        </w:rPr>
      </w:pPr>
    </w:p>
    <w:p w14:paraId="72844DA4" w14:textId="77777777" w:rsidR="008B0BC5" w:rsidRDefault="008B0BC5" w:rsidP="00794C57">
      <w:pPr>
        <w:pStyle w:val="BodyText"/>
        <w:rPr>
          <w:rFonts w:cstheme="minorHAnsi"/>
        </w:rPr>
        <w:sectPr w:rsidR="008B0BC5" w:rsidSect="00754CA2">
          <w:headerReference w:type="even" r:id="rId30"/>
          <w:headerReference w:type="default" r:id="rId31"/>
          <w:footerReference w:type="default" r:id="rId32"/>
          <w:headerReference w:type="first" r:id="rId33"/>
          <w:footerReference w:type="first" r:id="rId34"/>
          <w:pgSz w:w="11906" w:h="16838" w:code="9"/>
          <w:pgMar w:top="1701" w:right="1134" w:bottom="1418" w:left="1134" w:header="425" w:footer="493" w:gutter="0"/>
          <w:cols w:space="397"/>
          <w:titlePg/>
          <w:docGrid w:linePitch="360"/>
        </w:sectPr>
      </w:pPr>
      <w:bookmarkStart w:id="34" w:name="_GoBack"/>
      <w:bookmarkEnd w:id="34"/>
    </w:p>
    <w:p w14:paraId="0B36A76D" w14:textId="536CC35E" w:rsidR="00274C18" w:rsidRPr="009B34E4" w:rsidRDefault="00274C18" w:rsidP="00794C57">
      <w:pPr>
        <w:pStyle w:val="Heading1Numbered"/>
      </w:pPr>
      <w:bookmarkStart w:id="35" w:name="_Toc499298863"/>
      <w:r w:rsidRPr="00274C18">
        <w:lastRenderedPageBreak/>
        <w:t>Annexes</w:t>
      </w:r>
      <w:bookmarkEnd w:id="35"/>
    </w:p>
    <w:p w14:paraId="7E5CDA08" w14:textId="71A0FEA6" w:rsidR="00396809" w:rsidRPr="00876D66" w:rsidRDefault="00162E0B" w:rsidP="00876D66">
      <w:pPr>
        <w:pStyle w:val="Heading3"/>
      </w:pPr>
      <w:bookmarkStart w:id="36" w:name="_Toc499298864"/>
      <w:r w:rsidRPr="00395916">
        <w:t>Annex 1:</w:t>
      </w:r>
      <w:r w:rsidR="004A4A06" w:rsidRPr="00395916">
        <w:t xml:space="preserve"> </w:t>
      </w:r>
      <w:r w:rsidR="006346C7">
        <w:t>Approach to Poverty</w:t>
      </w:r>
      <w:r w:rsidR="00DE43DE">
        <w:t xml:space="preserve"> in PRISMA-2</w:t>
      </w:r>
      <w:bookmarkEnd w:id="36"/>
    </w:p>
    <w:p w14:paraId="03A023E7" w14:textId="32086D12" w:rsidR="00396809" w:rsidRPr="00C474A0" w:rsidRDefault="00396809" w:rsidP="0018686E">
      <w:pPr>
        <w:spacing w:after="0"/>
        <w:rPr>
          <w:b/>
        </w:rPr>
      </w:pPr>
      <w:r w:rsidRPr="00C474A0">
        <w:rPr>
          <w:b/>
        </w:rPr>
        <w:t>Defining the Poor and Near Poor:</w:t>
      </w:r>
    </w:p>
    <w:p w14:paraId="318DF55D" w14:textId="6F50F0C3" w:rsidR="00396809" w:rsidRDefault="004F54A1" w:rsidP="0018686E">
      <w:r>
        <w:t>Currently there are around 28 million people living below Indonesia’s national poverty line (10.6% of the population), and another 62 million considered vulnerable to shocks (23.9% of the population).</w:t>
      </w:r>
      <w:r>
        <w:rPr>
          <w:rStyle w:val="FootnoteReference"/>
        </w:rPr>
        <w:footnoteReference w:id="66"/>
      </w:r>
      <w:r>
        <w:t xml:space="preserve"> </w:t>
      </w:r>
      <w:r w:rsidR="00396809">
        <w:rPr>
          <w:rFonts w:cstheme="minorHAnsi"/>
        </w:rPr>
        <w:t xml:space="preserve">If the World Bank </w:t>
      </w:r>
      <w:r>
        <w:rPr>
          <w:rFonts w:cstheme="minorHAnsi"/>
        </w:rPr>
        <w:t xml:space="preserve">international </w:t>
      </w:r>
      <w:r w:rsidR="00396809">
        <w:rPr>
          <w:rFonts w:cstheme="minorHAnsi"/>
        </w:rPr>
        <w:t>poverty benchmark of USD1.90 per day is applied,</w:t>
      </w:r>
      <w:r>
        <w:rPr>
          <w:rStyle w:val="FootnoteReference"/>
          <w:rFonts w:cstheme="minorHAnsi"/>
        </w:rPr>
        <w:footnoteReference w:id="67"/>
      </w:r>
      <w:r w:rsidR="00396809">
        <w:rPr>
          <w:rFonts w:cstheme="minorHAnsi"/>
        </w:rPr>
        <w:t xml:space="preserve"> then around 16% of the Indonesian population</w:t>
      </w:r>
      <w:r w:rsidR="00396809">
        <w:rPr>
          <w:rStyle w:val="FootnoteReference"/>
          <w:rFonts w:cstheme="minorHAnsi"/>
        </w:rPr>
        <w:footnoteReference w:id="68"/>
      </w:r>
      <w:r w:rsidR="00396809">
        <w:rPr>
          <w:rFonts w:cstheme="minorHAnsi"/>
        </w:rPr>
        <w:t xml:space="preserve"> (39 million people) remain poor and approximately 40% of the entire population (103 million people) are considered near poor</w:t>
      </w:r>
      <w:r w:rsidR="00396809">
        <w:rPr>
          <w:rStyle w:val="FootnoteReference"/>
          <w:rFonts w:cstheme="minorHAnsi"/>
        </w:rPr>
        <w:footnoteReference w:id="69"/>
      </w:r>
      <w:r w:rsidR="00396809">
        <w:rPr>
          <w:rFonts w:cstheme="minorHAnsi"/>
        </w:rPr>
        <w:t>, with incomes hovering marginally above the national poverty line</w:t>
      </w:r>
      <w:r w:rsidR="00396809">
        <w:rPr>
          <w:rStyle w:val="FootnoteReference"/>
          <w:rFonts w:cstheme="minorHAnsi"/>
        </w:rPr>
        <w:footnoteReference w:id="70"/>
      </w:r>
      <w:r w:rsidR="000A20DA">
        <w:rPr>
          <w:rFonts w:cstheme="minorHAnsi"/>
        </w:rPr>
        <w:t>.</w:t>
      </w:r>
      <w:r w:rsidR="00396809">
        <w:rPr>
          <w:rFonts w:cstheme="minorHAnsi"/>
        </w:rPr>
        <w:t xml:space="preserve"> </w:t>
      </w:r>
      <w:r w:rsidR="00396809">
        <w:t>But this is only part of the problem</w:t>
      </w:r>
      <w:r w:rsidR="000A20DA">
        <w:t xml:space="preserve"> as</w:t>
      </w:r>
      <w:r w:rsidR="00396809">
        <w:t xml:space="preserve"> surveys show that 55% of households that were classified as poor in 2014 were</w:t>
      </w:r>
      <w:r w:rsidR="000A20DA">
        <w:t xml:space="preserve"> not</w:t>
      </w:r>
      <w:r w:rsidR="00396809">
        <w:t xml:space="preserve"> poor one year earlier, meaning that many people</w:t>
      </w:r>
      <w:r w:rsidR="000A20DA">
        <w:t xml:space="preserve"> regularly move in and out of poverty</w:t>
      </w:r>
      <w:r w:rsidR="00396809">
        <w:t>.</w:t>
      </w:r>
      <w:r w:rsidR="00396809">
        <w:rPr>
          <w:rStyle w:val="FootnoteReference"/>
        </w:rPr>
        <w:footnoteReference w:id="71"/>
      </w:r>
      <w:r w:rsidR="00396809">
        <w:t xml:space="preserve"> </w:t>
      </w:r>
      <w:r w:rsidR="000A20DA">
        <w:t>Therefore</w:t>
      </w:r>
      <w:r w:rsidR="00DE43DE">
        <w:t>, the definition of ‘near poor’</w:t>
      </w:r>
      <w:r w:rsidR="00396809">
        <w:t xml:space="preserve">, or people who move in and out of poverty, must also include those with incomes greater than USD1.90 per day. For this reason, </w:t>
      </w:r>
      <w:proofErr w:type="gramStart"/>
      <w:r w:rsidR="00396809">
        <w:t>a</w:t>
      </w:r>
      <w:proofErr w:type="gramEnd"/>
      <w:r w:rsidR="00396809">
        <w:t xml:space="preserve"> USD2.50 per day level</w:t>
      </w:r>
      <w:r w:rsidR="008B0BC5">
        <w:t xml:space="preserve"> (at purchasing power parity)</w:t>
      </w:r>
      <w:r w:rsidR="00396809">
        <w:t xml:space="preserve"> is a better benchmark for defining the poor and near poor.</w:t>
      </w:r>
      <w:r w:rsidR="00396809">
        <w:rPr>
          <w:rStyle w:val="FootnoteReference"/>
        </w:rPr>
        <w:footnoteReference w:id="72"/>
      </w:r>
    </w:p>
    <w:p w14:paraId="2E0ABD37" w14:textId="77777777" w:rsidR="00396809" w:rsidRPr="001F39CB" w:rsidRDefault="00396809" w:rsidP="0018686E">
      <w:pPr>
        <w:spacing w:after="0"/>
        <w:rPr>
          <w:b/>
        </w:rPr>
      </w:pPr>
      <w:r>
        <w:rPr>
          <w:b/>
        </w:rPr>
        <w:t>PRISMA-2’s Orientation to the Poor</w:t>
      </w:r>
      <w:r w:rsidRPr="001F39CB">
        <w:rPr>
          <w:b/>
        </w:rPr>
        <w:t xml:space="preserve"> and </w:t>
      </w:r>
      <w:r>
        <w:rPr>
          <w:b/>
        </w:rPr>
        <w:t>Near-Poor</w:t>
      </w:r>
      <w:r w:rsidRPr="001F39CB">
        <w:rPr>
          <w:b/>
        </w:rPr>
        <w:t>:</w:t>
      </w:r>
    </w:p>
    <w:p w14:paraId="6D09A4F2" w14:textId="2C0573F4" w:rsidR="00396809" w:rsidRDefault="00396809" w:rsidP="0018686E">
      <w:r>
        <w:t xml:space="preserve">Poverty </w:t>
      </w:r>
      <w:r w:rsidR="008C1A7F">
        <w:t>reduction</w:t>
      </w:r>
      <w:r>
        <w:t xml:space="preserve"> will be a core focus of PRISMA-2. PRISMA’s orientation to poverty will be achieved through four conscious implementation principles:</w:t>
      </w:r>
    </w:p>
    <w:p w14:paraId="2609BA12" w14:textId="7F2E8ABD" w:rsidR="00396809" w:rsidRDefault="00396809" w:rsidP="004B220D">
      <w:pPr>
        <w:pStyle w:val="ListParagraph"/>
        <w:numPr>
          <w:ilvl w:val="0"/>
          <w:numId w:val="24"/>
        </w:numPr>
      </w:pPr>
      <w:r>
        <w:t>Selecting areas of operation where the incidence of poverty is high</w:t>
      </w:r>
      <w:r>
        <w:rPr>
          <w:rStyle w:val="FootnoteReference"/>
        </w:rPr>
        <w:footnoteReference w:id="73"/>
      </w:r>
      <w:r>
        <w:t xml:space="preserve"> </w:t>
      </w:r>
    </w:p>
    <w:p w14:paraId="5E341C94" w14:textId="683E2171" w:rsidR="00396809" w:rsidRDefault="00396809" w:rsidP="004B220D">
      <w:pPr>
        <w:pStyle w:val="ListParagraph"/>
        <w:numPr>
          <w:ilvl w:val="0"/>
          <w:numId w:val="24"/>
        </w:numPr>
      </w:pPr>
      <w:r>
        <w:t>Choosing agricultural sectors that ar</w:t>
      </w:r>
      <w:r w:rsidR="00DE43DE">
        <w:t>e important to the poor</w:t>
      </w:r>
      <w:r>
        <w:t xml:space="preserve"> </w:t>
      </w:r>
      <w:r w:rsidR="008C1A7F">
        <w:t>(men and women)</w:t>
      </w:r>
    </w:p>
    <w:p w14:paraId="10394404" w14:textId="46E8650F" w:rsidR="00396809" w:rsidRDefault="00396809" w:rsidP="004B220D">
      <w:pPr>
        <w:pStyle w:val="ListParagraph"/>
        <w:numPr>
          <w:ilvl w:val="0"/>
          <w:numId w:val="24"/>
        </w:numPr>
      </w:pPr>
      <w:r>
        <w:t>Within these sectors, searching for pro-poor opportunities for income growth</w:t>
      </w:r>
      <w:r w:rsidR="00DE43DE">
        <w:t>, and</w:t>
      </w:r>
    </w:p>
    <w:p w14:paraId="7FF316A8" w14:textId="77777777" w:rsidR="00396809" w:rsidRDefault="00396809" w:rsidP="004B220D">
      <w:pPr>
        <w:pStyle w:val="ListParagraph"/>
        <w:numPr>
          <w:ilvl w:val="0"/>
          <w:numId w:val="24"/>
        </w:numPr>
      </w:pPr>
      <w:r>
        <w:t>Designing interventions with partners that specifically address the constraints of the poor.</w:t>
      </w:r>
    </w:p>
    <w:p w14:paraId="2BB916A1" w14:textId="59564966" w:rsidR="00396809" w:rsidRDefault="00396809" w:rsidP="0018686E">
      <w:r>
        <w:t>Because of this orientation 60% of the 700,000 households that PRISMA 2 will reach between January 2018 and December 2023 will be households in which farmers are living on less than UDS2.50 per day.</w:t>
      </w:r>
      <w:r w:rsidRPr="008A4836">
        <w:t xml:space="preserve"> </w:t>
      </w:r>
      <w:r w:rsidR="00E20147">
        <w:t xml:space="preserve">While the majority of PRISMA 2’s beneficiaries may be classified as poor or near poor, PRISMA-2’s impact will also reach other non-poor farmers and other parts of the economy (systemic change).  </w:t>
      </w:r>
    </w:p>
    <w:p w14:paraId="76A5F208" w14:textId="4C20A9F9" w:rsidR="00396809" w:rsidRPr="005C44E1" w:rsidRDefault="00396809" w:rsidP="0018686E">
      <w:pPr>
        <w:spacing w:after="0"/>
        <w:rPr>
          <w:b/>
        </w:rPr>
      </w:pPr>
      <w:r w:rsidRPr="005C44E1">
        <w:rPr>
          <w:b/>
        </w:rPr>
        <w:t xml:space="preserve">How </w:t>
      </w:r>
      <w:r w:rsidR="00E20147">
        <w:rPr>
          <w:b/>
        </w:rPr>
        <w:t>W</w:t>
      </w:r>
      <w:r w:rsidRPr="005C44E1">
        <w:rPr>
          <w:b/>
        </w:rPr>
        <w:t xml:space="preserve">ill Impact on the Poor be </w:t>
      </w:r>
      <w:proofErr w:type="gramStart"/>
      <w:r w:rsidR="00E20147">
        <w:rPr>
          <w:b/>
        </w:rPr>
        <w:t>M</w:t>
      </w:r>
      <w:r w:rsidRPr="005C44E1">
        <w:rPr>
          <w:b/>
        </w:rPr>
        <w:t>easured</w:t>
      </w:r>
      <w:proofErr w:type="gramEnd"/>
      <w:r w:rsidRPr="005C44E1">
        <w:rPr>
          <w:b/>
        </w:rPr>
        <w:t>?</w:t>
      </w:r>
    </w:p>
    <w:p w14:paraId="57430B0D" w14:textId="4AC94046" w:rsidR="00396809" w:rsidRDefault="00396809" w:rsidP="0018686E">
      <w:r>
        <w:t>AIP-</w:t>
      </w:r>
      <w:proofErr w:type="spellStart"/>
      <w:r>
        <w:t>Rural’s</w:t>
      </w:r>
      <w:proofErr w:type="spellEnd"/>
      <w:r>
        <w:t xml:space="preserve"> current impact assessments </w:t>
      </w:r>
      <w:r w:rsidR="00962EBA">
        <w:t xml:space="preserve">for each intervention </w:t>
      </w:r>
      <w:r>
        <w:t xml:space="preserve">involve comparing treatment and control groups, and follow an internationally acknowledged approach to </w:t>
      </w:r>
      <w:r w:rsidRPr="00CE03B4">
        <w:t xml:space="preserve">results measurement </w:t>
      </w:r>
      <w:r>
        <w:t>(the DCED Standard) that is independently audited by accredited third parties. PRISMA’s commodity-based interventions were audited in June 2016. Up to the end of 2016, 24 impact assessments were completed in AIP-Rural. Of the 21 PRISMA interventions assessed (with a cumulative outreach of 44,080 beneficiary households) the weighted average</w:t>
      </w:r>
      <w:r>
        <w:rPr>
          <w:rStyle w:val="FootnoteReference"/>
        </w:rPr>
        <w:footnoteReference w:id="74"/>
      </w:r>
      <w:r>
        <w:t xml:space="preserve"> NAIC was </w:t>
      </w:r>
      <w:r w:rsidR="00E20147">
        <w:t>139</w:t>
      </w:r>
      <w:r>
        <w:t>%</w:t>
      </w:r>
      <w:r w:rsidR="008B0BC5">
        <w:t xml:space="preserve"> for targeted commodities</w:t>
      </w:r>
      <w:r>
        <w:t>, far above the 30% target</w:t>
      </w:r>
      <w:r w:rsidR="008B0BC5">
        <w:t xml:space="preserve"> for overall household income</w:t>
      </w:r>
      <w:r>
        <w:t xml:space="preserve">. Some of the greatest income improvement is from interventions in market systems for </w:t>
      </w:r>
      <w:r w:rsidR="008B0BC5">
        <w:t>pigs, maize, soya and peanuts.</w:t>
      </w:r>
    </w:p>
    <w:p w14:paraId="59A423F3" w14:textId="343D4813" w:rsidR="00396809" w:rsidRPr="00D377E9" w:rsidRDefault="00396809" w:rsidP="0018686E">
      <w:r>
        <w:lastRenderedPageBreak/>
        <w:t>The graphic</w:t>
      </w:r>
      <w:r w:rsidRPr="008F78F7">
        <w:t xml:space="preserve"> </w:t>
      </w:r>
      <w:r>
        <w:t xml:space="preserve">below is compiled from the AIP-Rural MIS every 6 months. It tracks progress towards reaching its targeted number of smallholder farming households with income increases of at least 30%. The </w:t>
      </w:r>
      <w:r w:rsidRPr="008F78F7">
        <w:t xml:space="preserve">curves in the top right quadrant of the graphic below record cumulative </w:t>
      </w:r>
      <w:r>
        <w:t xml:space="preserve">actual </w:t>
      </w:r>
      <w:r w:rsidRPr="008F78F7">
        <w:t xml:space="preserve">outreach </w:t>
      </w:r>
      <w:r>
        <w:t>up to the second semester of 201</w:t>
      </w:r>
      <w:r w:rsidR="00BB3DFA">
        <w:t>6</w:t>
      </w:r>
      <w:r>
        <w:t xml:space="preserve">. The trajectories after this are based on projections until December 2018. </w:t>
      </w:r>
      <w:r w:rsidRPr="008F78F7">
        <w:t xml:space="preserve">The bottom </w:t>
      </w:r>
      <w:r>
        <w:t>two quadrants</w:t>
      </w:r>
      <w:r w:rsidRPr="008F78F7">
        <w:t xml:space="preserve"> provide the numbers to support these curves.</w:t>
      </w:r>
      <w:r>
        <w:t xml:space="preserve"> These figures are updated every semester using data from impact assessments, monitoring and partner records. </w:t>
      </w:r>
    </w:p>
    <w:p w14:paraId="09040011" w14:textId="77777777" w:rsidR="00396809" w:rsidRDefault="00396809" w:rsidP="0018686E">
      <w:r w:rsidRPr="00600482">
        <w:rPr>
          <w:noProof/>
          <w:lang w:eastAsia="en-AU"/>
        </w:rPr>
        <w:drawing>
          <wp:inline distT="0" distB="0" distL="0" distR="0" wp14:anchorId="5AD740A4" wp14:editId="0ED7CA6B">
            <wp:extent cx="5943600" cy="27216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21610"/>
                    </a:xfrm>
                    <a:prstGeom prst="rect">
                      <a:avLst/>
                    </a:prstGeom>
                    <a:noFill/>
                    <a:ln>
                      <a:noFill/>
                    </a:ln>
                  </pic:spPr>
                </pic:pic>
              </a:graphicData>
            </a:graphic>
          </wp:inline>
        </w:drawing>
      </w:r>
    </w:p>
    <w:p w14:paraId="79833708" w14:textId="26AD4445" w:rsidR="00396809" w:rsidRDefault="00396809" w:rsidP="0018686E">
      <w:proofErr w:type="gramStart"/>
      <w:r>
        <w:t xml:space="preserve">The last line of the graphic above </w:t>
      </w:r>
      <w:r w:rsidRPr="009B34E4">
        <w:t>(highlighted in yellow) records</w:t>
      </w:r>
      <w:r>
        <w:t xml:space="preserve"> the percent of the target group that live below the USD2.50 per day poverty benchmark.</w:t>
      </w:r>
      <w:proofErr w:type="gramEnd"/>
      <w:r>
        <w:t xml:space="preserve"> These data were compiled from the impact assessment studies conducted by PRISMA. At the same time </w:t>
      </w:r>
      <w:r w:rsidR="001117AB">
        <w:t>as</w:t>
      </w:r>
      <w:r>
        <w:t xml:space="preserve"> these impact assessments are completed, an internationally accepted, survey instrument called the Pathway out of Poverty Index (PPI) is conducted on PRISMA’s target groups for each intervention. This provides an estimate of their poverty level and the percentage of the target group that are living on both USD2.00 and USD2.50 </w:t>
      </w:r>
      <w:r w:rsidR="008B0BC5">
        <w:t xml:space="preserve">PPP </w:t>
      </w:r>
      <w:r>
        <w:t xml:space="preserve">per day. The average percentage recorded on the bottom line varies according to the mix of interventions at any given time. The percentage of the target group falling below the USD2.50 </w:t>
      </w:r>
      <w:r w:rsidR="008B0BC5">
        <w:t xml:space="preserve">PPP </w:t>
      </w:r>
      <w:r>
        <w:t xml:space="preserve">level is sensitive to: the location of the intervention; the sector in which the intervention is occurring; and, the transaction costs that the farmer incurs to adopt the change. </w:t>
      </w:r>
    </w:p>
    <w:p w14:paraId="39E32A37" w14:textId="1242A96B" w:rsidR="00396809" w:rsidRDefault="00396809" w:rsidP="0018686E">
      <w:r>
        <w:t>Moving further to the right in the bottom two quadrants (in the graphic above), as the portfolio has matured and outreach has been added in East Java, where the poverty incidence is lower but the number of poor households is very large, the percentage of PRISMA’s target group below USD2.50</w:t>
      </w:r>
      <w:r w:rsidR="008B0BC5">
        <w:t xml:space="preserve"> PPP</w:t>
      </w:r>
      <w:r>
        <w:t xml:space="preserve"> has settled into the low 70% level. </w:t>
      </w:r>
      <w:r w:rsidRPr="00ED15D5">
        <w:t xml:space="preserve">As more interventions are added to the portfolio, </w:t>
      </w:r>
      <w:r>
        <w:t xml:space="preserve">it is </w:t>
      </w:r>
      <w:r w:rsidRPr="00ED15D5">
        <w:t>anticipate</w:t>
      </w:r>
      <w:r>
        <w:t>d that</w:t>
      </w:r>
      <w:r w:rsidRPr="00ED15D5">
        <w:t xml:space="preserve"> this </w:t>
      </w:r>
      <w:r>
        <w:t xml:space="preserve">rate will </w:t>
      </w:r>
      <w:r w:rsidRPr="00ED15D5">
        <w:t>level off at about 60%.</w:t>
      </w:r>
      <w:r>
        <w:t xml:space="preserve"> Out of the 36 impact assessments completed for PRISMA by late 2016, 22 of these or 61% recorded that more than 70% of the target groups were </w:t>
      </w:r>
      <w:r w:rsidR="001117AB">
        <w:t xml:space="preserve">living </w:t>
      </w:r>
      <w:r>
        <w:t xml:space="preserve">below USD2.50 </w:t>
      </w:r>
      <w:r w:rsidR="008B0BC5">
        <w:t xml:space="preserve">PPP </w:t>
      </w:r>
      <w:r>
        <w:t>per day. 31 of these 36</w:t>
      </w:r>
      <w:r w:rsidR="001117AB">
        <w:t>,</w:t>
      </w:r>
      <w:r>
        <w:t xml:space="preserve"> or 86% of PRISMA’s interventions</w:t>
      </w:r>
      <w:r w:rsidR="001117AB">
        <w:t>,</w:t>
      </w:r>
      <w:r>
        <w:t xml:space="preserve"> recorded that at least 60% of their target groups were living on less than USD2.50 </w:t>
      </w:r>
      <w:r w:rsidR="008B0BC5">
        <w:t xml:space="preserve">PPP </w:t>
      </w:r>
      <w:r>
        <w:t xml:space="preserve">a day. This pattern is similar in the case of tertiary irrigation where their first impact assessment has recorded that 73% of their target group is also below USD2.50 </w:t>
      </w:r>
      <w:r w:rsidR="008B0BC5">
        <w:t xml:space="preserve">PPP </w:t>
      </w:r>
      <w:r>
        <w:t>per day. PRISMA</w:t>
      </w:r>
      <w:r w:rsidR="001117AB">
        <w:t>-</w:t>
      </w:r>
      <w:r>
        <w:t>2 will maintain its orientation to the poor and near poor</w:t>
      </w:r>
      <w:r w:rsidR="001117AB">
        <w:t>,</w:t>
      </w:r>
      <w:r>
        <w:t xml:space="preserve"> regularly track</w:t>
      </w:r>
      <w:r w:rsidR="001117AB">
        <w:t>ing</w:t>
      </w:r>
      <w:r>
        <w:t xml:space="preserve"> its performance in achieving outreach to the poor and its impact on their net incomes.</w:t>
      </w:r>
    </w:p>
    <w:p w14:paraId="0BC39277" w14:textId="77777777" w:rsidR="00EB568E" w:rsidRDefault="00EB568E" w:rsidP="0018686E">
      <w:pPr>
        <w:rPr>
          <w:rFonts w:asciiTheme="majorHAnsi" w:eastAsiaTheme="majorEastAsia" w:hAnsiTheme="majorHAnsi" w:cstheme="majorBidi"/>
          <w:color w:val="2F5496" w:themeColor="accent1" w:themeShade="BF"/>
          <w:sz w:val="28"/>
          <w:szCs w:val="28"/>
        </w:rPr>
      </w:pPr>
      <w:r>
        <w:br w:type="page"/>
      </w:r>
    </w:p>
    <w:p w14:paraId="455DF211" w14:textId="3271C883" w:rsidR="001236FF" w:rsidRDefault="001236FF" w:rsidP="001236FF">
      <w:pPr>
        <w:pStyle w:val="Heading3"/>
      </w:pPr>
      <w:bookmarkStart w:id="37" w:name="_Toc499298865"/>
      <w:r>
        <w:lastRenderedPageBreak/>
        <w:t>Annex 2</w:t>
      </w:r>
      <w:r w:rsidRPr="00395916">
        <w:t xml:space="preserve">: </w:t>
      </w:r>
      <w:r>
        <w:t>Matrix of Investment in Indonesia’s Agriculture Sector</w:t>
      </w:r>
      <w:bookmarkEnd w:id="37"/>
    </w:p>
    <w:p w14:paraId="6BB1C3C0" w14:textId="1B085F62" w:rsidR="00B550FB" w:rsidRDefault="00271347" w:rsidP="00B550FB">
      <w:pPr>
        <w:rPr>
          <w:i/>
        </w:rPr>
      </w:pPr>
      <w:r>
        <w:rPr>
          <w:i/>
        </w:rPr>
        <w:t xml:space="preserve">In August 2017, </w:t>
      </w:r>
      <w:r w:rsidR="00BB3DFA" w:rsidRPr="007A0995">
        <w:rPr>
          <w:i/>
        </w:rPr>
        <w:t>DFAT commissioned a Private Sector Analysis of Indonesia’</w:t>
      </w:r>
      <w:r w:rsidR="004C6AF9">
        <w:rPr>
          <w:i/>
        </w:rPr>
        <w:t>s agriculture sector</w:t>
      </w:r>
      <w:r w:rsidRPr="007A0995">
        <w:rPr>
          <w:i/>
        </w:rPr>
        <w:t xml:space="preserve"> to provide a snapshot of </w:t>
      </w:r>
      <w:r>
        <w:rPr>
          <w:i/>
        </w:rPr>
        <w:t>activity and investment in different sectors and</w:t>
      </w:r>
      <w:r w:rsidRPr="007A0995">
        <w:rPr>
          <w:i/>
        </w:rPr>
        <w:t xml:space="preserve"> value chains.</w:t>
      </w:r>
      <w:r>
        <w:rPr>
          <w:i/>
        </w:rPr>
        <w:t xml:space="preserve"> Below is a matrix of these findings.</w:t>
      </w:r>
    </w:p>
    <w:p w14:paraId="72A06718" w14:textId="77777777" w:rsidR="004C6AF9" w:rsidRPr="007A0995" w:rsidRDefault="004C6AF9" w:rsidP="00B550FB">
      <w:pPr>
        <w:rPr>
          <w:i/>
        </w:rPr>
      </w:pPr>
    </w:p>
    <w:p w14:paraId="21897BFF" w14:textId="62CBEE7E" w:rsidR="001236FF" w:rsidRDefault="00B550FB" w:rsidP="001236FF">
      <w:r>
        <w:rPr>
          <w:noProof/>
          <w:lang w:eastAsia="en-AU"/>
        </w:rPr>
        <w:drawing>
          <wp:inline distT="0" distB="0" distL="0" distR="0" wp14:anchorId="44893489" wp14:editId="5EB140A9">
            <wp:extent cx="5943600" cy="33553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55340"/>
                    </a:xfrm>
                    <a:prstGeom prst="rect">
                      <a:avLst/>
                    </a:prstGeom>
                  </pic:spPr>
                </pic:pic>
              </a:graphicData>
            </a:graphic>
          </wp:inline>
        </w:drawing>
      </w:r>
    </w:p>
    <w:p w14:paraId="58ECA84D" w14:textId="77777777" w:rsidR="004C6AF9" w:rsidRDefault="004C6AF9" w:rsidP="001236FF"/>
    <w:p w14:paraId="0A016585" w14:textId="77777777" w:rsidR="004C6AF9" w:rsidRPr="001236FF" w:rsidRDefault="004C6AF9" w:rsidP="001236FF"/>
    <w:p w14:paraId="01195EFE" w14:textId="4A51A45C" w:rsidR="001236FF" w:rsidRDefault="00B550FB">
      <w:r>
        <w:rPr>
          <w:noProof/>
          <w:lang w:eastAsia="en-AU"/>
        </w:rPr>
        <w:drawing>
          <wp:inline distT="0" distB="0" distL="0" distR="0" wp14:anchorId="391B499E" wp14:editId="66E41753">
            <wp:extent cx="5943600" cy="33458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45815"/>
                    </a:xfrm>
                    <a:prstGeom prst="rect">
                      <a:avLst/>
                    </a:prstGeom>
                  </pic:spPr>
                </pic:pic>
              </a:graphicData>
            </a:graphic>
          </wp:inline>
        </w:drawing>
      </w:r>
    </w:p>
    <w:p w14:paraId="3C17A93B" w14:textId="77777777" w:rsidR="00B550FB" w:rsidRDefault="00B550FB">
      <w:pPr>
        <w:rPr>
          <w:rFonts w:asciiTheme="majorHAnsi" w:eastAsiaTheme="majorEastAsia" w:hAnsiTheme="majorHAnsi" w:cstheme="majorBidi"/>
          <w:color w:val="2F5496" w:themeColor="accent1" w:themeShade="BF"/>
          <w:sz w:val="28"/>
          <w:szCs w:val="28"/>
        </w:rPr>
      </w:pPr>
      <w:r>
        <w:br w:type="page"/>
      </w:r>
    </w:p>
    <w:p w14:paraId="75F4F652" w14:textId="44D50B19" w:rsidR="00162E0B" w:rsidRPr="00395916" w:rsidRDefault="001236FF" w:rsidP="0018686E">
      <w:pPr>
        <w:pStyle w:val="Heading3"/>
      </w:pPr>
      <w:bookmarkStart w:id="38" w:name="_Toc499298866"/>
      <w:r>
        <w:lastRenderedPageBreak/>
        <w:t>Annex 3</w:t>
      </w:r>
      <w:r w:rsidR="00395916">
        <w:t xml:space="preserve">: Lessons </w:t>
      </w:r>
      <w:r w:rsidR="004A4A06" w:rsidRPr="00395916">
        <w:t>Learned</w:t>
      </w:r>
      <w:r w:rsidR="00EA607F" w:rsidRPr="00395916">
        <w:t xml:space="preserve"> from Market Systems Development</w:t>
      </w:r>
      <w:bookmarkEnd w:id="38"/>
    </w:p>
    <w:p w14:paraId="0B1BC843" w14:textId="44AEC8F2" w:rsidR="00EA607F" w:rsidRDefault="00EA607F" w:rsidP="0018686E">
      <w:r>
        <w:t>After more than a decade of experience of implementing the market systems development approach key lessons have emerged globally and from within DFAT’s portfolio, including CAVAC, MDF and, most recently, from AIP-Rural.</w:t>
      </w:r>
      <w:r w:rsidR="00B30FE3">
        <w:t xml:space="preserve"> The AIP-Rural MTR outlines a range of lessons learned from implementation of AIP-</w:t>
      </w:r>
      <w:r w:rsidR="00DE43DE">
        <w:t>Rural that</w:t>
      </w:r>
      <w:r w:rsidR="00B30FE3">
        <w:t xml:space="preserve"> have informed the design of </w:t>
      </w:r>
      <w:r w:rsidR="005D461A">
        <w:t>PRISMA-2</w:t>
      </w:r>
      <w:r w:rsidR="00B30FE3">
        <w:t>. Key lessons from DFAT’s portfolio of market systems development programs include:</w:t>
      </w:r>
    </w:p>
    <w:p w14:paraId="43DE6D3C" w14:textId="77777777" w:rsidR="00EA607F" w:rsidRDefault="00EA607F" w:rsidP="0018686E">
      <w:r>
        <w:rPr>
          <w:b/>
        </w:rPr>
        <w:t>Market systems development</w:t>
      </w:r>
      <w:r w:rsidRPr="00A31B9C">
        <w:rPr>
          <w:b/>
        </w:rPr>
        <w:t xml:space="preserve"> works</w:t>
      </w:r>
      <w:r>
        <w:t xml:space="preserve">, including in fragmented and isolated contexts such as eastern Indonesia or the Pacific, and can benefit poor people and disadvantaged groups, such as women. To do so </w:t>
      </w:r>
      <w:proofErr w:type="gramStart"/>
      <w:r>
        <w:t>requires</w:t>
      </w:r>
      <w:proofErr w:type="gramEnd"/>
      <w:r>
        <w:t xml:space="preserve"> rigorous analysis and measurement, identification of viable business cases that can attract investment, and willingness to use a mix of intervention types and tactics. It has also been recognised that operating in these challenging contexts can adversely affect value for money, although the benefit-cost ratio of intervention typically remains positive.</w:t>
      </w:r>
    </w:p>
    <w:p w14:paraId="471167CB" w14:textId="77777777" w:rsidR="00EA607F" w:rsidRDefault="00EA607F" w:rsidP="0018686E">
      <w:r>
        <w:rPr>
          <w:b/>
        </w:rPr>
        <w:t>Key factors that determine successful in</w:t>
      </w:r>
      <w:r w:rsidRPr="00A31B9C">
        <w:rPr>
          <w:b/>
        </w:rPr>
        <w:t xml:space="preserve">tervention </w:t>
      </w:r>
      <w:r>
        <w:rPr>
          <w:b/>
        </w:rPr>
        <w:t>include:</w:t>
      </w:r>
      <w:r>
        <w:t xml:space="preserve"> analysis that identifies the root causes of market constraints and viable opportunities for change; robust scrutiny of potential partners’ incentives and capacity to change; negotiation of partnership deals that involve substantial co-investment and test and build partners’ ownership over time; early identification of ‘scale agents’ that can contribute significant impact and act as role models for peers to copy; and intervention teams of sufficient calibre and skills mix do the analysis, deal making, due diligence and intervention management.</w:t>
      </w:r>
    </w:p>
    <w:p w14:paraId="01C7BE27" w14:textId="02041A23" w:rsidR="00EA607F" w:rsidRDefault="00EA607F" w:rsidP="0018686E">
      <w:r>
        <w:rPr>
          <w:b/>
        </w:rPr>
        <w:t>Talent is the vital ingredient</w:t>
      </w:r>
      <w:r>
        <w:t xml:space="preserve">: market systems development is a distinctive capacity requirement. Sectoral specialisation has been found to be less critical than staff with attributes suited to market systems development: analytical, entrepreneurial, creativity, negotiation and change management. </w:t>
      </w:r>
      <w:proofErr w:type="gramStart"/>
      <w:r>
        <w:t>Staff are</w:t>
      </w:r>
      <w:proofErr w:type="gramEnd"/>
      <w:r>
        <w:t xml:space="preserve"> the most important way in which a program adds value: it is their intelligence, insights, ideas and influence that stimulate change. Programs have had to invest significantly in developing effective teams early in the life of a program, and then strive to retain talented staff. Since </w:t>
      </w:r>
      <w:proofErr w:type="gramStart"/>
      <w:r>
        <w:t>staff usually constitute</w:t>
      </w:r>
      <w:proofErr w:type="gramEnd"/>
      <w:r>
        <w:t xml:space="preserve"> the largest element of intervention costs, management systems must be capable of tracking staff time utilisation and allocating costs to interventions costs accurately, and not just record s</w:t>
      </w:r>
      <w:r w:rsidR="008B0BC5">
        <w:t>taff costs as part of overhead.</w:t>
      </w:r>
    </w:p>
    <w:p w14:paraId="66D684C1" w14:textId="435C43CB" w:rsidR="00EA607F" w:rsidRDefault="00EA607F" w:rsidP="0018686E">
      <w:r w:rsidRPr="00A31B9C">
        <w:rPr>
          <w:b/>
        </w:rPr>
        <w:t>Time</w:t>
      </w:r>
      <w:r>
        <w:rPr>
          <w:b/>
        </w:rPr>
        <w:t xml:space="preserve"> and patience is required</w:t>
      </w:r>
      <w:r>
        <w:t>: market systems development programs tend to be constrained by time rather than funds. Building effective understanding, teams and partnerships takes patience. Programs can only move as fast as c</w:t>
      </w:r>
      <w:r w:rsidR="001117AB">
        <w:t>o-investors are willing to move</w:t>
      </w:r>
      <w:r>
        <w:t xml:space="preserve"> if their ownership is to be strengthened rather than diluted. Piloting innovations, measuring them, adapting them and then scaling them up can take several years, especially in seasonal agriculture. Early identification of scale agents can speed up this process, but all market systems development programs have followed an ‘S-curve’ trajectory towards sustainability and scale – starting small and slowly, then escalating significantly – that is markedly different from the linear pathway of direct delivery</w:t>
      </w:r>
      <w:r w:rsidR="00874DE6">
        <w:rPr>
          <w:rStyle w:val="FootnoteReference"/>
        </w:rPr>
        <w:footnoteReference w:id="75"/>
      </w:r>
      <w:r w:rsidR="00874DE6">
        <w:t>.</w:t>
      </w:r>
      <w:r>
        <w:t>This trajectory should be understood from the outset. Programs need to measure and report ‘leading’ indicators that can capture short term progress (e.g. partner co-investment and target group rates of access) and not rely solely on reporting ‘lagging’ indicators (such as change in income) that t</w:t>
      </w:r>
      <w:r w:rsidR="008B0BC5">
        <w:t>ake a long time to materialise.</w:t>
      </w:r>
    </w:p>
    <w:p w14:paraId="4EAFCEDC" w14:textId="52E74038" w:rsidR="00EA607F" w:rsidRDefault="00EA607F" w:rsidP="0018686E">
      <w:r>
        <w:rPr>
          <w:b/>
        </w:rPr>
        <w:t>Use rigorous</w:t>
      </w:r>
      <w:r w:rsidRPr="009630F9">
        <w:rPr>
          <w:b/>
        </w:rPr>
        <w:t xml:space="preserve"> portfolio</w:t>
      </w:r>
      <w:r>
        <w:rPr>
          <w:b/>
        </w:rPr>
        <w:t xml:space="preserve"> management:</w:t>
      </w:r>
      <w:r>
        <w:t xml:space="preserve"> the pathway to large-scale change is not predictable. Programs cannot control all factors affecting interventions, partners and sector conditions. Innovations, by definition, are new; therefore</w:t>
      </w:r>
      <w:r w:rsidR="001117AB">
        <w:t>,</w:t>
      </w:r>
      <w:r>
        <w:t xml:space="preserve"> some will fail. A rigorous portfolio management approach has been found the best way to mitigate this uncertainty and ensure that aggregate performance delivers impact, by reducing dependency on a single sector, partner or intervention, i.e. by spreading the ‘bets’. Successful programs </w:t>
      </w:r>
      <w:r>
        <w:lastRenderedPageBreak/>
        <w:t xml:space="preserve">have tended to focus on a blend of sectors, with different levels of risk and probabilities of impact; they have worked with a diversity of partners; and they have intervened through a range of entry points. The portfolio must be managed rigorously through routine and transparent mechanisms (e.g. monthly or quarterly team meetings). Strategies need to be re-examined regularly and the performance of interventions and partnerships monitored carefully. Underperforming or failing initiatives should be adapted, de-prioritised or dropped. Resources (people and finance) need to </w:t>
      </w:r>
      <w:proofErr w:type="gramStart"/>
      <w:r>
        <w:t>re-allocated</w:t>
      </w:r>
      <w:proofErr w:type="gramEnd"/>
      <w:r>
        <w:t xml:space="preserve"> to those initiatives that are demonstrating the best potential for progress towards impact.</w:t>
      </w:r>
    </w:p>
    <w:p w14:paraId="499FAA3C" w14:textId="35CB7FC0" w:rsidR="00EA607F" w:rsidRDefault="00EA607F" w:rsidP="0018686E">
      <w:r w:rsidRPr="00D17181">
        <w:rPr>
          <w:b/>
        </w:rPr>
        <w:t>Retain as much flexibility as possible</w:t>
      </w:r>
      <w:r w:rsidRPr="000D33A0">
        <w:rPr>
          <w:b/>
        </w:rPr>
        <w:t>:</w:t>
      </w:r>
      <w:r>
        <w:t xml:space="preserve"> market systems development programs work in dynamic environments, through independent market partners and do not deliver prescribed solutions. Innovation requires flexible and pragmatic contractual arrangements. Rigid, overly- detailed planning, budgeting and reporting frameworks have been found to restrict successful performance; they inhibit programs from responding to emerging opportunities and reacting to changing conditions. Programs require adaptive management systems, which provide accountability to funders but also cope with change. Typically, funders set the broad strategic parameters of program: a well-understood theory of change, high-level objectives and principles and associated targets (e.g. for goal and outcome level impact and outreach, sustainability, co-investment). Programs are then afforded considerable operational flexibility. This flexibility is managed using rigorous results measurement, incorporating short-term intervention planning and feedback loops, and regular oversight processes involving the funder, usually on a quarterly and annual basis, to set work plans and budge</w:t>
      </w:r>
      <w:r w:rsidR="008B0BC5">
        <w:t>ts and assess progress to date.</w:t>
      </w:r>
    </w:p>
    <w:p w14:paraId="0D52913F" w14:textId="7492BD35" w:rsidR="00EA607F" w:rsidRPr="00465B45" w:rsidRDefault="00EA607F" w:rsidP="0018686E">
      <w:pPr>
        <w:rPr>
          <w:b/>
        </w:rPr>
      </w:pPr>
      <w:r>
        <w:rPr>
          <w:b/>
        </w:rPr>
        <w:t>Understand stakeholder requirements and tailor communications:</w:t>
      </w:r>
      <w:r w:rsidRPr="00491C0E">
        <w:t xml:space="preserve"> </w:t>
      </w:r>
      <w:r>
        <w:t xml:space="preserve">market systems development programs are unconventional for many stakeholders (e.g. funders, government, politicians, </w:t>
      </w:r>
      <w:proofErr w:type="gramStart"/>
      <w:r>
        <w:t>media</w:t>
      </w:r>
      <w:proofErr w:type="gramEnd"/>
      <w:r>
        <w:t xml:space="preserve">). The theory of change is complicated, the approach is sophisticated and the impact </w:t>
      </w:r>
      <w:r w:rsidRPr="00491C0E">
        <w:t>trajectory</w:t>
      </w:r>
      <w:r>
        <w:t xml:space="preserve"> takes longer than direct delivery programs</w:t>
      </w:r>
      <w:r w:rsidRPr="00491C0E">
        <w:t xml:space="preserve">. </w:t>
      </w:r>
      <w:r>
        <w:t>Smart stakeholder communications is therefore a key role of program management: understanding stakeholders’ interests, distilling key program information so that it is accessible and responds to these interests, and managing expectations. It requires a purposive communications strategy, tailored to different audiences, that goes beyond routine reporting.</w:t>
      </w:r>
    </w:p>
    <w:p w14:paraId="339AE25F" w14:textId="77777777" w:rsidR="00EA607F" w:rsidRDefault="00EA607F" w:rsidP="0018686E">
      <w:r>
        <w:rPr>
          <w:b/>
        </w:rPr>
        <w:t>Influence</w:t>
      </w:r>
      <w:r w:rsidRPr="00A31B9C">
        <w:rPr>
          <w:b/>
        </w:rPr>
        <w:t xml:space="preserve"> public policy</w:t>
      </w:r>
      <w:r>
        <w:rPr>
          <w:b/>
        </w:rPr>
        <w:t xml:space="preserve"> opportunistically</w:t>
      </w:r>
      <w:r w:rsidRPr="00A31B9C">
        <w:rPr>
          <w:b/>
        </w:rPr>
        <w:t xml:space="preserve">: </w:t>
      </w:r>
      <w:r>
        <w:t>m</w:t>
      </w:r>
      <w:r w:rsidRPr="0022755C">
        <w:t xml:space="preserve">ost </w:t>
      </w:r>
      <w:r>
        <w:t xml:space="preserve">market development system programs have had limited success in achieving specific policy or regulatory goals established at the outset of the program, even when they have had dedicated policy components. The political economy is too unpredictable and efforts have often been disconnected from mainstream interventions in sectors. More success has been achieved by being </w:t>
      </w:r>
      <w:r w:rsidRPr="00834856">
        <w:t>opportunistic,</w:t>
      </w:r>
      <w:r>
        <w:t xml:space="preserve"> responding to openings as they emerge, usually as a result of sector-focused activities. It has been found that the most effective way market systems development programmes influence policy is through the </w:t>
      </w:r>
      <w:r w:rsidRPr="00834856">
        <w:t xml:space="preserve">evidence </w:t>
      </w:r>
      <w:r>
        <w:t xml:space="preserve">they generate through their analysis, the </w:t>
      </w:r>
      <w:r w:rsidRPr="00834856">
        <w:t>demo</w:t>
      </w:r>
      <w:r>
        <w:t>nstration of alternative models as a result of successful interventions (‘what works’), and through relationships with key market partners, who in turn have influential connections to regulators and policy makers (i.e. ‘i</w:t>
      </w:r>
      <w:r w:rsidRPr="00834856">
        <w:t>nfluenc</w:t>
      </w:r>
      <w:r>
        <w:t>ing the</w:t>
      </w:r>
      <w:r w:rsidRPr="00834856">
        <w:t xml:space="preserve"> influencers</w:t>
      </w:r>
      <w:r>
        <w:t>’).</w:t>
      </w:r>
    </w:p>
    <w:p w14:paraId="16D1563A" w14:textId="62417952" w:rsidR="00EA607F" w:rsidRDefault="00EA607F" w:rsidP="0018686E">
      <w:pPr>
        <w:rPr>
          <w:rFonts w:asciiTheme="majorHAnsi" w:hAnsiTheme="majorHAnsi"/>
          <w:i/>
        </w:rPr>
      </w:pPr>
      <w:r>
        <w:rPr>
          <w:b/>
        </w:rPr>
        <w:t>Supportive l</w:t>
      </w:r>
      <w:r w:rsidRPr="00A31B9C">
        <w:rPr>
          <w:b/>
        </w:rPr>
        <w:t>eadership and</w:t>
      </w:r>
      <w:r>
        <w:rPr>
          <w:b/>
        </w:rPr>
        <w:t xml:space="preserve"> program</w:t>
      </w:r>
      <w:r w:rsidRPr="00A31B9C">
        <w:rPr>
          <w:b/>
        </w:rPr>
        <w:t xml:space="preserve"> culture:</w:t>
      </w:r>
      <w:r>
        <w:t xml:space="preserve"> the lessons documented above demand high-calibre program leadership and </w:t>
      </w:r>
      <w:proofErr w:type="gramStart"/>
      <w:r>
        <w:t>conducive</w:t>
      </w:r>
      <w:proofErr w:type="gramEnd"/>
      <w:r>
        <w:t xml:space="preserve"> program culture. Successful team leaders tend to be those experienced in change management processes, not just the technical delivery of prescribed tasks. They also tend to be skilled in human resource management, capable of building and leading a team of diverse talents. They need to be experienced in establishing and overseeing adaptive management processes that balance accountability to funders with the flexibility necessary to operate in dynamic market systems. They also need to be capable of shaping a program culture that is sufficiently open to encourage creativity and entrepreneurism, sufficiently rigorous to scrutinise information, partners and interventions, and sufficiently supportive to f</w:t>
      </w:r>
      <w:r w:rsidR="008B0BC5">
        <w:t>oster learning and development.</w:t>
      </w:r>
    </w:p>
    <w:p w14:paraId="0588B50E" w14:textId="4A18BD51" w:rsidR="00EA607F" w:rsidRDefault="00EA607F" w:rsidP="0018686E">
      <w:pPr>
        <w:pStyle w:val="BodyText"/>
        <w:rPr>
          <w:rFonts w:asciiTheme="majorHAnsi" w:hAnsiTheme="majorHAnsi"/>
          <w:i/>
        </w:rPr>
        <w:sectPr w:rsidR="00EA607F" w:rsidSect="00754CA2">
          <w:pgSz w:w="11906" w:h="16838" w:code="9"/>
          <w:pgMar w:top="1701" w:right="1134" w:bottom="1418" w:left="1134" w:header="425" w:footer="493" w:gutter="0"/>
          <w:cols w:space="397"/>
          <w:titlePg/>
          <w:docGrid w:linePitch="360"/>
        </w:sectPr>
      </w:pPr>
    </w:p>
    <w:p w14:paraId="6B3FC109" w14:textId="582C59D7" w:rsidR="004A4A06" w:rsidRDefault="001236FF" w:rsidP="00E66EF5">
      <w:pPr>
        <w:pStyle w:val="Heading3"/>
      </w:pPr>
      <w:bookmarkStart w:id="39" w:name="_Toc499298867"/>
      <w:r>
        <w:lastRenderedPageBreak/>
        <w:t>Annex 4</w:t>
      </w:r>
      <w:r w:rsidR="00162E0B" w:rsidRPr="00395916">
        <w:t>:</w:t>
      </w:r>
      <w:r w:rsidR="004A4A06" w:rsidRPr="00395916">
        <w:t xml:space="preserve"> </w:t>
      </w:r>
      <w:r w:rsidR="00E66EF5">
        <w:t xml:space="preserve">Summary </w:t>
      </w:r>
      <w:r w:rsidR="004A4A06" w:rsidRPr="00395916">
        <w:t>Program Logic</w:t>
      </w:r>
      <w:bookmarkEnd w:id="39"/>
    </w:p>
    <w:p w14:paraId="6B9D09F0" w14:textId="2E3BC882" w:rsidR="004B7CFF" w:rsidRDefault="008E6FD4" w:rsidP="007372AA">
      <w:pPr>
        <w:pStyle w:val="BodyText"/>
        <w:jc w:val="center"/>
        <w:rPr>
          <w:rFonts w:asciiTheme="majorHAnsi" w:hAnsiTheme="majorHAnsi"/>
          <w:i/>
        </w:rPr>
      </w:pPr>
      <w:r>
        <w:rPr>
          <w:noProof/>
          <w:lang w:eastAsia="en-AU"/>
        </w:rPr>
        <w:drawing>
          <wp:inline distT="0" distB="0" distL="0" distR="0" wp14:anchorId="4687FB1E" wp14:editId="39A2BB0B">
            <wp:extent cx="5285740" cy="84772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5740" cy="8477250"/>
                    </a:xfrm>
                    <a:prstGeom prst="rect">
                      <a:avLst/>
                    </a:prstGeom>
                    <a:noFill/>
                    <a:ln>
                      <a:noFill/>
                    </a:ln>
                  </pic:spPr>
                </pic:pic>
              </a:graphicData>
            </a:graphic>
          </wp:inline>
        </w:drawing>
      </w:r>
    </w:p>
    <w:p w14:paraId="18B7A607" w14:textId="23D9C7A4" w:rsidR="00162E0B" w:rsidRDefault="00162E0B" w:rsidP="00794C57">
      <w:pPr>
        <w:pStyle w:val="BodyText"/>
        <w:rPr>
          <w:rFonts w:asciiTheme="majorHAnsi" w:hAnsiTheme="majorHAnsi"/>
          <w:i/>
        </w:rPr>
        <w:sectPr w:rsidR="00162E0B" w:rsidSect="004A4A06">
          <w:pgSz w:w="11906" w:h="16838" w:code="9"/>
          <w:pgMar w:top="1418" w:right="1134" w:bottom="1701" w:left="1134" w:header="425" w:footer="493" w:gutter="0"/>
          <w:cols w:space="397"/>
          <w:titlePg/>
          <w:docGrid w:linePitch="360"/>
        </w:sectPr>
      </w:pPr>
    </w:p>
    <w:p w14:paraId="6BF69A24" w14:textId="09BFCD8C" w:rsidR="00DC071E" w:rsidRPr="00395916" w:rsidRDefault="00DC071E" w:rsidP="00DC071E">
      <w:pPr>
        <w:pStyle w:val="Heading3"/>
      </w:pPr>
      <w:bookmarkStart w:id="40" w:name="_Toc499298868"/>
      <w:r>
        <w:lastRenderedPageBreak/>
        <w:t xml:space="preserve">Annex </w:t>
      </w:r>
      <w:r w:rsidR="001236FF">
        <w:t>5</w:t>
      </w:r>
      <w:r>
        <w:t xml:space="preserve">: </w:t>
      </w:r>
      <w:r w:rsidRPr="00395916">
        <w:t>Monitoring</w:t>
      </w:r>
      <w:r w:rsidR="00C45026">
        <w:t>,</w:t>
      </w:r>
      <w:r w:rsidRPr="00395916">
        <w:t xml:space="preserve"> Results Measurement </w:t>
      </w:r>
      <w:r w:rsidR="00C45026">
        <w:t>and Evaluation</w:t>
      </w:r>
      <w:bookmarkEnd w:id="40"/>
    </w:p>
    <w:p w14:paraId="21BD5596" w14:textId="77777777" w:rsidR="00F50E26" w:rsidRDefault="00DC071E" w:rsidP="00F50E26">
      <w:r w:rsidRPr="00DE43DE">
        <w:t>The results measurement standard of the Donor Committee for Enterprise Development (DCED)</w:t>
      </w:r>
      <w:r w:rsidRPr="00DE43DE">
        <w:rPr>
          <w:vertAlign w:val="superscript"/>
        </w:rPr>
        <w:footnoteReference w:id="76"/>
      </w:r>
      <w:r w:rsidRPr="00DE43DE">
        <w:t xml:space="preserve"> is the foundation for monitoring and results measurement (MRM) of AIP-Rural.  This </w:t>
      </w:r>
      <w:r w:rsidR="00526ACC">
        <w:t xml:space="preserve">is consistent with DFAT M&amp;E Standards 1, 2 and 3, and </w:t>
      </w:r>
      <w:r w:rsidRPr="00DE43DE">
        <w:t>enables consistent use of a common set of performance and management indicators</w:t>
      </w:r>
      <w:r w:rsidR="0018686E" w:rsidRPr="00DE43DE">
        <w:t xml:space="preserve"> across all interventions</w:t>
      </w:r>
      <w:r w:rsidRPr="00DE43DE">
        <w:t xml:space="preserve">.  </w:t>
      </w:r>
      <w:r w:rsidR="005D461A" w:rsidRPr="00DE43DE">
        <w:t>PRISMA-2</w:t>
      </w:r>
      <w:r w:rsidR="0018686E" w:rsidRPr="00DE43DE">
        <w:t xml:space="preserve"> </w:t>
      </w:r>
      <w:r w:rsidRPr="00DE43DE">
        <w:t>will maintain this approach</w:t>
      </w:r>
      <w:r w:rsidR="004712BA">
        <w:t xml:space="preserve"> and continue to use the key performance and management indicators</w:t>
      </w:r>
      <w:r w:rsidR="004712BA" w:rsidRPr="00CD41EF">
        <w:t>.</w:t>
      </w:r>
      <w:r w:rsidR="004712BA">
        <w:t xml:space="preserve">  </w:t>
      </w:r>
    </w:p>
    <w:p w14:paraId="6E84563B" w14:textId="61FB9BA6" w:rsidR="00DC071E" w:rsidRPr="00DE43DE" w:rsidRDefault="00F50E26" w:rsidP="004712BA">
      <w:r>
        <w:t>Key Performance Indicators inform performance assessment indicators used by DFAT for the Indonesia program,</w:t>
      </w:r>
      <w:r>
        <w:rPr>
          <w:rStyle w:val="FootnoteReference"/>
        </w:rPr>
        <w:footnoteReference w:id="77"/>
      </w:r>
      <w:r>
        <w:t xml:space="preserve"> for example, DFAT Objective 1.3 (more jobs and higher incomes, especially for poor households) and several Performance Benchmarks, including Indicator 1 (additional financing leveraged for Indonesian development), Indicator 4 (number of smallholder farmers, in particular women, with increased incomes), Indicator 5 (partnerships with businesses), Indicator 11 (ICT that support development), and in the future, potentially Indicator 3 (improvements to market efficiency, regulation and financial systems), and Indicator 6 (improvements to human development policies and programs).  </w:t>
      </w:r>
    </w:p>
    <w:p w14:paraId="4F0E51E1" w14:textId="6B86C2AD" w:rsidR="00DC071E" w:rsidRPr="00DE43DE" w:rsidRDefault="00C45026" w:rsidP="00DC071E">
      <w:pPr>
        <w:spacing w:after="0"/>
        <w:rPr>
          <w:rFonts w:cs="Arial"/>
          <w:b/>
          <w:sz w:val="20"/>
        </w:rPr>
      </w:pPr>
      <w:r w:rsidRPr="00DE43DE">
        <w:rPr>
          <w:b/>
          <w:noProof/>
          <w:sz w:val="20"/>
          <w:lang w:eastAsia="en-AU"/>
        </w:rPr>
        <mc:AlternateContent>
          <mc:Choice Requires="wps">
            <w:drawing>
              <wp:anchor distT="0" distB="0" distL="114300" distR="114300" simplePos="0" relativeHeight="251637248" behindDoc="0" locked="0" layoutInCell="1" allowOverlap="1" wp14:anchorId="50090239" wp14:editId="45C2C2EC">
                <wp:simplePos x="0" y="0"/>
                <wp:positionH relativeFrom="column">
                  <wp:posOffset>-5715</wp:posOffset>
                </wp:positionH>
                <wp:positionV relativeFrom="paragraph">
                  <wp:posOffset>156846</wp:posOffset>
                </wp:positionV>
                <wp:extent cx="5779135" cy="2400300"/>
                <wp:effectExtent l="0" t="0" r="12065" b="19050"/>
                <wp:wrapNone/>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400300"/>
                        </a:xfrm>
                        <a:prstGeom prst="rect">
                          <a:avLst/>
                        </a:prstGeom>
                        <a:solidFill>
                          <a:schemeClr val="accent1">
                            <a:lumMod val="40000"/>
                            <a:lumOff val="60000"/>
                          </a:schemeClr>
                        </a:solidFill>
                        <a:ln w="9525">
                          <a:solidFill>
                            <a:srgbClr val="000000"/>
                          </a:solidFill>
                          <a:miter lim="800000"/>
                          <a:headEnd/>
                          <a:tailEnd/>
                        </a:ln>
                      </wps:spPr>
                      <wps:txbx>
                        <w:txbxContent>
                          <w:p w14:paraId="20B94DD2" w14:textId="77777777" w:rsidR="00243660" w:rsidRPr="00DE43DE" w:rsidRDefault="00243660" w:rsidP="00DC071E">
                            <w:pPr>
                              <w:spacing w:after="0"/>
                              <w:rPr>
                                <w:sz w:val="18"/>
                                <w:szCs w:val="18"/>
                              </w:rPr>
                            </w:pPr>
                            <w:r w:rsidRPr="00DE43DE">
                              <w:rPr>
                                <w:sz w:val="18"/>
                                <w:szCs w:val="18"/>
                              </w:rPr>
                              <w:t>Key performance indicators used by AIP Rural (using sex-disaggregated data wherever possible) are:</w:t>
                            </w:r>
                          </w:p>
                          <w:p w14:paraId="7FEB3818" w14:textId="7EF750CB"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1 – Number of farming households that increase their income due to AIP RURAL Interventions (Outreach)</w:t>
                            </w:r>
                          </w:p>
                          <w:p w14:paraId="7DD3E381" w14:textId="197249C6"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1a – Number of farming households under USD2.50 PPP poverty line with increased net-incomes</w:t>
                            </w:r>
                          </w:p>
                          <w:p w14:paraId="44CBD68E" w14:textId="7FC01651"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 xml:space="preserve">KPI 2 – Net attributable </w:t>
                            </w:r>
                            <w:r>
                              <w:rPr>
                                <w:sz w:val="18"/>
                                <w:szCs w:val="18"/>
                              </w:rPr>
                              <w:t>a</w:t>
                            </w:r>
                            <w:r w:rsidRPr="00DE43DE">
                              <w:rPr>
                                <w:sz w:val="18"/>
                                <w:szCs w:val="18"/>
                              </w:rPr>
                              <w:t>dditional income</w:t>
                            </w:r>
                            <w:r>
                              <w:rPr>
                                <w:sz w:val="18"/>
                                <w:szCs w:val="18"/>
                              </w:rPr>
                              <w:t xml:space="preserve"> change for targeted </w:t>
                            </w:r>
                            <w:r w:rsidRPr="00DE43DE">
                              <w:rPr>
                                <w:sz w:val="18"/>
                                <w:szCs w:val="18"/>
                              </w:rPr>
                              <w:t>farming households (NAI</w:t>
                            </w:r>
                            <w:r>
                              <w:rPr>
                                <w:sz w:val="18"/>
                                <w:szCs w:val="18"/>
                              </w:rPr>
                              <w:t>C</w:t>
                            </w:r>
                            <w:r w:rsidRPr="00DE43DE">
                              <w:rPr>
                                <w:sz w:val="18"/>
                                <w:szCs w:val="18"/>
                              </w:rPr>
                              <w:t>)</w:t>
                            </w:r>
                          </w:p>
                          <w:p w14:paraId="5AF2E7D1" w14:textId="1546BAF0"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2a – Net attributable additional incomes of farming households under USD2.50 PPP poverty line</w:t>
                            </w:r>
                          </w:p>
                          <w:p w14:paraId="33B41BC9" w14:textId="557E5217"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3 – Number of Intermediary Service Provider with increased turnover</w:t>
                            </w:r>
                          </w:p>
                          <w:p w14:paraId="1F9AC636" w14:textId="6A203271"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4 – Value of additional turnover of Intermediary Service Providers</w:t>
                            </w:r>
                          </w:p>
                          <w:p w14:paraId="0FB2D771" w14:textId="703BFD14"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5 – Number of innovations introduced by private sector</w:t>
                            </w:r>
                          </w:p>
                          <w:p w14:paraId="5AFFCB03" w14:textId="4868D4E9"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6 – Number of initiatives taken by government to improve business enabling environment</w:t>
                            </w:r>
                          </w:p>
                          <w:p w14:paraId="221C1E70" w14:textId="78BCD704"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7 – Number of intervention partners (private sector and public sector)</w:t>
                            </w:r>
                          </w:p>
                          <w:p w14:paraId="2BC87B31" w14:textId="7F91B5A0"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8 – Value of investment by private sector partners in IDR</w:t>
                            </w:r>
                          </w:p>
                          <w:p w14:paraId="452ACBBC" w14:textId="77777777" w:rsidR="00243660" w:rsidRPr="00DE43DE" w:rsidRDefault="00243660" w:rsidP="00DC071E">
                            <w:pPr>
                              <w:spacing w:after="0"/>
                              <w:rPr>
                                <w:sz w:val="18"/>
                                <w:szCs w:val="18"/>
                              </w:rPr>
                            </w:pPr>
                          </w:p>
                          <w:p w14:paraId="15D6C956" w14:textId="4690D40C" w:rsidR="00243660" w:rsidRPr="00DE43DE" w:rsidRDefault="00243660" w:rsidP="00DC071E">
                            <w:pPr>
                              <w:spacing w:after="0"/>
                              <w:rPr>
                                <w:sz w:val="18"/>
                                <w:szCs w:val="18"/>
                              </w:rPr>
                            </w:pPr>
                            <w:r w:rsidRPr="00DE43DE">
                              <w:rPr>
                                <w:sz w:val="18"/>
                                <w:szCs w:val="18"/>
                              </w:rPr>
                              <w:t>Management indicators such as disaggregated disbursement (direct intervention, personnel and management costs); variance from planned disbursement, outputs and human resource deployment; and time to recruitment and implementation of interventions are also consistently monitored across the program.</w:t>
                            </w:r>
                            <w:r>
                              <w:rPr>
                                <w:sz w:val="18"/>
                                <w:szCs w:val="18"/>
                              </w:rPr>
                              <w:t xml:space="preserve">  KPI’s are sex-disaggregated.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5pt;margin-top:12.35pt;width:455.05pt;height:18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" fillcolor="#b4c6e7 [1300]">
                <v:textbox>
                  <w:txbxContent>
                    <w:p w14:paraId="20B94DD2" w14:textId="77777777" w:rsidR="00243660" w:rsidRPr="00DE43DE" w:rsidRDefault="00243660" w:rsidP="00DC071E">
                      <w:pPr>
                        <w:spacing w:after="0"/>
                        <w:rPr>
                          <w:sz w:val="18"/>
                          <w:szCs w:val="18"/>
                        </w:rPr>
                      </w:pPr>
                      <w:r w:rsidRPr="00DE43DE">
                        <w:rPr>
                          <w:sz w:val="18"/>
                          <w:szCs w:val="18"/>
                        </w:rPr>
                        <w:t>Key performance indicators used by AIP Rural (using sex-disaggregated data wherever possible) are:</w:t>
                      </w:r>
                    </w:p>
                    <w:p w14:paraId="7FEB3818" w14:textId="7EF750CB"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1 – Number of farming households that increase their income due to AIP RURAL Interventions (Outreach)</w:t>
                      </w:r>
                    </w:p>
                    <w:p w14:paraId="7DD3E381" w14:textId="197249C6"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1a – Number of farming households under USD2.50 PPP poverty line with increased net-incomes</w:t>
                      </w:r>
                    </w:p>
                    <w:p w14:paraId="44CBD68E" w14:textId="7FC01651"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 xml:space="preserve">KPI 2 – Net attributable </w:t>
                      </w:r>
                      <w:r>
                        <w:rPr>
                          <w:sz w:val="18"/>
                          <w:szCs w:val="18"/>
                        </w:rPr>
                        <w:t>a</w:t>
                      </w:r>
                      <w:r w:rsidRPr="00DE43DE">
                        <w:rPr>
                          <w:sz w:val="18"/>
                          <w:szCs w:val="18"/>
                        </w:rPr>
                        <w:t>dditional income</w:t>
                      </w:r>
                      <w:r>
                        <w:rPr>
                          <w:sz w:val="18"/>
                          <w:szCs w:val="18"/>
                        </w:rPr>
                        <w:t xml:space="preserve"> change for targeted </w:t>
                      </w:r>
                      <w:r w:rsidRPr="00DE43DE">
                        <w:rPr>
                          <w:sz w:val="18"/>
                          <w:szCs w:val="18"/>
                        </w:rPr>
                        <w:t>farming households (NAI</w:t>
                      </w:r>
                      <w:r>
                        <w:rPr>
                          <w:sz w:val="18"/>
                          <w:szCs w:val="18"/>
                        </w:rPr>
                        <w:t>C</w:t>
                      </w:r>
                      <w:r w:rsidRPr="00DE43DE">
                        <w:rPr>
                          <w:sz w:val="18"/>
                          <w:szCs w:val="18"/>
                        </w:rPr>
                        <w:t>)</w:t>
                      </w:r>
                    </w:p>
                    <w:p w14:paraId="5AF2E7D1" w14:textId="1546BAF0"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2a – Net attributable additional incomes of farming households under USD2.50 PPP poverty line</w:t>
                      </w:r>
                    </w:p>
                    <w:p w14:paraId="33B41BC9" w14:textId="557E5217"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3 – Number of Intermediary Service Provider with increased turnover</w:t>
                      </w:r>
                    </w:p>
                    <w:p w14:paraId="1F9AC636" w14:textId="6A203271"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4 – Value of additional turnover of Intermediary Service Providers</w:t>
                      </w:r>
                    </w:p>
                    <w:p w14:paraId="0FB2D771" w14:textId="703BFD14"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5 – Number of innovations introduced by private sector</w:t>
                      </w:r>
                    </w:p>
                    <w:p w14:paraId="5AFFCB03" w14:textId="4868D4E9"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6 – Number of initiatives taken by government to improve business enabling environment</w:t>
                      </w:r>
                    </w:p>
                    <w:p w14:paraId="221C1E70" w14:textId="78BCD704"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7 – Number of intervention partners (private sector and public sector)</w:t>
                      </w:r>
                    </w:p>
                    <w:p w14:paraId="2BC87B31" w14:textId="7F91B5A0" w:rsidR="00243660" w:rsidRPr="00DE43DE" w:rsidRDefault="00243660" w:rsidP="004B220D">
                      <w:pPr>
                        <w:pStyle w:val="ListParagraph"/>
                        <w:numPr>
                          <w:ilvl w:val="0"/>
                          <w:numId w:val="17"/>
                        </w:numPr>
                        <w:spacing w:after="0" w:line="240" w:lineRule="auto"/>
                        <w:ind w:left="284" w:hanging="284"/>
                        <w:jc w:val="both"/>
                        <w:rPr>
                          <w:sz w:val="18"/>
                          <w:szCs w:val="18"/>
                        </w:rPr>
                      </w:pPr>
                      <w:r w:rsidRPr="00DE43DE">
                        <w:rPr>
                          <w:sz w:val="18"/>
                          <w:szCs w:val="18"/>
                        </w:rPr>
                        <w:t>KPI 8 – Value of investment by private sector partners in IDR</w:t>
                      </w:r>
                    </w:p>
                    <w:p w14:paraId="452ACBBC" w14:textId="77777777" w:rsidR="00243660" w:rsidRPr="00DE43DE" w:rsidRDefault="00243660" w:rsidP="00DC071E">
                      <w:pPr>
                        <w:spacing w:after="0"/>
                        <w:rPr>
                          <w:sz w:val="18"/>
                          <w:szCs w:val="18"/>
                        </w:rPr>
                      </w:pPr>
                    </w:p>
                    <w:p w14:paraId="15D6C956" w14:textId="4690D40C" w:rsidR="00243660" w:rsidRPr="00DE43DE" w:rsidRDefault="00243660" w:rsidP="00DC071E">
                      <w:pPr>
                        <w:spacing w:after="0"/>
                        <w:rPr>
                          <w:sz w:val="18"/>
                          <w:szCs w:val="18"/>
                        </w:rPr>
                      </w:pPr>
                      <w:r w:rsidRPr="00DE43DE">
                        <w:rPr>
                          <w:sz w:val="18"/>
                          <w:szCs w:val="18"/>
                        </w:rPr>
                        <w:t>Management indicators such as disaggregated disbursement (direct intervention, personnel and management costs); variance from planned disbursement, outputs and human resource deployment; and time to recruitment and implementation of interventions are also consistently monitored across the program.</w:t>
                      </w:r>
                      <w:r>
                        <w:rPr>
                          <w:sz w:val="18"/>
                          <w:szCs w:val="18"/>
                        </w:rPr>
                        <w:t xml:space="preserve">  KPI’s are sex-disaggregated.</w:t>
                      </w:r>
                    </w:p>
                  </w:txbxContent>
                </v:textbox>
              </v:shape>
            </w:pict>
          </mc:Fallback>
        </mc:AlternateContent>
      </w:r>
      <w:r w:rsidR="00271347">
        <w:rPr>
          <w:rFonts w:cs="Arial"/>
          <w:b/>
          <w:sz w:val="20"/>
        </w:rPr>
        <w:t xml:space="preserve">Box 1: </w:t>
      </w:r>
      <w:r w:rsidR="00DC071E" w:rsidRPr="00DE43DE">
        <w:rPr>
          <w:rFonts w:cs="Arial"/>
          <w:b/>
          <w:sz w:val="20"/>
        </w:rPr>
        <w:t>Key performance indicators</w:t>
      </w:r>
    </w:p>
    <w:p w14:paraId="736816ED" w14:textId="7F26E2B6" w:rsidR="00DC071E" w:rsidRPr="000129B1" w:rsidRDefault="00DC071E" w:rsidP="00DC071E">
      <w:pPr>
        <w:spacing w:after="0"/>
      </w:pPr>
    </w:p>
    <w:p w14:paraId="7B447B67" w14:textId="77777777" w:rsidR="00DC071E" w:rsidRPr="000129B1" w:rsidRDefault="00DC071E" w:rsidP="00DC071E">
      <w:pPr>
        <w:spacing w:after="0"/>
      </w:pPr>
    </w:p>
    <w:p w14:paraId="0D3F219F" w14:textId="77777777" w:rsidR="00DC071E" w:rsidRDefault="00DC071E" w:rsidP="00DC071E">
      <w:pPr>
        <w:spacing w:after="0"/>
      </w:pPr>
    </w:p>
    <w:p w14:paraId="49F98656" w14:textId="77777777" w:rsidR="00DC071E" w:rsidRPr="000129B1" w:rsidRDefault="00DC071E" w:rsidP="00DC071E">
      <w:pPr>
        <w:spacing w:after="0"/>
      </w:pPr>
    </w:p>
    <w:p w14:paraId="04A36637" w14:textId="77777777" w:rsidR="00DC071E" w:rsidRDefault="00DC071E" w:rsidP="00DC071E">
      <w:pPr>
        <w:spacing w:after="0"/>
      </w:pPr>
    </w:p>
    <w:p w14:paraId="10F22188" w14:textId="77777777" w:rsidR="00D06D23" w:rsidRDefault="00D06D23" w:rsidP="00DC071E">
      <w:pPr>
        <w:spacing w:after="0"/>
      </w:pPr>
    </w:p>
    <w:p w14:paraId="0F9C0925" w14:textId="77777777" w:rsidR="00D06D23" w:rsidRDefault="00D06D23" w:rsidP="00DC071E">
      <w:pPr>
        <w:spacing w:after="0"/>
      </w:pPr>
    </w:p>
    <w:p w14:paraId="71390A12" w14:textId="77777777" w:rsidR="00D06D23" w:rsidRDefault="00D06D23" w:rsidP="00DC071E">
      <w:pPr>
        <w:spacing w:after="0"/>
      </w:pPr>
    </w:p>
    <w:p w14:paraId="76FD2E4A" w14:textId="77777777" w:rsidR="00D06D23" w:rsidRDefault="00D06D23" w:rsidP="00DC071E">
      <w:pPr>
        <w:spacing w:after="0"/>
      </w:pPr>
    </w:p>
    <w:p w14:paraId="5B45E4AC" w14:textId="77777777" w:rsidR="00D06D23" w:rsidRPr="000129B1" w:rsidRDefault="00D06D23" w:rsidP="00DC071E">
      <w:pPr>
        <w:spacing w:after="0"/>
      </w:pPr>
    </w:p>
    <w:p w14:paraId="0B94FEB6" w14:textId="77777777" w:rsidR="00DC071E" w:rsidRPr="000129B1" w:rsidRDefault="00DC071E" w:rsidP="00DC071E">
      <w:pPr>
        <w:spacing w:after="0"/>
      </w:pPr>
    </w:p>
    <w:p w14:paraId="6DFC3E77" w14:textId="77777777" w:rsidR="00DC071E" w:rsidRPr="000129B1" w:rsidRDefault="00DC071E" w:rsidP="00DC071E">
      <w:pPr>
        <w:spacing w:after="0"/>
      </w:pPr>
    </w:p>
    <w:p w14:paraId="00F55DD6" w14:textId="77777777" w:rsidR="00DC071E" w:rsidRPr="000129B1" w:rsidRDefault="00DC071E" w:rsidP="00DC071E">
      <w:pPr>
        <w:spacing w:after="0"/>
      </w:pPr>
    </w:p>
    <w:p w14:paraId="601D7EEE" w14:textId="77777777" w:rsidR="00DC071E" w:rsidRPr="000129B1" w:rsidRDefault="00DC071E" w:rsidP="00DC071E">
      <w:pPr>
        <w:spacing w:after="0"/>
      </w:pPr>
    </w:p>
    <w:p w14:paraId="79185401" w14:textId="1D55B039" w:rsidR="00490A59" w:rsidRDefault="005D461A" w:rsidP="004B220D">
      <w:r w:rsidRPr="00DE43DE">
        <w:t>PRISMA-2</w:t>
      </w:r>
      <w:r w:rsidR="00DC071E" w:rsidRPr="00DE43DE">
        <w:t xml:space="preserve"> will use the AIP-Rural MRM system </w:t>
      </w:r>
      <w:r w:rsidR="00E04CDA">
        <w:t xml:space="preserve">(see related operations manual) </w:t>
      </w:r>
      <w:r w:rsidR="00DC071E" w:rsidRPr="00DE43DE">
        <w:t xml:space="preserve">to monitor adequacy of progress and measure impact as well as the AIP-Rural management information system (MIS) to consolidate intervention MRM data for reporting and benchmarking.  </w:t>
      </w:r>
      <w:r w:rsidR="00490A59">
        <w:t>In addition to the senior management team who use MRM data and information to support management decisions, the primary audience for results information is DFAT Post and their BAPPENAS partners.  The information is designed to support strategic and tactical decisions for continuous improvement in PRISMA-2 implementation.</w:t>
      </w:r>
    </w:p>
    <w:p w14:paraId="672CA093" w14:textId="355BA0FA" w:rsidR="00DC071E" w:rsidRPr="00DE43DE" w:rsidRDefault="009069AF" w:rsidP="004B220D">
      <w:r w:rsidRPr="00DE43DE">
        <w:t>At the time of transition to PRISMA-2 t</w:t>
      </w:r>
      <w:r w:rsidR="00DC071E" w:rsidRPr="00DE43DE">
        <w:t xml:space="preserve">he MRM team will comprise at least one </w:t>
      </w:r>
      <w:r w:rsidR="00E20147" w:rsidRPr="00DE43DE">
        <w:t xml:space="preserve">Head of Results Management </w:t>
      </w:r>
      <w:r w:rsidR="00DC071E" w:rsidRPr="00DE43DE">
        <w:t>and 11 staff</w:t>
      </w:r>
      <w:r w:rsidR="00026BD2" w:rsidRPr="00DE43DE">
        <w:t>.  This team</w:t>
      </w:r>
      <w:r w:rsidR="00DC071E" w:rsidRPr="00DE43DE">
        <w:t xml:space="preserve"> will design, conduct and report monitoring and survey activities as well as inform the reporting and portfolio review processes.  The </w:t>
      </w:r>
      <w:r w:rsidR="005D461A" w:rsidRPr="00DE43DE">
        <w:t>PRISMA-2</w:t>
      </w:r>
      <w:r w:rsidR="00DC071E" w:rsidRPr="00DE43DE">
        <w:t xml:space="preserve"> team will be managed to have an evidence-based management culture, with results used to actively manage interventions, periodically review the portfolio and inform resource allocation decisions.</w:t>
      </w:r>
    </w:p>
    <w:p w14:paraId="361905E3" w14:textId="65CBDAD1" w:rsidR="00DC071E" w:rsidRPr="00DE43DE" w:rsidRDefault="00DC071E" w:rsidP="004B220D">
      <w:r w:rsidRPr="00DE43DE">
        <w:t xml:space="preserve">The </w:t>
      </w:r>
      <w:r w:rsidR="005D461A" w:rsidRPr="00DE43DE">
        <w:t>PRISMA-2</w:t>
      </w:r>
      <w:r w:rsidRPr="00DE43DE">
        <w:t xml:space="preserve"> MRM system will </w:t>
      </w:r>
      <w:r w:rsidR="00204F83">
        <w:t xml:space="preserve">continue to meet the DFAT M&amp;E Standards and support DFAT AQC reporting by </w:t>
      </w:r>
      <w:r w:rsidRPr="00DE43DE">
        <w:t>retain</w:t>
      </w:r>
      <w:r w:rsidR="00204F83">
        <w:t>ing</w:t>
      </w:r>
      <w:r w:rsidRPr="00DE43DE">
        <w:t xml:space="preserve"> 8 critical components from AIP-Rural:</w:t>
      </w:r>
    </w:p>
    <w:p w14:paraId="2E7F7FF9" w14:textId="3E9CDC0D" w:rsidR="00DE43DE" w:rsidRDefault="00DC071E" w:rsidP="004B220D">
      <w:pPr>
        <w:pStyle w:val="ListParagraph"/>
        <w:numPr>
          <w:ilvl w:val="0"/>
          <w:numId w:val="20"/>
        </w:numPr>
        <w:spacing w:after="0" w:line="240" w:lineRule="auto"/>
        <w:ind w:left="284" w:hanging="284"/>
      </w:pPr>
      <w:r w:rsidRPr="00DE43DE">
        <w:rPr>
          <w:b/>
        </w:rPr>
        <w:lastRenderedPageBreak/>
        <w:t>Program theory and logic model</w:t>
      </w:r>
      <w:r w:rsidRPr="00DE43DE">
        <w:t xml:space="preserve"> – the foundation of the MRM system is the theories explaining why change is anticipated to occur and the related logic model that demonstrates the causal relationships between interventions, outputs (what is produced or delivered) and outcomes (what businesses and people do differently as a result of </w:t>
      </w:r>
      <w:r w:rsidR="005D461A" w:rsidRPr="00DE43DE">
        <w:t>PRISMA-2</w:t>
      </w:r>
      <w:r w:rsidRPr="00DE43DE">
        <w:t xml:space="preserve">).  The summary program logic model is presented in </w:t>
      </w:r>
      <w:r w:rsidR="00E04CDA">
        <w:t>Annex 4</w:t>
      </w:r>
      <w:r w:rsidRPr="00DE43DE">
        <w:t xml:space="preserve"> and is informed by theories that explain the causal mechanisms including: how individuals change (Chart 1); how organisations change; how new ideas spread (Chart 2); how market systems work; and how market systems change (Chart 3).</w:t>
      </w:r>
    </w:p>
    <w:p w14:paraId="0131787F" w14:textId="22B2A382" w:rsidR="00DE43DE" w:rsidRPr="00DE43DE" w:rsidRDefault="00DE43DE" w:rsidP="004B220D">
      <w:pPr>
        <w:pStyle w:val="ListParagraph"/>
        <w:numPr>
          <w:ilvl w:val="0"/>
          <w:numId w:val="20"/>
        </w:numPr>
        <w:spacing w:after="0" w:line="240" w:lineRule="auto"/>
        <w:ind w:left="284" w:hanging="284"/>
      </w:pPr>
      <w:r w:rsidRPr="00DE43DE">
        <w:rPr>
          <w:b/>
        </w:rPr>
        <w:t>Intervention results chains</w:t>
      </w:r>
      <w:r w:rsidRPr="00DE43DE">
        <w:t xml:space="preserve"> – each intervention has a results chain that explains the expected changes and how those will create other changes that will ultimately lead to increased incomes for smallholder households. PRISMA-2 will measure changes for up to two years for each intervention.  Measurement will be made with rigorous baseline, impact and longitudinal studies.  Consistent with AIP-Rural, 6-10 studies will be implemented each semester.  Key lagging indicators (Box 1) will be complemented by leading indicators including access to innovations and use of new inputs, services and/or technologies.</w:t>
      </w:r>
    </w:p>
    <w:p w14:paraId="62EC839B" w14:textId="61E83FE8" w:rsidR="00DE43DE" w:rsidRPr="00DE43DE" w:rsidRDefault="00DE43DE" w:rsidP="004B220D">
      <w:pPr>
        <w:pStyle w:val="ListParagraph"/>
        <w:numPr>
          <w:ilvl w:val="0"/>
          <w:numId w:val="20"/>
        </w:numPr>
        <w:spacing w:after="0" w:line="240" w:lineRule="auto"/>
        <w:ind w:left="284" w:hanging="284"/>
      </w:pPr>
      <w:r w:rsidRPr="00DE43DE">
        <w:rPr>
          <w:b/>
        </w:rPr>
        <w:t>Systemic change in markets</w:t>
      </w:r>
      <w:r w:rsidRPr="00DE43DE">
        <w:t xml:space="preserve"> – PRISMA-2 is designed to create systemic change in each targeted market, which is monitored for each intervention using the Adopt-Adapt-Expand-Response framework (Chart 3).</w:t>
      </w:r>
    </w:p>
    <w:p w14:paraId="09BDA815" w14:textId="77777777" w:rsidR="00DE43DE" w:rsidRDefault="00DE43DE" w:rsidP="00DE43D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4096"/>
      </w:tblGrid>
      <w:tr w:rsidR="00DC071E" w14:paraId="19CC6652" w14:textId="77777777" w:rsidTr="00DE43DE">
        <w:tc>
          <w:tcPr>
            <w:tcW w:w="5362" w:type="dxa"/>
          </w:tcPr>
          <w:p w14:paraId="35CC1108" w14:textId="5F726544" w:rsidR="00DC071E" w:rsidRPr="004B220D" w:rsidRDefault="00DC071E" w:rsidP="00224AAD">
            <w:r w:rsidRPr="004B220D">
              <w:rPr>
                <w:rFonts w:eastAsia="Times New Roman" w:cs="Arial"/>
                <w:b/>
              </w:rPr>
              <w:t>Chart 1: How individuals change</w:t>
            </w:r>
          </w:p>
        </w:tc>
        <w:tc>
          <w:tcPr>
            <w:tcW w:w="4096" w:type="dxa"/>
          </w:tcPr>
          <w:p w14:paraId="70B63998" w14:textId="7F029FEF" w:rsidR="00DC071E" w:rsidRPr="004B220D" w:rsidRDefault="00DC071E" w:rsidP="00224AAD">
            <w:r w:rsidRPr="004B220D">
              <w:rPr>
                <w:rFonts w:eastAsia="Times New Roman" w:cs="Arial"/>
                <w:b/>
              </w:rPr>
              <w:t xml:space="preserve">Chart </w:t>
            </w:r>
            <w:r w:rsidR="00373375" w:rsidRPr="004B220D">
              <w:rPr>
                <w:rFonts w:eastAsia="Times New Roman" w:cs="Arial"/>
                <w:b/>
              </w:rPr>
              <w:t>2</w:t>
            </w:r>
            <w:r w:rsidRPr="004B220D">
              <w:rPr>
                <w:rFonts w:eastAsia="Times New Roman" w:cs="Arial"/>
                <w:b/>
              </w:rPr>
              <w:t>: How new ideas spread</w:t>
            </w:r>
          </w:p>
        </w:tc>
      </w:tr>
      <w:tr w:rsidR="00DC071E" w14:paraId="68739DE4" w14:textId="77777777" w:rsidTr="00DE43DE">
        <w:tc>
          <w:tcPr>
            <w:tcW w:w="5362" w:type="dxa"/>
            <w:vAlign w:val="center"/>
          </w:tcPr>
          <w:p w14:paraId="517E130E" w14:textId="77777777" w:rsidR="00DC071E" w:rsidRDefault="00DC071E" w:rsidP="00224AAD">
            <w:pPr>
              <w:jc w:val="center"/>
              <w:rPr>
                <w:sz w:val="20"/>
              </w:rPr>
            </w:pPr>
            <w:r>
              <w:rPr>
                <w:rFonts w:ascii="Times New Roman" w:eastAsia="Times New Roman" w:hAnsi="Times New Roman"/>
                <w:szCs w:val="20"/>
              </w:rPr>
              <w:object w:dxaOrig="12251" w:dyaOrig="3026" w14:anchorId="10129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76.5pt" o:ole="">
                  <v:imagedata r:id="rId39" o:title=""/>
                </v:shape>
                <o:OLEObject Type="Embed" ProgID="Visio.Drawing.15" ShapeID="_x0000_i1025" DrawAspect="Content" ObjectID="_1573041077" r:id="rId40"/>
              </w:object>
            </w:r>
          </w:p>
        </w:tc>
        <w:tc>
          <w:tcPr>
            <w:tcW w:w="4096" w:type="dxa"/>
          </w:tcPr>
          <w:p w14:paraId="6CADF3EC" w14:textId="77777777" w:rsidR="00DC071E" w:rsidRPr="007D2C44" w:rsidRDefault="00DC071E" w:rsidP="00224AAD">
            <w:pPr>
              <w:rPr>
                <w:rFonts w:ascii="Arial Narrow" w:hAnsi="Arial Narrow"/>
                <w:sz w:val="16"/>
                <w:szCs w:val="16"/>
              </w:rPr>
            </w:pPr>
            <w:r w:rsidRPr="007D2C44">
              <w:rPr>
                <w:rFonts w:ascii="Arial Narrow" w:hAnsi="Arial Narrow"/>
                <w:noProof/>
                <w:color w:val="0000FF"/>
                <w:sz w:val="16"/>
                <w:szCs w:val="16"/>
                <w:lang w:eastAsia="en-AU"/>
              </w:rPr>
              <w:drawing>
                <wp:anchor distT="0" distB="0" distL="114300" distR="114300" simplePos="0" relativeHeight="251640320" behindDoc="0" locked="0" layoutInCell="1" allowOverlap="1" wp14:anchorId="19827B96" wp14:editId="3DCBF073">
                  <wp:simplePos x="0" y="0"/>
                  <wp:positionH relativeFrom="column">
                    <wp:posOffset>161290</wp:posOffset>
                  </wp:positionH>
                  <wp:positionV relativeFrom="paragraph">
                    <wp:posOffset>-1270</wp:posOffset>
                  </wp:positionV>
                  <wp:extent cx="2292985" cy="1461135"/>
                  <wp:effectExtent l="0" t="0" r="0" b="5715"/>
                  <wp:wrapSquare wrapText="bothSides"/>
                  <wp:docPr id="50" name="Picture 50" descr="http://upload.wikimedia.org/wikipedia/commons/thumb/1/11/Diffusion_of_ideas.svg/330px-Diffusion_of_ideas.svg.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1/11/Diffusion_of_ideas.svg/330px-Diffusion_of_ideas.svg.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298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071E" w14:paraId="235BEB1F" w14:textId="77777777" w:rsidTr="00DE43DE">
        <w:tc>
          <w:tcPr>
            <w:tcW w:w="5362" w:type="dxa"/>
          </w:tcPr>
          <w:p w14:paraId="367D2918" w14:textId="77777777" w:rsidR="00DC071E" w:rsidRPr="00D242C0" w:rsidRDefault="00DC071E" w:rsidP="00224AAD">
            <w:pPr>
              <w:rPr>
                <w:rFonts w:ascii="Arial Narrow" w:hAnsi="Arial Narrow"/>
                <w:sz w:val="12"/>
                <w:szCs w:val="12"/>
              </w:rPr>
            </w:pPr>
            <w:r>
              <w:rPr>
                <w:rFonts w:ascii="Arial Narrow" w:hAnsi="Arial Narrow"/>
                <w:sz w:val="12"/>
                <w:szCs w:val="12"/>
              </w:rPr>
              <w:t xml:space="preserve">Source: </w:t>
            </w:r>
            <w:proofErr w:type="spellStart"/>
            <w:r w:rsidRPr="00D242C0">
              <w:rPr>
                <w:rFonts w:ascii="Arial Narrow" w:hAnsi="Arial Narrow"/>
                <w:sz w:val="12"/>
                <w:szCs w:val="12"/>
              </w:rPr>
              <w:t>Armenakis</w:t>
            </w:r>
            <w:proofErr w:type="spellEnd"/>
            <w:r w:rsidRPr="00D242C0">
              <w:rPr>
                <w:rFonts w:ascii="Arial Narrow" w:hAnsi="Arial Narrow"/>
                <w:sz w:val="12"/>
                <w:szCs w:val="12"/>
              </w:rPr>
              <w:t xml:space="preserve">, A., Harris, S. and </w:t>
            </w:r>
            <w:proofErr w:type="spellStart"/>
            <w:r w:rsidRPr="00D242C0">
              <w:rPr>
                <w:rFonts w:ascii="Arial Narrow" w:hAnsi="Arial Narrow"/>
                <w:sz w:val="12"/>
                <w:szCs w:val="12"/>
              </w:rPr>
              <w:t>Feild</w:t>
            </w:r>
            <w:proofErr w:type="spellEnd"/>
            <w:r w:rsidRPr="00D242C0">
              <w:rPr>
                <w:rFonts w:ascii="Arial Narrow" w:hAnsi="Arial Narrow"/>
                <w:sz w:val="12"/>
                <w:szCs w:val="12"/>
              </w:rPr>
              <w:t xml:space="preserve">, H. (1999) </w:t>
            </w:r>
            <w:r w:rsidRPr="00D242C0">
              <w:rPr>
                <w:rFonts w:ascii="Arial Narrow" w:hAnsi="Arial Narrow"/>
                <w:i/>
                <w:sz w:val="12"/>
                <w:szCs w:val="12"/>
              </w:rPr>
              <w:t>Making change permanent: a model for institutionalising change interventions</w:t>
            </w:r>
            <w:r w:rsidRPr="00D242C0">
              <w:rPr>
                <w:rFonts w:ascii="Arial Narrow" w:hAnsi="Arial Narrow"/>
                <w:sz w:val="12"/>
                <w:szCs w:val="12"/>
              </w:rPr>
              <w:t>. Research in Institutional Change and Development, Issue 12, pp97 – 128.  Stamford, CT: JAI Press Inc. USA.</w:t>
            </w:r>
          </w:p>
        </w:tc>
        <w:tc>
          <w:tcPr>
            <w:tcW w:w="4096" w:type="dxa"/>
          </w:tcPr>
          <w:p w14:paraId="7A9E3B75" w14:textId="77777777" w:rsidR="00DC071E" w:rsidRDefault="00DC071E" w:rsidP="00224AAD">
            <w:pPr>
              <w:rPr>
                <w:sz w:val="20"/>
              </w:rPr>
            </w:pPr>
            <w:r w:rsidRPr="007D2C44">
              <w:rPr>
                <w:rFonts w:ascii="Arial Narrow" w:hAnsi="Arial Narrow"/>
                <w:sz w:val="12"/>
                <w:szCs w:val="12"/>
              </w:rPr>
              <w:t>Source: Rogers, E. M. (1962) Diffusion of Innovations. Glencoe: Free Press, USA.</w:t>
            </w:r>
          </w:p>
        </w:tc>
      </w:tr>
    </w:tbl>
    <w:p w14:paraId="79C30D39" w14:textId="549614D3" w:rsidR="00DC071E" w:rsidRPr="00DE43DE" w:rsidRDefault="00DC071E" w:rsidP="004B220D">
      <w:pPr>
        <w:pStyle w:val="ListParagraph"/>
        <w:numPr>
          <w:ilvl w:val="0"/>
          <w:numId w:val="20"/>
        </w:numPr>
        <w:spacing w:after="0" w:line="240" w:lineRule="auto"/>
      </w:pPr>
      <w:r w:rsidRPr="00DE43DE">
        <w:rPr>
          <w:b/>
        </w:rPr>
        <w:t xml:space="preserve">Qualitative, contextual and unexpected change – </w:t>
      </w:r>
      <w:r w:rsidRPr="00DE43DE">
        <w:t xml:space="preserve">evaluative studies, contextual analyses and case studies are systematically and purposefully prepared to inform strategic reviews and support economic diplomacy and policy dialogue.  </w:t>
      </w:r>
      <w:r w:rsidRPr="00DE43DE">
        <w:rPr>
          <w:i/>
        </w:rPr>
        <w:t>Stories from the field</w:t>
      </w:r>
      <w:r w:rsidRPr="00DE43DE">
        <w:t xml:space="preserve"> are one such product</w:t>
      </w:r>
      <w:r w:rsidRPr="00DE43DE">
        <w:rPr>
          <w:rStyle w:val="FootnoteReference"/>
        </w:rPr>
        <w:footnoteReference w:id="78"/>
      </w:r>
      <w:r w:rsidRPr="00DE43DE">
        <w:t xml:space="preserve"> as are videos illustrating progress and impact</w:t>
      </w:r>
      <w:r w:rsidRPr="00DE43DE">
        <w:rPr>
          <w:rStyle w:val="FootnoteReference"/>
        </w:rPr>
        <w:footnoteReference w:id="79"/>
      </w:r>
      <w:r w:rsidRPr="00DE43DE">
        <w:t xml:space="preserve">.  In </w:t>
      </w:r>
      <w:r w:rsidR="005D461A" w:rsidRPr="00DE43DE">
        <w:t>PRISMA-2</w:t>
      </w:r>
      <w:r w:rsidRPr="00DE43DE">
        <w:t xml:space="preserve"> there is an opportunity to include more qualitative indicators in the MRM system.  For example, time savings for farmers (identified as an unexpected benefit from pig and beef interventions) is an additional benefit, especially for women.  More reporting of leading indicators already measured (</w:t>
      </w:r>
      <w:r w:rsidRPr="00DE43DE">
        <w:rPr>
          <w:i/>
        </w:rPr>
        <w:t>e.g</w:t>
      </w:r>
      <w:r w:rsidRPr="00DE43DE">
        <w:t>. access and use) and sex-disaggregated data (</w:t>
      </w:r>
      <w:r w:rsidRPr="00DE43DE">
        <w:rPr>
          <w:i/>
        </w:rPr>
        <w:t>e.g</w:t>
      </w:r>
      <w:r w:rsidRPr="00DE43DE">
        <w:t>. use and income change) would also add value.  There is a trade-off between the costs and benefits of additional indicators – a judgement for tenderers to make.</w:t>
      </w:r>
    </w:p>
    <w:p w14:paraId="63B9B6F1" w14:textId="63C74D6F" w:rsidR="00E04CDA" w:rsidRPr="00DE43DE" w:rsidRDefault="00E04CDA" w:rsidP="00E04CDA">
      <w:pPr>
        <w:pStyle w:val="ListParagraph"/>
        <w:numPr>
          <w:ilvl w:val="0"/>
          <w:numId w:val="20"/>
        </w:numPr>
        <w:spacing w:after="0" w:line="240" w:lineRule="auto"/>
      </w:pPr>
      <w:r w:rsidRPr="00DE43DE">
        <w:rPr>
          <w:b/>
        </w:rPr>
        <w:t>Portfolio management using a quality management tool (QMT)</w:t>
      </w:r>
      <w:r w:rsidRPr="00DE43DE">
        <w:t xml:space="preserve"> – monitoring information from each intervention will be collated with the AIP-Rural MIS to enable aggregated reporting.  These collated data will be actively used to inform management and portfolio review.  Systematic portfolio reviews using a quality management tool (Chart 4) will enable regular portfolio refinement and adjustment of resource allocation to efficiently achieve agreed targets.  </w:t>
      </w:r>
      <w:r w:rsidR="00271347">
        <w:t xml:space="preserve">For example, </w:t>
      </w:r>
      <w:r w:rsidRPr="00DE43DE">
        <w:t>AIP-</w:t>
      </w:r>
      <w:proofErr w:type="spellStart"/>
      <w:r w:rsidRPr="00DE43DE">
        <w:t>Rural</w:t>
      </w:r>
      <w:r w:rsidR="00271347">
        <w:t>’s</w:t>
      </w:r>
      <w:proofErr w:type="spellEnd"/>
      <w:r w:rsidR="00271347">
        <w:t xml:space="preserve"> </w:t>
      </w:r>
      <w:r w:rsidRPr="00DE43DE">
        <w:t xml:space="preserve">portfolio reviews </w:t>
      </w:r>
      <w:r w:rsidR="00271347">
        <w:t>are</w:t>
      </w:r>
      <w:r w:rsidRPr="00DE43DE">
        <w:t xml:space="preserve"> conducted twice a year (typically in June and December) and use a practical range of quantitative and qualitative indicators to rank intervention quality and performance: outreach, benefit, rationale, value for money, quality of deal, quality of collaboration, systemic change potential, poverty, gender, and environment.</w:t>
      </w:r>
    </w:p>
    <w:p w14:paraId="464E85CA" w14:textId="77777777" w:rsidR="00E04CDA" w:rsidRDefault="00E04CDA" w:rsidP="00DC071E">
      <w:pPr>
        <w:spacing w:after="0"/>
        <w:rPr>
          <w:sz w:val="20"/>
        </w:rPr>
      </w:pPr>
    </w:p>
    <w:p w14:paraId="3D23A242" w14:textId="77777777" w:rsidR="00F50E26" w:rsidRDefault="00F50E26" w:rsidP="00DC071E">
      <w:pPr>
        <w:spacing w:after="0"/>
        <w:rPr>
          <w:rFonts w:cs="Arial"/>
          <w:b/>
        </w:rPr>
      </w:pPr>
    </w:p>
    <w:p w14:paraId="71F256C0" w14:textId="6EFFEC0E" w:rsidR="00DC071E" w:rsidRPr="004B220D" w:rsidRDefault="00DC071E" w:rsidP="00DC071E">
      <w:pPr>
        <w:spacing w:after="0"/>
        <w:rPr>
          <w:rFonts w:cs="Arial"/>
          <w:b/>
        </w:rPr>
      </w:pPr>
      <w:r w:rsidRPr="004B220D">
        <w:rPr>
          <w:rFonts w:cs="Arial"/>
          <w:b/>
        </w:rPr>
        <w:lastRenderedPageBreak/>
        <w:t>Chart 3: Adopt-Adapt-Expand-Response framework</w:t>
      </w:r>
    </w:p>
    <w:p w14:paraId="78F70287" w14:textId="77777777" w:rsidR="00DC071E" w:rsidRDefault="00DC071E" w:rsidP="00DC071E">
      <w:pPr>
        <w:spacing w:after="0"/>
        <w:jc w:val="center"/>
        <w:rPr>
          <w:sz w:val="20"/>
        </w:rPr>
      </w:pPr>
      <w:r>
        <w:object w:dxaOrig="12239" w:dyaOrig="5663" w14:anchorId="340436DB">
          <v:shape id="_x0000_i1026" type="#_x0000_t75" style="width:405.75pt;height:185.25pt" o:ole="">
            <v:imagedata r:id="rId43" o:title=""/>
          </v:shape>
          <o:OLEObject Type="Embed" ProgID="Visio.Drawing.15" ShapeID="_x0000_i1026" DrawAspect="Content" ObjectID="_1573041078" r:id="rId44"/>
        </w:object>
      </w:r>
    </w:p>
    <w:p w14:paraId="3728DBC5" w14:textId="77777777" w:rsidR="00DC071E" w:rsidRPr="00C80AC7" w:rsidRDefault="00DC071E" w:rsidP="00DC071E">
      <w:pPr>
        <w:spacing w:after="0"/>
        <w:rPr>
          <w:sz w:val="16"/>
          <w:szCs w:val="16"/>
        </w:rPr>
      </w:pPr>
      <w:r w:rsidRPr="00C80AC7">
        <w:rPr>
          <w:sz w:val="16"/>
          <w:szCs w:val="16"/>
        </w:rPr>
        <w:t xml:space="preserve">Source: </w:t>
      </w:r>
      <w:proofErr w:type="spellStart"/>
      <w:r w:rsidRPr="00C80AC7">
        <w:rPr>
          <w:sz w:val="16"/>
          <w:szCs w:val="16"/>
        </w:rPr>
        <w:t>Nippard</w:t>
      </w:r>
      <w:proofErr w:type="spellEnd"/>
      <w:r w:rsidRPr="00C80AC7">
        <w:rPr>
          <w:sz w:val="16"/>
          <w:szCs w:val="16"/>
        </w:rPr>
        <w:t xml:space="preserve">, D., Hitchins, R., and Elliott, D. (2014) </w:t>
      </w:r>
      <w:r w:rsidRPr="00C80AC7">
        <w:rPr>
          <w:i/>
          <w:sz w:val="16"/>
          <w:szCs w:val="16"/>
        </w:rPr>
        <w:t>Adopt-Adapt-Expand-Respond: a framework for managing and measuring systemic change processes</w:t>
      </w:r>
      <w:r w:rsidRPr="00C80AC7">
        <w:rPr>
          <w:sz w:val="16"/>
          <w:szCs w:val="16"/>
        </w:rPr>
        <w:t>.  Briefing Paper, The Springfield Centre for Business in Development, Durham, UK. [</w:t>
      </w:r>
      <w:proofErr w:type="gramStart"/>
      <w:r w:rsidRPr="00C80AC7">
        <w:rPr>
          <w:sz w:val="16"/>
          <w:szCs w:val="16"/>
        </w:rPr>
        <w:t>pp6-8</w:t>
      </w:r>
      <w:proofErr w:type="gramEnd"/>
      <w:r w:rsidRPr="00C80AC7">
        <w:rPr>
          <w:sz w:val="16"/>
          <w:szCs w:val="16"/>
        </w:rPr>
        <w:t>]</w:t>
      </w:r>
    </w:p>
    <w:p w14:paraId="3583EF9B" w14:textId="77777777" w:rsidR="00DC071E" w:rsidRDefault="00DC071E" w:rsidP="00DC071E">
      <w:pPr>
        <w:spacing w:after="0"/>
        <w:rPr>
          <w:sz w:val="20"/>
        </w:rPr>
      </w:pPr>
    </w:p>
    <w:p w14:paraId="0D6C22C9" w14:textId="10C0964E" w:rsidR="00DC071E" w:rsidRPr="00DE43DE" w:rsidRDefault="00DC071E" w:rsidP="004B220D">
      <w:pPr>
        <w:pStyle w:val="ListParagraph"/>
        <w:numPr>
          <w:ilvl w:val="0"/>
          <w:numId w:val="20"/>
        </w:numPr>
        <w:spacing w:after="0" w:line="240" w:lineRule="auto"/>
      </w:pPr>
      <w:r w:rsidRPr="00DE43DE">
        <w:rPr>
          <w:b/>
        </w:rPr>
        <w:t>Value for money assessment</w:t>
      </w:r>
      <w:r w:rsidRPr="00DE43DE">
        <w:t xml:space="preserve"> - The </w:t>
      </w:r>
      <w:r w:rsidR="005D461A" w:rsidRPr="00DE43DE">
        <w:t>PRISMA-2</w:t>
      </w:r>
      <w:r w:rsidRPr="00DE43DE">
        <w:t xml:space="preserve"> MIS will continue to monitor three </w:t>
      </w:r>
      <w:proofErr w:type="gramStart"/>
      <w:r w:rsidRPr="00DE43DE">
        <w:t>value</w:t>
      </w:r>
      <w:proofErr w:type="gramEnd"/>
      <w:r w:rsidRPr="00DE43DE">
        <w:t xml:space="preserve"> for money indicators: investment leverage, social return on investment, and investment per farmer.</w:t>
      </w:r>
      <w:r w:rsidR="00C9287A">
        <w:t xml:space="preserve"> These align directly with effectiveness, efficiency and economy measures identified in the DFAT value for money guidelines.  The ethics measures identified in the DFAT guideline are addressed with existing key performance indicators, especially KPI</w:t>
      </w:r>
      <w:r w:rsidR="00850051">
        <w:t>1a</w:t>
      </w:r>
      <w:r w:rsidR="00C9287A">
        <w:t>.</w:t>
      </w:r>
    </w:p>
    <w:p w14:paraId="65BE42C3" w14:textId="77777777" w:rsidR="00C45026" w:rsidRDefault="00C45026" w:rsidP="00DC071E">
      <w:pPr>
        <w:spacing w:after="0"/>
        <w:rPr>
          <w:sz w:val="20"/>
        </w:rPr>
      </w:pPr>
    </w:p>
    <w:p w14:paraId="11033F83" w14:textId="05F701B1" w:rsidR="00DC071E" w:rsidRPr="00DC1D96" w:rsidRDefault="00DC071E" w:rsidP="00DC071E">
      <w:pPr>
        <w:spacing w:after="0"/>
        <w:rPr>
          <w:rFonts w:ascii="Arial" w:hAnsi="Arial" w:cs="Arial"/>
          <w:b/>
          <w:sz w:val="20"/>
        </w:rPr>
      </w:pPr>
      <w:r w:rsidRPr="00DC1D96">
        <w:rPr>
          <w:rFonts w:ascii="Arial" w:hAnsi="Arial" w:cs="Arial"/>
          <w:b/>
          <w:sz w:val="20"/>
        </w:rPr>
        <w:t xml:space="preserve">Chart </w:t>
      </w:r>
      <w:r>
        <w:rPr>
          <w:rFonts w:ascii="Arial" w:hAnsi="Arial" w:cs="Arial"/>
          <w:b/>
          <w:sz w:val="20"/>
        </w:rPr>
        <w:t>4</w:t>
      </w:r>
      <w:r w:rsidRPr="00DC1D96">
        <w:rPr>
          <w:rFonts w:ascii="Arial" w:hAnsi="Arial" w:cs="Arial"/>
          <w:b/>
          <w:sz w:val="20"/>
        </w:rPr>
        <w:t xml:space="preserve">: </w:t>
      </w:r>
      <w:r w:rsidRPr="00EE7073">
        <w:rPr>
          <w:rFonts w:ascii="Arial" w:hAnsi="Arial" w:cs="Arial"/>
          <w:b/>
          <w:sz w:val="20"/>
        </w:rPr>
        <w:t>AIP-</w:t>
      </w:r>
      <w:r>
        <w:rPr>
          <w:rFonts w:ascii="Arial" w:hAnsi="Arial" w:cs="Arial"/>
          <w:b/>
          <w:sz w:val="20"/>
        </w:rPr>
        <w:t>Rural</w:t>
      </w:r>
      <w:r w:rsidRPr="00EE7073">
        <w:rPr>
          <w:rFonts w:ascii="Arial" w:hAnsi="Arial" w:cs="Arial"/>
          <w:b/>
          <w:sz w:val="20"/>
        </w:rPr>
        <w:t xml:space="preserve"> quality management tool for portfolio review</w:t>
      </w:r>
    </w:p>
    <w:p w14:paraId="3CFD34B1" w14:textId="77777777" w:rsidR="00C45026" w:rsidRPr="000129B1" w:rsidRDefault="00C45026" w:rsidP="00C45026">
      <w:pPr>
        <w:spacing w:after="0"/>
        <w:jc w:val="center"/>
      </w:pPr>
      <w:r>
        <w:rPr>
          <w:noProof/>
          <w:lang w:eastAsia="en-AU"/>
        </w:rPr>
        <w:drawing>
          <wp:inline distT="0" distB="0" distL="0" distR="0" wp14:anchorId="6EC66B44" wp14:editId="0754ADD1">
            <wp:extent cx="4648392" cy="268304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9552" cy="2689486"/>
                    </a:xfrm>
                    <a:prstGeom prst="rect">
                      <a:avLst/>
                    </a:prstGeom>
                    <a:noFill/>
                    <a:ln>
                      <a:noFill/>
                    </a:ln>
                  </pic:spPr>
                </pic:pic>
              </a:graphicData>
            </a:graphic>
          </wp:inline>
        </w:drawing>
      </w:r>
    </w:p>
    <w:p w14:paraId="58DB43D7" w14:textId="79D8384E" w:rsidR="00C45026" w:rsidRPr="000129B1" w:rsidRDefault="00C45026" w:rsidP="00C45026">
      <w:pPr>
        <w:spacing w:after="0"/>
        <w:rPr>
          <w:sz w:val="16"/>
          <w:szCs w:val="16"/>
        </w:rPr>
      </w:pPr>
      <w:r w:rsidRPr="000129B1">
        <w:rPr>
          <w:sz w:val="16"/>
          <w:szCs w:val="16"/>
        </w:rPr>
        <w:t>Source: PRISMA (201</w:t>
      </w:r>
      <w:r>
        <w:rPr>
          <w:sz w:val="16"/>
          <w:szCs w:val="16"/>
        </w:rPr>
        <w:t>7</w:t>
      </w:r>
      <w:r w:rsidRPr="000129B1">
        <w:rPr>
          <w:sz w:val="16"/>
          <w:szCs w:val="16"/>
        </w:rPr>
        <w:t>) PRIP Semester 1, 201</w:t>
      </w:r>
      <w:r>
        <w:rPr>
          <w:sz w:val="16"/>
          <w:szCs w:val="16"/>
        </w:rPr>
        <w:t>7</w:t>
      </w:r>
      <w:r w:rsidRPr="000129B1">
        <w:rPr>
          <w:sz w:val="16"/>
          <w:szCs w:val="16"/>
        </w:rPr>
        <w:t>.</w:t>
      </w:r>
    </w:p>
    <w:p w14:paraId="014FA2B6" w14:textId="77777777" w:rsidR="00DC071E" w:rsidRDefault="00DC071E" w:rsidP="00DC071E">
      <w:pPr>
        <w:spacing w:after="0"/>
        <w:rPr>
          <w:sz w:val="20"/>
        </w:rPr>
      </w:pPr>
    </w:p>
    <w:p w14:paraId="419E6E73" w14:textId="77777777" w:rsidR="00850051" w:rsidRPr="00DE43DE" w:rsidRDefault="00850051" w:rsidP="00850051">
      <w:pPr>
        <w:pStyle w:val="ListParagraph"/>
        <w:numPr>
          <w:ilvl w:val="0"/>
          <w:numId w:val="20"/>
        </w:numPr>
        <w:tabs>
          <w:tab w:val="left" w:pos="360"/>
        </w:tabs>
        <w:spacing w:after="0"/>
      </w:pPr>
      <w:r w:rsidRPr="00DE43DE">
        <w:rPr>
          <w:b/>
        </w:rPr>
        <w:t>Reviewing, learning and decision-making</w:t>
      </w:r>
      <w:r w:rsidRPr="00DE43DE">
        <w:t xml:space="preserve"> – The MRM system will continue to provide a feedback mechanism for managers to facilitate learning and improvement of program implementation and portfolio management.  Because PRISMA-2 will operate in a dynamic, complex system it will use a continuous learning mechanism (Chart 5).  Consistent with AIP-Rural, PRISMA-2 will try out interventions and continuously refine and improve their implementation.  In addition, PRISMA-2 will also periodically review the performance of its sub-sectors and portfolio, decide whether they are likely to achieve PRISMA-2 program targets and adjust resource allocation accordingly.  </w:t>
      </w:r>
      <w:r w:rsidRPr="00DE43DE">
        <w:lastRenderedPageBreak/>
        <w:t>Intervention reviews will be conducted as needed.  Sub-sector reviews are anticipated to be conducted once a year, typically in May.</w:t>
      </w:r>
    </w:p>
    <w:p w14:paraId="174C4511" w14:textId="30BB1099" w:rsidR="00DC071E" w:rsidRPr="00DE43DE" w:rsidRDefault="00DC071E" w:rsidP="00850051">
      <w:pPr>
        <w:pStyle w:val="ListParagraph"/>
        <w:numPr>
          <w:ilvl w:val="0"/>
          <w:numId w:val="20"/>
        </w:numPr>
        <w:spacing w:after="0" w:line="240" w:lineRule="auto"/>
      </w:pPr>
      <w:r w:rsidRPr="00DE43DE">
        <w:rPr>
          <w:b/>
        </w:rPr>
        <w:t>DCED audit of MRM system</w:t>
      </w:r>
      <w:r w:rsidRPr="00DE43DE">
        <w:t xml:space="preserve"> – DCED auditors will be periodically engaged to conduct third-party, independent, performance audits of the </w:t>
      </w:r>
      <w:r w:rsidR="005D461A" w:rsidRPr="00DE43DE">
        <w:t>PRISMA-2</w:t>
      </w:r>
      <w:r w:rsidRPr="00DE43DE">
        <w:t xml:space="preserve"> MRM system.  The audits will independently verify that results measurement documentation and processes generate credible information using mandatory and recommended control points set out in the DCED Standard.  This will also allow </w:t>
      </w:r>
      <w:r w:rsidR="005D461A" w:rsidRPr="00DE43DE">
        <w:t>PRISMA-2</w:t>
      </w:r>
      <w:r w:rsidRPr="00DE43DE">
        <w:t xml:space="preserve"> to be benchmarked against international peers.  The target is for the </w:t>
      </w:r>
      <w:r w:rsidR="005D461A" w:rsidRPr="00DE43DE">
        <w:t>PRISMA-2</w:t>
      </w:r>
      <w:r w:rsidRPr="00DE43DE">
        <w:t xml:space="preserve"> MRM System to be maintained to be at least 90% compliant with the DCED Standard for measurement and results management.</w:t>
      </w:r>
    </w:p>
    <w:p w14:paraId="6402670E" w14:textId="77777777" w:rsidR="00DC071E" w:rsidRPr="00DE43DE" w:rsidRDefault="00DC071E" w:rsidP="0018686E">
      <w:pPr>
        <w:spacing w:after="0"/>
      </w:pPr>
    </w:p>
    <w:p w14:paraId="4D07D84D" w14:textId="6FF285A5" w:rsidR="00DC071E" w:rsidRDefault="00DC071E" w:rsidP="004B220D">
      <w:r w:rsidRPr="00DE43DE">
        <w:t xml:space="preserve">Most monitoring tools, study methods and processes for using MRM information were fully established in AIP-Rural.  They </w:t>
      </w:r>
      <w:r w:rsidR="00204F83">
        <w:t xml:space="preserve">align with DFAT M&amp;E Standards 2 and 3, and </w:t>
      </w:r>
      <w:r w:rsidRPr="00DE43DE">
        <w:t>are described in the publicly available MRM Manual and related guidelines</w:t>
      </w:r>
      <w:r w:rsidRPr="00DE43DE">
        <w:rPr>
          <w:rStyle w:val="FootnoteReference"/>
        </w:rPr>
        <w:footnoteReference w:id="80"/>
      </w:r>
      <w:r w:rsidRPr="00DE43DE">
        <w:t xml:space="preserve">. The MRM system will ensure that management of </w:t>
      </w:r>
      <w:r w:rsidR="005D461A" w:rsidRPr="00DE43DE">
        <w:t>PRISMA-2</w:t>
      </w:r>
      <w:r w:rsidRPr="00DE43DE">
        <w:t xml:space="preserve"> is supported by clear and concise information about what is happening in reality. The identification of the key information will be guided by the development of a results chain for each intervention.  Development of results chains implies that the appropriate indicators for each results chain are developed and projected; the identification of the appropriate indicators implies that those indicators must be measured using good survey methods, with clear attribution strategies. The selection of methods of measuring </w:t>
      </w:r>
      <w:proofErr w:type="gramStart"/>
      <w:r w:rsidR="00271347">
        <w:t>attributable</w:t>
      </w:r>
      <w:proofErr w:type="gramEnd"/>
      <w:r w:rsidR="00271347">
        <w:t xml:space="preserve"> </w:t>
      </w:r>
      <w:r w:rsidRPr="00DE43DE">
        <w:t xml:space="preserve">results requires that the program considers external influencing factors (the context) and is able to establish a counterfactual of what would have happened without the intervention. This careful measurement must also apply to measurement of systemic change in target markets.  The results that have been verified using audited measurement methods and systems are then </w:t>
      </w:r>
      <w:proofErr w:type="gramStart"/>
      <w:r w:rsidRPr="00DE43DE">
        <w:t>recorded,</w:t>
      </w:r>
      <w:proofErr w:type="gramEnd"/>
      <w:r w:rsidRPr="00DE43DE">
        <w:t xml:space="preserve"> consolidated and used to review performance.</w:t>
      </w:r>
    </w:p>
    <w:p w14:paraId="66E863CA" w14:textId="30EF89F5" w:rsidR="00A02D30" w:rsidRPr="00DE43DE" w:rsidRDefault="00A02D30" w:rsidP="004B220D">
      <w:r w:rsidRPr="00A02D30">
        <w:t xml:space="preserve">To monitor progress towards inclusion, the MRM system will continue to disaggregate outreach and income change data by geography (province), sex (women and men) and household income level (above and below USD2.50 PPP).  Other data disaggregation may be adopted to inform management, refine facilitation with partners and ISP, </w:t>
      </w:r>
      <w:proofErr w:type="gramStart"/>
      <w:r w:rsidRPr="00A02D30">
        <w:t>align</w:t>
      </w:r>
      <w:proofErr w:type="gramEnd"/>
      <w:r w:rsidRPr="00A02D30">
        <w:t xml:space="preserve"> with indicators used for the DFAT Indonesia PAF and DFAT Aggregated Development Results, and better influence influencers.</w:t>
      </w:r>
      <w:r>
        <w:t xml:space="preserve">  Methods for impact evaluation are described in Annex 1, because they have a strong focus on poverty as well as gender equality and social inclusion.</w:t>
      </w:r>
    </w:p>
    <w:p w14:paraId="02E6E35F" w14:textId="60580226" w:rsidR="00DC071E" w:rsidRPr="00DE43DE" w:rsidRDefault="00DC071E" w:rsidP="004B220D">
      <w:r w:rsidRPr="00DE43DE">
        <w:t xml:space="preserve">The </w:t>
      </w:r>
      <w:r w:rsidR="005D461A" w:rsidRPr="00DE43DE">
        <w:t>PRISMA-2</w:t>
      </w:r>
      <w:r w:rsidRPr="00DE43DE">
        <w:t xml:space="preserve"> MRM system will aggregate results across different interventions and sectors, both to guide decisions on program portfolio and to report aggregate program progress. </w:t>
      </w:r>
      <w:r w:rsidR="00133CB5">
        <w:t xml:space="preserve"> Results from AIP-Rural interventions (both those continuing during the transition period and those results arising within two years after completion – as prescribed by the DCED Standard) will be measured, identified separately and reported, and will be used to contribute to PRISMA Plus targets.</w:t>
      </w:r>
      <w:r w:rsidRPr="00DE43DE">
        <w:t xml:space="preserve"> Aggregation methods will account for any overlap between interventions to avoid double-counting.  The MRM system will also ensure that cross-cutting issues (such as gender, social inclusion, nutrition, </w:t>
      </w:r>
      <w:proofErr w:type="gramStart"/>
      <w:r w:rsidRPr="00DE43DE">
        <w:t>environmental</w:t>
      </w:r>
      <w:proofErr w:type="gramEnd"/>
      <w:r w:rsidRPr="00DE43DE">
        <w:t xml:space="preserve"> protection and food security) are integrated into interventions and are measured. At a minimum, the program will continue to have a do-no-harm policy with regards to all these issues, and where possible will aim to do more.</w:t>
      </w:r>
    </w:p>
    <w:p w14:paraId="32270136" w14:textId="09F9799A" w:rsidR="00F05802" w:rsidRPr="00DE43DE" w:rsidRDefault="00F05802" w:rsidP="004B220D">
      <w:r w:rsidRPr="00DE43DE">
        <w:t>Evaluative studies will be used by PRISMA-2 to explore why change is happening, and if change is not happening as expected</w:t>
      </w:r>
      <w:r w:rsidR="00265CF6" w:rsidRPr="00DE43DE">
        <w:t>,</w:t>
      </w:r>
      <w:r w:rsidR="004B220D">
        <w:t xml:space="preserve"> to explore why not.</w:t>
      </w:r>
      <w:r w:rsidRPr="00DE43DE">
        <w:t xml:space="preserve"> Each study will be designed to learn lessons to support specific management decisions or understand why p</w:t>
      </w:r>
      <w:r w:rsidR="004B220D">
        <w:t>articular results are emerging.</w:t>
      </w:r>
      <w:r w:rsidRPr="00DE43DE">
        <w:t xml:space="preserve"> </w:t>
      </w:r>
      <w:r w:rsidR="00204F83">
        <w:t xml:space="preserve"> This will be especially important for new elements included in PRISMA-2 (e.g. policy dialogue and influencing influencers).  </w:t>
      </w:r>
      <w:r w:rsidRPr="00DE43DE">
        <w:t>Key evaluation questions to guide annual performance analysis and reporting will include</w:t>
      </w:r>
      <w:r w:rsidR="00E439B5">
        <w:t>, but need not be limited to</w:t>
      </w:r>
      <w:r w:rsidRPr="00DE43DE">
        <w:t>:</w:t>
      </w:r>
    </w:p>
    <w:p w14:paraId="1D663C2D" w14:textId="618C729B" w:rsidR="00F05802" w:rsidRPr="00DE43DE" w:rsidRDefault="00F05802" w:rsidP="004B220D">
      <w:pPr>
        <w:pStyle w:val="ListParagraph"/>
        <w:numPr>
          <w:ilvl w:val="0"/>
          <w:numId w:val="56"/>
        </w:numPr>
        <w:spacing w:after="0"/>
      </w:pPr>
      <w:r w:rsidRPr="00DE43DE">
        <w:lastRenderedPageBreak/>
        <w:t>To what extent do the political and policy contexts in Australia and Indonesia support the strategic intent and approach of PRISMA 2?</w:t>
      </w:r>
    </w:p>
    <w:p w14:paraId="761F4FBA" w14:textId="77777777" w:rsidR="00F05802" w:rsidRPr="00DE43DE" w:rsidRDefault="00F05802" w:rsidP="004B220D">
      <w:pPr>
        <w:pStyle w:val="ListParagraph"/>
        <w:numPr>
          <w:ilvl w:val="0"/>
          <w:numId w:val="56"/>
        </w:numPr>
        <w:spacing w:after="0"/>
      </w:pPr>
      <w:r w:rsidRPr="00DE43DE">
        <w:t>Is adequate progress being made towards end-of-program targets? If so, why?  If not, why not?</w:t>
      </w:r>
    </w:p>
    <w:p w14:paraId="2A429A6B" w14:textId="77777777" w:rsidR="00F05802" w:rsidRPr="00DE43DE" w:rsidRDefault="00F05802" w:rsidP="004B220D">
      <w:pPr>
        <w:pStyle w:val="ListParagraph"/>
        <w:numPr>
          <w:ilvl w:val="0"/>
          <w:numId w:val="56"/>
        </w:numPr>
        <w:spacing w:after="0"/>
      </w:pPr>
      <w:r w:rsidRPr="00DE43DE">
        <w:t>What is the trend in value for money indicators across the population of interventions making up the PRISMA 2 portfolio?</w:t>
      </w:r>
    </w:p>
    <w:p w14:paraId="582ABA7C" w14:textId="77777777" w:rsidR="00F05802" w:rsidRPr="00DE43DE" w:rsidRDefault="00F05802" w:rsidP="004B220D">
      <w:pPr>
        <w:pStyle w:val="ListParagraph"/>
        <w:numPr>
          <w:ilvl w:val="0"/>
          <w:numId w:val="56"/>
        </w:numPr>
        <w:spacing w:after="0"/>
      </w:pPr>
      <w:r w:rsidRPr="00DE43DE">
        <w:t>What is the trend in key performance indicators across the population of interventions making up the PRISMA 2 portfolio?</w:t>
      </w:r>
    </w:p>
    <w:p w14:paraId="7A41090D" w14:textId="50A54207" w:rsidR="00F05802" w:rsidRPr="00DE43DE" w:rsidRDefault="00E439B5" w:rsidP="004B220D">
      <w:pPr>
        <w:pStyle w:val="ListParagraph"/>
        <w:numPr>
          <w:ilvl w:val="0"/>
          <w:numId w:val="56"/>
        </w:numPr>
        <w:spacing w:after="0"/>
      </w:pPr>
      <w:r>
        <w:t>To what extent a</w:t>
      </w:r>
      <w:r w:rsidR="00F05802" w:rsidRPr="00DE43DE">
        <w:t xml:space="preserve">re human and financial resources </w:t>
      </w:r>
      <w:r>
        <w:t>efficiently</w:t>
      </w:r>
      <w:r w:rsidR="00F05802" w:rsidRPr="00DE43DE">
        <w:t xml:space="preserve"> allocated across the population of interventions making up the PRISMA 2 portfolio?</w:t>
      </w:r>
    </w:p>
    <w:p w14:paraId="2C05280B" w14:textId="77777777" w:rsidR="00F05802" w:rsidRDefault="00F05802" w:rsidP="004B220D">
      <w:pPr>
        <w:pStyle w:val="ListParagraph"/>
        <w:numPr>
          <w:ilvl w:val="0"/>
          <w:numId w:val="56"/>
        </w:numPr>
        <w:spacing w:after="0"/>
      </w:pPr>
      <w:r w:rsidRPr="00DE43DE">
        <w:t>What key drivers in the evolving context of eastern Indonesian agribusiness enable the program’s approach to work, or constrain its effectiveness?</w:t>
      </w:r>
    </w:p>
    <w:p w14:paraId="00620D54" w14:textId="19A17A1C" w:rsidR="00204F83" w:rsidRPr="00DE43DE" w:rsidRDefault="00204F83" w:rsidP="004B220D">
      <w:pPr>
        <w:pStyle w:val="ListParagraph"/>
        <w:numPr>
          <w:ilvl w:val="0"/>
          <w:numId w:val="56"/>
        </w:numPr>
        <w:spacing w:after="0"/>
      </w:pPr>
      <w:r>
        <w:t>To what extent has PRISMA-2 impacted women, people living on less than USD2.50PPP/day and other marginalised groups?</w:t>
      </w:r>
    </w:p>
    <w:p w14:paraId="5658168A" w14:textId="77777777" w:rsidR="00F05802" w:rsidRPr="00DE43DE" w:rsidRDefault="00F05802" w:rsidP="00DC071E">
      <w:pPr>
        <w:spacing w:after="0"/>
      </w:pPr>
    </w:p>
    <w:p w14:paraId="653BC4D6" w14:textId="0AB96F5B" w:rsidR="004B220D" w:rsidRPr="004B220D" w:rsidRDefault="00DC071E" w:rsidP="00DC071E">
      <w:pPr>
        <w:spacing w:after="0"/>
      </w:pPr>
      <w:r w:rsidRPr="00DE43DE">
        <w:t xml:space="preserve">The </w:t>
      </w:r>
      <w:r w:rsidR="005D461A" w:rsidRPr="00DE43DE">
        <w:t>PRISMA-2</w:t>
      </w:r>
      <w:r w:rsidRPr="00DE43DE">
        <w:t xml:space="preserve"> MRM system will continue to be driven by tho</w:t>
      </w:r>
      <w:r w:rsidR="004B220D">
        <w:t>se who implement interventions.</w:t>
      </w:r>
      <w:r w:rsidRPr="00DE43DE">
        <w:t xml:space="preserve"> Their roles and responsibilities are described in th</w:t>
      </w:r>
      <w:r w:rsidR="00F01433" w:rsidRPr="00DE43DE">
        <w:t>e AIP-Rural</w:t>
      </w:r>
      <w:r w:rsidRPr="00DE43DE">
        <w:t xml:space="preserve"> MRM Manual. A significant part of the responsibility for carrying out results measurement will fall on the sub-sector team, while a significant part of the responsibility for carrying out results measurement robustly and accurately will fall on the MRM team.  Good and useful results measurement for the program will only </w:t>
      </w:r>
      <w:proofErr w:type="gramStart"/>
      <w:r w:rsidRPr="00DE43DE">
        <w:t>be</w:t>
      </w:r>
      <w:proofErr w:type="gramEnd"/>
      <w:r w:rsidRPr="00DE43DE">
        <w:t xml:space="preserve"> possible with both teams working together while carrying out the roles set out for them in the MRM Manual.</w:t>
      </w:r>
    </w:p>
    <w:p w14:paraId="3D72DC96" w14:textId="77777777" w:rsidR="004B220D" w:rsidRDefault="004B220D" w:rsidP="00DC071E">
      <w:pPr>
        <w:spacing w:after="0"/>
        <w:rPr>
          <w:rFonts w:cs="Arial"/>
          <w:b/>
        </w:rPr>
      </w:pPr>
    </w:p>
    <w:p w14:paraId="02D36332" w14:textId="4DBD7CE6" w:rsidR="00DC071E" w:rsidRPr="00DE43DE" w:rsidRDefault="004B220D" w:rsidP="00DC071E">
      <w:pPr>
        <w:spacing w:after="0"/>
        <w:rPr>
          <w:rFonts w:cs="Arial"/>
          <w:b/>
        </w:rPr>
      </w:pPr>
      <w:r w:rsidRPr="004B220D">
        <w:rPr>
          <w:rFonts w:cs="Arial"/>
          <w:b/>
          <w:noProof/>
          <w:lang w:eastAsia="en-AU"/>
        </w:rPr>
        <mc:AlternateContent>
          <mc:Choice Requires="wps">
            <w:drawing>
              <wp:anchor distT="0" distB="0" distL="114300" distR="114300" simplePos="0" relativeHeight="251689472" behindDoc="0" locked="0" layoutInCell="1" allowOverlap="1" wp14:anchorId="796D6196" wp14:editId="334E532C">
                <wp:simplePos x="0" y="0"/>
                <wp:positionH relativeFrom="column">
                  <wp:posOffset>-167503</wp:posOffset>
                </wp:positionH>
                <wp:positionV relativeFrom="paragraph">
                  <wp:posOffset>1998890</wp:posOffset>
                </wp:positionV>
                <wp:extent cx="2480063" cy="282872"/>
                <wp:effectExtent l="0" t="0" r="0" b="31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063" cy="282872"/>
                        </a:xfrm>
                        <a:prstGeom prst="rect">
                          <a:avLst/>
                        </a:prstGeom>
                        <a:solidFill>
                          <a:srgbClr val="FFFFFF"/>
                        </a:solidFill>
                        <a:ln w="9525">
                          <a:noFill/>
                          <a:miter lim="800000"/>
                          <a:headEnd/>
                          <a:tailEnd/>
                        </a:ln>
                      </wps:spPr>
                      <wps:txbx>
                        <w:txbxContent>
                          <w:p w14:paraId="0F08934B" w14:textId="1A306D13" w:rsidR="00243660" w:rsidRDefault="00243660">
                            <w:r w:rsidRPr="004E7B28">
                              <w:rPr>
                                <w:sz w:val="16"/>
                                <w:szCs w:val="16"/>
                              </w:rPr>
                              <w:t>Source: AIP-Rural (2016) PRISMA MRM Manual. [p</w:t>
                            </w:r>
                            <w:r>
                              <w:rPr>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2pt;margin-top:157.4pt;width:195.3pt;height:2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" stroked="f">
                <v:textbox>
                  <w:txbxContent>
                    <w:p w14:paraId="0F08934B" w14:textId="1A306D13" w:rsidR="00243660" w:rsidRDefault="00243660">
                      <w:r w:rsidRPr="004E7B28">
                        <w:rPr>
                          <w:sz w:val="16"/>
                          <w:szCs w:val="16"/>
                        </w:rPr>
                        <w:t>Source: AIP-Rural (2016) PRISMA MRM Manual. [p</w:t>
                      </w:r>
                      <w:r>
                        <w:rPr>
                          <w:sz w:val="16"/>
                          <w:szCs w:val="16"/>
                        </w:rPr>
                        <w:t>10]</w:t>
                      </w:r>
                    </w:p>
                  </w:txbxContent>
                </v:textbox>
              </v:shape>
            </w:pict>
          </mc:Fallback>
        </mc:AlternateContent>
      </w:r>
      <w:r w:rsidRPr="004E7B28">
        <w:rPr>
          <w:rFonts w:ascii="Calibri" w:eastAsia="Times" w:hAnsi="Calibri"/>
          <w:noProof/>
          <w:sz w:val="16"/>
          <w:szCs w:val="16"/>
          <w:lang w:eastAsia="en-AU"/>
        </w:rPr>
        <w:drawing>
          <wp:anchor distT="0" distB="0" distL="114300" distR="114300" simplePos="0" relativeHeight="251646464" behindDoc="0" locked="0" layoutInCell="1" allowOverlap="1" wp14:anchorId="69B3C129" wp14:editId="32533707">
            <wp:simplePos x="0" y="0"/>
            <wp:positionH relativeFrom="column">
              <wp:posOffset>542925</wp:posOffset>
            </wp:positionH>
            <wp:positionV relativeFrom="paragraph">
              <wp:posOffset>268605</wp:posOffset>
            </wp:positionV>
            <wp:extent cx="3808730" cy="2012950"/>
            <wp:effectExtent l="0" t="0" r="1270" b="635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08730" cy="2012950"/>
                    </a:xfrm>
                    <a:prstGeom prst="rect">
                      <a:avLst/>
                    </a:prstGeom>
                    <a:noFill/>
                  </pic:spPr>
                </pic:pic>
              </a:graphicData>
            </a:graphic>
            <wp14:sizeRelH relativeFrom="page">
              <wp14:pctWidth>0</wp14:pctWidth>
            </wp14:sizeRelH>
            <wp14:sizeRelV relativeFrom="page">
              <wp14:pctHeight>0</wp14:pctHeight>
            </wp14:sizeRelV>
          </wp:anchor>
        </w:drawing>
      </w:r>
      <w:r w:rsidR="00DC071E" w:rsidRPr="00DE43DE">
        <w:rPr>
          <w:rFonts w:cs="Arial"/>
          <w:b/>
        </w:rPr>
        <w:t xml:space="preserve">Chart 5: </w:t>
      </w:r>
      <w:r w:rsidR="005D461A" w:rsidRPr="00DE43DE">
        <w:rPr>
          <w:rFonts w:cs="Arial"/>
          <w:b/>
        </w:rPr>
        <w:t>PRISMA-2</w:t>
      </w:r>
      <w:r w:rsidR="00DC071E" w:rsidRPr="00DE43DE">
        <w:rPr>
          <w:rFonts w:cs="Arial"/>
          <w:b/>
        </w:rPr>
        <w:t xml:space="preserve"> performance assessment and management cycle</w:t>
      </w:r>
    </w:p>
    <w:p w14:paraId="3A5FD276" w14:textId="206DDCAA" w:rsidR="00DC071E" w:rsidRPr="00DE43DE" w:rsidRDefault="00B0595B" w:rsidP="0018686E">
      <w:pPr>
        <w:spacing w:after="0"/>
      </w:pPr>
      <w:r>
        <w:rPr>
          <w:noProof/>
          <w:lang w:eastAsia="en-AU"/>
        </w:rPr>
        <mc:AlternateContent>
          <mc:Choice Requires="wps">
            <w:drawing>
              <wp:anchor distT="0" distB="0" distL="114300" distR="114300" simplePos="0" relativeHeight="251691520" behindDoc="0" locked="0" layoutInCell="1" allowOverlap="1" wp14:anchorId="31B72F30" wp14:editId="33BB5E04">
                <wp:simplePos x="0" y="0"/>
                <wp:positionH relativeFrom="column">
                  <wp:posOffset>4437380</wp:posOffset>
                </wp:positionH>
                <wp:positionV relativeFrom="paragraph">
                  <wp:posOffset>-12700</wp:posOffset>
                </wp:positionV>
                <wp:extent cx="1728470" cy="3032125"/>
                <wp:effectExtent l="0" t="0" r="508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032125"/>
                        </a:xfrm>
                        <a:prstGeom prst="rect">
                          <a:avLst/>
                        </a:prstGeom>
                        <a:solidFill>
                          <a:srgbClr val="FFFFFF"/>
                        </a:solidFill>
                        <a:ln w="9525">
                          <a:noFill/>
                          <a:miter lim="800000"/>
                          <a:headEnd/>
                          <a:tailEnd/>
                        </a:ln>
                      </wps:spPr>
                      <wps:txbx>
                        <w:txbxContent>
                          <w:p w14:paraId="1FA590EB" w14:textId="2B530063" w:rsidR="00243660" w:rsidRDefault="00243660">
                            <w:r>
                              <w:rPr>
                                <w:noProof/>
                                <w:lang w:eastAsia="en-AU"/>
                              </w:rPr>
                              <w:drawing>
                                <wp:inline distT="0" distB="0" distL="0" distR="0" wp14:anchorId="45A3EB25" wp14:editId="3BFB1B4C">
                                  <wp:extent cx="1332865" cy="280162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2865" cy="2801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49.4pt;margin-top:-1pt;width:136.1pt;height:238.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" stroked="f">
                <v:textbox>
                  <w:txbxContent>
                    <w:p w14:paraId="1FA590EB" w14:textId="2B530063" w:rsidR="00243660" w:rsidRDefault="00243660">
                      <w:r>
                        <w:rPr>
                          <w:noProof/>
                          <w:lang w:eastAsia="en-AU"/>
                        </w:rPr>
                        <w:drawing>
                          <wp:inline distT="0" distB="0" distL="0" distR="0" wp14:anchorId="45A3EB25" wp14:editId="3BFB1B4C">
                            <wp:extent cx="1332865" cy="280162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2865" cy="2801620"/>
                                    </a:xfrm>
                                    <a:prstGeom prst="rect">
                                      <a:avLst/>
                                    </a:prstGeom>
                                    <a:noFill/>
                                    <a:ln>
                                      <a:noFill/>
                                    </a:ln>
                                  </pic:spPr>
                                </pic:pic>
                              </a:graphicData>
                            </a:graphic>
                          </wp:inline>
                        </w:drawing>
                      </w:r>
                    </w:p>
                  </w:txbxContent>
                </v:textbox>
                <w10:wrap type="square"/>
              </v:shape>
            </w:pict>
          </mc:Fallback>
        </mc:AlternateContent>
      </w:r>
      <w:r w:rsidR="00DC071E" w:rsidRPr="00DE43DE">
        <w:t xml:space="preserve">In summary (see schematic </w:t>
      </w:r>
      <w:r w:rsidR="00DF5A3C" w:rsidRPr="00DE43DE">
        <w:t xml:space="preserve">to the </w:t>
      </w:r>
      <w:r w:rsidR="00DC071E" w:rsidRPr="00DE43DE">
        <w:t xml:space="preserve">right), the logic is that </w:t>
      </w:r>
      <w:r w:rsidR="005D461A" w:rsidRPr="00DE43DE">
        <w:t>PRISMA-2</w:t>
      </w:r>
      <w:r w:rsidR="00DC071E" w:rsidRPr="00DE43DE">
        <w:t xml:space="preserve"> facilitates changes on the supply side, demand side and business enabling environment through:</w:t>
      </w:r>
    </w:p>
    <w:p w14:paraId="0919C085" w14:textId="7D4EC92F" w:rsidR="00DC071E" w:rsidRPr="00DE43DE" w:rsidRDefault="00DC071E" w:rsidP="004B220D">
      <w:pPr>
        <w:pStyle w:val="ListParagraph"/>
        <w:numPr>
          <w:ilvl w:val="0"/>
          <w:numId w:val="21"/>
        </w:numPr>
        <w:spacing w:after="0" w:line="240" w:lineRule="auto"/>
        <w:ind w:left="284" w:hanging="284"/>
      </w:pPr>
      <w:r w:rsidRPr="00DE43DE">
        <w:rPr>
          <w:b/>
        </w:rPr>
        <w:t>Market interventions</w:t>
      </w:r>
      <w:r w:rsidRPr="00DE43DE">
        <w:t xml:space="preserve"> – private sector partners and the intermediate service providers (ISP) they supply are engaged to design and deliver a market intervention offering new services, inputs and/or technologies relevant to targeted women and men smallholder farmers.  This is what the program does, manages and pays for.</w:t>
      </w:r>
    </w:p>
    <w:p w14:paraId="3BFB72CD" w14:textId="54469E22" w:rsidR="00DC071E" w:rsidRPr="00DE43DE" w:rsidRDefault="00DC071E" w:rsidP="004B220D">
      <w:pPr>
        <w:pStyle w:val="ListParagraph"/>
        <w:numPr>
          <w:ilvl w:val="0"/>
          <w:numId w:val="21"/>
        </w:numPr>
        <w:spacing w:after="0" w:line="240" w:lineRule="auto"/>
        <w:ind w:left="284" w:hanging="284"/>
      </w:pPr>
      <w:r w:rsidRPr="00DE43DE">
        <w:rPr>
          <w:b/>
        </w:rPr>
        <w:t>Supply-side partner co-investment</w:t>
      </w:r>
      <w:r w:rsidRPr="00DE43DE">
        <w:t xml:space="preserve"> – as early implementation of an intervention yields results, the private sector is catalysed to innovate and invest to better serve smallholder farmers on a commercially viable basis.  Interventions are designed to deliver changes in knowledge, skills and motivation of partners, who change their behaviour to engage with different intermediate service providers supplying </w:t>
      </w:r>
      <w:r w:rsidRPr="00DE43DE">
        <w:lastRenderedPageBreak/>
        <w:t xml:space="preserve">the demand of farmers targeted by </w:t>
      </w:r>
      <w:r w:rsidR="005D461A" w:rsidRPr="00DE43DE">
        <w:t>PRISMA-2</w:t>
      </w:r>
      <w:r w:rsidRPr="00DE43DE">
        <w:t xml:space="preserve">.  Over time, the share of investment from partners increases and the contribution from </w:t>
      </w:r>
      <w:r w:rsidR="005D461A" w:rsidRPr="00DE43DE">
        <w:t>PRISMA-2</w:t>
      </w:r>
      <w:r w:rsidRPr="00DE43DE">
        <w:t xml:space="preserve"> declines.</w:t>
      </w:r>
    </w:p>
    <w:p w14:paraId="386FFD10" w14:textId="21E77B56" w:rsidR="00DC071E" w:rsidRPr="00DE43DE" w:rsidRDefault="00DC071E" w:rsidP="004B220D">
      <w:pPr>
        <w:pStyle w:val="ListParagraph"/>
        <w:numPr>
          <w:ilvl w:val="0"/>
          <w:numId w:val="21"/>
        </w:numPr>
        <w:spacing w:after="0" w:line="240" w:lineRule="auto"/>
        <w:ind w:left="284" w:hanging="284"/>
      </w:pPr>
      <w:r w:rsidRPr="00DE43DE">
        <w:rPr>
          <w:b/>
        </w:rPr>
        <w:t>Supply-side intermediate service provider business changes</w:t>
      </w:r>
      <w:r w:rsidRPr="00DE43DE">
        <w:t xml:space="preserve"> – </w:t>
      </w:r>
      <w:r w:rsidR="005D461A" w:rsidRPr="00DE43DE">
        <w:t>PRISMA-2</w:t>
      </w:r>
      <w:r w:rsidRPr="00DE43DE">
        <w:t xml:space="preserve"> facilitation enables ISPs to engage with smallholder farmers and gain organisational knowledge, skills and motivation that enables systemic change within the organisation, which if successful starts to change the market.  Changed behaviour by the partner leads to changed knowledge, skills and motivation in ISPs who will then provide better access to new inputs, services or technologies, which in turn leads to changes in practices and productivity of the partner as well as targeted farmers.</w:t>
      </w:r>
    </w:p>
    <w:p w14:paraId="3B4C1971" w14:textId="7DEDCA7A" w:rsidR="00DC071E" w:rsidRPr="00DE43DE" w:rsidRDefault="00DC071E" w:rsidP="004B220D">
      <w:pPr>
        <w:pStyle w:val="ListParagraph"/>
        <w:numPr>
          <w:ilvl w:val="0"/>
          <w:numId w:val="21"/>
        </w:numPr>
        <w:spacing w:after="0" w:line="240" w:lineRule="auto"/>
        <w:ind w:left="284" w:hanging="284"/>
      </w:pPr>
      <w:r w:rsidRPr="00DE43DE">
        <w:rPr>
          <w:b/>
        </w:rPr>
        <w:t>Demand-side changes in farmer practices</w:t>
      </w:r>
      <w:r w:rsidRPr="00DE43DE">
        <w:t xml:space="preserve"> – With access to new services, inputs and/or technologies from ISP and communication of the opportunities they offer, farmers gain new knowledge, skills and motivation to use these innovations.  If early use is effective, more farmers adopt the change with new practices that lead to higher productivity, sales and profits, which generates net additional income.  As a result, more </w:t>
      </w:r>
      <w:r w:rsidR="002F27A6" w:rsidRPr="00DE43DE">
        <w:t>businesses</w:t>
      </w:r>
      <w:r w:rsidRPr="00DE43DE">
        <w:t xml:space="preserve"> recognise the commercial opportunities of serving smallholder farmers.</w:t>
      </w:r>
    </w:p>
    <w:p w14:paraId="7178DA97" w14:textId="271BD1AA" w:rsidR="00DC071E" w:rsidRPr="00DE43DE" w:rsidRDefault="00DC071E" w:rsidP="004B220D">
      <w:pPr>
        <w:pStyle w:val="ListParagraph"/>
        <w:numPr>
          <w:ilvl w:val="0"/>
          <w:numId w:val="21"/>
        </w:numPr>
        <w:spacing w:after="0" w:line="240" w:lineRule="auto"/>
        <w:ind w:left="284" w:hanging="284"/>
      </w:pPr>
      <w:r w:rsidRPr="00DE43DE">
        <w:rPr>
          <w:b/>
        </w:rPr>
        <w:t xml:space="preserve">Changes to the business enabling environment </w:t>
      </w:r>
      <w:r w:rsidRPr="00DE43DE">
        <w:t xml:space="preserve">– As market constraints are identified and the results of early interventions are measured, private sector businesses and their professional bodies, such as chambers of commerce; and analytical resources, such as think tanks, will prepare information to communicate with policy makers and others who control or influence the business environment.  </w:t>
      </w:r>
      <w:r w:rsidR="005D461A" w:rsidRPr="00DE43DE">
        <w:t>PRISMA-2</w:t>
      </w:r>
      <w:r w:rsidRPr="00DE43DE">
        <w:t xml:space="preserve"> will not do this </w:t>
      </w:r>
      <w:proofErr w:type="gramStart"/>
      <w:r w:rsidRPr="00DE43DE">
        <w:t>directly,</w:t>
      </w:r>
      <w:proofErr w:type="gramEnd"/>
      <w:r w:rsidRPr="00DE43DE">
        <w:t xml:space="preserve"> rather the program will influence influencers to drive change when policy windows emerge.</w:t>
      </w:r>
    </w:p>
    <w:p w14:paraId="4466CB31" w14:textId="77777777" w:rsidR="00DC071E" w:rsidRPr="00DE43DE" w:rsidRDefault="00DC071E" w:rsidP="0018686E">
      <w:pPr>
        <w:spacing w:after="0"/>
      </w:pPr>
    </w:p>
    <w:p w14:paraId="7CB7A7DF" w14:textId="6EE2F12A" w:rsidR="00DC071E" w:rsidRPr="00DE43DE" w:rsidRDefault="00DC071E" w:rsidP="00DE43DE">
      <w:r w:rsidRPr="00DE43DE">
        <w:t xml:space="preserve">Each </w:t>
      </w:r>
      <w:r w:rsidR="005D461A" w:rsidRPr="00DE43DE">
        <w:t>PRISMA-2</w:t>
      </w:r>
      <w:r w:rsidRPr="00DE43DE">
        <w:t xml:space="preserve"> intervention has its own results chain modelled along the principles of the program logic. These are used to monitor adequacy of progress and assess the impact of each intervention. A MRM plan is developed for each intervention, which </w:t>
      </w:r>
      <w:r w:rsidR="00526ACC">
        <w:t xml:space="preserve">aligns with DFAT M&amp;E Standard 2 and </w:t>
      </w:r>
      <w:r w:rsidRPr="00DE43DE">
        <w:t>defines when an</w:t>
      </w:r>
      <w:r w:rsidR="00B0595B">
        <w:t xml:space="preserve">d how impact will be assessed. </w:t>
      </w:r>
      <w:r w:rsidR="00526ACC">
        <w:t>PRISMA-2</w:t>
      </w:r>
      <w:r w:rsidRPr="00DE43DE">
        <w:t xml:space="preserve"> will report results that </w:t>
      </w:r>
      <w:r w:rsidR="00B550FB">
        <w:t xml:space="preserve">are </w:t>
      </w:r>
      <w:r w:rsidRPr="00DE43DE">
        <w:t>measured and attributed to the program.  Measurement and reporting of results will be fixed within a specific time frame. The starting point for monitoring will be when intervention activities start. The impact will be assessed for up to two years after that intervention end</w:t>
      </w:r>
      <w:r w:rsidR="00B550FB">
        <w:t>s</w:t>
      </w:r>
      <w:r w:rsidRPr="00DE43DE">
        <w:t>.</w:t>
      </w:r>
    </w:p>
    <w:p w14:paraId="7731F1AD" w14:textId="4DB95B25" w:rsidR="00DC071E" w:rsidRPr="00DE43DE" w:rsidRDefault="00DC071E" w:rsidP="00DE43DE">
      <w:r w:rsidRPr="00DE43DE">
        <w:t>The results chain reflects how women and men farmers will benefit</w:t>
      </w:r>
      <w:r w:rsidR="00B550FB">
        <w:t xml:space="preserve">, </w:t>
      </w:r>
      <w:r w:rsidRPr="00DE43DE">
        <w:t>the total number of farming households benefiting</w:t>
      </w:r>
      <w:r w:rsidR="00B550FB">
        <w:t>,</w:t>
      </w:r>
      <w:r w:rsidRPr="00DE43DE">
        <w:t xml:space="preserve"> and the total net additional attributable income over a</w:t>
      </w:r>
      <w:r w:rsidR="00B550FB">
        <w:t xml:space="preserve"> two </w:t>
      </w:r>
      <w:r w:rsidRPr="00DE43DE">
        <w:t xml:space="preserve">year period </w:t>
      </w:r>
      <w:r w:rsidR="00B550FB">
        <w:t>that will be ‘claimed’</w:t>
      </w:r>
      <w:r w:rsidR="00B0595B">
        <w:t xml:space="preserve"> as a result. </w:t>
      </w:r>
      <w:r w:rsidRPr="00DE43DE">
        <w:t>Changes in income and outreach beyond two years</w:t>
      </w:r>
      <w:r w:rsidR="00B550FB">
        <w:t xml:space="preserve"> after the intervention ends</w:t>
      </w:r>
      <w:r w:rsidRPr="00DE43DE">
        <w:t xml:space="preserve"> will not be claimed even though the benefits contin</w:t>
      </w:r>
      <w:r w:rsidR="00B0595B">
        <w:t xml:space="preserve">ue to happen after that period. </w:t>
      </w:r>
      <w:r w:rsidRPr="00DE43DE">
        <w:t>This is because at the end of two years the change is likely to be part of the regular workings of the sub-sector and be influenced by other factors. There may be exceptions to this rule; for example</w:t>
      </w:r>
      <w:r w:rsidR="001117AB" w:rsidRPr="00DE43DE">
        <w:t>,</w:t>
      </w:r>
      <w:r w:rsidRPr="00DE43DE">
        <w:t xml:space="preserve"> some interventions may take more than two years after activities end to show any benefits.</w:t>
      </w:r>
    </w:p>
    <w:p w14:paraId="022C6B7D" w14:textId="2038C144" w:rsidR="00DC071E" w:rsidRPr="00DE43DE" w:rsidRDefault="00DC071E" w:rsidP="00DE43DE">
      <w:r w:rsidRPr="00DE43DE">
        <w:t xml:space="preserve">As in AIP-Rural, </w:t>
      </w:r>
      <w:r w:rsidR="005D461A" w:rsidRPr="00DE43DE">
        <w:t>PRISMA-2</w:t>
      </w:r>
      <w:r w:rsidRPr="00DE43DE">
        <w:t xml:space="preserve"> will use statistically-designed, periodic intervention baseline studies and impact assessments to determine the number of households with net attributable additional income.  This will give robust and verifiable outreach data.  Agricultural seasons will mean measured outreach and income change is higher in the second semester of the year.  In addition, longitudinal income studies will be used to track income allocation by smallholder households in selected sub-sectors.</w:t>
      </w:r>
    </w:p>
    <w:p w14:paraId="3A973389" w14:textId="5C246BEC" w:rsidR="00DC071E" w:rsidRDefault="005D461A" w:rsidP="00DE43DE">
      <w:r w:rsidRPr="00DE43DE">
        <w:t>PRISMA-2</w:t>
      </w:r>
      <w:r w:rsidR="00DC071E" w:rsidRPr="00DE43DE">
        <w:t xml:space="preserve"> will report measured and attributable progress every six months (January and July), consistent with AIP-Rural practice and DFAT M&amp;E Standard 3.</w:t>
      </w:r>
      <w:r w:rsidR="00DC071E" w:rsidRPr="00DE43DE">
        <w:rPr>
          <w:rStyle w:val="FootnoteReference"/>
        </w:rPr>
        <w:footnoteReference w:id="81"/>
      </w:r>
      <w:r w:rsidR="00B0595B">
        <w:t xml:space="preserve"> </w:t>
      </w:r>
      <w:r w:rsidR="00DC071E" w:rsidRPr="00DE43DE">
        <w:t>These semester reports to DFAT will use agreed KPIs to report progress and projections including projected change, cumulative change to date, and changes achieved over t</w:t>
      </w:r>
      <w:r w:rsidR="00B0595B">
        <w:t xml:space="preserve">he six-month reporting period. </w:t>
      </w:r>
      <w:r w:rsidR="00DC071E" w:rsidRPr="00DE43DE">
        <w:t xml:space="preserve">Qualitative information will be used to explain the reasons behind changes in the KPIs and what these changes mean for adequacy of progress. </w:t>
      </w:r>
      <w:r w:rsidR="00F01433" w:rsidRPr="00DE43DE">
        <w:t xml:space="preserve"> As in AIP-Rural</w:t>
      </w:r>
      <w:r w:rsidR="00DC071E" w:rsidRPr="00DE43DE">
        <w:t>, the learning and review cycle of the program will be timed to fit in with the reporting cycle.</w:t>
      </w:r>
    </w:p>
    <w:p w14:paraId="6ED73DDA" w14:textId="2C992EB7" w:rsidR="00395916" w:rsidRDefault="00CC71F0" w:rsidP="00274C18">
      <w:pPr>
        <w:pStyle w:val="Heading3"/>
      </w:pPr>
      <w:bookmarkStart w:id="41" w:name="_Toc499298869"/>
      <w:r w:rsidRPr="00CC71F0">
        <w:lastRenderedPageBreak/>
        <w:t xml:space="preserve">Annex </w:t>
      </w:r>
      <w:r w:rsidR="001236FF">
        <w:t>6</w:t>
      </w:r>
      <w:r w:rsidR="00395916" w:rsidRPr="00CC71F0">
        <w:t xml:space="preserve">: Geographic </w:t>
      </w:r>
      <w:r w:rsidR="000E2F1A">
        <w:t>and Sector Focus</w:t>
      </w:r>
      <w:bookmarkEnd w:id="41"/>
    </w:p>
    <w:p w14:paraId="31D5F2FF" w14:textId="26BE82D3" w:rsidR="00CC71F0" w:rsidRDefault="00CC71F0" w:rsidP="00EA607F">
      <w:pPr>
        <w:spacing w:after="0"/>
        <w:rPr>
          <w:sz w:val="20"/>
        </w:rPr>
      </w:pPr>
    </w:p>
    <w:p w14:paraId="50906574" w14:textId="5F835D31" w:rsidR="008B1682" w:rsidRDefault="008B1682" w:rsidP="0018686E">
      <w:r>
        <w:t xml:space="preserve">The geographic focus for AIP-Rural </w:t>
      </w:r>
      <w:r w:rsidR="004E5673">
        <w:t xml:space="preserve">(2013-18) </w:t>
      </w:r>
      <w:r>
        <w:t>was determined during its early design stages. Altogether five provinces were selected: NTT, NTB, East Java, Papua</w:t>
      </w:r>
      <w:r w:rsidR="00BA7BE9">
        <w:t xml:space="preserve"> and West Papua</w:t>
      </w:r>
      <w:r>
        <w:t>. The criteria used for this selection included: the higher incidence of poverty in these provinces, the plausibility of achieving the program’s outreach targets, the continuation of past DFAT engagement in rural development in these provinces and lastly the proximity of these provinces to Australia.</w:t>
      </w:r>
    </w:p>
    <w:p w14:paraId="4E90E317" w14:textId="4D9AF9F7" w:rsidR="008B1682" w:rsidRDefault="008B1682" w:rsidP="0018686E">
      <w:pPr>
        <w:pStyle w:val="ListParagraph"/>
        <w:ind w:left="0"/>
      </w:pPr>
      <w:r>
        <w:t>Within these five provinces several commodit</w:t>
      </w:r>
      <w:r w:rsidR="004E5673">
        <w:t>y sub-</w:t>
      </w:r>
      <w:r>
        <w:t xml:space="preserve">sectors were selected to enable the first generation of interventions to be commissioned to NGO facilitators at the start of AIP-Rural. The criteria used to aid in the selection of these sub-sectors included: the incidence of poverty among the farmers in that sub-sector; the growth potential of the sub-sector; the presence of willing and capable partners and; a mixture of other priorities (gender, social inclusion, environment and </w:t>
      </w:r>
      <w:proofErr w:type="spellStart"/>
      <w:r>
        <w:t>GoI</w:t>
      </w:r>
      <w:proofErr w:type="spellEnd"/>
      <w:r>
        <w:t xml:space="preserve"> policy alignment). Commodity briefs were then prepared and used as inputs for what later become known as Growth Strategy Documents. The sectors included</w:t>
      </w:r>
      <w:r w:rsidR="004E5673">
        <w:t>,</w:t>
      </w:r>
      <w:r>
        <w:t xml:space="preserve"> at that time were: maize, beef, mangos, legumes (peanuts, soya beans and mung beans), and vegetables (shallots, chilies, tomatoes and potatoes). </w:t>
      </w:r>
    </w:p>
    <w:p w14:paraId="2764BBEE" w14:textId="77777777" w:rsidR="008B1682" w:rsidRDefault="008B1682" w:rsidP="0018686E">
      <w:pPr>
        <w:pStyle w:val="Heading9"/>
      </w:pPr>
      <w:r w:rsidRPr="00C40613">
        <w:t xml:space="preserve">Sector selection and screening </w:t>
      </w:r>
      <w:r>
        <w:t>during</w:t>
      </w:r>
      <w:r w:rsidRPr="00C40613">
        <w:t xml:space="preserve"> the implementation of </w:t>
      </w:r>
      <w:r>
        <w:t>AIP-Rural</w:t>
      </w:r>
    </w:p>
    <w:p w14:paraId="5E8A5361" w14:textId="152EB37F" w:rsidR="008B1682" w:rsidRPr="003D0BB6" w:rsidRDefault="008B1682" w:rsidP="0018686E">
      <w:r>
        <w:t xml:space="preserve">In AIP-Rural the process of screening sectors is a continuous one; a sub-sector can </w:t>
      </w:r>
      <w:r w:rsidR="004E5673">
        <w:t xml:space="preserve">initially </w:t>
      </w:r>
      <w:r>
        <w:t xml:space="preserve">appear to be of high potential but after some time of implementation it may fall short of the needed performance standards. This process </w:t>
      </w:r>
      <w:r w:rsidR="004E5673">
        <w:t xml:space="preserve">of selecting and de-selecting subsectors described below </w:t>
      </w:r>
      <w:r>
        <w:t>has worked well so far and it is suggested to retain its core elements</w:t>
      </w:r>
      <w:r w:rsidR="004E5673">
        <w:t xml:space="preserve"> for PRISMA 2</w:t>
      </w:r>
      <w:r>
        <w:t xml:space="preserve">. </w:t>
      </w:r>
    </w:p>
    <w:p w14:paraId="7BAD99BC" w14:textId="77777777" w:rsidR="008B1682" w:rsidRPr="00CC71F0" w:rsidRDefault="008B1682" w:rsidP="004B220D">
      <w:pPr>
        <w:pStyle w:val="ListParagraph"/>
        <w:numPr>
          <w:ilvl w:val="0"/>
          <w:numId w:val="48"/>
        </w:numPr>
        <w:spacing w:after="0"/>
        <w:rPr>
          <w:b/>
        </w:rPr>
      </w:pPr>
      <w:r w:rsidRPr="00CC71F0">
        <w:rPr>
          <w:b/>
        </w:rPr>
        <w:t>Sub-Sector Identification:</w:t>
      </w:r>
    </w:p>
    <w:p w14:paraId="4DEFB7E8" w14:textId="77777777" w:rsidR="008B1682" w:rsidRDefault="008B1682" w:rsidP="0018686E">
      <w:r>
        <w:t>The starting point for identifying and screening sub-sectors is secondary data (the agricultural census). This reveals the number of households that are cultivating a crop or rearing livestock in any specific geographic location. An approximation is made of the percentage of the target group that are living on less than USD2.50 per day, to maintain a clear poverty orientation. Since the outreach targets of the program are large, smaller sectors drop out at this stage unless they represent a potential for high impact on a marginal or socially desirable target group (like seaweed in Papua).  Following this, a sub-sector’s growth potential is estimated by benchmarking yields and prices with national norms; the lower they are, the greater their potential but at the same time the greater the challenge. A third criterion assesses the scope for intervention. This involves conceptualizing what types of interventions might be feasible and whether there are potential partners that might be interested in working in these areas with the program. Finally, crosscutting themes, like women’s empowerment, animal welfare, the environment, and public priorities are considered to determine the sectors’ value beyond outreach and net income increases. A scoring matrix, with these criteria and their respective weighing is used to assist in final selection. These criteria are similar to those used in the initial sub-sector selection but with greater emphasis placed on partner engagement.</w:t>
      </w:r>
    </w:p>
    <w:p w14:paraId="006F2DCE" w14:textId="77777777" w:rsidR="008B1682" w:rsidRPr="00CC71F0" w:rsidRDefault="008B1682" w:rsidP="004B220D">
      <w:pPr>
        <w:pStyle w:val="ListParagraph"/>
        <w:numPr>
          <w:ilvl w:val="0"/>
          <w:numId w:val="48"/>
        </w:numPr>
        <w:spacing w:after="0"/>
        <w:rPr>
          <w:b/>
        </w:rPr>
      </w:pPr>
      <w:r w:rsidRPr="00CC71F0">
        <w:rPr>
          <w:b/>
        </w:rPr>
        <w:t>Sub-sector Growth Strategy Document:</w:t>
      </w:r>
    </w:p>
    <w:p w14:paraId="443CE83D" w14:textId="77777777" w:rsidR="008B1682" w:rsidRDefault="008B1682" w:rsidP="0018686E">
      <w:r>
        <w:t xml:space="preserve">Once a sub-sector is selected for potential inclusion in the portfolio, a Growth Strategy Document (GSD) is internally commissioned. This document is geographically specific, for example, “maize in NTT”, or “coffee in Flores”. The GSD defines the boundaries of the sub-sector, estimates the outreach potential, validates growth opportunities and assesses the constraints to income growth for farmers in that sub-sector. The outcome of the GSD is a list of </w:t>
      </w:r>
      <w:r w:rsidRPr="0043702F">
        <w:rPr>
          <w:b/>
        </w:rPr>
        <w:t>intervention areas</w:t>
      </w:r>
      <w:r>
        <w:t xml:space="preserve"> that match the outreach and impact targets of AIP-Rural. The GSD is updated annually as part of a detailed portfolio review process that internally evaluates 50% of the portfolio on a 6-monthly basis. In May 2017 AIP-Rural had 28 GSD in 23 sub-sectors.</w:t>
      </w:r>
    </w:p>
    <w:p w14:paraId="6FA65309" w14:textId="77777777" w:rsidR="008B1682" w:rsidRPr="00CC71F0" w:rsidRDefault="008B1682" w:rsidP="004B220D">
      <w:pPr>
        <w:pStyle w:val="ListParagraph"/>
        <w:numPr>
          <w:ilvl w:val="0"/>
          <w:numId w:val="48"/>
        </w:numPr>
        <w:spacing w:after="0"/>
        <w:rPr>
          <w:b/>
        </w:rPr>
      </w:pPr>
      <w:r w:rsidRPr="00CC71F0">
        <w:rPr>
          <w:b/>
        </w:rPr>
        <w:lastRenderedPageBreak/>
        <w:t>The Intervention Concept Note:</w:t>
      </w:r>
    </w:p>
    <w:p w14:paraId="5ACC74A2" w14:textId="134AC44F" w:rsidR="008B1682" w:rsidRDefault="008B1682" w:rsidP="0018686E">
      <w:r>
        <w:t xml:space="preserve">To move from an intervention area, as identified in the GSD, to an operational intervention, further investigations are carried out through what is called the Intervention Concept Note (ICN). The ICN is prepared by a small team of Business Consultants and has a prescribed PowerPoint format. While identifying </w:t>
      </w:r>
      <w:r w:rsidRPr="00C51419">
        <w:rPr>
          <w:i/>
        </w:rPr>
        <w:t>core problem</w:t>
      </w:r>
      <w:r>
        <w:rPr>
          <w:i/>
        </w:rPr>
        <w:t>s</w:t>
      </w:r>
      <w:r>
        <w:t xml:space="preserve"> for the target groups is the aim of the GSD, suggesting </w:t>
      </w:r>
      <w:r w:rsidRPr="00C51419">
        <w:rPr>
          <w:i/>
        </w:rPr>
        <w:t>sustainable solution</w:t>
      </w:r>
      <w:r w:rsidR="004E5673">
        <w:rPr>
          <w:i/>
        </w:rPr>
        <w:t>s</w:t>
      </w:r>
      <w:r>
        <w:t xml:space="preserve"> is the aim of the ICN. The ICN is reviewed by at least two senior mentors</w:t>
      </w:r>
      <w:r w:rsidR="00490E0C">
        <w:t xml:space="preserve"> from other subsectors</w:t>
      </w:r>
      <w:r>
        <w:t xml:space="preserve">. It is assessed </w:t>
      </w:r>
      <w:r w:rsidR="004E5673">
        <w:t>against</w:t>
      </w:r>
      <w:r>
        <w:t xml:space="preserve"> several criteria including: the likely outreach; the expected net attributable income change on the farmers; its estimated value for money; the quality of its constraints analysis; the relevance of the actors included and the complementarity of their roles to overcome the constraint; the accuracy of the calculations to ensure that all actors are gaining from the intervention; the high potential for sustainability and systemic change; opportunities for women’s empowerment; and its examination of the positive or negative impacts on the environment. The ICN will often go through at least two iterations before it is approved. In the second semester of 2016 AIP-Rural generated approximately 20 approved ICNs.  Approximately 80% of these ICNs proceed to the next stage of approval.</w:t>
      </w:r>
    </w:p>
    <w:p w14:paraId="70A34822" w14:textId="77777777" w:rsidR="008B1682" w:rsidRPr="00CC71F0" w:rsidRDefault="008B1682" w:rsidP="004B220D">
      <w:pPr>
        <w:pStyle w:val="ListParagraph"/>
        <w:numPr>
          <w:ilvl w:val="0"/>
          <w:numId w:val="48"/>
        </w:numPr>
        <w:spacing w:after="0"/>
        <w:rPr>
          <w:b/>
        </w:rPr>
      </w:pPr>
      <w:r w:rsidRPr="00CC71F0">
        <w:rPr>
          <w:b/>
        </w:rPr>
        <w:t>The Intervention Steering Document:</w:t>
      </w:r>
    </w:p>
    <w:p w14:paraId="43134606" w14:textId="77777777" w:rsidR="008B1682" w:rsidRDefault="008B1682" w:rsidP="0018686E">
      <w:r>
        <w:t>Following the approval of the ICN and the feedback of the two external mentors, the intervention team then begins, in earnest, to prepare an Intervention Steering Document (ISD). This includes: several meetings with potential partners to assess their interest and capability, the Deal Making Guidelines being the basis for shaping this partnership; the preparation of a more detailed causal model with specific indicators; a measurement plan to identify what and when to measure; an opening budget with the specific contributions of the different parties; and a timeline with milestone activities or outcomes. This document is sufficiently quantitative to enable its entry into the Management Information System so that the program’s Key Performance Indicators (quantitative monitoring indicators such as outreach, impact, partner contributions, number of partners and service providers, partner leverage etc.) can be measured and a comparison made between planned and actual performance. Any changes to the intervention (projections or impact assessments) are recorded in the ISD which is the basis for reporting on value for money and semester achievements/key performance indicators for all progress reports.</w:t>
      </w:r>
    </w:p>
    <w:p w14:paraId="55722FD1" w14:textId="77777777" w:rsidR="008B1682" w:rsidRPr="00CC71F0" w:rsidRDefault="008B1682" w:rsidP="004B220D">
      <w:pPr>
        <w:pStyle w:val="ListParagraph"/>
        <w:numPr>
          <w:ilvl w:val="0"/>
          <w:numId w:val="48"/>
        </w:numPr>
        <w:spacing w:after="0"/>
        <w:rPr>
          <w:b/>
        </w:rPr>
      </w:pPr>
      <w:r w:rsidRPr="00CC71F0">
        <w:rPr>
          <w:b/>
        </w:rPr>
        <w:t>Intervention Implementation:</w:t>
      </w:r>
    </w:p>
    <w:p w14:paraId="18A14463" w14:textId="6C16A7AB" w:rsidR="008B1682" w:rsidRDefault="008B1682" w:rsidP="0018686E">
      <w:r>
        <w:t xml:space="preserve">When the partner agreements have been signed (typically an MoU with the expenditure and expected inputs and outputs from each side clearly identified) and implementation starts, attention is directed to testing the intervention’s impact hypothesis; for example, if better seeds are used by farmers in this area, in combination with information on how to use them effectively, then the productivity gain should be </w:t>
      </w:r>
      <w:r w:rsidRPr="00E54F0F">
        <w:t>XX% resulting in an XX% increase</w:t>
      </w:r>
      <w:r>
        <w:t xml:space="preserve"> in net incomes. At this stage of the intervention the number of farmers may be as small as a few hundred because the initial focus is to test the assumptions supporting the causal model (results chain) through a modest impact assessment; for example, what proportion of farmers who attended a demonstration plot used the innovation and then benefitted from an i</w:t>
      </w:r>
      <w:r w:rsidR="004B19F5">
        <w:t>ncrease in</w:t>
      </w:r>
      <w:r>
        <w:t xml:space="preserve"> their agricultural incomes. The timing of these activities is critical to success because most crops have seasonal cycles. Once the impact assessment has provided its feedback on the viability of the intervention’s development hypothesis, implementation then moves into a scaling mode; at this point the emphasis is on commercializing the sale of the innovation with one or more partners, together with the provision of any information or services that are associated with the innovation’s optimization.</w:t>
      </w:r>
    </w:p>
    <w:p w14:paraId="7DC94D2C" w14:textId="77777777" w:rsidR="008B1682" w:rsidRPr="00CC71F0" w:rsidRDefault="008B1682" w:rsidP="004B220D">
      <w:pPr>
        <w:pStyle w:val="ListParagraph"/>
        <w:numPr>
          <w:ilvl w:val="0"/>
          <w:numId w:val="48"/>
        </w:numPr>
        <w:spacing w:after="0"/>
        <w:rPr>
          <w:b/>
        </w:rPr>
      </w:pPr>
      <w:r w:rsidRPr="00CC71F0">
        <w:rPr>
          <w:b/>
        </w:rPr>
        <w:t>Portfolio Review:</w:t>
      </w:r>
    </w:p>
    <w:p w14:paraId="2EA28E91" w14:textId="3659BB54" w:rsidR="008B1682" w:rsidRDefault="008B1682" w:rsidP="0018686E">
      <w:r>
        <w:t xml:space="preserve">With approximately 90 interventions (as of December 2016) in 23 commodity and livestock sub-sectors, with </w:t>
      </w:r>
      <w:r w:rsidR="00BA7BE9">
        <w:t>around</w:t>
      </w:r>
      <w:r w:rsidR="00F633B1">
        <w:t xml:space="preserve"> </w:t>
      </w:r>
      <w:r>
        <w:t>70 different partners, keeping track of the portfolio is an essential and an on-going process. This is the main task of the Heads of Portfolio (</w:t>
      </w:r>
      <w:proofErr w:type="spellStart"/>
      <w:r>
        <w:t>HoPs</w:t>
      </w:r>
      <w:proofErr w:type="spellEnd"/>
      <w:r>
        <w:t xml:space="preserve">) each of whom may have upwards of 15 on-going </w:t>
      </w:r>
      <w:r>
        <w:lastRenderedPageBreak/>
        <w:t xml:space="preserve">interventions with another 5 or more in the pipeline. Internal reviews are held monthly by the </w:t>
      </w:r>
      <w:proofErr w:type="spellStart"/>
      <w:r>
        <w:t>HoPs</w:t>
      </w:r>
      <w:proofErr w:type="spellEnd"/>
      <w:r>
        <w:t xml:space="preserve">, but every 6 months a more formal portfolio review is conducted over a 3 to 4-day period with all the </w:t>
      </w:r>
      <w:proofErr w:type="spellStart"/>
      <w:r>
        <w:t>HoPs</w:t>
      </w:r>
      <w:proofErr w:type="spellEnd"/>
      <w:r>
        <w:t xml:space="preserve"> and other members of the Senior Management Team, from all thematic areas, to review at least 50% of the total portfolio. In preparation for this review mentors from senior management are assigned to sub-sectors and interventions that are outside of their own portfolios. These mentors lead the reviews of these sub-sectors or interventions. The outcome of these reviews is to categorize all interventions into the following groupings: improve, let flow, push, observe/innovate or drop. For mor</w:t>
      </w:r>
      <w:r w:rsidR="00ED4418">
        <w:t>e details on this matrix see</w:t>
      </w:r>
      <w:r>
        <w:t xml:space="preserve"> Annex </w:t>
      </w:r>
      <w:r w:rsidR="00490E0C">
        <w:t>5</w:t>
      </w:r>
      <w:r>
        <w:t xml:space="preserve"> on Monitoring and Results Measurement. During these reviews as many as 25% of interventions or sub-sectors may be considered for dropping. The reasons for dropping a sub-sector/intervention can be many, but the most frequent ones are: the innovations failed to deliver results; the partners lost interest, the outreach was too low, etc. The key instrument that is used to objectively assess each sub-sector or intervention is the Quality Management Tool or QMT. This is the same tool that is used in the intervention screening process, but when used during the review the actual rather than the projected figures are inserted to measure, for example, the intervention’s value for money. It is also during this review that new sub-sectors are considered for inclusion. If they conform to the initial criteria mentioned in step 1 then GSDs are commissioned and </w:t>
      </w:r>
      <w:proofErr w:type="gramStart"/>
      <w:r>
        <w:t>staff are</w:t>
      </w:r>
      <w:proofErr w:type="gramEnd"/>
      <w:r>
        <w:t xml:space="preserve"> then asked to proceed to steps 2 and 3. This process is summarized in the diagram below. </w:t>
      </w:r>
    </w:p>
    <w:p w14:paraId="2D4414A3" w14:textId="77777777" w:rsidR="008B1682" w:rsidRDefault="008B1682" w:rsidP="008B1682">
      <w:pPr>
        <w:jc w:val="both"/>
      </w:pPr>
      <w:r>
        <w:t xml:space="preserve"> </w:t>
      </w:r>
      <w:r>
        <w:rPr>
          <w:noProof/>
          <w:lang w:eastAsia="en-AU"/>
        </w:rPr>
        <w:drawing>
          <wp:inline distT="0" distB="0" distL="0" distR="0" wp14:anchorId="2AA54653" wp14:editId="2187ABA1">
            <wp:extent cx="6000319" cy="432596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7301" cy="4345417"/>
                    </a:xfrm>
                    <a:prstGeom prst="rect">
                      <a:avLst/>
                    </a:prstGeom>
                    <a:noFill/>
                  </pic:spPr>
                </pic:pic>
              </a:graphicData>
            </a:graphic>
          </wp:inline>
        </w:drawing>
      </w:r>
    </w:p>
    <w:p w14:paraId="27D88164" w14:textId="5585BBF3" w:rsidR="008B1682" w:rsidRDefault="008B1682" w:rsidP="008B1682">
      <w:pPr>
        <w:jc w:val="both"/>
      </w:pPr>
      <w:r>
        <w:t>This process has resulted, for example</w:t>
      </w:r>
      <w:r w:rsidR="004B19F5">
        <w:t>,</w:t>
      </w:r>
      <w:r>
        <w:t xml:space="preserve"> in the dropping of </w:t>
      </w:r>
      <w:r w:rsidR="004B19F5">
        <w:t xml:space="preserve">specific interventions targeting </w:t>
      </w:r>
      <w:r>
        <w:t>chil</w:t>
      </w:r>
      <w:r w:rsidR="004B19F5">
        <w:t>l</w:t>
      </w:r>
      <w:r>
        <w:t>ies, tomatoes and potatoes</w:t>
      </w:r>
      <w:r w:rsidR="004B19F5">
        <w:t xml:space="preserve"> in some areas</w:t>
      </w:r>
      <w:r>
        <w:t xml:space="preserve"> and the addition of cassava, cashews, coffee, cocoa and coconuts</w:t>
      </w:r>
      <w:r w:rsidR="004B19F5">
        <w:t>. Across the portfolio, PRISMA-2 will have an anticipated failure rate of 30% of its interventions</w:t>
      </w:r>
      <w:r>
        <w:t>.</w:t>
      </w:r>
    </w:p>
    <w:p w14:paraId="37E89A71" w14:textId="77777777" w:rsidR="008B1682" w:rsidRPr="00C40613" w:rsidRDefault="008B1682" w:rsidP="008B1682">
      <w:pPr>
        <w:pStyle w:val="Heading9"/>
      </w:pPr>
      <w:r w:rsidRPr="00C40613">
        <w:lastRenderedPageBreak/>
        <w:t xml:space="preserve">Area selection for </w:t>
      </w:r>
      <w:r>
        <w:t>PRISMA-2</w:t>
      </w:r>
    </w:p>
    <w:p w14:paraId="7179B4F8" w14:textId="34AD0E13" w:rsidR="008B1682" w:rsidRDefault="008B1682" w:rsidP="0018686E">
      <w:r>
        <w:t>The original design of AIP-Rural called for a target outreach to 1</w:t>
      </w:r>
      <w:r w:rsidR="00F50E26">
        <w:t xml:space="preserve"> million </w:t>
      </w:r>
      <w:r>
        <w:t xml:space="preserve">smallholder households over a 10-year period, 300,000 of which should be reached at the end of </w:t>
      </w:r>
      <w:r w:rsidR="00F50E26">
        <w:t>the first phase</w:t>
      </w:r>
      <w:r w:rsidR="004B19F5">
        <w:t xml:space="preserve"> (December 2018)</w:t>
      </w:r>
      <w:r>
        <w:t xml:space="preserve">. On the assumption that AIP-Rural is successful in reaching its target, this leaves 700,000 households for the period between </w:t>
      </w:r>
      <w:r w:rsidR="00BA7BE9">
        <w:t>January 2019</w:t>
      </w:r>
      <w:r w:rsidR="00F7198B">
        <w:t xml:space="preserve"> and December 2023.</w:t>
      </w:r>
      <w:r>
        <w:t xml:space="preserve">Conscious that AIP-Rural is already managing </w:t>
      </w:r>
      <w:r w:rsidR="00BA7BE9">
        <w:t>around</w:t>
      </w:r>
      <w:r w:rsidR="00F7198B">
        <w:t xml:space="preserve"> </w:t>
      </w:r>
      <w:r>
        <w:t>90</w:t>
      </w:r>
      <w:r w:rsidR="00F7198B">
        <w:t xml:space="preserve"> interventions through </w:t>
      </w:r>
      <w:r>
        <w:t xml:space="preserve">70 partners </w:t>
      </w:r>
      <w:r w:rsidR="00F7198B">
        <w:t xml:space="preserve">with </w:t>
      </w:r>
      <w:r>
        <w:t>120 staff, DFAT is aware that there are limits to its expansion. For this reason, it was decided that additional provinces would be limited. To assist in the screening of new potential areas, the following process was used:</w:t>
      </w:r>
    </w:p>
    <w:p w14:paraId="652078B7" w14:textId="6E01B389" w:rsidR="008B1682" w:rsidRDefault="008B1682" w:rsidP="0018686E">
      <w:r w:rsidRPr="00C40613">
        <w:rPr>
          <w:b/>
        </w:rPr>
        <w:t>Identifying five potential</w:t>
      </w:r>
      <w:r>
        <w:rPr>
          <w:b/>
        </w:rPr>
        <w:t xml:space="preserve"> new</w:t>
      </w:r>
      <w:r w:rsidRPr="00C40613">
        <w:rPr>
          <w:b/>
        </w:rPr>
        <w:t xml:space="preserve"> provinces:</w:t>
      </w:r>
      <w:r>
        <w:t xml:space="preserve"> This stage of the process canvassed staff within AIP-Rural, DFAT’s Rural Unit, </w:t>
      </w:r>
      <w:r w:rsidR="00BA7BE9">
        <w:t xml:space="preserve">BAPPENAS, </w:t>
      </w:r>
      <w:r>
        <w:t>and existing partners, on provinces that may be suitable for expansion. Broad criteria included: poverty orientation, outreach potential and partner interest. This resulted in the identification of: West Java, Central Java, North Sumatera, South Sulawesi and Lampung.</w:t>
      </w:r>
    </w:p>
    <w:p w14:paraId="29C3F09B" w14:textId="08C5F849" w:rsidR="008B1682" w:rsidRDefault="008B1682" w:rsidP="0018686E">
      <w:proofErr w:type="gramStart"/>
      <w:r w:rsidRPr="00C40613">
        <w:rPr>
          <w:b/>
        </w:rPr>
        <w:t>Scoring the five provinces:</w:t>
      </w:r>
      <w:r>
        <w:t xml:space="preserve"> The process of narrowing down the five to </w:t>
      </w:r>
      <w:r w:rsidR="00F50E26">
        <w:t>one</w:t>
      </w:r>
      <w:r>
        <w:t xml:space="preserve"> province started with the identification of the top 4 commodity sub-sectors in each province.</w:t>
      </w:r>
      <w:proofErr w:type="gramEnd"/>
      <w:r>
        <w:t xml:space="preserve"> Commodities identified from the Agricultural Census that required long gestation periods like teak or palm oil were excluded from this list and replaced with the next most important crop or livestock species. Added to these top 4 were between 2-4 sub-sectors that the interviews with existing private sector partners had identified as being of high priority to them, in these provinces. This resulted in a scoring matrix that combined locational issues, like governance and infrastructure, with 7 commodities in West Java, Central Java, North Sumatera, South Sulawesi and 6 commodities in Lampung. The locational scoring used existing provincial ranking indices and for the sub-sectors the criteria listed below applied. Each criterion was scored between 1 and 5 and the score was based on a chosen set of numeric data.</w:t>
      </w:r>
    </w:p>
    <w:p w14:paraId="5CF221E7" w14:textId="77777777" w:rsidR="008B1682" w:rsidRPr="00CC71F0" w:rsidRDefault="008B1682" w:rsidP="004B220D">
      <w:pPr>
        <w:pStyle w:val="ListParagraph"/>
        <w:numPr>
          <w:ilvl w:val="0"/>
          <w:numId w:val="50"/>
        </w:numPr>
        <w:spacing w:before="240"/>
        <w:jc w:val="both"/>
        <w:rPr>
          <w:b/>
        </w:rPr>
      </w:pPr>
      <w:r w:rsidRPr="00CC71F0">
        <w:rPr>
          <w:b/>
        </w:rPr>
        <w:t>Poverty Orientation (30% of the score)</w:t>
      </w:r>
    </w:p>
    <w:p w14:paraId="500B9294" w14:textId="77777777" w:rsidR="008B1682" w:rsidRDefault="008B1682" w:rsidP="004B220D">
      <w:pPr>
        <w:pStyle w:val="ListParagraph"/>
        <w:numPr>
          <w:ilvl w:val="0"/>
          <w:numId w:val="49"/>
        </w:numPr>
        <w:spacing w:before="240"/>
        <w:jc w:val="both"/>
      </w:pPr>
      <w:r>
        <w:t>The estimated % of farming households in the province (and any spill over areas) engaged in the primary or secondary production of the commodity.</w:t>
      </w:r>
    </w:p>
    <w:p w14:paraId="670314AD" w14:textId="77777777" w:rsidR="008B1682" w:rsidRDefault="008B1682" w:rsidP="004B220D">
      <w:pPr>
        <w:pStyle w:val="ListParagraph"/>
        <w:numPr>
          <w:ilvl w:val="0"/>
          <w:numId w:val="49"/>
        </w:numPr>
        <w:jc w:val="both"/>
      </w:pPr>
      <w:r>
        <w:t>The estimated % of the target group in the commodity sector considered to be low income.</w:t>
      </w:r>
    </w:p>
    <w:p w14:paraId="7C3D13AD" w14:textId="77777777" w:rsidR="008B1682" w:rsidRDefault="008B1682" w:rsidP="004B220D">
      <w:pPr>
        <w:pStyle w:val="ListParagraph"/>
        <w:numPr>
          <w:ilvl w:val="0"/>
          <w:numId w:val="49"/>
        </w:numPr>
        <w:jc w:val="both"/>
      </w:pPr>
      <w:r>
        <w:t>The potential outreach numbers of that commodity in that province.</w:t>
      </w:r>
    </w:p>
    <w:p w14:paraId="4E28C417" w14:textId="77777777" w:rsidR="008B1682" w:rsidRDefault="008B1682" w:rsidP="008B1682">
      <w:pPr>
        <w:pStyle w:val="ListParagraph"/>
        <w:jc w:val="both"/>
      </w:pPr>
    </w:p>
    <w:p w14:paraId="0CF78418" w14:textId="77777777" w:rsidR="008B1682" w:rsidRPr="00CC71F0" w:rsidRDefault="008B1682" w:rsidP="004B220D">
      <w:pPr>
        <w:pStyle w:val="ListParagraph"/>
        <w:numPr>
          <w:ilvl w:val="0"/>
          <w:numId w:val="50"/>
        </w:numPr>
        <w:spacing w:before="240"/>
        <w:jc w:val="both"/>
        <w:rPr>
          <w:b/>
        </w:rPr>
      </w:pPr>
      <w:r w:rsidRPr="00CC71F0">
        <w:rPr>
          <w:b/>
        </w:rPr>
        <w:t>Growth Potential (20% of the score)</w:t>
      </w:r>
    </w:p>
    <w:p w14:paraId="0E93491D" w14:textId="77777777" w:rsidR="008B1682" w:rsidRDefault="008B1682" w:rsidP="004B220D">
      <w:pPr>
        <w:pStyle w:val="ListParagraph"/>
        <w:numPr>
          <w:ilvl w:val="0"/>
          <w:numId w:val="49"/>
        </w:numPr>
        <w:spacing w:before="240"/>
        <w:jc w:val="both"/>
      </w:pPr>
      <w:r>
        <w:t>How has the sector grown over the past 3 years?</w:t>
      </w:r>
    </w:p>
    <w:p w14:paraId="4368A072" w14:textId="77777777" w:rsidR="008B1682" w:rsidRDefault="008B1682" w:rsidP="008B1682">
      <w:pPr>
        <w:pStyle w:val="ListParagraph"/>
        <w:jc w:val="both"/>
      </w:pPr>
    </w:p>
    <w:p w14:paraId="1FE0171F" w14:textId="77777777" w:rsidR="008B1682" w:rsidRPr="00CC71F0" w:rsidRDefault="008B1682" w:rsidP="004B220D">
      <w:pPr>
        <w:pStyle w:val="ListParagraph"/>
        <w:numPr>
          <w:ilvl w:val="0"/>
          <w:numId w:val="50"/>
        </w:numPr>
        <w:jc w:val="both"/>
        <w:rPr>
          <w:b/>
        </w:rPr>
      </w:pPr>
      <w:r w:rsidRPr="00CC71F0">
        <w:rPr>
          <w:b/>
        </w:rPr>
        <w:t>Partnership Potential (30% of the score)</w:t>
      </w:r>
    </w:p>
    <w:p w14:paraId="72E3D4B4" w14:textId="77777777" w:rsidR="008B1682" w:rsidRDefault="008B1682" w:rsidP="004B220D">
      <w:pPr>
        <w:pStyle w:val="ListParagraph"/>
        <w:numPr>
          <w:ilvl w:val="0"/>
          <w:numId w:val="49"/>
        </w:numPr>
        <w:jc w:val="both"/>
      </w:pPr>
      <w:r>
        <w:t>Are there potential private sector actors within the selected commodity/province that the program can engage with for interventions?</w:t>
      </w:r>
    </w:p>
    <w:p w14:paraId="2963F26E" w14:textId="77777777" w:rsidR="008B1682" w:rsidRDefault="008B1682" w:rsidP="008B1682">
      <w:pPr>
        <w:pStyle w:val="ListParagraph"/>
        <w:jc w:val="both"/>
      </w:pPr>
    </w:p>
    <w:p w14:paraId="7A58354F" w14:textId="77777777" w:rsidR="008B1682" w:rsidRPr="00CC71F0" w:rsidRDefault="008B1682" w:rsidP="004B220D">
      <w:pPr>
        <w:pStyle w:val="ListParagraph"/>
        <w:numPr>
          <w:ilvl w:val="0"/>
          <w:numId w:val="50"/>
        </w:numPr>
        <w:jc w:val="both"/>
        <w:rPr>
          <w:b/>
        </w:rPr>
      </w:pPr>
      <w:r w:rsidRPr="00CC71F0">
        <w:rPr>
          <w:b/>
        </w:rPr>
        <w:t>Gender and Social Inclusion (10% of the score)</w:t>
      </w:r>
    </w:p>
    <w:p w14:paraId="2501FF41" w14:textId="77777777" w:rsidR="008B1682" w:rsidRDefault="008B1682" w:rsidP="004B220D">
      <w:pPr>
        <w:pStyle w:val="ListParagraph"/>
        <w:numPr>
          <w:ilvl w:val="0"/>
          <w:numId w:val="49"/>
        </w:numPr>
        <w:jc w:val="both"/>
      </w:pPr>
      <w:r>
        <w:t>Does the sector/province have positive impacts on furthering social objectives related to gender and social inclusion?</w:t>
      </w:r>
    </w:p>
    <w:p w14:paraId="58AA1549" w14:textId="77777777" w:rsidR="008B1682" w:rsidRDefault="008B1682" w:rsidP="008B1682">
      <w:pPr>
        <w:pStyle w:val="ListParagraph"/>
        <w:jc w:val="both"/>
      </w:pPr>
    </w:p>
    <w:p w14:paraId="0FFF85F6" w14:textId="77777777" w:rsidR="008B1682" w:rsidRPr="00CC71F0" w:rsidRDefault="008B1682" w:rsidP="004B220D">
      <w:pPr>
        <w:pStyle w:val="ListParagraph"/>
        <w:numPr>
          <w:ilvl w:val="0"/>
          <w:numId w:val="50"/>
        </w:numPr>
        <w:jc w:val="both"/>
        <w:rPr>
          <w:b/>
        </w:rPr>
      </w:pPr>
      <w:r w:rsidRPr="00CC71F0">
        <w:rPr>
          <w:b/>
        </w:rPr>
        <w:t>Infrastructure:</w:t>
      </w:r>
    </w:p>
    <w:p w14:paraId="58C2EC2F" w14:textId="77777777" w:rsidR="008B1682" w:rsidRDefault="008B1682" w:rsidP="004B220D">
      <w:pPr>
        <w:pStyle w:val="ListParagraph"/>
        <w:numPr>
          <w:ilvl w:val="0"/>
          <w:numId w:val="49"/>
        </w:numPr>
        <w:jc w:val="both"/>
      </w:pPr>
      <w:r>
        <w:t>Are there major infrastructure investments required to support the expansion of the sector?</w:t>
      </w:r>
    </w:p>
    <w:p w14:paraId="48EB9B4B" w14:textId="77777777" w:rsidR="008B1682" w:rsidRDefault="008B1682" w:rsidP="004B220D">
      <w:pPr>
        <w:pStyle w:val="ListParagraph"/>
        <w:numPr>
          <w:ilvl w:val="0"/>
          <w:numId w:val="49"/>
        </w:numPr>
        <w:jc w:val="both"/>
      </w:pPr>
      <w:r>
        <w:t>Are there any significant positive or negative provincial/district governance issues to consider in working in the province?</w:t>
      </w:r>
    </w:p>
    <w:p w14:paraId="11B16C62" w14:textId="77777777" w:rsidR="008B1682" w:rsidRDefault="008B1682" w:rsidP="008B1682">
      <w:pPr>
        <w:pStyle w:val="ListParagraph"/>
        <w:ind w:left="360"/>
        <w:jc w:val="both"/>
      </w:pPr>
    </w:p>
    <w:p w14:paraId="5E97A0CD" w14:textId="72547BD3" w:rsidR="008B1682" w:rsidRDefault="008B1682" w:rsidP="0018686E">
      <w:r>
        <w:rPr>
          <w:b/>
        </w:rPr>
        <w:lastRenderedPageBreak/>
        <w:t>R</w:t>
      </w:r>
      <w:r w:rsidRPr="00C40613">
        <w:rPr>
          <w:b/>
        </w:rPr>
        <w:t xml:space="preserve">educing the 5 provinces to </w:t>
      </w:r>
      <w:r w:rsidR="00F50E26">
        <w:rPr>
          <w:b/>
        </w:rPr>
        <w:t>1 (</w:t>
      </w:r>
      <w:r w:rsidR="004E5673">
        <w:rPr>
          <w:b/>
        </w:rPr>
        <w:t>plus 1 back up)</w:t>
      </w:r>
      <w:r>
        <w:t xml:space="preserve">: In the final scoring, Central Java came out as the clear </w:t>
      </w:r>
      <w:r w:rsidR="00490E0C">
        <w:t>preferred province, due primarily to the high numbers of poor famers combined with the most potential for our private sector partners (BAPPENAS also supported the selection of Central Java)</w:t>
      </w:r>
      <w:r>
        <w:t>. The</w:t>
      </w:r>
      <w:r w:rsidR="00490E0C">
        <w:t xml:space="preserve"> selection of a</w:t>
      </w:r>
      <w:r>
        <w:t xml:space="preserve"> </w:t>
      </w:r>
      <w:r w:rsidR="00490E0C">
        <w:t xml:space="preserve">second ranked potential province </w:t>
      </w:r>
      <w:r>
        <w:t>(</w:t>
      </w:r>
      <w:r w:rsidR="00490E0C">
        <w:t>which can potentially be held in reserve if outreach in PRISMA-2 is insufficient at midpoint</w:t>
      </w:r>
      <w:r>
        <w:t xml:space="preserve">) </w:t>
      </w:r>
      <w:r w:rsidR="00EB568E">
        <w:t xml:space="preserve">was then reduced to </w:t>
      </w:r>
      <w:r>
        <w:t>West Java, North Sumatera and South Sulawesi</w:t>
      </w:r>
      <w:r w:rsidR="00490E0C">
        <w:t>, with Lampung coming last</w:t>
      </w:r>
      <w:r>
        <w:t xml:space="preserve">. </w:t>
      </w:r>
      <w:r w:rsidR="00490E0C">
        <w:t xml:space="preserve">BAPPENAS voiced a preference for the second ranked province to be off-Java (ruling out West Java). </w:t>
      </w:r>
      <w:r>
        <w:t>Since South Sulawesi is logistically easier to include than North Sumatera (located in western Indonesia)</w:t>
      </w:r>
      <w:r w:rsidR="00490E0C">
        <w:t>,</w:t>
      </w:r>
      <w:r>
        <w:t xml:space="preserve"> South Sulawesi was identified as </w:t>
      </w:r>
      <w:r w:rsidR="00490E0C">
        <w:t>the second ranked</w:t>
      </w:r>
      <w:r>
        <w:t xml:space="preserve"> </w:t>
      </w:r>
      <w:r w:rsidR="00490E0C">
        <w:t xml:space="preserve">potential </w:t>
      </w:r>
      <w:r>
        <w:t>province.</w:t>
      </w:r>
    </w:p>
    <w:p w14:paraId="7A00B0F6" w14:textId="76432FC7" w:rsidR="008B1682" w:rsidRDefault="008B1682" w:rsidP="008B1682">
      <w:pPr>
        <w:jc w:val="both"/>
      </w:pPr>
      <w:r>
        <w:t>The tables below are examples of the application of the above</w:t>
      </w:r>
      <w:r w:rsidR="00EB568E">
        <w:t>-</w:t>
      </w:r>
      <w:r>
        <w:t>mentioned scoring matrix:</w:t>
      </w:r>
    </w:p>
    <w:p w14:paraId="0791BB11" w14:textId="77777777" w:rsidR="008B1682" w:rsidRDefault="008B1682" w:rsidP="008B1682">
      <w:pPr>
        <w:jc w:val="both"/>
      </w:pPr>
      <w:r>
        <w:rPr>
          <w:noProof/>
          <w:lang w:eastAsia="en-AU"/>
        </w:rPr>
        <w:drawing>
          <wp:inline distT="0" distB="0" distL="0" distR="0" wp14:anchorId="6CD01248" wp14:editId="055A4959">
            <wp:extent cx="5943600" cy="30022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02280"/>
                    </a:xfrm>
                    <a:prstGeom prst="rect">
                      <a:avLst/>
                    </a:prstGeom>
                  </pic:spPr>
                </pic:pic>
              </a:graphicData>
            </a:graphic>
          </wp:inline>
        </w:drawing>
      </w:r>
    </w:p>
    <w:p w14:paraId="7CC22BA7" w14:textId="77777777" w:rsidR="008B1682" w:rsidRDefault="008B1682" w:rsidP="008B1682">
      <w:pPr>
        <w:jc w:val="both"/>
      </w:pPr>
      <w:r>
        <w:rPr>
          <w:noProof/>
          <w:lang w:eastAsia="en-AU"/>
        </w:rPr>
        <w:drawing>
          <wp:inline distT="0" distB="0" distL="0" distR="0" wp14:anchorId="73BC921A" wp14:editId="243DE72F">
            <wp:extent cx="6038850" cy="32670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43713" cy="3269706"/>
                    </a:xfrm>
                    <a:prstGeom prst="rect">
                      <a:avLst/>
                    </a:prstGeom>
                  </pic:spPr>
                </pic:pic>
              </a:graphicData>
            </a:graphic>
          </wp:inline>
        </w:drawing>
      </w:r>
    </w:p>
    <w:p w14:paraId="40119383" w14:textId="77777777" w:rsidR="008B1682" w:rsidRDefault="008B1682" w:rsidP="008B1682">
      <w:pPr>
        <w:pStyle w:val="Heading9"/>
      </w:pPr>
      <w:r w:rsidRPr="00B22380">
        <w:lastRenderedPageBreak/>
        <w:t xml:space="preserve">Estimating potential outreach with this selection of </w:t>
      </w:r>
      <w:r>
        <w:t xml:space="preserve">additional </w:t>
      </w:r>
      <w:r w:rsidRPr="00B22380">
        <w:t xml:space="preserve">provinces: </w:t>
      </w:r>
    </w:p>
    <w:p w14:paraId="7D54ED84" w14:textId="63B6759D" w:rsidR="008B1682" w:rsidRDefault="008B1682" w:rsidP="008B1682">
      <w:pPr>
        <w:jc w:val="both"/>
      </w:pPr>
      <w:r>
        <w:t xml:space="preserve">With this secondary data and a sample of confirmed interest from partners, it was then possible to make a </w:t>
      </w:r>
      <w:r w:rsidR="00BA7BE9">
        <w:t>‘</w:t>
      </w:r>
      <w:r>
        <w:t>notional</w:t>
      </w:r>
      <w:r w:rsidR="00BA7BE9">
        <w:t>’</w:t>
      </w:r>
      <w:r>
        <w:t xml:space="preserve"> estimate of what the possible outreach might be within these 5+</w:t>
      </w:r>
      <w:r w:rsidR="00490E0C">
        <w:t xml:space="preserve"> 1 (or </w:t>
      </w:r>
      <w:r>
        <w:t>2</w:t>
      </w:r>
      <w:r w:rsidR="00490E0C">
        <w:t>)</w:t>
      </w:r>
      <w:r>
        <w:t xml:space="preserve"> provinces.</w:t>
      </w:r>
    </w:p>
    <w:p w14:paraId="3E28D47E" w14:textId="6C5F34D9" w:rsidR="008B1682" w:rsidRDefault="008B1682" w:rsidP="0018686E">
      <w:r>
        <w:t>Estimating the potential outreach for PRISMA-2 is based on the Agricultural Census of 2013 which records figures for farming household numbers in the different crops or livestock sub-sectors in each province. To calculate a notional outreach for the 7 provinces, four scenarios were constructed based on census data. These scenarios were:</w:t>
      </w:r>
    </w:p>
    <w:p w14:paraId="3F6CC336" w14:textId="77777777" w:rsidR="008B1682" w:rsidRDefault="008B1682" w:rsidP="004B220D">
      <w:pPr>
        <w:pStyle w:val="ListParagraph"/>
        <w:numPr>
          <w:ilvl w:val="0"/>
          <w:numId w:val="47"/>
        </w:numPr>
      </w:pPr>
      <w:r>
        <w:t>The potential outreach to households in the current sub-sectors and in the current 5 provinces;</w:t>
      </w:r>
    </w:p>
    <w:p w14:paraId="4A89B580" w14:textId="77777777" w:rsidR="008B1682" w:rsidRDefault="008B1682" w:rsidP="004B220D">
      <w:pPr>
        <w:pStyle w:val="ListParagraph"/>
        <w:numPr>
          <w:ilvl w:val="0"/>
          <w:numId w:val="47"/>
        </w:numPr>
      </w:pPr>
      <w:r>
        <w:t>The potential outreach to households in the current 5 provinces in new sub-sectors;</w:t>
      </w:r>
    </w:p>
    <w:p w14:paraId="2004C2E6" w14:textId="487FA3A9" w:rsidR="008B1682" w:rsidRDefault="008B1682" w:rsidP="004B220D">
      <w:pPr>
        <w:pStyle w:val="ListParagraph"/>
        <w:numPr>
          <w:ilvl w:val="0"/>
          <w:numId w:val="47"/>
        </w:numPr>
      </w:pPr>
      <w:r>
        <w:t xml:space="preserve">The potential outreach to households in the current subsectors in the 2 </w:t>
      </w:r>
      <w:r w:rsidR="00490E0C">
        <w:t xml:space="preserve">potential </w:t>
      </w:r>
      <w:r>
        <w:t>new provinces and;</w:t>
      </w:r>
    </w:p>
    <w:p w14:paraId="71B5AB66" w14:textId="65855E4D" w:rsidR="008B1682" w:rsidRDefault="008B1682" w:rsidP="004B220D">
      <w:pPr>
        <w:pStyle w:val="ListParagraph"/>
        <w:numPr>
          <w:ilvl w:val="0"/>
          <w:numId w:val="47"/>
        </w:numPr>
      </w:pPr>
      <w:r>
        <w:t>The potential outreach to households in new sub-sectors in the 2</w:t>
      </w:r>
      <w:r w:rsidR="00490E0C">
        <w:t xml:space="preserve"> potential</w:t>
      </w:r>
      <w:r>
        <w:t xml:space="preserve"> new provinces.</w:t>
      </w:r>
    </w:p>
    <w:p w14:paraId="617D4A95" w14:textId="25F80791" w:rsidR="008B1682" w:rsidRDefault="004328E1" w:rsidP="0018686E">
      <w:r>
        <w:t>This estimation is not</w:t>
      </w:r>
      <w:r w:rsidR="008B1682" w:rsidRPr="0029796F">
        <w:rPr>
          <w:b/>
        </w:rPr>
        <w:t xml:space="preserve"> </w:t>
      </w:r>
      <w:r w:rsidR="008B1682">
        <w:t>a selection of sub-sectors for PRISMA-2 but rather used to determine if the outreach target of 700,000 smallholder farming households (60% of which consist of people living below USD2.50 per day) is plausible. Total farming household figures in those sub-sectors were then reduced to 10% to represent realistic targets based on lessons from AIP-Rural. At the same time estimates were made of the percentage of these households with farmers living on less than USD2.50 per day. The resulting figures for total farming households was 25,772,000, 10% of this was 2,577,200 and of this figure (depending on the individual poverty estimates of the provinces) 1,577,000 were estimated to be living on incomes below USD2.50 per day. On the assumption that some of these numbers may be over</w:t>
      </w:r>
      <w:r w:rsidR="009F11E7">
        <w:t>-</w:t>
      </w:r>
      <w:r w:rsidR="008B1682">
        <w:t>reported in the Agricultural Census, the total potential outreach for all households could be reduced by a further 25% to 1,932,900, and those below USD 2.50 per day to 1,182,000</w:t>
      </w:r>
      <w:r w:rsidR="008B1682">
        <w:rPr>
          <w:rStyle w:val="FootnoteReference"/>
        </w:rPr>
        <w:footnoteReference w:id="82"/>
      </w:r>
      <w:r>
        <w:t>.</w:t>
      </w:r>
      <w:r w:rsidR="008B1682">
        <w:t xml:space="preserve"> If the target of PRISMA-2 is to reach an additional 700,000 smallholder farming households, 60% of which consist of people living below USD2.50 per day, then the outreach potential offered in </w:t>
      </w:r>
      <w:r w:rsidR="00490E0C">
        <w:t>6</w:t>
      </w:r>
      <w:r w:rsidR="008B1682">
        <w:t xml:space="preserve"> provinces suggests the proposed target is plausible</w:t>
      </w:r>
      <w:r w:rsidR="00490E0C">
        <w:t xml:space="preserve"> and sufficient</w:t>
      </w:r>
      <w:r w:rsidR="008B1682">
        <w:t>.</w:t>
      </w:r>
    </w:p>
    <w:p w14:paraId="1EA330F0" w14:textId="539324A2" w:rsidR="008B1682" w:rsidRDefault="008B1682" w:rsidP="0018686E">
      <w:pPr>
        <w:sectPr w:rsidR="008B1682" w:rsidSect="00076F77">
          <w:pgSz w:w="11906" w:h="16838" w:code="9"/>
          <w:pgMar w:top="1418" w:right="1134" w:bottom="1701" w:left="1134" w:header="425" w:footer="493" w:gutter="0"/>
          <w:cols w:space="397"/>
          <w:titlePg/>
          <w:docGrid w:linePitch="360"/>
        </w:sectPr>
      </w:pPr>
      <w:r>
        <w:t>The table below shows the figures on</w:t>
      </w:r>
      <w:r w:rsidR="00B0595B">
        <w:t xml:space="preserve"> which this estimation is based.</w:t>
      </w:r>
    </w:p>
    <w:p w14:paraId="759935DC" w14:textId="77777777" w:rsidR="008B1682" w:rsidRDefault="008B1682" w:rsidP="008B1682">
      <w:pPr>
        <w:jc w:val="both"/>
      </w:pPr>
    </w:p>
    <w:p w14:paraId="11B42E7D" w14:textId="77777777" w:rsidR="008B1682" w:rsidRDefault="008B1682" w:rsidP="008B1682">
      <w:pPr>
        <w:jc w:val="both"/>
      </w:pPr>
      <w:r w:rsidRPr="00B85858">
        <w:rPr>
          <w:noProof/>
          <w:lang w:eastAsia="en-AU"/>
        </w:rPr>
        <w:drawing>
          <wp:anchor distT="0" distB="0" distL="114300" distR="114300" simplePos="0" relativeHeight="251666944" behindDoc="0" locked="0" layoutInCell="1" allowOverlap="1" wp14:anchorId="75DAB3BD" wp14:editId="622E464E">
            <wp:simplePos x="0" y="0"/>
            <wp:positionH relativeFrom="column">
              <wp:posOffset>46990</wp:posOffset>
            </wp:positionH>
            <wp:positionV relativeFrom="paragraph">
              <wp:posOffset>229235</wp:posOffset>
            </wp:positionV>
            <wp:extent cx="5945505" cy="7613015"/>
            <wp:effectExtent l="0" t="0" r="0" b="698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5505" cy="761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6DACD" w14:textId="0264E9FD" w:rsidR="006000A3" w:rsidRDefault="006000A3" w:rsidP="00274C18">
      <w:pPr>
        <w:pStyle w:val="Heading3"/>
      </w:pPr>
      <w:bookmarkStart w:id="42" w:name="_Toc499298870"/>
      <w:r w:rsidRPr="00E83F21">
        <w:lastRenderedPageBreak/>
        <w:t>A</w:t>
      </w:r>
      <w:r w:rsidR="001236FF">
        <w:t>nnex 7</w:t>
      </w:r>
      <w:r w:rsidRPr="00E83F21">
        <w:t>: Budget</w:t>
      </w:r>
      <w:bookmarkEnd w:id="42"/>
    </w:p>
    <w:tbl>
      <w:tblPr>
        <w:tblpPr w:leftFromText="180" w:rightFromText="180" w:vertAnchor="text" w:horzAnchor="margin" w:tblpXSpec="center" w:tblpY="57"/>
        <w:tblOverlap w:val="never"/>
        <w:tblW w:w="11212" w:type="dxa"/>
        <w:tblLayout w:type="fixed"/>
        <w:tblLook w:val="04A0" w:firstRow="1" w:lastRow="0" w:firstColumn="1" w:lastColumn="0" w:noHBand="0" w:noVBand="1"/>
      </w:tblPr>
      <w:tblGrid>
        <w:gridCol w:w="432"/>
        <w:gridCol w:w="3220"/>
        <w:gridCol w:w="1056"/>
        <w:gridCol w:w="1056"/>
        <w:gridCol w:w="1057"/>
        <w:gridCol w:w="1056"/>
        <w:gridCol w:w="1056"/>
        <w:gridCol w:w="1057"/>
        <w:gridCol w:w="1222"/>
      </w:tblGrid>
      <w:tr w:rsidR="003416F9" w:rsidRPr="003416F9" w14:paraId="3213B53E" w14:textId="77777777" w:rsidTr="003416F9">
        <w:trPr>
          <w:trHeight w:val="289"/>
        </w:trPr>
        <w:tc>
          <w:tcPr>
            <w:tcW w:w="432"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783AD5CE" w14:textId="77777777" w:rsidR="003416F9" w:rsidRPr="003416F9" w:rsidRDefault="003416F9" w:rsidP="003416F9">
            <w:pPr>
              <w:spacing w:after="0" w:line="240" w:lineRule="auto"/>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No</w:t>
            </w:r>
          </w:p>
        </w:tc>
        <w:tc>
          <w:tcPr>
            <w:tcW w:w="3220" w:type="dxa"/>
            <w:tcBorders>
              <w:top w:val="single" w:sz="8" w:space="0" w:color="auto"/>
              <w:left w:val="nil"/>
              <w:bottom w:val="single" w:sz="4" w:space="0" w:color="auto"/>
              <w:right w:val="single" w:sz="4" w:space="0" w:color="auto"/>
            </w:tcBorders>
            <w:shd w:val="clear" w:color="000000" w:fill="D9D9D9"/>
            <w:noWrap/>
            <w:vAlign w:val="bottom"/>
            <w:hideMark/>
          </w:tcPr>
          <w:p w14:paraId="04294117" w14:textId="77777777" w:rsidR="003416F9" w:rsidRPr="003416F9" w:rsidRDefault="003416F9" w:rsidP="003416F9">
            <w:pPr>
              <w:spacing w:after="0" w:line="240" w:lineRule="auto"/>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Items</w:t>
            </w:r>
          </w:p>
        </w:tc>
        <w:tc>
          <w:tcPr>
            <w:tcW w:w="1056" w:type="dxa"/>
            <w:tcBorders>
              <w:top w:val="single" w:sz="8" w:space="0" w:color="auto"/>
              <w:left w:val="nil"/>
              <w:bottom w:val="single" w:sz="4" w:space="0" w:color="auto"/>
              <w:right w:val="single" w:sz="4" w:space="0" w:color="auto"/>
            </w:tcBorders>
            <w:shd w:val="clear" w:color="000000" w:fill="D9D9D9"/>
            <w:noWrap/>
            <w:vAlign w:val="bottom"/>
            <w:hideMark/>
          </w:tcPr>
          <w:p w14:paraId="3DB2CF92" w14:textId="77777777" w:rsidR="003416F9" w:rsidRPr="003416F9" w:rsidRDefault="003416F9" w:rsidP="003416F9">
            <w:pPr>
              <w:spacing w:after="0" w:line="240" w:lineRule="auto"/>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Y1</w:t>
            </w:r>
          </w:p>
        </w:tc>
        <w:tc>
          <w:tcPr>
            <w:tcW w:w="1056" w:type="dxa"/>
            <w:tcBorders>
              <w:top w:val="single" w:sz="8" w:space="0" w:color="auto"/>
              <w:left w:val="nil"/>
              <w:bottom w:val="single" w:sz="4" w:space="0" w:color="auto"/>
              <w:right w:val="single" w:sz="4" w:space="0" w:color="auto"/>
            </w:tcBorders>
            <w:shd w:val="clear" w:color="000000" w:fill="D9D9D9"/>
            <w:noWrap/>
            <w:vAlign w:val="bottom"/>
            <w:hideMark/>
          </w:tcPr>
          <w:p w14:paraId="0FD1E112" w14:textId="77777777" w:rsidR="003416F9" w:rsidRPr="003416F9" w:rsidRDefault="003416F9" w:rsidP="003416F9">
            <w:pPr>
              <w:spacing w:after="0" w:line="240" w:lineRule="auto"/>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Y2</w:t>
            </w:r>
          </w:p>
        </w:tc>
        <w:tc>
          <w:tcPr>
            <w:tcW w:w="1057" w:type="dxa"/>
            <w:tcBorders>
              <w:top w:val="single" w:sz="8" w:space="0" w:color="auto"/>
              <w:left w:val="nil"/>
              <w:bottom w:val="single" w:sz="4" w:space="0" w:color="auto"/>
              <w:right w:val="single" w:sz="4" w:space="0" w:color="auto"/>
            </w:tcBorders>
            <w:shd w:val="clear" w:color="000000" w:fill="D9D9D9"/>
            <w:noWrap/>
            <w:vAlign w:val="bottom"/>
            <w:hideMark/>
          </w:tcPr>
          <w:p w14:paraId="01B41887" w14:textId="77777777" w:rsidR="003416F9" w:rsidRPr="003416F9" w:rsidRDefault="003416F9" w:rsidP="003416F9">
            <w:pPr>
              <w:spacing w:after="0" w:line="240" w:lineRule="auto"/>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Y3</w:t>
            </w:r>
          </w:p>
        </w:tc>
        <w:tc>
          <w:tcPr>
            <w:tcW w:w="1056" w:type="dxa"/>
            <w:tcBorders>
              <w:top w:val="single" w:sz="8" w:space="0" w:color="auto"/>
              <w:left w:val="nil"/>
              <w:bottom w:val="single" w:sz="4" w:space="0" w:color="auto"/>
              <w:right w:val="single" w:sz="4" w:space="0" w:color="auto"/>
            </w:tcBorders>
            <w:shd w:val="clear" w:color="000000" w:fill="D9D9D9"/>
            <w:noWrap/>
            <w:vAlign w:val="bottom"/>
            <w:hideMark/>
          </w:tcPr>
          <w:p w14:paraId="751DB43A" w14:textId="77777777" w:rsidR="003416F9" w:rsidRPr="003416F9" w:rsidRDefault="003416F9" w:rsidP="003416F9">
            <w:pPr>
              <w:spacing w:after="0" w:line="240" w:lineRule="auto"/>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Y4</w:t>
            </w:r>
          </w:p>
        </w:tc>
        <w:tc>
          <w:tcPr>
            <w:tcW w:w="1056" w:type="dxa"/>
            <w:tcBorders>
              <w:top w:val="single" w:sz="8" w:space="0" w:color="auto"/>
              <w:left w:val="nil"/>
              <w:bottom w:val="single" w:sz="4" w:space="0" w:color="auto"/>
              <w:right w:val="single" w:sz="4" w:space="0" w:color="auto"/>
            </w:tcBorders>
            <w:shd w:val="clear" w:color="000000" w:fill="D9D9D9"/>
            <w:noWrap/>
            <w:vAlign w:val="bottom"/>
            <w:hideMark/>
          </w:tcPr>
          <w:p w14:paraId="0F981654" w14:textId="77777777" w:rsidR="003416F9" w:rsidRPr="003416F9" w:rsidRDefault="003416F9" w:rsidP="003416F9">
            <w:pPr>
              <w:spacing w:after="0" w:line="240" w:lineRule="auto"/>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Y5</w:t>
            </w:r>
          </w:p>
        </w:tc>
        <w:tc>
          <w:tcPr>
            <w:tcW w:w="1057" w:type="dxa"/>
            <w:tcBorders>
              <w:top w:val="single" w:sz="8" w:space="0" w:color="auto"/>
              <w:left w:val="nil"/>
              <w:bottom w:val="single" w:sz="4" w:space="0" w:color="auto"/>
              <w:right w:val="nil"/>
            </w:tcBorders>
            <w:shd w:val="clear" w:color="000000" w:fill="D9D9D9"/>
            <w:noWrap/>
            <w:vAlign w:val="bottom"/>
            <w:hideMark/>
          </w:tcPr>
          <w:p w14:paraId="589D454B" w14:textId="77777777" w:rsidR="003416F9" w:rsidRPr="003416F9" w:rsidRDefault="003416F9" w:rsidP="003416F9">
            <w:pPr>
              <w:spacing w:after="0" w:line="240" w:lineRule="auto"/>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Y6</w:t>
            </w:r>
          </w:p>
        </w:tc>
        <w:tc>
          <w:tcPr>
            <w:tcW w:w="1222" w:type="dxa"/>
            <w:tcBorders>
              <w:top w:val="single" w:sz="8" w:space="0" w:color="auto"/>
              <w:left w:val="single" w:sz="4" w:space="0" w:color="auto"/>
              <w:bottom w:val="single" w:sz="4" w:space="0" w:color="auto"/>
              <w:right w:val="single" w:sz="8" w:space="0" w:color="auto"/>
            </w:tcBorders>
            <w:shd w:val="clear" w:color="000000" w:fill="D9D9D9"/>
            <w:noWrap/>
            <w:vAlign w:val="bottom"/>
            <w:hideMark/>
          </w:tcPr>
          <w:p w14:paraId="2478319A" w14:textId="77777777" w:rsidR="003416F9" w:rsidRPr="003416F9" w:rsidRDefault="003416F9" w:rsidP="003416F9">
            <w:pPr>
              <w:spacing w:after="0" w:line="240" w:lineRule="auto"/>
              <w:rPr>
                <w:rFonts w:ascii="Calibri" w:eastAsia="Times New Roman" w:hAnsi="Calibri" w:cs="Times New Roman"/>
                <w:b/>
                <w:bCs/>
                <w:color w:val="000000"/>
                <w:lang w:eastAsia="en-AU"/>
              </w:rPr>
            </w:pPr>
            <w:r w:rsidRPr="003416F9">
              <w:rPr>
                <w:rFonts w:ascii="Calibri" w:eastAsia="Times New Roman" w:hAnsi="Calibri" w:cs="Times New Roman"/>
                <w:b/>
                <w:bCs/>
                <w:color w:val="000000"/>
                <w:lang w:eastAsia="en-AU"/>
              </w:rPr>
              <w:t>Total</w:t>
            </w:r>
          </w:p>
        </w:tc>
      </w:tr>
      <w:tr w:rsidR="003416F9" w:rsidRPr="003416F9" w14:paraId="628AD7B1" w14:textId="77777777" w:rsidTr="003416F9">
        <w:trPr>
          <w:trHeight w:val="289"/>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14:paraId="391CCC43"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w:t>
            </w:r>
          </w:p>
        </w:tc>
        <w:tc>
          <w:tcPr>
            <w:tcW w:w="3220" w:type="dxa"/>
            <w:tcBorders>
              <w:top w:val="nil"/>
              <w:left w:val="nil"/>
              <w:bottom w:val="single" w:sz="4" w:space="0" w:color="auto"/>
              <w:right w:val="single" w:sz="4" w:space="0" w:color="auto"/>
            </w:tcBorders>
            <w:shd w:val="clear" w:color="auto" w:fill="auto"/>
            <w:noWrap/>
            <w:vAlign w:val="bottom"/>
            <w:hideMark/>
          </w:tcPr>
          <w:p w14:paraId="20D4FDC9" w14:textId="77777777" w:rsidR="003416F9" w:rsidRPr="003416F9" w:rsidRDefault="003416F9" w:rsidP="003416F9">
            <w:pPr>
              <w:spacing w:after="0" w:line="240" w:lineRule="auto"/>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Management Fee &amp; Performance Payments</w:t>
            </w:r>
          </w:p>
        </w:tc>
        <w:tc>
          <w:tcPr>
            <w:tcW w:w="1056" w:type="dxa"/>
            <w:tcBorders>
              <w:top w:val="nil"/>
              <w:left w:val="nil"/>
              <w:bottom w:val="single" w:sz="4" w:space="0" w:color="auto"/>
              <w:right w:val="single" w:sz="4" w:space="0" w:color="auto"/>
            </w:tcBorders>
            <w:shd w:val="clear" w:color="auto" w:fill="auto"/>
            <w:noWrap/>
            <w:vAlign w:val="bottom"/>
            <w:hideMark/>
          </w:tcPr>
          <w:p w14:paraId="2618BA86"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964,904</w:t>
            </w:r>
          </w:p>
        </w:tc>
        <w:tc>
          <w:tcPr>
            <w:tcW w:w="1056" w:type="dxa"/>
            <w:tcBorders>
              <w:top w:val="nil"/>
              <w:left w:val="nil"/>
              <w:bottom w:val="single" w:sz="4" w:space="0" w:color="auto"/>
              <w:right w:val="single" w:sz="4" w:space="0" w:color="auto"/>
            </w:tcBorders>
            <w:shd w:val="clear" w:color="auto" w:fill="auto"/>
            <w:noWrap/>
            <w:vAlign w:val="bottom"/>
            <w:hideMark/>
          </w:tcPr>
          <w:p w14:paraId="1DB86A7E"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1,833,662</w:t>
            </w:r>
          </w:p>
        </w:tc>
        <w:tc>
          <w:tcPr>
            <w:tcW w:w="1057" w:type="dxa"/>
            <w:tcBorders>
              <w:top w:val="nil"/>
              <w:left w:val="nil"/>
              <w:bottom w:val="single" w:sz="4" w:space="0" w:color="auto"/>
              <w:right w:val="single" w:sz="4" w:space="0" w:color="auto"/>
            </w:tcBorders>
            <w:shd w:val="clear" w:color="auto" w:fill="auto"/>
            <w:noWrap/>
            <w:vAlign w:val="bottom"/>
            <w:hideMark/>
          </w:tcPr>
          <w:p w14:paraId="46DA2603"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1,940,512</w:t>
            </w:r>
          </w:p>
        </w:tc>
        <w:tc>
          <w:tcPr>
            <w:tcW w:w="1056" w:type="dxa"/>
            <w:tcBorders>
              <w:top w:val="nil"/>
              <w:left w:val="nil"/>
              <w:bottom w:val="single" w:sz="4" w:space="0" w:color="auto"/>
              <w:right w:val="single" w:sz="4" w:space="0" w:color="auto"/>
            </w:tcBorders>
            <w:shd w:val="clear" w:color="auto" w:fill="auto"/>
            <w:noWrap/>
            <w:vAlign w:val="bottom"/>
            <w:hideMark/>
          </w:tcPr>
          <w:p w14:paraId="39F10A72"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1,963,924</w:t>
            </w:r>
          </w:p>
        </w:tc>
        <w:tc>
          <w:tcPr>
            <w:tcW w:w="1056" w:type="dxa"/>
            <w:tcBorders>
              <w:top w:val="nil"/>
              <w:left w:val="nil"/>
              <w:bottom w:val="single" w:sz="4" w:space="0" w:color="auto"/>
              <w:right w:val="single" w:sz="4" w:space="0" w:color="auto"/>
            </w:tcBorders>
            <w:shd w:val="clear" w:color="auto" w:fill="auto"/>
            <w:noWrap/>
            <w:vAlign w:val="bottom"/>
            <w:hideMark/>
          </w:tcPr>
          <w:p w14:paraId="6F2A8A95"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1,960,415</w:t>
            </w:r>
          </w:p>
        </w:tc>
        <w:tc>
          <w:tcPr>
            <w:tcW w:w="1057" w:type="dxa"/>
            <w:tcBorders>
              <w:top w:val="nil"/>
              <w:left w:val="nil"/>
              <w:bottom w:val="single" w:sz="4" w:space="0" w:color="auto"/>
              <w:right w:val="single" w:sz="4" w:space="0" w:color="auto"/>
            </w:tcBorders>
            <w:shd w:val="clear" w:color="auto" w:fill="auto"/>
            <w:noWrap/>
            <w:vAlign w:val="bottom"/>
            <w:hideMark/>
          </w:tcPr>
          <w:p w14:paraId="4E1367CB"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1,016,584</w:t>
            </w:r>
          </w:p>
        </w:tc>
        <w:tc>
          <w:tcPr>
            <w:tcW w:w="1222" w:type="dxa"/>
            <w:tcBorders>
              <w:top w:val="nil"/>
              <w:left w:val="nil"/>
              <w:bottom w:val="single" w:sz="4" w:space="0" w:color="auto"/>
              <w:right w:val="single" w:sz="8" w:space="0" w:color="auto"/>
            </w:tcBorders>
            <w:shd w:val="clear" w:color="auto" w:fill="auto"/>
            <w:noWrap/>
            <w:vAlign w:val="bottom"/>
            <w:hideMark/>
          </w:tcPr>
          <w:p w14:paraId="5981C5B7" w14:textId="77777777" w:rsidR="003416F9" w:rsidRPr="003416F9" w:rsidRDefault="003416F9" w:rsidP="003416F9">
            <w:pPr>
              <w:spacing w:after="0" w:line="240" w:lineRule="auto"/>
              <w:jc w:val="right"/>
              <w:rPr>
                <w:rFonts w:ascii="Calibri" w:eastAsia="Times New Roman" w:hAnsi="Calibri" w:cs="Times New Roman"/>
                <w:b/>
                <w:bCs/>
                <w:color w:val="000000"/>
                <w:lang w:eastAsia="en-AU"/>
              </w:rPr>
            </w:pPr>
            <w:r w:rsidRPr="003416F9">
              <w:rPr>
                <w:rFonts w:ascii="Calibri" w:eastAsia="Times New Roman" w:hAnsi="Calibri" w:cs="Times New Roman"/>
                <w:b/>
                <w:bCs/>
                <w:color w:val="000000"/>
                <w:lang w:eastAsia="en-AU"/>
              </w:rPr>
              <w:t>9,680,000</w:t>
            </w:r>
          </w:p>
        </w:tc>
      </w:tr>
      <w:tr w:rsidR="003416F9" w:rsidRPr="003416F9" w14:paraId="4CA92E80" w14:textId="77777777" w:rsidTr="003416F9">
        <w:trPr>
          <w:trHeight w:val="289"/>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14:paraId="038195D1"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2</w:t>
            </w:r>
          </w:p>
        </w:tc>
        <w:tc>
          <w:tcPr>
            <w:tcW w:w="3220" w:type="dxa"/>
            <w:tcBorders>
              <w:top w:val="nil"/>
              <w:left w:val="nil"/>
              <w:bottom w:val="single" w:sz="4" w:space="0" w:color="auto"/>
              <w:right w:val="single" w:sz="4" w:space="0" w:color="auto"/>
            </w:tcBorders>
            <w:shd w:val="clear" w:color="auto" w:fill="auto"/>
            <w:noWrap/>
            <w:vAlign w:val="bottom"/>
            <w:hideMark/>
          </w:tcPr>
          <w:p w14:paraId="1D5D37B6" w14:textId="77777777" w:rsidR="003416F9" w:rsidRPr="003416F9" w:rsidRDefault="003416F9" w:rsidP="003416F9">
            <w:pPr>
              <w:spacing w:after="0" w:line="240" w:lineRule="auto"/>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Long Term Personnel (ARF)</w:t>
            </w:r>
          </w:p>
        </w:tc>
        <w:tc>
          <w:tcPr>
            <w:tcW w:w="1056" w:type="dxa"/>
            <w:tcBorders>
              <w:top w:val="nil"/>
              <w:left w:val="nil"/>
              <w:bottom w:val="single" w:sz="4" w:space="0" w:color="auto"/>
              <w:right w:val="single" w:sz="4" w:space="0" w:color="auto"/>
            </w:tcBorders>
            <w:shd w:val="clear" w:color="auto" w:fill="auto"/>
            <w:noWrap/>
            <w:vAlign w:val="bottom"/>
            <w:hideMark/>
          </w:tcPr>
          <w:p w14:paraId="1C2F1138"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1,122,756</w:t>
            </w:r>
          </w:p>
        </w:tc>
        <w:tc>
          <w:tcPr>
            <w:tcW w:w="1056" w:type="dxa"/>
            <w:tcBorders>
              <w:top w:val="nil"/>
              <w:left w:val="nil"/>
              <w:bottom w:val="single" w:sz="4" w:space="0" w:color="auto"/>
              <w:right w:val="single" w:sz="4" w:space="0" w:color="auto"/>
            </w:tcBorders>
            <w:shd w:val="clear" w:color="auto" w:fill="auto"/>
            <w:noWrap/>
            <w:vAlign w:val="bottom"/>
            <w:hideMark/>
          </w:tcPr>
          <w:p w14:paraId="54B44B7D"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2,370,222</w:t>
            </w:r>
          </w:p>
        </w:tc>
        <w:tc>
          <w:tcPr>
            <w:tcW w:w="1057" w:type="dxa"/>
            <w:tcBorders>
              <w:top w:val="nil"/>
              <w:left w:val="nil"/>
              <w:bottom w:val="single" w:sz="4" w:space="0" w:color="auto"/>
              <w:right w:val="single" w:sz="4" w:space="0" w:color="auto"/>
            </w:tcBorders>
            <w:shd w:val="clear" w:color="auto" w:fill="auto"/>
            <w:noWrap/>
            <w:vAlign w:val="bottom"/>
            <w:hideMark/>
          </w:tcPr>
          <w:p w14:paraId="23C0D274"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2,744,352</w:t>
            </w:r>
          </w:p>
        </w:tc>
        <w:tc>
          <w:tcPr>
            <w:tcW w:w="1056" w:type="dxa"/>
            <w:tcBorders>
              <w:top w:val="nil"/>
              <w:left w:val="nil"/>
              <w:bottom w:val="single" w:sz="4" w:space="0" w:color="auto"/>
              <w:right w:val="single" w:sz="4" w:space="0" w:color="auto"/>
            </w:tcBorders>
            <w:shd w:val="clear" w:color="auto" w:fill="auto"/>
            <w:noWrap/>
            <w:vAlign w:val="bottom"/>
            <w:hideMark/>
          </w:tcPr>
          <w:p w14:paraId="37567007"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2,993,772</w:t>
            </w:r>
          </w:p>
        </w:tc>
        <w:tc>
          <w:tcPr>
            <w:tcW w:w="1056" w:type="dxa"/>
            <w:tcBorders>
              <w:top w:val="nil"/>
              <w:left w:val="nil"/>
              <w:bottom w:val="single" w:sz="4" w:space="0" w:color="auto"/>
              <w:right w:val="single" w:sz="4" w:space="0" w:color="auto"/>
            </w:tcBorders>
            <w:shd w:val="clear" w:color="auto" w:fill="auto"/>
            <w:noWrap/>
            <w:vAlign w:val="bottom"/>
            <w:hideMark/>
          </w:tcPr>
          <w:p w14:paraId="0A1485C0"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2,993,772</w:t>
            </w:r>
          </w:p>
        </w:tc>
        <w:tc>
          <w:tcPr>
            <w:tcW w:w="1057" w:type="dxa"/>
            <w:tcBorders>
              <w:top w:val="nil"/>
              <w:left w:val="nil"/>
              <w:bottom w:val="single" w:sz="4" w:space="0" w:color="auto"/>
              <w:right w:val="single" w:sz="4" w:space="0" w:color="auto"/>
            </w:tcBorders>
            <w:shd w:val="clear" w:color="auto" w:fill="auto"/>
            <w:noWrap/>
            <w:vAlign w:val="bottom"/>
            <w:hideMark/>
          </w:tcPr>
          <w:p w14:paraId="505BDBFC"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1,496,886</w:t>
            </w:r>
          </w:p>
        </w:tc>
        <w:tc>
          <w:tcPr>
            <w:tcW w:w="1222" w:type="dxa"/>
            <w:tcBorders>
              <w:top w:val="nil"/>
              <w:left w:val="nil"/>
              <w:bottom w:val="single" w:sz="4" w:space="0" w:color="auto"/>
              <w:right w:val="single" w:sz="8" w:space="0" w:color="auto"/>
            </w:tcBorders>
            <w:shd w:val="clear" w:color="auto" w:fill="auto"/>
            <w:noWrap/>
            <w:vAlign w:val="bottom"/>
            <w:hideMark/>
          </w:tcPr>
          <w:p w14:paraId="6F132617" w14:textId="77777777" w:rsidR="003416F9" w:rsidRPr="003416F9" w:rsidRDefault="003416F9" w:rsidP="003416F9">
            <w:pPr>
              <w:spacing w:after="0" w:line="240" w:lineRule="auto"/>
              <w:jc w:val="right"/>
              <w:rPr>
                <w:rFonts w:ascii="Calibri" w:eastAsia="Times New Roman" w:hAnsi="Calibri" w:cs="Times New Roman"/>
                <w:b/>
                <w:bCs/>
                <w:color w:val="000000"/>
                <w:lang w:eastAsia="en-AU"/>
              </w:rPr>
            </w:pPr>
            <w:r w:rsidRPr="003416F9">
              <w:rPr>
                <w:rFonts w:ascii="Calibri" w:eastAsia="Times New Roman" w:hAnsi="Calibri" w:cs="Times New Roman"/>
                <w:b/>
                <w:bCs/>
                <w:color w:val="000000"/>
                <w:lang w:eastAsia="en-AU"/>
              </w:rPr>
              <w:t>13,721,760</w:t>
            </w:r>
          </w:p>
        </w:tc>
      </w:tr>
      <w:tr w:rsidR="003416F9" w:rsidRPr="003416F9" w14:paraId="1CE7B803" w14:textId="77777777" w:rsidTr="003416F9">
        <w:trPr>
          <w:trHeight w:val="289"/>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14:paraId="1169BECB"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3</w:t>
            </w:r>
          </w:p>
        </w:tc>
        <w:tc>
          <w:tcPr>
            <w:tcW w:w="3220" w:type="dxa"/>
            <w:tcBorders>
              <w:top w:val="nil"/>
              <w:left w:val="nil"/>
              <w:bottom w:val="single" w:sz="4" w:space="0" w:color="auto"/>
              <w:right w:val="single" w:sz="4" w:space="0" w:color="auto"/>
            </w:tcBorders>
            <w:shd w:val="clear" w:color="auto" w:fill="auto"/>
            <w:noWrap/>
            <w:vAlign w:val="bottom"/>
            <w:hideMark/>
          </w:tcPr>
          <w:p w14:paraId="20C92081" w14:textId="77777777" w:rsidR="003416F9" w:rsidRPr="003416F9" w:rsidRDefault="003416F9" w:rsidP="003416F9">
            <w:pPr>
              <w:spacing w:after="0" w:line="240" w:lineRule="auto"/>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Short Term Personnel (ARF)</w:t>
            </w:r>
          </w:p>
        </w:tc>
        <w:tc>
          <w:tcPr>
            <w:tcW w:w="1056" w:type="dxa"/>
            <w:tcBorders>
              <w:top w:val="nil"/>
              <w:left w:val="nil"/>
              <w:bottom w:val="single" w:sz="4" w:space="0" w:color="auto"/>
              <w:right w:val="single" w:sz="4" w:space="0" w:color="auto"/>
            </w:tcBorders>
            <w:shd w:val="clear" w:color="auto" w:fill="auto"/>
            <w:noWrap/>
            <w:vAlign w:val="bottom"/>
            <w:hideMark/>
          </w:tcPr>
          <w:p w14:paraId="5EF0B586"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130,620</w:t>
            </w:r>
          </w:p>
        </w:tc>
        <w:tc>
          <w:tcPr>
            <w:tcW w:w="1056" w:type="dxa"/>
            <w:tcBorders>
              <w:top w:val="nil"/>
              <w:left w:val="nil"/>
              <w:bottom w:val="single" w:sz="4" w:space="0" w:color="auto"/>
              <w:right w:val="single" w:sz="4" w:space="0" w:color="auto"/>
            </w:tcBorders>
            <w:shd w:val="clear" w:color="auto" w:fill="auto"/>
            <w:noWrap/>
            <w:vAlign w:val="bottom"/>
            <w:hideMark/>
          </w:tcPr>
          <w:p w14:paraId="5370CC84"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158,610</w:t>
            </w:r>
          </w:p>
        </w:tc>
        <w:tc>
          <w:tcPr>
            <w:tcW w:w="1057" w:type="dxa"/>
            <w:tcBorders>
              <w:top w:val="nil"/>
              <w:left w:val="nil"/>
              <w:bottom w:val="single" w:sz="4" w:space="0" w:color="auto"/>
              <w:right w:val="single" w:sz="4" w:space="0" w:color="auto"/>
            </w:tcBorders>
            <w:shd w:val="clear" w:color="auto" w:fill="auto"/>
            <w:noWrap/>
            <w:vAlign w:val="bottom"/>
            <w:hideMark/>
          </w:tcPr>
          <w:p w14:paraId="2962C0F1"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186,600</w:t>
            </w:r>
          </w:p>
        </w:tc>
        <w:tc>
          <w:tcPr>
            <w:tcW w:w="1056" w:type="dxa"/>
            <w:tcBorders>
              <w:top w:val="nil"/>
              <w:left w:val="nil"/>
              <w:bottom w:val="single" w:sz="4" w:space="0" w:color="auto"/>
              <w:right w:val="single" w:sz="4" w:space="0" w:color="auto"/>
            </w:tcBorders>
            <w:shd w:val="clear" w:color="auto" w:fill="auto"/>
            <w:noWrap/>
            <w:vAlign w:val="bottom"/>
            <w:hideMark/>
          </w:tcPr>
          <w:p w14:paraId="4C90A0FC"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186,600</w:t>
            </w:r>
          </w:p>
        </w:tc>
        <w:tc>
          <w:tcPr>
            <w:tcW w:w="1056" w:type="dxa"/>
            <w:tcBorders>
              <w:top w:val="nil"/>
              <w:left w:val="nil"/>
              <w:bottom w:val="single" w:sz="4" w:space="0" w:color="auto"/>
              <w:right w:val="single" w:sz="4" w:space="0" w:color="auto"/>
            </w:tcBorders>
            <w:shd w:val="clear" w:color="auto" w:fill="auto"/>
            <w:noWrap/>
            <w:vAlign w:val="bottom"/>
            <w:hideMark/>
          </w:tcPr>
          <w:p w14:paraId="637CCFAB"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158,610</w:t>
            </w:r>
          </w:p>
        </w:tc>
        <w:tc>
          <w:tcPr>
            <w:tcW w:w="1057" w:type="dxa"/>
            <w:tcBorders>
              <w:top w:val="nil"/>
              <w:left w:val="nil"/>
              <w:bottom w:val="single" w:sz="4" w:space="0" w:color="auto"/>
              <w:right w:val="single" w:sz="4" w:space="0" w:color="auto"/>
            </w:tcBorders>
            <w:shd w:val="clear" w:color="auto" w:fill="auto"/>
            <w:noWrap/>
            <w:vAlign w:val="bottom"/>
            <w:hideMark/>
          </w:tcPr>
          <w:p w14:paraId="4637B115"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102,630</w:t>
            </w:r>
          </w:p>
        </w:tc>
        <w:tc>
          <w:tcPr>
            <w:tcW w:w="1222" w:type="dxa"/>
            <w:tcBorders>
              <w:top w:val="nil"/>
              <w:left w:val="nil"/>
              <w:bottom w:val="single" w:sz="4" w:space="0" w:color="auto"/>
              <w:right w:val="single" w:sz="8" w:space="0" w:color="auto"/>
            </w:tcBorders>
            <w:shd w:val="clear" w:color="auto" w:fill="auto"/>
            <w:noWrap/>
            <w:vAlign w:val="bottom"/>
            <w:hideMark/>
          </w:tcPr>
          <w:p w14:paraId="619143ED" w14:textId="77777777" w:rsidR="003416F9" w:rsidRPr="003416F9" w:rsidRDefault="003416F9" w:rsidP="003416F9">
            <w:pPr>
              <w:spacing w:after="0" w:line="240" w:lineRule="auto"/>
              <w:jc w:val="right"/>
              <w:rPr>
                <w:rFonts w:ascii="Calibri" w:eastAsia="Times New Roman" w:hAnsi="Calibri" w:cs="Times New Roman"/>
                <w:b/>
                <w:bCs/>
                <w:color w:val="000000"/>
                <w:lang w:eastAsia="en-AU"/>
              </w:rPr>
            </w:pPr>
            <w:r w:rsidRPr="003416F9">
              <w:rPr>
                <w:rFonts w:ascii="Calibri" w:eastAsia="Times New Roman" w:hAnsi="Calibri" w:cs="Times New Roman"/>
                <w:b/>
                <w:bCs/>
                <w:color w:val="000000"/>
                <w:lang w:eastAsia="en-AU"/>
              </w:rPr>
              <w:t>923,670</w:t>
            </w:r>
          </w:p>
        </w:tc>
      </w:tr>
      <w:tr w:rsidR="003416F9" w:rsidRPr="003416F9" w14:paraId="7D8C6A28" w14:textId="77777777" w:rsidTr="003416F9">
        <w:trPr>
          <w:trHeight w:val="289"/>
        </w:trPr>
        <w:tc>
          <w:tcPr>
            <w:tcW w:w="432" w:type="dxa"/>
            <w:tcBorders>
              <w:top w:val="nil"/>
              <w:left w:val="single" w:sz="8" w:space="0" w:color="auto"/>
              <w:bottom w:val="single" w:sz="4" w:space="0" w:color="auto"/>
              <w:right w:val="single" w:sz="4" w:space="0" w:color="auto"/>
            </w:tcBorders>
            <w:shd w:val="clear" w:color="auto" w:fill="auto"/>
            <w:noWrap/>
            <w:vAlign w:val="bottom"/>
            <w:hideMark/>
          </w:tcPr>
          <w:p w14:paraId="008B0790"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4</w:t>
            </w:r>
          </w:p>
        </w:tc>
        <w:tc>
          <w:tcPr>
            <w:tcW w:w="3220" w:type="dxa"/>
            <w:tcBorders>
              <w:top w:val="nil"/>
              <w:left w:val="nil"/>
              <w:bottom w:val="single" w:sz="4" w:space="0" w:color="auto"/>
              <w:right w:val="single" w:sz="4" w:space="0" w:color="auto"/>
            </w:tcBorders>
            <w:shd w:val="clear" w:color="auto" w:fill="auto"/>
            <w:noWrap/>
            <w:vAlign w:val="bottom"/>
            <w:hideMark/>
          </w:tcPr>
          <w:p w14:paraId="70ADC2D3" w14:textId="77777777" w:rsidR="003416F9" w:rsidRPr="003416F9" w:rsidRDefault="003416F9" w:rsidP="003416F9">
            <w:pPr>
              <w:spacing w:after="0" w:line="240" w:lineRule="auto"/>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Advisor Support Costs</w:t>
            </w:r>
          </w:p>
        </w:tc>
        <w:tc>
          <w:tcPr>
            <w:tcW w:w="1056" w:type="dxa"/>
            <w:tcBorders>
              <w:top w:val="nil"/>
              <w:left w:val="nil"/>
              <w:bottom w:val="single" w:sz="4" w:space="0" w:color="auto"/>
              <w:right w:val="single" w:sz="4" w:space="0" w:color="auto"/>
            </w:tcBorders>
            <w:shd w:val="clear" w:color="auto" w:fill="auto"/>
            <w:noWrap/>
            <w:vAlign w:val="bottom"/>
            <w:hideMark/>
          </w:tcPr>
          <w:p w14:paraId="55181C9A"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662,382</w:t>
            </w:r>
          </w:p>
        </w:tc>
        <w:tc>
          <w:tcPr>
            <w:tcW w:w="1056" w:type="dxa"/>
            <w:tcBorders>
              <w:top w:val="nil"/>
              <w:left w:val="nil"/>
              <w:bottom w:val="single" w:sz="4" w:space="0" w:color="auto"/>
              <w:right w:val="single" w:sz="4" w:space="0" w:color="auto"/>
            </w:tcBorders>
            <w:shd w:val="clear" w:color="auto" w:fill="auto"/>
            <w:noWrap/>
            <w:vAlign w:val="bottom"/>
            <w:hideMark/>
          </w:tcPr>
          <w:p w14:paraId="190E203B"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524,779</w:t>
            </w:r>
          </w:p>
        </w:tc>
        <w:tc>
          <w:tcPr>
            <w:tcW w:w="1057" w:type="dxa"/>
            <w:tcBorders>
              <w:top w:val="nil"/>
              <w:left w:val="nil"/>
              <w:bottom w:val="single" w:sz="4" w:space="0" w:color="auto"/>
              <w:right w:val="single" w:sz="4" w:space="0" w:color="auto"/>
            </w:tcBorders>
            <w:shd w:val="clear" w:color="auto" w:fill="auto"/>
            <w:noWrap/>
            <w:vAlign w:val="bottom"/>
            <w:hideMark/>
          </w:tcPr>
          <w:p w14:paraId="4DF73A92"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987,176</w:t>
            </w:r>
          </w:p>
        </w:tc>
        <w:tc>
          <w:tcPr>
            <w:tcW w:w="1056" w:type="dxa"/>
            <w:tcBorders>
              <w:top w:val="nil"/>
              <w:left w:val="nil"/>
              <w:bottom w:val="single" w:sz="4" w:space="0" w:color="auto"/>
              <w:right w:val="single" w:sz="4" w:space="0" w:color="auto"/>
            </w:tcBorders>
            <w:shd w:val="clear" w:color="auto" w:fill="auto"/>
            <w:noWrap/>
            <w:vAlign w:val="bottom"/>
            <w:hideMark/>
          </w:tcPr>
          <w:p w14:paraId="208EC34A"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927,176</w:t>
            </w:r>
          </w:p>
        </w:tc>
        <w:tc>
          <w:tcPr>
            <w:tcW w:w="1056" w:type="dxa"/>
            <w:tcBorders>
              <w:top w:val="nil"/>
              <w:left w:val="nil"/>
              <w:bottom w:val="single" w:sz="4" w:space="0" w:color="auto"/>
              <w:right w:val="single" w:sz="4" w:space="0" w:color="auto"/>
            </w:tcBorders>
            <w:shd w:val="clear" w:color="auto" w:fill="auto"/>
            <w:noWrap/>
            <w:vAlign w:val="bottom"/>
            <w:hideMark/>
          </w:tcPr>
          <w:p w14:paraId="1FE6B5F7"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926,775</w:t>
            </w:r>
          </w:p>
        </w:tc>
        <w:tc>
          <w:tcPr>
            <w:tcW w:w="1057" w:type="dxa"/>
            <w:tcBorders>
              <w:top w:val="nil"/>
              <w:left w:val="nil"/>
              <w:bottom w:val="single" w:sz="4" w:space="0" w:color="auto"/>
              <w:right w:val="single" w:sz="4" w:space="0" w:color="auto"/>
            </w:tcBorders>
            <w:shd w:val="clear" w:color="auto" w:fill="auto"/>
            <w:noWrap/>
            <w:vAlign w:val="bottom"/>
            <w:hideMark/>
          </w:tcPr>
          <w:p w14:paraId="70DF9487"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734,382</w:t>
            </w:r>
          </w:p>
        </w:tc>
        <w:tc>
          <w:tcPr>
            <w:tcW w:w="1222" w:type="dxa"/>
            <w:tcBorders>
              <w:top w:val="nil"/>
              <w:left w:val="nil"/>
              <w:bottom w:val="single" w:sz="4" w:space="0" w:color="auto"/>
              <w:right w:val="single" w:sz="4" w:space="0" w:color="auto"/>
            </w:tcBorders>
            <w:shd w:val="clear" w:color="auto" w:fill="auto"/>
            <w:noWrap/>
            <w:vAlign w:val="bottom"/>
            <w:hideMark/>
          </w:tcPr>
          <w:p w14:paraId="4C51EA0A" w14:textId="77777777" w:rsidR="003416F9" w:rsidRPr="003416F9" w:rsidRDefault="003416F9" w:rsidP="003416F9">
            <w:pPr>
              <w:spacing w:after="0" w:line="240" w:lineRule="auto"/>
              <w:jc w:val="right"/>
              <w:rPr>
                <w:rFonts w:ascii="Calibri" w:eastAsia="Times New Roman" w:hAnsi="Calibri" w:cs="Times New Roman"/>
                <w:b/>
                <w:bCs/>
                <w:color w:val="000000"/>
                <w:lang w:eastAsia="en-AU"/>
              </w:rPr>
            </w:pPr>
            <w:r w:rsidRPr="003416F9">
              <w:rPr>
                <w:rFonts w:ascii="Calibri" w:eastAsia="Times New Roman" w:hAnsi="Calibri" w:cs="Times New Roman"/>
                <w:b/>
                <w:bCs/>
                <w:color w:val="000000"/>
                <w:lang w:eastAsia="en-AU"/>
              </w:rPr>
              <w:t>4,762,670</w:t>
            </w:r>
          </w:p>
        </w:tc>
      </w:tr>
      <w:tr w:rsidR="003416F9" w:rsidRPr="003416F9" w14:paraId="6B7D1FF2" w14:textId="77777777" w:rsidTr="003416F9">
        <w:trPr>
          <w:trHeight w:val="582"/>
        </w:trPr>
        <w:tc>
          <w:tcPr>
            <w:tcW w:w="432" w:type="dxa"/>
            <w:tcBorders>
              <w:top w:val="nil"/>
              <w:left w:val="single" w:sz="8" w:space="0" w:color="auto"/>
              <w:bottom w:val="single" w:sz="4" w:space="0" w:color="auto"/>
              <w:right w:val="single" w:sz="4" w:space="0" w:color="auto"/>
            </w:tcBorders>
            <w:shd w:val="clear" w:color="auto" w:fill="auto"/>
            <w:vAlign w:val="bottom"/>
            <w:hideMark/>
          </w:tcPr>
          <w:p w14:paraId="0ED16949"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5</w:t>
            </w:r>
          </w:p>
        </w:tc>
        <w:tc>
          <w:tcPr>
            <w:tcW w:w="3220" w:type="dxa"/>
            <w:tcBorders>
              <w:top w:val="nil"/>
              <w:left w:val="nil"/>
              <w:bottom w:val="single" w:sz="4" w:space="0" w:color="auto"/>
              <w:right w:val="single" w:sz="4" w:space="0" w:color="auto"/>
            </w:tcBorders>
            <w:shd w:val="clear" w:color="auto" w:fill="auto"/>
            <w:vAlign w:val="bottom"/>
            <w:hideMark/>
          </w:tcPr>
          <w:p w14:paraId="12C0C673" w14:textId="77777777" w:rsidR="003416F9" w:rsidRPr="003416F9" w:rsidRDefault="003416F9" w:rsidP="003416F9">
            <w:pPr>
              <w:spacing w:after="0" w:line="240" w:lineRule="auto"/>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Operational Costs (operations personnel, office and vehicle costs, event and communication costs)</w:t>
            </w:r>
          </w:p>
        </w:tc>
        <w:tc>
          <w:tcPr>
            <w:tcW w:w="1056" w:type="dxa"/>
            <w:tcBorders>
              <w:top w:val="nil"/>
              <w:left w:val="nil"/>
              <w:bottom w:val="single" w:sz="4" w:space="0" w:color="auto"/>
              <w:right w:val="single" w:sz="4" w:space="0" w:color="auto"/>
            </w:tcBorders>
            <w:shd w:val="clear" w:color="auto" w:fill="auto"/>
            <w:vAlign w:val="bottom"/>
            <w:hideMark/>
          </w:tcPr>
          <w:p w14:paraId="0889F4B6"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1,140,000</w:t>
            </w:r>
          </w:p>
        </w:tc>
        <w:tc>
          <w:tcPr>
            <w:tcW w:w="1056" w:type="dxa"/>
            <w:tcBorders>
              <w:top w:val="nil"/>
              <w:left w:val="nil"/>
              <w:bottom w:val="single" w:sz="4" w:space="0" w:color="auto"/>
              <w:right w:val="single" w:sz="4" w:space="0" w:color="auto"/>
            </w:tcBorders>
            <w:shd w:val="clear" w:color="auto" w:fill="auto"/>
            <w:vAlign w:val="bottom"/>
            <w:hideMark/>
          </w:tcPr>
          <w:p w14:paraId="2F7D8FCF"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2,280,000</w:t>
            </w:r>
          </w:p>
        </w:tc>
        <w:tc>
          <w:tcPr>
            <w:tcW w:w="1057" w:type="dxa"/>
            <w:tcBorders>
              <w:top w:val="nil"/>
              <w:left w:val="nil"/>
              <w:bottom w:val="single" w:sz="4" w:space="0" w:color="auto"/>
              <w:right w:val="single" w:sz="4" w:space="0" w:color="auto"/>
            </w:tcBorders>
            <w:shd w:val="clear" w:color="auto" w:fill="auto"/>
            <w:vAlign w:val="bottom"/>
            <w:hideMark/>
          </w:tcPr>
          <w:p w14:paraId="7F02B9AF"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2,280,000</w:t>
            </w:r>
          </w:p>
        </w:tc>
        <w:tc>
          <w:tcPr>
            <w:tcW w:w="1056" w:type="dxa"/>
            <w:tcBorders>
              <w:top w:val="nil"/>
              <w:left w:val="nil"/>
              <w:bottom w:val="single" w:sz="4" w:space="0" w:color="auto"/>
              <w:right w:val="single" w:sz="4" w:space="0" w:color="auto"/>
            </w:tcBorders>
            <w:shd w:val="clear" w:color="auto" w:fill="auto"/>
            <w:vAlign w:val="bottom"/>
            <w:hideMark/>
          </w:tcPr>
          <w:p w14:paraId="269A6556"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2,280,000</w:t>
            </w:r>
          </w:p>
        </w:tc>
        <w:tc>
          <w:tcPr>
            <w:tcW w:w="1056" w:type="dxa"/>
            <w:tcBorders>
              <w:top w:val="nil"/>
              <w:left w:val="nil"/>
              <w:bottom w:val="single" w:sz="4" w:space="0" w:color="auto"/>
              <w:right w:val="single" w:sz="4" w:space="0" w:color="auto"/>
            </w:tcBorders>
            <w:shd w:val="clear" w:color="auto" w:fill="auto"/>
            <w:vAlign w:val="bottom"/>
            <w:hideMark/>
          </w:tcPr>
          <w:p w14:paraId="0C2E6A57"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2,280,000</w:t>
            </w:r>
          </w:p>
        </w:tc>
        <w:tc>
          <w:tcPr>
            <w:tcW w:w="1057" w:type="dxa"/>
            <w:tcBorders>
              <w:top w:val="nil"/>
              <w:left w:val="nil"/>
              <w:bottom w:val="single" w:sz="4" w:space="0" w:color="auto"/>
              <w:right w:val="single" w:sz="4" w:space="0" w:color="auto"/>
            </w:tcBorders>
            <w:shd w:val="clear" w:color="auto" w:fill="auto"/>
            <w:vAlign w:val="bottom"/>
            <w:hideMark/>
          </w:tcPr>
          <w:p w14:paraId="6BB233C4"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1,140,000</w:t>
            </w:r>
          </w:p>
        </w:tc>
        <w:tc>
          <w:tcPr>
            <w:tcW w:w="1222" w:type="dxa"/>
            <w:tcBorders>
              <w:top w:val="nil"/>
              <w:left w:val="nil"/>
              <w:bottom w:val="single" w:sz="4" w:space="0" w:color="auto"/>
              <w:right w:val="single" w:sz="8" w:space="0" w:color="auto"/>
            </w:tcBorders>
            <w:shd w:val="clear" w:color="auto" w:fill="auto"/>
            <w:vAlign w:val="bottom"/>
            <w:hideMark/>
          </w:tcPr>
          <w:p w14:paraId="2E78CDD5" w14:textId="77777777" w:rsidR="003416F9" w:rsidRPr="003416F9" w:rsidRDefault="003416F9" w:rsidP="003416F9">
            <w:pPr>
              <w:spacing w:after="0" w:line="240" w:lineRule="auto"/>
              <w:jc w:val="right"/>
              <w:rPr>
                <w:rFonts w:ascii="Calibri" w:eastAsia="Times New Roman" w:hAnsi="Calibri" w:cs="Times New Roman"/>
                <w:b/>
                <w:bCs/>
                <w:color w:val="000000"/>
                <w:lang w:eastAsia="en-AU"/>
              </w:rPr>
            </w:pPr>
            <w:r w:rsidRPr="003416F9">
              <w:rPr>
                <w:rFonts w:ascii="Calibri" w:eastAsia="Times New Roman" w:hAnsi="Calibri" w:cs="Times New Roman"/>
                <w:b/>
                <w:bCs/>
                <w:color w:val="000000"/>
                <w:lang w:eastAsia="en-AU"/>
              </w:rPr>
              <w:t>11,400,000</w:t>
            </w:r>
          </w:p>
        </w:tc>
      </w:tr>
      <w:tr w:rsidR="003416F9" w:rsidRPr="003416F9" w14:paraId="404F9B9A" w14:textId="77777777" w:rsidTr="003416F9">
        <w:trPr>
          <w:trHeight w:val="870"/>
        </w:trPr>
        <w:tc>
          <w:tcPr>
            <w:tcW w:w="432" w:type="dxa"/>
            <w:tcBorders>
              <w:top w:val="nil"/>
              <w:left w:val="single" w:sz="8" w:space="0" w:color="auto"/>
              <w:bottom w:val="single" w:sz="4" w:space="0" w:color="auto"/>
              <w:right w:val="single" w:sz="4" w:space="0" w:color="auto"/>
            </w:tcBorders>
            <w:shd w:val="clear" w:color="auto" w:fill="auto"/>
            <w:vAlign w:val="bottom"/>
            <w:hideMark/>
          </w:tcPr>
          <w:p w14:paraId="3A3F7044"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6</w:t>
            </w:r>
          </w:p>
        </w:tc>
        <w:tc>
          <w:tcPr>
            <w:tcW w:w="3220" w:type="dxa"/>
            <w:tcBorders>
              <w:top w:val="nil"/>
              <w:left w:val="nil"/>
              <w:bottom w:val="single" w:sz="4" w:space="0" w:color="auto"/>
              <w:right w:val="single" w:sz="4" w:space="0" w:color="auto"/>
            </w:tcBorders>
            <w:shd w:val="clear" w:color="auto" w:fill="auto"/>
            <w:vAlign w:val="bottom"/>
            <w:hideMark/>
          </w:tcPr>
          <w:p w14:paraId="2EC2A304" w14:textId="77777777" w:rsidR="003416F9" w:rsidRPr="003416F9" w:rsidRDefault="003416F9" w:rsidP="003416F9">
            <w:pPr>
              <w:spacing w:after="0" w:line="240" w:lineRule="auto"/>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Implementation Costs (implementation personnel, MRM costs, capacity development costs, intervention costs, domestic travel, TA Secretariat)</w:t>
            </w:r>
          </w:p>
        </w:tc>
        <w:tc>
          <w:tcPr>
            <w:tcW w:w="1056" w:type="dxa"/>
            <w:tcBorders>
              <w:top w:val="nil"/>
              <w:left w:val="nil"/>
              <w:bottom w:val="single" w:sz="4" w:space="0" w:color="auto"/>
              <w:right w:val="single" w:sz="4" w:space="0" w:color="auto"/>
            </w:tcBorders>
            <w:shd w:val="clear" w:color="auto" w:fill="auto"/>
            <w:vAlign w:val="bottom"/>
            <w:hideMark/>
          </w:tcPr>
          <w:p w14:paraId="7BF4A0C6"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4,751,190</w:t>
            </w:r>
          </w:p>
        </w:tc>
        <w:tc>
          <w:tcPr>
            <w:tcW w:w="1056" w:type="dxa"/>
            <w:tcBorders>
              <w:top w:val="nil"/>
              <w:left w:val="nil"/>
              <w:bottom w:val="single" w:sz="4" w:space="0" w:color="auto"/>
              <w:right w:val="single" w:sz="4" w:space="0" w:color="auto"/>
            </w:tcBorders>
            <w:shd w:val="clear" w:color="auto" w:fill="auto"/>
            <w:vAlign w:val="bottom"/>
            <w:hideMark/>
          </w:tcPr>
          <w:p w14:paraId="72C8C157"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9,502,380</w:t>
            </w:r>
          </w:p>
        </w:tc>
        <w:tc>
          <w:tcPr>
            <w:tcW w:w="1057" w:type="dxa"/>
            <w:tcBorders>
              <w:top w:val="nil"/>
              <w:left w:val="nil"/>
              <w:bottom w:val="single" w:sz="4" w:space="0" w:color="auto"/>
              <w:right w:val="single" w:sz="4" w:space="0" w:color="auto"/>
            </w:tcBorders>
            <w:shd w:val="clear" w:color="auto" w:fill="auto"/>
            <w:vAlign w:val="bottom"/>
            <w:hideMark/>
          </w:tcPr>
          <w:p w14:paraId="1AAE18B9"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9,502,380</w:t>
            </w:r>
          </w:p>
        </w:tc>
        <w:tc>
          <w:tcPr>
            <w:tcW w:w="1056" w:type="dxa"/>
            <w:tcBorders>
              <w:top w:val="nil"/>
              <w:left w:val="nil"/>
              <w:bottom w:val="single" w:sz="4" w:space="0" w:color="auto"/>
              <w:right w:val="single" w:sz="4" w:space="0" w:color="auto"/>
            </w:tcBorders>
            <w:shd w:val="clear" w:color="auto" w:fill="auto"/>
            <w:vAlign w:val="bottom"/>
            <w:hideMark/>
          </w:tcPr>
          <w:p w14:paraId="23F73D43"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9,502,380</w:t>
            </w:r>
          </w:p>
        </w:tc>
        <w:tc>
          <w:tcPr>
            <w:tcW w:w="1056" w:type="dxa"/>
            <w:tcBorders>
              <w:top w:val="nil"/>
              <w:left w:val="nil"/>
              <w:bottom w:val="single" w:sz="4" w:space="0" w:color="auto"/>
              <w:right w:val="single" w:sz="4" w:space="0" w:color="auto"/>
            </w:tcBorders>
            <w:shd w:val="clear" w:color="auto" w:fill="auto"/>
            <w:vAlign w:val="bottom"/>
            <w:hideMark/>
          </w:tcPr>
          <w:p w14:paraId="5EF5F4D3"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9,502,380</w:t>
            </w:r>
          </w:p>
        </w:tc>
        <w:tc>
          <w:tcPr>
            <w:tcW w:w="1057" w:type="dxa"/>
            <w:tcBorders>
              <w:top w:val="nil"/>
              <w:left w:val="nil"/>
              <w:bottom w:val="single" w:sz="4" w:space="0" w:color="auto"/>
              <w:right w:val="nil"/>
            </w:tcBorders>
            <w:shd w:val="clear" w:color="auto" w:fill="auto"/>
            <w:vAlign w:val="bottom"/>
            <w:hideMark/>
          </w:tcPr>
          <w:p w14:paraId="1CBE396B"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4,751,190</w:t>
            </w:r>
          </w:p>
        </w:tc>
        <w:tc>
          <w:tcPr>
            <w:tcW w:w="1222" w:type="dxa"/>
            <w:tcBorders>
              <w:top w:val="nil"/>
              <w:left w:val="single" w:sz="4" w:space="0" w:color="auto"/>
              <w:bottom w:val="single" w:sz="4" w:space="0" w:color="auto"/>
              <w:right w:val="single" w:sz="8" w:space="0" w:color="auto"/>
            </w:tcBorders>
            <w:shd w:val="clear" w:color="auto" w:fill="auto"/>
            <w:vAlign w:val="bottom"/>
            <w:hideMark/>
          </w:tcPr>
          <w:p w14:paraId="48AD6D86" w14:textId="77777777" w:rsidR="003416F9" w:rsidRPr="003416F9" w:rsidRDefault="003416F9" w:rsidP="003416F9">
            <w:pPr>
              <w:spacing w:after="0" w:line="240" w:lineRule="auto"/>
              <w:jc w:val="right"/>
              <w:rPr>
                <w:rFonts w:ascii="Calibri" w:eastAsia="Times New Roman" w:hAnsi="Calibri" w:cs="Times New Roman"/>
                <w:b/>
                <w:bCs/>
                <w:color w:val="000000"/>
                <w:lang w:eastAsia="en-AU"/>
              </w:rPr>
            </w:pPr>
            <w:r w:rsidRPr="003416F9">
              <w:rPr>
                <w:rFonts w:ascii="Calibri" w:eastAsia="Times New Roman" w:hAnsi="Calibri" w:cs="Times New Roman"/>
                <w:b/>
                <w:bCs/>
                <w:color w:val="000000"/>
                <w:lang w:eastAsia="en-AU"/>
              </w:rPr>
              <w:t>47,511,900</w:t>
            </w:r>
          </w:p>
        </w:tc>
      </w:tr>
      <w:tr w:rsidR="003416F9" w:rsidRPr="003416F9" w14:paraId="51EA9D3C" w14:textId="77777777" w:rsidTr="003416F9">
        <w:trPr>
          <w:trHeight w:val="582"/>
        </w:trPr>
        <w:tc>
          <w:tcPr>
            <w:tcW w:w="432" w:type="dxa"/>
            <w:tcBorders>
              <w:top w:val="nil"/>
              <w:left w:val="single" w:sz="8" w:space="0" w:color="auto"/>
              <w:bottom w:val="nil"/>
              <w:right w:val="single" w:sz="4" w:space="0" w:color="auto"/>
            </w:tcBorders>
            <w:shd w:val="clear" w:color="auto" w:fill="auto"/>
            <w:vAlign w:val="bottom"/>
            <w:hideMark/>
          </w:tcPr>
          <w:p w14:paraId="49112854"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7</w:t>
            </w:r>
          </w:p>
        </w:tc>
        <w:tc>
          <w:tcPr>
            <w:tcW w:w="3220" w:type="dxa"/>
            <w:tcBorders>
              <w:top w:val="nil"/>
              <w:left w:val="nil"/>
              <w:bottom w:val="nil"/>
              <w:right w:val="single" w:sz="4" w:space="0" w:color="auto"/>
            </w:tcBorders>
            <w:shd w:val="clear" w:color="auto" w:fill="auto"/>
            <w:vAlign w:val="bottom"/>
            <w:hideMark/>
          </w:tcPr>
          <w:p w14:paraId="32450000" w14:textId="77777777" w:rsidR="003416F9" w:rsidRPr="003416F9" w:rsidRDefault="003416F9" w:rsidP="003416F9">
            <w:pPr>
              <w:spacing w:after="0" w:line="240" w:lineRule="auto"/>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DFAT resources for performance management and contract administration</w:t>
            </w:r>
          </w:p>
        </w:tc>
        <w:tc>
          <w:tcPr>
            <w:tcW w:w="1056" w:type="dxa"/>
            <w:tcBorders>
              <w:top w:val="nil"/>
              <w:left w:val="nil"/>
              <w:bottom w:val="nil"/>
              <w:right w:val="single" w:sz="4" w:space="0" w:color="auto"/>
            </w:tcBorders>
            <w:shd w:val="clear" w:color="auto" w:fill="auto"/>
            <w:vAlign w:val="bottom"/>
            <w:hideMark/>
          </w:tcPr>
          <w:p w14:paraId="1C1DBF8B"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840,000</w:t>
            </w:r>
          </w:p>
        </w:tc>
        <w:tc>
          <w:tcPr>
            <w:tcW w:w="1056" w:type="dxa"/>
            <w:tcBorders>
              <w:top w:val="nil"/>
              <w:left w:val="nil"/>
              <w:bottom w:val="nil"/>
              <w:right w:val="single" w:sz="4" w:space="0" w:color="auto"/>
            </w:tcBorders>
            <w:shd w:val="clear" w:color="auto" w:fill="auto"/>
            <w:vAlign w:val="bottom"/>
            <w:hideMark/>
          </w:tcPr>
          <w:p w14:paraId="3C49EC2C"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1,330,000</w:t>
            </w:r>
          </w:p>
        </w:tc>
        <w:tc>
          <w:tcPr>
            <w:tcW w:w="1057" w:type="dxa"/>
            <w:tcBorders>
              <w:top w:val="nil"/>
              <w:left w:val="nil"/>
              <w:bottom w:val="nil"/>
              <w:right w:val="single" w:sz="4" w:space="0" w:color="auto"/>
            </w:tcBorders>
            <w:shd w:val="clear" w:color="auto" w:fill="auto"/>
            <w:vAlign w:val="bottom"/>
            <w:hideMark/>
          </w:tcPr>
          <w:p w14:paraId="7AF6220E"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1,330,000</w:t>
            </w:r>
          </w:p>
        </w:tc>
        <w:tc>
          <w:tcPr>
            <w:tcW w:w="1056" w:type="dxa"/>
            <w:tcBorders>
              <w:top w:val="nil"/>
              <w:left w:val="nil"/>
              <w:bottom w:val="nil"/>
              <w:right w:val="single" w:sz="4" w:space="0" w:color="auto"/>
            </w:tcBorders>
            <w:shd w:val="clear" w:color="auto" w:fill="auto"/>
            <w:vAlign w:val="bottom"/>
            <w:hideMark/>
          </w:tcPr>
          <w:p w14:paraId="4F857DA1"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1,330,000</w:t>
            </w:r>
          </w:p>
        </w:tc>
        <w:tc>
          <w:tcPr>
            <w:tcW w:w="1056" w:type="dxa"/>
            <w:tcBorders>
              <w:top w:val="nil"/>
              <w:left w:val="nil"/>
              <w:bottom w:val="nil"/>
              <w:right w:val="single" w:sz="4" w:space="0" w:color="auto"/>
            </w:tcBorders>
            <w:shd w:val="clear" w:color="auto" w:fill="auto"/>
            <w:vAlign w:val="bottom"/>
            <w:hideMark/>
          </w:tcPr>
          <w:p w14:paraId="4F315DC8"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1,330,000</w:t>
            </w:r>
          </w:p>
        </w:tc>
        <w:tc>
          <w:tcPr>
            <w:tcW w:w="1057" w:type="dxa"/>
            <w:tcBorders>
              <w:top w:val="nil"/>
              <w:left w:val="nil"/>
              <w:bottom w:val="nil"/>
              <w:right w:val="single" w:sz="4" w:space="0" w:color="auto"/>
            </w:tcBorders>
            <w:shd w:val="clear" w:color="auto" w:fill="auto"/>
            <w:vAlign w:val="bottom"/>
            <w:hideMark/>
          </w:tcPr>
          <w:p w14:paraId="33E7A8C2" w14:textId="77777777" w:rsidR="003416F9" w:rsidRPr="003416F9" w:rsidRDefault="003416F9" w:rsidP="003416F9">
            <w:pPr>
              <w:spacing w:after="0" w:line="240" w:lineRule="auto"/>
              <w:jc w:val="right"/>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840,000</w:t>
            </w:r>
          </w:p>
        </w:tc>
        <w:tc>
          <w:tcPr>
            <w:tcW w:w="1222" w:type="dxa"/>
            <w:tcBorders>
              <w:top w:val="nil"/>
              <w:left w:val="nil"/>
              <w:bottom w:val="single" w:sz="4" w:space="0" w:color="auto"/>
              <w:right w:val="single" w:sz="8" w:space="0" w:color="auto"/>
            </w:tcBorders>
            <w:shd w:val="clear" w:color="auto" w:fill="auto"/>
            <w:vAlign w:val="bottom"/>
            <w:hideMark/>
          </w:tcPr>
          <w:p w14:paraId="5941F1EB" w14:textId="77777777" w:rsidR="003416F9" w:rsidRPr="003416F9" w:rsidRDefault="003416F9" w:rsidP="003416F9">
            <w:pPr>
              <w:spacing w:after="0" w:line="240" w:lineRule="auto"/>
              <w:jc w:val="right"/>
              <w:rPr>
                <w:rFonts w:ascii="Calibri" w:eastAsia="Times New Roman" w:hAnsi="Calibri" w:cs="Times New Roman"/>
                <w:b/>
                <w:bCs/>
                <w:color w:val="000000"/>
                <w:lang w:eastAsia="en-AU"/>
              </w:rPr>
            </w:pPr>
            <w:r w:rsidRPr="003416F9">
              <w:rPr>
                <w:rFonts w:ascii="Calibri" w:eastAsia="Times New Roman" w:hAnsi="Calibri" w:cs="Times New Roman"/>
                <w:b/>
                <w:bCs/>
                <w:color w:val="000000"/>
                <w:lang w:eastAsia="en-AU"/>
              </w:rPr>
              <w:t>7,000,000</w:t>
            </w:r>
          </w:p>
        </w:tc>
      </w:tr>
      <w:tr w:rsidR="003416F9" w:rsidRPr="003416F9" w14:paraId="2B041A28" w14:textId="77777777" w:rsidTr="003416F9">
        <w:trPr>
          <w:trHeight w:val="300"/>
        </w:trPr>
        <w:tc>
          <w:tcPr>
            <w:tcW w:w="432" w:type="dxa"/>
            <w:tcBorders>
              <w:top w:val="single" w:sz="4" w:space="0" w:color="auto"/>
              <w:left w:val="single" w:sz="8" w:space="0" w:color="auto"/>
              <w:bottom w:val="single" w:sz="8" w:space="0" w:color="auto"/>
              <w:right w:val="single" w:sz="4" w:space="0" w:color="auto"/>
            </w:tcBorders>
            <w:shd w:val="clear" w:color="000000" w:fill="D9D9D9"/>
            <w:noWrap/>
            <w:vAlign w:val="bottom"/>
            <w:hideMark/>
          </w:tcPr>
          <w:p w14:paraId="309EF0F9" w14:textId="77777777" w:rsidR="003416F9" w:rsidRPr="003416F9" w:rsidRDefault="003416F9" w:rsidP="003416F9">
            <w:pPr>
              <w:spacing w:after="0" w:line="240" w:lineRule="auto"/>
              <w:rPr>
                <w:rFonts w:ascii="Calibri" w:eastAsia="Times New Roman" w:hAnsi="Calibri" w:cs="Times New Roman"/>
                <w:color w:val="000000"/>
                <w:sz w:val="18"/>
                <w:szCs w:val="18"/>
                <w:lang w:eastAsia="en-AU"/>
              </w:rPr>
            </w:pPr>
            <w:r w:rsidRPr="003416F9">
              <w:rPr>
                <w:rFonts w:ascii="Calibri" w:eastAsia="Times New Roman" w:hAnsi="Calibri" w:cs="Times New Roman"/>
                <w:color w:val="000000"/>
                <w:sz w:val="18"/>
                <w:szCs w:val="18"/>
                <w:lang w:eastAsia="en-AU"/>
              </w:rPr>
              <w:t> </w:t>
            </w:r>
          </w:p>
        </w:tc>
        <w:tc>
          <w:tcPr>
            <w:tcW w:w="3220" w:type="dxa"/>
            <w:tcBorders>
              <w:top w:val="single" w:sz="4" w:space="0" w:color="auto"/>
              <w:left w:val="nil"/>
              <w:bottom w:val="single" w:sz="8" w:space="0" w:color="auto"/>
              <w:right w:val="single" w:sz="4" w:space="0" w:color="auto"/>
            </w:tcBorders>
            <w:shd w:val="clear" w:color="000000" w:fill="D9D9D9"/>
            <w:noWrap/>
            <w:vAlign w:val="bottom"/>
            <w:hideMark/>
          </w:tcPr>
          <w:p w14:paraId="5C8F42B1" w14:textId="77777777" w:rsidR="003416F9" w:rsidRPr="003416F9" w:rsidRDefault="003416F9" w:rsidP="003416F9">
            <w:pPr>
              <w:spacing w:after="0" w:line="240" w:lineRule="auto"/>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Total</w:t>
            </w:r>
          </w:p>
        </w:tc>
        <w:tc>
          <w:tcPr>
            <w:tcW w:w="1056" w:type="dxa"/>
            <w:tcBorders>
              <w:top w:val="single" w:sz="4" w:space="0" w:color="auto"/>
              <w:left w:val="nil"/>
              <w:bottom w:val="single" w:sz="8" w:space="0" w:color="auto"/>
              <w:right w:val="single" w:sz="4" w:space="0" w:color="auto"/>
            </w:tcBorders>
            <w:shd w:val="clear" w:color="000000" w:fill="D9D9D9"/>
            <w:noWrap/>
            <w:vAlign w:val="bottom"/>
            <w:hideMark/>
          </w:tcPr>
          <w:p w14:paraId="7EFE7004" w14:textId="77777777" w:rsidR="003416F9" w:rsidRPr="003416F9" w:rsidRDefault="003416F9" w:rsidP="003416F9">
            <w:pPr>
              <w:spacing w:after="0" w:line="240" w:lineRule="auto"/>
              <w:jc w:val="right"/>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9,611,852</w:t>
            </w:r>
          </w:p>
        </w:tc>
        <w:tc>
          <w:tcPr>
            <w:tcW w:w="1056" w:type="dxa"/>
            <w:tcBorders>
              <w:top w:val="single" w:sz="4" w:space="0" w:color="auto"/>
              <w:left w:val="nil"/>
              <w:bottom w:val="single" w:sz="8" w:space="0" w:color="auto"/>
              <w:right w:val="single" w:sz="4" w:space="0" w:color="auto"/>
            </w:tcBorders>
            <w:shd w:val="clear" w:color="000000" w:fill="D9D9D9"/>
            <w:noWrap/>
            <w:vAlign w:val="bottom"/>
            <w:hideMark/>
          </w:tcPr>
          <w:p w14:paraId="021C42FE" w14:textId="77777777" w:rsidR="003416F9" w:rsidRPr="003416F9" w:rsidRDefault="003416F9" w:rsidP="003416F9">
            <w:pPr>
              <w:spacing w:after="0" w:line="240" w:lineRule="auto"/>
              <w:jc w:val="right"/>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17,999,653</w:t>
            </w:r>
          </w:p>
        </w:tc>
        <w:tc>
          <w:tcPr>
            <w:tcW w:w="1057" w:type="dxa"/>
            <w:tcBorders>
              <w:top w:val="single" w:sz="4" w:space="0" w:color="auto"/>
              <w:left w:val="nil"/>
              <w:bottom w:val="single" w:sz="8" w:space="0" w:color="auto"/>
              <w:right w:val="single" w:sz="4" w:space="0" w:color="auto"/>
            </w:tcBorders>
            <w:shd w:val="clear" w:color="000000" w:fill="D9D9D9"/>
            <w:noWrap/>
            <w:vAlign w:val="bottom"/>
            <w:hideMark/>
          </w:tcPr>
          <w:p w14:paraId="1142AF37" w14:textId="77777777" w:rsidR="003416F9" w:rsidRPr="003416F9" w:rsidRDefault="003416F9" w:rsidP="003416F9">
            <w:pPr>
              <w:spacing w:after="0" w:line="240" w:lineRule="auto"/>
              <w:jc w:val="right"/>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18,971,020</w:t>
            </w:r>
          </w:p>
        </w:tc>
        <w:tc>
          <w:tcPr>
            <w:tcW w:w="1056" w:type="dxa"/>
            <w:tcBorders>
              <w:top w:val="single" w:sz="4" w:space="0" w:color="auto"/>
              <w:left w:val="nil"/>
              <w:bottom w:val="single" w:sz="8" w:space="0" w:color="auto"/>
              <w:right w:val="single" w:sz="4" w:space="0" w:color="auto"/>
            </w:tcBorders>
            <w:shd w:val="clear" w:color="000000" w:fill="D9D9D9"/>
            <w:noWrap/>
            <w:vAlign w:val="bottom"/>
            <w:hideMark/>
          </w:tcPr>
          <w:p w14:paraId="46489983" w14:textId="77777777" w:rsidR="003416F9" w:rsidRPr="003416F9" w:rsidRDefault="003416F9" w:rsidP="003416F9">
            <w:pPr>
              <w:spacing w:after="0" w:line="240" w:lineRule="auto"/>
              <w:jc w:val="right"/>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19,183,852</w:t>
            </w:r>
          </w:p>
        </w:tc>
        <w:tc>
          <w:tcPr>
            <w:tcW w:w="1056" w:type="dxa"/>
            <w:tcBorders>
              <w:top w:val="single" w:sz="4" w:space="0" w:color="auto"/>
              <w:left w:val="nil"/>
              <w:bottom w:val="single" w:sz="8" w:space="0" w:color="auto"/>
              <w:right w:val="single" w:sz="4" w:space="0" w:color="auto"/>
            </w:tcBorders>
            <w:shd w:val="clear" w:color="000000" w:fill="D9D9D9"/>
            <w:noWrap/>
            <w:vAlign w:val="bottom"/>
            <w:hideMark/>
          </w:tcPr>
          <w:p w14:paraId="6A3620D6" w14:textId="77777777" w:rsidR="003416F9" w:rsidRPr="003416F9" w:rsidRDefault="003416F9" w:rsidP="003416F9">
            <w:pPr>
              <w:spacing w:after="0" w:line="240" w:lineRule="auto"/>
              <w:jc w:val="right"/>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19,151,952</w:t>
            </w:r>
          </w:p>
        </w:tc>
        <w:tc>
          <w:tcPr>
            <w:tcW w:w="1057" w:type="dxa"/>
            <w:tcBorders>
              <w:top w:val="single" w:sz="4" w:space="0" w:color="auto"/>
              <w:left w:val="nil"/>
              <w:bottom w:val="single" w:sz="8" w:space="0" w:color="auto"/>
              <w:right w:val="single" w:sz="4" w:space="0" w:color="auto"/>
            </w:tcBorders>
            <w:shd w:val="clear" w:color="000000" w:fill="D9D9D9"/>
            <w:noWrap/>
            <w:vAlign w:val="bottom"/>
            <w:hideMark/>
          </w:tcPr>
          <w:p w14:paraId="3996A150" w14:textId="77777777" w:rsidR="003416F9" w:rsidRPr="003416F9" w:rsidRDefault="003416F9" w:rsidP="003416F9">
            <w:pPr>
              <w:spacing w:after="0" w:line="240" w:lineRule="auto"/>
              <w:jc w:val="right"/>
              <w:rPr>
                <w:rFonts w:ascii="Calibri" w:eastAsia="Times New Roman" w:hAnsi="Calibri" w:cs="Times New Roman"/>
                <w:b/>
                <w:bCs/>
                <w:color w:val="000000"/>
                <w:sz w:val="18"/>
                <w:szCs w:val="18"/>
                <w:lang w:eastAsia="en-AU"/>
              </w:rPr>
            </w:pPr>
            <w:r w:rsidRPr="003416F9">
              <w:rPr>
                <w:rFonts w:ascii="Calibri" w:eastAsia="Times New Roman" w:hAnsi="Calibri" w:cs="Times New Roman"/>
                <w:b/>
                <w:bCs/>
                <w:color w:val="000000"/>
                <w:sz w:val="18"/>
                <w:szCs w:val="18"/>
                <w:lang w:eastAsia="en-AU"/>
              </w:rPr>
              <w:t>10,081,672</w:t>
            </w:r>
          </w:p>
        </w:tc>
        <w:tc>
          <w:tcPr>
            <w:tcW w:w="1222" w:type="dxa"/>
            <w:tcBorders>
              <w:top w:val="nil"/>
              <w:left w:val="nil"/>
              <w:bottom w:val="single" w:sz="8" w:space="0" w:color="auto"/>
              <w:right w:val="single" w:sz="8" w:space="0" w:color="auto"/>
            </w:tcBorders>
            <w:shd w:val="clear" w:color="000000" w:fill="D9D9D9"/>
            <w:noWrap/>
            <w:vAlign w:val="bottom"/>
            <w:hideMark/>
          </w:tcPr>
          <w:p w14:paraId="62B73F4B" w14:textId="77777777" w:rsidR="003416F9" w:rsidRPr="003416F9" w:rsidRDefault="003416F9" w:rsidP="003416F9">
            <w:pPr>
              <w:spacing w:after="0" w:line="240" w:lineRule="auto"/>
              <w:jc w:val="right"/>
              <w:rPr>
                <w:rFonts w:ascii="Calibri" w:eastAsia="Times New Roman" w:hAnsi="Calibri" w:cs="Times New Roman"/>
                <w:b/>
                <w:bCs/>
                <w:color w:val="000000"/>
                <w:lang w:eastAsia="en-AU"/>
              </w:rPr>
            </w:pPr>
            <w:r w:rsidRPr="003416F9">
              <w:rPr>
                <w:rFonts w:ascii="Calibri" w:eastAsia="Times New Roman" w:hAnsi="Calibri" w:cs="Times New Roman"/>
                <w:b/>
                <w:bCs/>
                <w:color w:val="000000"/>
                <w:lang w:eastAsia="en-AU"/>
              </w:rPr>
              <w:t>95,000,000</w:t>
            </w:r>
          </w:p>
        </w:tc>
      </w:tr>
    </w:tbl>
    <w:tbl>
      <w:tblPr>
        <w:tblpPr w:leftFromText="180" w:rightFromText="180" w:vertAnchor="text" w:tblpY="1"/>
        <w:tblOverlap w:val="never"/>
        <w:tblW w:w="10883" w:type="dxa"/>
        <w:tblInd w:w="-710" w:type="dxa"/>
        <w:tblLook w:val="04A0" w:firstRow="1" w:lastRow="0" w:firstColumn="1" w:lastColumn="0" w:noHBand="0" w:noVBand="1"/>
      </w:tblPr>
      <w:tblGrid>
        <w:gridCol w:w="408"/>
        <w:gridCol w:w="3529"/>
        <w:gridCol w:w="992"/>
        <w:gridCol w:w="992"/>
        <w:gridCol w:w="142"/>
        <w:gridCol w:w="851"/>
        <w:gridCol w:w="992"/>
        <w:gridCol w:w="992"/>
        <w:gridCol w:w="992"/>
        <w:gridCol w:w="993"/>
      </w:tblGrid>
      <w:tr w:rsidR="00612E16" w:rsidRPr="00612E16" w14:paraId="31488242" w14:textId="77777777" w:rsidTr="003416F9">
        <w:trPr>
          <w:trHeight w:val="60"/>
        </w:trPr>
        <w:tc>
          <w:tcPr>
            <w:tcW w:w="408" w:type="dxa"/>
            <w:tcBorders>
              <w:top w:val="nil"/>
              <w:left w:val="nil"/>
              <w:bottom w:val="nil"/>
              <w:right w:val="nil"/>
            </w:tcBorders>
            <w:shd w:val="clear" w:color="auto" w:fill="auto"/>
            <w:noWrap/>
            <w:vAlign w:val="bottom"/>
            <w:hideMark/>
          </w:tcPr>
          <w:p w14:paraId="423B0756" w14:textId="77777777" w:rsidR="00612E16" w:rsidRPr="00612E16" w:rsidRDefault="00612E16" w:rsidP="003416F9">
            <w:pPr>
              <w:rPr>
                <w:rFonts w:ascii="Calibri" w:eastAsia="Times New Roman" w:hAnsi="Calibri" w:cs="Times New Roman"/>
                <w:color w:val="000000"/>
                <w:sz w:val="16"/>
                <w:szCs w:val="16"/>
                <w:lang w:eastAsia="en-AU"/>
              </w:rPr>
            </w:pPr>
          </w:p>
        </w:tc>
        <w:tc>
          <w:tcPr>
            <w:tcW w:w="3529" w:type="dxa"/>
            <w:tcBorders>
              <w:top w:val="nil"/>
              <w:left w:val="nil"/>
              <w:bottom w:val="nil"/>
              <w:right w:val="nil"/>
            </w:tcBorders>
            <w:shd w:val="clear" w:color="auto" w:fill="auto"/>
            <w:noWrap/>
            <w:vAlign w:val="bottom"/>
            <w:hideMark/>
          </w:tcPr>
          <w:p w14:paraId="55E21512" w14:textId="77777777" w:rsidR="00612E16" w:rsidRDefault="00612E16" w:rsidP="003416F9">
            <w:pPr>
              <w:spacing w:after="0" w:line="240" w:lineRule="auto"/>
              <w:rPr>
                <w:rFonts w:ascii="Calibri" w:eastAsia="Times New Roman" w:hAnsi="Calibri" w:cs="Times New Roman"/>
                <w:b/>
                <w:bCs/>
                <w:color w:val="000000"/>
                <w:sz w:val="16"/>
                <w:szCs w:val="16"/>
                <w:lang w:eastAsia="en-AU"/>
              </w:rPr>
            </w:pPr>
          </w:p>
          <w:p w14:paraId="440C92A7" w14:textId="77777777" w:rsidR="003416F9" w:rsidRDefault="003416F9" w:rsidP="003416F9">
            <w:pPr>
              <w:spacing w:after="0" w:line="240" w:lineRule="auto"/>
              <w:rPr>
                <w:rFonts w:ascii="Calibri" w:eastAsia="Times New Roman" w:hAnsi="Calibri" w:cs="Times New Roman"/>
                <w:b/>
                <w:bCs/>
                <w:color w:val="000000"/>
                <w:sz w:val="16"/>
                <w:szCs w:val="16"/>
                <w:lang w:eastAsia="en-AU"/>
              </w:rPr>
            </w:pPr>
          </w:p>
          <w:p w14:paraId="3162E03E" w14:textId="77777777" w:rsidR="003416F9" w:rsidRDefault="003416F9" w:rsidP="003416F9">
            <w:pPr>
              <w:spacing w:after="0" w:line="240" w:lineRule="auto"/>
              <w:rPr>
                <w:rFonts w:ascii="Calibri" w:eastAsia="Times New Roman" w:hAnsi="Calibri" w:cs="Times New Roman"/>
                <w:b/>
                <w:bCs/>
                <w:color w:val="000000"/>
                <w:sz w:val="16"/>
                <w:szCs w:val="16"/>
                <w:lang w:eastAsia="en-AU"/>
              </w:rPr>
            </w:pPr>
          </w:p>
          <w:p w14:paraId="6D953C17" w14:textId="77777777" w:rsidR="003416F9" w:rsidRPr="00612E16" w:rsidRDefault="003416F9" w:rsidP="003416F9">
            <w:pPr>
              <w:spacing w:after="0" w:line="240" w:lineRule="auto"/>
              <w:rPr>
                <w:rFonts w:ascii="Calibri" w:eastAsia="Times New Roman" w:hAnsi="Calibri" w:cs="Times New Roman"/>
                <w:b/>
                <w:bCs/>
                <w:color w:val="000000"/>
                <w:sz w:val="16"/>
                <w:szCs w:val="16"/>
                <w:lang w:eastAsia="en-AU"/>
              </w:rPr>
            </w:pPr>
          </w:p>
        </w:tc>
        <w:tc>
          <w:tcPr>
            <w:tcW w:w="992" w:type="dxa"/>
            <w:tcBorders>
              <w:top w:val="nil"/>
              <w:left w:val="nil"/>
              <w:bottom w:val="nil"/>
              <w:right w:val="nil"/>
            </w:tcBorders>
            <w:shd w:val="clear" w:color="auto" w:fill="auto"/>
            <w:noWrap/>
            <w:vAlign w:val="bottom"/>
            <w:hideMark/>
          </w:tcPr>
          <w:p w14:paraId="61BC1496" w14:textId="77777777" w:rsidR="00612E16" w:rsidRDefault="00612E16" w:rsidP="003416F9">
            <w:pPr>
              <w:spacing w:after="0" w:line="240" w:lineRule="auto"/>
              <w:rPr>
                <w:rFonts w:ascii="Calibri" w:eastAsia="Times New Roman" w:hAnsi="Calibri" w:cs="Times New Roman"/>
                <w:b/>
                <w:bCs/>
                <w:color w:val="000000"/>
                <w:sz w:val="16"/>
                <w:szCs w:val="16"/>
                <w:lang w:eastAsia="en-AU"/>
              </w:rPr>
            </w:pPr>
          </w:p>
          <w:p w14:paraId="076EAB97" w14:textId="77777777" w:rsidR="003416F9" w:rsidRDefault="003416F9" w:rsidP="003416F9">
            <w:pPr>
              <w:spacing w:after="0" w:line="240" w:lineRule="auto"/>
              <w:rPr>
                <w:rFonts w:ascii="Calibri" w:eastAsia="Times New Roman" w:hAnsi="Calibri" w:cs="Times New Roman"/>
                <w:b/>
                <w:bCs/>
                <w:color w:val="000000"/>
                <w:sz w:val="16"/>
                <w:szCs w:val="16"/>
                <w:lang w:eastAsia="en-AU"/>
              </w:rPr>
            </w:pPr>
          </w:p>
          <w:p w14:paraId="205FB8A4" w14:textId="77777777" w:rsidR="003416F9" w:rsidRDefault="003416F9" w:rsidP="003416F9">
            <w:pPr>
              <w:spacing w:after="0" w:line="240" w:lineRule="auto"/>
              <w:rPr>
                <w:rFonts w:ascii="Calibri" w:eastAsia="Times New Roman" w:hAnsi="Calibri" w:cs="Times New Roman"/>
                <w:b/>
                <w:bCs/>
                <w:color w:val="000000"/>
                <w:sz w:val="16"/>
                <w:szCs w:val="16"/>
                <w:lang w:eastAsia="en-AU"/>
              </w:rPr>
            </w:pPr>
          </w:p>
          <w:p w14:paraId="3BB98551" w14:textId="77777777" w:rsidR="003416F9" w:rsidRDefault="003416F9" w:rsidP="003416F9">
            <w:pPr>
              <w:spacing w:after="0" w:line="240" w:lineRule="auto"/>
              <w:rPr>
                <w:rFonts w:ascii="Calibri" w:eastAsia="Times New Roman" w:hAnsi="Calibri" w:cs="Times New Roman"/>
                <w:b/>
                <w:bCs/>
                <w:color w:val="000000"/>
                <w:sz w:val="16"/>
                <w:szCs w:val="16"/>
                <w:lang w:eastAsia="en-AU"/>
              </w:rPr>
            </w:pPr>
          </w:p>
          <w:p w14:paraId="112F33FF" w14:textId="77777777" w:rsidR="003416F9" w:rsidRPr="00612E16" w:rsidRDefault="003416F9" w:rsidP="003416F9">
            <w:pPr>
              <w:spacing w:after="0" w:line="240" w:lineRule="auto"/>
              <w:rPr>
                <w:rFonts w:ascii="Calibri" w:eastAsia="Times New Roman" w:hAnsi="Calibri" w:cs="Times New Roman"/>
                <w:b/>
                <w:bCs/>
                <w:color w:val="000000"/>
                <w:sz w:val="16"/>
                <w:szCs w:val="16"/>
                <w:lang w:eastAsia="en-AU"/>
              </w:rPr>
            </w:pPr>
          </w:p>
        </w:tc>
        <w:tc>
          <w:tcPr>
            <w:tcW w:w="992" w:type="dxa"/>
            <w:tcBorders>
              <w:top w:val="nil"/>
              <w:left w:val="nil"/>
              <w:bottom w:val="nil"/>
              <w:right w:val="nil"/>
            </w:tcBorders>
            <w:shd w:val="clear" w:color="auto" w:fill="auto"/>
            <w:noWrap/>
            <w:vAlign w:val="bottom"/>
            <w:hideMark/>
          </w:tcPr>
          <w:p w14:paraId="5AEA77DB" w14:textId="77777777" w:rsidR="00612E16" w:rsidRPr="00612E16" w:rsidRDefault="00612E16" w:rsidP="003416F9">
            <w:pPr>
              <w:spacing w:after="0" w:line="240" w:lineRule="auto"/>
              <w:rPr>
                <w:rFonts w:ascii="Calibri" w:eastAsia="Times New Roman" w:hAnsi="Calibri" w:cs="Times New Roman"/>
                <w:b/>
                <w:bCs/>
                <w:color w:val="000000"/>
                <w:sz w:val="16"/>
                <w:szCs w:val="16"/>
                <w:lang w:eastAsia="en-AU"/>
              </w:rPr>
            </w:pPr>
          </w:p>
        </w:tc>
        <w:tc>
          <w:tcPr>
            <w:tcW w:w="993" w:type="dxa"/>
            <w:gridSpan w:val="2"/>
            <w:tcBorders>
              <w:top w:val="nil"/>
              <w:left w:val="nil"/>
              <w:bottom w:val="nil"/>
              <w:right w:val="nil"/>
            </w:tcBorders>
            <w:shd w:val="clear" w:color="auto" w:fill="auto"/>
            <w:noWrap/>
            <w:vAlign w:val="bottom"/>
            <w:hideMark/>
          </w:tcPr>
          <w:p w14:paraId="7004EB91" w14:textId="77777777" w:rsidR="00612E16" w:rsidRPr="00612E16" w:rsidRDefault="00612E16" w:rsidP="003416F9">
            <w:pPr>
              <w:spacing w:after="0" w:line="240" w:lineRule="auto"/>
              <w:rPr>
                <w:rFonts w:ascii="Calibri" w:eastAsia="Times New Roman" w:hAnsi="Calibri" w:cs="Times New Roman"/>
                <w:b/>
                <w:bCs/>
                <w:color w:val="000000"/>
                <w:sz w:val="16"/>
                <w:szCs w:val="16"/>
                <w:lang w:eastAsia="en-AU"/>
              </w:rPr>
            </w:pPr>
          </w:p>
        </w:tc>
        <w:tc>
          <w:tcPr>
            <w:tcW w:w="992" w:type="dxa"/>
            <w:tcBorders>
              <w:top w:val="nil"/>
              <w:left w:val="nil"/>
              <w:bottom w:val="nil"/>
              <w:right w:val="nil"/>
            </w:tcBorders>
            <w:shd w:val="clear" w:color="auto" w:fill="auto"/>
            <w:noWrap/>
            <w:vAlign w:val="bottom"/>
            <w:hideMark/>
          </w:tcPr>
          <w:p w14:paraId="07CDFFCF" w14:textId="77777777" w:rsidR="00612E16" w:rsidRPr="00612E16" w:rsidRDefault="00612E16" w:rsidP="003416F9">
            <w:pPr>
              <w:spacing w:after="0" w:line="240" w:lineRule="auto"/>
              <w:rPr>
                <w:rFonts w:ascii="Calibri" w:eastAsia="Times New Roman" w:hAnsi="Calibri" w:cs="Times New Roman"/>
                <w:b/>
                <w:bCs/>
                <w:color w:val="000000"/>
                <w:sz w:val="16"/>
                <w:szCs w:val="16"/>
                <w:lang w:eastAsia="en-AU"/>
              </w:rPr>
            </w:pPr>
          </w:p>
        </w:tc>
        <w:tc>
          <w:tcPr>
            <w:tcW w:w="992" w:type="dxa"/>
            <w:tcBorders>
              <w:top w:val="nil"/>
              <w:left w:val="nil"/>
              <w:bottom w:val="nil"/>
              <w:right w:val="nil"/>
            </w:tcBorders>
            <w:shd w:val="clear" w:color="auto" w:fill="auto"/>
            <w:noWrap/>
            <w:vAlign w:val="bottom"/>
          </w:tcPr>
          <w:p w14:paraId="04DB4B7F" w14:textId="77777777" w:rsidR="00612E16" w:rsidRPr="00612E16" w:rsidRDefault="00612E16" w:rsidP="003416F9">
            <w:pPr>
              <w:spacing w:after="0" w:line="240" w:lineRule="auto"/>
              <w:rPr>
                <w:rFonts w:ascii="Calibri" w:eastAsia="Times New Roman" w:hAnsi="Calibri" w:cs="Times New Roman"/>
                <w:b/>
                <w:bCs/>
                <w:color w:val="000000"/>
                <w:sz w:val="16"/>
                <w:szCs w:val="16"/>
                <w:lang w:eastAsia="en-AU"/>
              </w:rPr>
            </w:pPr>
          </w:p>
        </w:tc>
        <w:tc>
          <w:tcPr>
            <w:tcW w:w="992" w:type="dxa"/>
            <w:tcBorders>
              <w:top w:val="nil"/>
              <w:left w:val="nil"/>
              <w:bottom w:val="nil"/>
              <w:right w:val="nil"/>
            </w:tcBorders>
            <w:shd w:val="clear" w:color="auto" w:fill="auto"/>
            <w:noWrap/>
            <w:vAlign w:val="bottom"/>
          </w:tcPr>
          <w:p w14:paraId="6BEBE974" w14:textId="4ADA6697" w:rsidR="00612E16" w:rsidRPr="00612E16" w:rsidRDefault="00612E16" w:rsidP="003416F9">
            <w:pPr>
              <w:spacing w:after="0" w:line="240" w:lineRule="auto"/>
              <w:rPr>
                <w:rFonts w:ascii="Calibri" w:eastAsia="Times New Roman" w:hAnsi="Calibri" w:cs="Times New Roman"/>
                <w:b/>
                <w:bCs/>
                <w:color w:val="000000"/>
                <w:sz w:val="16"/>
                <w:szCs w:val="16"/>
                <w:lang w:eastAsia="en-AU"/>
              </w:rPr>
            </w:pPr>
          </w:p>
        </w:tc>
        <w:tc>
          <w:tcPr>
            <w:tcW w:w="993" w:type="dxa"/>
            <w:tcBorders>
              <w:top w:val="nil"/>
              <w:left w:val="nil"/>
              <w:bottom w:val="nil"/>
              <w:right w:val="nil"/>
            </w:tcBorders>
            <w:shd w:val="clear" w:color="auto" w:fill="auto"/>
            <w:noWrap/>
            <w:vAlign w:val="bottom"/>
          </w:tcPr>
          <w:p w14:paraId="5467E852" w14:textId="745A64D0" w:rsidR="00612E16" w:rsidRPr="00612E16" w:rsidRDefault="00612E16" w:rsidP="003416F9">
            <w:pPr>
              <w:spacing w:after="0" w:line="240" w:lineRule="auto"/>
              <w:rPr>
                <w:rFonts w:ascii="Calibri" w:eastAsia="Times New Roman" w:hAnsi="Calibri" w:cs="Times New Roman"/>
                <w:b/>
                <w:bCs/>
                <w:color w:val="000000"/>
                <w:sz w:val="16"/>
                <w:szCs w:val="16"/>
                <w:lang w:eastAsia="en-AU"/>
              </w:rPr>
            </w:pPr>
          </w:p>
        </w:tc>
      </w:tr>
      <w:tr w:rsidR="00612E16" w:rsidRPr="00612E16" w14:paraId="75F98803" w14:textId="77777777" w:rsidTr="003416F9">
        <w:trPr>
          <w:trHeight w:val="289"/>
        </w:trPr>
        <w:tc>
          <w:tcPr>
            <w:tcW w:w="408" w:type="dxa"/>
            <w:tcBorders>
              <w:top w:val="nil"/>
              <w:left w:val="nil"/>
              <w:bottom w:val="nil"/>
              <w:right w:val="nil"/>
            </w:tcBorders>
            <w:shd w:val="clear" w:color="auto" w:fill="auto"/>
            <w:noWrap/>
            <w:vAlign w:val="bottom"/>
            <w:hideMark/>
          </w:tcPr>
          <w:p w14:paraId="0188B270"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c>
          <w:tcPr>
            <w:tcW w:w="3529" w:type="dxa"/>
            <w:tcBorders>
              <w:top w:val="nil"/>
              <w:left w:val="nil"/>
              <w:bottom w:val="nil"/>
              <w:right w:val="nil"/>
            </w:tcBorders>
            <w:shd w:val="clear" w:color="auto" w:fill="auto"/>
            <w:noWrap/>
            <w:vAlign w:val="bottom"/>
            <w:hideMark/>
          </w:tcPr>
          <w:p w14:paraId="7432367F" w14:textId="77777777" w:rsidR="00612E16" w:rsidRPr="00612E16" w:rsidRDefault="00612E16" w:rsidP="003416F9">
            <w:pPr>
              <w:spacing w:after="0" w:line="240" w:lineRule="auto"/>
              <w:rPr>
                <w:rFonts w:ascii="Calibri" w:eastAsia="Times New Roman" w:hAnsi="Calibri" w:cs="Times New Roman"/>
                <w:b/>
                <w:bCs/>
                <w:color w:val="000000"/>
                <w:sz w:val="16"/>
                <w:szCs w:val="16"/>
                <w:lang w:eastAsia="en-AU"/>
              </w:rPr>
            </w:pPr>
            <w:r w:rsidRPr="00612E16">
              <w:rPr>
                <w:rFonts w:ascii="Calibri" w:eastAsia="Times New Roman" w:hAnsi="Calibri" w:cs="Times New Roman"/>
                <w:b/>
                <w:bCs/>
                <w:color w:val="000000"/>
                <w:sz w:val="16"/>
                <w:szCs w:val="16"/>
                <w:lang w:eastAsia="en-AU"/>
              </w:rPr>
              <w:t>Notes:</w:t>
            </w:r>
          </w:p>
        </w:tc>
        <w:tc>
          <w:tcPr>
            <w:tcW w:w="992" w:type="dxa"/>
            <w:tcBorders>
              <w:top w:val="nil"/>
              <w:left w:val="nil"/>
              <w:bottom w:val="nil"/>
              <w:right w:val="nil"/>
            </w:tcBorders>
            <w:shd w:val="clear" w:color="auto" w:fill="auto"/>
            <w:noWrap/>
            <w:vAlign w:val="bottom"/>
            <w:hideMark/>
          </w:tcPr>
          <w:p w14:paraId="45618EBD"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c>
          <w:tcPr>
            <w:tcW w:w="992" w:type="dxa"/>
            <w:tcBorders>
              <w:top w:val="nil"/>
              <w:left w:val="nil"/>
              <w:bottom w:val="nil"/>
              <w:right w:val="nil"/>
            </w:tcBorders>
            <w:shd w:val="clear" w:color="auto" w:fill="auto"/>
            <w:noWrap/>
            <w:vAlign w:val="bottom"/>
            <w:hideMark/>
          </w:tcPr>
          <w:p w14:paraId="4AADBD8E"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c>
          <w:tcPr>
            <w:tcW w:w="993" w:type="dxa"/>
            <w:gridSpan w:val="2"/>
            <w:tcBorders>
              <w:top w:val="nil"/>
              <w:left w:val="nil"/>
              <w:bottom w:val="nil"/>
              <w:right w:val="nil"/>
            </w:tcBorders>
            <w:shd w:val="clear" w:color="auto" w:fill="auto"/>
            <w:noWrap/>
            <w:vAlign w:val="bottom"/>
            <w:hideMark/>
          </w:tcPr>
          <w:p w14:paraId="064DC2B6"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c>
          <w:tcPr>
            <w:tcW w:w="992" w:type="dxa"/>
            <w:tcBorders>
              <w:top w:val="nil"/>
              <w:left w:val="nil"/>
              <w:bottom w:val="nil"/>
              <w:right w:val="nil"/>
            </w:tcBorders>
            <w:shd w:val="clear" w:color="auto" w:fill="auto"/>
            <w:noWrap/>
            <w:vAlign w:val="bottom"/>
            <w:hideMark/>
          </w:tcPr>
          <w:p w14:paraId="70337696"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c>
          <w:tcPr>
            <w:tcW w:w="992" w:type="dxa"/>
            <w:tcBorders>
              <w:top w:val="nil"/>
              <w:left w:val="nil"/>
              <w:bottom w:val="nil"/>
              <w:right w:val="nil"/>
            </w:tcBorders>
            <w:shd w:val="clear" w:color="auto" w:fill="auto"/>
            <w:noWrap/>
            <w:vAlign w:val="bottom"/>
            <w:hideMark/>
          </w:tcPr>
          <w:p w14:paraId="01595AB9"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c>
          <w:tcPr>
            <w:tcW w:w="992" w:type="dxa"/>
            <w:tcBorders>
              <w:top w:val="nil"/>
              <w:left w:val="nil"/>
              <w:bottom w:val="nil"/>
              <w:right w:val="nil"/>
            </w:tcBorders>
            <w:shd w:val="clear" w:color="auto" w:fill="auto"/>
            <w:noWrap/>
            <w:vAlign w:val="bottom"/>
            <w:hideMark/>
          </w:tcPr>
          <w:p w14:paraId="5BFA12D8"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c>
          <w:tcPr>
            <w:tcW w:w="993" w:type="dxa"/>
            <w:tcBorders>
              <w:top w:val="nil"/>
              <w:left w:val="nil"/>
              <w:bottom w:val="nil"/>
              <w:right w:val="nil"/>
            </w:tcBorders>
            <w:shd w:val="clear" w:color="auto" w:fill="auto"/>
            <w:noWrap/>
            <w:vAlign w:val="bottom"/>
            <w:hideMark/>
          </w:tcPr>
          <w:p w14:paraId="23B1C5AF"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r>
      <w:tr w:rsidR="00612E16" w:rsidRPr="00612E16" w14:paraId="32B1CBBE" w14:textId="77777777" w:rsidTr="003416F9">
        <w:trPr>
          <w:gridAfter w:val="7"/>
          <w:wAfter w:w="5954" w:type="dxa"/>
          <w:trHeight w:val="289"/>
        </w:trPr>
        <w:tc>
          <w:tcPr>
            <w:tcW w:w="408" w:type="dxa"/>
            <w:tcBorders>
              <w:top w:val="nil"/>
              <w:left w:val="nil"/>
              <w:bottom w:val="nil"/>
              <w:right w:val="nil"/>
            </w:tcBorders>
            <w:shd w:val="clear" w:color="auto" w:fill="auto"/>
            <w:noWrap/>
            <w:vAlign w:val="bottom"/>
            <w:hideMark/>
          </w:tcPr>
          <w:p w14:paraId="00E3D933" w14:textId="382804F1" w:rsidR="00612E16" w:rsidRPr="00612E16" w:rsidRDefault="00612E16" w:rsidP="003416F9">
            <w:pPr>
              <w:spacing w:after="0" w:line="240" w:lineRule="auto"/>
              <w:jc w:val="right"/>
              <w:rPr>
                <w:rFonts w:ascii="Calibri" w:eastAsia="Times New Roman" w:hAnsi="Calibri" w:cs="Times New Roman"/>
                <w:color w:val="000000"/>
                <w:sz w:val="16"/>
                <w:szCs w:val="16"/>
                <w:lang w:eastAsia="en-AU"/>
              </w:rPr>
            </w:pPr>
          </w:p>
        </w:tc>
        <w:tc>
          <w:tcPr>
            <w:tcW w:w="3529" w:type="dxa"/>
            <w:tcBorders>
              <w:top w:val="nil"/>
              <w:left w:val="nil"/>
              <w:bottom w:val="nil"/>
              <w:right w:val="nil"/>
            </w:tcBorders>
            <w:shd w:val="clear" w:color="auto" w:fill="auto"/>
            <w:noWrap/>
            <w:vAlign w:val="bottom"/>
            <w:hideMark/>
          </w:tcPr>
          <w:p w14:paraId="4010219D" w14:textId="5EEAD060" w:rsidR="00612E16" w:rsidRPr="00612E16" w:rsidRDefault="0018686E" w:rsidP="003416F9">
            <w:pPr>
              <w:spacing w:after="0" w:line="240" w:lineRule="auto"/>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 xml:space="preserve">1. </w:t>
            </w:r>
            <w:r w:rsidR="00612E16" w:rsidRPr="00612E16">
              <w:rPr>
                <w:rFonts w:ascii="Calibri" w:eastAsia="Times New Roman" w:hAnsi="Calibri" w:cs="Times New Roman"/>
                <w:color w:val="000000"/>
                <w:sz w:val="16"/>
                <w:szCs w:val="16"/>
                <w:lang w:eastAsia="en-AU"/>
              </w:rPr>
              <w:t xml:space="preserve">Total contract value will be approximately AUD88,000,000 (tendered) with AUD7,000,000 retained by DFAT for SRP, monitoring, evaluations, research </w:t>
            </w:r>
            <w:proofErr w:type="spellStart"/>
            <w:r w:rsidR="00612E16" w:rsidRPr="00612E16">
              <w:rPr>
                <w:rFonts w:ascii="Calibri" w:eastAsia="Times New Roman" w:hAnsi="Calibri" w:cs="Times New Roman"/>
                <w:color w:val="000000"/>
                <w:sz w:val="16"/>
                <w:szCs w:val="16"/>
                <w:lang w:eastAsia="en-AU"/>
              </w:rPr>
              <w:t>etc</w:t>
            </w:r>
            <w:proofErr w:type="spellEnd"/>
          </w:p>
        </w:tc>
        <w:tc>
          <w:tcPr>
            <w:tcW w:w="992" w:type="dxa"/>
            <w:tcBorders>
              <w:top w:val="nil"/>
              <w:left w:val="nil"/>
              <w:bottom w:val="nil"/>
              <w:right w:val="nil"/>
            </w:tcBorders>
            <w:shd w:val="clear" w:color="auto" w:fill="auto"/>
            <w:noWrap/>
            <w:vAlign w:val="bottom"/>
            <w:hideMark/>
          </w:tcPr>
          <w:p w14:paraId="45E664B2" w14:textId="7C15F028" w:rsidR="00612E16" w:rsidRPr="00612E16" w:rsidRDefault="0018686E" w:rsidP="003416F9">
            <w:pPr>
              <w:spacing w:after="0" w:line="240" w:lineRule="auto"/>
              <w:rPr>
                <w:rFonts w:ascii="Calibri" w:eastAsia="Times New Roman" w:hAnsi="Calibri" w:cs="Times New Roman"/>
                <w:color w:val="000000"/>
                <w:sz w:val="16"/>
                <w:szCs w:val="16"/>
                <w:lang w:eastAsia="en-AU"/>
              </w:rPr>
            </w:pPr>
            <w:r w:rsidRPr="0018686E">
              <w:rPr>
                <w:i/>
                <w:noProof/>
                <w:lang w:eastAsia="en-AU"/>
              </w:rPr>
              <mc:AlternateContent>
                <mc:Choice Requires="wps">
                  <w:drawing>
                    <wp:anchor distT="0" distB="0" distL="114300" distR="114300" simplePos="0" relativeHeight="251684352" behindDoc="0" locked="0" layoutInCell="1" allowOverlap="1" wp14:anchorId="336C69F5" wp14:editId="22E0C9DB">
                      <wp:simplePos x="0" y="0"/>
                      <wp:positionH relativeFrom="column">
                        <wp:posOffset>411480</wp:posOffset>
                      </wp:positionH>
                      <wp:positionV relativeFrom="paragraph">
                        <wp:posOffset>-271780</wp:posOffset>
                      </wp:positionV>
                      <wp:extent cx="3899535" cy="2724150"/>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535" cy="2724150"/>
                              </a:xfrm>
                              <a:prstGeom prst="rect">
                                <a:avLst/>
                              </a:prstGeom>
                              <a:solidFill>
                                <a:srgbClr val="FFFFFF"/>
                              </a:solidFill>
                              <a:ln w="9525">
                                <a:noFill/>
                                <a:miter lim="800000"/>
                                <a:headEnd/>
                                <a:tailEnd/>
                              </a:ln>
                            </wps:spPr>
                            <wps:txbx>
                              <w:txbxContent>
                                <w:p w14:paraId="6C562DF9" w14:textId="02C400FE" w:rsidR="00243660" w:rsidRDefault="00243660">
                                  <w:r w:rsidRPr="001D4200">
                                    <w:rPr>
                                      <w:i/>
                                      <w:noProof/>
                                      <w:lang w:eastAsia="en-AU"/>
                                    </w:rPr>
                                    <w:drawing>
                                      <wp:inline distT="0" distB="0" distL="0" distR="0" wp14:anchorId="3466BAFC" wp14:editId="72F79D70">
                                        <wp:extent cx="4007418" cy="25812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011425" cy="25838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4pt;margin-top:-21.4pt;width:307.05pt;height:21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" stroked="f">
                      <v:textbox>
                        <w:txbxContent>
                          <w:p w14:paraId="6C562DF9" w14:textId="02C400FE" w:rsidR="00243660" w:rsidRDefault="00243660">
                            <w:r w:rsidRPr="001D4200">
                              <w:rPr>
                                <w:i/>
                                <w:noProof/>
                                <w:lang w:eastAsia="en-AU"/>
                              </w:rPr>
                              <w:drawing>
                                <wp:inline distT="0" distB="0" distL="0" distR="0" wp14:anchorId="3466BAFC" wp14:editId="72F79D70">
                                  <wp:extent cx="4007418" cy="25812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011425" cy="2583856"/>
                                          </a:xfrm>
                                          <a:prstGeom prst="rect">
                                            <a:avLst/>
                                          </a:prstGeom>
                                        </pic:spPr>
                                      </pic:pic>
                                    </a:graphicData>
                                  </a:graphic>
                                </wp:inline>
                              </w:drawing>
                            </w:r>
                          </w:p>
                        </w:txbxContent>
                      </v:textbox>
                    </v:shape>
                  </w:pict>
                </mc:Fallback>
              </mc:AlternateContent>
            </w:r>
          </w:p>
        </w:tc>
      </w:tr>
      <w:tr w:rsidR="00612E16" w:rsidRPr="00612E16" w14:paraId="76767DDC" w14:textId="77777777" w:rsidTr="003416F9">
        <w:trPr>
          <w:gridAfter w:val="5"/>
          <w:wAfter w:w="4820" w:type="dxa"/>
          <w:trHeight w:val="289"/>
        </w:trPr>
        <w:tc>
          <w:tcPr>
            <w:tcW w:w="408" w:type="dxa"/>
            <w:tcBorders>
              <w:top w:val="nil"/>
              <w:left w:val="nil"/>
              <w:bottom w:val="nil"/>
              <w:right w:val="nil"/>
            </w:tcBorders>
            <w:shd w:val="clear" w:color="auto" w:fill="auto"/>
            <w:noWrap/>
            <w:vAlign w:val="bottom"/>
            <w:hideMark/>
          </w:tcPr>
          <w:p w14:paraId="69E21203" w14:textId="725272BB" w:rsidR="00612E16" w:rsidRPr="00612E16" w:rsidRDefault="00612E16" w:rsidP="003416F9">
            <w:pPr>
              <w:spacing w:after="0" w:line="240" w:lineRule="auto"/>
              <w:jc w:val="right"/>
              <w:rPr>
                <w:rFonts w:ascii="Calibri" w:eastAsia="Times New Roman" w:hAnsi="Calibri" w:cs="Times New Roman"/>
                <w:color w:val="000000"/>
                <w:sz w:val="16"/>
                <w:szCs w:val="16"/>
                <w:lang w:eastAsia="en-AU"/>
              </w:rPr>
            </w:pPr>
          </w:p>
        </w:tc>
        <w:tc>
          <w:tcPr>
            <w:tcW w:w="3529" w:type="dxa"/>
            <w:tcBorders>
              <w:top w:val="nil"/>
              <w:left w:val="nil"/>
              <w:bottom w:val="nil"/>
              <w:right w:val="nil"/>
            </w:tcBorders>
            <w:shd w:val="clear" w:color="auto" w:fill="auto"/>
            <w:noWrap/>
            <w:vAlign w:val="bottom"/>
            <w:hideMark/>
          </w:tcPr>
          <w:p w14:paraId="20D9DCB3" w14:textId="6AFE4849" w:rsidR="00612E16" w:rsidRPr="00612E16" w:rsidRDefault="0018686E" w:rsidP="003416F9">
            <w:pPr>
              <w:spacing w:after="0" w:line="240" w:lineRule="auto"/>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 xml:space="preserve">2. </w:t>
            </w:r>
            <w:r w:rsidR="00612E16" w:rsidRPr="00612E16">
              <w:rPr>
                <w:rFonts w:ascii="Calibri" w:eastAsia="Times New Roman" w:hAnsi="Calibri" w:cs="Times New Roman"/>
                <w:color w:val="000000"/>
                <w:sz w:val="16"/>
                <w:szCs w:val="16"/>
                <w:lang w:eastAsia="en-AU"/>
              </w:rPr>
              <w:t>Budget breakdown for AIP-PRISMA is based on AIP-Rural program budget breakdown and spend curves over the life of the program</w:t>
            </w:r>
          </w:p>
        </w:tc>
        <w:tc>
          <w:tcPr>
            <w:tcW w:w="992" w:type="dxa"/>
            <w:tcBorders>
              <w:top w:val="nil"/>
              <w:left w:val="nil"/>
              <w:bottom w:val="nil"/>
              <w:right w:val="nil"/>
            </w:tcBorders>
            <w:shd w:val="clear" w:color="auto" w:fill="auto"/>
            <w:noWrap/>
            <w:vAlign w:val="bottom"/>
            <w:hideMark/>
          </w:tcPr>
          <w:p w14:paraId="60F4902C"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c>
          <w:tcPr>
            <w:tcW w:w="1134" w:type="dxa"/>
            <w:gridSpan w:val="2"/>
            <w:tcBorders>
              <w:top w:val="nil"/>
              <w:left w:val="nil"/>
              <w:bottom w:val="nil"/>
              <w:right w:val="nil"/>
            </w:tcBorders>
            <w:shd w:val="clear" w:color="auto" w:fill="auto"/>
            <w:noWrap/>
            <w:vAlign w:val="bottom"/>
            <w:hideMark/>
          </w:tcPr>
          <w:p w14:paraId="214BDD53" w14:textId="77777777" w:rsidR="00612E16" w:rsidRPr="00612E16" w:rsidRDefault="00612E16" w:rsidP="003416F9">
            <w:pPr>
              <w:spacing w:after="0" w:line="240" w:lineRule="auto"/>
              <w:rPr>
                <w:rFonts w:ascii="Calibri" w:eastAsia="Times New Roman" w:hAnsi="Calibri" w:cs="Times New Roman"/>
                <w:color w:val="000000"/>
                <w:sz w:val="16"/>
                <w:szCs w:val="16"/>
                <w:lang w:eastAsia="en-AU"/>
              </w:rPr>
            </w:pPr>
          </w:p>
        </w:tc>
      </w:tr>
      <w:tr w:rsidR="00612E16" w:rsidRPr="00612E16" w14:paraId="369E3162" w14:textId="77777777" w:rsidTr="003416F9">
        <w:trPr>
          <w:gridAfter w:val="8"/>
          <w:wAfter w:w="6946" w:type="dxa"/>
          <w:trHeight w:val="289"/>
        </w:trPr>
        <w:tc>
          <w:tcPr>
            <w:tcW w:w="408" w:type="dxa"/>
            <w:tcBorders>
              <w:top w:val="nil"/>
              <w:left w:val="nil"/>
              <w:bottom w:val="nil"/>
              <w:right w:val="nil"/>
            </w:tcBorders>
            <w:shd w:val="clear" w:color="auto" w:fill="auto"/>
            <w:noWrap/>
            <w:vAlign w:val="bottom"/>
            <w:hideMark/>
          </w:tcPr>
          <w:p w14:paraId="3AC7506A" w14:textId="60086053" w:rsidR="00612E16" w:rsidRPr="00612E16" w:rsidRDefault="00612E16" w:rsidP="003416F9">
            <w:pPr>
              <w:spacing w:after="0" w:line="240" w:lineRule="auto"/>
              <w:jc w:val="right"/>
              <w:rPr>
                <w:rFonts w:ascii="Calibri" w:eastAsia="Times New Roman" w:hAnsi="Calibri" w:cs="Times New Roman"/>
                <w:color w:val="000000"/>
                <w:sz w:val="16"/>
                <w:szCs w:val="16"/>
                <w:lang w:eastAsia="en-AU"/>
              </w:rPr>
            </w:pPr>
          </w:p>
        </w:tc>
        <w:tc>
          <w:tcPr>
            <w:tcW w:w="3529" w:type="dxa"/>
            <w:tcBorders>
              <w:top w:val="nil"/>
              <w:left w:val="nil"/>
              <w:bottom w:val="nil"/>
              <w:right w:val="nil"/>
            </w:tcBorders>
            <w:shd w:val="clear" w:color="auto" w:fill="auto"/>
            <w:noWrap/>
            <w:vAlign w:val="bottom"/>
            <w:hideMark/>
          </w:tcPr>
          <w:p w14:paraId="0B64D724" w14:textId="26E5A980" w:rsidR="00612E16" w:rsidRPr="00612E16" w:rsidRDefault="0018686E" w:rsidP="003416F9">
            <w:pPr>
              <w:spacing w:after="0" w:line="240" w:lineRule="auto"/>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 xml:space="preserve">3. </w:t>
            </w:r>
            <w:r w:rsidR="00612E16" w:rsidRPr="00612E16">
              <w:rPr>
                <w:rFonts w:ascii="Calibri" w:eastAsia="Times New Roman" w:hAnsi="Calibri" w:cs="Times New Roman"/>
                <w:color w:val="000000"/>
                <w:sz w:val="16"/>
                <w:szCs w:val="16"/>
                <w:lang w:eastAsia="en-AU"/>
              </w:rPr>
              <w:t>Based on AIP-Rural spending, 59% of Long-Term Personnel Costs are currently spent on interventions. Under AIP-PRISMA it is expected that up to 75% of LTA costs will be spent on interventions. This means this amount could be reported as implementation costs.</w:t>
            </w:r>
          </w:p>
        </w:tc>
      </w:tr>
      <w:tr w:rsidR="00612E16" w:rsidRPr="00612E16" w14:paraId="45F0177E" w14:textId="77777777" w:rsidTr="003416F9">
        <w:trPr>
          <w:gridAfter w:val="8"/>
          <w:wAfter w:w="6946" w:type="dxa"/>
          <w:trHeight w:val="289"/>
        </w:trPr>
        <w:tc>
          <w:tcPr>
            <w:tcW w:w="408" w:type="dxa"/>
            <w:tcBorders>
              <w:top w:val="nil"/>
              <w:left w:val="nil"/>
              <w:bottom w:val="nil"/>
              <w:right w:val="nil"/>
            </w:tcBorders>
            <w:shd w:val="clear" w:color="auto" w:fill="auto"/>
            <w:noWrap/>
            <w:vAlign w:val="bottom"/>
            <w:hideMark/>
          </w:tcPr>
          <w:p w14:paraId="6DD94401" w14:textId="3C643BAD" w:rsidR="00612E16" w:rsidRPr="00612E16" w:rsidRDefault="00612E16" w:rsidP="003416F9">
            <w:pPr>
              <w:spacing w:after="0" w:line="240" w:lineRule="auto"/>
              <w:jc w:val="right"/>
              <w:rPr>
                <w:rFonts w:ascii="Calibri" w:eastAsia="Times New Roman" w:hAnsi="Calibri" w:cs="Times New Roman"/>
                <w:color w:val="000000"/>
                <w:sz w:val="16"/>
                <w:szCs w:val="16"/>
                <w:lang w:eastAsia="en-AU"/>
              </w:rPr>
            </w:pPr>
          </w:p>
        </w:tc>
        <w:tc>
          <w:tcPr>
            <w:tcW w:w="3529" w:type="dxa"/>
            <w:tcBorders>
              <w:top w:val="nil"/>
              <w:left w:val="nil"/>
              <w:bottom w:val="nil"/>
              <w:right w:val="nil"/>
            </w:tcBorders>
            <w:shd w:val="clear" w:color="auto" w:fill="auto"/>
            <w:noWrap/>
            <w:vAlign w:val="bottom"/>
            <w:hideMark/>
          </w:tcPr>
          <w:p w14:paraId="4312DE89" w14:textId="53A46D7D" w:rsidR="00612E16" w:rsidRPr="00612E16" w:rsidRDefault="0018686E" w:rsidP="003416F9">
            <w:pPr>
              <w:spacing w:after="0" w:line="240" w:lineRule="auto"/>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 xml:space="preserve">4. </w:t>
            </w:r>
            <w:r w:rsidR="00612E16" w:rsidRPr="00612E16">
              <w:rPr>
                <w:rFonts w:ascii="Calibri" w:eastAsia="Times New Roman" w:hAnsi="Calibri" w:cs="Times New Roman"/>
                <w:color w:val="000000"/>
                <w:sz w:val="16"/>
                <w:szCs w:val="16"/>
                <w:lang w:eastAsia="en-AU"/>
              </w:rPr>
              <w:t>Based on information from AIP-Rural Managing Contractor, the majority of Short-Term Personnel Costs should be for Unspecified Personnel to allow for flexibility during implementation</w:t>
            </w:r>
          </w:p>
        </w:tc>
      </w:tr>
      <w:tr w:rsidR="00612E16" w:rsidRPr="00612E16" w14:paraId="0A95ACA3" w14:textId="77777777" w:rsidTr="003416F9">
        <w:trPr>
          <w:gridAfter w:val="8"/>
          <w:wAfter w:w="6946" w:type="dxa"/>
          <w:trHeight w:val="289"/>
        </w:trPr>
        <w:tc>
          <w:tcPr>
            <w:tcW w:w="408" w:type="dxa"/>
            <w:tcBorders>
              <w:top w:val="nil"/>
              <w:left w:val="nil"/>
              <w:bottom w:val="nil"/>
              <w:right w:val="nil"/>
            </w:tcBorders>
            <w:shd w:val="clear" w:color="auto" w:fill="auto"/>
            <w:noWrap/>
            <w:vAlign w:val="bottom"/>
            <w:hideMark/>
          </w:tcPr>
          <w:p w14:paraId="26C221EE" w14:textId="6C52286C" w:rsidR="00612E16" w:rsidRPr="00612E16" w:rsidRDefault="00612E16" w:rsidP="003416F9">
            <w:pPr>
              <w:spacing w:after="0" w:line="240" w:lineRule="auto"/>
              <w:jc w:val="right"/>
              <w:rPr>
                <w:rFonts w:ascii="Calibri" w:eastAsia="Times New Roman" w:hAnsi="Calibri" w:cs="Times New Roman"/>
                <w:color w:val="000000"/>
                <w:sz w:val="16"/>
                <w:szCs w:val="16"/>
                <w:lang w:eastAsia="en-AU"/>
              </w:rPr>
            </w:pPr>
          </w:p>
        </w:tc>
        <w:tc>
          <w:tcPr>
            <w:tcW w:w="3529" w:type="dxa"/>
            <w:tcBorders>
              <w:top w:val="nil"/>
              <w:left w:val="nil"/>
              <w:bottom w:val="nil"/>
              <w:right w:val="nil"/>
            </w:tcBorders>
            <w:shd w:val="clear" w:color="auto" w:fill="auto"/>
            <w:noWrap/>
            <w:vAlign w:val="bottom"/>
            <w:hideMark/>
          </w:tcPr>
          <w:p w14:paraId="2782AB72" w14:textId="77777777" w:rsidR="00612E16" w:rsidRDefault="0018686E" w:rsidP="003416F9">
            <w:pPr>
              <w:spacing w:after="0" w:line="240" w:lineRule="auto"/>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 xml:space="preserve">5. </w:t>
            </w:r>
            <w:r w:rsidR="00612E16" w:rsidRPr="00612E16">
              <w:rPr>
                <w:rFonts w:ascii="Calibri" w:eastAsia="Times New Roman" w:hAnsi="Calibri" w:cs="Times New Roman"/>
                <w:color w:val="000000"/>
                <w:sz w:val="16"/>
                <w:szCs w:val="16"/>
                <w:lang w:eastAsia="en-AU"/>
              </w:rPr>
              <w:t>Based on AIP-Rural spending, approximately 70% of Adviser Support Costs are spent on travel and the remaining 30% is spent on other support costs for all long and short term p</w:t>
            </w:r>
            <w:r>
              <w:rPr>
                <w:rFonts w:ascii="Calibri" w:eastAsia="Times New Roman" w:hAnsi="Calibri" w:cs="Times New Roman"/>
                <w:color w:val="000000"/>
                <w:sz w:val="16"/>
                <w:szCs w:val="16"/>
                <w:lang w:eastAsia="en-AU"/>
              </w:rPr>
              <w:t xml:space="preserve">ersonnel under the ARF. For AIP </w:t>
            </w:r>
            <w:r w:rsidR="00612E16" w:rsidRPr="00612E16">
              <w:rPr>
                <w:rFonts w:ascii="Calibri" w:eastAsia="Times New Roman" w:hAnsi="Calibri" w:cs="Times New Roman"/>
                <w:color w:val="000000"/>
                <w:sz w:val="16"/>
                <w:szCs w:val="16"/>
                <w:lang w:eastAsia="en-AU"/>
              </w:rPr>
              <w:t>PRISMA</w:t>
            </w:r>
            <w:r>
              <w:rPr>
                <w:rFonts w:ascii="Calibri" w:eastAsia="Times New Roman" w:hAnsi="Calibri" w:cs="Times New Roman"/>
                <w:color w:val="000000"/>
                <w:sz w:val="16"/>
                <w:szCs w:val="16"/>
                <w:lang w:eastAsia="en-AU"/>
              </w:rPr>
              <w:t>-2</w:t>
            </w:r>
            <w:r w:rsidR="00612E16" w:rsidRPr="00612E16">
              <w:rPr>
                <w:rFonts w:ascii="Calibri" w:eastAsia="Times New Roman" w:hAnsi="Calibri" w:cs="Times New Roman"/>
                <w:color w:val="000000"/>
                <w:sz w:val="16"/>
                <w:szCs w:val="16"/>
                <w:lang w:eastAsia="en-AU"/>
              </w:rPr>
              <w:t xml:space="preserve"> travel costs have been included as a budget line under implementation costs. </w:t>
            </w:r>
          </w:p>
          <w:p w14:paraId="009C632F" w14:textId="35EA8093" w:rsidR="004B19F5" w:rsidRPr="00612E16" w:rsidRDefault="004B19F5" w:rsidP="003416F9">
            <w:pPr>
              <w:spacing w:after="0" w:line="240" w:lineRule="auto"/>
              <w:rPr>
                <w:rFonts w:ascii="Calibri" w:eastAsia="Times New Roman" w:hAnsi="Calibri" w:cs="Times New Roman"/>
                <w:color w:val="000000"/>
                <w:sz w:val="16"/>
                <w:szCs w:val="16"/>
                <w:lang w:eastAsia="en-AU"/>
              </w:rPr>
            </w:pPr>
            <w:r>
              <w:rPr>
                <w:rFonts w:ascii="Calibri" w:eastAsia="Times New Roman" w:hAnsi="Calibri" w:cs="Times New Roman"/>
                <w:color w:val="000000"/>
                <w:sz w:val="16"/>
                <w:szCs w:val="16"/>
                <w:lang w:eastAsia="en-AU"/>
              </w:rPr>
              <w:t xml:space="preserve">6. Y1 is composed of Jan – Jun 2019. Y6 is composed of Jul – Dec 2023. </w:t>
            </w:r>
          </w:p>
        </w:tc>
      </w:tr>
    </w:tbl>
    <w:p w14:paraId="2AFC0A29" w14:textId="64DAD388" w:rsidR="00612E16" w:rsidRDefault="003416F9" w:rsidP="00EA607F">
      <w:pPr>
        <w:spacing w:after="0"/>
        <w:rPr>
          <w:i/>
        </w:rPr>
      </w:pPr>
      <w:r>
        <w:rPr>
          <w:i/>
        </w:rPr>
        <w:br w:type="textWrapping" w:clear="all"/>
      </w:r>
    </w:p>
    <w:p w14:paraId="2B1C1F83" w14:textId="328FE06A" w:rsidR="001D4200" w:rsidRDefault="001D4200" w:rsidP="00EA607F">
      <w:pPr>
        <w:spacing w:after="0"/>
        <w:rPr>
          <w:i/>
        </w:rPr>
        <w:sectPr w:rsidR="001D4200" w:rsidSect="00076F77">
          <w:pgSz w:w="11906" w:h="16838" w:code="9"/>
          <w:pgMar w:top="1418" w:right="1134" w:bottom="1701" w:left="1134" w:header="425" w:footer="493" w:gutter="0"/>
          <w:cols w:space="397"/>
          <w:titlePg/>
          <w:docGrid w:linePitch="360"/>
        </w:sectPr>
      </w:pPr>
    </w:p>
    <w:p w14:paraId="628A5C1A" w14:textId="0AD5F35F" w:rsidR="006000A3" w:rsidRDefault="00D91D8B" w:rsidP="00274C18">
      <w:pPr>
        <w:pStyle w:val="Heading3"/>
      </w:pPr>
      <w:bookmarkStart w:id="43" w:name="_Toc499298871"/>
      <w:r>
        <w:lastRenderedPageBreak/>
        <w:t>Annex 8</w:t>
      </w:r>
      <w:r w:rsidR="006000A3" w:rsidRPr="006000A3">
        <w:t xml:space="preserve">: AIP-RURAL Governance </w:t>
      </w:r>
      <w:r w:rsidR="00DA1FB5">
        <w:t xml:space="preserve">&amp; Implementation </w:t>
      </w:r>
      <w:r w:rsidR="006000A3" w:rsidRPr="006000A3">
        <w:t>Structure</w:t>
      </w:r>
      <w:bookmarkEnd w:id="43"/>
    </w:p>
    <w:p w14:paraId="5F895878" w14:textId="1A6D724F" w:rsidR="008227DF" w:rsidRPr="007A0995" w:rsidRDefault="008227DF" w:rsidP="007A0995">
      <w:pPr>
        <w:rPr>
          <w:i/>
        </w:rPr>
      </w:pPr>
      <w:r w:rsidRPr="007A0995">
        <w:rPr>
          <w:i/>
        </w:rPr>
        <w:t>* For</w:t>
      </w:r>
      <w:r>
        <w:rPr>
          <w:i/>
        </w:rPr>
        <w:t xml:space="preserve"> bidding</w:t>
      </w:r>
      <w:r w:rsidRPr="007A0995">
        <w:rPr>
          <w:i/>
        </w:rPr>
        <w:t xml:space="preserve"> information only; Contractor to propose</w:t>
      </w:r>
      <w:r>
        <w:rPr>
          <w:i/>
        </w:rPr>
        <w:t xml:space="preserve"> a</w:t>
      </w:r>
      <w:r w:rsidRPr="007A0995">
        <w:rPr>
          <w:i/>
        </w:rPr>
        <w:t xml:space="preserve"> PRISMA-2 organisational structure.</w:t>
      </w:r>
    </w:p>
    <w:p w14:paraId="62F904C2" w14:textId="466FD1E1" w:rsidR="003259F8" w:rsidRDefault="003259F8" w:rsidP="00EA607F">
      <w:pPr>
        <w:spacing w:after="0"/>
        <w:rPr>
          <w:b/>
          <w:i/>
        </w:rPr>
      </w:pPr>
    </w:p>
    <w:p w14:paraId="4AD38EE9" w14:textId="2B647F21" w:rsidR="003259F8" w:rsidRDefault="00DA1FB5" w:rsidP="00EA607F">
      <w:pPr>
        <w:spacing w:after="0"/>
        <w:rPr>
          <w:b/>
          <w:i/>
        </w:rPr>
      </w:pPr>
      <w:r>
        <w:rPr>
          <w:noProof/>
          <w:lang w:eastAsia="en-AU"/>
        </w:rPr>
        <w:drawing>
          <wp:inline distT="0" distB="0" distL="0" distR="0" wp14:anchorId="496DE3F6" wp14:editId="31919946">
            <wp:extent cx="6120130" cy="4729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4729480"/>
                    </a:xfrm>
                    <a:prstGeom prst="rect">
                      <a:avLst/>
                    </a:prstGeom>
                  </pic:spPr>
                </pic:pic>
              </a:graphicData>
            </a:graphic>
          </wp:inline>
        </w:drawing>
      </w:r>
    </w:p>
    <w:p w14:paraId="7E224835" w14:textId="772812A5" w:rsidR="00D31537" w:rsidRDefault="00D31537" w:rsidP="00EA607F">
      <w:pPr>
        <w:spacing w:after="0"/>
        <w:rPr>
          <w:b/>
          <w:i/>
        </w:rPr>
        <w:sectPr w:rsidR="00D31537" w:rsidSect="00076F77">
          <w:pgSz w:w="11906" w:h="16838" w:code="9"/>
          <w:pgMar w:top="1418" w:right="1134" w:bottom="1701" w:left="1134" w:header="425" w:footer="493" w:gutter="0"/>
          <w:cols w:space="397"/>
          <w:titlePg/>
          <w:docGrid w:linePitch="360"/>
        </w:sectPr>
      </w:pPr>
    </w:p>
    <w:p w14:paraId="5E16EF5C" w14:textId="6955655B" w:rsidR="00350F65" w:rsidRDefault="00D91D8B" w:rsidP="00350F65">
      <w:pPr>
        <w:pStyle w:val="Heading3"/>
      </w:pPr>
      <w:bookmarkStart w:id="44" w:name="_Toc499298872"/>
      <w:r>
        <w:lastRenderedPageBreak/>
        <w:t>Annex 9</w:t>
      </w:r>
      <w:r w:rsidR="00D31537" w:rsidRPr="00DA14E7">
        <w:t xml:space="preserve">: </w:t>
      </w:r>
      <w:r w:rsidR="0045469D" w:rsidRPr="00DA14E7">
        <w:t>Terms of Reference for Specified Personnel</w:t>
      </w:r>
      <w:bookmarkEnd w:id="44"/>
    </w:p>
    <w:p w14:paraId="36648AC0" w14:textId="77777777" w:rsidR="00350F65" w:rsidRDefault="00350F65" w:rsidP="00350F65">
      <w:pPr>
        <w:pStyle w:val="Heading5"/>
      </w:pPr>
    </w:p>
    <w:p w14:paraId="6E65CF81" w14:textId="36FFAB5D" w:rsidR="00350F65" w:rsidRDefault="00350F65" w:rsidP="00350F65">
      <w:pPr>
        <w:pStyle w:val="Heading5"/>
        <w:tabs>
          <w:tab w:val="left" w:pos="1790"/>
        </w:tabs>
      </w:pPr>
      <w:r>
        <w:t>COntractor representative</w:t>
      </w:r>
    </w:p>
    <w:p w14:paraId="3EE52B02" w14:textId="02E83FED" w:rsidR="00350F65" w:rsidRPr="009176C7" w:rsidRDefault="00350F65" w:rsidP="00350F65">
      <w:pPr>
        <w:rPr>
          <w:rFonts w:cs="Arial"/>
          <w:lang w:val="en-US"/>
        </w:rPr>
      </w:pPr>
      <w:r w:rsidRPr="00B70643">
        <w:rPr>
          <w:b/>
        </w:rPr>
        <w:t>ARF Professional Discipline Category and Job Level</w:t>
      </w:r>
      <w:r w:rsidRPr="009176C7">
        <w:t xml:space="preserve">: </w:t>
      </w:r>
      <w:r w:rsidR="00657CB2">
        <w:rPr>
          <w:rFonts w:cs="Arial"/>
          <w:lang w:val="en-US"/>
        </w:rPr>
        <w:t>N/A</w:t>
      </w:r>
    </w:p>
    <w:p w14:paraId="78AFBE98" w14:textId="0618499E" w:rsidR="00350F65" w:rsidRPr="009176C7" w:rsidRDefault="00350F65" w:rsidP="00350F65">
      <w:r w:rsidRPr="00B70643">
        <w:rPr>
          <w:b/>
        </w:rPr>
        <w:t>Duty Station</w:t>
      </w:r>
      <w:r w:rsidRPr="009176C7">
        <w:t xml:space="preserve">: </w:t>
      </w:r>
      <w:r w:rsidR="00657CB2" w:rsidRPr="00F93131">
        <w:t>TBC</w:t>
      </w:r>
    </w:p>
    <w:p w14:paraId="2E4EEE54" w14:textId="37470764" w:rsidR="00350F65" w:rsidRDefault="00657CB2" w:rsidP="00350F65">
      <w:r w:rsidRPr="00B70643">
        <w:rPr>
          <w:b/>
        </w:rPr>
        <w:t xml:space="preserve">Background: </w:t>
      </w:r>
      <w:r w:rsidR="005D461A">
        <w:t>PRISMA-2</w:t>
      </w:r>
      <w:r w:rsidRPr="00350F65">
        <w:t xml:space="preserve"> is a five-year program funded by the Australian Government through the Department of Foreign Affairs and Trade (DFAT). The program represents the second phase of Australian Government investment in market systems development in the agricultural sector in Indonesia. </w:t>
      </w:r>
      <w:r w:rsidR="004328E1">
        <w:t>PRISMA-2’s</w:t>
      </w:r>
      <w:r w:rsidRPr="00350F65">
        <w:t xml:space="preserve"> goal is to contribute to a 30%, or more, increase in net incomes for 700,000 smallholder farming households. Changes in income of poor farm</w:t>
      </w:r>
      <w:r w:rsidR="00D75193">
        <w:t>ing</w:t>
      </w:r>
      <w:r w:rsidRPr="00350F65">
        <w:t xml:space="preserve"> households are measured by changes in net income as a result of changed production practices. The Program will operate in 6 provinces, East Java, NTT, NTB, Papua, West Papua and Central Java</w:t>
      </w:r>
      <w:r w:rsidR="00A16DE2">
        <w:t xml:space="preserve">. </w:t>
      </w:r>
    </w:p>
    <w:p w14:paraId="736DF1D3" w14:textId="273ADD1E" w:rsidR="00657CB2" w:rsidRDefault="00657CB2" w:rsidP="00657CB2">
      <w:pPr>
        <w:rPr>
          <w:rFonts w:eastAsiaTheme="minorHAnsi"/>
        </w:rPr>
      </w:pPr>
      <w:r w:rsidRPr="009C79CC">
        <w:rPr>
          <w:b/>
        </w:rPr>
        <w:t>Duties</w:t>
      </w:r>
      <w:r w:rsidR="002B16CC">
        <w:rPr>
          <w:b/>
        </w:rPr>
        <w:t xml:space="preserve">: </w:t>
      </w:r>
      <w:r w:rsidR="00A16DE2">
        <w:t>The</w:t>
      </w:r>
      <w:r>
        <w:t xml:space="preserve"> responsibilities of the Contractor Representative will include, but </w:t>
      </w:r>
      <w:r w:rsidR="00184A26">
        <w:t>not be limited to</w:t>
      </w:r>
      <w:r w:rsidRPr="003166CB">
        <w:rPr>
          <w:rFonts w:eastAsiaTheme="minorHAnsi"/>
        </w:rPr>
        <w:t>:</w:t>
      </w:r>
    </w:p>
    <w:p w14:paraId="0867EBDD" w14:textId="7A66F383" w:rsidR="00737DB5" w:rsidRDefault="00184A26" w:rsidP="004B220D">
      <w:pPr>
        <w:pStyle w:val="ListParagraph"/>
        <w:numPr>
          <w:ilvl w:val="0"/>
          <w:numId w:val="45"/>
        </w:numPr>
      </w:pPr>
      <w:r>
        <w:t xml:space="preserve">Leading </w:t>
      </w:r>
      <w:r w:rsidR="00657CB2">
        <w:t>on all aspects of contract management including contract negotiations, contract amendments,</w:t>
      </w:r>
      <w:r w:rsidR="00737DB5">
        <w:t xml:space="preserve"> and </w:t>
      </w:r>
      <w:r>
        <w:t xml:space="preserve">delivery of </w:t>
      </w:r>
      <w:r w:rsidR="00737DB5">
        <w:t>contractual requirements;</w:t>
      </w:r>
    </w:p>
    <w:p w14:paraId="69CD3348" w14:textId="63A8AF14" w:rsidR="00737DB5" w:rsidRDefault="00184A26" w:rsidP="004B220D">
      <w:pPr>
        <w:pStyle w:val="ListParagraph"/>
        <w:numPr>
          <w:ilvl w:val="0"/>
          <w:numId w:val="45"/>
        </w:numPr>
      </w:pPr>
      <w:r>
        <w:t>Ensuring</w:t>
      </w:r>
      <w:r w:rsidR="00737DB5">
        <w:t xml:space="preserve"> </w:t>
      </w:r>
      <w:r w:rsidR="00657CB2">
        <w:t>compliance with Commonwealth Procurement Rules (CPRs)</w:t>
      </w:r>
      <w:r>
        <w:t>; DFAT policies; relevant Australian and Indonesian laws;</w:t>
      </w:r>
      <w:r w:rsidR="00737DB5">
        <w:t xml:space="preserve"> and corporate quality management systems and processes</w:t>
      </w:r>
      <w:r w:rsidR="00657CB2">
        <w:t xml:space="preserve">; </w:t>
      </w:r>
      <w:r w:rsidR="00737DB5">
        <w:t xml:space="preserve"> </w:t>
      </w:r>
    </w:p>
    <w:p w14:paraId="2A7DCAA1" w14:textId="66A11CC1" w:rsidR="00184A26" w:rsidRDefault="00184A26" w:rsidP="004B220D">
      <w:pPr>
        <w:pStyle w:val="ListParagraph"/>
        <w:numPr>
          <w:ilvl w:val="0"/>
          <w:numId w:val="45"/>
        </w:numPr>
      </w:pPr>
      <w:r>
        <w:t>Managing</w:t>
      </w:r>
      <w:r w:rsidR="007E22F4">
        <w:t xml:space="preserve"> the </w:t>
      </w:r>
      <w:r w:rsidR="00355B0D">
        <w:t xml:space="preserve">program </w:t>
      </w:r>
      <w:r w:rsidR="007E22F4">
        <w:t xml:space="preserve">transition and mobilisation phases to support </w:t>
      </w:r>
      <w:r w:rsidR="00737DB5">
        <w:t>a well-</w:t>
      </w:r>
      <w:r w:rsidR="00355B0D">
        <w:t>executed and smooth transition</w:t>
      </w:r>
      <w:r w:rsidR="007E22F4">
        <w:t xml:space="preserve"> from the current AIP-Rural program to </w:t>
      </w:r>
      <w:r w:rsidR="005D461A">
        <w:t>PRISMA-2</w:t>
      </w:r>
      <w:r w:rsidR="007E22F4">
        <w:t xml:space="preserve">; </w:t>
      </w:r>
    </w:p>
    <w:p w14:paraId="7353B8D9" w14:textId="3AF34645" w:rsidR="000E0508" w:rsidRDefault="00184A26" w:rsidP="004B220D">
      <w:pPr>
        <w:pStyle w:val="ListParagraph"/>
        <w:numPr>
          <w:ilvl w:val="0"/>
          <w:numId w:val="45"/>
        </w:numPr>
      </w:pPr>
      <w:r>
        <w:t>Leading</w:t>
      </w:r>
      <w:r w:rsidR="000E0508">
        <w:t xml:space="preserve"> recruitment and </w:t>
      </w:r>
      <w:r w:rsidR="008227DF">
        <w:t>‘</w:t>
      </w:r>
      <w:r w:rsidR="000E0508">
        <w:t>novation</w:t>
      </w:r>
      <w:r w:rsidR="008227DF">
        <w:t>’</w:t>
      </w:r>
      <w:r w:rsidR="000E0508">
        <w:t xml:space="preserve"> of personnel and provid</w:t>
      </w:r>
      <w:r>
        <w:t>ing</w:t>
      </w:r>
      <w:r w:rsidR="000E0508">
        <w:t xml:space="preserve"> strategic HRM support throughout implementation to ensure the program is adequately resourced and maintains value for money; </w:t>
      </w:r>
    </w:p>
    <w:p w14:paraId="3B6C5AC0" w14:textId="21DB8EB9" w:rsidR="00184A26" w:rsidRDefault="00184A26" w:rsidP="004B220D">
      <w:pPr>
        <w:pStyle w:val="ListParagraph"/>
        <w:numPr>
          <w:ilvl w:val="0"/>
          <w:numId w:val="45"/>
        </w:numPr>
      </w:pPr>
      <w:r>
        <w:t>Leading</w:t>
      </w:r>
      <w:r w:rsidR="008227DF">
        <w:t xml:space="preserve"> contracting</w:t>
      </w:r>
      <w:r>
        <w:t xml:space="preserve"> of partner agreements for on-going interventions at transition and facilitating efficient development of new partner agreements through corporate legal processes;</w:t>
      </w:r>
    </w:p>
    <w:p w14:paraId="6876921B" w14:textId="6E7BF5A5" w:rsidR="00657CB2" w:rsidRDefault="00657CB2" w:rsidP="004B220D">
      <w:pPr>
        <w:pStyle w:val="ListParagraph"/>
        <w:numPr>
          <w:ilvl w:val="0"/>
          <w:numId w:val="45"/>
        </w:numPr>
      </w:pPr>
      <w:r>
        <w:t>Provi</w:t>
      </w:r>
      <w:r w:rsidR="00184A26">
        <w:t>ding</w:t>
      </w:r>
      <w:r>
        <w:t xml:space="preserve"> strategic oversight</w:t>
      </w:r>
      <w:r w:rsidR="00355B0D">
        <w:t xml:space="preserve"> and management support for</w:t>
      </w:r>
      <w:r>
        <w:t xml:space="preserve"> all aspects of implementation including technical </w:t>
      </w:r>
      <w:r w:rsidR="007E22F4">
        <w:t xml:space="preserve">program </w:t>
      </w:r>
      <w:r>
        <w:t>approaches, operational and financial systems, financial approvals, budgeting and fiduciary controls;</w:t>
      </w:r>
    </w:p>
    <w:p w14:paraId="1CDFE085" w14:textId="1C607C8A" w:rsidR="007E22F4" w:rsidRDefault="007E22F4" w:rsidP="004B220D">
      <w:pPr>
        <w:pStyle w:val="ListParagraph"/>
        <w:numPr>
          <w:ilvl w:val="0"/>
          <w:numId w:val="45"/>
        </w:numPr>
      </w:pPr>
      <w:r>
        <w:t>Conduct</w:t>
      </w:r>
      <w:r w:rsidR="00184A26">
        <w:t>ing</w:t>
      </w:r>
      <w:r>
        <w:t xml:space="preserve"> quality assurance of all program reporting requirements;</w:t>
      </w:r>
    </w:p>
    <w:p w14:paraId="284ABC12" w14:textId="15298A26" w:rsidR="00657CB2" w:rsidRDefault="00355B0D" w:rsidP="004B220D">
      <w:pPr>
        <w:pStyle w:val="ListParagraph"/>
        <w:numPr>
          <w:ilvl w:val="0"/>
          <w:numId w:val="45"/>
        </w:numPr>
      </w:pPr>
      <w:r>
        <w:t>As the primary contact</w:t>
      </w:r>
      <w:r w:rsidR="00BB0F80">
        <w:t xml:space="preserve"> point</w:t>
      </w:r>
      <w:r>
        <w:t xml:space="preserve"> for DFAT, m</w:t>
      </w:r>
      <w:r w:rsidR="007E22F4">
        <w:t>aintain</w:t>
      </w:r>
      <w:r w:rsidR="00184A26">
        <w:t>ing</w:t>
      </w:r>
      <w:r w:rsidR="007E22F4">
        <w:t xml:space="preserve"> </w:t>
      </w:r>
      <w:r>
        <w:t xml:space="preserve">an </w:t>
      </w:r>
      <w:r w:rsidR="007E22F4">
        <w:t xml:space="preserve">effective </w:t>
      </w:r>
      <w:r>
        <w:t>and collaborative working relationship</w:t>
      </w:r>
      <w:r w:rsidR="007E22F4">
        <w:t xml:space="preserve"> </w:t>
      </w:r>
      <w:r w:rsidR="00184A26">
        <w:t>with DFAT and ensuring</w:t>
      </w:r>
      <w:r>
        <w:t xml:space="preserve"> the program remains responsive to emerging opportunities and changing priorities during implementation; </w:t>
      </w:r>
    </w:p>
    <w:p w14:paraId="5CE718B3" w14:textId="1A925A05" w:rsidR="00737DB5" w:rsidRDefault="00737DB5" w:rsidP="004B220D">
      <w:pPr>
        <w:pStyle w:val="ListParagraph"/>
        <w:numPr>
          <w:ilvl w:val="0"/>
          <w:numId w:val="45"/>
        </w:numPr>
      </w:pPr>
      <w:r>
        <w:t>Maintain</w:t>
      </w:r>
      <w:r w:rsidR="00184A26">
        <w:t>ing</w:t>
      </w:r>
      <w:r>
        <w:t xml:space="preserve"> strategic oversight of all aspects</w:t>
      </w:r>
      <w:r w:rsidR="00184A26">
        <w:t xml:space="preserve"> of program delivery and providing</w:t>
      </w:r>
      <w:r>
        <w:t xml:space="preserve"> strategic direction and advice to address implementation issues;</w:t>
      </w:r>
    </w:p>
    <w:p w14:paraId="610997A2" w14:textId="191B2534" w:rsidR="00737DB5" w:rsidRDefault="00737DB5" w:rsidP="004B220D">
      <w:pPr>
        <w:pStyle w:val="ListParagraph"/>
        <w:numPr>
          <w:ilvl w:val="0"/>
          <w:numId w:val="45"/>
        </w:numPr>
      </w:pPr>
      <w:r>
        <w:t>Oversee</w:t>
      </w:r>
      <w:r w:rsidR="00184A26">
        <w:t>ing</w:t>
      </w:r>
      <w:r>
        <w:t xml:space="preserve"> implementation of all ke</w:t>
      </w:r>
      <w:r w:rsidR="00184A26">
        <w:t>y program strategies and providing</w:t>
      </w:r>
      <w:r>
        <w:t xml:space="preserve"> regular updates to DFAT on their implementation;</w:t>
      </w:r>
    </w:p>
    <w:p w14:paraId="651F39D6" w14:textId="2C472CED" w:rsidR="00355B0D" w:rsidRDefault="00737DB5" w:rsidP="004B220D">
      <w:pPr>
        <w:pStyle w:val="ListParagraph"/>
        <w:numPr>
          <w:ilvl w:val="0"/>
          <w:numId w:val="45"/>
        </w:numPr>
      </w:pPr>
      <w:r>
        <w:t>Oversee</w:t>
      </w:r>
      <w:r w:rsidR="00184A26">
        <w:t xml:space="preserve">ing </w:t>
      </w:r>
      <w:r>
        <w:t xml:space="preserve">risk </w:t>
      </w:r>
      <w:r w:rsidR="00184A26">
        <w:t xml:space="preserve">management strategy and providing </w:t>
      </w:r>
      <w:r>
        <w:t>DFAT with regular verbal and written up</w:t>
      </w:r>
      <w:r w:rsidR="00184A26">
        <w:t xml:space="preserve">dates on existing and new risks. </w:t>
      </w:r>
    </w:p>
    <w:p w14:paraId="1A3F8279" w14:textId="6B84A802" w:rsidR="00F623FE" w:rsidRDefault="00F623FE" w:rsidP="00F623FE">
      <w:pPr>
        <w:rPr>
          <w:b/>
        </w:rPr>
      </w:pPr>
      <w:r>
        <w:rPr>
          <w:b/>
        </w:rPr>
        <w:t xml:space="preserve">Key Relationships: </w:t>
      </w:r>
    </w:p>
    <w:p w14:paraId="31FDD02F" w14:textId="00534A64" w:rsidR="00737DB5" w:rsidRPr="00CA2F29" w:rsidRDefault="00737DB5" w:rsidP="004B220D">
      <w:pPr>
        <w:pStyle w:val="ListParagraph"/>
        <w:numPr>
          <w:ilvl w:val="0"/>
          <w:numId w:val="42"/>
        </w:numPr>
        <w:spacing w:after="200" w:line="276" w:lineRule="auto"/>
      </w:pPr>
      <w:r>
        <w:t xml:space="preserve">Work closely with DFAT </w:t>
      </w:r>
      <w:r w:rsidR="004B19F5">
        <w:t xml:space="preserve">Jakarta </w:t>
      </w:r>
      <w:r w:rsidR="00184A26">
        <w:t xml:space="preserve">Post </w:t>
      </w:r>
      <w:r>
        <w:t>and the Team Leader.</w:t>
      </w:r>
    </w:p>
    <w:p w14:paraId="7128713D" w14:textId="08C918B5" w:rsidR="00737DB5" w:rsidRPr="00CA2F29" w:rsidRDefault="00737DB5" w:rsidP="004B220D">
      <w:pPr>
        <w:pStyle w:val="ListParagraph"/>
        <w:numPr>
          <w:ilvl w:val="0"/>
          <w:numId w:val="42"/>
        </w:numPr>
        <w:spacing w:after="200" w:line="276" w:lineRule="auto"/>
      </w:pPr>
      <w:r w:rsidRPr="00CA2F29">
        <w:t>Reports to, works with and receives strategic guidance</w:t>
      </w:r>
      <w:r w:rsidR="00184A26">
        <w:t xml:space="preserve"> from Officers of</w:t>
      </w:r>
      <w:r w:rsidRPr="00CA2F29">
        <w:t xml:space="preserve"> </w:t>
      </w:r>
      <w:r w:rsidR="00373375">
        <w:t xml:space="preserve">the selected </w:t>
      </w:r>
      <w:r>
        <w:t>Contractor</w:t>
      </w:r>
      <w:r w:rsidRPr="00CA2F29">
        <w:t>.</w:t>
      </w:r>
    </w:p>
    <w:p w14:paraId="163ED3CC" w14:textId="1BF51256" w:rsidR="00F623FE" w:rsidRPr="000E0508" w:rsidRDefault="00737DB5" w:rsidP="004B220D">
      <w:pPr>
        <w:pStyle w:val="ListParagraph"/>
        <w:numPr>
          <w:ilvl w:val="0"/>
          <w:numId w:val="42"/>
        </w:numPr>
        <w:spacing w:after="200" w:line="276" w:lineRule="auto"/>
      </w:pPr>
      <w:r>
        <w:t>Coordinates regularly with DFAT</w:t>
      </w:r>
      <w:r w:rsidR="00184A26">
        <w:t xml:space="preserve"> </w:t>
      </w:r>
      <w:r w:rsidR="004B19F5">
        <w:t xml:space="preserve">(Jakarta </w:t>
      </w:r>
      <w:r w:rsidR="00184A26">
        <w:t>Post and Canberra</w:t>
      </w:r>
      <w:r w:rsidR="004B19F5">
        <w:t>)</w:t>
      </w:r>
      <w:r>
        <w:t xml:space="preserve"> on </w:t>
      </w:r>
      <w:r w:rsidR="005D461A">
        <w:t>PRISMA-2</w:t>
      </w:r>
      <w:r>
        <w:t>.</w:t>
      </w:r>
    </w:p>
    <w:p w14:paraId="3FBB6147" w14:textId="77777777" w:rsidR="00BB0F80" w:rsidRDefault="00F623FE" w:rsidP="00F623FE">
      <w:pPr>
        <w:rPr>
          <w:b/>
        </w:rPr>
      </w:pPr>
      <w:r w:rsidRPr="00BB0F80">
        <w:rPr>
          <w:b/>
        </w:rPr>
        <w:t>Qualifications and Experience:</w:t>
      </w:r>
    </w:p>
    <w:p w14:paraId="4C03DD71" w14:textId="695A18D1" w:rsidR="00BB0F80" w:rsidRPr="00CA2F29" w:rsidRDefault="00BB0F80" w:rsidP="004B220D">
      <w:pPr>
        <w:pStyle w:val="ListParagraph"/>
        <w:numPr>
          <w:ilvl w:val="0"/>
          <w:numId w:val="40"/>
        </w:numPr>
        <w:spacing w:after="200" w:line="276" w:lineRule="auto"/>
        <w:rPr>
          <w:rFonts w:eastAsiaTheme="minorHAnsi"/>
        </w:rPr>
      </w:pPr>
      <w:r>
        <w:rPr>
          <w:rFonts w:eastAsiaTheme="minorHAnsi"/>
        </w:rPr>
        <w:lastRenderedPageBreak/>
        <w:t>15+ year</w:t>
      </w:r>
      <w:r w:rsidRPr="00CA2F29">
        <w:rPr>
          <w:rFonts w:eastAsiaTheme="minorHAnsi"/>
        </w:rPr>
        <w:t xml:space="preserve">s professional experience or equivalent combination of education and experience in </w:t>
      </w:r>
      <w:r>
        <w:rPr>
          <w:rFonts w:eastAsiaTheme="minorHAnsi"/>
        </w:rPr>
        <w:t>international development</w:t>
      </w:r>
      <w:r w:rsidRPr="00CA2F29">
        <w:rPr>
          <w:rFonts w:eastAsiaTheme="minorHAnsi"/>
        </w:rPr>
        <w:t xml:space="preserve">;  </w:t>
      </w:r>
    </w:p>
    <w:p w14:paraId="190AF5E4" w14:textId="54701A22" w:rsidR="00BB0F80" w:rsidRDefault="00BB0F80" w:rsidP="004B220D">
      <w:pPr>
        <w:pStyle w:val="ListParagraph"/>
        <w:numPr>
          <w:ilvl w:val="0"/>
          <w:numId w:val="40"/>
        </w:numPr>
        <w:spacing w:after="200" w:line="276" w:lineRule="auto"/>
        <w:rPr>
          <w:rFonts w:eastAsiaTheme="minorHAnsi"/>
        </w:rPr>
      </w:pPr>
      <w:r>
        <w:rPr>
          <w:rFonts w:eastAsiaTheme="minorHAnsi"/>
        </w:rPr>
        <w:t>Demonstrated skills and experience in contract and project management including budgeting and financial reporting;</w:t>
      </w:r>
    </w:p>
    <w:p w14:paraId="0BEA9CC8" w14:textId="2B1D589B" w:rsidR="00184A26" w:rsidRDefault="00184A26" w:rsidP="004B220D">
      <w:pPr>
        <w:pStyle w:val="ListParagraph"/>
        <w:numPr>
          <w:ilvl w:val="0"/>
          <w:numId w:val="40"/>
        </w:numPr>
        <w:spacing w:after="200" w:line="276" w:lineRule="auto"/>
        <w:rPr>
          <w:rFonts w:eastAsiaTheme="minorHAnsi"/>
        </w:rPr>
      </w:pPr>
      <w:r>
        <w:rPr>
          <w:rFonts w:eastAsiaTheme="minorHAnsi"/>
        </w:rPr>
        <w:t>Recent experience in the novation of personnel contracts and activity agreements during a transition to a new phase of an on-going development cooperation investment;</w:t>
      </w:r>
    </w:p>
    <w:p w14:paraId="1FDCEE41" w14:textId="6452EAAA" w:rsidR="00184A26" w:rsidRDefault="00184A26" w:rsidP="004B220D">
      <w:pPr>
        <w:pStyle w:val="ListParagraph"/>
        <w:numPr>
          <w:ilvl w:val="0"/>
          <w:numId w:val="40"/>
        </w:numPr>
        <w:spacing w:after="200" w:line="276" w:lineRule="auto"/>
        <w:rPr>
          <w:rFonts w:eastAsiaTheme="minorHAnsi"/>
        </w:rPr>
      </w:pPr>
      <w:r>
        <w:rPr>
          <w:rFonts w:eastAsiaTheme="minorHAnsi"/>
        </w:rPr>
        <w:t>Current understanding of relevant Australian and Indonesian laws and regulations and the practical approach to compliance required in Indonesia;</w:t>
      </w:r>
    </w:p>
    <w:p w14:paraId="4B530800" w14:textId="31052E1D" w:rsidR="00BB0F80" w:rsidRDefault="00BB0F80" w:rsidP="004B220D">
      <w:pPr>
        <w:pStyle w:val="ListParagraph"/>
        <w:numPr>
          <w:ilvl w:val="0"/>
          <w:numId w:val="40"/>
        </w:numPr>
        <w:spacing w:after="200" w:line="276" w:lineRule="auto"/>
        <w:rPr>
          <w:rFonts w:eastAsiaTheme="minorHAnsi"/>
        </w:rPr>
      </w:pPr>
      <w:r>
        <w:rPr>
          <w:rFonts w:eastAsiaTheme="minorHAnsi"/>
        </w:rPr>
        <w:t xml:space="preserve">Strong understanding of DFAT </w:t>
      </w:r>
      <w:r w:rsidR="00184A26">
        <w:rPr>
          <w:rFonts w:eastAsiaTheme="minorHAnsi"/>
        </w:rPr>
        <w:t xml:space="preserve">policies, </w:t>
      </w:r>
      <w:r>
        <w:rPr>
          <w:rFonts w:eastAsiaTheme="minorHAnsi"/>
        </w:rPr>
        <w:t>systems and requirements</w:t>
      </w:r>
      <w:r w:rsidR="008227DF">
        <w:rPr>
          <w:rFonts w:eastAsiaTheme="minorHAnsi"/>
        </w:rPr>
        <w:t>, including on gender, environmental protection, private sector engagement, and M&amp;E</w:t>
      </w:r>
      <w:r w:rsidRPr="00CA2F29">
        <w:rPr>
          <w:rFonts w:eastAsiaTheme="minorHAnsi"/>
        </w:rPr>
        <w:t xml:space="preserve">;  </w:t>
      </w:r>
    </w:p>
    <w:p w14:paraId="70F44BD9" w14:textId="305BD5E6" w:rsidR="00BB0F80" w:rsidRPr="00CA2F29" w:rsidRDefault="00BB0F80" w:rsidP="004B220D">
      <w:pPr>
        <w:pStyle w:val="ListParagraph"/>
        <w:numPr>
          <w:ilvl w:val="0"/>
          <w:numId w:val="40"/>
        </w:numPr>
        <w:spacing w:after="200" w:line="276" w:lineRule="auto"/>
        <w:rPr>
          <w:rFonts w:eastAsiaTheme="minorHAnsi"/>
        </w:rPr>
      </w:pPr>
      <w:r>
        <w:rPr>
          <w:rFonts w:eastAsiaTheme="minorHAnsi"/>
        </w:rPr>
        <w:t>Proven experience providing</w:t>
      </w:r>
      <w:r w:rsidRPr="00CA2F29">
        <w:rPr>
          <w:rFonts w:eastAsiaTheme="minorHAnsi"/>
        </w:rPr>
        <w:t xml:space="preserve"> strategic directi</w:t>
      </w:r>
      <w:r>
        <w:rPr>
          <w:rFonts w:eastAsiaTheme="minorHAnsi"/>
        </w:rPr>
        <w:t xml:space="preserve">on and management support to </w:t>
      </w:r>
      <w:r w:rsidRPr="00CA2F29">
        <w:rPr>
          <w:rFonts w:eastAsiaTheme="minorHAnsi"/>
        </w:rPr>
        <w:t>m</w:t>
      </w:r>
      <w:r w:rsidR="00135409">
        <w:rPr>
          <w:rFonts w:eastAsiaTheme="minorHAnsi"/>
        </w:rPr>
        <w:t>ulti-disciplinary teams</w:t>
      </w:r>
      <w:r w:rsidRPr="00CA2F29">
        <w:rPr>
          <w:rFonts w:eastAsiaTheme="minorHAnsi"/>
        </w:rPr>
        <w:t>;</w:t>
      </w:r>
    </w:p>
    <w:p w14:paraId="6268D31C" w14:textId="3F31C544" w:rsidR="00BB0F80" w:rsidRDefault="00BB0F80" w:rsidP="004B220D">
      <w:pPr>
        <w:pStyle w:val="ListParagraph"/>
        <w:numPr>
          <w:ilvl w:val="0"/>
          <w:numId w:val="40"/>
        </w:numPr>
        <w:spacing w:after="200" w:line="276" w:lineRule="auto"/>
        <w:rPr>
          <w:rFonts w:eastAsiaTheme="minorHAnsi"/>
        </w:rPr>
      </w:pPr>
      <w:r>
        <w:rPr>
          <w:rFonts w:eastAsiaTheme="minorHAnsi"/>
        </w:rPr>
        <w:t>Excellent verbal and written communication skills</w:t>
      </w:r>
      <w:r w:rsidR="00135409">
        <w:rPr>
          <w:rFonts w:eastAsiaTheme="minorHAnsi"/>
        </w:rPr>
        <w:t xml:space="preserve"> in English</w:t>
      </w:r>
      <w:r>
        <w:rPr>
          <w:rFonts w:eastAsiaTheme="minorHAnsi"/>
        </w:rPr>
        <w:t>;</w:t>
      </w:r>
    </w:p>
    <w:p w14:paraId="7A98E3D2" w14:textId="205317E0" w:rsidR="00135409" w:rsidRDefault="00135409" w:rsidP="004B220D">
      <w:pPr>
        <w:pStyle w:val="ListParagraph"/>
        <w:numPr>
          <w:ilvl w:val="0"/>
          <w:numId w:val="40"/>
        </w:numPr>
        <w:spacing w:after="200" w:line="276" w:lineRule="auto"/>
        <w:rPr>
          <w:rFonts w:eastAsiaTheme="minorHAnsi"/>
        </w:rPr>
      </w:pPr>
      <w:r>
        <w:rPr>
          <w:rFonts w:eastAsiaTheme="minorHAnsi"/>
        </w:rPr>
        <w:t>Speaking, reading and writing skills in Indonesian a distinct advantage; and</w:t>
      </w:r>
    </w:p>
    <w:p w14:paraId="798A42DC" w14:textId="57E00FCF" w:rsidR="00350F65" w:rsidRPr="00D91D8B" w:rsidRDefault="00BB0F80" w:rsidP="004B220D">
      <w:pPr>
        <w:pStyle w:val="ListParagraph"/>
        <w:numPr>
          <w:ilvl w:val="0"/>
          <w:numId w:val="40"/>
        </w:numPr>
        <w:spacing w:after="200" w:line="276" w:lineRule="auto"/>
        <w:rPr>
          <w:rFonts w:eastAsiaTheme="minorHAnsi"/>
        </w:rPr>
      </w:pPr>
      <w:r>
        <w:rPr>
          <w:rFonts w:eastAsiaTheme="minorHAnsi"/>
        </w:rPr>
        <w:t xml:space="preserve">Experience implementing or managing market systems development programs and/or </w:t>
      </w:r>
      <w:r w:rsidR="00135409">
        <w:rPr>
          <w:rFonts w:eastAsiaTheme="minorHAnsi"/>
        </w:rPr>
        <w:t>complex donor programs.</w:t>
      </w:r>
    </w:p>
    <w:p w14:paraId="6A78E0FC" w14:textId="6A9E336F" w:rsidR="00350F65" w:rsidRPr="00350F65" w:rsidRDefault="00350F65" w:rsidP="00350F65">
      <w:pPr>
        <w:pStyle w:val="Heading5"/>
        <w:tabs>
          <w:tab w:val="left" w:pos="1790"/>
        </w:tabs>
      </w:pPr>
      <w:r>
        <w:t>Team Leader</w:t>
      </w:r>
      <w:r w:rsidR="008227DF">
        <w:t xml:space="preserve"> (</w:t>
      </w:r>
      <w:r w:rsidR="008227DF">
        <w:rPr>
          <w:caps w:val="0"/>
        </w:rPr>
        <w:t>To Be Recruited Jointly With DFAT</w:t>
      </w:r>
      <w:r w:rsidR="008227DF">
        <w:t>)</w:t>
      </w:r>
      <w:r>
        <w:tab/>
      </w:r>
    </w:p>
    <w:p w14:paraId="2490A691" w14:textId="77777777" w:rsidR="00350F65" w:rsidRPr="009176C7" w:rsidRDefault="00350F65" w:rsidP="00350F65">
      <w:pPr>
        <w:rPr>
          <w:rFonts w:cs="Arial"/>
          <w:lang w:val="en-US"/>
        </w:rPr>
      </w:pPr>
      <w:r w:rsidRPr="00B70643">
        <w:rPr>
          <w:b/>
        </w:rPr>
        <w:t>ARF Professional Discipline Category and Job Level</w:t>
      </w:r>
      <w:r w:rsidRPr="009176C7">
        <w:t xml:space="preserve">: </w:t>
      </w:r>
      <w:r w:rsidRPr="009176C7">
        <w:rPr>
          <w:rFonts w:cs="Arial"/>
          <w:lang w:val="en-US"/>
        </w:rPr>
        <w:t xml:space="preserve">Discipline </w:t>
      </w:r>
      <w:r>
        <w:rPr>
          <w:rFonts w:cs="Arial"/>
          <w:lang w:val="en-US"/>
        </w:rPr>
        <w:t>D</w:t>
      </w:r>
      <w:r w:rsidRPr="009176C7">
        <w:rPr>
          <w:rFonts w:cs="Arial"/>
          <w:lang w:val="en-US"/>
        </w:rPr>
        <w:t>, Job Level 4</w:t>
      </w:r>
    </w:p>
    <w:p w14:paraId="5C52D134" w14:textId="5C30160C" w:rsidR="00350F65" w:rsidRPr="009176C7" w:rsidRDefault="00350F65" w:rsidP="00350F65">
      <w:r w:rsidRPr="00B70643">
        <w:rPr>
          <w:b/>
        </w:rPr>
        <w:t>Duty Station</w:t>
      </w:r>
      <w:r w:rsidRPr="009176C7">
        <w:t>: Surabaya</w:t>
      </w:r>
      <w:r>
        <w:t>, Ind</w:t>
      </w:r>
      <w:r w:rsidR="00135409">
        <w:t xml:space="preserve">onesia with travel to program locations </w:t>
      </w:r>
      <w:r>
        <w:t>as required</w:t>
      </w:r>
    </w:p>
    <w:p w14:paraId="4DB2697D" w14:textId="2470EA69" w:rsidR="00350F65" w:rsidRPr="00350F65" w:rsidRDefault="00350F65" w:rsidP="00350F65">
      <w:r w:rsidRPr="00B70643">
        <w:rPr>
          <w:b/>
        </w:rPr>
        <w:t xml:space="preserve">Background: </w:t>
      </w:r>
      <w:r w:rsidR="005D461A">
        <w:t>PRISMA-2</w:t>
      </w:r>
      <w:r w:rsidRPr="00350F65">
        <w:t xml:space="preserve"> is a five-year program funded by the Australian Government through the Department of Foreign Affairs and Trade (DFAT). The program represents the second phase of Australian Government investment in market systems development in the agricultural sector in Indonesia</w:t>
      </w:r>
      <w:r w:rsidR="008227DF">
        <w:t>.</w:t>
      </w:r>
      <w:r w:rsidR="004328E1">
        <w:t xml:space="preserve"> PRISMA-2’s</w:t>
      </w:r>
      <w:r w:rsidRPr="00350F65">
        <w:t xml:space="preserve"> goal is to contribute to a 30% or more increase in net incomes for 700,000 smallholder farming households. Changes in income of poor farmer households are measured by changes in net income as a result of changed production practices. The Program will operate in 6 provinces, East Java, NTT, NTB, Papua, West Papua and Central Java</w:t>
      </w:r>
      <w:r w:rsidR="00A16DE2">
        <w:t xml:space="preserve">. </w:t>
      </w:r>
    </w:p>
    <w:p w14:paraId="5085C1F7" w14:textId="0C325C78" w:rsidR="00350F65" w:rsidRPr="00B70643" w:rsidRDefault="00350F65" w:rsidP="00350F65">
      <w:r w:rsidRPr="009C79CC">
        <w:rPr>
          <w:b/>
        </w:rPr>
        <w:t>Duties</w:t>
      </w:r>
      <w:r w:rsidR="000C7E61">
        <w:rPr>
          <w:b/>
        </w:rPr>
        <w:t xml:space="preserve">: </w:t>
      </w:r>
      <w:r w:rsidR="00A16DE2">
        <w:t>The</w:t>
      </w:r>
      <w:r>
        <w:t xml:space="preserve"> responsibilities of the Team Leader will include, but not be limited to</w:t>
      </w:r>
      <w:r w:rsidRPr="003166CB">
        <w:rPr>
          <w:rFonts w:eastAsiaTheme="minorHAnsi"/>
        </w:rPr>
        <w:t>:</w:t>
      </w:r>
    </w:p>
    <w:p w14:paraId="366F0D9A" w14:textId="2C5B772D" w:rsidR="00350F65" w:rsidRDefault="00350F65" w:rsidP="004B220D">
      <w:pPr>
        <w:pStyle w:val="ListParagraph"/>
        <w:numPr>
          <w:ilvl w:val="0"/>
          <w:numId w:val="41"/>
        </w:numPr>
        <w:spacing w:after="200" w:line="276" w:lineRule="auto"/>
      </w:pPr>
      <w:r>
        <w:t>Lead</w:t>
      </w:r>
      <w:r w:rsidR="00135409">
        <w:t>ing and managing</w:t>
      </w:r>
      <w:r w:rsidRPr="00CA2F29">
        <w:t xml:space="preserve"> the delivery of </w:t>
      </w:r>
      <w:r>
        <w:t xml:space="preserve">all services and activities under </w:t>
      </w:r>
      <w:r w:rsidR="005D461A">
        <w:t>PRISMA-2</w:t>
      </w:r>
      <w:r>
        <w:t xml:space="preserve"> </w:t>
      </w:r>
      <w:r w:rsidRPr="00CA2F29">
        <w:t>to maximise value for money and effectiveness, in coordination and collaboration with</w:t>
      </w:r>
      <w:r>
        <w:t xml:space="preserve"> DFAT</w:t>
      </w:r>
      <w:r w:rsidR="00135409">
        <w:t xml:space="preserve"> and its Indonesian partners</w:t>
      </w:r>
      <w:r>
        <w:t>;</w:t>
      </w:r>
    </w:p>
    <w:p w14:paraId="5D69A3DC" w14:textId="3D610DBB" w:rsidR="00350F65" w:rsidRDefault="00350F65" w:rsidP="004B220D">
      <w:pPr>
        <w:pStyle w:val="ListParagraph"/>
        <w:numPr>
          <w:ilvl w:val="0"/>
          <w:numId w:val="41"/>
        </w:numPr>
        <w:spacing w:after="200" w:line="276" w:lineRule="auto"/>
      </w:pPr>
      <w:r>
        <w:t>Build</w:t>
      </w:r>
      <w:r w:rsidR="00135409">
        <w:t>ing</w:t>
      </w:r>
      <w:r>
        <w:t xml:space="preserve"> and maintain</w:t>
      </w:r>
      <w:r w:rsidR="00135409">
        <w:t xml:space="preserve">ing an </w:t>
      </w:r>
      <w:r>
        <w:t>effective organisation that deliver</w:t>
      </w:r>
      <w:r w:rsidR="00135409">
        <w:t>s</w:t>
      </w:r>
      <w:r>
        <w:t xml:space="preserve"> the expected results and achieve</w:t>
      </w:r>
      <w:r w:rsidR="00135409">
        <w:t>s</w:t>
      </w:r>
      <w:r>
        <w:t xml:space="preserve"> program outcomes</w:t>
      </w:r>
      <w:r w:rsidR="00135409">
        <w:t xml:space="preserve"> and targets</w:t>
      </w:r>
      <w:r>
        <w:t xml:space="preserve">; </w:t>
      </w:r>
    </w:p>
    <w:p w14:paraId="38C023BC" w14:textId="4F46B082" w:rsidR="00350F65" w:rsidRDefault="00350F65" w:rsidP="004B220D">
      <w:pPr>
        <w:pStyle w:val="ListParagraph"/>
        <w:numPr>
          <w:ilvl w:val="0"/>
          <w:numId w:val="41"/>
        </w:numPr>
        <w:spacing w:after="200" w:line="276" w:lineRule="auto"/>
      </w:pPr>
      <w:r>
        <w:t>Build</w:t>
      </w:r>
      <w:r w:rsidR="00135409">
        <w:t>ing</w:t>
      </w:r>
      <w:r>
        <w:t xml:space="preserve"> and maintain</w:t>
      </w:r>
      <w:r w:rsidR="00135409">
        <w:t>ing</w:t>
      </w:r>
      <w:r>
        <w:t xml:space="preserve"> excellent relations with all relevant external stakeholders, especially DFAT, the Indonesian Government </w:t>
      </w:r>
      <w:r w:rsidR="00135409">
        <w:t xml:space="preserve">at national and provincial levels, </w:t>
      </w:r>
      <w:r>
        <w:t xml:space="preserve">and public and private direct stakeholders; </w:t>
      </w:r>
    </w:p>
    <w:p w14:paraId="3E27C3F4" w14:textId="341D6760" w:rsidR="00350F65" w:rsidRDefault="00135409" w:rsidP="004B220D">
      <w:pPr>
        <w:pStyle w:val="ListParagraph"/>
        <w:numPr>
          <w:ilvl w:val="0"/>
          <w:numId w:val="41"/>
        </w:numPr>
        <w:spacing w:after="200" w:line="276" w:lineRule="auto"/>
      </w:pPr>
      <w:r>
        <w:t>Managing</w:t>
      </w:r>
      <w:r w:rsidR="00350F65">
        <w:t xml:space="preserve"> approval of all program activities and oversight all aspects of program delivery;</w:t>
      </w:r>
    </w:p>
    <w:p w14:paraId="16954D9F" w14:textId="4DE65362" w:rsidR="00350F65" w:rsidRPr="00CA2F29" w:rsidRDefault="00350F65" w:rsidP="004B220D">
      <w:pPr>
        <w:pStyle w:val="ListParagraph"/>
        <w:numPr>
          <w:ilvl w:val="0"/>
          <w:numId w:val="41"/>
        </w:numPr>
        <w:spacing w:after="200" w:line="276" w:lineRule="auto"/>
      </w:pPr>
      <w:r>
        <w:t>Lead</w:t>
      </w:r>
      <w:r w:rsidR="00135409">
        <w:t>ing</w:t>
      </w:r>
      <w:r>
        <w:t xml:space="preserve"> the development </w:t>
      </w:r>
      <w:r w:rsidR="00135409">
        <w:t xml:space="preserve">of all key strategies needed for effective delivery of </w:t>
      </w:r>
      <w:r w:rsidR="005D461A">
        <w:t>PRISMA-2</w:t>
      </w:r>
      <w:r w:rsidR="00135409">
        <w:t>;</w:t>
      </w:r>
    </w:p>
    <w:p w14:paraId="55A6F971" w14:textId="42AD3080" w:rsidR="00135409" w:rsidRDefault="00135409" w:rsidP="004B220D">
      <w:pPr>
        <w:pStyle w:val="ListParagraph"/>
        <w:numPr>
          <w:ilvl w:val="0"/>
          <w:numId w:val="41"/>
        </w:numPr>
        <w:spacing w:after="200" w:line="276" w:lineRule="auto"/>
      </w:pPr>
      <w:r>
        <w:t>Managing the tactical delivery of key strategies using tools and approaches that efficiently deliver expected outcomes and targets;</w:t>
      </w:r>
    </w:p>
    <w:p w14:paraId="092A68C2" w14:textId="5EC4A0B1" w:rsidR="00135409" w:rsidRDefault="00135409" w:rsidP="004B220D">
      <w:pPr>
        <w:pStyle w:val="ListParagraph"/>
        <w:numPr>
          <w:ilvl w:val="0"/>
          <w:numId w:val="41"/>
        </w:numPr>
        <w:spacing w:after="200" w:line="276" w:lineRule="auto"/>
      </w:pPr>
      <w:r>
        <w:t>Ensuring the program maintains a clear and consistent direction and support transparent and consistent communication to external stakeholders;</w:t>
      </w:r>
    </w:p>
    <w:p w14:paraId="78CF8867" w14:textId="57B6B559" w:rsidR="00350F65" w:rsidRDefault="00350F65" w:rsidP="004B220D">
      <w:pPr>
        <w:pStyle w:val="ListParagraph"/>
        <w:numPr>
          <w:ilvl w:val="0"/>
          <w:numId w:val="41"/>
        </w:numPr>
        <w:spacing w:after="200" w:line="276" w:lineRule="auto"/>
      </w:pPr>
      <w:r w:rsidRPr="00CA2F29">
        <w:lastRenderedPageBreak/>
        <w:t>Directl</w:t>
      </w:r>
      <w:r w:rsidR="00135409">
        <w:t>y managing</w:t>
      </w:r>
      <w:r w:rsidRPr="00CA2F29">
        <w:t xml:space="preserve"> </w:t>
      </w:r>
      <w:r w:rsidR="000C7E61">
        <w:t>the Core</w:t>
      </w:r>
      <w:r>
        <w:t xml:space="preserve"> Management Team, </w:t>
      </w:r>
      <w:r w:rsidRPr="00CA2F29">
        <w:t xml:space="preserve">Heads of </w:t>
      </w:r>
      <w:r>
        <w:t xml:space="preserve">Portfolio </w:t>
      </w:r>
      <w:r w:rsidRPr="00CA2F29">
        <w:t>and Head of Results Measurem</w:t>
      </w:r>
      <w:r>
        <w:t>ent and Learning;</w:t>
      </w:r>
    </w:p>
    <w:p w14:paraId="4CB0C7BC" w14:textId="355DE33C" w:rsidR="00350F65" w:rsidRDefault="00350F65" w:rsidP="004B220D">
      <w:pPr>
        <w:pStyle w:val="ListParagraph"/>
        <w:numPr>
          <w:ilvl w:val="0"/>
          <w:numId w:val="41"/>
        </w:numPr>
        <w:spacing w:after="200" w:line="276" w:lineRule="auto"/>
      </w:pPr>
      <w:r>
        <w:t>Lead</w:t>
      </w:r>
      <w:r w:rsidR="00135409">
        <w:t>ing</w:t>
      </w:r>
      <w:r>
        <w:t xml:space="preserve"> the </w:t>
      </w:r>
      <w:r w:rsidR="005D461A">
        <w:t>PRISMA-2</w:t>
      </w:r>
      <w:r>
        <w:t xml:space="preserve"> team,</w:t>
      </w:r>
      <w:r w:rsidRPr="00CA2F29">
        <w:t xml:space="preserve"> maintain</w:t>
      </w:r>
      <w:r>
        <w:t>ing</w:t>
      </w:r>
      <w:r w:rsidRPr="00CA2F29">
        <w:t xml:space="preserve"> an appropriate businesslike, entrepreneurial, dynamic and lesson-learning culture across the whole team and be responsible for ensuring overall </w:t>
      </w:r>
      <w:r>
        <w:t>team cohesion and effectiveness;</w:t>
      </w:r>
    </w:p>
    <w:p w14:paraId="34EB5BED" w14:textId="567581F7" w:rsidR="00350F65" w:rsidRDefault="00135409" w:rsidP="004B220D">
      <w:pPr>
        <w:pStyle w:val="ListParagraph"/>
        <w:numPr>
          <w:ilvl w:val="0"/>
          <w:numId w:val="41"/>
        </w:numPr>
        <w:spacing w:after="200" w:line="276" w:lineRule="auto"/>
      </w:pPr>
      <w:r>
        <w:t>Supervising</w:t>
      </w:r>
      <w:r w:rsidR="00350F65">
        <w:t>, coach</w:t>
      </w:r>
      <w:r>
        <w:t>ing</w:t>
      </w:r>
      <w:r w:rsidR="00350F65">
        <w:t xml:space="preserve"> and mentor</w:t>
      </w:r>
      <w:r>
        <w:t>ing</w:t>
      </w:r>
      <w:r w:rsidR="00350F65">
        <w:t xml:space="preserve"> the </w:t>
      </w:r>
      <w:r w:rsidR="000C7E61">
        <w:t>PRISMA-2 Core</w:t>
      </w:r>
      <w:r>
        <w:t xml:space="preserve"> Management Team</w:t>
      </w:r>
      <w:r w:rsidR="00350F65">
        <w:t>, especially on strategic and critical aspects of implementation;</w:t>
      </w:r>
    </w:p>
    <w:p w14:paraId="44326AC4" w14:textId="5B29F960" w:rsidR="00350F65" w:rsidRPr="00CA2F29" w:rsidRDefault="00350F65" w:rsidP="004B220D">
      <w:pPr>
        <w:pStyle w:val="ListParagraph"/>
        <w:numPr>
          <w:ilvl w:val="0"/>
          <w:numId w:val="41"/>
        </w:numPr>
        <w:spacing w:after="200" w:line="276" w:lineRule="auto"/>
      </w:pPr>
      <w:r w:rsidRPr="00CA2F29">
        <w:t>Identify</w:t>
      </w:r>
      <w:r w:rsidR="00135409">
        <w:t>ing</w:t>
      </w:r>
      <w:r w:rsidRPr="00CA2F29">
        <w:t xml:space="preserve"> strategic opportunities and challenges at all levels, and</w:t>
      </w:r>
      <w:r w:rsidR="00135409">
        <w:t xml:space="preserve"> working with the Contractor and DFAT to</w:t>
      </w:r>
      <w:r w:rsidRPr="00CA2F29">
        <w:t xml:space="preserve"> adjust </w:t>
      </w:r>
      <w:r w:rsidR="005D461A">
        <w:t>PRISMA-2</w:t>
      </w:r>
      <w:r w:rsidRPr="00CA2F29">
        <w:t>’s strategy, staf</w:t>
      </w:r>
      <w:r>
        <w:t>fing and resourcing accordingly;</w:t>
      </w:r>
    </w:p>
    <w:p w14:paraId="5D36A89C" w14:textId="21E96E69" w:rsidR="00350F65" w:rsidRPr="00CA2F29" w:rsidRDefault="00350F65" w:rsidP="004B220D">
      <w:pPr>
        <w:pStyle w:val="ListParagraph"/>
        <w:numPr>
          <w:ilvl w:val="0"/>
          <w:numId w:val="41"/>
        </w:numPr>
        <w:spacing w:after="200" w:line="276" w:lineRule="auto"/>
      </w:pPr>
      <w:r w:rsidRPr="00CA2F29">
        <w:t>P</w:t>
      </w:r>
      <w:r w:rsidR="00135409">
        <w:t>roviding</w:t>
      </w:r>
      <w:r>
        <w:t xml:space="preserve"> quality assurance of all reporting</w:t>
      </w:r>
      <w:r w:rsidRPr="00CA2F29">
        <w:t>, strategies, interventions, and results</w:t>
      </w:r>
      <w:r>
        <w:t xml:space="preserve"> measurement documents;</w:t>
      </w:r>
    </w:p>
    <w:p w14:paraId="14EF467C" w14:textId="0F9DAD30" w:rsidR="00350F65" w:rsidRPr="00CA2F29" w:rsidRDefault="00350F65" w:rsidP="004B220D">
      <w:pPr>
        <w:pStyle w:val="ListParagraph"/>
        <w:numPr>
          <w:ilvl w:val="0"/>
          <w:numId w:val="41"/>
        </w:numPr>
        <w:spacing w:after="200" w:line="276" w:lineRule="auto"/>
      </w:pPr>
      <w:r>
        <w:t>Oversight</w:t>
      </w:r>
      <w:r w:rsidR="00135409">
        <w:t>ing</w:t>
      </w:r>
      <w:r w:rsidRPr="00CA2F29">
        <w:t xml:space="preserve"> </w:t>
      </w:r>
      <w:r w:rsidR="005D461A">
        <w:t>PRISMA-2</w:t>
      </w:r>
      <w:r>
        <w:t xml:space="preserve"> </w:t>
      </w:r>
      <w:r w:rsidRPr="00CA2F29">
        <w:t xml:space="preserve">financial and operational systems </w:t>
      </w:r>
      <w:r w:rsidR="00135409">
        <w:t>and ensuring</w:t>
      </w:r>
      <w:r>
        <w:t xml:space="preserve"> they are used effectively </w:t>
      </w:r>
      <w:r w:rsidRPr="00CA2F29">
        <w:t>and in accordance with DFAT requ</w:t>
      </w:r>
      <w:r>
        <w:t>irements and program procedures;</w:t>
      </w:r>
    </w:p>
    <w:p w14:paraId="3A6FC668" w14:textId="0A06F0DD" w:rsidR="00350F65" w:rsidRDefault="00350F65" w:rsidP="004B220D">
      <w:pPr>
        <w:pStyle w:val="ListParagraph"/>
        <w:numPr>
          <w:ilvl w:val="0"/>
          <w:numId w:val="41"/>
        </w:numPr>
        <w:spacing w:after="200" w:line="276" w:lineRule="auto"/>
      </w:pPr>
      <w:r w:rsidRPr="00CA2F29">
        <w:t>Be</w:t>
      </w:r>
      <w:r w:rsidR="00135409">
        <w:t>ing</w:t>
      </w:r>
      <w:r w:rsidRPr="00CA2F29">
        <w:t xml:space="preserve"> the central point of </w:t>
      </w:r>
      <w:r>
        <w:t>day-to-</w:t>
      </w:r>
      <w:r w:rsidRPr="00CA2F29">
        <w:t>day communicat</w:t>
      </w:r>
      <w:r>
        <w:t xml:space="preserve">ion with DFAT; </w:t>
      </w:r>
    </w:p>
    <w:p w14:paraId="6D1B68EF" w14:textId="488FB81E" w:rsidR="00350F65" w:rsidRDefault="00135409" w:rsidP="004B220D">
      <w:pPr>
        <w:pStyle w:val="ListParagraph"/>
        <w:numPr>
          <w:ilvl w:val="0"/>
          <w:numId w:val="41"/>
        </w:numPr>
        <w:spacing w:after="200" w:line="276" w:lineRule="auto"/>
      </w:pPr>
      <w:r>
        <w:t>Managing</w:t>
      </w:r>
      <w:r w:rsidR="00350F65">
        <w:t xml:space="preserve"> the identification of all major program risks and </w:t>
      </w:r>
      <w:r>
        <w:t xml:space="preserve">leading team </w:t>
      </w:r>
      <w:r w:rsidR="00350F65">
        <w:t>develop</w:t>
      </w:r>
      <w:r>
        <w:t>ment, updating</w:t>
      </w:r>
      <w:r w:rsidR="00350F65">
        <w:t xml:space="preserve"> and implement</w:t>
      </w:r>
      <w:r>
        <w:t>ation of</w:t>
      </w:r>
      <w:r w:rsidR="00350F65">
        <w:t xml:space="preserve"> an effective risk management strategy; </w:t>
      </w:r>
    </w:p>
    <w:p w14:paraId="4F957AE8" w14:textId="3254BECF" w:rsidR="00350F65" w:rsidRDefault="00350F65" w:rsidP="004B220D">
      <w:pPr>
        <w:pStyle w:val="ListParagraph"/>
        <w:numPr>
          <w:ilvl w:val="0"/>
          <w:numId w:val="41"/>
        </w:numPr>
        <w:spacing w:after="200" w:line="276" w:lineRule="auto"/>
      </w:pPr>
      <w:r>
        <w:t>Oversight</w:t>
      </w:r>
      <w:r w:rsidR="00135409">
        <w:t>ing</w:t>
      </w:r>
      <w:r>
        <w:t xml:space="preserve"> effective, low-risk financial systems and quality reporting and forecasting; </w:t>
      </w:r>
    </w:p>
    <w:p w14:paraId="249B99E7" w14:textId="77777777" w:rsidR="00135409" w:rsidRDefault="00135409" w:rsidP="004B220D">
      <w:pPr>
        <w:pStyle w:val="ListParagraph"/>
        <w:numPr>
          <w:ilvl w:val="0"/>
          <w:numId w:val="41"/>
        </w:numPr>
        <w:spacing w:after="200" w:line="276" w:lineRule="auto"/>
      </w:pPr>
      <w:r>
        <w:t>Leading periodic portfolio review functions using the Quality Management Tool;</w:t>
      </w:r>
    </w:p>
    <w:p w14:paraId="46EE2809" w14:textId="0E285ACD" w:rsidR="00135409" w:rsidRDefault="00135409" w:rsidP="004B220D">
      <w:pPr>
        <w:pStyle w:val="ListParagraph"/>
        <w:numPr>
          <w:ilvl w:val="0"/>
          <w:numId w:val="41"/>
        </w:numPr>
        <w:spacing w:after="200" w:line="276" w:lineRule="auto"/>
      </w:pPr>
      <w:r>
        <w:t>Systematically using information from the Monitoring and Results Measurement system;</w:t>
      </w:r>
    </w:p>
    <w:p w14:paraId="3498E748" w14:textId="7648DC5A" w:rsidR="00350F65" w:rsidRDefault="00350F65" w:rsidP="004B220D">
      <w:pPr>
        <w:pStyle w:val="ListParagraph"/>
        <w:numPr>
          <w:ilvl w:val="0"/>
          <w:numId w:val="41"/>
        </w:numPr>
        <w:spacing w:after="200" w:line="276" w:lineRule="auto"/>
      </w:pPr>
      <w:r>
        <w:t>Lead</w:t>
      </w:r>
      <w:r w:rsidR="00135409">
        <w:t>ing</w:t>
      </w:r>
      <w:r>
        <w:t xml:space="preserve"> program reporting requirements including the delivery of timely, accurate and high-quality reports. </w:t>
      </w:r>
    </w:p>
    <w:p w14:paraId="68ED7631" w14:textId="170A26AE" w:rsidR="00350F65" w:rsidRDefault="00135409" w:rsidP="004B220D">
      <w:pPr>
        <w:pStyle w:val="ListParagraph"/>
        <w:numPr>
          <w:ilvl w:val="0"/>
          <w:numId w:val="41"/>
        </w:numPr>
        <w:spacing w:after="200" w:line="276" w:lineRule="auto"/>
      </w:pPr>
      <w:r>
        <w:t>Managing</w:t>
      </w:r>
      <w:r w:rsidR="00350F65">
        <w:t xml:space="preserve"> and lead</w:t>
      </w:r>
      <w:r>
        <w:t>ing</w:t>
      </w:r>
      <w:r w:rsidR="00350F65">
        <w:t xml:space="preserve"> </w:t>
      </w:r>
      <w:r>
        <w:t>response to</w:t>
      </w:r>
      <w:r w:rsidR="00350F65">
        <w:t xml:space="preserve"> cross-cutting issues relevant to the program including gender and women’s empowerment, the environment</w:t>
      </w:r>
      <w:r w:rsidR="008227DF">
        <w:t>,</w:t>
      </w:r>
      <w:r w:rsidR="00350F65">
        <w:t xml:space="preserve"> and animal welfare; </w:t>
      </w:r>
    </w:p>
    <w:p w14:paraId="3A86FFF7" w14:textId="61554FFD" w:rsidR="00F03610" w:rsidRDefault="00F03610" w:rsidP="004B220D">
      <w:pPr>
        <w:pStyle w:val="ListParagraph"/>
        <w:numPr>
          <w:ilvl w:val="0"/>
          <w:numId w:val="41"/>
        </w:numPr>
        <w:spacing w:after="200" w:line="276" w:lineRule="auto"/>
      </w:pPr>
      <w:r>
        <w:t>Oversee</w:t>
      </w:r>
      <w:r w:rsidR="00135409">
        <w:t>ing</w:t>
      </w:r>
      <w:r>
        <w:t xml:space="preserve"> Results Measurement in line with DCED standards during implementation; </w:t>
      </w:r>
      <w:r w:rsidR="00135409">
        <w:t>and</w:t>
      </w:r>
    </w:p>
    <w:p w14:paraId="78DC291D" w14:textId="444D8DDA" w:rsidR="00350F65" w:rsidRPr="00CA2F29" w:rsidRDefault="00135409" w:rsidP="004B220D">
      <w:pPr>
        <w:pStyle w:val="ListParagraph"/>
        <w:numPr>
          <w:ilvl w:val="0"/>
          <w:numId w:val="41"/>
        </w:numPr>
        <w:spacing w:after="200" w:line="276" w:lineRule="auto"/>
      </w:pPr>
      <w:r>
        <w:t>Driving</w:t>
      </w:r>
      <w:r w:rsidR="00F03610">
        <w:t xml:space="preserve"> innovation and learning throughout implementation and c</w:t>
      </w:r>
      <w:r>
        <w:t>ontributing</w:t>
      </w:r>
      <w:r w:rsidR="00350F65">
        <w:t xml:space="preserve"> to DFAT’s broader learning agenda for market systems development and </w:t>
      </w:r>
      <w:r w:rsidR="00F03610">
        <w:t xml:space="preserve">private sector </w:t>
      </w:r>
      <w:r w:rsidR="00350F65">
        <w:t xml:space="preserve">engagement. </w:t>
      </w:r>
    </w:p>
    <w:p w14:paraId="31222C48" w14:textId="77777777" w:rsidR="00350F65" w:rsidRPr="00CA2F29" w:rsidRDefault="00350F65" w:rsidP="00350F65">
      <w:pPr>
        <w:rPr>
          <w:b/>
        </w:rPr>
      </w:pPr>
      <w:r w:rsidRPr="00CA2F29">
        <w:rPr>
          <w:b/>
        </w:rPr>
        <w:t xml:space="preserve">Key Relationships: </w:t>
      </w:r>
    </w:p>
    <w:p w14:paraId="143DEE7D" w14:textId="211E2775" w:rsidR="00350F65" w:rsidRPr="00CA2F29" w:rsidRDefault="00350F65" w:rsidP="004B220D">
      <w:pPr>
        <w:pStyle w:val="ListParagraph"/>
        <w:numPr>
          <w:ilvl w:val="0"/>
          <w:numId w:val="42"/>
        </w:numPr>
        <w:spacing w:after="200" w:line="276" w:lineRule="auto"/>
      </w:pPr>
      <w:r w:rsidRPr="00CA2F29">
        <w:t xml:space="preserve">Reports to, works with and receives strategic </w:t>
      </w:r>
      <w:r w:rsidR="00135409">
        <w:t>direction</w:t>
      </w:r>
      <w:r w:rsidRPr="00CA2F29">
        <w:t xml:space="preserve"> from the Contractor Rep</w:t>
      </w:r>
      <w:r>
        <w:t>resentative</w:t>
      </w:r>
      <w:r w:rsidRPr="00CA2F29">
        <w:t>.</w:t>
      </w:r>
    </w:p>
    <w:p w14:paraId="486ACC90" w14:textId="54BAEF81" w:rsidR="00135409" w:rsidRDefault="000C7E61" w:rsidP="004B220D">
      <w:pPr>
        <w:pStyle w:val="ListParagraph"/>
        <w:numPr>
          <w:ilvl w:val="0"/>
          <w:numId w:val="42"/>
        </w:numPr>
        <w:spacing w:after="200" w:line="276" w:lineRule="auto"/>
      </w:pPr>
      <w:r>
        <w:t>Works closely with the Core</w:t>
      </w:r>
      <w:r w:rsidR="00135409">
        <w:t xml:space="preserve"> Management Team</w:t>
      </w:r>
    </w:p>
    <w:p w14:paraId="26F2ECD5" w14:textId="0E2100A0" w:rsidR="00350F65" w:rsidRPr="00CA2F29" w:rsidRDefault="00350F65" w:rsidP="004B220D">
      <w:pPr>
        <w:pStyle w:val="ListParagraph"/>
        <w:numPr>
          <w:ilvl w:val="0"/>
          <w:numId w:val="42"/>
        </w:numPr>
        <w:spacing w:after="200" w:line="276" w:lineRule="auto"/>
      </w:pPr>
      <w:r>
        <w:t xml:space="preserve">Coordinates regularly, </w:t>
      </w:r>
      <w:r w:rsidRPr="00931FBB">
        <w:t xml:space="preserve">under delegated authority from </w:t>
      </w:r>
      <w:r>
        <w:t xml:space="preserve">the </w:t>
      </w:r>
      <w:r w:rsidRPr="00931FBB">
        <w:t>Contractor Rep</w:t>
      </w:r>
      <w:r>
        <w:t>resentative</w:t>
      </w:r>
      <w:r w:rsidRPr="00931FBB">
        <w:t xml:space="preserve">, </w:t>
      </w:r>
      <w:r>
        <w:t xml:space="preserve">with DFAT on </w:t>
      </w:r>
      <w:r w:rsidR="005D461A">
        <w:t>PRISMA-2</w:t>
      </w:r>
      <w:r>
        <w:t>.</w:t>
      </w:r>
    </w:p>
    <w:p w14:paraId="50745C6D" w14:textId="189F885A" w:rsidR="00350F65" w:rsidRPr="00CA2F29" w:rsidRDefault="00350F65" w:rsidP="004B220D">
      <w:pPr>
        <w:pStyle w:val="ListParagraph"/>
        <w:numPr>
          <w:ilvl w:val="0"/>
          <w:numId w:val="42"/>
        </w:numPr>
        <w:spacing w:after="200" w:line="276" w:lineRule="auto"/>
      </w:pPr>
      <w:r w:rsidRPr="00CA2F29">
        <w:t xml:space="preserve">Manages the Heads of Portfolio </w:t>
      </w:r>
      <w:r>
        <w:t>t</w:t>
      </w:r>
      <w:r w:rsidRPr="00CA2F29">
        <w:t xml:space="preserve">eams and the Head of </w:t>
      </w:r>
      <w:r w:rsidR="00135409">
        <w:t xml:space="preserve">Monitoring and </w:t>
      </w:r>
      <w:r w:rsidRPr="00CA2F29">
        <w:t>Results Measurement.</w:t>
      </w:r>
    </w:p>
    <w:p w14:paraId="1B0AB284" w14:textId="77777777" w:rsidR="00350F65" w:rsidRPr="00CA2F29" w:rsidRDefault="00350F65" w:rsidP="00350F65">
      <w:pPr>
        <w:rPr>
          <w:b/>
        </w:rPr>
      </w:pPr>
      <w:r w:rsidRPr="00CA2F29">
        <w:rPr>
          <w:b/>
        </w:rPr>
        <w:t>Qualifications</w:t>
      </w:r>
      <w:r>
        <w:rPr>
          <w:b/>
        </w:rPr>
        <w:t xml:space="preserve"> and Experience</w:t>
      </w:r>
      <w:r w:rsidRPr="00CA2F29">
        <w:rPr>
          <w:b/>
        </w:rPr>
        <w:t>:</w:t>
      </w:r>
    </w:p>
    <w:p w14:paraId="046F4188" w14:textId="77777777" w:rsidR="00350F65" w:rsidRPr="003166CB" w:rsidRDefault="00350F65" w:rsidP="00350F65">
      <w:pPr>
        <w:spacing w:after="200" w:line="276" w:lineRule="auto"/>
        <w:rPr>
          <w:rFonts w:eastAsiaTheme="minorHAnsi"/>
          <w:i/>
        </w:rPr>
      </w:pPr>
      <w:r w:rsidRPr="003166CB">
        <w:rPr>
          <w:rFonts w:eastAsiaTheme="minorHAnsi"/>
        </w:rPr>
        <w:t>Essential:</w:t>
      </w:r>
    </w:p>
    <w:p w14:paraId="3B31AE23" w14:textId="77777777" w:rsidR="00350F65" w:rsidRPr="00CA2F29" w:rsidRDefault="00350F65" w:rsidP="004B220D">
      <w:pPr>
        <w:pStyle w:val="ListParagraph"/>
        <w:numPr>
          <w:ilvl w:val="0"/>
          <w:numId w:val="40"/>
        </w:numPr>
        <w:spacing w:after="200" w:line="276" w:lineRule="auto"/>
        <w:rPr>
          <w:rFonts w:eastAsiaTheme="minorHAnsi"/>
        </w:rPr>
      </w:pPr>
      <w:r>
        <w:rPr>
          <w:rFonts w:eastAsiaTheme="minorHAnsi"/>
        </w:rPr>
        <w:t>15+ year</w:t>
      </w:r>
      <w:r w:rsidRPr="00CA2F29">
        <w:rPr>
          <w:rFonts w:eastAsiaTheme="minorHAnsi"/>
        </w:rPr>
        <w:t xml:space="preserve">s professional experience or equivalent combination of education and experience in category D of the ARF;  </w:t>
      </w:r>
    </w:p>
    <w:p w14:paraId="7BF2433D" w14:textId="442338CC" w:rsidR="00350F65" w:rsidRPr="00CA2F29" w:rsidRDefault="00350F65" w:rsidP="004B220D">
      <w:pPr>
        <w:pStyle w:val="ListParagraph"/>
        <w:numPr>
          <w:ilvl w:val="0"/>
          <w:numId w:val="40"/>
        </w:numPr>
        <w:spacing w:after="200" w:line="276" w:lineRule="auto"/>
        <w:rPr>
          <w:rFonts w:eastAsiaTheme="minorHAnsi"/>
        </w:rPr>
      </w:pPr>
      <w:r w:rsidRPr="00CA2F29">
        <w:rPr>
          <w:rFonts w:eastAsiaTheme="minorHAnsi"/>
        </w:rPr>
        <w:t xml:space="preserve">Outstanding theoretical base in market </w:t>
      </w:r>
      <w:r w:rsidR="00135409">
        <w:rPr>
          <w:rFonts w:eastAsiaTheme="minorHAnsi"/>
        </w:rPr>
        <w:t xml:space="preserve">systems </w:t>
      </w:r>
      <w:r w:rsidRPr="00CA2F29">
        <w:rPr>
          <w:rFonts w:eastAsiaTheme="minorHAnsi"/>
        </w:rPr>
        <w:t xml:space="preserve">development, with ability to conceptualise, design and implement major projects and to produce major/complex reports or studies;  </w:t>
      </w:r>
    </w:p>
    <w:p w14:paraId="180A62CA" w14:textId="77777777" w:rsidR="00350F65" w:rsidRPr="00CA2F29" w:rsidRDefault="00350F65" w:rsidP="004B220D">
      <w:pPr>
        <w:pStyle w:val="ListParagraph"/>
        <w:numPr>
          <w:ilvl w:val="0"/>
          <w:numId w:val="40"/>
        </w:numPr>
        <w:spacing w:after="200" w:line="276" w:lineRule="auto"/>
        <w:rPr>
          <w:rFonts w:eastAsiaTheme="minorHAnsi"/>
        </w:rPr>
      </w:pPr>
      <w:r w:rsidRPr="00CA2F29">
        <w:rPr>
          <w:rFonts w:eastAsiaTheme="minorHAnsi"/>
        </w:rPr>
        <w:t xml:space="preserve">Demonstrated professional leadership and ability to lead a team of professionals and ability to coach and mentor more junior staff;  </w:t>
      </w:r>
    </w:p>
    <w:p w14:paraId="617C9AF3" w14:textId="77777777" w:rsidR="00350F65" w:rsidRPr="00CA2F29" w:rsidRDefault="00350F65" w:rsidP="004B220D">
      <w:pPr>
        <w:pStyle w:val="ListParagraph"/>
        <w:numPr>
          <w:ilvl w:val="0"/>
          <w:numId w:val="40"/>
        </w:numPr>
        <w:spacing w:after="200" w:line="276" w:lineRule="auto"/>
        <w:rPr>
          <w:rFonts w:eastAsiaTheme="minorHAnsi"/>
        </w:rPr>
      </w:pPr>
      <w:r w:rsidRPr="00CA2F29">
        <w:rPr>
          <w:rFonts w:eastAsiaTheme="minorHAnsi"/>
        </w:rPr>
        <w:lastRenderedPageBreak/>
        <w:t xml:space="preserve">Proven experience in management of large, complex, decentralised programs; </w:t>
      </w:r>
    </w:p>
    <w:p w14:paraId="045145A1" w14:textId="41AA40B3" w:rsidR="00350F65" w:rsidRPr="00CA2F29" w:rsidRDefault="00350F65" w:rsidP="004B220D">
      <w:pPr>
        <w:pStyle w:val="ListParagraph"/>
        <w:numPr>
          <w:ilvl w:val="0"/>
          <w:numId w:val="40"/>
        </w:numPr>
        <w:spacing w:after="200" w:line="276" w:lineRule="auto"/>
        <w:rPr>
          <w:rFonts w:eastAsiaTheme="minorHAnsi"/>
        </w:rPr>
      </w:pPr>
      <w:r>
        <w:rPr>
          <w:rFonts w:eastAsiaTheme="minorHAnsi"/>
        </w:rPr>
        <w:t>At least 5</w:t>
      </w:r>
      <w:r w:rsidRPr="00CA2F29">
        <w:rPr>
          <w:rFonts w:eastAsiaTheme="minorHAnsi"/>
        </w:rPr>
        <w:t xml:space="preserve"> years of experience in a management position in a larger market </w:t>
      </w:r>
      <w:r w:rsidR="00135409">
        <w:rPr>
          <w:rFonts w:eastAsiaTheme="minorHAnsi"/>
        </w:rPr>
        <w:t xml:space="preserve">systems </w:t>
      </w:r>
      <w:r w:rsidRPr="00CA2F29">
        <w:rPr>
          <w:rFonts w:eastAsiaTheme="minorHAnsi"/>
        </w:rPr>
        <w:t>development project;</w:t>
      </w:r>
    </w:p>
    <w:p w14:paraId="3CE8F3CD" w14:textId="77777777" w:rsidR="00350F65" w:rsidRPr="00CA2F29" w:rsidRDefault="00350F65" w:rsidP="004B220D">
      <w:pPr>
        <w:pStyle w:val="ListParagraph"/>
        <w:numPr>
          <w:ilvl w:val="0"/>
          <w:numId w:val="40"/>
        </w:numPr>
        <w:spacing w:after="200" w:line="276" w:lineRule="auto"/>
        <w:rPr>
          <w:rFonts w:eastAsiaTheme="minorHAnsi"/>
        </w:rPr>
      </w:pPr>
      <w:r w:rsidRPr="00CA2F29">
        <w:rPr>
          <w:rFonts w:eastAsiaTheme="minorHAnsi"/>
        </w:rPr>
        <w:t>Proven experience in contributing to strategic directi</w:t>
      </w:r>
      <w:r>
        <w:rPr>
          <w:rFonts w:eastAsiaTheme="minorHAnsi"/>
        </w:rPr>
        <w:t xml:space="preserve">on and providing management to </w:t>
      </w:r>
      <w:r w:rsidRPr="00CA2F29">
        <w:rPr>
          <w:rFonts w:eastAsiaTheme="minorHAnsi"/>
        </w:rPr>
        <w:t>multi-disciplinary teams in a in cross-cultural context;</w:t>
      </w:r>
    </w:p>
    <w:p w14:paraId="4FDDCFCC" w14:textId="77777777" w:rsidR="00350F65" w:rsidRPr="00CA2F29" w:rsidRDefault="00350F65" w:rsidP="004B220D">
      <w:pPr>
        <w:pStyle w:val="ListParagraph"/>
        <w:numPr>
          <w:ilvl w:val="0"/>
          <w:numId w:val="40"/>
        </w:numPr>
        <w:spacing w:after="200" w:line="276" w:lineRule="auto"/>
        <w:rPr>
          <w:rFonts w:eastAsiaTheme="minorHAnsi"/>
        </w:rPr>
      </w:pPr>
      <w:r w:rsidRPr="00CA2F29">
        <w:rPr>
          <w:rFonts w:eastAsiaTheme="minorHAnsi"/>
        </w:rPr>
        <w:t>Proven team leadership and coaching competence; and</w:t>
      </w:r>
    </w:p>
    <w:p w14:paraId="0B79942A" w14:textId="2BB38470" w:rsidR="00350F65" w:rsidRPr="00CA2F29" w:rsidRDefault="00350F65" w:rsidP="004B220D">
      <w:pPr>
        <w:pStyle w:val="ListParagraph"/>
        <w:numPr>
          <w:ilvl w:val="0"/>
          <w:numId w:val="40"/>
        </w:numPr>
        <w:spacing w:after="200" w:line="276" w:lineRule="auto"/>
      </w:pPr>
      <w:r w:rsidRPr="00CA2F29">
        <w:rPr>
          <w:rFonts w:eastAsiaTheme="minorHAnsi"/>
        </w:rPr>
        <w:t>Excellent verbal and written communication skills</w:t>
      </w:r>
      <w:r w:rsidR="00135409">
        <w:rPr>
          <w:rFonts w:eastAsiaTheme="minorHAnsi"/>
        </w:rPr>
        <w:t xml:space="preserve"> in English</w:t>
      </w:r>
      <w:r w:rsidRPr="00CA2F29">
        <w:rPr>
          <w:rFonts w:eastAsiaTheme="minorHAnsi"/>
        </w:rPr>
        <w:t>.</w:t>
      </w:r>
    </w:p>
    <w:p w14:paraId="5235B492" w14:textId="2E8226E1" w:rsidR="00350F65" w:rsidRPr="00FC54D3" w:rsidRDefault="00350F65" w:rsidP="00350F65">
      <w:pPr>
        <w:spacing w:after="200" w:line="276" w:lineRule="auto"/>
        <w:rPr>
          <w:rFonts w:eastAsiaTheme="minorHAnsi"/>
        </w:rPr>
      </w:pPr>
      <w:r w:rsidRPr="00FC54D3">
        <w:rPr>
          <w:rFonts w:eastAsiaTheme="minorHAnsi"/>
        </w:rPr>
        <w:t>Desirable</w:t>
      </w:r>
      <w:r>
        <w:rPr>
          <w:rFonts w:eastAsiaTheme="minorHAnsi"/>
        </w:rPr>
        <w:t>:</w:t>
      </w:r>
    </w:p>
    <w:p w14:paraId="715D3069" w14:textId="77777777" w:rsidR="00350F65" w:rsidRPr="00CA2F29" w:rsidRDefault="00350F65" w:rsidP="004B220D">
      <w:pPr>
        <w:pStyle w:val="ListParagraph"/>
        <w:numPr>
          <w:ilvl w:val="0"/>
          <w:numId w:val="43"/>
        </w:numPr>
        <w:spacing w:after="200" w:line="276" w:lineRule="auto"/>
        <w:rPr>
          <w:rFonts w:eastAsiaTheme="minorHAnsi"/>
        </w:rPr>
      </w:pPr>
      <w:r w:rsidRPr="00CA2F29">
        <w:rPr>
          <w:rFonts w:eastAsiaTheme="minorHAnsi"/>
        </w:rPr>
        <w:t xml:space="preserve">Familiarity with international donor systems and requirements; </w:t>
      </w:r>
    </w:p>
    <w:p w14:paraId="7B7AAD56" w14:textId="77777777" w:rsidR="008227DF" w:rsidRDefault="00350F65" w:rsidP="004B220D">
      <w:pPr>
        <w:pStyle w:val="ListParagraph"/>
        <w:numPr>
          <w:ilvl w:val="0"/>
          <w:numId w:val="43"/>
        </w:numPr>
        <w:spacing w:after="200" w:line="276" w:lineRule="auto"/>
        <w:rPr>
          <w:rFonts w:eastAsiaTheme="minorHAnsi"/>
        </w:rPr>
      </w:pPr>
      <w:r w:rsidRPr="00CA2F29">
        <w:rPr>
          <w:rFonts w:eastAsiaTheme="minorHAnsi"/>
        </w:rPr>
        <w:t>Fluency in</w:t>
      </w:r>
      <w:r w:rsidR="00135409">
        <w:rPr>
          <w:rFonts w:eastAsiaTheme="minorHAnsi"/>
        </w:rPr>
        <w:t xml:space="preserve"> speaking and reading in</w:t>
      </w:r>
      <w:r w:rsidRPr="00CA2F29">
        <w:rPr>
          <w:rFonts w:eastAsiaTheme="minorHAnsi"/>
        </w:rPr>
        <w:t xml:space="preserve"> Indonesia</w:t>
      </w:r>
      <w:r w:rsidR="00135409">
        <w:rPr>
          <w:rFonts w:eastAsiaTheme="minorHAnsi"/>
        </w:rPr>
        <w:t>n</w:t>
      </w:r>
      <w:r w:rsidRPr="00CA2F29">
        <w:rPr>
          <w:rFonts w:eastAsiaTheme="minorHAnsi"/>
        </w:rPr>
        <w:t xml:space="preserve"> and experience</w:t>
      </w:r>
      <w:r>
        <w:rPr>
          <w:rFonts w:eastAsiaTheme="minorHAnsi"/>
        </w:rPr>
        <w:t xml:space="preserve"> working</w:t>
      </w:r>
      <w:r w:rsidRPr="00CA2F29">
        <w:rPr>
          <w:rFonts w:eastAsiaTheme="minorHAnsi"/>
        </w:rPr>
        <w:t xml:space="preserve"> in Indonesia</w:t>
      </w:r>
      <w:r w:rsidR="008227DF">
        <w:rPr>
          <w:rFonts w:eastAsiaTheme="minorHAnsi"/>
        </w:rPr>
        <w:t>;</w:t>
      </w:r>
    </w:p>
    <w:p w14:paraId="3B502734" w14:textId="1ADD8A46" w:rsidR="00350F65" w:rsidRPr="004D7E21" w:rsidRDefault="008227DF" w:rsidP="004B220D">
      <w:pPr>
        <w:pStyle w:val="ListParagraph"/>
        <w:numPr>
          <w:ilvl w:val="0"/>
          <w:numId w:val="43"/>
        </w:numPr>
        <w:spacing w:after="200" w:line="276" w:lineRule="auto"/>
        <w:rPr>
          <w:rFonts w:eastAsiaTheme="minorHAnsi"/>
        </w:rPr>
      </w:pPr>
      <w:r>
        <w:rPr>
          <w:rFonts w:eastAsiaTheme="minorHAnsi"/>
        </w:rPr>
        <w:t xml:space="preserve">Knowledge of key cross-cutting issues and their application in market systems development program </w:t>
      </w:r>
      <w:proofErr w:type="spellStart"/>
      <w:r>
        <w:rPr>
          <w:rFonts w:eastAsiaTheme="minorHAnsi"/>
        </w:rPr>
        <w:t>eg</w:t>
      </w:r>
      <w:proofErr w:type="spellEnd"/>
      <w:r>
        <w:rPr>
          <w:rFonts w:eastAsiaTheme="minorHAnsi"/>
        </w:rPr>
        <w:t xml:space="preserve">. </w:t>
      </w:r>
      <w:proofErr w:type="gramStart"/>
      <w:r>
        <w:rPr>
          <w:rFonts w:eastAsiaTheme="minorHAnsi"/>
        </w:rPr>
        <w:t>women’s</w:t>
      </w:r>
      <w:proofErr w:type="gramEnd"/>
      <w:r>
        <w:rPr>
          <w:rFonts w:eastAsiaTheme="minorHAnsi"/>
        </w:rPr>
        <w:t xml:space="preserve"> economic empowerment.</w:t>
      </w:r>
    </w:p>
    <w:p w14:paraId="02F87436" w14:textId="74BB7D76" w:rsidR="00350F65" w:rsidRDefault="00350F65" w:rsidP="00350F65">
      <w:pPr>
        <w:pStyle w:val="Heading5"/>
      </w:pPr>
      <w:r>
        <w:t>Head of Operations and Finance</w:t>
      </w:r>
    </w:p>
    <w:p w14:paraId="55308442" w14:textId="7C7D55F1" w:rsidR="00350F65" w:rsidRPr="00350F65" w:rsidRDefault="00350F65" w:rsidP="00350F65">
      <w:pPr>
        <w:tabs>
          <w:tab w:val="left" w:pos="2977"/>
          <w:tab w:val="left" w:pos="5103"/>
          <w:tab w:val="right" w:pos="9072"/>
        </w:tabs>
        <w:rPr>
          <w:rFonts w:cs="Arial"/>
          <w:lang w:val="en-US"/>
        </w:rPr>
      </w:pPr>
      <w:r w:rsidRPr="00350F65">
        <w:rPr>
          <w:b/>
        </w:rPr>
        <w:t xml:space="preserve">ARF Professional Discipline Category and Job Level: </w:t>
      </w:r>
      <w:r w:rsidRPr="00350F65">
        <w:rPr>
          <w:rFonts w:cs="Arial"/>
          <w:lang w:val="en-US"/>
        </w:rPr>
        <w:t xml:space="preserve">Discipline C, Job Level </w:t>
      </w:r>
      <w:r w:rsidR="003460B6">
        <w:rPr>
          <w:rFonts w:cs="Arial"/>
          <w:lang w:val="en-US"/>
        </w:rPr>
        <w:t>3</w:t>
      </w:r>
    </w:p>
    <w:p w14:paraId="01E05DEC" w14:textId="75A28281" w:rsidR="00350F65" w:rsidRPr="00350F65" w:rsidRDefault="00350F65" w:rsidP="00350F65">
      <w:r w:rsidRPr="00350F65">
        <w:rPr>
          <w:b/>
        </w:rPr>
        <w:t xml:space="preserve">Duty Station: </w:t>
      </w:r>
      <w:r w:rsidRPr="00350F65">
        <w:t>Surabaya, Indonesia</w:t>
      </w:r>
    </w:p>
    <w:p w14:paraId="20F9DDCC" w14:textId="400E67E3" w:rsidR="00350F65" w:rsidRPr="00350F65" w:rsidRDefault="00350F65" w:rsidP="00350F65">
      <w:r w:rsidRPr="00350F65">
        <w:rPr>
          <w:b/>
        </w:rPr>
        <w:t xml:space="preserve">Background: </w:t>
      </w:r>
      <w:bookmarkStart w:id="45" w:name="_Hlk482099169"/>
      <w:r w:rsidR="005D461A">
        <w:t>PRISMA-2</w:t>
      </w:r>
      <w:r w:rsidRPr="00350F65">
        <w:t xml:space="preserve"> is a five-year program funded by the Australian Government through the Department of Foreign Affairs and Trade (DFAT). The program represents the second phase of Australian Government investment in market systems development in the agricultural sector in Indonesia. </w:t>
      </w:r>
      <w:r w:rsidR="004328E1">
        <w:t>PRISMA-2</w:t>
      </w:r>
      <w:r w:rsidRPr="00350F65">
        <w:t>'s goal is to contribute to a 30%, or more, increase in net incomes for 700,000 smallholder farming households. Changes in income of poor farmer households are measured by changes in net income as a result of changed production practices. The Program will operate in 6 provinces, East Java, NTT, NTB, Papua, West Papua and Central Java</w:t>
      </w:r>
      <w:r w:rsidR="00A16DE2">
        <w:t xml:space="preserve">. </w:t>
      </w:r>
      <w:bookmarkEnd w:id="45"/>
    </w:p>
    <w:p w14:paraId="2853A0EE" w14:textId="00B2830D" w:rsidR="00350F65" w:rsidRPr="00350F65" w:rsidRDefault="00350F65" w:rsidP="00350F65">
      <w:r w:rsidRPr="00350F65">
        <w:rPr>
          <w:b/>
        </w:rPr>
        <w:t xml:space="preserve">Duties: </w:t>
      </w:r>
      <w:r w:rsidRPr="00350F65">
        <w:t xml:space="preserve">The Head of Operations and Finance will lead the finance, HR, operations, contracts, grants and IT teams on </w:t>
      </w:r>
      <w:r w:rsidR="005D461A">
        <w:t>PRISMA-2</w:t>
      </w:r>
      <w:r w:rsidRPr="00350F65">
        <w:t xml:space="preserve"> to ensure that the program </w:t>
      </w:r>
      <w:r w:rsidR="00135409">
        <w:t xml:space="preserve">effectively and efficiently uses </w:t>
      </w:r>
      <w:r w:rsidRPr="00350F65">
        <w:t xml:space="preserve">the resources (operational staff and facilities), systems and procedures required to deliver results and achieve the program outcomes. The Head of Operations and Finance will be responsible for all day-to-day HR, financial and administrative management for </w:t>
      </w:r>
      <w:r w:rsidR="005D461A">
        <w:t>PRISMA-2</w:t>
      </w:r>
      <w:r w:rsidRPr="00350F65">
        <w:t xml:space="preserve">, working with the </w:t>
      </w:r>
      <w:r w:rsidR="00135409">
        <w:t xml:space="preserve">Contractor and </w:t>
      </w:r>
      <w:r w:rsidRPr="00350F65">
        <w:t xml:space="preserve">senior management team to ensure effective planning, coordination, fiduciary control and overall program delivery. </w:t>
      </w:r>
    </w:p>
    <w:p w14:paraId="7289B8A3" w14:textId="57D40AE6" w:rsidR="00350F65" w:rsidRPr="00350F65" w:rsidRDefault="00350F65" w:rsidP="00350F65">
      <w:pPr>
        <w:rPr>
          <w:b/>
        </w:rPr>
      </w:pPr>
      <w:r w:rsidRPr="00350F65">
        <w:t>The Head of Operations and Finance will report directly to the Team Leader.</w:t>
      </w:r>
      <w:r w:rsidRPr="00350F65">
        <w:rPr>
          <w:b/>
        </w:rPr>
        <w:t xml:space="preserve"> </w:t>
      </w:r>
      <w:r w:rsidRPr="00350F65">
        <w:t xml:space="preserve">The </w:t>
      </w:r>
      <w:r w:rsidR="0067345D">
        <w:t xml:space="preserve">Head of Operations and Finance will consult the </w:t>
      </w:r>
      <w:r w:rsidRPr="00350F65">
        <w:t xml:space="preserve">Contractor Representative </w:t>
      </w:r>
      <w:r w:rsidR="0067345D">
        <w:t xml:space="preserve">and Contractor head office staff </w:t>
      </w:r>
      <w:r w:rsidRPr="00350F65">
        <w:t xml:space="preserve">on compliance with systems and procedures and provide support for overall compliance of program operations and finance with contractual requirements and the Commonwealth Procurement Rules (CPRs). </w:t>
      </w:r>
    </w:p>
    <w:p w14:paraId="691948D3" w14:textId="33F11ADA" w:rsidR="00350F65" w:rsidRDefault="00350F65" w:rsidP="00350F65">
      <w:bookmarkStart w:id="46" w:name="_Hlk482099411"/>
      <w:r w:rsidRPr="00350F65">
        <w:t>In order to manage program operations and support functions to maximise program impact and responsiveness, the responsibilities of the role of the Head of Operations and Finance will include, but not be limited to:</w:t>
      </w:r>
      <w:bookmarkEnd w:id="46"/>
    </w:p>
    <w:p w14:paraId="0F149155" w14:textId="77777777" w:rsidR="0067345D" w:rsidRPr="00350F65" w:rsidRDefault="0067345D" w:rsidP="0067345D">
      <w:pPr>
        <w:rPr>
          <w:b/>
          <w:u w:val="single"/>
        </w:rPr>
      </w:pPr>
      <w:r w:rsidRPr="00350F65">
        <w:rPr>
          <w:b/>
          <w:u w:val="single"/>
        </w:rPr>
        <w:t>General Management and Oversight</w:t>
      </w:r>
    </w:p>
    <w:p w14:paraId="23181796" w14:textId="77777777" w:rsidR="0067345D" w:rsidRPr="00350F65" w:rsidRDefault="0067345D" w:rsidP="004B220D">
      <w:pPr>
        <w:pStyle w:val="ListParagraph"/>
        <w:numPr>
          <w:ilvl w:val="0"/>
          <w:numId w:val="44"/>
        </w:numPr>
        <w:spacing w:after="200" w:line="276" w:lineRule="auto"/>
      </w:pPr>
      <w:r w:rsidRPr="00350F65">
        <w:t>Establish</w:t>
      </w:r>
      <w:r>
        <w:t>ing</w:t>
      </w:r>
      <w:r w:rsidRPr="00350F65">
        <w:t xml:space="preserve"> and operationalis</w:t>
      </w:r>
      <w:r>
        <w:t>ing</w:t>
      </w:r>
      <w:r w:rsidRPr="00350F65">
        <w:t xml:space="preserve"> </w:t>
      </w:r>
      <w:r>
        <w:t xml:space="preserve">financial and </w:t>
      </w:r>
      <w:r w:rsidRPr="00350F65">
        <w:t>program management systems and processes across all operational areas, building on lessons learned from the previous program AIP-Rural</w:t>
      </w:r>
      <w:r>
        <w:t>;</w:t>
      </w:r>
    </w:p>
    <w:p w14:paraId="6E4DA7B0" w14:textId="51CBEE24" w:rsidR="0067345D" w:rsidRPr="00350F65" w:rsidRDefault="0067345D" w:rsidP="004B220D">
      <w:pPr>
        <w:pStyle w:val="ListParagraph"/>
        <w:numPr>
          <w:ilvl w:val="0"/>
          <w:numId w:val="44"/>
        </w:numPr>
        <w:spacing w:after="200" w:line="276" w:lineRule="auto"/>
      </w:pPr>
      <w:r>
        <w:lastRenderedPageBreak/>
        <w:t>Deploying</w:t>
      </w:r>
      <w:r w:rsidRPr="00350F65">
        <w:t xml:space="preserve"> appropriate procedures, tools and templates </w:t>
      </w:r>
      <w:r>
        <w:t xml:space="preserve">from the Contractor’s systems </w:t>
      </w:r>
      <w:r w:rsidRPr="00350F65">
        <w:t>for: (</w:t>
      </w:r>
      <w:proofErr w:type="spellStart"/>
      <w:r w:rsidRPr="00350F65">
        <w:t>i</w:t>
      </w:r>
      <w:proofErr w:type="spellEnd"/>
      <w:r w:rsidRPr="00350F65">
        <w:t>) business partners, (ii) grantees, (iii) technical service providers, (iv) services providers, and (iv) short-term technical advisors, in line with DFAT and corporate requirements</w:t>
      </w:r>
      <w:r>
        <w:t>;</w:t>
      </w:r>
    </w:p>
    <w:p w14:paraId="3426EEBE" w14:textId="77777777" w:rsidR="0067345D" w:rsidRDefault="0067345D" w:rsidP="004B220D">
      <w:pPr>
        <w:pStyle w:val="ListParagraph"/>
        <w:numPr>
          <w:ilvl w:val="0"/>
          <w:numId w:val="44"/>
        </w:numPr>
        <w:spacing w:after="200" w:line="276" w:lineRule="auto"/>
      </w:pPr>
      <w:r>
        <w:t>Producing regular management monitoring information including variance from plan for disbursement, activity and output delivery as well as reporting on any fraud, health and safety, or other HR incidents;</w:t>
      </w:r>
    </w:p>
    <w:p w14:paraId="54A1C6C3" w14:textId="77777777" w:rsidR="0067345D" w:rsidRPr="00350F65" w:rsidRDefault="0067345D" w:rsidP="004B220D">
      <w:pPr>
        <w:pStyle w:val="ListParagraph"/>
        <w:numPr>
          <w:ilvl w:val="0"/>
          <w:numId w:val="44"/>
        </w:numPr>
        <w:spacing w:after="200" w:line="276" w:lineRule="auto"/>
      </w:pPr>
      <w:r w:rsidRPr="00350F65">
        <w:t>Provid</w:t>
      </w:r>
      <w:r>
        <w:t>ing</w:t>
      </w:r>
      <w:r w:rsidRPr="00350F65">
        <w:t xml:space="preserve"> sound and considered advice to the Team Leader on </w:t>
      </w:r>
      <w:r>
        <w:t xml:space="preserve">financial, HR and </w:t>
      </w:r>
      <w:r w:rsidRPr="00350F65">
        <w:t>contract</w:t>
      </w:r>
      <w:r>
        <w:t xml:space="preserve"> compliance</w:t>
      </w:r>
      <w:r w:rsidRPr="00350F65">
        <w:t xml:space="preserve"> issues</w:t>
      </w:r>
      <w:r>
        <w:t>;</w:t>
      </w:r>
    </w:p>
    <w:p w14:paraId="5D531B94" w14:textId="77777777" w:rsidR="0067345D" w:rsidRDefault="0067345D" w:rsidP="004B220D">
      <w:pPr>
        <w:pStyle w:val="ListParagraph"/>
        <w:numPr>
          <w:ilvl w:val="0"/>
          <w:numId w:val="44"/>
        </w:numPr>
        <w:spacing w:after="200" w:line="276" w:lineRule="auto"/>
      </w:pPr>
      <w:r>
        <w:t>Managing the efficient novation of personnel contracts and activity agreements during a transition to a new phase of an on-going development cooperation investment;</w:t>
      </w:r>
    </w:p>
    <w:p w14:paraId="5855D674" w14:textId="77777777" w:rsidR="0067345D" w:rsidRDefault="0067345D" w:rsidP="004B220D">
      <w:pPr>
        <w:pStyle w:val="ListParagraph"/>
        <w:numPr>
          <w:ilvl w:val="0"/>
          <w:numId w:val="44"/>
        </w:numPr>
        <w:spacing w:after="200" w:line="276" w:lineRule="auto"/>
      </w:pPr>
      <w:r>
        <w:t>Maintaining a current understanding of relevant Australian (e.g. ECBP Act) and Indonesian (e.g. Labour Law) laws and regulations and how to practically comply with these in Indonesia;</w:t>
      </w:r>
    </w:p>
    <w:p w14:paraId="70110A3D" w14:textId="77777777" w:rsidR="0067345D" w:rsidRPr="00350F65" w:rsidRDefault="0067345D" w:rsidP="004B220D">
      <w:pPr>
        <w:pStyle w:val="ListParagraph"/>
        <w:numPr>
          <w:ilvl w:val="0"/>
          <w:numId w:val="44"/>
        </w:numPr>
        <w:spacing w:after="200" w:line="276" w:lineRule="auto"/>
      </w:pPr>
      <w:r w:rsidRPr="00350F65">
        <w:t>Ensur</w:t>
      </w:r>
      <w:r>
        <w:t>ing</w:t>
      </w:r>
      <w:r w:rsidRPr="00350F65">
        <w:t xml:space="preserve"> all procurement/finance/grants </w:t>
      </w:r>
      <w:r>
        <w:t>administration is</w:t>
      </w:r>
      <w:r w:rsidRPr="00350F65">
        <w:t xml:space="preserve"> performed in a professional, transparent, and ethical manner in line with procurement regulations and conditions of the grant and implementation agreement</w:t>
      </w:r>
      <w:r>
        <w:t>s;</w:t>
      </w:r>
    </w:p>
    <w:p w14:paraId="58C2A7CA" w14:textId="77777777" w:rsidR="0067345D" w:rsidRPr="00350F65" w:rsidRDefault="0067345D" w:rsidP="004B220D">
      <w:pPr>
        <w:pStyle w:val="ListParagraph"/>
        <w:numPr>
          <w:ilvl w:val="0"/>
          <w:numId w:val="44"/>
        </w:numPr>
        <w:spacing w:after="200" w:line="276" w:lineRule="auto"/>
      </w:pPr>
      <w:r>
        <w:t>Managing s</w:t>
      </w:r>
      <w:r w:rsidRPr="00350F65">
        <w:t>afeguard</w:t>
      </w:r>
      <w:r>
        <w:t>s to protect</w:t>
      </w:r>
      <w:r w:rsidRPr="00350F65">
        <w:t xml:space="preserve"> procurement/grants/finance activit</w:t>
      </w:r>
      <w:r>
        <w:t>ies</w:t>
      </w:r>
      <w:r w:rsidRPr="00350F65">
        <w:t xml:space="preserve"> from fraud, waste and abuse</w:t>
      </w:r>
      <w:r>
        <w:t>;</w:t>
      </w:r>
    </w:p>
    <w:p w14:paraId="3EABE44C" w14:textId="77777777" w:rsidR="0067345D" w:rsidRPr="00350F65" w:rsidRDefault="0067345D" w:rsidP="004B220D">
      <w:pPr>
        <w:pStyle w:val="ListParagraph"/>
        <w:numPr>
          <w:ilvl w:val="0"/>
          <w:numId w:val="44"/>
        </w:numPr>
        <w:spacing w:after="200" w:line="276" w:lineRule="auto"/>
      </w:pPr>
      <w:r w:rsidRPr="00350F65">
        <w:t>Ensur</w:t>
      </w:r>
      <w:r>
        <w:t>ing</w:t>
      </w:r>
      <w:r w:rsidRPr="00350F65">
        <w:t xml:space="preserve"> TORs for operations staff are appropriate for providing effective support to the program</w:t>
      </w:r>
      <w:r>
        <w:t>;</w:t>
      </w:r>
    </w:p>
    <w:p w14:paraId="6362115F" w14:textId="77777777" w:rsidR="0067345D" w:rsidRPr="00350F65" w:rsidRDefault="0067345D" w:rsidP="004B220D">
      <w:pPr>
        <w:pStyle w:val="ListParagraph"/>
        <w:numPr>
          <w:ilvl w:val="0"/>
          <w:numId w:val="44"/>
        </w:numPr>
        <w:spacing w:after="200" w:line="276" w:lineRule="auto"/>
      </w:pPr>
      <w:r w:rsidRPr="00350F65">
        <w:t>Assist</w:t>
      </w:r>
      <w:r>
        <w:t>ing</w:t>
      </w:r>
      <w:r w:rsidRPr="00350F65">
        <w:t xml:space="preserve"> the Team Leader with the preparation of contractual milestone documents along with other reports and deliverables related to operations</w:t>
      </w:r>
      <w:r>
        <w:t>; and</w:t>
      </w:r>
    </w:p>
    <w:p w14:paraId="44415A94" w14:textId="77777777" w:rsidR="0067345D" w:rsidRPr="00350F65" w:rsidRDefault="0067345D" w:rsidP="004B220D">
      <w:pPr>
        <w:pStyle w:val="ListParagraph"/>
        <w:numPr>
          <w:ilvl w:val="0"/>
          <w:numId w:val="44"/>
        </w:numPr>
        <w:spacing w:after="200" w:line="276" w:lineRule="auto"/>
      </w:pPr>
      <w:r w:rsidRPr="00350F65">
        <w:t>Coach</w:t>
      </w:r>
      <w:r>
        <w:t>ing</w:t>
      </w:r>
      <w:r w:rsidRPr="00350F65">
        <w:t xml:space="preserve"> and mentor</w:t>
      </w:r>
      <w:r>
        <w:t>ing</w:t>
      </w:r>
      <w:r w:rsidRPr="00350F65">
        <w:t xml:space="preserve"> the operations team to build existing capacity.</w:t>
      </w:r>
    </w:p>
    <w:p w14:paraId="1A3CBD47" w14:textId="77777777" w:rsidR="0067345D" w:rsidRPr="00350F65" w:rsidRDefault="0067345D" w:rsidP="0067345D">
      <w:pPr>
        <w:rPr>
          <w:b/>
          <w:u w:val="single"/>
        </w:rPr>
      </w:pPr>
      <w:r w:rsidRPr="00350F65">
        <w:rPr>
          <w:b/>
          <w:u w:val="single"/>
        </w:rPr>
        <w:t>Administration and Operations</w:t>
      </w:r>
    </w:p>
    <w:p w14:paraId="27361AA5" w14:textId="77777777" w:rsidR="0067345D" w:rsidRPr="00350F65" w:rsidRDefault="0067345D" w:rsidP="004B220D">
      <w:pPr>
        <w:pStyle w:val="ListParagraph"/>
        <w:numPr>
          <w:ilvl w:val="0"/>
          <w:numId w:val="44"/>
        </w:numPr>
        <w:spacing w:after="200" w:line="276" w:lineRule="auto"/>
      </w:pPr>
      <w:r w:rsidRPr="00350F65">
        <w:t>Oversee</w:t>
      </w:r>
      <w:r>
        <w:t>ing</w:t>
      </w:r>
      <w:r w:rsidRPr="00350F65">
        <w:t xml:space="preserve"> the establishment of office facilities and infrastructure in Surabaya and sub-offices in agreed provinces</w:t>
      </w:r>
      <w:r>
        <w:t>;</w:t>
      </w:r>
    </w:p>
    <w:p w14:paraId="61A8FB37" w14:textId="550AD236" w:rsidR="0067345D" w:rsidRDefault="0067345D" w:rsidP="004B220D">
      <w:pPr>
        <w:pStyle w:val="ListParagraph"/>
        <w:numPr>
          <w:ilvl w:val="0"/>
          <w:numId w:val="44"/>
        </w:numPr>
        <w:spacing w:after="200" w:line="276" w:lineRule="auto"/>
      </w:pPr>
      <w:r>
        <w:t>Lead the financial management of all program operations, with a focus on financial controls and compliance with Contractor accounting and anti-fraud standards;</w:t>
      </w:r>
    </w:p>
    <w:p w14:paraId="2ABA4D91" w14:textId="3C01B6E2" w:rsidR="0067345D" w:rsidRPr="00350F65" w:rsidRDefault="0067345D" w:rsidP="004B220D">
      <w:pPr>
        <w:pStyle w:val="ListParagraph"/>
        <w:numPr>
          <w:ilvl w:val="0"/>
          <w:numId w:val="44"/>
        </w:numPr>
        <w:spacing w:after="200" w:line="276" w:lineRule="auto"/>
      </w:pPr>
      <w:r w:rsidRPr="00350F65">
        <w:t>Enabl</w:t>
      </w:r>
      <w:r>
        <w:t>ing</w:t>
      </w:r>
      <w:r w:rsidRPr="00350F65">
        <w:t xml:space="preserve"> the delivery of effective administrative support to all aspects of </w:t>
      </w:r>
      <w:r w:rsidR="005D461A">
        <w:t>PRISMA-2</w:t>
      </w:r>
      <w:r w:rsidRPr="00350F65">
        <w:t xml:space="preserve"> operations including logistics, administrative support and procurement of goods and services</w:t>
      </w:r>
      <w:r>
        <w:t>;</w:t>
      </w:r>
    </w:p>
    <w:p w14:paraId="483E6C52" w14:textId="77777777" w:rsidR="0067345D" w:rsidRPr="00350F65" w:rsidRDefault="0067345D" w:rsidP="004B220D">
      <w:pPr>
        <w:pStyle w:val="ListParagraph"/>
        <w:numPr>
          <w:ilvl w:val="0"/>
          <w:numId w:val="44"/>
        </w:numPr>
        <w:spacing w:after="200" w:line="276" w:lineRule="auto"/>
      </w:pPr>
      <w:r w:rsidRPr="00350F65">
        <w:t>Lead</w:t>
      </w:r>
      <w:r>
        <w:t>ing</w:t>
      </w:r>
      <w:r w:rsidRPr="00350F65">
        <w:t xml:space="preserve"> the production, dissemination, implementation and review of systems, policies and procedures, related to logistics</w:t>
      </w:r>
      <w:r>
        <w:t>, financial controls, HR management,</w:t>
      </w:r>
      <w:r w:rsidRPr="00350F65">
        <w:t xml:space="preserve"> and administration</w:t>
      </w:r>
      <w:r>
        <w:t>;</w:t>
      </w:r>
    </w:p>
    <w:p w14:paraId="1DCE6BEB" w14:textId="77777777" w:rsidR="0067345D" w:rsidRPr="00350F65" w:rsidRDefault="0067345D" w:rsidP="004B220D">
      <w:pPr>
        <w:pStyle w:val="ListParagraph"/>
        <w:numPr>
          <w:ilvl w:val="0"/>
          <w:numId w:val="44"/>
        </w:numPr>
        <w:spacing w:after="200" w:line="276" w:lineRule="auto"/>
      </w:pPr>
      <w:r w:rsidRPr="00350F65">
        <w:t>Review</w:t>
      </w:r>
      <w:r>
        <w:t>ing</w:t>
      </w:r>
      <w:r w:rsidRPr="00350F65">
        <w:t xml:space="preserve"> and updat</w:t>
      </w:r>
      <w:r>
        <w:t>ing</w:t>
      </w:r>
      <w:r w:rsidRPr="00350F65">
        <w:t xml:space="preserve"> the </w:t>
      </w:r>
      <w:r>
        <w:t>Operations</w:t>
      </w:r>
      <w:r w:rsidRPr="00350F65">
        <w:t xml:space="preserve"> Management Manual and propos</w:t>
      </w:r>
      <w:r>
        <w:t>ing</w:t>
      </w:r>
      <w:r w:rsidRPr="00350F65">
        <w:t xml:space="preserve"> changes that ensure its effectiveness and appropriateness and oversee distribution and training for all staff in its application</w:t>
      </w:r>
      <w:r>
        <w:t>;</w:t>
      </w:r>
    </w:p>
    <w:p w14:paraId="130EDFF4" w14:textId="77777777" w:rsidR="0067345D" w:rsidRPr="00350F65" w:rsidRDefault="0067345D" w:rsidP="004B220D">
      <w:pPr>
        <w:pStyle w:val="ListParagraph"/>
        <w:numPr>
          <w:ilvl w:val="0"/>
          <w:numId w:val="44"/>
        </w:numPr>
        <w:spacing w:after="200" w:line="276" w:lineRule="auto"/>
      </w:pPr>
      <w:r w:rsidRPr="00350F65">
        <w:t>Oversee</w:t>
      </w:r>
      <w:r>
        <w:t>ing</w:t>
      </w:r>
      <w:r w:rsidRPr="00350F65">
        <w:t xml:space="preserve"> administration and office staff including performance management processes and ensur</w:t>
      </w:r>
      <w:r>
        <w:t>ing</w:t>
      </w:r>
      <w:r w:rsidRPr="00350F65">
        <w:t xml:space="preserve"> appropriate processes are followed and approvals obtained and documented</w:t>
      </w:r>
      <w:r>
        <w:t>;</w:t>
      </w:r>
    </w:p>
    <w:p w14:paraId="3CB2555A" w14:textId="77777777" w:rsidR="0067345D" w:rsidRPr="00350F65" w:rsidRDefault="0067345D" w:rsidP="004B220D">
      <w:pPr>
        <w:pStyle w:val="ListParagraph"/>
        <w:numPr>
          <w:ilvl w:val="0"/>
          <w:numId w:val="44"/>
        </w:numPr>
        <w:spacing w:after="200" w:line="276" w:lineRule="auto"/>
      </w:pPr>
      <w:r w:rsidRPr="00350F65">
        <w:t>Supervis</w:t>
      </w:r>
      <w:r>
        <w:t>ing</w:t>
      </w:r>
      <w:r w:rsidRPr="00350F65">
        <w:t xml:space="preserve"> the preparation, maintenance and storage of program documentation</w:t>
      </w:r>
      <w:r>
        <w:t xml:space="preserve"> and digital information</w:t>
      </w:r>
      <w:r w:rsidRPr="00350F65">
        <w:t>, in line with corporate and DFAT record retention requirements and filing protocols</w:t>
      </w:r>
      <w:r>
        <w:t>; and</w:t>
      </w:r>
    </w:p>
    <w:p w14:paraId="20814300" w14:textId="77777777" w:rsidR="0067345D" w:rsidRPr="00350F65" w:rsidRDefault="0067345D" w:rsidP="004B220D">
      <w:pPr>
        <w:pStyle w:val="ListParagraph"/>
        <w:numPr>
          <w:ilvl w:val="0"/>
          <w:numId w:val="44"/>
        </w:numPr>
        <w:spacing w:after="200" w:line="276" w:lineRule="auto"/>
      </w:pPr>
      <w:r w:rsidRPr="00350F65">
        <w:t>Participat</w:t>
      </w:r>
      <w:r>
        <w:t>ing</w:t>
      </w:r>
      <w:r w:rsidRPr="00350F65">
        <w:t xml:space="preserve"> in strategic planning processes, activity planning, scheduling and budgeting</w:t>
      </w:r>
      <w:r>
        <w:t xml:space="preserve"> as a member of the Senior Management Team</w:t>
      </w:r>
      <w:r w:rsidRPr="00350F65">
        <w:t>.</w:t>
      </w:r>
    </w:p>
    <w:p w14:paraId="19F420A8" w14:textId="77777777" w:rsidR="0067345D" w:rsidRPr="00350F65" w:rsidRDefault="0067345D" w:rsidP="0067345D">
      <w:pPr>
        <w:rPr>
          <w:b/>
          <w:u w:val="single"/>
        </w:rPr>
      </w:pPr>
      <w:r w:rsidRPr="00350F65">
        <w:rPr>
          <w:b/>
          <w:u w:val="single"/>
        </w:rPr>
        <w:t>Grants</w:t>
      </w:r>
      <w:r>
        <w:rPr>
          <w:b/>
          <w:u w:val="single"/>
        </w:rPr>
        <w:t>, Partner Agreements</w:t>
      </w:r>
      <w:r w:rsidRPr="00350F65">
        <w:rPr>
          <w:b/>
          <w:u w:val="single"/>
        </w:rPr>
        <w:t xml:space="preserve"> and Procurement Teams</w:t>
      </w:r>
    </w:p>
    <w:p w14:paraId="459595B6" w14:textId="77777777" w:rsidR="0067345D" w:rsidRPr="00350F65" w:rsidRDefault="0067345D" w:rsidP="004B220D">
      <w:pPr>
        <w:pStyle w:val="ListParagraph"/>
        <w:numPr>
          <w:ilvl w:val="0"/>
          <w:numId w:val="44"/>
        </w:numPr>
        <w:spacing w:after="200" w:line="276" w:lineRule="auto"/>
      </w:pPr>
      <w:r w:rsidRPr="00350F65">
        <w:t>Lead</w:t>
      </w:r>
      <w:r>
        <w:t>ing</w:t>
      </w:r>
      <w:r w:rsidRPr="00350F65">
        <w:t xml:space="preserve"> the production, dissemination, implementation and review of systems, policies and procedures, related to grants</w:t>
      </w:r>
      <w:r>
        <w:t>, partner agreements,</w:t>
      </w:r>
      <w:r w:rsidRPr="00350F65">
        <w:t xml:space="preserve"> and procurement</w:t>
      </w:r>
      <w:r>
        <w:t>;</w:t>
      </w:r>
    </w:p>
    <w:p w14:paraId="169D484D" w14:textId="1341097C" w:rsidR="0067345D" w:rsidRPr="00350F65" w:rsidRDefault="0067345D" w:rsidP="004B220D">
      <w:pPr>
        <w:pStyle w:val="ListParagraph"/>
        <w:numPr>
          <w:ilvl w:val="0"/>
          <w:numId w:val="44"/>
        </w:numPr>
        <w:spacing w:after="200" w:line="276" w:lineRule="auto"/>
      </w:pPr>
      <w:r w:rsidRPr="00350F65">
        <w:t>Oversee</w:t>
      </w:r>
      <w:r>
        <w:t>ing</w:t>
      </w:r>
      <w:r w:rsidRPr="00350F65">
        <w:t xml:space="preserve"> the </w:t>
      </w:r>
      <w:r>
        <w:t xml:space="preserve">staff responsible for administration of </w:t>
      </w:r>
      <w:r w:rsidRPr="00350F65">
        <w:t>grants</w:t>
      </w:r>
      <w:r>
        <w:t>, partner agreements</w:t>
      </w:r>
      <w:r w:rsidRPr="00350F65">
        <w:t xml:space="preserve"> and procurement to ensure appropriate processes are followed and approvals are obtained and documented</w:t>
      </w:r>
      <w:r>
        <w:t xml:space="preserve">; </w:t>
      </w:r>
    </w:p>
    <w:p w14:paraId="2AEB7C01" w14:textId="76BD12FD" w:rsidR="0067345D" w:rsidRPr="00D579A6" w:rsidRDefault="0067345D" w:rsidP="004B220D">
      <w:pPr>
        <w:pStyle w:val="ListParagraph"/>
        <w:numPr>
          <w:ilvl w:val="0"/>
          <w:numId w:val="44"/>
        </w:numPr>
      </w:pPr>
      <w:r w:rsidRPr="00D579A6">
        <w:lastRenderedPageBreak/>
        <w:t xml:space="preserve">Managing the efficient novation of </w:t>
      </w:r>
      <w:r>
        <w:t>Partner</w:t>
      </w:r>
      <w:r w:rsidRPr="00D579A6">
        <w:t xml:space="preserve"> agreements during transition to </w:t>
      </w:r>
      <w:r>
        <w:t>the</w:t>
      </w:r>
      <w:r w:rsidRPr="00D579A6">
        <w:t xml:space="preserve"> new phase;</w:t>
      </w:r>
      <w:r w:rsidR="004B19F5" w:rsidRPr="004B19F5">
        <w:t xml:space="preserve"> </w:t>
      </w:r>
      <w:r w:rsidR="004B19F5">
        <w:t>and</w:t>
      </w:r>
    </w:p>
    <w:p w14:paraId="2700F786" w14:textId="77777777" w:rsidR="0067345D" w:rsidRPr="005723A3" w:rsidRDefault="0067345D" w:rsidP="004B220D">
      <w:pPr>
        <w:pStyle w:val="ListParagraph"/>
        <w:numPr>
          <w:ilvl w:val="0"/>
          <w:numId w:val="44"/>
        </w:numPr>
        <w:spacing w:after="200" w:line="276" w:lineRule="auto"/>
      </w:pPr>
      <w:r>
        <w:t>Periodically reviewing and a</w:t>
      </w:r>
      <w:r w:rsidRPr="00FF167E">
        <w:t>dapt</w:t>
      </w:r>
      <w:r>
        <w:t>ing</w:t>
      </w:r>
      <w:r w:rsidRPr="00FF167E">
        <w:t xml:space="preserve"> </w:t>
      </w:r>
      <w:r>
        <w:t>grants, p</w:t>
      </w:r>
      <w:r w:rsidRPr="005723A3">
        <w:t xml:space="preserve">artner agreements and </w:t>
      </w:r>
      <w:r>
        <w:t>procurement documentation to ensure that it is fit for purpose and compliant with relevant Australian and Indonesian regulations.</w:t>
      </w:r>
    </w:p>
    <w:p w14:paraId="6B249C41" w14:textId="77777777" w:rsidR="0067345D" w:rsidRPr="00350F65" w:rsidRDefault="0067345D" w:rsidP="0067345D">
      <w:pPr>
        <w:rPr>
          <w:b/>
          <w:u w:val="single"/>
        </w:rPr>
      </w:pPr>
      <w:r w:rsidRPr="00350F65">
        <w:rPr>
          <w:b/>
          <w:u w:val="single"/>
        </w:rPr>
        <w:t>IT</w:t>
      </w:r>
    </w:p>
    <w:p w14:paraId="768B5BE0" w14:textId="77777777" w:rsidR="0067345D" w:rsidRPr="00350F65" w:rsidRDefault="0067345D" w:rsidP="004B220D">
      <w:pPr>
        <w:pStyle w:val="ListParagraph"/>
        <w:numPr>
          <w:ilvl w:val="0"/>
          <w:numId w:val="44"/>
        </w:numPr>
        <w:spacing w:after="200" w:line="276" w:lineRule="auto"/>
      </w:pPr>
      <w:r w:rsidRPr="00350F65">
        <w:t>Lead</w:t>
      </w:r>
      <w:r>
        <w:t>ing</w:t>
      </w:r>
      <w:r w:rsidRPr="00350F65">
        <w:t xml:space="preserve"> the IT team to ensure the program has appropriate ICT infrastructure to support operations and implementation activities</w:t>
      </w:r>
      <w:r>
        <w:t>;</w:t>
      </w:r>
    </w:p>
    <w:p w14:paraId="5B50A0BA" w14:textId="433E49F5" w:rsidR="0067345D" w:rsidRDefault="0067345D" w:rsidP="004B220D">
      <w:pPr>
        <w:pStyle w:val="ListParagraph"/>
        <w:numPr>
          <w:ilvl w:val="0"/>
          <w:numId w:val="44"/>
        </w:numPr>
        <w:spacing w:after="200" w:line="276" w:lineRule="auto"/>
      </w:pPr>
      <w:r>
        <w:t>Protecting program information systems in all locations from virus, malware and other digital attacks and ensuring all staff and their information technology complies with Contractor standards for data protection and system integrity; and</w:t>
      </w:r>
    </w:p>
    <w:p w14:paraId="3F32DF41" w14:textId="77777777" w:rsidR="0067345D" w:rsidRPr="00350F65" w:rsidRDefault="0067345D" w:rsidP="004B220D">
      <w:pPr>
        <w:pStyle w:val="ListParagraph"/>
        <w:numPr>
          <w:ilvl w:val="0"/>
          <w:numId w:val="44"/>
        </w:numPr>
        <w:spacing w:after="200" w:line="276" w:lineRule="auto"/>
      </w:pPr>
      <w:r w:rsidRPr="00350F65">
        <w:t>Oversee</w:t>
      </w:r>
      <w:r>
        <w:t>ing</w:t>
      </w:r>
      <w:r w:rsidRPr="00350F65">
        <w:t xml:space="preserve"> </w:t>
      </w:r>
      <w:r>
        <w:t xml:space="preserve">use and maintenance of </w:t>
      </w:r>
      <w:r w:rsidRPr="00350F65">
        <w:t>the Management Information System (MIS)</w:t>
      </w:r>
      <w:r>
        <w:t xml:space="preserve"> by the MRM Team</w:t>
      </w:r>
      <w:r w:rsidRPr="00350F65">
        <w:t>.</w:t>
      </w:r>
    </w:p>
    <w:p w14:paraId="1DAB98BB" w14:textId="77777777" w:rsidR="0067345D" w:rsidRPr="00350F65" w:rsidRDefault="0067345D" w:rsidP="0067345D">
      <w:pPr>
        <w:rPr>
          <w:b/>
          <w:u w:val="single"/>
        </w:rPr>
      </w:pPr>
      <w:r w:rsidRPr="00350F65">
        <w:rPr>
          <w:b/>
          <w:u w:val="single"/>
        </w:rPr>
        <w:t>Human Resources</w:t>
      </w:r>
    </w:p>
    <w:p w14:paraId="5B0F08C9" w14:textId="77777777" w:rsidR="0067345D" w:rsidRPr="00350F65" w:rsidRDefault="0067345D" w:rsidP="004B220D">
      <w:pPr>
        <w:pStyle w:val="ListParagraph"/>
        <w:numPr>
          <w:ilvl w:val="0"/>
          <w:numId w:val="44"/>
        </w:numPr>
        <w:spacing w:after="200" w:line="276" w:lineRule="auto"/>
      </w:pPr>
      <w:r w:rsidRPr="00350F65">
        <w:t>Oversee</w:t>
      </w:r>
      <w:r>
        <w:t>ing</w:t>
      </w:r>
      <w:r w:rsidRPr="00350F65">
        <w:t xml:space="preserve"> the recruitment, contracting and mobilisation of local program staff in accordance with appropriate timeframes and HR processes</w:t>
      </w:r>
      <w:r>
        <w:t>;</w:t>
      </w:r>
    </w:p>
    <w:p w14:paraId="6AD0F277" w14:textId="77777777" w:rsidR="0067345D" w:rsidRPr="00D579A6" w:rsidRDefault="0067345D" w:rsidP="004B220D">
      <w:pPr>
        <w:pStyle w:val="ListParagraph"/>
        <w:numPr>
          <w:ilvl w:val="0"/>
          <w:numId w:val="44"/>
        </w:numPr>
      </w:pPr>
      <w:r w:rsidRPr="00D579A6">
        <w:t xml:space="preserve">Managing the efficient novation of personnel contracts during transition to </w:t>
      </w:r>
      <w:r>
        <w:t>the</w:t>
      </w:r>
      <w:r w:rsidRPr="00D579A6">
        <w:t xml:space="preserve"> new phase;</w:t>
      </w:r>
    </w:p>
    <w:p w14:paraId="6CF2AB33" w14:textId="2261D406" w:rsidR="0067345D" w:rsidRPr="00350F65" w:rsidRDefault="0067345D" w:rsidP="004B220D">
      <w:pPr>
        <w:pStyle w:val="ListParagraph"/>
        <w:numPr>
          <w:ilvl w:val="0"/>
          <w:numId w:val="44"/>
        </w:numPr>
        <w:spacing w:after="200" w:line="276" w:lineRule="auto"/>
      </w:pPr>
      <w:r w:rsidRPr="00350F65">
        <w:t>Develop</w:t>
      </w:r>
      <w:r>
        <w:t>ing, adapting</w:t>
      </w:r>
      <w:r w:rsidRPr="00350F65">
        <w:t xml:space="preserve"> and </w:t>
      </w:r>
      <w:r>
        <w:t>using</w:t>
      </w:r>
      <w:r w:rsidRPr="00350F65">
        <w:t xml:space="preserve"> key HR systems and processes</w:t>
      </w:r>
      <w:r>
        <w:t xml:space="preserve"> from the Contractor</w:t>
      </w:r>
      <w:r w:rsidRPr="00350F65">
        <w:t>, including those for staff budgeting and severance pay calculations, leave tracking, recruitment, payroll, performance evaluation</w:t>
      </w:r>
      <w:r w:rsidR="004B19F5">
        <w:t>,</w:t>
      </w:r>
      <w:r w:rsidRPr="00350F65">
        <w:t xml:space="preserve"> capacity development</w:t>
      </w:r>
      <w:r>
        <w:t>;</w:t>
      </w:r>
      <w:r w:rsidR="004B19F5">
        <w:t xml:space="preserve"> and workplace health and safety;</w:t>
      </w:r>
    </w:p>
    <w:p w14:paraId="349EB9FD" w14:textId="59D79C98" w:rsidR="0067345D" w:rsidRDefault="0067345D" w:rsidP="004B220D">
      <w:pPr>
        <w:pStyle w:val="ListParagraph"/>
        <w:numPr>
          <w:ilvl w:val="0"/>
          <w:numId w:val="44"/>
        </w:numPr>
        <w:spacing w:after="200" w:line="276" w:lineRule="auto"/>
      </w:pPr>
      <w:r>
        <w:t>Liaising with HR staff in the Contractor’s Head Office to ensure all program staff are paid and accounted for in accordance with relevant labour and income tax laws and related regulations;</w:t>
      </w:r>
    </w:p>
    <w:p w14:paraId="4851FF7E" w14:textId="77777777" w:rsidR="0067345D" w:rsidRPr="00350F65" w:rsidRDefault="0067345D" w:rsidP="004B220D">
      <w:pPr>
        <w:pStyle w:val="ListParagraph"/>
        <w:numPr>
          <w:ilvl w:val="0"/>
          <w:numId w:val="44"/>
        </w:numPr>
        <w:spacing w:after="200" w:line="276" w:lineRule="auto"/>
      </w:pPr>
      <w:r w:rsidRPr="00350F65">
        <w:t>Oversee</w:t>
      </w:r>
      <w:r>
        <w:t>ing</w:t>
      </w:r>
      <w:r w:rsidRPr="00350F65">
        <w:t xml:space="preserve"> the effective HR management of program staff</w:t>
      </w:r>
      <w:r>
        <w:t>;</w:t>
      </w:r>
    </w:p>
    <w:p w14:paraId="0CC363C9" w14:textId="37731FEC" w:rsidR="0067345D" w:rsidRPr="00350F65" w:rsidRDefault="0067345D" w:rsidP="004B220D">
      <w:pPr>
        <w:pStyle w:val="ListParagraph"/>
        <w:numPr>
          <w:ilvl w:val="0"/>
          <w:numId w:val="44"/>
        </w:numPr>
        <w:spacing w:after="200" w:line="276" w:lineRule="auto"/>
      </w:pPr>
      <w:r w:rsidRPr="00350F65">
        <w:t>Oversee</w:t>
      </w:r>
      <w:r>
        <w:t>ing</w:t>
      </w:r>
      <w:r w:rsidRPr="00350F65">
        <w:t xml:space="preserve"> </w:t>
      </w:r>
      <w:r>
        <w:t>adaptation and use</w:t>
      </w:r>
      <w:r w:rsidRPr="00350F65">
        <w:t xml:space="preserve"> of </w:t>
      </w:r>
      <w:r>
        <w:t>the Contractor’s</w:t>
      </w:r>
      <w:r w:rsidRPr="00350F65">
        <w:t xml:space="preserve"> performance management system for all </w:t>
      </w:r>
      <w:r>
        <w:t xml:space="preserve">program </w:t>
      </w:r>
      <w:r w:rsidRPr="00350F65">
        <w:t>personnel</w:t>
      </w:r>
      <w:r>
        <w:t>;</w:t>
      </w:r>
    </w:p>
    <w:p w14:paraId="3ED7D5C9" w14:textId="77777777" w:rsidR="0067345D" w:rsidRPr="00350F65" w:rsidRDefault="0067345D" w:rsidP="004B220D">
      <w:pPr>
        <w:pStyle w:val="ListParagraph"/>
        <w:numPr>
          <w:ilvl w:val="0"/>
          <w:numId w:val="44"/>
        </w:numPr>
        <w:spacing w:after="200" w:line="276" w:lineRule="auto"/>
      </w:pPr>
      <w:r w:rsidRPr="00350F65">
        <w:t>Ensur</w:t>
      </w:r>
      <w:r>
        <w:t>ing program</w:t>
      </w:r>
      <w:r w:rsidRPr="00350F65">
        <w:t xml:space="preserve"> staff are appropriately trained and </w:t>
      </w:r>
      <w:r>
        <w:t>working</w:t>
      </w:r>
      <w:r w:rsidRPr="00350F65">
        <w:t xml:space="preserve"> in compliance with new and established operational procedures and policies</w:t>
      </w:r>
      <w:r>
        <w:t>; and</w:t>
      </w:r>
    </w:p>
    <w:p w14:paraId="79314999" w14:textId="50B0D556" w:rsidR="0067345D" w:rsidRPr="00350F65" w:rsidRDefault="0067345D" w:rsidP="004B220D">
      <w:pPr>
        <w:pStyle w:val="ListParagraph"/>
        <w:numPr>
          <w:ilvl w:val="0"/>
          <w:numId w:val="44"/>
        </w:numPr>
        <w:spacing w:after="200" w:line="276" w:lineRule="auto"/>
      </w:pPr>
      <w:r w:rsidRPr="00350F65">
        <w:t>Provid</w:t>
      </w:r>
      <w:r>
        <w:t>ing</w:t>
      </w:r>
      <w:r w:rsidRPr="00350F65">
        <w:t xml:space="preserve"> considered advice to </w:t>
      </w:r>
      <w:r>
        <w:t>o</w:t>
      </w:r>
      <w:r w:rsidRPr="00350F65">
        <w:t>the</w:t>
      </w:r>
      <w:r>
        <w:t>r members of the</w:t>
      </w:r>
      <w:r w:rsidRPr="00350F65">
        <w:t xml:space="preserve"> </w:t>
      </w:r>
      <w:r w:rsidR="00373375">
        <w:t>Core</w:t>
      </w:r>
      <w:r w:rsidRPr="00350F65">
        <w:t xml:space="preserve"> Management Team and Contractor Representative on management of staff and manpower laws in Indonesia.</w:t>
      </w:r>
    </w:p>
    <w:p w14:paraId="72E15AA8" w14:textId="77777777" w:rsidR="0067345D" w:rsidRPr="00350F65" w:rsidRDefault="0067345D" w:rsidP="0067345D">
      <w:pPr>
        <w:rPr>
          <w:b/>
          <w:u w:val="single"/>
        </w:rPr>
      </w:pPr>
      <w:r w:rsidRPr="00350F65">
        <w:rPr>
          <w:b/>
          <w:u w:val="single"/>
        </w:rPr>
        <w:t>Financ</w:t>
      </w:r>
      <w:r>
        <w:rPr>
          <w:b/>
          <w:u w:val="single"/>
        </w:rPr>
        <w:t>ial Manag</w:t>
      </w:r>
      <w:r w:rsidRPr="00350F65">
        <w:rPr>
          <w:b/>
          <w:u w:val="single"/>
        </w:rPr>
        <w:t>e</w:t>
      </w:r>
      <w:r>
        <w:rPr>
          <w:b/>
          <w:u w:val="single"/>
        </w:rPr>
        <w:t>ment</w:t>
      </w:r>
    </w:p>
    <w:p w14:paraId="4A5FC469" w14:textId="77777777" w:rsidR="0067345D" w:rsidRPr="00350F65" w:rsidRDefault="0067345D" w:rsidP="004B220D">
      <w:pPr>
        <w:pStyle w:val="ListParagraph"/>
        <w:numPr>
          <w:ilvl w:val="0"/>
          <w:numId w:val="44"/>
        </w:numPr>
        <w:spacing w:after="200" w:line="276" w:lineRule="auto"/>
      </w:pPr>
      <w:r w:rsidRPr="00350F65">
        <w:t>Support</w:t>
      </w:r>
      <w:r>
        <w:t>ing</w:t>
      </w:r>
      <w:r w:rsidRPr="00350F65">
        <w:t xml:space="preserve"> and oversee</w:t>
      </w:r>
      <w:r>
        <w:t>ing</w:t>
      </w:r>
      <w:r w:rsidRPr="00350F65">
        <w:t xml:space="preserve"> the Finance Manager to ensure that program financial operations compl</w:t>
      </w:r>
      <w:r>
        <w:t>y</w:t>
      </w:r>
      <w:r w:rsidRPr="00350F65">
        <w:t xml:space="preserve"> with DFAT processes and procedures, including the maintenance of accurate financial records for all program activities</w:t>
      </w:r>
      <w:r>
        <w:t xml:space="preserve">, as well as Indonesian regulations for accounting, </w:t>
      </w:r>
      <w:r w:rsidRPr="004F1035">
        <w:t>goods and services and sales tax</w:t>
      </w:r>
      <w:r>
        <w:t>, stamp duty and income tax;</w:t>
      </w:r>
    </w:p>
    <w:p w14:paraId="56FEC0D7" w14:textId="0FAA6754" w:rsidR="0067345D" w:rsidRDefault="0067345D" w:rsidP="004B220D">
      <w:pPr>
        <w:pStyle w:val="ListParagraph"/>
        <w:numPr>
          <w:ilvl w:val="0"/>
          <w:numId w:val="44"/>
        </w:numPr>
        <w:spacing w:after="200" w:line="276" w:lineRule="auto"/>
      </w:pPr>
      <w:r>
        <w:t>Using and adapting the Contractor’s</w:t>
      </w:r>
      <w:r w:rsidRPr="00350F65">
        <w:t xml:space="preserve"> financial management and reporting system</w:t>
      </w:r>
      <w:r>
        <w:t>s to effectively manage financial transactions throughout the program</w:t>
      </w:r>
    </w:p>
    <w:p w14:paraId="0638EA00" w14:textId="2BD99685" w:rsidR="0067345D" w:rsidRPr="00350F65" w:rsidRDefault="0067345D" w:rsidP="004B220D">
      <w:pPr>
        <w:pStyle w:val="ListParagraph"/>
        <w:numPr>
          <w:ilvl w:val="0"/>
          <w:numId w:val="44"/>
        </w:numPr>
        <w:spacing w:after="200" w:line="276" w:lineRule="auto"/>
      </w:pPr>
      <w:r>
        <w:t>P</w:t>
      </w:r>
      <w:r w:rsidRPr="00350F65">
        <w:t>rovid</w:t>
      </w:r>
      <w:r>
        <w:t>ing the Contractor and other members of the Senior Management Team</w:t>
      </w:r>
      <w:r w:rsidRPr="00350F65">
        <w:t xml:space="preserve"> with </w:t>
      </w:r>
      <w:r>
        <w:t xml:space="preserve">regular information </w:t>
      </w:r>
      <w:r w:rsidRPr="00350F65">
        <w:t xml:space="preserve">to enable effective monitoring and management of </w:t>
      </w:r>
      <w:r>
        <w:t xml:space="preserve">all contract budget lines, intervention </w:t>
      </w:r>
      <w:r w:rsidRPr="00350F65">
        <w:t xml:space="preserve">activities and </w:t>
      </w:r>
      <w:r>
        <w:t xml:space="preserve">the program </w:t>
      </w:r>
      <w:r w:rsidRPr="00350F65">
        <w:t>budget</w:t>
      </w:r>
      <w:r>
        <w:t>;</w:t>
      </w:r>
    </w:p>
    <w:p w14:paraId="5075B912" w14:textId="77777777" w:rsidR="0067345D" w:rsidRPr="00350F65" w:rsidRDefault="0067345D" w:rsidP="004B220D">
      <w:pPr>
        <w:pStyle w:val="ListParagraph"/>
        <w:numPr>
          <w:ilvl w:val="0"/>
          <w:numId w:val="44"/>
        </w:numPr>
        <w:spacing w:after="200" w:line="276" w:lineRule="auto"/>
      </w:pPr>
      <w:r w:rsidRPr="00350F65">
        <w:t>Oversee</w:t>
      </w:r>
      <w:r>
        <w:t>ing</w:t>
      </w:r>
      <w:r w:rsidRPr="00350F65">
        <w:t xml:space="preserve"> program finances to track expenditure, forecast accurately and ensure the availability of funds to support project operations</w:t>
      </w:r>
      <w:r>
        <w:t xml:space="preserve"> as well as responding to DFAT requests for financial information;</w:t>
      </w:r>
    </w:p>
    <w:p w14:paraId="4F49D4C9" w14:textId="77777777" w:rsidR="0067345D" w:rsidRPr="00350F65" w:rsidRDefault="0067345D" w:rsidP="004B220D">
      <w:pPr>
        <w:pStyle w:val="ListParagraph"/>
        <w:numPr>
          <w:ilvl w:val="0"/>
          <w:numId w:val="44"/>
        </w:numPr>
        <w:spacing w:after="200" w:line="276" w:lineRule="auto"/>
      </w:pPr>
      <w:r w:rsidRPr="00350F65">
        <w:t>Supervis</w:t>
      </w:r>
      <w:r>
        <w:t>ing</w:t>
      </w:r>
      <w:r w:rsidRPr="00350F65">
        <w:t xml:space="preserve"> and ensur</w:t>
      </w:r>
      <w:r>
        <w:t>ing</w:t>
      </w:r>
      <w:r w:rsidRPr="00350F65">
        <w:t xml:space="preserve"> value for money and compliance with Commonwealth Procurement Rules in contracting, procurement and management of </w:t>
      </w:r>
      <w:r>
        <w:t xml:space="preserve">Partners, </w:t>
      </w:r>
      <w:r w:rsidRPr="00350F65">
        <w:t>sub-contractors and service providers</w:t>
      </w:r>
      <w:r>
        <w:t>; and</w:t>
      </w:r>
    </w:p>
    <w:p w14:paraId="5E74F66A" w14:textId="77777777" w:rsidR="0067345D" w:rsidRPr="00350F65" w:rsidRDefault="0067345D" w:rsidP="004B220D">
      <w:pPr>
        <w:pStyle w:val="ListParagraph"/>
        <w:numPr>
          <w:ilvl w:val="0"/>
          <w:numId w:val="44"/>
        </w:numPr>
        <w:spacing w:after="200" w:line="276" w:lineRule="auto"/>
      </w:pPr>
      <w:r w:rsidRPr="00350F65">
        <w:lastRenderedPageBreak/>
        <w:t>Contribut</w:t>
      </w:r>
      <w:r>
        <w:t>ing</w:t>
      </w:r>
      <w:r w:rsidRPr="00350F65">
        <w:t xml:space="preserve"> to financial reporting </w:t>
      </w:r>
      <w:r>
        <w:t>for</w:t>
      </w:r>
      <w:r w:rsidRPr="00350F65">
        <w:t xml:space="preserve"> DFAT.</w:t>
      </w:r>
    </w:p>
    <w:p w14:paraId="4EF13969" w14:textId="77777777" w:rsidR="00B0595B" w:rsidRDefault="00B0595B" w:rsidP="0067345D">
      <w:pPr>
        <w:rPr>
          <w:b/>
          <w:u w:val="single"/>
        </w:rPr>
      </w:pPr>
    </w:p>
    <w:p w14:paraId="173453D4" w14:textId="77777777" w:rsidR="00B0595B" w:rsidRDefault="00B0595B" w:rsidP="0067345D">
      <w:pPr>
        <w:rPr>
          <w:b/>
          <w:u w:val="single"/>
        </w:rPr>
      </w:pPr>
    </w:p>
    <w:p w14:paraId="481E20B7" w14:textId="77777777" w:rsidR="0067345D" w:rsidRPr="00350F65" w:rsidRDefault="0067345D" w:rsidP="0067345D">
      <w:pPr>
        <w:rPr>
          <w:b/>
          <w:u w:val="single"/>
        </w:rPr>
      </w:pPr>
      <w:r w:rsidRPr="00350F65">
        <w:rPr>
          <w:b/>
          <w:u w:val="single"/>
        </w:rPr>
        <w:t>Essential Qualifications and Experience:</w:t>
      </w:r>
    </w:p>
    <w:p w14:paraId="46D9EF03" w14:textId="77777777" w:rsidR="0067345D" w:rsidRPr="00350F65" w:rsidRDefault="0067345D" w:rsidP="004B220D">
      <w:pPr>
        <w:pStyle w:val="ListParagraph"/>
        <w:numPr>
          <w:ilvl w:val="0"/>
          <w:numId w:val="44"/>
        </w:numPr>
        <w:spacing w:after="200" w:line="276" w:lineRule="auto"/>
      </w:pPr>
      <w:r w:rsidRPr="00350F65">
        <w:t xml:space="preserve">At least 10 years' experience in a senior </w:t>
      </w:r>
      <w:r>
        <w:t xml:space="preserve">operational </w:t>
      </w:r>
      <w:r w:rsidRPr="00350F65">
        <w:t xml:space="preserve">management position, preferably in international development.  Experience in </w:t>
      </w:r>
      <w:r>
        <w:t xml:space="preserve">operational </w:t>
      </w:r>
      <w:r w:rsidRPr="00350F65">
        <w:t>management of complex development programs essential.</w:t>
      </w:r>
    </w:p>
    <w:p w14:paraId="31B31A76" w14:textId="77777777" w:rsidR="0067345D" w:rsidRPr="00350F65" w:rsidRDefault="0067345D" w:rsidP="004B220D">
      <w:pPr>
        <w:pStyle w:val="ListParagraph"/>
        <w:numPr>
          <w:ilvl w:val="0"/>
          <w:numId w:val="44"/>
        </w:numPr>
        <w:spacing w:after="200" w:line="276" w:lineRule="auto"/>
      </w:pPr>
      <w:r w:rsidRPr="00350F65">
        <w:t xml:space="preserve">Relevant </w:t>
      </w:r>
      <w:r>
        <w:t>qualifications in accounting (e.g. CPA), program management (e.g. Certified to PMI 6 or above) or management (e.g. MBA)</w:t>
      </w:r>
      <w:r w:rsidRPr="00350F65">
        <w:t>.</w:t>
      </w:r>
    </w:p>
    <w:p w14:paraId="3F0AE893" w14:textId="77777777" w:rsidR="0067345D" w:rsidRPr="00350F65" w:rsidRDefault="0067345D" w:rsidP="004B220D">
      <w:pPr>
        <w:pStyle w:val="ListParagraph"/>
        <w:numPr>
          <w:ilvl w:val="0"/>
          <w:numId w:val="44"/>
        </w:numPr>
        <w:spacing w:after="200" w:line="276" w:lineRule="auto"/>
      </w:pPr>
      <w:r w:rsidRPr="00350F65">
        <w:t xml:space="preserve">Outstanding </w:t>
      </w:r>
      <w:r>
        <w:t>practical</w:t>
      </w:r>
      <w:r w:rsidRPr="00350F65">
        <w:t xml:space="preserve"> </w:t>
      </w:r>
      <w:r>
        <w:t>experience</w:t>
      </w:r>
      <w:r w:rsidRPr="00350F65">
        <w:t xml:space="preserve"> in project management and operations</w:t>
      </w:r>
      <w:r>
        <w:t xml:space="preserve"> with theoretical foundation a definite benefit</w:t>
      </w:r>
      <w:r w:rsidRPr="00350F65">
        <w:t>.</w:t>
      </w:r>
    </w:p>
    <w:p w14:paraId="208922BA" w14:textId="77777777" w:rsidR="0067345D" w:rsidRPr="00350F65" w:rsidRDefault="0067345D" w:rsidP="004B220D">
      <w:pPr>
        <w:pStyle w:val="ListParagraph"/>
        <w:numPr>
          <w:ilvl w:val="0"/>
          <w:numId w:val="44"/>
        </w:numPr>
        <w:spacing w:after="200" w:line="276" w:lineRule="auto"/>
      </w:pPr>
      <w:r w:rsidRPr="00350F65">
        <w:t xml:space="preserve">Demonstrated ability to </w:t>
      </w:r>
      <w:r>
        <w:t xml:space="preserve">use and adapt existing corporate </w:t>
      </w:r>
      <w:r w:rsidRPr="00350F65">
        <w:t>systems, tools and processes for the effective and efficient management of program operations and activities.</w:t>
      </w:r>
    </w:p>
    <w:p w14:paraId="4805EC72" w14:textId="4B864D15" w:rsidR="0067345D" w:rsidRPr="00350F65" w:rsidRDefault="0067345D" w:rsidP="004B220D">
      <w:pPr>
        <w:pStyle w:val="ListParagraph"/>
        <w:numPr>
          <w:ilvl w:val="0"/>
          <w:numId w:val="44"/>
        </w:numPr>
        <w:spacing w:after="200" w:line="276" w:lineRule="auto"/>
      </w:pPr>
      <w:r w:rsidRPr="00350F65">
        <w:t xml:space="preserve">Successful track-record in delivery of complex programs/projects </w:t>
      </w:r>
      <w:r>
        <w:t xml:space="preserve">through a Contractor </w:t>
      </w:r>
      <w:r w:rsidRPr="00350F65">
        <w:t>and development of institutional capacity.</w:t>
      </w:r>
    </w:p>
    <w:p w14:paraId="264CB811" w14:textId="77777777" w:rsidR="0067345D" w:rsidRPr="00350F65" w:rsidRDefault="0067345D" w:rsidP="004B220D">
      <w:pPr>
        <w:pStyle w:val="ListParagraph"/>
        <w:numPr>
          <w:ilvl w:val="0"/>
          <w:numId w:val="44"/>
        </w:numPr>
        <w:spacing w:after="200" w:line="276" w:lineRule="auto"/>
      </w:pPr>
      <w:r w:rsidRPr="00350F65">
        <w:t>Demonstrated ability to lead a team of professionals and to coach and mentor staff.</w:t>
      </w:r>
    </w:p>
    <w:p w14:paraId="683E382B" w14:textId="5B2FC760" w:rsidR="0067345D" w:rsidRPr="00350F65" w:rsidRDefault="0067345D" w:rsidP="004B220D">
      <w:pPr>
        <w:pStyle w:val="ListParagraph"/>
        <w:numPr>
          <w:ilvl w:val="0"/>
          <w:numId w:val="44"/>
        </w:numPr>
        <w:spacing w:after="200" w:line="276" w:lineRule="auto"/>
      </w:pPr>
      <w:r w:rsidRPr="00350F65">
        <w:t>At least 10 years' experience working with AusAID/DFAT</w:t>
      </w:r>
      <w:r w:rsidR="004B19F5">
        <w:t xml:space="preserve"> (or equivalent)</w:t>
      </w:r>
      <w:r w:rsidRPr="00350F65">
        <w:t xml:space="preserve"> at a senior level across program operations and contracts</w:t>
      </w:r>
      <w:r>
        <w:t xml:space="preserve"> with DFAT Contractors</w:t>
      </w:r>
      <w:r w:rsidRPr="00350F65">
        <w:t>.</w:t>
      </w:r>
    </w:p>
    <w:p w14:paraId="35FDBB37" w14:textId="77777777" w:rsidR="0067345D" w:rsidRPr="00350F65" w:rsidRDefault="0067345D" w:rsidP="004B220D">
      <w:pPr>
        <w:pStyle w:val="ListParagraph"/>
        <w:numPr>
          <w:ilvl w:val="0"/>
          <w:numId w:val="44"/>
        </w:numPr>
        <w:spacing w:after="200" w:line="276" w:lineRule="auto"/>
      </w:pPr>
      <w:r w:rsidRPr="00350F65">
        <w:t xml:space="preserve">Good understanding of Indonesian Manpower </w:t>
      </w:r>
      <w:r>
        <w:t xml:space="preserve">and Tax </w:t>
      </w:r>
      <w:r w:rsidRPr="00350F65">
        <w:t>legislation.</w:t>
      </w:r>
    </w:p>
    <w:p w14:paraId="6203EE8A" w14:textId="77777777" w:rsidR="0067345D" w:rsidRPr="00350F65" w:rsidRDefault="0067345D" w:rsidP="004B220D">
      <w:pPr>
        <w:pStyle w:val="ListParagraph"/>
        <w:numPr>
          <w:ilvl w:val="0"/>
          <w:numId w:val="44"/>
        </w:numPr>
        <w:spacing w:after="200" w:line="276" w:lineRule="auto"/>
      </w:pPr>
      <w:r w:rsidRPr="00350F65">
        <w:t>Proven experience in contributing to strategic direction and managing multi-disciplinary teams in a cross-cultural context.</w:t>
      </w:r>
    </w:p>
    <w:p w14:paraId="4BE321DD" w14:textId="77777777" w:rsidR="0067345D" w:rsidRPr="00350F65" w:rsidRDefault="0067345D" w:rsidP="004B220D">
      <w:pPr>
        <w:pStyle w:val="ListParagraph"/>
        <w:numPr>
          <w:ilvl w:val="0"/>
          <w:numId w:val="44"/>
        </w:numPr>
        <w:spacing w:after="200" w:line="276" w:lineRule="auto"/>
      </w:pPr>
      <w:r w:rsidRPr="00350F65">
        <w:t xml:space="preserve">Proven </w:t>
      </w:r>
      <w:r>
        <w:t>high level</w:t>
      </w:r>
      <w:r w:rsidRPr="00350F65">
        <w:t xml:space="preserve"> leadership, management and organisational skills</w:t>
      </w:r>
      <w:r>
        <w:t xml:space="preserve"> for operations management</w:t>
      </w:r>
      <w:r w:rsidRPr="00350F65">
        <w:t>.</w:t>
      </w:r>
    </w:p>
    <w:p w14:paraId="6396ED2E" w14:textId="77777777" w:rsidR="0067345D" w:rsidRPr="00350F65" w:rsidRDefault="0067345D" w:rsidP="004B220D">
      <w:pPr>
        <w:pStyle w:val="ListParagraph"/>
        <w:numPr>
          <w:ilvl w:val="0"/>
          <w:numId w:val="44"/>
        </w:numPr>
        <w:spacing w:after="200" w:line="276" w:lineRule="auto"/>
      </w:pPr>
      <w:r w:rsidRPr="00350F65">
        <w:t>Excellent written and verbal communication skills in English.</w:t>
      </w:r>
    </w:p>
    <w:p w14:paraId="3015EC02" w14:textId="77777777" w:rsidR="0067345D" w:rsidRPr="00350F65" w:rsidRDefault="0067345D" w:rsidP="004B220D">
      <w:pPr>
        <w:pStyle w:val="ListParagraph"/>
        <w:numPr>
          <w:ilvl w:val="0"/>
          <w:numId w:val="44"/>
        </w:numPr>
        <w:spacing w:after="200" w:line="276" w:lineRule="auto"/>
      </w:pPr>
      <w:r w:rsidRPr="00350F65">
        <w:t>Strong representation, communication and interpersonal skills.</w:t>
      </w:r>
    </w:p>
    <w:p w14:paraId="540BCA96" w14:textId="77777777" w:rsidR="0067345D" w:rsidRPr="00350F65" w:rsidRDefault="0067345D" w:rsidP="0067345D">
      <w:pPr>
        <w:rPr>
          <w:b/>
          <w:u w:val="single"/>
        </w:rPr>
      </w:pPr>
      <w:r w:rsidRPr="00350F65">
        <w:rPr>
          <w:b/>
          <w:u w:val="single"/>
        </w:rPr>
        <w:t>Desirable Qualifications and Experience:</w:t>
      </w:r>
    </w:p>
    <w:p w14:paraId="6367CFBB" w14:textId="2B504ABB" w:rsidR="0067345D" w:rsidRPr="00E8766D" w:rsidRDefault="0067345D" w:rsidP="004B220D">
      <w:pPr>
        <w:pStyle w:val="ListParagraph"/>
        <w:numPr>
          <w:ilvl w:val="0"/>
          <w:numId w:val="44"/>
        </w:numPr>
      </w:pPr>
      <w:r w:rsidRPr="00E8766D">
        <w:t xml:space="preserve">Fluency in speaking and reading in </w:t>
      </w:r>
      <w:r>
        <w:t>Indonesian</w:t>
      </w:r>
      <w:r w:rsidRPr="00E8766D">
        <w:t xml:space="preserve"> and experience working in Indonesia.</w:t>
      </w:r>
    </w:p>
    <w:p w14:paraId="209920B6" w14:textId="77777777" w:rsidR="0067345D" w:rsidRPr="00350F65" w:rsidRDefault="0067345D" w:rsidP="004B220D">
      <w:pPr>
        <w:pStyle w:val="ListParagraph"/>
        <w:numPr>
          <w:ilvl w:val="0"/>
          <w:numId w:val="44"/>
        </w:numPr>
        <w:spacing w:after="200" w:line="276" w:lineRule="auto"/>
      </w:pPr>
      <w:r w:rsidRPr="00350F65">
        <w:t>Knowledge of Indonesian public sector and experience working with government agencies.</w:t>
      </w:r>
    </w:p>
    <w:p w14:paraId="313F6DBB" w14:textId="3169BB0A" w:rsidR="00ED4418" w:rsidRDefault="0067345D" w:rsidP="004B220D">
      <w:pPr>
        <w:pStyle w:val="ListParagraph"/>
        <w:numPr>
          <w:ilvl w:val="0"/>
          <w:numId w:val="44"/>
        </w:numPr>
        <w:tabs>
          <w:tab w:val="left" w:pos="709"/>
          <w:tab w:val="left" w:pos="5103"/>
          <w:tab w:val="right" w:pos="9072"/>
        </w:tabs>
        <w:spacing w:after="200" w:line="276" w:lineRule="auto"/>
        <w:sectPr w:rsidR="00ED4418" w:rsidSect="004D7E21">
          <w:pgSz w:w="11906" w:h="16838" w:code="9"/>
          <w:pgMar w:top="1701" w:right="1134" w:bottom="1418" w:left="1134" w:header="425" w:footer="493" w:gutter="0"/>
          <w:cols w:space="397"/>
          <w:titlePg/>
          <w:docGrid w:linePitch="360"/>
        </w:sectPr>
      </w:pPr>
      <w:r w:rsidRPr="00350F65">
        <w:t>Experience working on Rural Development or Agric</w:t>
      </w:r>
      <w:r w:rsidR="00ED4418">
        <w:t>ultural projects or initiatives</w:t>
      </w:r>
      <w:r w:rsidR="006C7E5B">
        <w:t>.</w:t>
      </w:r>
    </w:p>
    <w:p w14:paraId="4777B44B" w14:textId="0460C740" w:rsidR="00D31537" w:rsidRPr="006000A3" w:rsidRDefault="00D91D8B" w:rsidP="00274C18">
      <w:pPr>
        <w:pStyle w:val="Heading3"/>
      </w:pPr>
      <w:bookmarkStart w:id="47" w:name="_Toc499298873"/>
      <w:r>
        <w:lastRenderedPageBreak/>
        <w:t>Annex 10</w:t>
      </w:r>
      <w:r w:rsidR="0045469D" w:rsidRPr="0000269C">
        <w:t xml:space="preserve">: </w:t>
      </w:r>
      <w:r w:rsidR="00D31537" w:rsidRPr="0000269C">
        <w:t>Gender Equality</w:t>
      </w:r>
      <w:r w:rsidR="0000269C">
        <w:t xml:space="preserve"> and Women’s Economic Empowerment</w:t>
      </w:r>
      <w:bookmarkEnd w:id="47"/>
    </w:p>
    <w:p w14:paraId="63C119E6" w14:textId="692BB78C" w:rsidR="0000269C" w:rsidRPr="0032306A" w:rsidRDefault="0000269C" w:rsidP="0018686E">
      <w:pPr>
        <w:spacing w:before="240"/>
      </w:pPr>
      <w:r w:rsidRPr="0032306A">
        <w:t>This annex summari</w:t>
      </w:r>
      <w:r>
        <w:t>s</w:t>
      </w:r>
      <w:r w:rsidRPr="0032306A">
        <w:t>es current DFAT policies in th</w:t>
      </w:r>
      <w:r>
        <w:t>is</w:t>
      </w:r>
      <w:r w:rsidRPr="0032306A">
        <w:t xml:space="preserve"> area, examines international </w:t>
      </w:r>
      <w:r>
        <w:t>trends</w:t>
      </w:r>
      <w:r w:rsidRPr="0032306A">
        <w:t xml:space="preserve">, assesses </w:t>
      </w:r>
      <w:r>
        <w:t xml:space="preserve">the </w:t>
      </w:r>
      <w:r w:rsidRPr="0032306A">
        <w:t xml:space="preserve">current </w:t>
      </w:r>
      <w:r>
        <w:t xml:space="preserve">state of practices in </w:t>
      </w:r>
      <w:r w:rsidRPr="0032306A">
        <w:t>AIP-Rural</w:t>
      </w:r>
      <w:r>
        <w:t>,</w:t>
      </w:r>
      <w:r w:rsidRPr="0032306A">
        <w:t xml:space="preserve"> and finally</w:t>
      </w:r>
      <w:r>
        <w:t>,</w:t>
      </w:r>
      <w:r w:rsidRPr="0032306A">
        <w:t xml:space="preserve"> suggests measures </w:t>
      </w:r>
      <w:r>
        <w:t xml:space="preserve">to be considered as </w:t>
      </w:r>
      <w:r w:rsidRPr="0032306A">
        <w:t>prioritie</w:t>
      </w:r>
      <w:r>
        <w:t>s</w:t>
      </w:r>
      <w:r w:rsidRPr="0032306A">
        <w:t xml:space="preserve"> </w:t>
      </w:r>
      <w:r>
        <w:t>for</w:t>
      </w:r>
      <w:r w:rsidRPr="0032306A">
        <w:t xml:space="preserve"> the next phase</w:t>
      </w:r>
      <w:r>
        <w:t xml:space="preserve"> of investment through </w:t>
      </w:r>
      <w:r w:rsidR="005D461A">
        <w:t>PRISMA-2</w:t>
      </w:r>
      <w:r w:rsidRPr="0032306A">
        <w:t>.</w:t>
      </w:r>
    </w:p>
    <w:p w14:paraId="020B6A12" w14:textId="77777777" w:rsidR="0000269C" w:rsidRPr="00984AFC" w:rsidRDefault="0000269C" w:rsidP="0018686E">
      <w:pPr>
        <w:spacing w:before="240" w:after="0"/>
        <w:rPr>
          <w:b/>
        </w:rPr>
      </w:pPr>
      <w:r>
        <w:rPr>
          <w:b/>
        </w:rPr>
        <w:t xml:space="preserve">1. </w:t>
      </w:r>
      <w:r w:rsidRPr="00984AFC">
        <w:rPr>
          <w:b/>
        </w:rPr>
        <w:t>Relevant DFAT Policies:</w:t>
      </w:r>
    </w:p>
    <w:p w14:paraId="0AF0DC08" w14:textId="77777777" w:rsidR="0000269C" w:rsidRPr="00EB7CFA" w:rsidRDefault="0000269C" w:rsidP="00B0595B">
      <w:pPr>
        <w:spacing w:before="240"/>
        <w:rPr>
          <w:rFonts w:cstheme="majorHAnsi"/>
          <w:highlight w:val="lightGray"/>
        </w:rPr>
      </w:pPr>
      <w:r w:rsidRPr="00752162">
        <w:t xml:space="preserve">In February 2016, the Australian government published </w:t>
      </w:r>
      <w:proofErr w:type="gramStart"/>
      <w:r w:rsidRPr="00752162">
        <w:t>a new</w:t>
      </w:r>
      <w:proofErr w:type="gramEnd"/>
      <w:r w:rsidRPr="00752162">
        <w:t xml:space="preserve"> gender equality and women’s empowerment strategy that identifies women’s </w:t>
      </w:r>
      <w:r w:rsidRPr="004328E1">
        <w:t>economic</w:t>
      </w:r>
      <w:r w:rsidRPr="0086460B">
        <w:rPr>
          <w:b/>
          <w:i/>
        </w:rPr>
        <w:t xml:space="preserve"> </w:t>
      </w:r>
      <w:r w:rsidRPr="00752162">
        <w:t xml:space="preserve">empowerment as one of its three </w:t>
      </w:r>
      <w:r>
        <w:t xml:space="preserve">top </w:t>
      </w:r>
      <w:r w:rsidRPr="00752162">
        <w:t>priorities. The strategy states that Australia</w:t>
      </w:r>
      <w:r>
        <w:t>n</w:t>
      </w:r>
      <w:r w:rsidRPr="00752162">
        <w:t xml:space="preserve"> aid programs will “integrate gender equality in our aid for trade, economic diplomacy and trade efforts, recognizing that women’s economic empowerment is a driver of economic growth and prosperity.”</w:t>
      </w:r>
      <w:r w:rsidRPr="00752162">
        <w:rPr>
          <w:rStyle w:val="FootnoteReference"/>
        </w:rPr>
        <w:footnoteReference w:id="83"/>
      </w:r>
      <w:r w:rsidRPr="00752162">
        <w:t xml:space="preserve"> </w:t>
      </w:r>
    </w:p>
    <w:p w14:paraId="5535C7D2" w14:textId="77777777" w:rsidR="0000269C" w:rsidRDefault="0000269C" w:rsidP="00B0595B">
      <w:pPr>
        <w:spacing w:before="240"/>
      </w:pPr>
      <w:r>
        <w:t xml:space="preserve">One </w:t>
      </w:r>
      <w:r w:rsidRPr="0086460B">
        <w:t>year prior to its new strategy, DFAT had published operational guidance on women’s economic empowerment in agriculture.</w:t>
      </w:r>
      <w:r w:rsidRPr="0086460B">
        <w:rPr>
          <w:rStyle w:val="FootnoteReference"/>
          <w:rFonts w:ascii="FranklinGothicBook" w:hAnsi="FranklinGothicBook" w:cs="FranklinGothicBook"/>
          <w:sz w:val="20"/>
          <w:szCs w:val="20"/>
        </w:rPr>
        <w:footnoteReference w:id="84"/>
      </w:r>
      <w:r w:rsidRPr="0086460B">
        <w:t xml:space="preserve"> The guidance seeks to provide DFAT </w:t>
      </w:r>
      <w:r>
        <w:t xml:space="preserve">project </w:t>
      </w:r>
      <w:r w:rsidRPr="0086460B">
        <w:t>managers with an</w:t>
      </w:r>
      <w:r>
        <w:t xml:space="preserve"> </w:t>
      </w:r>
      <w:r w:rsidRPr="0086460B">
        <w:t>understanding of gender equality and women’s empowerment</w:t>
      </w:r>
      <w:r>
        <w:t xml:space="preserve"> issues that are specific to</w:t>
      </w:r>
      <w:r w:rsidRPr="0086460B">
        <w:t xml:space="preserve"> cha</w:t>
      </w:r>
      <w:r>
        <w:t xml:space="preserve">llenges and opportunities in the </w:t>
      </w:r>
      <w:r w:rsidRPr="0086460B">
        <w:t xml:space="preserve">agriculture sector. </w:t>
      </w:r>
      <w:r w:rsidRPr="00D10C2E">
        <w:t xml:space="preserve">Four commonly-used frameworks </w:t>
      </w:r>
      <w:r>
        <w:t xml:space="preserve">that informed the paper </w:t>
      </w:r>
      <w:r w:rsidRPr="00D10C2E">
        <w:t xml:space="preserve">are </w:t>
      </w:r>
      <w:r>
        <w:t>from the M4P Hub/Springfield Centre</w:t>
      </w:r>
      <w:r w:rsidRPr="00D10C2E">
        <w:t>,</w:t>
      </w:r>
      <w:r>
        <w:rPr>
          <w:rStyle w:val="FootnoteReference"/>
        </w:rPr>
        <w:footnoteReference w:id="85"/>
      </w:r>
      <w:r w:rsidRPr="00D10C2E">
        <w:t xml:space="preserve"> the Donor Commit</w:t>
      </w:r>
      <w:r>
        <w:t>tee for Enterprise Development</w:t>
      </w:r>
      <w:r w:rsidRPr="00D10C2E">
        <w:t>,</w:t>
      </w:r>
      <w:r>
        <w:rPr>
          <w:rStyle w:val="FootnoteReference"/>
        </w:rPr>
        <w:footnoteReference w:id="86"/>
      </w:r>
      <w:r w:rsidRPr="00D10C2E">
        <w:t xml:space="preserve"> the International </w:t>
      </w:r>
      <w:r>
        <w:t>Food Policy Research Institute</w:t>
      </w:r>
      <w:r w:rsidRPr="00D10C2E">
        <w:t>,</w:t>
      </w:r>
      <w:r>
        <w:rPr>
          <w:rStyle w:val="FootnoteReference"/>
        </w:rPr>
        <w:footnoteReference w:id="87"/>
      </w:r>
      <w:r w:rsidRPr="00D10C2E">
        <w:t xml:space="preserve"> and </w:t>
      </w:r>
      <w:r>
        <w:t xml:space="preserve">publications by </w:t>
      </w:r>
      <w:r w:rsidRPr="00D10C2E">
        <w:t>R</w:t>
      </w:r>
      <w:r>
        <w:t>ao and Kelleher</w:t>
      </w:r>
      <w:r w:rsidRPr="00D10C2E">
        <w:t>.</w:t>
      </w:r>
      <w:r>
        <w:rPr>
          <w:rStyle w:val="FootnoteReference"/>
        </w:rPr>
        <w:footnoteReference w:id="88"/>
      </w:r>
      <w:r w:rsidRPr="00D10C2E">
        <w:t xml:space="preserve"> </w:t>
      </w:r>
    </w:p>
    <w:p w14:paraId="0B3F9481" w14:textId="03B43BBF" w:rsidR="0000269C" w:rsidRDefault="0000269C" w:rsidP="00B0595B">
      <w:r w:rsidRPr="0086460B">
        <w:t xml:space="preserve">DFAT </w:t>
      </w:r>
      <w:r>
        <w:t>adopted</w:t>
      </w:r>
      <w:r w:rsidRPr="0086460B">
        <w:t xml:space="preserve"> the five dimensions of women’s </w:t>
      </w:r>
      <w:r>
        <w:t xml:space="preserve">economic </w:t>
      </w:r>
      <w:r w:rsidRPr="0086460B">
        <w:t>empowerment</w:t>
      </w:r>
      <w:r>
        <w:t xml:space="preserve"> as applied to market development</w:t>
      </w:r>
      <w:r>
        <w:rPr>
          <w:rStyle w:val="FootnoteReference"/>
        </w:rPr>
        <w:footnoteReference w:id="89"/>
      </w:r>
      <w:r>
        <w:t>.</w:t>
      </w:r>
      <w:r w:rsidRPr="0086460B">
        <w:t xml:space="preserve"> </w:t>
      </w:r>
      <w:r>
        <w:t>These WEE dimensions have been applied and advanced globally by many private sector development projects including:</w:t>
      </w:r>
      <w:r w:rsidRPr="00991BB3">
        <w:t xml:space="preserve"> the Market Development Facility in Fiji, Timor-Leste, Pakistan, Sri Lanka and Papua New Guinea</w:t>
      </w:r>
      <w:r>
        <w:t xml:space="preserve"> (DFAT)</w:t>
      </w:r>
      <w:r w:rsidRPr="00991BB3">
        <w:t xml:space="preserve">, </w:t>
      </w:r>
      <w:r w:rsidR="006C7E5B">
        <w:t>AIP-Rural</w:t>
      </w:r>
      <w:r w:rsidRPr="00991BB3">
        <w:t xml:space="preserve"> in Indonesia</w:t>
      </w:r>
      <w:r>
        <w:t xml:space="preserve"> (DFAT)</w:t>
      </w:r>
      <w:r w:rsidRPr="00991BB3">
        <w:t xml:space="preserve">, </w:t>
      </w:r>
      <w:proofErr w:type="spellStart"/>
      <w:r w:rsidRPr="00991BB3">
        <w:t>Katalyst</w:t>
      </w:r>
      <w:proofErr w:type="spellEnd"/>
      <w:r w:rsidRPr="00991BB3">
        <w:t xml:space="preserve"> and M4C in Bangladesh</w:t>
      </w:r>
      <w:r>
        <w:t xml:space="preserve"> (DFID and SDC)</w:t>
      </w:r>
      <w:r w:rsidRPr="00991BB3">
        <w:t>, ALCP in Georgia</w:t>
      </w:r>
      <w:r>
        <w:t xml:space="preserve"> (SDC)</w:t>
      </w:r>
      <w:r w:rsidRPr="00991BB3">
        <w:t>, Arab Women’s Enterprise Fund in Egypt, Jordan and Palestine</w:t>
      </w:r>
      <w:r>
        <w:t xml:space="preserve"> (DFID)</w:t>
      </w:r>
      <w:r w:rsidRPr="00991BB3">
        <w:t>, Kenya Market Trust and Financial Sector Deepening Zambia</w:t>
      </w:r>
      <w:r>
        <w:t xml:space="preserve"> (DFID/Gatsby Trust). Of note for DFAT, are its implementation and documentation of the five dimensions in the Market Development Facility gender</w:t>
      </w:r>
      <w:r w:rsidR="009B62B3">
        <w:t xml:space="preserve"> </w:t>
      </w:r>
      <w:r>
        <w:lastRenderedPageBreak/>
        <w:t>framework</w:t>
      </w:r>
      <w:r>
        <w:rPr>
          <w:rStyle w:val="FootnoteReference"/>
        </w:rPr>
        <w:footnoteReference w:id="90"/>
      </w:r>
      <w:r>
        <w:t xml:space="preserve"> and the Aus4Equality Vietnam (GREAT) tender.</w:t>
      </w:r>
      <w:r>
        <w:rPr>
          <w:rStyle w:val="FootnoteReference"/>
        </w:rPr>
        <w:footnoteReference w:id="91"/>
      </w:r>
      <w:r>
        <w:t xml:space="preserve"> So, in conclusion, the adoption by market development projects of WEE, as described in the next section, is common.</w:t>
      </w:r>
    </w:p>
    <w:p w14:paraId="2130DF86" w14:textId="77777777" w:rsidR="0000269C" w:rsidRPr="00B677CB" w:rsidRDefault="0000269C" w:rsidP="0018686E">
      <w:pPr>
        <w:rPr>
          <w:b/>
        </w:rPr>
      </w:pPr>
      <w:bookmarkStart w:id="48" w:name="_Toc480683868"/>
      <w:bookmarkStart w:id="49" w:name="_Toc480685911"/>
      <w:bookmarkStart w:id="50" w:name="_Toc480692169"/>
      <w:r w:rsidRPr="00B677CB">
        <w:rPr>
          <w:b/>
        </w:rPr>
        <w:t xml:space="preserve">2. </w:t>
      </w:r>
      <w:r>
        <w:rPr>
          <w:b/>
        </w:rPr>
        <w:t>Key International Trends in</w:t>
      </w:r>
      <w:r w:rsidRPr="00B677CB">
        <w:rPr>
          <w:b/>
        </w:rPr>
        <w:t xml:space="preserve"> Good </w:t>
      </w:r>
      <w:r>
        <w:rPr>
          <w:b/>
        </w:rPr>
        <w:t xml:space="preserve">Gender </w:t>
      </w:r>
      <w:r w:rsidRPr="00B677CB">
        <w:rPr>
          <w:b/>
        </w:rPr>
        <w:t xml:space="preserve">Practice </w:t>
      </w:r>
      <w:bookmarkEnd w:id="48"/>
      <w:bookmarkEnd w:id="49"/>
      <w:bookmarkEnd w:id="50"/>
    </w:p>
    <w:p w14:paraId="6AFBD62B" w14:textId="77777777" w:rsidR="0000269C" w:rsidRDefault="0000269C" w:rsidP="0018686E">
      <w:r>
        <w:t xml:space="preserve">For the past decade, the main framework dominating the agenda for gender equality and promotion, in private sector programming builds on the M4P WEE Framework noted above – referred to here as the WEE Framework. There are 5 dimensions that make up this framework, and these are highlighted in the box below. How these are adapted to market development is addressed in subsequent parts of this annex. </w:t>
      </w:r>
    </w:p>
    <w:tbl>
      <w:tblPr>
        <w:tblStyle w:val="TableGrid"/>
        <w:tblW w:w="0" w:type="auto"/>
        <w:shd w:val="clear" w:color="auto" w:fill="D9E2F3" w:themeFill="accent1" w:themeFillTint="33"/>
        <w:tblLook w:val="04A0" w:firstRow="1" w:lastRow="0" w:firstColumn="1" w:lastColumn="0" w:noHBand="0" w:noVBand="1"/>
      </w:tblPr>
      <w:tblGrid>
        <w:gridCol w:w="546"/>
        <w:gridCol w:w="8449"/>
      </w:tblGrid>
      <w:tr w:rsidR="0000269C" w:rsidRPr="00E63D29" w14:paraId="67CA6548" w14:textId="77777777" w:rsidTr="0000269C">
        <w:tc>
          <w:tcPr>
            <w:tcW w:w="8995" w:type="dxa"/>
            <w:gridSpan w:val="2"/>
            <w:shd w:val="clear" w:color="auto" w:fill="D9E2F3" w:themeFill="accent1" w:themeFillTint="33"/>
          </w:tcPr>
          <w:p w14:paraId="5A541C31" w14:textId="77777777" w:rsidR="0000269C" w:rsidRPr="0032306A" w:rsidRDefault="0000269C" w:rsidP="0000269C">
            <w:pPr>
              <w:pStyle w:val="BodyText1"/>
              <w:keepNext/>
              <w:spacing w:before="20" w:after="20"/>
              <w:outlineLvl w:val="3"/>
              <w:rPr>
                <w:rFonts w:ascii="Arial Narrow" w:hAnsi="Arial Narrow"/>
                <w:b/>
                <w:sz w:val="28"/>
                <w:szCs w:val="28"/>
              </w:rPr>
            </w:pPr>
            <w:r w:rsidRPr="0032306A">
              <w:rPr>
                <w:rFonts w:ascii="Arial Narrow" w:hAnsi="Arial Narrow"/>
                <w:b/>
                <w:sz w:val="28"/>
                <w:szCs w:val="28"/>
              </w:rPr>
              <w:t>The 5 Dimensions of Women’s Economic Empowerment</w:t>
            </w:r>
          </w:p>
        </w:tc>
      </w:tr>
      <w:tr w:rsidR="0000269C" w:rsidRPr="00E63D29" w14:paraId="3C44577D" w14:textId="77777777" w:rsidTr="0000269C">
        <w:tc>
          <w:tcPr>
            <w:tcW w:w="8995" w:type="dxa"/>
            <w:gridSpan w:val="2"/>
            <w:shd w:val="clear" w:color="auto" w:fill="D9E2F3" w:themeFill="accent1" w:themeFillTint="33"/>
          </w:tcPr>
          <w:p w14:paraId="5A9C610F" w14:textId="77777777" w:rsidR="0000269C" w:rsidRPr="00E63D29" w:rsidRDefault="0000269C" w:rsidP="0000269C">
            <w:pPr>
              <w:pStyle w:val="BodyText1"/>
              <w:keepNext/>
              <w:spacing w:before="20" w:after="20"/>
              <w:outlineLvl w:val="3"/>
              <w:rPr>
                <w:rFonts w:ascii="Arial Narrow" w:hAnsi="Arial Narrow"/>
                <w:b/>
                <w:sz w:val="18"/>
                <w:szCs w:val="18"/>
              </w:rPr>
            </w:pPr>
            <w:r w:rsidRPr="00E63D29">
              <w:rPr>
                <w:rFonts w:ascii="Arial Narrow" w:hAnsi="Arial Narrow"/>
                <w:b/>
                <w:sz w:val="18"/>
                <w:szCs w:val="18"/>
              </w:rPr>
              <w:t>OVERALL OBJECTIVE:</w:t>
            </w:r>
          </w:p>
        </w:tc>
      </w:tr>
      <w:tr w:rsidR="0000269C" w:rsidRPr="00E63D29" w14:paraId="32AFBE4A" w14:textId="77777777" w:rsidTr="0000269C">
        <w:tc>
          <w:tcPr>
            <w:tcW w:w="546" w:type="dxa"/>
            <w:shd w:val="clear" w:color="auto" w:fill="FFFFFF" w:themeFill="background1"/>
            <w:vAlign w:val="center"/>
          </w:tcPr>
          <w:p w14:paraId="24DD247D" w14:textId="77777777" w:rsidR="0000269C" w:rsidRPr="00D10C2E" w:rsidRDefault="0000269C" w:rsidP="0000269C">
            <w:pPr>
              <w:pStyle w:val="BodyText1"/>
              <w:rPr>
                <w:rFonts w:ascii="Arial Narrow" w:hAnsi="Arial Narrow"/>
                <w:b/>
                <w:sz w:val="18"/>
                <w:szCs w:val="18"/>
              </w:rPr>
            </w:pPr>
            <w:r>
              <w:rPr>
                <w:rFonts w:ascii="Arial Narrow" w:hAnsi="Arial Narrow"/>
                <w:b/>
                <w:sz w:val="18"/>
                <w:szCs w:val="18"/>
              </w:rPr>
              <w:t>1</w:t>
            </w:r>
          </w:p>
        </w:tc>
        <w:tc>
          <w:tcPr>
            <w:tcW w:w="8449" w:type="dxa"/>
            <w:shd w:val="clear" w:color="auto" w:fill="FFFFFF" w:themeFill="background1"/>
          </w:tcPr>
          <w:p w14:paraId="52CD8D3A" w14:textId="77777777" w:rsidR="0000269C" w:rsidRPr="00E63D29" w:rsidRDefault="0000269C" w:rsidP="0000269C">
            <w:pPr>
              <w:pStyle w:val="BodyText1"/>
              <w:spacing w:before="20" w:after="20"/>
              <w:rPr>
                <w:rFonts w:ascii="Arial Narrow" w:hAnsi="Arial Narrow"/>
                <w:b/>
                <w:color w:val="002060"/>
                <w:kern w:val="32"/>
                <w:sz w:val="18"/>
                <w:szCs w:val="18"/>
              </w:rPr>
            </w:pPr>
            <w:r w:rsidRPr="00E63D29">
              <w:rPr>
                <w:rFonts w:ascii="Arial Narrow" w:hAnsi="Arial Narrow"/>
                <w:sz w:val="18"/>
                <w:szCs w:val="18"/>
              </w:rPr>
              <w:t>Economic Advancement</w:t>
            </w:r>
            <w:r>
              <w:rPr>
                <w:rFonts w:ascii="Arial Narrow" w:hAnsi="Arial Narrow"/>
                <w:sz w:val="18"/>
                <w:szCs w:val="18"/>
              </w:rPr>
              <w:t xml:space="preserve"> (often measured as net income)</w:t>
            </w:r>
          </w:p>
        </w:tc>
      </w:tr>
      <w:tr w:rsidR="0000269C" w:rsidRPr="00E63D29" w14:paraId="4EAE5E04" w14:textId="77777777" w:rsidTr="0000269C">
        <w:tc>
          <w:tcPr>
            <w:tcW w:w="8995" w:type="dxa"/>
            <w:gridSpan w:val="2"/>
            <w:shd w:val="clear" w:color="auto" w:fill="D9E2F3" w:themeFill="accent1" w:themeFillTint="33"/>
          </w:tcPr>
          <w:p w14:paraId="1B23FD05" w14:textId="77777777" w:rsidR="0000269C" w:rsidRPr="00E63D29" w:rsidRDefault="0000269C" w:rsidP="0000269C">
            <w:pPr>
              <w:pStyle w:val="BodyText1"/>
              <w:keepNext/>
              <w:spacing w:before="20" w:after="20"/>
              <w:outlineLvl w:val="3"/>
              <w:rPr>
                <w:rFonts w:ascii="Arial Narrow" w:hAnsi="Arial Narrow"/>
                <w:b/>
                <w:sz w:val="18"/>
                <w:szCs w:val="18"/>
              </w:rPr>
            </w:pPr>
            <w:r w:rsidRPr="00E63D29">
              <w:rPr>
                <w:rFonts w:ascii="Arial Narrow" w:hAnsi="Arial Narrow"/>
                <w:b/>
                <w:sz w:val="18"/>
                <w:szCs w:val="18"/>
              </w:rPr>
              <w:t>IMPROVED ACCESS OUTCOMES:</w:t>
            </w:r>
          </w:p>
        </w:tc>
      </w:tr>
      <w:tr w:rsidR="0000269C" w:rsidRPr="00E63D29" w14:paraId="795BD5BA" w14:textId="77777777" w:rsidTr="0000269C">
        <w:tc>
          <w:tcPr>
            <w:tcW w:w="546" w:type="dxa"/>
            <w:shd w:val="clear" w:color="auto" w:fill="FFFFFF" w:themeFill="background1"/>
            <w:vAlign w:val="center"/>
          </w:tcPr>
          <w:p w14:paraId="125997F2" w14:textId="77777777" w:rsidR="0000269C" w:rsidRPr="00D10C2E" w:rsidRDefault="0000269C" w:rsidP="0000269C">
            <w:pPr>
              <w:pStyle w:val="BodyText1"/>
              <w:rPr>
                <w:rFonts w:ascii="Arial Narrow" w:hAnsi="Arial Narrow"/>
                <w:b/>
                <w:sz w:val="18"/>
                <w:szCs w:val="18"/>
              </w:rPr>
            </w:pPr>
            <w:r w:rsidRPr="00D10C2E">
              <w:rPr>
                <w:rFonts w:ascii="Arial Narrow" w:hAnsi="Arial Narrow"/>
                <w:b/>
                <w:sz w:val="18"/>
                <w:szCs w:val="18"/>
              </w:rPr>
              <w:t>2.</w:t>
            </w:r>
          </w:p>
        </w:tc>
        <w:tc>
          <w:tcPr>
            <w:tcW w:w="8449" w:type="dxa"/>
            <w:shd w:val="clear" w:color="auto" w:fill="FFFFFF" w:themeFill="background1"/>
          </w:tcPr>
          <w:p w14:paraId="1226E640" w14:textId="77777777" w:rsidR="0000269C" w:rsidRPr="00E63D29" w:rsidRDefault="0000269C" w:rsidP="0000269C">
            <w:pPr>
              <w:pStyle w:val="BodyText1"/>
              <w:spacing w:before="20" w:after="20"/>
              <w:rPr>
                <w:rFonts w:ascii="Arial Narrow" w:hAnsi="Arial Narrow"/>
                <w:b/>
                <w:color w:val="002060"/>
                <w:kern w:val="32"/>
                <w:sz w:val="18"/>
                <w:szCs w:val="18"/>
              </w:rPr>
            </w:pPr>
            <w:r w:rsidRPr="00E63D29">
              <w:rPr>
                <w:rFonts w:ascii="Arial Narrow" w:hAnsi="Arial Narrow"/>
                <w:sz w:val="18"/>
                <w:szCs w:val="18"/>
              </w:rPr>
              <w:t>Access to opportunities and life chances such as skills development or job openings</w:t>
            </w:r>
          </w:p>
        </w:tc>
      </w:tr>
      <w:tr w:rsidR="0000269C" w:rsidRPr="00E63D29" w14:paraId="4BB0FEDD" w14:textId="77777777" w:rsidTr="0000269C">
        <w:tc>
          <w:tcPr>
            <w:tcW w:w="546" w:type="dxa"/>
            <w:shd w:val="clear" w:color="auto" w:fill="FFFFFF" w:themeFill="background1"/>
            <w:vAlign w:val="center"/>
          </w:tcPr>
          <w:p w14:paraId="53232E6A" w14:textId="77777777" w:rsidR="0000269C" w:rsidRPr="00D10C2E" w:rsidRDefault="0000269C" w:rsidP="0000269C">
            <w:pPr>
              <w:pStyle w:val="BodyText1"/>
              <w:rPr>
                <w:rFonts w:ascii="Arial Narrow" w:hAnsi="Arial Narrow"/>
                <w:b/>
                <w:sz w:val="18"/>
                <w:szCs w:val="18"/>
              </w:rPr>
            </w:pPr>
            <w:r w:rsidRPr="00D10C2E">
              <w:rPr>
                <w:rFonts w:ascii="Arial Narrow" w:hAnsi="Arial Narrow"/>
                <w:b/>
                <w:sz w:val="18"/>
                <w:szCs w:val="18"/>
              </w:rPr>
              <w:t>3.</w:t>
            </w:r>
          </w:p>
        </w:tc>
        <w:tc>
          <w:tcPr>
            <w:tcW w:w="8449" w:type="dxa"/>
            <w:shd w:val="clear" w:color="auto" w:fill="FFFFFF" w:themeFill="background1"/>
          </w:tcPr>
          <w:p w14:paraId="07B87D71" w14:textId="77777777" w:rsidR="0000269C" w:rsidRPr="00E63D29" w:rsidRDefault="0000269C" w:rsidP="0000269C">
            <w:pPr>
              <w:pStyle w:val="BodyText1"/>
              <w:spacing w:before="20" w:after="20"/>
              <w:rPr>
                <w:rFonts w:ascii="Arial Narrow" w:hAnsi="Arial Narrow"/>
                <w:b/>
                <w:color w:val="002060"/>
                <w:kern w:val="32"/>
                <w:sz w:val="18"/>
                <w:szCs w:val="18"/>
              </w:rPr>
            </w:pPr>
            <w:r w:rsidRPr="00E63D29">
              <w:rPr>
                <w:rFonts w:ascii="Arial Narrow" w:hAnsi="Arial Narrow"/>
                <w:sz w:val="18"/>
                <w:szCs w:val="18"/>
              </w:rPr>
              <w:t>Access to assets, services and needed supports to advance economically</w:t>
            </w:r>
          </w:p>
        </w:tc>
      </w:tr>
      <w:tr w:rsidR="0000269C" w:rsidRPr="00E63D29" w14:paraId="69965D58" w14:textId="77777777" w:rsidTr="0000269C">
        <w:tc>
          <w:tcPr>
            <w:tcW w:w="8995" w:type="dxa"/>
            <w:gridSpan w:val="2"/>
            <w:shd w:val="clear" w:color="auto" w:fill="D9E2F3" w:themeFill="accent1" w:themeFillTint="33"/>
          </w:tcPr>
          <w:p w14:paraId="602E4192" w14:textId="77777777" w:rsidR="0000269C" w:rsidRPr="00D10C2E" w:rsidRDefault="0000269C" w:rsidP="0000269C">
            <w:pPr>
              <w:pStyle w:val="BodyText1"/>
              <w:keepNext/>
              <w:spacing w:before="20" w:after="20"/>
              <w:outlineLvl w:val="3"/>
              <w:rPr>
                <w:rFonts w:ascii="Arial Narrow" w:hAnsi="Arial Narrow"/>
                <w:b/>
                <w:kern w:val="32"/>
                <w:sz w:val="18"/>
                <w:szCs w:val="18"/>
              </w:rPr>
            </w:pPr>
            <w:r w:rsidRPr="00D10C2E">
              <w:rPr>
                <w:rFonts w:ascii="Arial Narrow" w:hAnsi="Arial Narrow"/>
                <w:b/>
                <w:sz w:val="18"/>
                <w:szCs w:val="18"/>
              </w:rPr>
              <w:t>STRONGER AGENCY OUTCOMES:</w:t>
            </w:r>
          </w:p>
        </w:tc>
      </w:tr>
      <w:tr w:rsidR="0000269C" w:rsidRPr="00E63D29" w14:paraId="45FA99CC" w14:textId="77777777" w:rsidTr="0000269C">
        <w:tc>
          <w:tcPr>
            <w:tcW w:w="546" w:type="dxa"/>
            <w:shd w:val="clear" w:color="auto" w:fill="FFFFFF" w:themeFill="background1"/>
            <w:vAlign w:val="center"/>
          </w:tcPr>
          <w:p w14:paraId="4887FAF8" w14:textId="77777777" w:rsidR="0000269C" w:rsidRPr="00AD05CC" w:rsidRDefault="0000269C" w:rsidP="0000269C">
            <w:pPr>
              <w:pStyle w:val="BodyText1"/>
              <w:rPr>
                <w:rFonts w:ascii="Arial Narrow" w:hAnsi="Arial Narrow"/>
                <w:b/>
                <w:sz w:val="18"/>
                <w:szCs w:val="18"/>
              </w:rPr>
            </w:pPr>
            <w:r w:rsidRPr="00AD05CC">
              <w:rPr>
                <w:rFonts w:ascii="Arial Narrow" w:hAnsi="Arial Narrow"/>
                <w:b/>
                <w:sz w:val="18"/>
                <w:szCs w:val="18"/>
              </w:rPr>
              <w:t>4.</w:t>
            </w:r>
          </w:p>
        </w:tc>
        <w:tc>
          <w:tcPr>
            <w:tcW w:w="8449" w:type="dxa"/>
            <w:shd w:val="clear" w:color="auto" w:fill="FFFFFF" w:themeFill="background1"/>
          </w:tcPr>
          <w:p w14:paraId="23B3DB8E" w14:textId="77777777" w:rsidR="0000269C" w:rsidRPr="00AD05CC" w:rsidRDefault="0000269C" w:rsidP="0000269C">
            <w:pPr>
              <w:pStyle w:val="BodyText1"/>
              <w:spacing w:before="20" w:after="20"/>
              <w:rPr>
                <w:rFonts w:ascii="Arial Narrow" w:hAnsi="Arial Narrow"/>
                <w:b/>
                <w:color w:val="002060"/>
                <w:kern w:val="32"/>
                <w:sz w:val="18"/>
                <w:szCs w:val="18"/>
              </w:rPr>
            </w:pPr>
            <w:r w:rsidRPr="00AD05CC">
              <w:rPr>
                <w:rFonts w:ascii="Arial Narrow" w:hAnsi="Arial Narrow"/>
                <w:sz w:val="18"/>
                <w:szCs w:val="18"/>
              </w:rPr>
              <w:t>Decision-making authority in different spheres including household finances</w:t>
            </w:r>
          </w:p>
        </w:tc>
      </w:tr>
      <w:tr w:rsidR="0000269C" w:rsidRPr="00E63D29" w14:paraId="2FB8387F" w14:textId="77777777" w:rsidTr="0000269C">
        <w:tc>
          <w:tcPr>
            <w:tcW w:w="546" w:type="dxa"/>
            <w:shd w:val="clear" w:color="auto" w:fill="FFFFFF" w:themeFill="background1"/>
            <w:vAlign w:val="center"/>
          </w:tcPr>
          <w:p w14:paraId="39EAFE54" w14:textId="77777777" w:rsidR="0000269C" w:rsidRPr="00AD05CC" w:rsidRDefault="0000269C" w:rsidP="0000269C">
            <w:pPr>
              <w:pStyle w:val="BodyText1"/>
              <w:rPr>
                <w:rFonts w:ascii="Arial Narrow" w:hAnsi="Arial Narrow"/>
                <w:b/>
                <w:sz w:val="18"/>
                <w:szCs w:val="18"/>
              </w:rPr>
            </w:pPr>
            <w:r w:rsidRPr="00AD05CC">
              <w:rPr>
                <w:rFonts w:ascii="Arial Narrow" w:hAnsi="Arial Narrow"/>
                <w:b/>
                <w:sz w:val="18"/>
                <w:szCs w:val="18"/>
              </w:rPr>
              <w:t>5.</w:t>
            </w:r>
          </w:p>
        </w:tc>
        <w:tc>
          <w:tcPr>
            <w:tcW w:w="8449" w:type="dxa"/>
            <w:shd w:val="clear" w:color="auto" w:fill="FFFFFF" w:themeFill="background1"/>
          </w:tcPr>
          <w:p w14:paraId="072BA07B" w14:textId="77777777" w:rsidR="0000269C" w:rsidRPr="00AD05CC" w:rsidRDefault="0000269C" w:rsidP="0000269C">
            <w:pPr>
              <w:pStyle w:val="BodyText1"/>
              <w:spacing w:before="20" w:after="20"/>
              <w:rPr>
                <w:rFonts w:ascii="Arial Narrow" w:hAnsi="Arial Narrow"/>
                <w:b/>
                <w:color w:val="002060"/>
                <w:kern w:val="32"/>
                <w:sz w:val="18"/>
                <w:szCs w:val="18"/>
              </w:rPr>
            </w:pPr>
            <w:r w:rsidRPr="00AD05CC">
              <w:rPr>
                <w:rFonts w:ascii="Arial Narrow" w:hAnsi="Arial Narrow"/>
                <w:sz w:val="18"/>
                <w:szCs w:val="18"/>
              </w:rPr>
              <w:t>Manageable workloads for women</w:t>
            </w:r>
          </w:p>
        </w:tc>
      </w:tr>
    </w:tbl>
    <w:p w14:paraId="495C2140" w14:textId="77777777" w:rsidR="0000269C" w:rsidRDefault="0000269C" w:rsidP="0000269C">
      <w:pPr>
        <w:jc w:val="both"/>
      </w:pPr>
    </w:p>
    <w:p w14:paraId="6E74682B" w14:textId="77777777" w:rsidR="0000269C" w:rsidRDefault="0000269C" w:rsidP="0000269C">
      <w:pPr>
        <w:jc w:val="both"/>
      </w:pPr>
      <w:r w:rsidRPr="00F71803">
        <w:t>In 2011, the International Centre for Research on Women (ICRW) published a</w:t>
      </w:r>
      <w:r>
        <w:t xml:space="preserve"> further </w:t>
      </w:r>
      <w:r w:rsidRPr="00F71803">
        <w:t>important work on wo</w:t>
      </w:r>
      <w:r>
        <w:t>men’s empowerment</w:t>
      </w:r>
      <w:r w:rsidRPr="00F71803">
        <w:t xml:space="preserve">: </w:t>
      </w:r>
      <w:r w:rsidRPr="00F71803">
        <w:rPr>
          <w:i/>
        </w:rPr>
        <w:t xml:space="preserve">Understanding and Measuring Women’s Economic Empowerment: Definition, Framework and Indicators. </w:t>
      </w:r>
      <w:proofErr w:type="gramStart"/>
      <w:r w:rsidRPr="00F71803">
        <w:t>With the goal of improv</w:t>
      </w:r>
      <w:r>
        <w:t>ing</w:t>
      </w:r>
      <w:r w:rsidRPr="00F71803">
        <w:t xml:space="preserve"> design, implementation and results measurement</w:t>
      </w:r>
      <w:r>
        <w:t>.</w:t>
      </w:r>
      <w:proofErr w:type="gramEnd"/>
      <w:r>
        <w:t xml:space="preserve"> T</w:t>
      </w:r>
      <w:r w:rsidRPr="00F71803">
        <w:t>his document buil</w:t>
      </w:r>
      <w:r>
        <w:t>t</w:t>
      </w:r>
      <w:r w:rsidRPr="00F71803">
        <w:t xml:space="preserve"> on earlier empowerment literature to: </w:t>
      </w:r>
    </w:p>
    <w:p w14:paraId="02CD2440" w14:textId="77777777" w:rsidR="0000269C" w:rsidRDefault="0000269C" w:rsidP="004B220D">
      <w:pPr>
        <w:pStyle w:val="ListParagraph"/>
        <w:numPr>
          <w:ilvl w:val="0"/>
          <w:numId w:val="36"/>
        </w:numPr>
        <w:spacing w:after="120" w:line="276" w:lineRule="auto"/>
        <w:jc w:val="both"/>
      </w:pPr>
      <w:r w:rsidRPr="00F71803">
        <w:rPr>
          <w:noProof/>
          <w:lang w:eastAsia="en-AU"/>
        </w:rPr>
        <w:drawing>
          <wp:anchor distT="0" distB="0" distL="114300" distR="114300" simplePos="0" relativeHeight="251650560" behindDoc="0" locked="0" layoutInCell="1" allowOverlap="1" wp14:anchorId="6290C888" wp14:editId="676A0410">
            <wp:simplePos x="0" y="0"/>
            <wp:positionH relativeFrom="margin">
              <wp:align>right</wp:align>
            </wp:positionH>
            <wp:positionV relativeFrom="margin">
              <wp:posOffset>3771703</wp:posOffset>
            </wp:positionV>
            <wp:extent cx="2285365" cy="225361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5365" cy="2253615"/>
                    </a:xfrm>
                    <a:prstGeom prst="rect">
                      <a:avLst/>
                    </a:prstGeom>
                    <a:noFill/>
                  </pic:spPr>
                </pic:pic>
              </a:graphicData>
            </a:graphic>
            <wp14:sizeRelH relativeFrom="margin">
              <wp14:pctWidth>0</wp14:pctWidth>
            </wp14:sizeRelH>
            <wp14:sizeRelV relativeFrom="margin">
              <wp14:pctHeight>0</wp14:pctHeight>
            </wp14:sizeRelV>
          </wp:anchor>
        </w:drawing>
      </w:r>
      <w:r>
        <w:t>S</w:t>
      </w:r>
      <w:r w:rsidRPr="00F71803">
        <w:t xml:space="preserve">treamline the definition of WEE into two distinct areas – </w:t>
      </w:r>
      <w:r w:rsidRPr="00A56BE2">
        <w:rPr>
          <w:i/>
        </w:rPr>
        <w:t>agency</w:t>
      </w:r>
      <w:r w:rsidRPr="00F71803">
        <w:t xml:space="preserve"> and </w:t>
      </w:r>
      <w:r w:rsidRPr="00A56BE2">
        <w:rPr>
          <w:i/>
        </w:rPr>
        <w:t>access;</w:t>
      </w:r>
      <w:r w:rsidRPr="00F71803">
        <w:t xml:space="preserve"> </w:t>
      </w:r>
    </w:p>
    <w:p w14:paraId="12F44AA6" w14:textId="77777777" w:rsidR="0000269C" w:rsidRDefault="0000269C" w:rsidP="004B220D">
      <w:pPr>
        <w:pStyle w:val="ListParagraph"/>
        <w:numPr>
          <w:ilvl w:val="0"/>
          <w:numId w:val="36"/>
        </w:numPr>
        <w:spacing w:after="120" w:line="276" w:lineRule="auto"/>
        <w:jc w:val="both"/>
      </w:pPr>
      <w:r>
        <w:t>B</w:t>
      </w:r>
      <w:r w:rsidRPr="00F71803">
        <w:t>riefly</w:t>
      </w:r>
      <w:r w:rsidRPr="00F71803">
        <w:rPr>
          <w:noProof/>
        </w:rPr>
        <w:t xml:space="preserve"> </w:t>
      </w:r>
      <w:r w:rsidRPr="00F71803">
        <w:t>discus</w:t>
      </w:r>
      <w:r>
        <w:t>s</w:t>
      </w:r>
      <w:r w:rsidRPr="00F71803">
        <w:t xml:space="preserve"> the activities around WEE integration;</w:t>
      </w:r>
      <w:r>
        <w:t xml:space="preserve"> and</w:t>
      </w:r>
    </w:p>
    <w:p w14:paraId="40E079E7" w14:textId="77777777" w:rsidR="0000269C" w:rsidRDefault="0000269C" w:rsidP="004B220D">
      <w:pPr>
        <w:pStyle w:val="ListParagraph"/>
        <w:numPr>
          <w:ilvl w:val="0"/>
          <w:numId w:val="36"/>
        </w:numPr>
        <w:spacing w:after="120" w:line="276" w:lineRule="auto"/>
        <w:jc w:val="both"/>
        <w:rPr>
          <w:noProof/>
        </w:rPr>
      </w:pPr>
      <w:r>
        <w:t>Put</w:t>
      </w:r>
      <w:r w:rsidRPr="00F71803">
        <w:t xml:space="preserve"> forward a comprehensive indicator bank </w:t>
      </w:r>
      <w:r>
        <w:t>to i</w:t>
      </w:r>
      <w:r w:rsidRPr="00F71803">
        <w:t>nfluence best practice today.</w:t>
      </w:r>
      <w:r w:rsidRPr="00F71803">
        <w:rPr>
          <w:vertAlign w:val="superscript"/>
        </w:rPr>
        <w:footnoteReference w:id="92"/>
      </w:r>
      <w:r w:rsidRPr="00F71803">
        <w:t xml:space="preserve"> </w:t>
      </w:r>
    </w:p>
    <w:p w14:paraId="7EB17B37" w14:textId="039A432D" w:rsidR="0000269C" w:rsidRDefault="0000269C" w:rsidP="0018686E">
      <w:r w:rsidRPr="00F71803">
        <w:t xml:space="preserve">The ICRW definition of WEE suggests </w:t>
      </w:r>
      <w:proofErr w:type="gramStart"/>
      <w:r w:rsidRPr="00F71803">
        <w:t>an agency</w:t>
      </w:r>
      <w:r>
        <w:rPr>
          <w:rStyle w:val="FootnoteReference"/>
        </w:rPr>
        <w:footnoteReference w:id="93"/>
      </w:r>
      <w:r w:rsidRPr="00F71803">
        <w:t>/access</w:t>
      </w:r>
      <w:proofErr w:type="gramEnd"/>
      <w:r w:rsidRPr="00F71803">
        <w:t xml:space="preserve"> </w:t>
      </w:r>
      <w:r>
        <w:t>interdependence, namely</w:t>
      </w:r>
      <w:r w:rsidRPr="00F71803">
        <w:t>: “a woman is economically empowered when she has both</w:t>
      </w:r>
      <w:r>
        <w:t>,</w:t>
      </w:r>
      <w:r w:rsidRPr="00F71803">
        <w:t xml:space="preserve"> the ability to succeed and advance economically</w:t>
      </w:r>
      <w:r>
        <w:t xml:space="preserve"> (WEE dimensions 1-3 or access)</w:t>
      </w:r>
      <w:r w:rsidRPr="00F71803">
        <w:t xml:space="preserve"> and the power to make and act on economic decisions</w:t>
      </w:r>
      <w:r>
        <w:t xml:space="preserve"> (WEE dimensions 4-5 or agency)</w:t>
      </w:r>
      <w:r w:rsidRPr="00F71803">
        <w:t>.”</w:t>
      </w:r>
      <w:r w:rsidRPr="00F71803">
        <w:rPr>
          <w:vertAlign w:val="superscript"/>
        </w:rPr>
        <w:footnoteReference w:id="94"/>
      </w:r>
      <w:r w:rsidRPr="00F71803">
        <w:t xml:space="preserve">  </w:t>
      </w:r>
      <w:r>
        <w:t>The figure above</w:t>
      </w:r>
      <w:r w:rsidRPr="000F4C5A">
        <w:t xml:space="preserve"> shows</w:t>
      </w:r>
      <w:r w:rsidRPr="00F71803">
        <w:t xml:space="preserve"> the iterative nature of power and agency as well as economic </w:t>
      </w:r>
      <w:r w:rsidRPr="00F71803">
        <w:lastRenderedPageBreak/>
        <w:t xml:space="preserve">advancement: </w:t>
      </w:r>
      <w:r w:rsidRPr="00F71803">
        <w:rPr>
          <w:vertAlign w:val="superscript"/>
        </w:rPr>
        <w:footnoteReference w:id="95"/>
      </w:r>
      <w:r w:rsidRPr="00E24079">
        <w:rPr>
          <w:sz w:val="24"/>
          <w:szCs w:val="24"/>
        </w:rPr>
        <w:t xml:space="preserve"> </w:t>
      </w:r>
      <w:r w:rsidRPr="00F71803">
        <w:t>when interventions focus on greater access, for example, this leads to not only the overall goal of economic advancement, but also to enhanced agency</w:t>
      </w:r>
      <w:r>
        <w:t xml:space="preserve"> (influence)</w:t>
      </w:r>
      <w:r w:rsidRPr="00F71803">
        <w:t xml:space="preserve">. For example, in Bangladesh, </w:t>
      </w:r>
      <w:proofErr w:type="spellStart"/>
      <w:r w:rsidRPr="00F71803">
        <w:t>Katalyst</w:t>
      </w:r>
      <w:proofErr w:type="spellEnd"/>
      <w:r w:rsidRPr="00F71803">
        <w:t xml:space="preserve"> enable</w:t>
      </w:r>
      <w:r>
        <w:t>d</w:t>
      </w:r>
      <w:r w:rsidRPr="00F71803">
        <w:t xml:space="preserve"> women’s access to mini-packs of seed for the commercial development of kitchen gardens. When women beg</w:t>
      </w:r>
      <w:r>
        <w:t>an</w:t>
      </w:r>
      <w:r w:rsidRPr="00F71803">
        <w:t xml:space="preserve"> to earn more money from their gardens, they reali</w:t>
      </w:r>
      <w:r>
        <w:t>s</w:t>
      </w:r>
      <w:r w:rsidRPr="00F71803">
        <w:t>e</w:t>
      </w:r>
      <w:r>
        <w:t>d</w:t>
      </w:r>
      <w:r w:rsidRPr="00F71803">
        <w:t xml:space="preserve"> greater status in the household along with opportunities to make decisions around other economic activities such as small livestock rearing. Similarly, when agency is targeted, women also experience improved access and overall advancement. In Pakistan, </w:t>
      </w:r>
      <w:r>
        <w:t xml:space="preserve">the </w:t>
      </w:r>
      <w:r w:rsidRPr="00F71803">
        <w:t xml:space="preserve">Aga Khan Foundation has found that when men in conservative areas of </w:t>
      </w:r>
      <w:proofErr w:type="spellStart"/>
      <w:r w:rsidRPr="00F71803">
        <w:t>Gilgit</w:t>
      </w:r>
      <w:proofErr w:type="spellEnd"/>
      <w:r w:rsidRPr="00F71803">
        <w:t xml:space="preserve">-Baltistan </w:t>
      </w:r>
      <w:r>
        <w:t>were</w:t>
      </w:r>
      <w:r w:rsidRPr="00F71803">
        <w:t xml:space="preserve"> sensitised to women’s socio-cultural issues by male staff, women often reali</w:t>
      </w:r>
      <w:r>
        <w:t>s</w:t>
      </w:r>
      <w:r w:rsidRPr="00F71803">
        <w:t>e</w:t>
      </w:r>
      <w:r>
        <w:t>d</w:t>
      </w:r>
      <w:r w:rsidRPr="00F71803">
        <w:t xml:space="preserve"> greater freedoms and ha</w:t>
      </w:r>
      <w:r>
        <w:t>d</w:t>
      </w:r>
      <w:r w:rsidRPr="00F71803">
        <w:t xml:space="preserve"> more </w:t>
      </w:r>
      <w:r>
        <w:t>opportunity</w:t>
      </w:r>
      <w:r w:rsidRPr="00F71803">
        <w:t xml:space="preserve"> to advance economically (e.g. by participating in women’s markets). This vir</w:t>
      </w:r>
      <w:r>
        <w:t>tuous circle was captured in this</w:t>
      </w:r>
      <w:r w:rsidRPr="00F71803">
        <w:t xml:space="preserve"> seminal ICRW paper </w:t>
      </w:r>
      <w:r>
        <w:t>a</w:t>
      </w:r>
      <w:r w:rsidRPr="00F71803">
        <w:t xml:space="preserve">nd further </w:t>
      </w:r>
      <w:r>
        <w:t>elaborated</w:t>
      </w:r>
      <w:r w:rsidRPr="00F71803">
        <w:t xml:space="preserve"> in documents on the M4C program in Bangladesh.</w:t>
      </w:r>
      <w:r w:rsidRPr="00F71803">
        <w:rPr>
          <w:vertAlign w:val="superscript"/>
        </w:rPr>
        <w:footnoteReference w:id="96"/>
      </w:r>
      <w:r>
        <w:t xml:space="preserve">The ICRW publication </w:t>
      </w:r>
      <w:r w:rsidRPr="00F71803">
        <w:t>also elaborate</w:t>
      </w:r>
      <w:r>
        <w:t>d</w:t>
      </w:r>
      <w:r w:rsidRPr="00F71803">
        <w:t xml:space="preserve"> the opportunities and challenges that women face in their specific contexts, </w:t>
      </w:r>
      <w:r>
        <w:t xml:space="preserve">the </w:t>
      </w:r>
      <w:r w:rsidRPr="00F71803">
        <w:t>resources needed to meet pro</w:t>
      </w:r>
      <w:r>
        <w:t xml:space="preserve">ject </w:t>
      </w:r>
      <w:r w:rsidRPr="00F71803">
        <w:t xml:space="preserve">empowerment goals, issues of intervention design, and </w:t>
      </w:r>
      <w:r>
        <w:t xml:space="preserve">the </w:t>
      </w:r>
      <w:r w:rsidRPr="00F71803">
        <w:t>need to understand areas outside of a project’s focus that may help or hinder its success.</w:t>
      </w:r>
      <w:r w:rsidRPr="00F71803">
        <w:rPr>
          <w:noProof/>
        </w:rPr>
        <w:t xml:space="preserve"> </w:t>
      </w:r>
      <w:r w:rsidR="00265CF6">
        <w:rPr>
          <w:noProof/>
        </w:rPr>
        <w:t xml:space="preserve">Even </w:t>
      </w:r>
      <w:r w:rsidR="00265CF6">
        <w:t>with</w:t>
      </w:r>
      <w:r>
        <w:t xml:space="preserve"> the practical addition of the WEE Framework, challenges still exist to mainstreaming WEE in those market systems projects (such as AIP-Rural) in which women are not exclusively targeted as beneficiaries. However, because women represent 45% of AIP-</w:t>
      </w:r>
      <w:proofErr w:type="spellStart"/>
      <w:r>
        <w:t>Rural’s</w:t>
      </w:r>
      <w:proofErr w:type="spellEnd"/>
      <w:r>
        <w:t xml:space="preserve"> target group, they warrant due attention if interventions are to succeed and have impact at any scale. These challenges are summarised as:</w:t>
      </w:r>
    </w:p>
    <w:p w14:paraId="79D0E72F" w14:textId="77777777" w:rsidR="0000269C" w:rsidRDefault="0000269C" w:rsidP="004B220D">
      <w:pPr>
        <w:pStyle w:val="ListParagraph"/>
        <w:numPr>
          <w:ilvl w:val="0"/>
          <w:numId w:val="35"/>
        </w:numPr>
        <w:spacing w:after="120" w:line="276" w:lineRule="auto"/>
      </w:pPr>
      <w:r>
        <w:t xml:space="preserve">Program </w:t>
      </w:r>
      <w:proofErr w:type="gramStart"/>
      <w:r>
        <w:t>staff do</w:t>
      </w:r>
      <w:proofErr w:type="gramEnd"/>
      <w:r>
        <w:t xml:space="preserve"> not have sufficient awareness or skills to integrate women into programming, particularly where women’s roles may be less visible as in agricultural sectors in Indonesia. Despite training and exposure, the shift takes time and requires constant reinforcement.</w:t>
      </w:r>
    </w:p>
    <w:p w14:paraId="5E42002A" w14:textId="77777777" w:rsidR="0000269C" w:rsidRDefault="0000269C" w:rsidP="004B220D">
      <w:pPr>
        <w:pStyle w:val="ListParagraph"/>
        <w:numPr>
          <w:ilvl w:val="0"/>
          <w:numId w:val="35"/>
        </w:numPr>
        <w:spacing w:after="120" w:line="276" w:lineRule="auto"/>
      </w:pPr>
      <w:r>
        <w:t xml:space="preserve">Even when program </w:t>
      </w:r>
      <w:proofErr w:type="gramStart"/>
      <w:r>
        <w:t>staff are</w:t>
      </w:r>
      <w:proofErr w:type="gramEnd"/>
      <w:r>
        <w:t xml:space="preserve"> aware, they can be resistant to pushing women’s inclusion with private sector partners. And yet, when women are viewed as contributors to market systems as customers, producers or as employees, the case can be made in business terms. </w:t>
      </w:r>
    </w:p>
    <w:p w14:paraId="250D4278" w14:textId="77777777" w:rsidR="0000269C" w:rsidRDefault="0000269C" w:rsidP="004B220D">
      <w:pPr>
        <w:pStyle w:val="ListParagraph"/>
        <w:numPr>
          <w:ilvl w:val="0"/>
          <w:numId w:val="35"/>
        </w:numPr>
        <w:spacing w:after="120" w:line="276" w:lineRule="auto"/>
      </w:pPr>
      <w:r>
        <w:t>Private sector partners share the same lack of awareness and capacity, and therefore need support to see the opportunities and to take advantage of program incentives. This can be accomplished through piloting, case study examples, peer exchanges and other concrete evidence of success that will appeal to business operators.</w:t>
      </w:r>
    </w:p>
    <w:p w14:paraId="08BBCF10" w14:textId="77777777" w:rsidR="0000269C" w:rsidRDefault="0000269C" w:rsidP="004B220D">
      <w:pPr>
        <w:pStyle w:val="ListParagraph"/>
        <w:numPr>
          <w:ilvl w:val="0"/>
          <w:numId w:val="35"/>
        </w:numPr>
        <w:spacing w:after="120" w:line="276" w:lineRule="auto"/>
      </w:pPr>
      <w:r>
        <w:t xml:space="preserve">Making important modifications to the implementation of interventions. Where women are integrated into interventions, consideration needs to be given to their circumstances, which are frequently different from their male counterparts. Since men are viewed as the predominant actors in the sector, the default is to assess their needs only, whereas both needs must be understood for the intervention to create greater access. This may result in simple but pragmatic modifications like the time of day for </w:t>
      </w:r>
      <w:proofErr w:type="gramStart"/>
      <w:r>
        <w:t>a training</w:t>
      </w:r>
      <w:proofErr w:type="gramEnd"/>
      <w:r>
        <w:t xml:space="preserve"> or changes may be more nuanced in terms of socio-cultural issues arising from mobility restrictions, caused by the prevalence of gender-based violence.</w:t>
      </w:r>
    </w:p>
    <w:p w14:paraId="280347A5" w14:textId="77777777" w:rsidR="0000269C" w:rsidRDefault="0000269C" w:rsidP="0018686E">
      <w:r>
        <w:t xml:space="preserve">For market systems projects, this means that awareness of the different circumstances and worldviews are essential to the design of successful market driven interventions. </w:t>
      </w:r>
    </w:p>
    <w:p w14:paraId="20E04C93" w14:textId="77777777" w:rsidR="0000269C" w:rsidRPr="00F71803" w:rsidRDefault="0000269C" w:rsidP="0018686E">
      <w:r w:rsidRPr="00F71803">
        <w:t xml:space="preserve">In 2014, the Donor Committee on Enterprise Development (DCED), drawing extensively on the </w:t>
      </w:r>
      <w:r>
        <w:t xml:space="preserve">conceptual </w:t>
      </w:r>
      <w:r w:rsidRPr="00F71803">
        <w:t xml:space="preserve">work outlined above, – and zeroing in on </w:t>
      </w:r>
      <w:r>
        <w:t>two market development projects (</w:t>
      </w:r>
      <w:r w:rsidRPr="00F71803">
        <w:t xml:space="preserve">M4C </w:t>
      </w:r>
      <w:r>
        <w:t xml:space="preserve">in Bangladesh </w:t>
      </w:r>
      <w:r w:rsidRPr="00F71803">
        <w:t xml:space="preserve">and ALCP </w:t>
      </w:r>
      <w:r>
        <w:t xml:space="preserve">in </w:t>
      </w:r>
      <w:r w:rsidRPr="00F71803">
        <w:t>Georgia</w:t>
      </w:r>
      <w:r>
        <w:t>) that</w:t>
      </w:r>
      <w:r w:rsidRPr="00F71803">
        <w:t xml:space="preserve"> had implemented the M4P WEE conceptual framework prepared a set of practitioner guidelines for WEE.</w:t>
      </w:r>
      <w:r w:rsidRPr="00F71803">
        <w:rPr>
          <w:vertAlign w:val="superscript"/>
        </w:rPr>
        <w:footnoteReference w:id="97"/>
      </w:r>
      <w:r w:rsidRPr="00F71803">
        <w:t xml:space="preserve"> The guideline compiles a selection of indicators that reflect agency and access, and </w:t>
      </w:r>
      <w:r w:rsidRPr="00F71803">
        <w:lastRenderedPageBreak/>
        <w:t xml:space="preserve">also provides recommendations around articulating WEE in results chains, attribution, systemic change and related programmatic issues to better guide practitioners in their design and implementation of WEE programs throughout the project life cycle. </w:t>
      </w:r>
    </w:p>
    <w:p w14:paraId="57E66FC1" w14:textId="15C7165F" w:rsidR="0000269C" w:rsidRDefault="0000269C" w:rsidP="0018686E">
      <w:pPr>
        <w:spacing w:before="120"/>
      </w:pPr>
      <w:r>
        <w:t>In</w:t>
      </w:r>
      <w:r w:rsidRPr="00C16138">
        <w:t xml:space="preserve"> recent years, </w:t>
      </w:r>
      <w:r>
        <w:t xml:space="preserve">as </w:t>
      </w:r>
      <w:r w:rsidRPr="00C16138">
        <w:t xml:space="preserve">economic development program </w:t>
      </w:r>
      <w:r>
        <w:t>have started</w:t>
      </w:r>
      <w:r w:rsidRPr="00C16138">
        <w:t xml:space="preserve"> to place greater emphasis on the implementation of interventions </w:t>
      </w:r>
      <w:r>
        <w:t>targeting women’s economic empowerment,</w:t>
      </w:r>
      <w:r w:rsidRPr="00C16138">
        <w:t xml:space="preserve"> </w:t>
      </w:r>
      <w:r>
        <w:t>they</w:t>
      </w:r>
      <w:r w:rsidRPr="00C16138">
        <w:t xml:space="preserve"> </w:t>
      </w:r>
      <w:r>
        <w:t xml:space="preserve">have expanded </w:t>
      </w:r>
      <w:r w:rsidRPr="00C16138">
        <w:t xml:space="preserve">the </w:t>
      </w:r>
      <w:r>
        <w:t xml:space="preserve">identification of objectives and </w:t>
      </w:r>
      <w:r w:rsidRPr="00C16138">
        <w:t xml:space="preserve">measurement of results. </w:t>
      </w:r>
      <w:r>
        <w:t>This has stimulated the kind of new experience that enables programs such as AIP-Rural to effectively and practically integrate women into agricultural sectors both as farmers and as leaders in business and civil society. The new Women’s Empowerment and Market Systems (WEAMS framework</w:t>
      </w:r>
      <w:r>
        <w:rPr>
          <w:rStyle w:val="FootnoteReference"/>
        </w:rPr>
        <w:footnoteReference w:id="98"/>
      </w:r>
      <w:r>
        <w:t xml:space="preserve">) that builds on the earlier WEE Framework, for example, emphasises the original five dimensions of WEE outlined above as ‘non-negotiables’ but encourages a flexible application of the framework to incorporate other dimensions that might be relevant to women’s empowerment in each program or context. For example, the dimension of women’s leadership as market actors or service providers or their enhanced role as active committee members in water user groups could be further developed. </w:t>
      </w:r>
    </w:p>
    <w:p w14:paraId="3E5A1C79" w14:textId="77777777" w:rsidR="0000269C" w:rsidRPr="00F71803" w:rsidRDefault="0000269C" w:rsidP="0018686E">
      <w:r>
        <w:t>Both the WEE and WEAMS frameworks</w:t>
      </w:r>
      <w:r w:rsidRPr="00F71803">
        <w:t xml:space="preserve"> appl</w:t>
      </w:r>
      <w:r>
        <w:t>y</w:t>
      </w:r>
      <w:r w:rsidRPr="00F71803">
        <w:t xml:space="preserve"> a project life cycle approach to support programs in integrating women – from research and analysis through design and implementation to results measurement. The framework</w:t>
      </w:r>
      <w:r>
        <w:t>s</w:t>
      </w:r>
      <w:r w:rsidRPr="00F71803">
        <w:t xml:space="preserve"> illustrate how needs</w:t>
      </w:r>
      <w:r>
        <w:t>, analysis</w:t>
      </w:r>
      <w:r w:rsidRPr="00F71803">
        <w:t xml:space="preserve"> and activities shift as a program moves through its different stages</w:t>
      </w:r>
      <w:r>
        <w:t>, including</w:t>
      </w:r>
      <w:r w:rsidRPr="00F71803">
        <w:t xml:space="preserve"> the types of questions to be asked, the issues to be aware</w:t>
      </w:r>
      <w:r>
        <w:t xml:space="preserve"> of</w:t>
      </w:r>
      <w:r w:rsidRPr="00F71803">
        <w:t xml:space="preserve">, and </w:t>
      </w:r>
      <w:r>
        <w:t xml:space="preserve">the </w:t>
      </w:r>
      <w:r w:rsidRPr="00F71803">
        <w:t>opportunities for inclusion of women in market systems programs.</w:t>
      </w:r>
      <w:r w:rsidRPr="00F71803">
        <w:rPr>
          <w:vertAlign w:val="superscript"/>
        </w:rPr>
        <w:footnoteReference w:id="99"/>
      </w:r>
      <w:r w:rsidRPr="00F71803">
        <w:t xml:space="preserve"> </w:t>
      </w:r>
    </w:p>
    <w:p w14:paraId="2203343C" w14:textId="6C82F4E5" w:rsidR="0000269C" w:rsidRPr="00863715" w:rsidRDefault="0000269C" w:rsidP="0018686E">
      <w:pPr>
        <w:rPr>
          <w:b/>
        </w:rPr>
      </w:pPr>
      <w:r>
        <w:rPr>
          <w:b/>
        </w:rPr>
        <w:t>3</w:t>
      </w:r>
      <w:r w:rsidR="00786EC9">
        <w:rPr>
          <w:b/>
        </w:rPr>
        <w:t xml:space="preserve">. </w:t>
      </w:r>
      <w:r w:rsidRPr="00863715">
        <w:rPr>
          <w:b/>
        </w:rPr>
        <w:t xml:space="preserve"> </w:t>
      </w:r>
      <w:bookmarkStart w:id="51" w:name="_Toc480683869"/>
      <w:bookmarkStart w:id="52" w:name="_Toc480685912"/>
      <w:bookmarkStart w:id="53" w:name="_Toc480692170"/>
      <w:r w:rsidRPr="00863715">
        <w:rPr>
          <w:b/>
        </w:rPr>
        <w:t>AIP-Rural – Evolution on Gender</w:t>
      </w:r>
      <w:bookmarkEnd w:id="51"/>
      <w:bookmarkEnd w:id="52"/>
      <w:bookmarkEnd w:id="53"/>
    </w:p>
    <w:p w14:paraId="6FF7B94F" w14:textId="77777777" w:rsidR="0000269C" w:rsidRDefault="0000269C" w:rsidP="0018686E">
      <w:r>
        <w:t xml:space="preserve">Recognising that at least 45% of its target group is female, AIP-Rural has been making steady advances on women’s economic empowerment. Since December 2014, nine strategy papers, consultancy missions, guidelines, and many more staff workshops have been completed aimed at improving the quality of PRISMA’s gender focus. PRISMA has provided the launching pad for the dissemination of these capacities to the other 3 thematic areas of irrigation, applied research and value chain finance. </w:t>
      </w:r>
    </w:p>
    <w:p w14:paraId="0D8D11E6" w14:textId="77777777" w:rsidR="0000269C" w:rsidRDefault="0000269C" w:rsidP="0018686E">
      <w:r>
        <w:t xml:space="preserve">Some of the major steps that have been taken are: </w:t>
      </w:r>
    </w:p>
    <w:p w14:paraId="77F46451" w14:textId="77777777" w:rsidR="0000269C" w:rsidRDefault="0000269C" w:rsidP="004B220D">
      <w:pPr>
        <w:pStyle w:val="ListParagraph"/>
        <w:numPr>
          <w:ilvl w:val="0"/>
          <w:numId w:val="38"/>
        </w:numPr>
        <w:spacing w:after="120" w:line="276" w:lineRule="auto"/>
      </w:pPr>
      <w:r>
        <w:t>The positive selection of sectors like pigs, soya beans and seaweed, in which women have a prominent role;</w:t>
      </w:r>
    </w:p>
    <w:p w14:paraId="75B9675E" w14:textId="77777777" w:rsidR="0000269C" w:rsidRDefault="0000269C" w:rsidP="004B220D">
      <w:pPr>
        <w:pStyle w:val="ListParagraph"/>
        <w:numPr>
          <w:ilvl w:val="0"/>
          <w:numId w:val="38"/>
        </w:numPr>
        <w:spacing w:after="120" w:line="276" w:lineRule="auto"/>
      </w:pPr>
      <w:r>
        <w:t xml:space="preserve">A special analysis within Sector Growth Strategy Documents, and supported by Focus Group Discussions, of the constraints faced by female members of the target group; </w:t>
      </w:r>
    </w:p>
    <w:p w14:paraId="64BF695F" w14:textId="1543745B" w:rsidR="0000269C" w:rsidRDefault="0000269C" w:rsidP="004B220D">
      <w:pPr>
        <w:pStyle w:val="ListParagraph"/>
        <w:numPr>
          <w:ilvl w:val="0"/>
          <w:numId w:val="38"/>
        </w:numPr>
        <w:spacing w:after="120" w:line="276" w:lineRule="auto"/>
      </w:pPr>
      <w:r>
        <w:t xml:space="preserve">The development of sector specific and gender-based task analyses to identify </w:t>
      </w:r>
      <w:r w:rsidR="004B19F5">
        <w:t>how women and men may be involved</w:t>
      </w:r>
      <w:r>
        <w:t xml:space="preserve"> in different aspects of the interventions; </w:t>
      </w:r>
    </w:p>
    <w:p w14:paraId="1E3A54D4" w14:textId="77777777" w:rsidR="0000269C" w:rsidRDefault="0000269C" w:rsidP="004B220D">
      <w:pPr>
        <w:pStyle w:val="ListParagraph"/>
        <w:numPr>
          <w:ilvl w:val="0"/>
          <w:numId w:val="38"/>
        </w:numPr>
        <w:spacing w:after="120" w:line="276" w:lineRule="auto"/>
      </w:pPr>
      <w:r>
        <w:t xml:space="preserve">The inclusion of a significant and assessable criterion, on how these above-mentioned analyses will be explicitly translated into future intervention activities (to improve access and agency outcomes), employed during the intervention screening process (QMT); </w:t>
      </w:r>
    </w:p>
    <w:p w14:paraId="3ED51166" w14:textId="77777777" w:rsidR="0000269C" w:rsidRPr="00E90A9D" w:rsidRDefault="0000269C" w:rsidP="004B220D">
      <w:pPr>
        <w:pStyle w:val="ListParagraph"/>
        <w:numPr>
          <w:ilvl w:val="0"/>
          <w:numId w:val="38"/>
        </w:numPr>
        <w:spacing w:after="120" w:line="276" w:lineRule="auto"/>
      </w:pPr>
      <w:r>
        <w:t>Four</w:t>
      </w:r>
      <w:r w:rsidRPr="00FC053C">
        <w:t xml:space="preserve"> </w:t>
      </w:r>
      <w:r>
        <w:t xml:space="preserve">pilot </w:t>
      </w:r>
      <w:r w:rsidRPr="00FC053C">
        <w:t xml:space="preserve">gender impact assessments, in </w:t>
      </w:r>
      <w:r>
        <w:t>m</w:t>
      </w:r>
      <w:r w:rsidRPr="00FC053C">
        <w:t xml:space="preserve">aize </w:t>
      </w:r>
      <w:r>
        <w:t>East Java,</w:t>
      </w:r>
      <w:r w:rsidRPr="00FC053C">
        <w:t xml:space="preserve"> </w:t>
      </w:r>
      <w:r>
        <w:t>c</w:t>
      </w:r>
      <w:r w:rsidRPr="00FC053C">
        <w:t xml:space="preserve">offee </w:t>
      </w:r>
      <w:r>
        <w:t>and pigs in Flores</w:t>
      </w:r>
      <w:r w:rsidRPr="00FC053C">
        <w:t xml:space="preserve">, </w:t>
      </w:r>
      <w:r>
        <w:t xml:space="preserve">and irrigation in </w:t>
      </w:r>
      <w:proofErr w:type="spellStart"/>
      <w:r>
        <w:t>Bojonegoro</w:t>
      </w:r>
      <w:proofErr w:type="spellEnd"/>
      <w:r>
        <w:t xml:space="preserve"> (EJ) </w:t>
      </w:r>
      <w:r w:rsidRPr="00FC053C">
        <w:t xml:space="preserve">were conducted </w:t>
      </w:r>
      <w:r>
        <w:t xml:space="preserve">in </w:t>
      </w:r>
      <w:r w:rsidRPr="00FC053C">
        <w:t xml:space="preserve">the second half of 2016 </w:t>
      </w:r>
      <w:r w:rsidRPr="00E90A9D">
        <w:t xml:space="preserve">to evaluate Women’s Economic Empowerment (WEE) dimensions </w:t>
      </w:r>
      <w:r>
        <w:t>on</w:t>
      </w:r>
      <w:r w:rsidRPr="00E90A9D">
        <w:t xml:space="preserve"> income advancement, opportunit</w:t>
      </w:r>
      <w:r>
        <w:t>ies for</w:t>
      </w:r>
      <w:r w:rsidRPr="00E90A9D">
        <w:t xml:space="preserve"> access to product</w:t>
      </w:r>
      <w:r>
        <w:t>s</w:t>
      </w:r>
      <w:r w:rsidRPr="00E90A9D">
        <w:t xml:space="preserve"> </w:t>
      </w:r>
      <w:r w:rsidRPr="00E90A9D">
        <w:lastRenderedPageBreak/>
        <w:t>and services and female agency, focusing on leadership roles, decision making authority, and manageable workloads. The analyses included the quantitative data from MRM impact assessments.</w:t>
      </w:r>
    </w:p>
    <w:p w14:paraId="0F093B5E" w14:textId="77777777" w:rsidR="0000269C" w:rsidRDefault="0000269C" w:rsidP="0018686E">
      <w:proofErr w:type="gramStart"/>
      <w:r>
        <w:t>From their inception both PRISMA and TIRTA</w:t>
      </w:r>
      <w:r>
        <w:rPr>
          <w:rStyle w:val="FootnoteReference"/>
        </w:rPr>
        <w:footnoteReference w:id="100"/>
      </w:r>
      <w:r>
        <w:t xml:space="preserve"> have been supported with regular international expertise to improve awareness and performance in this critical area.</w:t>
      </w:r>
      <w:proofErr w:type="gramEnd"/>
      <w:r>
        <w:t xml:space="preserve"> In her latest report from a mission in April 2017, the gender consultant reported that “the sector teams are moving forward with gender inclusion and women’s economic empowerment on several fronts” including:</w:t>
      </w:r>
    </w:p>
    <w:p w14:paraId="7037394C" w14:textId="12ADBB71" w:rsidR="0000269C" w:rsidRDefault="0000269C" w:rsidP="004B220D">
      <w:pPr>
        <w:pStyle w:val="ListParagraph"/>
        <w:numPr>
          <w:ilvl w:val="0"/>
          <w:numId w:val="34"/>
        </w:numPr>
      </w:pPr>
      <w:r>
        <w:t xml:space="preserve">Greater inclusion of gender in almost all sectors shows that the Heads of Portfolio and sector staff are beginning to mainstream gender across the </w:t>
      </w:r>
      <w:r w:rsidR="00C27645">
        <w:t>board</w:t>
      </w:r>
      <w:r>
        <w:t>.</w:t>
      </w:r>
    </w:p>
    <w:p w14:paraId="119E02A3" w14:textId="77777777" w:rsidR="0000269C" w:rsidRDefault="0000269C" w:rsidP="004B220D">
      <w:pPr>
        <w:pStyle w:val="ListParagraph"/>
        <w:numPr>
          <w:ilvl w:val="0"/>
          <w:numId w:val="34"/>
        </w:numPr>
      </w:pPr>
      <w:r>
        <w:t>Women farmers’ access to services is increasing and up to December 2016, in PRISMA alone, it is estimated that 204,000 female farmers have increased their access to new products or services that can lead to increased incomes.</w:t>
      </w:r>
    </w:p>
    <w:p w14:paraId="75D7DB96" w14:textId="77777777" w:rsidR="0000269C" w:rsidRDefault="0000269C" w:rsidP="004B220D">
      <w:pPr>
        <w:pStyle w:val="ListParagraph"/>
        <w:numPr>
          <w:ilvl w:val="0"/>
          <w:numId w:val="34"/>
        </w:numPr>
      </w:pPr>
      <w:r>
        <w:t>This mainstreaming is not confined to just women as farmers - there are increasing numbers of women within the 849 intervention service providers (ISPs) who sell these products and services to farmers. This is especially significant since women ISPs represent enhanced leadership positions for women in economic sectors leading to positive role models for other women not only in the sector but also in communities and families.</w:t>
      </w:r>
    </w:p>
    <w:p w14:paraId="7510086B" w14:textId="77777777" w:rsidR="0000269C" w:rsidRDefault="0000269C" w:rsidP="004B220D">
      <w:pPr>
        <w:pStyle w:val="ListParagraph"/>
        <w:numPr>
          <w:ilvl w:val="0"/>
          <w:numId w:val="34"/>
        </w:numPr>
      </w:pPr>
      <w:r>
        <w:t xml:space="preserve">Since December 2014, 39 Focus Group Discussions have been held specifically to understand the constraints that women face in </w:t>
      </w:r>
      <w:proofErr w:type="gramStart"/>
      <w:r>
        <w:t>sectors,</w:t>
      </w:r>
      <w:proofErr w:type="gramEnd"/>
      <w:r>
        <w:t xml:space="preserve"> and in their specific locations so that female access issues can be mitigated.</w:t>
      </w:r>
    </w:p>
    <w:p w14:paraId="031FE5B0" w14:textId="3AD54D6E" w:rsidR="0000269C" w:rsidRDefault="0000269C" w:rsidP="004B220D">
      <w:pPr>
        <w:pStyle w:val="ListParagraph"/>
        <w:numPr>
          <w:ilvl w:val="0"/>
          <w:numId w:val="34"/>
        </w:numPr>
      </w:pPr>
      <w:r>
        <w:t xml:space="preserve">This information is used in intervention design </w:t>
      </w:r>
      <w:r w:rsidR="00253D41">
        <w:t>where a gender work task or role</w:t>
      </w:r>
      <w:r>
        <w:t xml:space="preserve"> allocation (purchasing of inputs, planting, weeding, inputs applications, harvesting and marketing) is made to identify who to target at different stages of intervention implementation. </w:t>
      </w:r>
    </w:p>
    <w:p w14:paraId="2144DC49" w14:textId="3937DC4F" w:rsidR="0000269C" w:rsidRDefault="0000269C" w:rsidP="004B220D">
      <w:pPr>
        <w:pStyle w:val="ListParagraph"/>
        <w:numPr>
          <w:ilvl w:val="0"/>
          <w:numId w:val="34"/>
        </w:numPr>
      </w:pPr>
      <w:r>
        <w:t>A “WEE: Intervention Concept Note (ICN) Competition” in early 2017 was held with an excellent response. The top six ICNs were recognised as winners, while a total of nine ICNs were approved for interventions. These concepts involved women both as farmers and ISPs, and have significant potential outreach</w:t>
      </w:r>
      <w:r w:rsidRPr="00F4510F">
        <w:t xml:space="preserve">. The top six concept notes </w:t>
      </w:r>
      <w:r>
        <w:t>cut across sectors</w:t>
      </w:r>
      <w:r w:rsidRPr="00F4510F">
        <w:t>:</w:t>
      </w:r>
      <w:r>
        <w:t xml:space="preserve"> mung bean, soybean, coffee, vegetable, </w:t>
      </w:r>
      <w:proofErr w:type="gramStart"/>
      <w:r>
        <w:t>maize</w:t>
      </w:r>
      <w:proofErr w:type="gramEnd"/>
      <w:r w:rsidR="00C27645">
        <w:t xml:space="preserve"> </w:t>
      </w:r>
      <w:r>
        <w:t>and coconut sugar.</w:t>
      </w:r>
      <w:r w:rsidR="0018686E">
        <w:t xml:space="preserve"> </w:t>
      </w:r>
      <w:r>
        <w:t>The Sector Teams can now rapidly advance on gender inclusion in the final 18 months of AIP-Rural</w:t>
      </w:r>
      <w:r w:rsidR="00BA7BE9">
        <w:t xml:space="preserve"> </w:t>
      </w:r>
      <w:r>
        <w:t>and take their work to the next level with proper support and guidance as described in the next sub-sections.” (Linda Jones, WEE Consultant)</w:t>
      </w:r>
    </w:p>
    <w:p w14:paraId="69C3AB1E" w14:textId="77777777" w:rsidR="0000269C" w:rsidRDefault="0000269C" w:rsidP="0018686E">
      <w:r>
        <w:t>The table below summarizes the measurable achievements of PRISMA, against the WEE dimensions, since its inception.</w:t>
      </w:r>
    </w:p>
    <w:tbl>
      <w:tblPr>
        <w:tblStyle w:val="TableGrid"/>
        <w:tblW w:w="0" w:type="auto"/>
        <w:shd w:val="clear" w:color="auto" w:fill="D9E2F3" w:themeFill="accent1" w:themeFillTint="33"/>
        <w:tblLook w:val="04A0" w:firstRow="1" w:lastRow="0" w:firstColumn="1" w:lastColumn="0" w:noHBand="0" w:noVBand="1"/>
      </w:tblPr>
      <w:tblGrid>
        <w:gridCol w:w="546"/>
        <w:gridCol w:w="3949"/>
        <w:gridCol w:w="4521"/>
      </w:tblGrid>
      <w:tr w:rsidR="0000269C" w:rsidRPr="0032306A" w14:paraId="7C94ACFB" w14:textId="77777777" w:rsidTr="0000269C">
        <w:tc>
          <w:tcPr>
            <w:tcW w:w="4495" w:type="dxa"/>
            <w:gridSpan w:val="2"/>
            <w:shd w:val="clear" w:color="auto" w:fill="D9E2F3" w:themeFill="accent1" w:themeFillTint="33"/>
          </w:tcPr>
          <w:p w14:paraId="12888C7F" w14:textId="77777777" w:rsidR="0000269C" w:rsidRPr="0032306A" w:rsidRDefault="0000269C" w:rsidP="0000269C">
            <w:pPr>
              <w:pStyle w:val="BodyText1"/>
              <w:keepNext/>
              <w:spacing w:before="20" w:after="20"/>
              <w:outlineLvl w:val="3"/>
              <w:rPr>
                <w:rFonts w:ascii="Arial Narrow" w:hAnsi="Arial Narrow"/>
                <w:b/>
                <w:sz w:val="28"/>
                <w:szCs w:val="28"/>
              </w:rPr>
            </w:pPr>
            <w:r w:rsidRPr="0032306A">
              <w:rPr>
                <w:rFonts w:ascii="Arial Narrow" w:hAnsi="Arial Narrow"/>
                <w:b/>
                <w:sz w:val="28"/>
                <w:szCs w:val="28"/>
              </w:rPr>
              <w:t>The 5 Dimensions of Women’s Economic Empowerment</w:t>
            </w:r>
          </w:p>
        </w:tc>
        <w:tc>
          <w:tcPr>
            <w:tcW w:w="4521" w:type="dxa"/>
            <w:shd w:val="clear" w:color="auto" w:fill="D9E2F3" w:themeFill="accent1" w:themeFillTint="33"/>
          </w:tcPr>
          <w:p w14:paraId="1B829B83" w14:textId="77777777" w:rsidR="0000269C" w:rsidRPr="0032306A" w:rsidRDefault="0000269C" w:rsidP="0000269C">
            <w:pPr>
              <w:pStyle w:val="BodyText1"/>
              <w:keepNext/>
              <w:spacing w:before="20" w:after="20"/>
              <w:outlineLvl w:val="3"/>
              <w:rPr>
                <w:rFonts w:ascii="Arial Narrow" w:hAnsi="Arial Narrow"/>
                <w:b/>
                <w:sz w:val="28"/>
                <w:szCs w:val="28"/>
              </w:rPr>
            </w:pPr>
            <w:r>
              <w:rPr>
                <w:rFonts w:ascii="Arial Narrow" w:hAnsi="Arial Narrow"/>
                <w:b/>
                <w:sz w:val="28"/>
                <w:szCs w:val="28"/>
              </w:rPr>
              <w:t>How these are Measured in AIP-Rural (as of December 2016)</w:t>
            </w:r>
          </w:p>
        </w:tc>
      </w:tr>
      <w:tr w:rsidR="0000269C" w:rsidRPr="00E63D29" w14:paraId="73C0E001" w14:textId="77777777" w:rsidTr="0000269C">
        <w:tc>
          <w:tcPr>
            <w:tcW w:w="4495" w:type="dxa"/>
            <w:gridSpan w:val="2"/>
            <w:shd w:val="clear" w:color="auto" w:fill="D9E2F3" w:themeFill="accent1" w:themeFillTint="33"/>
          </w:tcPr>
          <w:p w14:paraId="6EBD0275" w14:textId="77777777" w:rsidR="0000269C" w:rsidRPr="00E63D29" w:rsidRDefault="0000269C" w:rsidP="0000269C">
            <w:pPr>
              <w:pStyle w:val="BodyText1"/>
              <w:keepNext/>
              <w:spacing w:before="20" w:after="20"/>
              <w:outlineLvl w:val="3"/>
              <w:rPr>
                <w:rFonts w:ascii="Arial Narrow" w:hAnsi="Arial Narrow"/>
                <w:b/>
                <w:sz w:val="18"/>
                <w:szCs w:val="18"/>
              </w:rPr>
            </w:pPr>
            <w:r w:rsidRPr="00E63D29">
              <w:rPr>
                <w:rFonts w:ascii="Arial Narrow" w:hAnsi="Arial Narrow"/>
                <w:b/>
                <w:sz w:val="18"/>
                <w:szCs w:val="18"/>
              </w:rPr>
              <w:t>OVERALL OBJECTIVE:</w:t>
            </w:r>
          </w:p>
        </w:tc>
        <w:tc>
          <w:tcPr>
            <w:tcW w:w="4521" w:type="dxa"/>
            <w:shd w:val="clear" w:color="auto" w:fill="D9E2F3" w:themeFill="accent1" w:themeFillTint="33"/>
          </w:tcPr>
          <w:p w14:paraId="64142449" w14:textId="77777777" w:rsidR="0000269C" w:rsidRPr="00E63D29" w:rsidRDefault="0000269C" w:rsidP="0000269C">
            <w:pPr>
              <w:pStyle w:val="BodyText1"/>
              <w:keepNext/>
              <w:spacing w:before="20" w:after="20"/>
              <w:outlineLvl w:val="3"/>
              <w:rPr>
                <w:rFonts w:ascii="Arial Narrow" w:hAnsi="Arial Narrow"/>
                <w:b/>
                <w:sz w:val="18"/>
                <w:szCs w:val="18"/>
              </w:rPr>
            </w:pPr>
          </w:p>
        </w:tc>
      </w:tr>
      <w:tr w:rsidR="0000269C" w:rsidRPr="00E63D29" w14:paraId="65935DEC" w14:textId="77777777" w:rsidTr="0000269C">
        <w:tc>
          <w:tcPr>
            <w:tcW w:w="546" w:type="dxa"/>
            <w:shd w:val="clear" w:color="auto" w:fill="FFFFFF" w:themeFill="background1"/>
            <w:vAlign w:val="center"/>
          </w:tcPr>
          <w:p w14:paraId="495E7E40" w14:textId="77777777" w:rsidR="0000269C" w:rsidRPr="00D10C2E" w:rsidRDefault="0000269C" w:rsidP="0000269C">
            <w:pPr>
              <w:pStyle w:val="BodyText1"/>
              <w:rPr>
                <w:rFonts w:ascii="Arial Narrow" w:hAnsi="Arial Narrow"/>
                <w:b/>
                <w:sz w:val="18"/>
                <w:szCs w:val="18"/>
              </w:rPr>
            </w:pPr>
            <w:r>
              <w:rPr>
                <w:rFonts w:ascii="Arial Narrow" w:hAnsi="Arial Narrow"/>
                <w:b/>
                <w:sz w:val="18"/>
                <w:szCs w:val="18"/>
              </w:rPr>
              <w:t>1</w:t>
            </w:r>
          </w:p>
        </w:tc>
        <w:tc>
          <w:tcPr>
            <w:tcW w:w="3949" w:type="dxa"/>
            <w:shd w:val="clear" w:color="auto" w:fill="FFFFFF" w:themeFill="background1"/>
          </w:tcPr>
          <w:p w14:paraId="491E28B4" w14:textId="77777777" w:rsidR="0000269C" w:rsidRPr="00E63D29" w:rsidRDefault="0000269C" w:rsidP="0000269C">
            <w:pPr>
              <w:pStyle w:val="BodyText1"/>
              <w:spacing w:before="20" w:after="20"/>
              <w:rPr>
                <w:rFonts w:ascii="Arial Narrow" w:hAnsi="Arial Narrow"/>
                <w:b/>
                <w:color w:val="002060"/>
                <w:kern w:val="32"/>
                <w:sz w:val="18"/>
                <w:szCs w:val="18"/>
              </w:rPr>
            </w:pPr>
            <w:r w:rsidRPr="00E63D29">
              <w:rPr>
                <w:rFonts w:ascii="Arial Narrow" w:hAnsi="Arial Narrow"/>
                <w:sz w:val="18"/>
                <w:szCs w:val="18"/>
              </w:rPr>
              <w:t>Economic Advancement</w:t>
            </w:r>
            <w:r>
              <w:rPr>
                <w:rFonts w:ascii="Arial Narrow" w:hAnsi="Arial Narrow"/>
                <w:sz w:val="18"/>
                <w:szCs w:val="18"/>
              </w:rPr>
              <w:t xml:space="preserve"> (often measured as net income)</w:t>
            </w:r>
          </w:p>
        </w:tc>
        <w:tc>
          <w:tcPr>
            <w:tcW w:w="4521" w:type="dxa"/>
            <w:shd w:val="clear" w:color="auto" w:fill="FFFFFF" w:themeFill="background1"/>
          </w:tcPr>
          <w:p w14:paraId="250C57DC" w14:textId="77777777" w:rsidR="0000269C" w:rsidRPr="00E63D29" w:rsidRDefault="0000269C" w:rsidP="0000269C">
            <w:pPr>
              <w:pStyle w:val="BodyText1"/>
              <w:spacing w:before="20" w:after="20"/>
              <w:rPr>
                <w:rFonts w:ascii="Arial Narrow" w:hAnsi="Arial Narrow"/>
                <w:sz w:val="18"/>
                <w:szCs w:val="18"/>
              </w:rPr>
            </w:pPr>
            <w:r>
              <w:rPr>
                <w:rFonts w:ascii="Arial Narrow" w:hAnsi="Arial Narrow"/>
                <w:sz w:val="18"/>
                <w:szCs w:val="18"/>
              </w:rPr>
              <w:t>An average increase of &gt;135% of net attributable income changes from agriculture to 44,000 households or 109,000 farmers</w:t>
            </w:r>
          </w:p>
        </w:tc>
      </w:tr>
      <w:tr w:rsidR="0000269C" w:rsidRPr="00E63D29" w14:paraId="3AB9AB43" w14:textId="77777777" w:rsidTr="0000269C">
        <w:tc>
          <w:tcPr>
            <w:tcW w:w="4495" w:type="dxa"/>
            <w:gridSpan w:val="2"/>
            <w:shd w:val="clear" w:color="auto" w:fill="D9E2F3" w:themeFill="accent1" w:themeFillTint="33"/>
          </w:tcPr>
          <w:p w14:paraId="6187201E" w14:textId="77777777" w:rsidR="0000269C" w:rsidRPr="00E63D29" w:rsidRDefault="0000269C" w:rsidP="0000269C">
            <w:pPr>
              <w:pStyle w:val="BodyText1"/>
              <w:keepNext/>
              <w:spacing w:before="20" w:after="20"/>
              <w:outlineLvl w:val="3"/>
              <w:rPr>
                <w:rFonts w:ascii="Arial Narrow" w:hAnsi="Arial Narrow"/>
                <w:b/>
                <w:sz w:val="18"/>
                <w:szCs w:val="18"/>
              </w:rPr>
            </w:pPr>
            <w:r w:rsidRPr="00E63D29">
              <w:rPr>
                <w:rFonts w:ascii="Arial Narrow" w:hAnsi="Arial Narrow"/>
                <w:b/>
                <w:sz w:val="18"/>
                <w:szCs w:val="18"/>
              </w:rPr>
              <w:t>IMPROVED ACCESS OUTCOMES:</w:t>
            </w:r>
          </w:p>
        </w:tc>
        <w:tc>
          <w:tcPr>
            <w:tcW w:w="4521" w:type="dxa"/>
            <w:shd w:val="clear" w:color="auto" w:fill="D9E2F3" w:themeFill="accent1" w:themeFillTint="33"/>
          </w:tcPr>
          <w:p w14:paraId="17E802A1" w14:textId="77777777" w:rsidR="0000269C" w:rsidRPr="00E63D29" w:rsidRDefault="0000269C" w:rsidP="0000269C">
            <w:pPr>
              <w:pStyle w:val="BodyText1"/>
              <w:keepNext/>
              <w:spacing w:before="20" w:after="20"/>
              <w:outlineLvl w:val="3"/>
              <w:rPr>
                <w:rFonts w:ascii="Arial Narrow" w:hAnsi="Arial Narrow"/>
                <w:b/>
                <w:sz w:val="18"/>
                <w:szCs w:val="18"/>
              </w:rPr>
            </w:pPr>
          </w:p>
        </w:tc>
      </w:tr>
      <w:tr w:rsidR="0000269C" w:rsidRPr="00E63D29" w14:paraId="3BF887A1" w14:textId="77777777" w:rsidTr="0000269C">
        <w:tc>
          <w:tcPr>
            <w:tcW w:w="546" w:type="dxa"/>
            <w:shd w:val="clear" w:color="auto" w:fill="FFFFFF" w:themeFill="background1"/>
            <w:vAlign w:val="center"/>
          </w:tcPr>
          <w:p w14:paraId="7FEBFBD5" w14:textId="77777777" w:rsidR="0000269C" w:rsidRPr="00D10C2E" w:rsidRDefault="0000269C" w:rsidP="0000269C">
            <w:pPr>
              <w:pStyle w:val="BodyText1"/>
              <w:rPr>
                <w:rFonts w:ascii="Arial Narrow" w:hAnsi="Arial Narrow"/>
                <w:b/>
                <w:sz w:val="18"/>
                <w:szCs w:val="18"/>
              </w:rPr>
            </w:pPr>
            <w:r w:rsidRPr="00D10C2E">
              <w:rPr>
                <w:rFonts w:ascii="Arial Narrow" w:hAnsi="Arial Narrow"/>
                <w:b/>
                <w:sz w:val="18"/>
                <w:szCs w:val="18"/>
              </w:rPr>
              <w:t>2.</w:t>
            </w:r>
          </w:p>
        </w:tc>
        <w:tc>
          <w:tcPr>
            <w:tcW w:w="3949" w:type="dxa"/>
            <w:shd w:val="clear" w:color="auto" w:fill="FFFFFF" w:themeFill="background1"/>
          </w:tcPr>
          <w:p w14:paraId="1B291A0F" w14:textId="77777777" w:rsidR="0000269C" w:rsidRPr="00E63D29" w:rsidRDefault="0000269C" w:rsidP="0000269C">
            <w:pPr>
              <w:pStyle w:val="BodyText1"/>
              <w:spacing w:before="20" w:after="20"/>
              <w:rPr>
                <w:rFonts w:ascii="Arial Narrow" w:hAnsi="Arial Narrow"/>
                <w:b/>
                <w:color w:val="002060"/>
                <w:kern w:val="32"/>
                <w:sz w:val="18"/>
                <w:szCs w:val="18"/>
              </w:rPr>
            </w:pPr>
            <w:r w:rsidRPr="00E63D29">
              <w:rPr>
                <w:rFonts w:ascii="Arial Narrow" w:hAnsi="Arial Narrow"/>
                <w:sz w:val="18"/>
                <w:szCs w:val="18"/>
              </w:rPr>
              <w:t>Access to opportunities and life chances such as skills development or job openings</w:t>
            </w:r>
          </w:p>
        </w:tc>
        <w:tc>
          <w:tcPr>
            <w:tcW w:w="4521" w:type="dxa"/>
            <w:shd w:val="clear" w:color="auto" w:fill="FFFFFF" w:themeFill="background1"/>
          </w:tcPr>
          <w:p w14:paraId="12D978B6" w14:textId="77777777" w:rsidR="0000269C" w:rsidRPr="00E63D29" w:rsidRDefault="0000269C" w:rsidP="0000269C">
            <w:pPr>
              <w:pStyle w:val="BodyText1"/>
              <w:spacing w:before="20" w:after="20"/>
              <w:rPr>
                <w:rFonts w:ascii="Arial Narrow" w:hAnsi="Arial Narrow"/>
                <w:sz w:val="18"/>
                <w:szCs w:val="18"/>
              </w:rPr>
            </w:pPr>
            <w:r>
              <w:rPr>
                <w:rFonts w:ascii="Arial Narrow" w:hAnsi="Arial Narrow"/>
                <w:sz w:val="18"/>
                <w:szCs w:val="18"/>
              </w:rPr>
              <w:t xml:space="preserve">204,000 female farmers with increased access to new markets or inputs  </w:t>
            </w:r>
          </w:p>
        </w:tc>
      </w:tr>
      <w:tr w:rsidR="0000269C" w:rsidRPr="00E63D29" w14:paraId="66476FB7" w14:textId="77777777" w:rsidTr="0000269C">
        <w:tc>
          <w:tcPr>
            <w:tcW w:w="546" w:type="dxa"/>
            <w:shd w:val="clear" w:color="auto" w:fill="FFFFFF" w:themeFill="background1"/>
            <w:vAlign w:val="center"/>
          </w:tcPr>
          <w:p w14:paraId="4877F717" w14:textId="77777777" w:rsidR="0000269C" w:rsidRPr="00D10C2E" w:rsidRDefault="0000269C" w:rsidP="0000269C">
            <w:pPr>
              <w:pStyle w:val="BodyText1"/>
              <w:rPr>
                <w:rFonts w:ascii="Arial Narrow" w:hAnsi="Arial Narrow"/>
                <w:b/>
                <w:sz w:val="18"/>
                <w:szCs w:val="18"/>
              </w:rPr>
            </w:pPr>
            <w:r w:rsidRPr="00D10C2E">
              <w:rPr>
                <w:rFonts w:ascii="Arial Narrow" w:hAnsi="Arial Narrow"/>
                <w:b/>
                <w:sz w:val="18"/>
                <w:szCs w:val="18"/>
              </w:rPr>
              <w:t>3.</w:t>
            </w:r>
          </w:p>
        </w:tc>
        <w:tc>
          <w:tcPr>
            <w:tcW w:w="3949" w:type="dxa"/>
            <w:shd w:val="clear" w:color="auto" w:fill="FFFFFF" w:themeFill="background1"/>
          </w:tcPr>
          <w:p w14:paraId="3D4F11C3" w14:textId="77777777" w:rsidR="0000269C" w:rsidRPr="00E63D29" w:rsidRDefault="0000269C" w:rsidP="0000269C">
            <w:pPr>
              <w:pStyle w:val="BodyText1"/>
              <w:spacing w:before="20" w:after="20"/>
              <w:rPr>
                <w:rFonts w:ascii="Arial Narrow" w:hAnsi="Arial Narrow"/>
                <w:b/>
                <w:color w:val="002060"/>
                <w:kern w:val="32"/>
                <w:sz w:val="18"/>
                <w:szCs w:val="18"/>
              </w:rPr>
            </w:pPr>
            <w:r w:rsidRPr="00E63D29">
              <w:rPr>
                <w:rFonts w:ascii="Arial Narrow" w:hAnsi="Arial Narrow"/>
                <w:sz w:val="18"/>
                <w:szCs w:val="18"/>
              </w:rPr>
              <w:t>Access to assets, services and needed supports to advance economically</w:t>
            </w:r>
          </w:p>
        </w:tc>
        <w:tc>
          <w:tcPr>
            <w:tcW w:w="4521" w:type="dxa"/>
            <w:shd w:val="clear" w:color="auto" w:fill="FFFFFF" w:themeFill="background1"/>
          </w:tcPr>
          <w:p w14:paraId="1D69289A" w14:textId="77777777" w:rsidR="0000269C" w:rsidRPr="00E63D29" w:rsidRDefault="0000269C" w:rsidP="0000269C">
            <w:pPr>
              <w:pStyle w:val="BodyText1"/>
              <w:spacing w:before="20" w:after="20"/>
              <w:rPr>
                <w:rFonts w:ascii="Arial Narrow" w:hAnsi="Arial Narrow"/>
                <w:sz w:val="18"/>
                <w:szCs w:val="18"/>
              </w:rPr>
            </w:pPr>
            <w:r>
              <w:rPr>
                <w:rFonts w:ascii="Arial Narrow" w:hAnsi="Arial Narrow"/>
                <w:sz w:val="18"/>
                <w:szCs w:val="18"/>
              </w:rPr>
              <w:t>55,500 female farmers that have benefitted from the use of new assets or services and increased their incomes</w:t>
            </w:r>
          </w:p>
        </w:tc>
      </w:tr>
      <w:tr w:rsidR="0000269C" w:rsidRPr="00D10C2E" w14:paraId="1F1D301B" w14:textId="77777777" w:rsidTr="0000269C">
        <w:tc>
          <w:tcPr>
            <w:tcW w:w="4495" w:type="dxa"/>
            <w:gridSpan w:val="2"/>
            <w:shd w:val="clear" w:color="auto" w:fill="D9E2F3" w:themeFill="accent1" w:themeFillTint="33"/>
          </w:tcPr>
          <w:p w14:paraId="5D959C2A" w14:textId="77777777" w:rsidR="0000269C" w:rsidRPr="00D10C2E" w:rsidRDefault="0000269C" w:rsidP="0000269C">
            <w:pPr>
              <w:pStyle w:val="BodyText1"/>
              <w:keepNext/>
              <w:spacing w:before="20" w:after="20"/>
              <w:outlineLvl w:val="3"/>
              <w:rPr>
                <w:rFonts w:ascii="Arial Narrow" w:hAnsi="Arial Narrow"/>
                <w:b/>
                <w:kern w:val="32"/>
                <w:sz w:val="18"/>
                <w:szCs w:val="18"/>
              </w:rPr>
            </w:pPr>
            <w:r w:rsidRPr="00D10C2E">
              <w:rPr>
                <w:rFonts w:ascii="Arial Narrow" w:hAnsi="Arial Narrow"/>
                <w:b/>
                <w:sz w:val="18"/>
                <w:szCs w:val="18"/>
              </w:rPr>
              <w:lastRenderedPageBreak/>
              <w:t>STRONGER AGENCY OUTCOMES:</w:t>
            </w:r>
          </w:p>
        </w:tc>
        <w:tc>
          <w:tcPr>
            <w:tcW w:w="4521" w:type="dxa"/>
            <w:shd w:val="clear" w:color="auto" w:fill="D9E2F3" w:themeFill="accent1" w:themeFillTint="33"/>
          </w:tcPr>
          <w:p w14:paraId="4F94EB8C" w14:textId="77777777" w:rsidR="0000269C" w:rsidRPr="00D10C2E" w:rsidRDefault="0000269C" w:rsidP="0000269C">
            <w:pPr>
              <w:pStyle w:val="BodyText1"/>
              <w:keepNext/>
              <w:spacing w:before="20" w:after="20"/>
              <w:outlineLvl w:val="3"/>
              <w:rPr>
                <w:rFonts w:ascii="Arial Narrow" w:hAnsi="Arial Narrow"/>
                <w:b/>
                <w:sz w:val="18"/>
                <w:szCs w:val="18"/>
              </w:rPr>
            </w:pPr>
          </w:p>
        </w:tc>
      </w:tr>
      <w:tr w:rsidR="0000269C" w:rsidRPr="00AD05CC" w14:paraId="20B02720" w14:textId="77777777" w:rsidTr="0000269C">
        <w:tc>
          <w:tcPr>
            <w:tcW w:w="546" w:type="dxa"/>
            <w:shd w:val="clear" w:color="auto" w:fill="FFFFFF" w:themeFill="background1"/>
            <w:vAlign w:val="center"/>
          </w:tcPr>
          <w:p w14:paraId="3DCB31E8" w14:textId="77777777" w:rsidR="0000269C" w:rsidRPr="00AD05CC" w:rsidRDefault="0000269C" w:rsidP="0000269C">
            <w:pPr>
              <w:pStyle w:val="BodyText1"/>
              <w:rPr>
                <w:rFonts w:ascii="Arial Narrow" w:hAnsi="Arial Narrow"/>
                <w:b/>
                <w:sz w:val="18"/>
                <w:szCs w:val="18"/>
              </w:rPr>
            </w:pPr>
            <w:r w:rsidRPr="00AD05CC">
              <w:rPr>
                <w:rFonts w:ascii="Arial Narrow" w:hAnsi="Arial Narrow"/>
                <w:b/>
                <w:sz w:val="18"/>
                <w:szCs w:val="18"/>
              </w:rPr>
              <w:t>4.</w:t>
            </w:r>
          </w:p>
        </w:tc>
        <w:tc>
          <w:tcPr>
            <w:tcW w:w="3949" w:type="dxa"/>
            <w:shd w:val="clear" w:color="auto" w:fill="FFFFFF" w:themeFill="background1"/>
          </w:tcPr>
          <w:p w14:paraId="374670AA" w14:textId="77777777" w:rsidR="0000269C" w:rsidRPr="00AD05CC" w:rsidRDefault="0000269C" w:rsidP="0000269C">
            <w:pPr>
              <w:pStyle w:val="BodyText1"/>
              <w:spacing w:before="20" w:after="20"/>
              <w:rPr>
                <w:rFonts w:ascii="Arial Narrow" w:hAnsi="Arial Narrow"/>
                <w:b/>
                <w:color w:val="002060"/>
                <w:kern w:val="32"/>
                <w:sz w:val="18"/>
                <w:szCs w:val="18"/>
              </w:rPr>
            </w:pPr>
            <w:r w:rsidRPr="00AD05CC">
              <w:rPr>
                <w:rFonts w:ascii="Arial Narrow" w:hAnsi="Arial Narrow"/>
                <w:sz w:val="18"/>
                <w:szCs w:val="18"/>
              </w:rPr>
              <w:t>Decision-making authority in different spheres including household finances</w:t>
            </w:r>
          </w:p>
        </w:tc>
        <w:tc>
          <w:tcPr>
            <w:tcW w:w="4521" w:type="dxa"/>
            <w:shd w:val="clear" w:color="auto" w:fill="FFFFFF" w:themeFill="background1"/>
          </w:tcPr>
          <w:p w14:paraId="245D0C5E" w14:textId="4756B954" w:rsidR="0000269C" w:rsidRPr="00AD05CC" w:rsidRDefault="0000269C" w:rsidP="00253D41">
            <w:pPr>
              <w:pStyle w:val="BodyText1"/>
              <w:spacing w:before="20" w:after="20"/>
              <w:rPr>
                <w:rFonts w:ascii="Arial Narrow" w:hAnsi="Arial Narrow"/>
                <w:sz w:val="18"/>
                <w:szCs w:val="18"/>
              </w:rPr>
            </w:pPr>
            <w:r>
              <w:rPr>
                <w:rFonts w:ascii="Arial Narrow" w:hAnsi="Arial Narrow"/>
                <w:sz w:val="18"/>
                <w:szCs w:val="18"/>
              </w:rPr>
              <w:t xml:space="preserve">The % of the 849 service providers which are female </w:t>
            </w:r>
            <w:r w:rsidR="00253D41">
              <w:rPr>
                <w:rFonts w:ascii="Arial Narrow" w:hAnsi="Arial Narrow"/>
                <w:sz w:val="18"/>
                <w:szCs w:val="18"/>
              </w:rPr>
              <w:t xml:space="preserve">(to be measured in Semester 1, </w:t>
            </w:r>
            <w:r>
              <w:rPr>
                <w:rFonts w:ascii="Arial Narrow" w:hAnsi="Arial Narrow"/>
                <w:sz w:val="18"/>
                <w:szCs w:val="18"/>
              </w:rPr>
              <w:t>2017</w:t>
            </w:r>
            <w:r w:rsidR="00253D41">
              <w:rPr>
                <w:rFonts w:ascii="Arial Narrow" w:hAnsi="Arial Narrow"/>
                <w:sz w:val="18"/>
                <w:szCs w:val="18"/>
              </w:rPr>
              <w:t>)</w:t>
            </w:r>
          </w:p>
        </w:tc>
      </w:tr>
      <w:tr w:rsidR="0000269C" w:rsidRPr="00AD05CC" w14:paraId="37D739B4" w14:textId="77777777" w:rsidTr="0000269C">
        <w:tc>
          <w:tcPr>
            <w:tcW w:w="546" w:type="dxa"/>
            <w:shd w:val="clear" w:color="auto" w:fill="FFFFFF" w:themeFill="background1"/>
            <w:vAlign w:val="center"/>
          </w:tcPr>
          <w:p w14:paraId="20D9BA36" w14:textId="77777777" w:rsidR="0000269C" w:rsidRPr="00AD05CC" w:rsidRDefault="0000269C" w:rsidP="0000269C">
            <w:pPr>
              <w:pStyle w:val="BodyText1"/>
              <w:rPr>
                <w:rFonts w:ascii="Arial Narrow" w:hAnsi="Arial Narrow"/>
                <w:b/>
                <w:sz w:val="18"/>
                <w:szCs w:val="18"/>
              </w:rPr>
            </w:pPr>
            <w:r w:rsidRPr="00AD05CC">
              <w:rPr>
                <w:rFonts w:ascii="Arial Narrow" w:hAnsi="Arial Narrow"/>
                <w:b/>
                <w:sz w:val="18"/>
                <w:szCs w:val="18"/>
              </w:rPr>
              <w:t>5.</w:t>
            </w:r>
          </w:p>
        </w:tc>
        <w:tc>
          <w:tcPr>
            <w:tcW w:w="3949" w:type="dxa"/>
            <w:shd w:val="clear" w:color="auto" w:fill="FFFFFF" w:themeFill="background1"/>
          </w:tcPr>
          <w:p w14:paraId="5BC97D50" w14:textId="77777777" w:rsidR="0000269C" w:rsidRPr="00AD05CC" w:rsidRDefault="0000269C" w:rsidP="0000269C">
            <w:pPr>
              <w:pStyle w:val="BodyText1"/>
              <w:spacing w:before="20" w:after="20"/>
              <w:rPr>
                <w:rFonts w:ascii="Arial Narrow" w:hAnsi="Arial Narrow"/>
                <w:b/>
                <w:color w:val="002060"/>
                <w:kern w:val="32"/>
                <w:sz w:val="18"/>
                <w:szCs w:val="18"/>
              </w:rPr>
            </w:pPr>
            <w:r w:rsidRPr="00AD05CC">
              <w:rPr>
                <w:rFonts w:ascii="Arial Narrow" w:hAnsi="Arial Narrow"/>
                <w:sz w:val="18"/>
                <w:szCs w:val="18"/>
              </w:rPr>
              <w:t>Manageable workloads for women</w:t>
            </w:r>
          </w:p>
        </w:tc>
        <w:tc>
          <w:tcPr>
            <w:tcW w:w="4521" w:type="dxa"/>
            <w:shd w:val="clear" w:color="auto" w:fill="FFFFFF" w:themeFill="background1"/>
          </w:tcPr>
          <w:p w14:paraId="5BD93BC7" w14:textId="77777777" w:rsidR="0000269C" w:rsidRPr="00AD05CC" w:rsidRDefault="0000269C" w:rsidP="0000269C">
            <w:pPr>
              <w:pStyle w:val="BodyText1"/>
              <w:spacing w:before="20" w:after="20"/>
              <w:rPr>
                <w:rFonts w:ascii="Arial Narrow" w:hAnsi="Arial Narrow"/>
                <w:sz w:val="18"/>
                <w:szCs w:val="18"/>
              </w:rPr>
            </w:pPr>
            <w:r>
              <w:rPr>
                <w:rFonts w:ascii="Arial Narrow" w:hAnsi="Arial Narrow"/>
                <w:sz w:val="18"/>
                <w:szCs w:val="18"/>
              </w:rPr>
              <w:t>39 Focus Group Discussion and workload analysis leading to tailor made actions plans for each intervention</w:t>
            </w:r>
          </w:p>
        </w:tc>
      </w:tr>
    </w:tbl>
    <w:p w14:paraId="56CD8442" w14:textId="77777777" w:rsidR="0000269C" w:rsidRDefault="0000269C" w:rsidP="0000269C">
      <w:pPr>
        <w:jc w:val="both"/>
      </w:pPr>
    </w:p>
    <w:p w14:paraId="5F488439" w14:textId="79E52F89" w:rsidR="00786EC9" w:rsidRPr="00863715" w:rsidRDefault="00786EC9" w:rsidP="00786EC9">
      <w:pPr>
        <w:jc w:val="both"/>
        <w:rPr>
          <w:b/>
        </w:rPr>
      </w:pPr>
      <w:bookmarkStart w:id="54" w:name="_Toc480683870"/>
      <w:bookmarkStart w:id="55" w:name="_Toc480685913"/>
      <w:bookmarkStart w:id="56" w:name="_Toc480692171"/>
      <w:r>
        <w:rPr>
          <w:b/>
        </w:rPr>
        <w:t xml:space="preserve">4. </w:t>
      </w:r>
      <w:r w:rsidRPr="00863715">
        <w:rPr>
          <w:b/>
        </w:rPr>
        <w:t xml:space="preserve"> </w:t>
      </w:r>
      <w:r>
        <w:rPr>
          <w:b/>
        </w:rPr>
        <w:t>Key Lessons Learned and Recommendations</w:t>
      </w:r>
    </w:p>
    <w:bookmarkEnd w:id="54"/>
    <w:bookmarkEnd w:id="55"/>
    <w:bookmarkEnd w:id="56"/>
    <w:p w14:paraId="313925FE" w14:textId="5029C76D" w:rsidR="0000269C" w:rsidRDefault="0000269C" w:rsidP="00C27645">
      <w:r>
        <w:t xml:space="preserve">At present, the gender support within AIP-Rural is constrained because it is resourced by only one full-time Gender and Social Inclusion Specialist and an international consultant with limited time on the ground (2 times </w:t>
      </w:r>
      <w:r w:rsidR="00253D41">
        <w:t>a year for a total of 4 weeks).</w:t>
      </w:r>
      <w:r>
        <w:t xml:space="preserve"> </w:t>
      </w:r>
      <w:r w:rsidR="00253D41">
        <w:t>T</w:t>
      </w:r>
      <w:r>
        <w:t xml:space="preserve">he following recommendations have been made to strengthen the orientation of </w:t>
      </w:r>
      <w:r w:rsidR="004D7E21">
        <w:t xml:space="preserve">AIP-Rural and </w:t>
      </w:r>
      <w:r w:rsidR="005D461A">
        <w:t>PRISMA-2</w:t>
      </w:r>
      <w:r w:rsidR="00253D41">
        <w:t xml:space="preserve"> and enable PRISMA-2 to move to the next level of gender mainstreaming</w:t>
      </w:r>
      <w:r>
        <w:t>:</w:t>
      </w:r>
    </w:p>
    <w:p w14:paraId="78736201" w14:textId="601AF919" w:rsidR="0000269C" w:rsidRDefault="0000269C" w:rsidP="004B220D">
      <w:pPr>
        <w:pStyle w:val="ListParagraph"/>
        <w:numPr>
          <w:ilvl w:val="0"/>
          <w:numId w:val="37"/>
        </w:numPr>
        <w:spacing w:after="120" w:line="276" w:lineRule="auto"/>
      </w:pPr>
      <w:r>
        <w:t xml:space="preserve">Staffing: </w:t>
      </w:r>
      <w:r w:rsidR="00253D41">
        <w:t>continue staffing the</w:t>
      </w:r>
      <w:r>
        <w:t xml:space="preserve"> core </w:t>
      </w:r>
      <w:r w:rsidR="00253D41">
        <w:t xml:space="preserve">management </w:t>
      </w:r>
      <w:r>
        <w:t xml:space="preserve">team with </w:t>
      </w:r>
      <w:r w:rsidR="00253D41">
        <w:t>a</w:t>
      </w:r>
      <w:r>
        <w:t xml:space="preserve"> staff member </w:t>
      </w:r>
      <w:r w:rsidR="00253D41">
        <w:t>who has</w:t>
      </w:r>
      <w:r>
        <w:t xml:space="preserve"> broader experience</w:t>
      </w:r>
      <w:r w:rsidR="00253D41">
        <w:t xml:space="preserve"> in gender and social inclusion, as well as adding gender specialists to the re</w:t>
      </w:r>
      <w:r>
        <w:t xml:space="preserve">sults measurement </w:t>
      </w:r>
      <w:r w:rsidR="00253D41">
        <w:t xml:space="preserve">team </w:t>
      </w:r>
      <w:r>
        <w:t xml:space="preserve">and </w:t>
      </w:r>
      <w:r w:rsidR="00253D41">
        <w:t xml:space="preserve">to provide </w:t>
      </w:r>
      <w:r>
        <w:t>sector technical backstopping.</w:t>
      </w:r>
    </w:p>
    <w:p w14:paraId="7D83AD4E" w14:textId="02025C01" w:rsidR="0000269C" w:rsidRDefault="0000269C" w:rsidP="004B220D">
      <w:pPr>
        <w:pStyle w:val="ListParagraph"/>
        <w:numPr>
          <w:ilvl w:val="0"/>
          <w:numId w:val="34"/>
        </w:numPr>
      </w:pPr>
      <w:r>
        <w:t xml:space="preserve">One or more international consultants with extensive experience in gender </w:t>
      </w:r>
      <w:r w:rsidR="00253D41">
        <w:t xml:space="preserve">and knowledge of Indonesia </w:t>
      </w:r>
      <w:r>
        <w:t>should be available to support the sector team through regular backstopping on intervention design and implementation activities, challenges and solutions. Ideally, this consultant would have regular inputs of, for example, at least 1 month per quarter or 2 weeks every second month.</w:t>
      </w:r>
    </w:p>
    <w:p w14:paraId="3F9C8DBC" w14:textId="77777777" w:rsidR="0000269C" w:rsidRDefault="0000269C" w:rsidP="004B220D">
      <w:pPr>
        <w:pStyle w:val="ListParagraph"/>
        <w:numPr>
          <w:ilvl w:val="0"/>
          <w:numId w:val="34"/>
        </w:numPr>
        <w:spacing w:after="120" w:line="276" w:lineRule="auto"/>
      </w:pPr>
      <w:bookmarkStart w:id="57" w:name="_Hlk482095676"/>
      <w:r>
        <w:t>The upgrading of documentation and toolkits is now underway to ensure the more effective mainstreaming of gender across all areas of programming – and this needs to be taken forward with regular upgrading of materials and tools. For now, this includes the u</w:t>
      </w:r>
      <w:r w:rsidRPr="00C1711D">
        <w:t xml:space="preserve">pdating of </w:t>
      </w:r>
      <w:r>
        <w:t>the Gender Inclusion Strategy, Deal Making Guidelines,</w:t>
      </w:r>
      <w:r w:rsidRPr="00C1711D">
        <w:t xml:space="preserve"> RM Manual </w:t>
      </w:r>
      <w:r>
        <w:t xml:space="preserve">and the Gender Mainstreaming Guideline document. </w:t>
      </w:r>
    </w:p>
    <w:p w14:paraId="73F63DA2" w14:textId="70FF9F3E" w:rsidR="0000269C" w:rsidRDefault="00253D41" w:rsidP="004B220D">
      <w:pPr>
        <w:pStyle w:val="ListParagraph"/>
        <w:numPr>
          <w:ilvl w:val="0"/>
          <w:numId w:val="34"/>
        </w:numPr>
        <w:spacing w:after="120" w:line="276" w:lineRule="auto"/>
      </w:pPr>
      <w:r>
        <w:t>Shifting from</w:t>
      </w:r>
      <w:r w:rsidR="0000269C">
        <w:t xml:space="preserve"> ‘gender’ language to ‘women’s economic empowerment’ which is more aligned with current market systems approaches, and speaks to the practical design, implementation and measurement of programs.</w:t>
      </w:r>
    </w:p>
    <w:p w14:paraId="48A775F9" w14:textId="52733C07" w:rsidR="0000269C" w:rsidRDefault="0000269C" w:rsidP="004B220D">
      <w:pPr>
        <w:pStyle w:val="ListParagraph"/>
        <w:numPr>
          <w:ilvl w:val="0"/>
          <w:numId w:val="34"/>
        </w:numPr>
        <w:spacing w:after="120" w:line="276" w:lineRule="auto"/>
      </w:pPr>
      <w:r w:rsidRPr="00090147">
        <w:t xml:space="preserve">Impact Measurement </w:t>
      </w:r>
      <w:r>
        <w:t xml:space="preserve">(IM) </w:t>
      </w:r>
      <w:r w:rsidRPr="00090147">
        <w:t xml:space="preserve">Surveys – </w:t>
      </w:r>
      <w:r w:rsidR="00C27645">
        <w:t>WEE</w:t>
      </w:r>
      <w:r w:rsidRPr="00090147">
        <w:t xml:space="preserve"> indicators are already examined in qualitative FGDs at the end of interventions. Further, some sector teams have begun to include </w:t>
      </w:r>
      <w:r>
        <w:t>women’s empowerment</w:t>
      </w:r>
      <w:r w:rsidRPr="00090147">
        <w:t xml:space="preserve"> dimensions in their IM surveys. A basic set of standard</w:t>
      </w:r>
      <w:r>
        <w:t xml:space="preserve"> WEE indicators and questions (based on the WEE dimensions) should be developed and included in all IM surveys.</w:t>
      </w:r>
    </w:p>
    <w:bookmarkEnd w:id="57"/>
    <w:p w14:paraId="5B65B0B1" w14:textId="77777777" w:rsidR="0000269C" w:rsidRDefault="0000269C" w:rsidP="0000269C">
      <w:pPr>
        <w:jc w:val="both"/>
      </w:pPr>
      <w:r>
        <w:br w:type="page"/>
      </w:r>
    </w:p>
    <w:p w14:paraId="67384AF8" w14:textId="04735EFD" w:rsidR="0000269C" w:rsidRPr="00786EC9" w:rsidRDefault="00786EC9" w:rsidP="00786EC9">
      <w:pPr>
        <w:spacing w:after="120" w:line="276" w:lineRule="auto"/>
        <w:jc w:val="both"/>
        <w:rPr>
          <w:b/>
        </w:rPr>
      </w:pPr>
      <w:r>
        <w:rPr>
          <w:b/>
        </w:rPr>
        <w:lastRenderedPageBreak/>
        <w:t>Table</w:t>
      </w:r>
      <w:r w:rsidR="0000269C" w:rsidRPr="00786EC9">
        <w:rPr>
          <w:b/>
        </w:rPr>
        <w:t xml:space="preserve">: Inclusion of </w:t>
      </w:r>
      <w:r w:rsidR="00253D41">
        <w:rPr>
          <w:b/>
        </w:rPr>
        <w:t>Women</w:t>
      </w:r>
      <w:r w:rsidR="0000269C" w:rsidRPr="00786EC9">
        <w:rPr>
          <w:b/>
        </w:rPr>
        <w:t xml:space="preserve"> in Sector Interventions</w:t>
      </w:r>
    </w:p>
    <w:tbl>
      <w:tblPr>
        <w:tblW w:w="9628" w:type="dxa"/>
        <w:tblLook w:val="04A0" w:firstRow="1" w:lastRow="0" w:firstColumn="1" w:lastColumn="0" w:noHBand="0" w:noVBand="1"/>
      </w:tblPr>
      <w:tblGrid>
        <w:gridCol w:w="1069"/>
        <w:gridCol w:w="639"/>
        <w:gridCol w:w="1124"/>
        <w:gridCol w:w="1394"/>
        <w:gridCol w:w="890"/>
        <w:gridCol w:w="994"/>
        <w:gridCol w:w="886"/>
        <w:gridCol w:w="904"/>
        <w:gridCol w:w="868"/>
        <w:gridCol w:w="860"/>
      </w:tblGrid>
      <w:tr w:rsidR="00153765" w:rsidRPr="005C5E7D" w14:paraId="1CDEA9AA" w14:textId="77777777" w:rsidTr="00786EC9">
        <w:trPr>
          <w:trHeight w:val="1300"/>
        </w:trPr>
        <w:tc>
          <w:tcPr>
            <w:tcW w:w="106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A0EFAC"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No</w:t>
            </w:r>
          </w:p>
        </w:tc>
        <w:tc>
          <w:tcPr>
            <w:tcW w:w="639" w:type="dxa"/>
            <w:tcBorders>
              <w:top w:val="single" w:sz="4" w:space="0" w:color="auto"/>
              <w:left w:val="nil"/>
              <w:bottom w:val="single" w:sz="4" w:space="0" w:color="auto"/>
              <w:right w:val="single" w:sz="4" w:space="0" w:color="auto"/>
            </w:tcBorders>
            <w:shd w:val="clear" w:color="000000" w:fill="F2F2F2"/>
            <w:vAlign w:val="center"/>
            <w:hideMark/>
          </w:tcPr>
          <w:p w14:paraId="3A1782AF"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proofErr w:type="spellStart"/>
            <w:r w:rsidRPr="005C5E7D">
              <w:rPr>
                <w:rFonts w:ascii="Calibri Light" w:eastAsia="Times New Roman" w:hAnsi="Calibri Light" w:cs="Calibri Light"/>
                <w:b/>
                <w:bCs/>
                <w:color w:val="000000"/>
                <w:sz w:val="20"/>
                <w:szCs w:val="20"/>
              </w:rPr>
              <w:t>Intrv</w:t>
            </w:r>
            <w:proofErr w:type="spellEnd"/>
            <w:r w:rsidRPr="005C5E7D">
              <w:rPr>
                <w:rFonts w:ascii="Calibri Light" w:eastAsia="Times New Roman" w:hAnsi="Calibri Light" w:cs="Calibri Light"/>
                <w:b/>
                <w:bCs/>
                <w:color w:val="000000"/>
                <w:sz w:val="20"/>
                <w:szCs w:val="20"/>
              </w:rPr>
              <w:t xml:space="preserve"> Code</w:t>
            </w:r>
          </w:p>
        </w:tc>
        <w:tc>
          <w:tcPr>
            <w:tcW w:w="1124" w:type="dxa"/>
            <w:tcBorders>
              <w:top w:val="single" w:sz="4" w:space="0" w:color="auto"/>
              <w:left w:val="nil"/>
              <w:bottom w:val="single" w:sz="4" w:space="0" w:color="auto"/>
              <w:right w:val="single" w:sz="4" w:space="0" w:color="auto"/>
            </w:tcBorders>
            <w:shd w:val="clear" w:color="000000" w:fill="F2F2F2"/>
            <w:vAlign w:val="center"/>
            <w:hideMark/>
          </w:tcPr>
          <w:p w14:paraId="32FD4E50"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Sub-sector</w:t>
            </w:r>
          </w:p>
        </w:tc>
        <w:tc>
          <w:tcPr>
            <w:tcW w:w="1394" w:type="dxa"/>
            <w:tcBorders>
              <w:top w:val="single" w:sz="4" w:space="0" w:color="auto"/>
              <w:left w:val="nil"/>
              <w:bottom w:val="single" w:sz="4" w:space="0" w:color="auto"/>
              <w:right w:val="single" w:sz="4" w:space="0" w:color="auto"/>
            </w:tcBorders>
            <w:shd w:val="clear" w:color="000000" w:fill="F2F2F2"/>
            <w:vAlign w:val="center"/>
            <w:hideMark/>
          </w:tcPr>
          <w:p w14:paraId="3AB22BA1"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Name of Intervention</w:t>
            </w:r>
          </w:p>
        </w:tc>
        <w:tc>
          <w:tcPr>
            <w:tcW w:w="890" w:type="dxa"/>
            <w:tcBorders>
              <w:top w:val="single" w:sz="4" w:space="0" w:color="auto"/>
              <w:left w:val="nil"/>
              <w:bottom w:val="single" w:sz="4" w:space="0" w:color="auto"/>
              <w:right w:val="single" w:sz="4" w:space="0" w:color="auto"/>
            </w:tcBorders>
            <w:shd w:val="clear" w:color="000000" w:fill="F2F2F2"/>
            <w:vAlign w:val="center"/>
            <w:hideMark/>
          </w:tcPr>
          <w:p w14:paraId="60408DC9"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 Farm HH</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14:paraId="278C511B"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Ratio Farm HH vs Individual Farmer</w:t>
            </w:r>
          </w:p>
        </w:tc>
        <w:tc>
          <w:tcPr>
            <w:tcW w:w="886" w:type="dxa"/>
            <w:tcBorders>
              <w:top w:val="single" w:sz="4" w:space="0" w:color="auto"/>
              <w:left w:val="nil"/>
              <w:bottom w:val="single" w:sz="4" w:space="0" w:color="auto"/>
              <w:right w:val="single" w:sz="4" w:space="0" w:color="auto"/>
            </w:tcBorders>
            <w:shd w:val="clear" w:color="000000" w:fill="F2F2F2"/>
            <w:vAlign w:val="center"/>
            <w:hideMark/>
          </w:tcPr>
          <w:p w14:paraId="4D1040AA"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 Female Farmer</w:t>
            </w:r>
          </w:p>
        </w:tc>
        <w:tc>
          <w:tcPr>
            <w:tcW w:w="904" w:type="dxa"/>
            <w:tcBorders>
              <w:top w:val="single" w:sz="4" w:space="0" w:color="auto"/>
              <w:left w:val="nil"/>
              <w:bottom w:val="single" w:sz="4" w:space="0" w:color="auto"/>
              <w:right w:val="single" w:sz="4" w:space="0" w:color="auto"/>
            </w:tcBorders>
            <w:shd w:val="clear" w:color="000000" w:fill="F2F2F2"/>
            <w:vAlign w:val="center"/>
            <w:hideMark/>
          </w:tcPr>
          <w:p w14:paraId="038D9B05"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 Farmer</w:t>
            </w:r>
          </w:p>
        </w:tc>
        <w:tc>
          <w:tcPr>
            <w:tcW w:w="868" w:type="dxa"/>
            <w:tcBorders>
              <w:top w:val="single" w:sz="4" w:space="0" w:color="auto"/>
              <w:left w:val="nil"/>
              <w:bottom w:val="single" w:sz="4" w:space="0" w:color="auto"/>
              <w:right w:val="single" w:sz="4" w:space="0" w:color="auto"/>
            </w:tcBorders>
            <w:shd w:val="clear" w:color="000000" w:fill="F2F2F2"/>
            <w:vAlign w:val="center"/>
            <w:hideMark/>
          </w:tcPr>
          <w:p w14:paraId="6A80B973"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 Female Farmer</w:t>
            </w:r>
          </w:p>
        </w:tc>
        <w:tc>
          <w:tcPr>
            <w:tcW w:w="860" w:type="dxa"/>
            <w:tcBorders>
              <w:top w:val="single" w:sz="4" w:space="0" w:color="auto"/>
              <w:left w:val="nil"/>
              <w:bottom w:val="single" w:sz="4" w:space="0" w:color="auto"/>
              <w:right w:val="single" w:sz="4" w:space="0" w:color="auto"/>
            </w:tcBorders>
            <w:shd w:val="clear" w:color="000000" w:fill="F2F2F2"/>
            <w:vAlign w:val="center"/>
            <w:hideMark/>
          </w:tcPr>
          <w:p w14:paraId="6757582D"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 Male Farmer</w:t>
            </w:r>
          </w:p>
        </w:tc>
      </w:tr>
      <w:tr w:rsidR="00153765" w:rsidRPr="005C5E7D" w14:paraId="7EFB3A28" w14:textId="77777777" w:rsidTr="00786EC9">
        <w:trPr>
          <w:trHeight w:val="310"/>
        </w:trPr>
        <w:tc>
          <w:tcPr>
            <w:tcW w:w="1069" w:type="dxa"/>
            <w:tcBorders>
              <w:top w:val="nil"/>
              <w:left w:val="single" w:sz="4" w:space="0" w:color="auto"/>
              <w:bottom w:val="single" w:sz="4" w:space="0" w:color="auto"/>
              <w:right w:val="nil"/>
            </w:tcBorders>
            <w:shd w:val="clear" w:color="000000" w:fill="BFBFBF"/>
            <w:noWrap/>
            <w:hideMark/>
          </w:tcPr>
          <w:p w14:paraId="251FA724" w14:textId="5ECF4167" w:rsidR="0000269C" w:rsidRPr="005C5E7D" w:rsidRDefault="0000269C" w:rsidP="0000269C">
            <w:pPr>
              <w:spacing w:after="0" w:line="240" w:lineRule="auto"/>
              <w:jc w:val="both"/>
              <w:rPr>
                <w:rFonts w:ascii="Calibri Light" w:eastAsia="Times New Roman" w:hAnsi="Calibri Light" w:cs="Calibri Light"/>
                <w:b/>
                <w:bCs/>
                <w:color w:val="000000"/>
                <w:sz w:val="24"/>
                <w:szCs w:val="24"/>
              </w:rPr>
            </w:pPr>
            <w:r w:rsidRPr="005C5E7D">
              <w:rPr>
                <w:rFonts w:ascii="Calibri Light" w:eastAsia="Times New Roman" w:hAnsi="Calibri Light" w:cs="Calibri Light"/>
                <w:b/>
                <w:bCs/>
                <w:color w:val="000000"/>
                <w:sz w:val="24"/>
                <w:szCs w:val="24"/>
              </w:rPr>
              <w:t>PRISM</w:t>
            </w:r>
            <w:r w:rsidR="00786EC9">
              <w:rPr>
                <w:rFonts w:ascii="Calibri Light" w:eastAsia="Times New Roman" w:hAnsi="Calibri Light" w:cs="Calibri Light"/>
                <w:b/>
                <w:bCs/>
                <w:color w:val="000000"/>
                <w:sz w:val="24"/>
                <w:szCs w:val="24"/>
              </w:rPr>
              <w:t>A</w:t>
            </w:r>
          </w:p>
        </w:tc>
        <w:tc>
          <w:tcPr>
            <w:tcW w:w="639" w:type="dxa"/>
            <w:tcBorders>
              <w:top w:val="nil"/>
              <w:left w:val="nil"/>
              <w:bottom w:val="single" w:sz="4" w:space="0" w:color="auto"/>
              <w:right w:val="nil"/>
            </w:tcBorders>
            <w:shd w:val="clear" w:color="000000" w:fill="BFBFBF"/>
            <w:noWrap/>
            <w:vAlign w:val="bottom"/>
            <w:hideMark/>
          </w:tcPr>
          <w:p w14:paraId="4A5BD56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000000" w:fill="BFBFBF"/>
            <w:noWrap/>
            <w:vAlign w:val="bottom"/>
            <w:hideMark/>
          </w:tcPr>
          <w:p w14:paraId="4016117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nil"/>
            </w:tcBorders>
            <w:shd w:val="clear" w:color="000000" w:fill="BFBFBF"/>
            <w:noWrap/>
            <w:vAlign w:val="bottom"/>
            <w:hideMark/>
          </w:tcPr>
          <w:p w14:paraId="29A95F5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90" w:type="dxa"/>
            <w:tcBorders>
              <w:top w:val="nil"/>
              <w:left w:val="nil"/>
              <w:bottom w:val="single" w:sz="4" w:space="0" w:color="auto"/>
              <w:right w:val="nil"/>
            </w:tcBorders>
            <w:shd w:val="clear" w:color="000000" w:fill="BFBFBF"/>
            <w:noWrap/>
            <w:vAlign w:val="bottom"/>
            <w:hideMark/>
          </w:tcPr>
          <w:p w14:paraId="61BB8DA1"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994" w:type="dxa"/>
            <w:tcBorders>
              <w:top w:val="nil"/>
              <w:left w:val="nil"/>
              <w:bottom w:val="single" w:sz="4" w:space="0" w:color="auto"/>
              <w:right w:val="nil"/>
            </w:tcBorders>
            <w:shd w:val="clear" w:color="000000" w:fill="BFBFBF"/>
            <w:noWrap/>
            <w:vAlign w:val="bottom"/>
            <w:hideMark/>
          </w:tcPr>
          <w:p w14:paraId="7335517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86" w:type="dxa"/>
            <w:tcBorders>
              <w:top w:val="nil"/>
              <w:left w:val="nil"/>
              <w:bottom w:val="single" w:sz="4" w:space="0" w:color="auto"/>
              <w:right w:val="nil"/>
            </w:tcBorders>
            <w:shd w:val="clear" w:color="000000" w:fill="BFBFBF"/>
            <w:noWrap/>
            <w:vAlign w:val="bottom"/>
            <w:hideMark/>
          </w:tcPr>
          <w:p w14:paraId="5F827B32"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 </w:t>
            </w:r>
          </w:p>
        </w:tc>
        <w:tc>
          <w:tcPr>
            <w:tcW w:w="904" w:type="dxa"/>
            <w:tcBorders>
              <w:top w:val="nil"/>
              <w:left w:val="nil"/>
              <w:bottom w:val="single" w:sz="4" w:space="0" w:color="auto"/>
              <w:right w:val="nil"/>
            </w:tcBorders>
            <w:shd w:val="clear" w:color="000000" w:fill="BFBFBF"/>
            <w:noWrap/>
            <w:vAlign w:val="bottom"/>
            <w:hideMark/>
          </w:tcPr>
          <w:p w14:paraId="2BBD25E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8" w:type="dxa"/>
            <w:tcBorders>
              <w:top w:val="nil"/>
              <w:left w:val="nil"/>
              <w:bottom w:val="single" w:sz="4" w:space="0" w:color="auto"/>
              <w:right w:val="nil"/>
            </w:tcBorders>
            <w:shd w:val="clear" w:color="000000" w:fill="BFBFBF"/>
            <w:noWrap/>
            <w:vAlign w:val="bottom"/>
            <w:hideMark/>
          </w:tcPr>
          <w:p w14:paraId="1262CDC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0" w:type="dxa"/>
            <w:tcBorders>
              <w:top w:val="nil"/>
              <w:left w:val="nil"/>
              <w:bottom w:val="single" w:sz="4" w:space="0" w:color="auto"/>
              <w:right w:val="nil"/>
            </w:tcBorders>
            <w:shd w:val="clear" w:color="000000" w:fill="BFBFBF"/>
            <w:noWrap/>
            <w:vAlign w:val="bottom"/>
            <w:hideMark/>
          </w:tcPr>
          <w:p w14:paraId="737C349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r>
      <w:tr w:rsidR="00153765" w:rsidRPr="005C5E7D" w14:paraId="21B871B9"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06F3098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34C1DA76"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0BE6A6DB"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Beef-EJ</w:t>
            </w:r>
          </w:p>
        </w:tc>
        <w:tc>
          <w:tcPr>
            <w:tcW w:w="1394" w:type="dxa"/>
            <w:tcBorders>
              <w:top w:val="nil"/>
              <w:left w:val="nil"/>
              <w:bottom w:val="single" w:sz="4" w:space="0" w:color="auto"/>
              <w:right w:val="single" w:sz="4" w:space="0" w:color="auto"/>
            </w:tcBorders>
            <w:shd w:val="clear" w:color="000000" w:fill="FFFFFF"/>
            <w:noWrap/>
            <w:hideMark/>
          </w:tcPr>
          <w:p w14:paraId="2A9BC5B3"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34FC28F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717</w:t>
            </w:r>
          </w:p>
        </w:tc>
        <w:tc>
          <w:tcPr>
            <w:tcW w:w="994" w:type="dxa"/>
            <w:tcBorders>
              <w:top w:val="nil"/>
              <w:left w:val="nil"/>
              <w:bottom w:val="single" w:sz="4" w:space="0" w:color="auto"/>
              <w:right w:val="single" w:sz="4" w:space="0" w:color="auto"/>
            </w:tcBorders>
            <w:shd w:val="clear" w:color="000000" w:fill="FFFFFF"/>
            <w:noWrap/>
            <w:hideMark/>
          </w:tcPr>
          <w:p w14:paraId="48BC436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2.00</w:t>
            </w:r>
          </w:p>
        </w:tc>
        <w:tc>
          <w:tcPr>
            <w:tcW w:w="886" w:type="dxa"/>
            <w:tcBorders>
              <w:top w:val="nil"/>
              <w:left w:val="nil"/>
              <w:bottom w:val="single" w:sz="4" w:space="0" w:color="auto"/>
              <w:right w:val="single" w:sz="4" w:space="0" w:color="auto"/>
            </w:tcBorders>
            <w:shd w:val="clear" w:color="000000" w:fill="FFFFFF"/>
            <w:noWrap/>
            <w:hideMark/>
          </w:tcPr>
          <w:p w14:paraId="79729EAE"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39.48%</w:t>
            </w:r>
          </w:p>
        </w:tc>
        <w:tc>
          <w:tcPr>
            <w:tcW w:w="904" w:type="dxa"/>
            <w:tcBorders>
              <w:top w:val="nil"/>
              <w:left w:val="nil"/>
              <w:bottom w:val="single" w:sz="4" w:space="0" w:color="auto"/>
              <w:right w:val="single" w:sz="4" w:space="0" w:color="auto"/>
            </w:tcBorders>
            <w:shd w:val="clear" w:color="000000" w:fill="FFFFFF"/>
            <w:noWrap/>
            <w:hideMark/>
          </w:tcPr>
          <w:p w14:paraId="3D3E785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1,434</w:t>
            </w:r>
          </w:p>
        </w:tc>
        <w:tc>
          <w:tcPr>
            <w:tcW w:w="868" w:type="dxa"/>
            <w:tcBorders>
              <w:top w:val="nil"/>
              <w:left w:val="nil"/>
              <w:bottom w:val="single" w:sz="4" w:space="0" w:color="auto"/>
              <w:right w:val="single" w:sz="4" w:space="0" w:color="auto"/>
            </w:tcBorders>
            <w:shd w:val="clear" w:color="000000" w:fill="FFFFFF"/>
            <w:noWrap/>
            <w:hideMark/>
          </w:tcPr>
          <w:p w14:paraId="209C6B11"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565</w:t>
            </w:r>
          </w:p>
        </w:tc>
        <w:tc>
          <w:tcPr>
            <w:tcW w:w="860" w:type="dxa"/>
            <w:tcBorders>
              <w:top w:val="nil"/>
              <w:left w:val="nil"/>
              <w:bottom w:val="single" w:sz="4" w:space="0" w:color="auto"/>
              <w:right w:val="single" w:sz="4" w:space="0" w:color="auto"/>
            </w:tcBorders>
            <w:shd w:val="clear" w:color="000000" w:fill="FFFFFF"/>
            <w:noWrap/>
            <w:hideMark/>
          </w:tcPr>
          <w:p w14:paraId="2BC43881"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869</w:t>
            </w:r>
          </w:p>
        </w:tc>
      </w:tr>
      <w:tr w:rsidR="00153765" w:rsidRPr="005C5E7D" w14:paraId="2A2DB2CF"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3BEF9D4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727162D0"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02E8C458"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Cassava-EJ</w:t>
            </w:r>
          </w:p>
        </w:tc>
        <w:tc>
          <w:tcPr>
            <w:tcW w:w="1394" w:type="dxa"/>
            <w:tcBorders>
              <w:top w:val="nil"/>
              <w:left w:val="nil"/>
              <w:bottom w:val="single" w:sz="4" w:space="0" w:color="auto"/>
              <w:right w:val="single" w:sz="4" w:space="0" w:color="auto"/>
            </w:tcBorders>
            <w:shd w:val="clear" w:color="000000" w:fill="FFFFFF"/>
            <w:noWrap/>
            <w:hideMark/>
          </w:tcPr>
          <w:p w14:paraId="36C12455"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2A9BABD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643</w:t>
            </w:r>
          </w:p>
        </w:tc>
        <w:tc>
          <w:tcPr>
            <w:tcW w:w="994" w:type="dxa"/>
            <w:tcBorders>
              <w:top w:val="nil"/>
              <w:left w:val="nil"/>
              <w:bottom w:val="single" w:sz="4" w:space="0" w:color="auto"/>
              <w:right w:val="single" w:sz="4" w:space="0" w:color="auto"/>
            </w:tcBorders>
            <w:shd w:val="clear" w:color="000000" w:fill="FFFFFF"/>
            <w:noWrap/>
            <w:hideMark/>
          </w:tcPr>
          <w:p w14:paraId="311C5B9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4.00</w:t>
            </w:r>
          </w:p>
        </w:tc>
        <w:tc>
          <w:tcPr>
            <w:tcW w:w="886" w:type="dxa"/>
            <w:tcBorders>
              <w:top w:val="nil"/>
              <w:left w:val="nil"/>
              <w:bottom w:val="single" w:sz="4" w:space="0" w:color="auto"/>
              <w:right w:val="single" w:sz="4" w:space="0" w:color="auto"/>
            </w:tcBorders>
            <w:shd w:val="clear" w:color="000000" w:fill="FFFFFF"/>
            <w:noWrap/>
            <w:hideMark/>
          </w:tcPr>
          <w:p w14:paraId="27F21C00"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48.15%</w:t>
            </w:r>
          </w:p>
        </w:tc>
        <w:tc>
          <w:tcPr>
            <w:tcW w:w="904" w:type="dxa"/>
            <w:tcBorders>
              <w:top w:val="nil"/>
              <w:left w:val="nil"/>
              <w:bottom w:val="single" w:sz="4" w:space="0" w:color="auto"/>
              <w:right w:val="single" w:sz="4" w:space="0" w:color="auto"/>
            </w:tcBorders>
            <w:shd w:val="clear" w:color="000000" w:fill="FFFFFF"/>
            <w:noWrap/>
            <w:hideMark/>
          </w:tcPr>
          <w:p w14:paraId="0E2900A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2,572</w:t>
            </w:r>
          </w:p>
        </w:tc>
        <w:tc>
          <w:tcPr>
            <w:tcW w:w="868" w:type="dxa"/>
            <w:tcBorders>
              <w:top w:val="nil"/>
              <w:left w:val="nil"/>
              <w:bottom w:val="single" w:sz="4" w:space="0" w:color="auto"/>
              <w:right w:val="single" w:sz="4" w:space="0" w:color="auto"/>
            </w:tcBorders>
            <w:shd w:val="clear" w:color="000000" w:fill="FFFFFF"/>
            <w:noWrap/>
            <w:hideMark/>
          </w:tcPr>
          <w:p w14:paraId="560B83B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1,238</w:t>
            </w:r>
          </w:p>
        </w:tc>
        <w:tc>
          <w:tcPr>
            <w:tcW w:w="860" w:type="dxa"/>
            <w:tcBorders>
              <w:top w:val="nil"/>
              <w:left w:val="nil"/>
              <w:bottom w:val="single" w:sz="4" w:space="0" w:color="auto"/>
              <w:right w:val="single" w:sz="4" w:space="0" w:color="auto"/>
            </w:tcBorders>
            <w:shd w:val="clear" w:color="000000" w:fill="FFFFFF"/>
            <w:noWrap/>
            <w:hideMark/>
          </w:tcPr>
          <w:p w14:paraId="12C8533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1,334</w:t>
            </w:r>
          </w:p>
        </w:tc>
      </w:tr>
      <w:tr w:rsidR="00153765" w:rsidRPr="005C5E7D" w14:paraId="0C30EC5B"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363187C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25323881"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12AE7F96"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Coconut-EJ</w:t>
            </w:r>
          </w:p>
        </w:tc>
        <w:tc>
          <w:tcPr>
            <w:tcW w:w="1394" w:type="dxa"/>
            <w:tcBorders>
              <w:top w:val="nil"/>
              <w:left w:val="nil"/>
              <w:bottom w:val="single" w:sz="4" w:space="0" w:color="auto"/>
              <w:right w:val="single" w:sz="4" w:space="0" w:color="auto"/>
            </w:tcBorders>
            <w:shd w:val="clear" w:color="000000" w:fill="FFFFFF"/>
            <w:noWrap/>
            <w:hideMark/>
          </w:tcPr>
          <w:p w14:paraId="4B616559"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7279E89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431</w:t>
            </w:r>
          </w:p>
        </w:tc>
        <w:tc>
          <w:tcPr>
            <w:tcW w:w="994" w:type="dxa"/>
            <w:tcBorders>
              <w:top w:val="nil"/>
              <w:left w:val="nil"/>
              <w:bottom w:val="single" w:sz="4" w:space="0" w:color="auto"/>
              <w:right w:val="single" w:sz="4" w:space="0" w:color="auto"/>
            </w:tcBorders>
            <w:shd w:val="clear" w:color="000000" w:fill="FFFFFF"/>
            <w:noWrap/>
            <w:hideMark/>
          </w:tcPr>
          <w:p w14:paraId="49DCB9D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3.00</w:t>
            </w:r>
          </w:p>
        </w:tc>
        <w:tc>
          <w:tcPr>
            <w:tcW w:w="886" w:type="dxa"/>
            <w:tcBorders>
              <w:top w:val="nil"/>
              <w:left w:val="nil"/>
              <w:bottom w:val="single" w:sz="4" w:space="0" w:color="auto"/>
              <w:right w:val="single" w:sz="4" w:space="0" w:color="auto"/>
            </w:tcBorders>
            <w:shd w:val="clear" w:color="000000" w:fill="FFFFFF"/>
            <w:noWrap/>
            <w:hideMark/>
          </w:tcPr>
          <w:p w14:paraId="33D2C7AC"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53.00%</w:t>
            </w:r>
          </w:p>
        </w:tc>
        <w:tc>
          <w:tcPr>
            <w:tcW w:w="904" w:type="dxa"/>
            <w:tcBorders>
              <w:top w:val="nil"/>
              <w:left w:val="nil"/>
              <w:bottom w:val="single" w:sz="4" w:space="0" w:color="auto"/>
              <w:right w:val="single" w:sz="4" w:space="0" w:color="auto"/>
            </w:tcBorders>
            <w:shd w:val="clear" w:color="000000" w:fill="FFFFFF"/>
            <w:noWrap/>
            <w:hideMark/>
          </w:tcPr>
          <w:p w14:paraId="3842E56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1,293</w:t>
            </w:r>
          </w:p>
        </w:tc>
        <w:tc>
          <w:tcPr>
            <w:tcW w:w="868" w:type="dxa"/>
            <w:tcBorders>
              <w:top w:val="nil"/>
              <w:left w:val="nil"/>
              <w:bottom w:val="single" w:sz="4" w:space="0" w:color="auto"/>
              <w:right w:val="single" w:sz="4" w:space="0" w:color="auto"/>
            </w:tcBorders>
            <w:shd w:val="clear" w:color="000000" w:fill="FFFFFF"/>
            <w:noWrap/>
            <w:hideMark/>
          </w:tcPr>
          <w:p w14:paraId="79678B0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685</w:t>
            </w:r>
          </w:p>
        </w:tc>
        <w:tc>
          <w:tcPr>
            <w:tcW w:w="860" w:type="dxa"/>
            <w:tcBorders>
              <w:top w:val="nil"/>
              <w:left w:val="nil"/>
              <w:bottom w:val="single" w:sz="4" w:space="0" w:color="auto"/>
              <w:right w:val="single" w:sz="4" w:space="0" w:color="auto"/>
            </w:tcBorders>
            <w:shd w:val="clear" w:color="000000" w:fill="FFFFFF"/>
            <w:noWrap/>
            <w:hideMark/>
          </w:tcPr>
          <w:p w14:paraId="144DEAA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608</w:t>
            </w:r>
          </w:p>
        </w:tc>
      </w:tr>
      <w:tr w:rsidR="00153765" w:rsidRPr="005C5E7D" w14:paraId="5CFD84C2"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4BE81C0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2288F305"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7ADFC78D"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Maize-EJ</w:t>
            </w:r>
          </w:p>
        </w:tc>
        <w:tc>
          <w:tcPr>
            <w:tcW w:w="1394" w:type="dxa"/>
            <w:tcBorders>
              <w:top w:val="nil"/>
              <w:left w:val="nil"/>
              <w:bottom w:val="single" w:sz="4" w:space="0" w:color="auto"/>
              <w:right w:val="single" w:sz="4" w:space="0" w:color="auto"/>
            </w:tcBorders>
            <w:shd w:val="clear" w:color="000000" w:fill="FFFFFF"/>
            <w:noWrap/>
            <w:hideMark/>
          </w:tcPr>
          <w:p w14:paraId="75F76A06"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2FAB677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3,550</w:t>
            </w:r>
          </w:p>
        </w:tc>
        <w:tc>
          <w:tcPr>
            <w:tcW w:w="994" w:type="dxa"/>
            <w:tcBorders>
              <w:top w:val="nil"/>
              <w:left w:val="nil"/>
              <w:bottom w:val="single" w:sz="4" w:space="0" w:color="auto"/>
              <w:right w:val="single" w:sz="4" w:space="0" w:color="auto"/>
            </w:tcBorders>
            <w:shd w:val="clear" w:color="000000" w:fill="FFFFFF"/>
            <w:noWrap/>
            <w:hideMark/>
          </w:tcPr>
          <w:p w14:paraId="5DADCAE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2.52</w:t>
            </w:r>
          </w:p>
        </w:tc>
        <w:tc>
          <w:tcPr>
            <w:tcW w:w="886" w:type="dxa"/>
            <w:tcBorders>
              <w:top w:val="nil"/>
              <w:left w:val="nil"/>
              <w:bottom w:val="single" w:sz="4" w:space="0" w:color="auto"/>
              <w:right w:val="single" w:sz="4" w:space="0" w:color="auto"/>
            </w:tcBorders>
            <w:shd w:val="clear" w:color="000000" w:fill="FFFFFF"/>
            <w:noWrap/>
            <w:hideMark/>
          </w:tcPr>
          <w:p w14:paraId="6F4DC500"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50.00%</w:t>
            </w:r>
          </w:p>
        </w:tc>
        <w:tc>
          <w:tcPr>
            <w:tcW w:w="904" w:type="dxa"/>
            <w:tcBorders>
              <w:top w:val="nil"/>
              <w:left w:val="nil"/>
              <w:bottom w:val="single" w:sz="4" w:space="0" w:color="auto"/>
              <w:right w:val="single" w:sz="4" w:space="0" w:color="auto"/>
            </w:tcBorders>
            <w:shd w:val="clear" w:color="000000" w:fill="FFFFFF"/>
            <w:noWrap/>
            <w:hideMark/>
          </w:tcPr>
          <w:p w14:paraId="158B7CF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8,946</w:t>
            </w:r>
          </w:p>
        </w:tc>
        <w:tc>
          <w:tcPr>
            <w:tcW w:w="868" w:type="dxa"/>
            <w:tcBorders>
              <w:top w:val="nil"/>
              <w:left w:val="nil"/>
              <w:bottom w:val="single" w:sz="4" w:space="0" w:color="auto"/>
              <w:right w:val="single" w:sz="4" w:space="0" w:color="auto"/>
            </w:tcBorders>
            <w:shd w:val="clear" w:color="000000" w:fill="FFFFFF"/>
            <w:noWrap/>
            <w:hideMark/>
          </w:tcPr>
          <w:p w14:paraId="23462C8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4,473</w:t>
            </w:r>
          </w:p>
        </w:tc>
        <w:tc>
          <w:tcPr>
            <w:tcW w:w="860" w:type="dxa"/>
            <w:tcBorders>
              <w:top w:val="nil"/>
              <w:left w:val="nil"/>
              <w:bottom w:val="single" w:sz="4" w:space="0" w:color="auto"/>
              <w:right w:val="single" w:sz="4" w:space="0" w:color="auto"/>
            </w:tcBorders>
            <w:shd w:val="clear" w:color="000000" w:fill="FFFFFF"/>
            <w:noWrap/>
            <w:hideMark/>
          </w:tcPr>
          <w:p w14:paraId="5628241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4,473</w:t>
            </w:r>
          </w:p>
        </w:tc>
      </w:tr>
      <w:tr w:rsidR="00153765" w:rsidRPr="005C5E7D" w14:paraId="4E27D937"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04DAF0B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5E51D8C6"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04F60F88"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Mango-EJ</w:t>
            </w:r>
          </w:p>
        </w:tc>
        <w:tc>
          <w:tcPr>
            <w:tcW w:w="1394" w:type="dxa"/>
            <w:tcBorders>
              <w:top w:val="nil"/>
              <w:left w:val="nil"/>
              <w:bottom w:val="single" w:sz="4" w:space="0" w:color="auto"/>
              <w:right w:val="single" w:sz="4" w:space="0" w:color="auto"/>
            </w:tcBorders>
            <w:shd w:val="clear" w:color="000000" w:fill="FFFFFF"/>
            <w:noWrap/>
            <w:hideMark/>
          </w:tcPr>
          <w:p w14:paraId="6EBE8196"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1D7E45A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2,820</w:t>
            </w:r>
          </w:p>
        </w:tc>
        <w:tc>
          <w:tcPr>
            <w:tcW w:w="994" w:type="dxa"/>
            <w:tcBorders>
              <w:top w:val="nil"/>
              <w:left w:val="nil"/>
              <w:bottom w:val="single" w:sz="4" w:space="0" w:color="auto"/>
              <w:right w:val="single" w:sz="4" w:space="0" w:color="auto"/>
            </w:tcBorders>
            <w:shd w:val="clear" w:color="000000" w:fill="FFFFFF"/>
            <w:noWrap/>
            <w:hideMark/>
          </w:tcPr>
          <w:p w14:paraId="104258A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2.00</w:t>
            </w:r>
          </w:p>
        </w:tc>
        <w:tc>
          <w:tcPr>
            <w:tcW w:w="886" w:type="dxa"/>
            <w:tcBorders>
              <w:top w:val="nil"/>
              <w:left w:val="nil"/>
              <w:bottom w:val="single" w:sz="4" w:space="0" w:color="auto"/>
              <w:right w:val="single" w:sz="4" w:space="0" w:color="auto"/>
            </w:tcBorders>
            <w:shd w:val="clear" w:color="000000" w:fill="FFFFFF"/>
            <w:noWrap/>
            <w:hideMark/>
          </w:tcPr>
          <w:p w14:paraId="5C4FE1B9"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13.00%</w:t>
            </w:r>
          </w:p>
        </w:tc>
        <w:tc>
          <w:tcPr>
            <w:tcW w:w="904" w:type="dxa"/>
            <w:tcBorders>
              <w:top w:val="nil"/>
              <w:left w:val="nil"/>
              <w:bottom w:val="single" w:sz="4" w:space="0" w:color="auto"/>
              <w:right w:val="single" w:sz="4" w:space="0" w:color="auto"/>
            </w:tcBorders>
            <w:shd w:val="clear" w:color="000000" w:fill="FFFFFF"/>
            <w:noWrap/>
            <w:hideMark/>
          </w:tcPr>
          <w:p w14:paraId="7F9354F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5,640</w:t>
            </w:r>
          </w:p>
        </w:tc>
        <w:tc>
          <w:tcPr>
            <w:tcW w:w="868" w:type="dxa"/>
            <w:tcBorders>
              <w:top w:val="nil"/>
              <w:left w:val="nil"/>
              <w:bottom w:val="single" w:sz="4" w:space="0" w:color="auto"/>
              <w:right w:val="single" w:sz="4" w:space="0" w:color="auto"/>
            </w:tcBorders>
            <w:shd w:val="clear" w:color="000000" w:fill="FFFFFF"/>
            <w:noWrap/>
            <w:hideMark/>
          </w:tcPr>
          <w:p w14:paraId="5230657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733</w:t>
            </w:r>
          </w:p>
        </w:tc>
        <w:tc>
          <w:tcPr>
            <w:tcW w:w="860" w:type="dxa"/>
            <w:tcBorders>
              <w:top w:val="nil"/>
              <w:left w:val="nil"/>
              <w:bottom w:val="single" w:sz="4" w:space="0" w:color="auto"/>
              <w:right w:val="single" w:sz="4" w:space="0" w:color="auto"/>
            </w:tcBorders>
            <w:shd w:val="clear" w:color="000000" w:fill="FFFFFF"/>
            <w:noWrap/>
            <w:hideMark/>
          </w:tcPr>
          <w:p w14:paraId="25B28F15"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4,907</w:t>
            </w:r>
          </w:p>
        </w:tc>
      </w:tr>
      <w:tr w:rsidR="00153765" w:rsidRPr="005C5E7D" w14:paraId="6ADBFAC6"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69C502D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460B1FF0"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33D5239D"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Peanut-EJ</w:t>
            </w:r>
          </w:p>
        </w:tc>
        <w:tc>
          <w:tcPr>
            <w:tcW w:w="1394" w:type="dxa"/>
            <w:tcBorders>
              <w:top w:val="nil"/>
              <w:left w:val="nil"/>
              <w:bottom w:val="single" w:sz="4" w:space="0" w:color="auto"/>
              <w:right w:val="single" w:sz="4" w:space="0" w:color="auto"/>
            </w:tcBorders>
            <w:shd w:val="clear" w:color="000000" w:fill="FFFFFF"/>
            <w:noWrap/>
            <w:hideMark/>
          </w:tcPr>
          <w:p w14:paraId="12C40751"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05597AA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101</w:t>
            </w:r>
          </w:p>
        </w:tc>
        <w:tc>
          <w:tcPr>
            <w:tcW w:w="994" w:type="dxa"/>
            <w:tcBorders>
              <w:top w:val="nil"/>
              <w:left w:val="nil"/>
              <w:bottom w:val="single" w:sz="4" w:space="0" w:color="auto"/>
              <w:right w:val="single" w:sz="4" w:space="0" w:color="auto"/>
            </w:tcBorders>
            <w:shd w:val="clear" w:color="000000" w:fill="FFFFFF"/>
            <w:noWrap/>
            <w:hideMark/>
          </w:tcPr>
          <w:p w14:paraId="54C241E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6.00</w:t>
            </w:r>
          </w:p>
        </w:tc>
        <w:tc>
          <w:tcPr>
            <w:tcW w:w="886" w:type="dxa"/>
            <w:tcBorders>
              <w:top w:val="nil"/>
              <w:left w:val="nil"/>
              <w:bottom w:val="single" w:sz="4" w:space="0" w:color="auto"/>
              <w:right w:val="single" w:sz="4" w:space="0" w:color="auto"/>
            </w:tcBorders>
            <w:shd w:val="clear" w:color="000000" w:fill="FFFFFF"/>
            <w:noWrap/>
            <w:hideMark/>
          </w:tcPr>
          <w:p w14:paraId="3B67762A"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73.00%</w:t>
            </w:r>
          </w:p>
        </w:tc>
        <w:tc>
          <w:tcPr>
            <w:tcW w:w="904" w:type="dxa"/>
            <w:tcBorders>
              <w:top w:val="nil"/>
              <w:left w:val="nil"/>
              <w:bottom w:val="single" w:sz="4" w:space="0" w:color="auto"/>
              <w:right w:val="single" w:sz="4" w:space="0" w:color="auto"/>
            </w:tcBorders>
            <w:shd w:val="clear" w:color="000000" w:fill="FFFFFF"/>
            <w:noWrap/>
            <w:hideMark/>
          </w:tcPr>
          <w:p w14:paraId="0B2D000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606</w:t>
            </w:r>
          </w:p>
        </w:tc>
        <w:tc>
          <w:tcPr>
            <w:tcW w:w="868" w:type="dxa"/>
            <w:tcBorders>
              <w:top w:val="nil"/>
              <w:left w:val="nil"/>
              <w:bottom w:val="single" w:sz="4" w:space="0" w:color="auto"/>
              <w:right w:val="single" w:sz="4" w:space="0" w:color="auto"/>
            </w:tcBorders>
            <w:shd w:val="clear" w:color="000000" w:fill="FFFFFF"/>
            <w:noWrap/>
            <w:hideMark/>
          </w:tcPr>
          <w:p w14:paraId="5866CD0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442</w:t>
            </w:r>
          </w:p>
        </w:tc>
        <w:tc>
          <w:tcPr>
            <w:tcW w:w="860" w:type="dxa"/>
            <w:tcBorders>
              <w:top w:val="nil"/>
              <w:left w:val="nil"/>
              <w:bottom w:val="single" w:sz="4" w:space="0" w:color="auto"/>
              <w:right w:val="single" w:sz="4" w:space="0" w:color="auto"/>
            </w:tcBorders>
            <w:shd w:val="clear" w:color="000000" w:fill="FFFFFF"/>
            <w:noWrap/>
            <w:hideMark/>
          </w:tcPr>
          <w:p w14:paraId="7AD57AF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164</w:t>
            </w:r>
          </w:p>
        </w:tc>
      </w:tr>
      <w:tr w:rsidR="00153765" w:rsidRPr="005C5E7D" w14:paraId="5F1EA3D8"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1430670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1FEE57EF"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15B0291E"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Soybean-EJ</w:t>
            </w:r>
          </w:p>
        </w:tc>
        <w:tc>
          <w:tcPr>
            <w:tcW w:w="1394" w:type="dxa"/>
            <w:tcBorders>
              <w:top w:val="nil"/>
              <w:left w:val="nil"/>
              <w:bottom w:val="single" w:sz="4" w:space="0" w:color="auto"/>
              <w:right w:val="single" w:sz="4" w:space="0" w:color="auto"/>
            </w:tcBorders>
            <w:shd w:val="clear" w:color="000000" w:fill="FFFFFF"/>
            <w:noWrap/>
            <w:hideMark/>
          </w:tcPr>
          <w:p w14:paraId="22262DB4"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2DB4290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4,913</w:t>
            </w:r>
          </w:p>
        </w:tc>
        <w:tc>
          <w:tcPr>
            <w:tcW w:w="994" w:type="dxa"/>
            <w:tcBorders>
              <w:top w:val="nil"/>
              <w:left w:val="nil"/>
              <w:bottom w:val="single" w:sz="4" w:space="0" w:color="auto"/>
              <w:right w:val="single" w:sz="4" w:space="0" w:color="auto"/>
            </w:tcBorders>
            <w:shd w:val="clear" w:color="000000" w:fill="FFFFFF"/>
            <w:noWrap/>
            <w:hideMark/>
          </w:tcPr>
          <w:p w14:paraId="73960AA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3.50</w:t>
            </w:r>
          </w:p>
        </w:tc>
        <w:tc>
          <w:tcPr>
            <w:tcW w:w="886" w:type="dxa"/>
            <w:tcBorders>
              <w:top w:val="nil"/>
              <w:left w:val="nil"/>
              <w:bottom w:val="single" w:sz="4" w:space="0" w:color="auto"/>
              <w:right w:val="single" w:sz="4" w:space="0" w:color="auto"/>
            </w:tcBorders>
            <w:shd w:val="clear" w:color="000000" w:fill="FFFFFF"/>
            <w:noWrap/>
            <w:hideMark/>
          </w:tcPr>
          <w:p w14:paraId="5E240CE6"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40.85%</w:t>
            </w:r>
          </w:p>
        </w:tc>
        <w:tc>
          <w:tcPr>
            <w:tcW w:w="904" w:type="dxa"/>
            <w:tcBorders>
              <w:top w:val="nil"/>
              <w:left w:val="nil"/>
              <w:bottom w:val="single" w:sz="4" w:space="0" w:color="auto"/>
              <w:right w:val="single" w:sz="4" w:space="0" w:color="auto"/>
            </w:tcBorders>
            <w:shd w:val="clear" w:color="000000" w:fill="FFFFFF"/>
            <w:noWrap/>
            <w:hideMark/>
          </w:tcPr>
          <w:p w14:paraId="280FB82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16,763</w:t>
            </w:r>
          </w:p>
        </w:tc>
        <w:tc>
          <w:tcPr>
            <w:tcW w:w="868" w:type="dxa"/>
            <w:tcBorders>
              <w:top w:val="nil"/>
              <w:left w:val="nil"/>
              <w:bottom w:val="single" w:sz="4" w:space="0" w:color="auto"/>
              <w:right w:val="single" w:sz="4" w:space="0" w:color="auto"/>
            </w:tcBorders>
            <w:shd w:val="clear" w:color="000000" w:fill="FFFFFF"/>
            <w:noWrap/>
            <w:hideMark/>
          </w:tcPr>
          <w:p w14:paraId="7E19BAB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6,870</w:t>
            </w:r>
          </w:p>
        </w:tc>
        <w:tc>
          <w:tcPr>
            <w:tcW w:w="860" w:type="dxa"/>
            <w:tcBorders>
              <w:top w:val="nil"/>
              <w:left w:val="nil"/>
              <w:bottom w:val="single" w:sz="4" w:space="0" w:color="auto"/>
              <w:right w:val="single" w:sz="4" w:space="0" w:color="auto"/>
            </w:tcBorders>
            <w:shd w:val="clear" w:color="000000" w:fill="FFFFFF"/>
            <w:noWrap/>
            <w:hideMark/>
          </w:tcPr>
          <w:p w14:paraId="3C1DD26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9,893</w:t>
            </w:r>
          </w:p>
        </w:tc>
      </w:tr>
      <w:tr w:rsidR="00153765" w:rsidRPr="005C5E7D" w14:paraId="7C0DFA1C"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3580862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1EA7B3EE"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22AE6D8E"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Cashew-NTB</w:t>
            </w:r>
          </w:p>
        </w:tc>
        <w:tc>
          <w:tcPr>
            <w:tcW w:w="1394" w:type="dxa"/>
            <w:tcBorders>
              <w:top w:val="nil"/>
              <w:left w:val="nil"/>
              <w:bottom w:val="single" w:sz="4" w:space="0" w:color="auto"/>
              <w:right w:val="single" w:sz="4" w:space="0" w:color="auto"/>
            </w:tcBorders>
            <w:shd w:val="clear" w:color="000000" w:fill="FFFFFF"/>
            <w:noWrap/>
            <w:hideMark/>
          </w:tcPr>
          <w:p w14:paraId="18ADADFD"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59F88EB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1,387</w:t>
            </w:r>
          </w:p>
        </w:tc>
        <w:tc>
          <w:tcPr>
            <w:tcW w:w="994" w:type="dxa"/>
            <w:tcBorders>
              <w:top w:val="nil"/>
              <w:left w:val="nil"/>
              <w:bottom w:val="single" w:sz="4" w:space="0" w:color="auto"/>
              <w:right w:val="single" w:sz="4" w:space="0" w:color="auto"/>
            </w:tcBorders>
            <w:shd w:val="clear" w:color="000000" w:fill="FFFFFF"/>
            <w:noWrap/>
            <w:hideMark/>
          </w:tcPr>
          <w:p w14:paraId="2F88BB9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3.00</w:t>
            </w:r>
          </w:p>
        </w:tc>
        <w:tc>
          <w:tcPr>
            <w:tcW w:w="886" w:type="dxa"/>
            <w:tcBorders>
              <w:top w:val="nil"/>
              <w:left w:val="nil"/>
              <w:bottom w:val="single" w:sz="4" w:space="0" w:color="auto"/>
              <w:right w:val="single" w:sz="4" w:space="0" w:color="auto"/>
            </w:tcBorders>
            <w:shd w:val="clear" w:color="000000" w:fill="FFFFFF"/>
            <w:noWrap/>
            <w:hideMark/>
          </w:tcPr>
          <w:p w14:paraId="2B920612"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48.00%</w:t>
            </w:r>
          </w:p>
        </w:tc>
        <w:tc>
          <w:tcPr>
            <w:tcW w:w="904" w:type="dxa"/>
            <w:tcBorders>
              <w:top w:val="nil"/>
              <w:left w:val="nil"/>
              <w:bottom w:val="single" w:sz="4" w:space="0" w:color="auto"/>
              <w:right w:val="single" w:sz="4" w:space="0" w:color="auto"/>
            </w:tcBorders>
            <w:shd w:val="clear" w:color="000000" w:fill="FFFFFF"/>
            <w:noWrap/>
            <w:hideMark/>
          </w:tcPr>
          <w:p w14:paraId="1BFFB56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4,161</w:t>
            </w:r>
          </w:p>
        </w:tc>
        <w:tc>
          <w:tcPr>
            <w:tcW w:w="868" w:type="dxa"/>
            <w:tcBorders>
              <w:top w:val="nil"/>
              <w:left w:val="nil"/>
              <w:bottom w:val="single" w:sz="4" w:space="0" w:color="auto"/>
              <w:right w:val="single" w:sz="4" w:space="0" w:color="auto"/>
            </w:tcBorders>
            <w:shd w:val="clear" w:color="000000" w:fill="FFFFFF"/>
            <w:noWrap/>
            <w:hideMark/>
          </w:tcPr>
          <w:p w14:paraId="3BE0357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1,997</w:t>
            </w:r>
          </w:p>
        </w:tc>
        <w:tc>
          <w:tcPr>
            <w:tcW w:w="860" w:type="dxa"/>
            <w:tcBorders>
              <w:top w:val="nil"/>
              <w:left w:val="nil"/>
              <w:bottom w:val="single" w:sz="4" w:space="0" w:color="auto"/>
              <w:right w:val="single" w:sz="4" w:space="0" w:color="auto"/>
            </w:tcBorders>
            <w:shd w:val="clear" w:color="000000" w:fill="FFFFFF"/>
            <w:noWrap/>
            <w:hideMark/>
          </w:tcPr>
          <w:p w14:paraId="236F3341"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2,164</w:t>
            </w:r>
          </w:p>
        </w:tc>
      </w:tr>
      <w:tr w:rsidR="00153765" w:rsidRPr="005C5E7D" w14:paraId="30A013CB"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3F40F88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3A8B7D0E"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14496166"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Mango-NTB</w:t>
            </w:r>
          </w:p>
        </w:tc>
        <w:tc>
          <w:tcPr>
            <w:tcW w:w="1394" w:type="dxa"/>
            <w:tcBorders>
              <w:top w:val="nil"/>
              <w:left w:val="nil"/>
              <w:bottom w:val="single" w:sz="4" w:space="0" w:color="auto"/>
              <w:right w:val="single" w:sz="4" w:space="0" w:color="auto"/>
            </w:tcBorders>
            <w:shd w:val="clear" w:color="000000" w:fill="FFFFFF"/>
            <w:noWrap/>
            <w:hideMark/>
          </w:tcPr>
          <w:p w14:paraId="5E2A3B54"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1532E4F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661</w:t>
            </w:r>
          </w:p>
        </w:tc>
        <w:tc>
          <w:tcPr>
            <w:tcW w:w="994" w:type="dxa"/>
            <w:tcBorders>
              <w:top w:val="nil"/>
              <w:left w:val="nil"/>
              <w:bottom w:val="single" w:sz="4" w:space="0" w:color="auto"/>
              <w:right w:val="single" w:sz="4" w:space="0" w:color="auto"/>
            </w:tcBorders>
            <w:shd w:val="clear" w:color="000000" w:fill="FFFFFF"/>
            <w:noWrap/>
            <w:hideMark/>
          </w:tcPr>
          <w:p w14:paraId="5C870E0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2.00</w:t>
            </w:r>
          </w:p>
        </w:tc>
        <w:tc>
          <w:tcPr>
            <w:tcW w:w="886" w:type="dxa"/>
            <w:tcBorders>
              <w:top w:val="nil"/>
              <w:left w:val="nil"/>
              <w:bottom w:val="single" w:sz="4" w:space="0" w:color="auto"/>
              <w:right w:val="single" w:sz="4" w:space="0" w:color="auto"/>
            </w:tcBorders>
            <w:shd w:val="clear" w:color="000000" w:fill="FFFFFF"/>
            <w:noWrap/>
            <w:hideMark/>
          </w:tcPr>
          <w:p w14:paraId="4432201F"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13.00%</w:t>
            </w:r>
          </w:p>
        </w:tc>
        <w:tc>
          <w:tcPr>
            <w:tcW w:w="904" w:type="dxa"/>
            <w:tcBorders>
              <w:top w:val="nil"/>
              <w:left w:val="nil"/>
              <w:bottom w:val="single" w:sz="4" w:space="0" w:color="auto"/>
              <w:right w:val="single" w:sz="4" w:space="0" w:color="auto"/>
            </w:tcBorders>
            <w:shd w:val="clear" w:color="000000" w:fill="FFFFFF"/>
            <w:noWrap/>
            <w:hideMark/>
          </w:tcPr>
          <w:p w14:paraId="52072F9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1,322</w:t>
            </w:r>
          </w:p>
        </w:tc>
        <w:tc>
          <w:tcPr>
            <w:tcW w:w="868" w:type="dxa"/>
            <w:tcBorders>
              <w:top w:val="nil"/>
              <w:left w:val="nil"/>
              <w:bottom w:val="single" w:sz="4" w:space="0" w:color="auto"/>
              <w:right w:val="single" w:sz="4" w:space="0" w:color="auto"/>
            </w:tcBorders>
            <w:shd w:val="clear" w:color="000000" w:fill="FFFFFF"/>
            <w:noWrap/>
            <w:hideMark/>
          </w:tcPr>
          <w:p w14:paraId="78B95DA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172</w:t>
            </w:r>
          </w:p>
        </w:tc>
        <w:tc>
          <w:tcPr>
            <w:tcW w:w="860" w:type="dxa"/>
            <w:tcBorders>
              <w:top w:val="nil"/>
              <w:left w:val="nil"/>
              <w:bottom w:val="single" w:sz="4" w:space="0" w:color="auto"/>
              <w:right w:val="single" w:sz="4" w:space="0" w:color="auto"/>
            </w:tcBorders>
            <w:shd w:val="clear" w:color="000000" w:fill="FFFFFF"/>
            <w:noWrap/>
            <w:hideMark/>
          </w:tcPr>
          <w:p w14:paraId="7A4B2A3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1,150</w:t>
            </w:r>
          </w:p>
        </w:tc>
      </w:tr>
      <w:tr w:rsidR="00153765" w:rsidRPr="005C5E7D" w14:paraId="53023017"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08241E0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6CA1A140"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0FB40DDD"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Shallots-NTB</w:t>
            </w:r>
          </w:p>
        </w:tc>
        <w:tc>
          <w:tcPr>
            <w:tcW w:w="1394" w:type="dxa"/>
            <w:tcBorders>
              <w:top w:val="nil"/>
              <w:left w:val="nil"/>
              <w:bottom w:val="single" w:sz="4" w:space="0" w:color="auto"/>
              <w:right w:val="single" w:sz="4" w:space="0" w:color="auto"/>
            </w:tcBorders>
            <w:shd w:val="clear" w:color="000000" w:fill="FFFFFF"/>
            <w:noWrap/>
            <w:hideMark/>
          </w:tcPr>
          <w:p w14:paraId="09848346"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3BACB97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248</w:t>
            </w:r>
          </w:p>
        </w:tc>
        <w:tc>
          <w:tcPr>
            <w:tcW w:w="994" w:type="dxa"/>
            <w:tcBorders>
              <w:top w:val="nil"/>
              <w:left w:val="nil"/>
              <w:bottom w:val="single" w:sz="4" w:space="0" w:color="auto"/>
              <w:right w:val="single" w:sz="4" w:space="0" w:color="auto"/>
            </w:tcBorders>
            <w:shd w:val="clear" w:color="000000" w:fill="FFFFFF"/>
            <w:noWrap/>
            <w:hideMark/>
          </w:tcPr>
          <w:p w14:paraId="6C5319E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1.80</w:t>
            </w:r>
          </w:p>
        </w:tc>
        <w:tc>
          <w:tcPr>
            <w:tcW w:w="886" w:type="dxa"/>
            <w:tcBorders>
              <w:top w:val="nil"/>
              <w:left w:val="nil"/>
              <w:bottom w:val="single" w:sz="4" w:space="0" w:color="auto"/>
              <w:right w:val="single" w:sz="4" w:space="0" w:color="auto"/>
            </w:tcBorders>
            <w:shd w:val="clear" w:color="000000" w:fill="FFFFFF"/>
            <w:noWrap/>
            <w:hideMark/>
          </w:tcPr>
          <w:p w14:paraId="4B15F522"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41.00%</w:t>
            </w:r>
          </w:p>
        </w:tc>
        <w:tc>
          <w:tcPr>
            <w:tcW w:w="904" w:type="dxa"/>
            <w:tcBorders>
              <w:top w:val="nil"/>
              <w:left w:val="nil"/>
              <w:bottom w:val="single" w:sz="4" w:space="0" w:color="auto"/>
              <w:right w:val="single" w:sz="4" w:space="0" w:color="auto"/>
            </w:tcBorders>
            <w:shd w:val="clear" w:color="000000" w:fill="FFFFFF"/>
            <w:noWrap/>
            <w:hideMark/>
          </w:tcPr>
          <w:p w14:paraId="2469EC0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446</w:t>
            </w:r>
          </w:p>
        </w:tc>
        <w:tc>
          <w:tcPr>
            <w:tcW w:w="868" w:type="dxa"/>
            <w:tcBorders>
              <w:top w:val="nil"/>
              <w:left w:val="nil"/>
              <w:bottom w:val="single" w:sz="4" w:space="0" w:color="auto"/>
              <w:right w:val="single" w:sz="4" w:space="0" w:color="auto"/>
            </w:tcBorders>
            <w:shd w:val="clear" w:color="000000" w:fill="FFFFFF"/>
            <w:noWrap/>
            <w:hideMark/>
          </w:tcPr>
          <w:p w14:paraId="0E8F7CE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183</w:t>
            </w:r>
          </w:p>
        </w:tc>
        <w:tc>
          <w:tcPr>
            <w:tcW w:w="860" w:type="dxa"/>
            <w:tcBorders>
              <w:top w:val="nil"/>
              <w:left w:val="nil"/>
              <w:bottom w:val="single" w:sz="4" w:space="0" w:color="auto"/>
              <w:right w:val="single" w:sz="4" w:space="0" w:color="auto"/>
            </w:tcBorders>
            <w:shd w:val="clear" w:color="000000" w:fill="FFFFFF"/>
            <w:noWrap/>
            <w:hideMark/>
          </w:tcPr>
          <w:p w14:paraId="31B6F5D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263</w:t>
            </w:r>
          </w:p>
        </w:tc>
      </w:tr>
      <w:tr w:rsidR="00153765" w:rsidRPr="005C5E7D" w14:paraId="0501E3AC"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15FBCD4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77FEFE59"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0C708935"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Coffee-NTT</w:t>
            </w:r>
          </w:p>
        </w:tc>
        <w:tc>
          <w:tcPr>
            <w:tcW w:w="1394" w:type="dxa"/>
            <w:tcBorders>
              <w:top w:val="nil"/>
              <w:left w:val="nil"/>
              <w:bottom w:val="single" w:sz="4" w:space="0" w:color="auto"/>
              <w:right w:val="single" w:sz="4" w:space="0" w:color="auto"/>
            </w:tcBorders>
            <w:shd w:val="clear" w:color="000000" w:fill="FFFFFF"/>
            <w:noWrap/>
            <w:hideMark/>
          </w:tcPr>
          <w:p w14:paraId="544C66E2"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1213C18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4,561</w:t>
            </w:r>
          </w:p>
        </w:tc>
        <w:tc>
          <w:tcPr>
            <w:tcW w:w="994" w:type="dxa"/>
            <w:tcBorders>
              <w:top w:val="nil"/>
              <w:left w:val="nil"/>
              <w:bottom w:val="single" w:sz="4" w:space="0" w:color="auto"/>
              <w:right w:val="single" w:sz="4" w:space="0" w:color="auto"/>
            </w:tcBorders>
            <w:shd w:val="clear" w:color="000000" w:fill="FFFFFF"/>
            <w:noWrap/>
            <w:hideMark/>
          </w:tcPr>
          <w:p w14:paraId="1AF3E7D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3.00</w:t>
            </w:r>
          </w:p>
        </w:tc>
        <w:tc>
          <w:tcPr>
            <w:tcW w:w="886" w:type="dxa"/>
            <w:tcBorders>
              <w:top w:val="nil"/>
              <w:left w:val="nil"/>
              <w:bottom w:val="single" w:sz="4" w:space="0" w:color="auto"/>
              <w:right w:val="single" w:sz="4" w:space="0" w:color="auto"/>
            </w:tcBorders>
            <w:shd w:val="clear" w:color="000000" w:fill="FFFFFF"/>
            <w:noWrap/>
            <w:hideMark/>
          </w:tcPr>
          <w:p w14:paraId="1A127C8D"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51.20%</w:t>
            </w:r>
          </w:p>
        </w:tc>
        <w:tc>
          <w:tcPr>
            <w:tcW w:w="904" w:type="dxa"/>
            <w:tcBorders>
              <w:top w:val="nil"/>
              <w:left w:val="nil"/>
              <w:bottom w:val="single" w:sz="4" w:space="0" w:color="auto"/>
              <w:right w:val="single" w:sz="4" w:space="0" w:color="auto"/>
            </w:tcBorders>
            <w:shd w:val="clear" w:color="000000" w:fill="FFFFFF"/>
            <w:noWrap/>
            <w:hideMark/>
          </w:tcPr>
          <w:p w14:paraId="5240E55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13,683</w:t>
            </w:r>
          </w:p>
        </w:tc>
        <w:tc>
          <w:tcPr>
            <w:tcW w:w="868" w:type="dxa"/>
            <w:tcBorders>
              <w:top w:val="nil"/>
              <w:left w:val="nil"/>
              <w:bottom w:val="single" w:sz="4" w:space="0" w:color="auto"/>
              <w:right w:val="single" w:sz="4" w:space="0" w:color="auto"/>
            </w:tcBorders>
            <w:shd w:val="clear" w:color="000000" w:fill="FFFFFF"/>
            <w:noWrap/>
            <w:hideMark/>
          </w:tcPr>
          <w:p w14:paraId="1EAB3CA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7,042</w:t>
            </w:r>
          </w:p>
        </w:tc>
        <w:tc>
          <w:tcPr>
            <w:tcW w:w="860" w:type="dxa"/>
            <w:tcBorders>
              <w:top w:val="nil"/>
              <w:left w:val="nil"/>
              <w:bottom w:val="single" w:sz="4" w:space="0" w:color="auto"/>
              <w:right w:val="single" w:sz="4" w:space="0" w:color="auto"/>
            </w:tcBorders>
            <w:shd w:val="clear" w:color="000000" w:fill="FFFFFF"/>
            <w:noWrap/>
            <w:hideMark/>
          </w:tcPr>
          <w:p w14:paraId="2A43C5A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6,641</w:t>
            </w:r>
          </w:p>
        </w:tc>
      </w:tr>
      <w:tr w:rsidR="00153765" w:rsidRPr="005C5E7D" w14:paraId="462A338D"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3487EEB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5DDDA2EB"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1ABFF34E"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Maize-NTT</w:t>
            </w:r>
          </w:p>
        </w:tc>
        <w:tc>
          <w:tcPr>
            <w:tcW w:w="1394" w:type="dxa"/>
            <w:tcBorders>
              <w:top w:val="nil"/>
              <w:left w:val="nil"/>
              <w:bottom w:val="single" w:sz="4" w:space="0" w:color="auto"/>
              <w:right w:val="single" w:sz="4" w:space="0" w:color="auto"/>
            </w:tcBorders>
            <w:shd w:val="clear" w:color="000000" w:fill="FFFFFF"/>
            <w:noWrap/>
            <w:hideMark/>
          </w:tcPr>
          <w:p w14:paraId="50E5BA52"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1829C47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3,869</w:t>
            </w:r>
          </w:p>
        </w:tc>
        <w:tc>
          <w:tcPr>
            <w:tcW w:w="994" w:type="dxa"/>
            <w:tcBorders>
              <w:top w:val="nil"/>
              <w:left w:val="nil"/>
              <w:bottom w:val="single" w:sz="4" w:space="0" w:color="auto"/>
              <w:right w:val="single" w:sz="4" w:space="0" w:color="auto"/>
            </w:tcBorders>
            <w:shd w:val="clear" w:color="000000" w:fill="FFFFFF"/>
            <w:noWrap/>
            <w:hideMark/>
          </w:tcPr>
          <w:p w14:paraId="1562D98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2.68</w:t>
            </w:r>
          </w:p>
        </w:tc>
        <w:tc>
          <w:tcPr>
            <w:tcW w:w="886" w:type="dxa"/>
            <w:tcBorders>
              <w:top w:val="nil"/>
              <w:left w:val="nil"/>
              <w:bottom w:val="single" w:sz="4" w:space="0" w:color="auto"/>
              <w:right w:val="single" w:sz="4" w:space="0" w:color="auto"/>
            </w:tcBorders>
            <w:shd w:val="clear" w:color="000000" w:fill="FFFFFF"/>
            <w:noWrap/>
            <w:hideMark/>
          </w:tcPr>
          <w:p w14:paraId="0C40EBA4"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51.50%</w:t>
            </w:r>
          </w:p>
        </w:tc>
        <w:tc>
          <w:tcPr>
            <w:tcW w:w="904" w:type="dxa"/>
            <w:tcBorders>
              <w:top w:val="nil"/>
              <w:left w:val="nil"/>
              <w:bottom w:val="single" w:sz="4" w:space="0" w:color="auto"/>
              <w:right w:val="single" w:sz="4" w:space="0" w:color="auto"/>
            </w:tcBorders>
            <w:shd w:val="clear" w:color="000000" w:fill="FFFFFF"/>
            <w:noWrap/>
            <w:hideMark/>
          </w:tcPr>
          <w:p w14:paraId="319C97E5"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10,151</w:t>
            </w:r>
          </w:p>
        </w:tc>
        <w:tc>
          <w:tcPr>
            <w:tcW w:w="868" w:type="dxa"/>
            <w:tcBorders>
              <w:top w:val="nil"/>
              <w:left w:val="nil"/>
              <w:bottom w:val="single" w:sz="4" w:space="0" w:color="auto"/>
              <w:right w:val="single" w:sz="4" w:space="0" w:color="auto"/>
            </w:tcBorders>
            <w:shd w:val="clear" w:color="000000" w:fill="FFFFFF"/>
            <w:noWrap/>
            <w:hideMark/>
          </w:tcPr>
          <w:p w14:paraId="5F7BF13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5,263</w:t>
            </w:r>
          </w:p>
        </w:tc>
        <w:tc>
          <w:tcPr>
            <w:tcW w:w="860" w:type="dxa"/>
            <w:tcBorders>
              <w:top w:val="nil"/>
              <w:left w:val="nil"/>
              <w:bottom w:val="single" w:sz="4" w:space="0" w:color="auto"/>
              <w:right w:val="single" w:sz="4" w:space="0" w:color="auto"/>
            </w:tcBorders>
            <w:shd w:val="clear" w:color="000000" w:fill="FFFFFF"/>
            <w:noWrap/>
            <w:hideMark/>
          </w:tcPr>
          <w:p w14:paraId="30E1168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4,888</w:t>
            </w:r>
          </w:p>
        </w:tc>
      </w:tr>
      <w:tr w:rsidR="00153765" w:rsidRPr="005C5E7D" w14:paraId="784D7215"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5C08816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4D5892A6"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59FEC26B"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Pigs-NTT</w:t>
            </w:r>
          </w:p>
        </w:tc>
        <w:tc>
          <w:tcPr>
            <w:tcW w:w="1394" w:type="dxa"/>
            <w:tcBorders>
              <w:top w:val="nil"/>
              <w:left w:val="nil"/>
              <w:bottom w:val="single" w:sz="4" w:space="0" w:color="auto"/>
              <w:right w:val="single" w:sz="4" w:space="0" w:color="auto"/>
            </w:tcBorders>
            <w:shd w:val="clear" w:color="000000" w:fill="FFFFFF"/>
            <w:noWrap/>
            <w:hideMark/>
          </w:tcPr>
          <w:p w14:paraId="1D757417"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3DF35B71"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6,472</w:t>
            </w:r>
          </w:p>
        </w:tc>
        <w:tc>
          <w:tcPr>
            <w:tcW w:w="994" w:type="dxa"/>
            <w:tcBorders>
              <w:top w:val="nil"/>
              <w:left w:val="nil"/>
              <w:bottom w:val="single" w:sz="4" w:space="0" w:color="auto"/>
              <w:right w:val="single" w:sz="4" w:space="0" w:color="auto"/>
            </w:tcBorders>
            <w:shd w:val="clear" w:color="000000" w:fill="FFFFFF"/>
            <w:noWrap/>
            <w:hideMark/>
          </w:tcPr>
          <w:p w14:paraId="3C07C3A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3.04</w:t>
            </w:r>
          </w:p>
        </w:tc>
        <w:tc>
          <w:tcPr>
            <w:tcW w:w="886" w:type="dxa"/>
            <w:tcBorders>
              <w:top w:val="nil"/>
              <w:left w:val="nil"/>
              <w:bottom w:val="single" w:sz="4" w:space="0" w:color="auto"/>
              <w:right w:val="single" w:sz="4" w:space="0" w:color="auto"/>
            </w:tcBorders>
            <w:shd w:val="clear" w:color="000000" w:fill="FFFFFF"/>
            <w:noWrap/>
            <w:hideMark/>
          </w:tcPr>
          <w:p w14:paraId="10E9FA6C"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52.83%</w:t>
            </w:r>
          </w:p>
        </w:tc>
        <w:tc>
          <w:tcPr>
            <w:tcW w:w="904" w:type="dxa"/>
            <w:tcBorders>
              <w:top w:val="nil"/>
              <w:left w:val="nil"/>
              <w:bottom w:val="single" w:sz="4" w:space="0" w:color="auto"/>
              <w:right w:val="single" w:sz="4" w:space="0" w:color="auto"/>
            </w:tcBorders>
            <w:shd w:val="clear" w:color="000000" w:fill="FFFFFF"/>
            <w:noWrap/>
            <w:hideMark/>
          </w:tcPr>
          <w:p w14:paraId="7B38B46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19,467</w:t>
            </w:r>
          </w:p>
        </w:tc>
        <w:tc>
          <w:tcPr>
            <w:tcW w:w="868" w:type="dxa"/>
            <w:tcBorders>
              <w:top w:val="nil"/>
              <w:left w:val="nil"/>
              <w:bottom w:val="single" w:sz="4" w:space="0" w:color="auto"/>
              <w:right w:val="single" w:sz="4" w:space="0" w:color="auto"/>
            </w:tcBorders>
            <w:shd w:val="clear" w:color="000000" w:fill="FFFFFF"/>
            <w:noWrap/>
            <w:hideMark/>
          </w:tcPr>
          <w:p w14:paraId="496DFC4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10,309</w:t>
            </w:r>
          </w:p>
        </w:tc>
        <w:tc>
          <w:tcPr>
            <w:tcW w:w="860" w:type="dxa"/>
            <w:tcBorders>
              <w:top w:val="nil"/>
              <w:left w:val="nil"/>
              <w:bottom w:val="single" w:sz="4" w:space="0" w:color="auto"/>
              <w:right w:val="single" w:sz="4" w:space="0" w:color="auto"/>
            </w:tcBorders>
            <w:shd w:val="clear" w:color="000000" w:fill="FFFFFF"/>
            <w:noWrap/>
            <w:hideMark/>
          </w:tcPr>
          <w:p w14:paraId="1B75265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9,158</w:t>
            </w:r>
          </w:p>
        </w:tc>
      </w:tr>
      <w:tr w:rsidR="00153765" w:rsidRPr="005C5E7D" w14:paraId="4D404FD6"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4E1E879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04447E5B"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52B01C02"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Peanut-NTT</w:t>
            </w:r>
          </w:p>
        </w:tc>
        <w:tc>
          <w:tcPr>
            <w:tcW w:w="1394" w:type="dxa"/>
            <w:tcBorders>
              <w:top w:val="nil"/>
              <w:left w:val="nil"/>
              <w:bottom w:val="single" w:sz="4" w:space="0" w:color="auto"/>
              <w:right w:val="single" w:sz="4" w:space="0" w:color="auto"/>
            </w:tcBorders>
            <w:shd w:val="clear" w:color="000000" w:fill="FFFFFF"/>
            <w:noWrap/>
            <w:hideMark/>
          </w:tcPr>
          <w:p w14:paraId="492F6659"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3A763435"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101</w:t>
            </w:r>
          </w:p>
        </w:tc>
        <w:tc>
          <w:tcPr>
            <w:tcW w:w="994" w:type="dxa"/>
            <w:tcBorders>
              <w:top w:val="nil"/>
              <w:left w:val="nil"/>
              <w:bottom w:val="single" w:sz="4" w:space="0" w:color="auto"/>
              <w:right w:val="single" w:sz="4" w:space="0" w:color="auto"/>
            </w:tcBorders>
            <w:shd w:val="clear" w:color="000000" w:fill="FFFFFF"/>
            <w:noWrap/>
            <w:hideMark/>
          </w:tcPr>
          <w:p w14:paraId="63BDA0D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2.40</w:t>
            </w:r>
          </w:p>
        </w:tc>
        <w:tc>
          <w:tcPr>
            <w:tcW w:w="886" w:type="dxa"/>
            <w:tcBorders>
              <w:top w:val="nil"/>
              <w:left w:val="nil"/>
              <w:bottom w:val="single" w:sz="4" w:space="0" w:color="auto"/>
              <w:right w:val="single" w:sz="4" w:space="0" w:color="auto"/>
            </w:tcBorders>
            <w:shd w:val="clear" w:color="000000" w:fill="FFFFFF"/>
            <w:noWrap/>
            <w:hideMark/>
          </w:tcPr>
          <w:p w14:paraId="7CD0D5F6"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51.00%</w:t>
            </w:r>
          </w:p>
        </w:tc>
        <w:tc>
          <w:tcPr>
            <w:tcW w:w="904" w:type="dxa"/>
            <w:tcBorders>
              <w:top w:val="nil"/>
              <w:left w:val="nil"/>
              <w:bottom w:val="single" w:sz="4" w:space="0" w:color="auto"/>
              <w:right w:val="single" w:sz="4" w:space="0" w:color="auto"/>
            </w:tcBorders>
            <w:shd w:val="clear" w:color="000000" w:fill="FFFFFF"/>
            <w:noWrap/>
            <w:hideMark/>
          </w:tcPr>
          <w:p w14:paraId="72AD277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242</w:t>
            </w:r>
          </w:p>
        </w:tc>
        <w:tc>
          <w:tcPr>
            <w:tcW w:w="868" w:type="dxa"/>
            <w:tcBorders>
              <w:top w:val="nil"/>
              <w:left w:val="nil"/>
              <w:bottom w:val="single" w:sz="4" w:space="0" w:color="auto"/>
              <w:right w:val="single" w:sz="4" w:space="0" w:color="auto"/>
            </w:tcBorders>
            <w:shd w:val="clear" w:color="000000" w:fill="FFFFFF"/>
            <w:noWrap/>
            <w:hideMark/>
          </w:tcPr>
          <w:p w14:paraId="77D0E09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123</w:t>
            </w:r>
          </w:p>
        </w:tc>
        <w:tc>
          <w:tcPr>
            <w:tcW w:w="860" w:type="dxa"/>
            <w:tcBorders>
              <w:top w:val="nil"/>
              <w:left w:val="nil"/>
              <w:bottom w:val="single" w:sz="4" w:space="0" w:color="auto"/>
              <w:right w:val="single" w:sz="4" w:space="0" w:color="auto"/>
            </w:tcBorders>
            <w:shd w:val="clear" w:color="000000" w:fill="FFFFFF"/>
            <w:noWrap/>
            <w:hideMark/>
          </w:tcPr>
          <w:p w14:paraId="2345F121"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119</w:t>
            </w:r>
          </w:p>
        </w:tc>
      </w:tr>
      <w:tr w:rsidR="00153765" w:rsidRPr="005C5E7D" w14:paraId="1E63C7BD"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37439E35"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38192C73"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1124" w:type="dxa"/>
            <w:tcBorders>
              <w:top w:val="nil"/>
              <w:left w:val="nil"/>
              <w:bottom w:val="single" w:sz="4" w:space="0" w:color="auto"/>
              <w:right w:val="single" w:sz="4" w:space="0" w:color="auto"/>
            </w:tcBorders>
            <w:shd w:val="clear" w:color="000000" w:fill="FFFFFF"/>
            <w:noWrap/>
            <w:hideMark/>
          </w:tcPr>
          <w:p w14:paraId="38CAFF69"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Seaweed-NTT</w:t>
            </w:r>
          </w:p>
        </w:tc>
        <w:tc>
          <w:tcPr>
            <w:tcW w:w="1394" w:type="dxa"/>
            <w:tcBorders>
              <w:top w:val="nil"/>
              <w:left w:val="nil"/>
              <w:bottom w:val="single" w:sz="4" w:space="0" w:color="auto"/>
              <w:right w:val="single" w:sz="4" w:space="0" w:color="auto"/>
            </w:tcBorders>
            <w:shd w:val="clear" w:color="000000" w:fill="FFFFFF"/>
            <w:noWrap/>
            <w:hideMark/>
          </w:tcPr>
          <w:p w14:paraId="5EB52B7F"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6752847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630</w:t>
            </w:r>
          </w:p>
        </w:tc>
        <w:tc>
          <w:tcPr>
            <w:tcW w:w="994" w:type="dxa"/>
            <w:tcBorders>
              <w:top w:val="nil"/>
              <w:left w:val="nil"/>
              <w:bottom w:val="single" w:sz="4" w:space="0" w:color="auto"/>
              <w:right w:val="single" w:sz="4" w:space="0" w:color="auto"/>
            </w:tcBorders>
            <w:shd w:val="clear" w:color="000000" w:fill="FFFFFF"/>
            <w:noWrap/>
            <w:hideMark/>
          </w:tcPr>
          <w:p w14:paraId="63B1E26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2.00</w:t>
            </w:r>
          </w:p>
        </w:tc>
        <w:tc>
          <w:tcPr>
            <w:tcW w:w="886" w:type="dxa"/>
            <w:tcBorders>
              <w:top w:val="nil"/>
              <w:left w:val="nil"/>
              <w:bottom w:val="single" w:sz="4" w:space="0" w:color="auto"/>
              <w:right w:val="single" w:sz="4" w:space="0" w:color="auto"/>
            </w:tcBorders>
            <w:shd w:val="clear" w:color="000000" w:fill="FFFFFF"/>
            <w:noWrap/>
            <w:hideMark/>
          </w:tcPr>
          <w:p w14:paraId="3A47D406"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46.00%</w:t>
            </w:r>
          </w:p>
        </w:tc>
        <w:tc>
          <w:tcPr>
            <w:tcW w:w="904" w:type="dxa"/>
            <w:tcBorders>
              <w:top w:val="nil"/>
              <w:left w:val="nil"/>
              <w:bottom w:val="single" w:sz="4" w:space="0" w:color="auto"/>
              <w:right w:val="single" w:sz="4" w:space="0" w:color="auto"/>
            </w:tcBorders>
            <w:shd w:val="clear" w:color="000000" w:fill="FFFFFF"/>
            <w:noWrap/>
            <w:hideMark/>
          </w:tcPr>
          <w:p w14:paraId="709DCA0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1,260</w:t>
            </w:r>
          </w:p>
        </w:tc>
        <w:tc>
          <w:tcPr>
            <w:tcW w:w="868" w:type="dxa"/>
            <w:tcBorders>
              <w:top w:val="nil"/>
              <w:left w:val="nil"/>
              <w:bottom w:val="single" w:sz="4" w:space="0" w:color="auto"/>
              <w:right w:val="single" w:sz="4" w:space="0" w:color="auto"/>
            </w:tcBorders>
            <w:shd w:val="clear" w:color="000000" w:fill="FFFFFF"/>
            <w:noWrap/>
            <w:hideMark/>
          </w:tcPr>
          <w:p w14:paraId="705BBB2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580</w:t>
            </w:r>
          </w:p>
        </w:tc>
        <w:tc>
          <w:tcPr>
            <w:tcW w:w="860" w:type="dxa"/>
            <w:tcBorders>
              <w:top w:val="nil"/>
              <w:left w:val="nil"/>
              <w:bottom w:val="single" w:sz="4" w:space="0" w:color="auto"/>
              <w:right w:val="single" w:sz="4" w:space="0" w:color="auto"/>
            </w:tcBorders>
            <w:shd w:val="clear" w:color="000000" w:fill="FFFFFF"/>
            <w:noWrap/>
            <w:hideMark/>
          </w:tcPr>
          <w:p w14:paraId="0A273D35"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680</w:t>
            </w:r>
          </w:p>
        </w:tc>
      </w:tr>
      <w:tr w:rsidR="00153765" w:rsidRPr="005C5E7D" w14:paraId="30763CCC" w14:textId="77777777" w:rsidTr="00786EC9">
        <w:trPr>
          <w:trHeight w:val="290"/>
        </w:trPr>
        <w:tc>
          <w:tcPr>
            <w:tcW w:w="1069" w:type="dxa"/>
            <w:tcBorders>
              <w:top w:val="nil"/>
              <w:left w:val="single" w:sz="4" w:space="0" w:color="auto"/>
              <w:bottom w:val="single" w:sz="4" w:space="0" w:color="auto"/>
              <w:right w:val="nil"/>
            </w:tcBorders>
            <w:shd w:val="clear" w:color="auto" w:fill="auto"/>
            <w:noWrap/>
            <w:hideMark/>
          </w:tcPr>
          <w:p w14:paraId="74F25AF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nil"/>
            </w:tcBorders>
            <w:shd w:val="clear" w:color="auto" w:fill="auto"/>
            <w:noWrap/>
            <w:hideMark/>
          </w:tcPr>
          <w:p w14:paraId="10980C7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auto" w:fill="auto"/>
            <w:noWrap/>
            <w:hideMark/>
          </w:tcPr>
          <w:p w14:paraId="3422481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single" w:sz="4" w:space="0" w:color="auto"/>
            </w:tcBorders>
            <w:shd w:val="clear" w:color="auto" w:fill="auto"/>
            <w:noWrap/>
            <w:hideMark/>
          </w:tcPr>
          <w:p w14:paraId="223513B8"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Sub-total PRISMA</w:t>
            </w:r>
          </w:p>
        </w:tc>
        <w:tc>
          <w:tcPr>
            <w:tcW w:w="890" w:type="dxa"/>
            <w:tcBorders>
              <w:top w:val="nil"/>
              <w:left w:val="nil"/>
              <w:bottom w:val="single" w:sz="4" w:space="0" w:color="auto"/>
              <w:right w:val="nil"/>
            </w:tcBorders>
            <w:shd w:val="clear" w:color="auto" w:fill="auto"/>
            <w:noWrap/>
            <w:hideMark/>
          </w:tcPr>
          <w:p w14:paraId="69424080"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31,110</w:t>
            </w:r>
          </w:p>
        </w:tc>
        <w:tc>
          <w:tcPr>
            <w:tcW w:w="994" w:type="dxa"/>
            <w:tcBorders>
              <w:top w:val="nil"/>
              <w:left w:val="nil"/>
              <w:bottom w:val="single" w:sz="4" w:space="0" w:color="auto"/>
              <w:right w:val="nil"/>
            </w:tcBorders>
            <w:shd w:val="clear" w:color="000000" w:fill="757171"/>
            <w:noWrap/>
            <w:hideMark/>
          </w:tcPr>
          <w:p w14:paraId="2DB1535B"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 </w:t>
            </w:r>
          </w:p>
        </w:tc>
        <w:tc>
          <w:tcPr>
            <w:tcW w:w="886" w:type="dxa"/>
            <w:tcBorders>
              <w:top w:val="nil"/>
              <w:left w:val="nil"/>
              <w:bottom w:val="single" w:sz="4" w:space="0" w:color="auto"/>
              <w:right w:val="single" w:sz="4" w:space="0" w:color="auto"/>
            </w:tcBorders>
            <w:shd w:val="clear" w:color="000000" w:fill="FFFFFF"/>
            <w:noWrap/>
            <w:hideMark/>
          </w:tcPr>
          <w:p w14:paraId="06D79045"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44.80%</w:t>
            </w:r>
          </w:p>
        </w:tc>
        <w:tc>
          <w:tcPr>
            <w:tcW w:w="904" w:type="dxa"/>
            <w:tcBorders>
              <w:top w:val="nil"/>
              <w:left w:val="nil"/>
              <w:bottom w:val="single" w:sz="4" w:space="0" w:color="auto"/>
              <w:right w:val="nil"/>
            </w:tcBorders>
            <w:shd w:val="clear" w:color="auto" w:fill="auto"/>
            <w:noWrap/>
            <w:hideMark/>
          </w:tcPr>
          <w:p w14:paraId="16C6621D"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87,993</w:t>
            </w:r>
          </w:p>
        </w:tc>
        <w:tc>
          <w:tcPr>
            <w:tcW w:w="868" w:type="dxa"/>
            <w:tcBorders>
              <w:top w:val="nil"/>
              <w:left w:val="single" w:sz="4" w:space="0" w:color="auto"/>
              <w:bottom w:val="single" w:sz="4" w:space="0" w:color="auto"/>
              <w:right w:val="nil"/>
            </w:tcBorders>
            <w:shd w:val="clear" w:color="auto" w:fill="auto"/>
            <w:noWrap/>
            <w:hideMark/>
          </w:tcPr>
          <w:p w14:paraId="53AEAB1B"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40,676</w:t>
            </w:r>
          </w:p>
        </w:tc>
        <w:tc>
          <w:tcPr>
            <w:tcW w:w="860" w:type="dxa"/>
            <w:tcBorders>
              <w:top w:val="nil"/>
              <w:left w:val="single" w:sz="4" w:space="0" w:color="auto"/>
              <w:bottom w:val="single" w:sz="4" w:space="0" w:color="auto"/>
              <w:right w:val="nil"/>
            </w:tcBorders>
            <w:shd w:val="clear" w:color="auto" w:fill="auto"/>
            <w:noWrap/>
            <w:hideMark/>
          </w:tcPr>
          <w:p w14:paraId="6EE709F7"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47,317</w:t>
            </w:r>
          </w:p>
        </w:tc>
      </w:tr>
      <w:tr w:rsidR="00153765" w:rsidRPr="005C5E7D" w14:paraId="507BFDFF" w14:textId="77777777" w:rsidTr="00786EC9">
        <w:trPr>
          <w:trHeight w:val="310"/>
        </w:trPr>
        <w:tc>
          <w:tcPr>
            <w:tcW w:w="1069" w:type="dxa"/>
            <w:tcBorders>
              <w:top w:val="nil"/>
              <w:left w:val="single" w:sz="4" w:space="0" w:color="auto"/>
              <w:bottom w:val="single" w:sz="4" w:space="0" w:color="auto"/>
              <w:right w:val="nil"/>
            </w:tcBorders>
            <w:shd w:val="clear" w:color="000000" w:fill="BFBFBF"/>
            <w:noWrap/>
            <w:vAlign w:val="bottom"/>
            <w:hideMark/>
          </w:tcPr>
          <w:p w14:paraId="43071F86" w14:textId="77777777" w:rsidR="0000269C" w:rsidRPr="005C5E7D" w:rsidRDefault="0000269C" w:rsidP="0000269C">
            <w:pPr>
              <w:spacing w:after="0" w:line="240" w:lineRule="auto"/>
              <w:jc w:val="both"/>
              <w:rPr>
                <w:rFonts w:ascii="Calibri Light" w:eastAsia="Times New Roman" w:hAnsi="Calibri Light" w:cs="Calibri Light"/>
                <w:b/>
                <w:bCs/>
                <w:color w:val="000000"/>
                <w:sz w:val="24"/>
                <w:szCs w:val="24"/>
              </w:rPr>
            </w:pPr>
            <w:r w:rsidRPr="005C5E7D">
              <w:rPr>
                <w:rFonts w:ascii="Calibri Light" w:eastAsia="Times New Roman" w:hAnsi="Calibri Light" w:cs="Calibri Light"/>
                <w:b/>
                <w:bCs/>
                <w:color w:val="000000"/>
                <w:sz w:val="24"/>
                <w:szCs w:val="24"/>
              </w:rPr>
              <w:t>ARISA</w:t>
            </w:r>
          </w:p>
        </w:tc>
        <w:tc>
          <w:tcPr>
            <w:tcW w:w="639" w:type="dxa"/>
            <w:tcBorders>
              <w:top w:val="nil"/>
              <w:left w:val="nil"/>
              <w:bottom w:val="single" w:sz="4" w:space="0" w:color="auto"/>
              <w:right w:val="nil"/>
            </w:tcBorders>
            <w:shd w:val="clear" w:color="000000" w:fill="BFBFBF"/>
            <w:noWrap/>
            <w:vAlign w:val="bottom"/>
            <w:hideMark/>
          </w:tcPr>
          <w:p w14:paraId="0351211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000000" w:fill="BFBFBF"/>
            <w:noWrap/>
            <w:vAlign w:val="bottom"/>
            <w:hideMark/>
          </w:tcPr>
          <w:p w14:paraId="5A70094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nil"/>
            </w:tcBorders>
            <w:shd w:val="clear" w:color="000000" w:fill="BFBFBF"/>
            <w:noWrap/>
            <w:vAlign w:val="bottom"/>
            <w:hideMark/>
          </w:tcPr>
          <w:p w14:paraId="1722094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90" w:type="dxa"/>
            <w:tcBorders>
              <w:top w:val="nil"/>
              <w:left w:val="nil"/>
              <w:bottom w:val="single" w:sz="4" w:space="0" w:color="auto"/>
              <w:right w:val="nil"/>
            </w:tcBorders>
            <w:shd w:val="clear" w:color="000000" w:fill="BFBFBF"/>
            <w:noWrap/>
            <w:vAlign w:val="bottom"/>
            <w:hideMark/>
          </w:tcPr>
          <w:p w14:paraId="0FC995C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994" w:type="dxa"/>
            <w:tcBorders>
              <w:top w:val="nil"/>
              <w:left w:val="nil"/>
              <w:bottom w:val="single" w:sz="4" w:space="0" w:color="auto"/>
              <w:right w:val="nil"/>
            </w:tcBorders>
            <w:shd w:val="clear" w:color="000000" w:fill="BFBFBF"/>
            <w:noWrap/>
            <w:vAlign w:val="bottom"/>
            <w:hideMark/>
          </w:tcPr>
          <w:p w14:paraId="438479C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86" w:type="dxa"/>
            <w:tcBorders>
              <w:top w:val="nil"/>
              <w:left w:val="nil"/>
              <w:bottom w:val="single" w:sz="4" w:space="0" w:color="auto"/>
              <w:right w:val="nil"/>
            </w:tcBorders>
            <w:shd w:val="clear" w:color="000000" w:fill="BFBFBF"/>
            <w:noWrap/>
            <w:vAlign w:val="bottom"/>
            <w:hideMark/>
          </w:tcPr>
          <w:p w14:paraId="4C40390E"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 </w:t>
            </w:r>
          </w:p>
        </w:tc>
        <w:tc>
          <w:tcPr>
            <w:tcW w:w="904" w:type="dxa"/>
            <w:tcBorders>
              <w:top w:val="nil"/>
              <w:left w:val="nil"/>
              <w:bottom w:val="single" w:sz="4" w:space="0" w:color="auto"/>
              <w:right w:val="nil"/>
            </w:tcBorders>
            <w:shd w:val="clear" w:color="000000" w:fill="BFBFBF"/>
            <w:noWrap/>
            <w:vAlign w:val="bottom"/>
            <w:hideMark/>
          </w:tcPr>
          <w:p w14:paraId="56D9BAA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8" w:type="dxa"/>
            <w:tcBorders>
              <w:top w:val="nil"/>
              <w:left w:val="nil"/>
              <w:bottom w:val="single" w:sz="4" w:space="0" w:color="auto"/>
              <w:right w:val="nil"/>
            </w:tcBorders>
            <w:shd w:val="clear" w:color="000000" w:fill="BFBFBF"/>
            <w:noWrap/>
            <w:vAlign w:val="bottom"/>
            <w:hideMark/>
          </w:tcPr>
          <w:p w14:paraId="79DAA06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0" w:type="dxa"/>
            <w:tcBorders>
              <w:top w:val="nil"/>
              <w:left w:val="nil"/>
              <w:bottom w:val="single" w:sz="4" w:space="0" w:color="auto"/>
              <w:right w:val="nil"/>
            </w:tcBorders>
            <w:shd w:val="clear" w:color="000000" w:fill="BFBFBF"/>
            <w:noWrap/>
            <w:vAlign w:val="bottom"/>
            <w:hideMark/>
          </w:tcPr>
          <w:p w14:paraId="5349C79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r>
      <w:tr w:rsidR="00153765" w:rsidRPr="005C5E7D" w14:paraId="6AB46E73"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3FCBF44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0E6837E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single" w:sz="4" w:space="0" w:color="auto"/>
            </w:tcBorders>
            <w:shd w:val="clear" w:color="auto" w:fill="auto"/>
            <w:noWrap/>
            <w:hideMark/>
          </w:tcPr>
          <w:p w14:paraId="4F35F535"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Maize-NTB</w:t>
            </w:r>
          </w:p>
        </w:tc>
        <w:tc>
          <w:tcPr>
            <w:tcW w:w="1394" w:type="dxa"/>
            <w:tcBorders>
              <w:top w:val="nil"/>
              <w:left w:val="nil"/>
              <w:bottom w:val="single" w:sz="4" w:space="0" w:color="auto"/>
              <w:right w:val="single" w:sz="4" w:space="0" w:color="auto"/>
            </w:tcBorders>
            <w:shd w:val="clear" w:color="auto" w:fill="auto"/>
            <w:noWrap/>
            <w:hideMark/>
          </w:tcPr>
          <w:p w14:paraId="640CCCF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5A2104D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274</w:t>
            </w:r>
          </w:p>
        </w:tc>
        <w:tc>
          <w:tcPr>
            <w:tcW w:w="994" w:type="dxa"/>
            <w:tcBorders>
              <w:top w:val="nil"/>
              <w:left w:val="nil"/>
              <w:bottom w:val="single" w:sz="4" w:space="0" w:color="auto"/>
              <w:right w:val="single" w:sz="4" w:space="0" w:color="auto"/>
            </w:tcBorders>
            <w:shd w:val="clear" w:color="000000" w:fill="FFFFFF"/>
            <w:noWrap/>
            <w:hideMark/>
          </w:tcPr>
          <w:p w14:paraId="3FC37A6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3.30</w:t>
            </w:r>
          </w:p>
        </w:tc>
        <w:tc>
          <w:tcPr>
            <w:tcW w:w="886" w:type="dxa"/>
            <w:tcBorders>
              <w:top w:val="nil"/>
              <w:left w:val="nil"/>
              <w:bottom w:val="single" w:sz="4" w:space="0" w:color="auto"/>
              <w:right w:val="single" w:sz="4" w:space="0" w:color="auto"/>
            </w:tcBorders>
            <w:shd w:val="clear" w:color="000000" w:fill="FFFFFF"/>
            <w:noWrap/>
            <w:hideMark/>
          </w:tcPr>
          <w:p w14:paraId="493BBA80"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52.70%</w:t>
            </w:r>
          </w:p>
        </w:tc>
        <w:tc>
          <w:tcPr>
            <w:tcW w:w="904" w:type="dxa"/>
            <w:tcBorders>
              <w:top w:val="nil"/>
              <w:left w:val="nil"/>
              <w:bottom w:val="single" w:sz="4" w:space="0" w:color="auto"/>
              <w:right w:val="single" w:sz="4" w:space="0" w:color="auto"/>
            </w:tcBorders>
            <w:shd w:val="clear" w:color="000000" w:fill="FFFFFF"/>
            <w:noWrap/>
            <w:hideMark/>
          </w:tcPr>
          <w:p w14:paraId="136EAEB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904</w:t>
            </w:r>
          </w:p>
        </w:tc>
        <w:tc>
          <w:tcPr>
            <w:tcW w:w="868" w:type="dxa"/>
            <w:tcBorders>
              <w:top w:val="nil"/>
              <w:left w:val="nil"/>
              <w:bottom w:val="single" w:sz="4" w:space="0" w:color="auto"/>
              <w:right w:val="single" w:sz="4" w:space="0" w:color="auto"/>
            </w:tcBorders>
            <w:shd w:val="clear" w:color="000000" w:fill="FFFFFF"/>
            <w:noWrap/>
            <w:hideMark/>
          </w:tcPr>
          <w:p w14:paraId="1831AA1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476</w:t>
            </w:r>
          </w:p>
        </w:tc>
        <w:tc>
          <w:tcPr>
            <w:tcW w:w="860" w:type="dxa"/>
            <w:tcBorders>
              <w:top w:val="nil"/>
              <w:left w:val="nil"/>
              <w:bottom w:val="single" w:sz="4" w:space="0" w:color="auto"/>
              <w:right w:val="single" w:sz="4" w:space="0" w:color="auto"/>
            </w:tcBorders>
            <w:shd w:val="clear" w:color="000000" w:fill="FFFFFF"/>
            <w:noWrap/>
            <w:hideMark/>
          </w:tcPr>
          <w:p w14:paraId="44577871"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428</w:t>
            </w:r>
          </w:p>
        </w:tc>
      </w:tr>
      <w:tr w:rsidR="00153765" w:rsidRPr="005C5E7D" w14:paraId="32EEEBA7"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26FE251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7EE1D21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single" w:sz="4" w:space="0" w:color="auto"/>
            </w:tcBorders>
            <w:shd w:val="clear" w:color="auto" w:fill="auto"/>
            <w:noWrap/>
            <w:hideMark/>
          </w:tcPr>
          <w:p w14:paraId="3845F4C1" w14:textId="77777777" w:rsidR="0000269C" w:rsidRPr="005C5E7D" w:rsidRDefault="0000269C" w:rsidP="0000269C">
            <w:pPr>
              <w:spacing w:after="0" w:line="240" w:lineRule="auto"/>
              <w:jc w:val="both"/>
              <w:rPr>
                <w:rFonts w:ascii="Calibri Light" w:eastAsia="Times New Roman" w:hAnsi="Calibri Light" w:cs="Calibri Light"/>
                <w:sz w:val="20"/>
                <w:szCs w:val="20"/>
              </w:rPr>
            </w:pPr>
            <w:r w:rsidRPr="005C5E7D">
              <w:rPr>
                <w:rFonts w:ascii="Calibri Light" w:eastAsia="Times New Roman" w:hAnsi="Calibri Light" w:cs="Calibri Light"/>
                <w:sz w:val="20"/>
                <w:szCs w:val="20"/>
              </w:rPr>
              <w:t>Sheep</w:t>
            </w:r>
          </w:p>
        </w:tc>
        <w:tc>
          <w:tcPr>
            <w:tcW w:w="1394" w:type="dxa"/>
            <w:tcBorders>
              <w:top w:val="nil"/>
              <w:left w:val="nil"/>
              <w:bottom w:val="single" w:sz="4" w:space="0" w:color="auto"/>
              <w:right w:val="single" w:sz="4" w:space="0" w:color="auto"/>
            </w:tcBorders>
            <w:shd w:val="clear" w:color="auto" w:fill="auto"/>
            <w:noWrap/>
            <w:hideMark/>
          </w:tcPr>
          <w:p w14:paraId="6ECB6AB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0CC9460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5</w:t>
            </w:r>
          </w:p>
        </w:tc>
        <w:tc>
          <w:tcPr>
            <w:tcW w:w="994" w:type="dxa"/>
            <w:tcBorders>
              <w:top w:val="nil"/>
              <w:left w:val="nil"/>
              <w:bottom w:val="single" w:sz="4" w:space="0" w:color="auto"/>
              <w:right w:val="single" w:sz="4" w:space="0" w:color="auto"/>
            </w:tcBorders>
            <w:shd w:val="clear" w:color="000000" w:fill="FFFFFF"/>
            <w:noWrap/>
            <w:hideMark/>
          </w:tcPr>
          <w:p w14:paraId="2090045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1.60</w:t>
            </w:r>
          </w:p>
        </w:tc>
        <w:tc>
          <w:tcPr>
            <w:tcW w:w="886" w:type="dxa"/>
            <w:tcBorders>
              <w:top w:val="nil"/>
              <w:left w:val="nil"/>
              <w:bottom w:val="single" w:sz="4" w:space="0" w:color="auto"/>
              <w:right w:val="single" w:sz="4" w:space="0" w:color="auto"/>
            </w:tcBorders>
            <w:shd w:val="clear" w:color="000000" w:fill="FFFFFF"/>
            <w:noWrap/>
            <w:hideMark/>
          </w:tcPr>
          <w:p w14:paraId="50040F65"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29.00%</w:t>
            </w:r>
          </w:p>
        </w:tc>
        <w:tc>
          <w:tcPr>
            <w:tcW w:w="904" w:type="dxa"/>
            <w:tcBorders>
              <w:top w:val="nil"/>
              <w:left w:val="nil"/>
              <w:bottom w:val="single" w:sz="4" w:space="0" w:color="auto"/>
              <w:right w:val="single" w:sz="4" w:space="0" w:color="auto"/>
            </w:tcBorders>
            <w:shd w:val="clear" w:color="000000" w:fill="FFFFFF"/>
            <w:noWrap/>
            <w:hideMark/>
          </w:tcPr>
          <w:p w14:paraId="46CF649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8</w:t>
            </w:r>
          </w:p>
        </w:tc>
        <w:tc>
          <w:tcPr>
            <w:tcW w:w="868" w:type="dxa"/>
            <w:tcBorders>
              <w:top w:val="nil"/>
              <w:left w:val="nil"/>
              <w:bottom w:val="single" w:sz="4" w:space="0" w:color="auto"/>
              <w:right w:val="single" w:sz="4" w:space="0" w:color="auto"/>
            </w:tcBorders>
            <w:shd w:val="clear" w:color="000000" w:fill="FFFFFF"/>
            <w:noWrap/>
            <w:hideMark/>
          </w:tcPr>
          <w:p w14:paraId="1D52D8F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w:t>
            </w:r>
          </w:p>
        </w:tc>
        <w:tc>
          <w:tcPr>
            <w:tcW w:w="860" w:type="dxa"/>
            <w:tcBorders>
              <w:top w:val="nil"/>
              <w:left w:val="nil"/>
              <w:bottom w:val="single" w:sz="4" w:space="0" w:color="auto"/>
              <w:right w:val="single" w:sz="4" w:space="0" w:color="auto"/>
            </w:tcBorders>
            <w:shd w:val="clear" w:color="000000" w:fill="FFFFFF"/>
            <w:noWrap/>
            <w:hideMark/>
          </w:tcPr>
          <w:p w14:paraId="0E5A229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w:t>
            </w:r>
          </w:p>
        </w:tc>
      </w:tr>
      <w:tr w:rsidR="00153765" w:rsidRPr="005C5E7D" w14:paraId="7F5FDF22"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12D340D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4D6BED9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single" w:sz="4" w:space="0" w:color="auto"/>
            </w:tcBorders>
            <w:shd w:val="clear" w:color="auto" w:fill="auto"/>
            <w:noWrap/>
            <w:hideMark/>
          </w:tcPr>
          <w:p w14:paraId="4085D5F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Cassava</w:t>
            </w:r>
          </w:p>
        </w:tc>
        <w:tc>
          <w:tcPr>
            <w:tcW w:w="1394" w:type="dxa"/>
            <w:tcBorders>
              <w:top w:val="nil"/>
              <w:left w:val="nil"/>
              <w:bottom w:val="single" w:sz="4" w:space="0" w:color="auto"/>
              <w:right w:val="single" w:sz="4" w:space="0" w:color="auto"/>
            </w:tcBorders>
            <w:shd w:val="clear" w:color="auto" w:fill="auto"/>
            <w:noWrap/>
            <w:hideMark/>
          </w:tcPr>
          <w:p w14:paraId="696EACC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55E79A7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305</w:t>
            </w:r>
          </w:p>
        </w:tc>
        <w:tc>
          <w:tcPr>
            <w:tcW w:w="994" w:type="dxa"/>
            <w:tcBorders>
              <w:top w:val="nil"/>
              <w:left w:val="nil"/>
              <w:bottom w:val="single" w:sz="4" w:space="0" w:color="auto"/>
              <w:right w:val="single" w:sz="4" w:space="0" w:color="auto"/>
            </w:tcBorders>
            <w:shd w:val="clear" w:color="000000" w:fill="FFFFFF"/>
            <w:noWrap/>
            <w:hideMark/>
          </w:tcPr>
          <w:p w14:paraId="311DECA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1.54</w:t>
            </w:r>
          </w:p>
        </w:tc>
        <w:tc>
          <w:tcPr>
            <w:tcW w:w="886" w:type="dxa"/>
            <w:tcBorders>
              <w:top w:val="nil"/>
              <w:left w:val="nil"/>
              <w:bottom w:val="single" w:sz="4" w:space="0" w:color="auto"/>
              <w:right w:val="single" w:sz="4" w:space="0" w:color="auto"/>
            </w:tcBorders>
            <w:shd w:val="clear" w:color="000000" w:fill="FFFFFF"/>
            <w:noWrap/>
            <w:hideMark/>
          </w:tcPr>
          <w:p w14:paraId="640D5EB8"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37.20%</w:t>
            </w:r>
          </w:p>
        </w:tc>
        <w:tc>
          <w:tcPr>
            <w:tcW w:w="904" w:type="dxa"/>
            <w:tcBorders>
              <w:top w:val="nil"/>
              <w:left w:val="nil"/>
              <w:bottom w:val="single" w:sz="4" w:space="0" w:color="auto"/>
              <w:right w:val="single" w:sz="4" w:space="0" w:color="auto"/>
            </w:tcBorders>
            <w:shd w:val="clear" w:color="000000" w:fill="FFFFFF"/>
            <w:noWrap/>
            <w:hideMark/>
          </w:tcPr>
          <w:p w14:paraId="6FF7A9A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470</w:t>
            </w:r>
          </w:p>
        </w:tc>
        <w:tc>
          <w:tcPr>
            <w:tcW w:w="868" w:type="dxa"/>
            <w:tcBorders>
              <w:top w:val="nil"/>
              <w:left w:val="nil"/>
              <w:bottom w:val="single" w:sz="4" w:space="0" w:color="auto"/>
              <w:right w:val="single" w:sz="4" w:space="0" w:color="auto"/>
            </w:tcBorders>
            <w:shd w:val="clear" w:color="000000" w:fill="FFFFFF"/>
            <w:noWrap/>
            <w:hideMark/>
          </w:tcPr>
          <w:p w14:paraId="0B358D8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175</w:t>
            </w:r>
          </w:p>
        </w:tc>
        <w:tc>
          <w:tcPr>
            <w:tcW w:w="860" w:type="dxa"/>
            <w:tcBorders>
              <w:top w:val="nil"/>
              <w:left w:val="nil"/>
              <w:bottom w:val="single" w:sz="4" w:space="0" w:color="auto"/>
              <w:right w:val="single" w:sz="4" w:space="0" w:color="auto"/>
            </w:tcBorders>
            <w:shd w:val="clear" w:color="000000" w:fill="FFFFFF"/>
            <w:noWrap/>
            <w:hideMark/>
          </w:tcPr>
          <w:p w14:paraId="2083E7C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295</w:t>
            </w:r>
          </w:p>
        </w:tc>
      </w:tr>
      <w:tr w:rsidR="00153765" w:rsidRPr="005C5E7D" w14:paraId="6EE8001D"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1C0028B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4D27D19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single" w:sz="4" w:space="0" w:color="auto"/>
            </w:tcBorders>
            <w:shd w:val="clear" w:color="auto" w:fill="auto"/>
            <w:noWrap/>
            <w:hideMark/>
          </w:tcPr>
          <w:p w14:paraId="0B9FB1F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IPM</w:t>
            </w:r>
          </w:p>
        </w:tc>
        <w:tc>
          <w:tcPr>
            <w:tcW w:w="1394" w:type="dxa"/>
            <w:tcBorders>
              <w:top w:val="nil"/>
              <w:left w:val="nil"/>
              <w:bottom w:val="single" w:sz="4" w:space="0" w:color="auto"/>
              <w:right w:val="single" w:sz="4" w:space="0" w:color="auto"/>
            </w:tcBorders>
            <w:shd w:val="clear" w:color="auto" w:fill="auto"/>
            <w:noWrap/>
            <w:hideMark/>
          </w:tcPr>
          <w:p w14:paraId="087C42F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90" w:type="dxa"/>
            <w:tcBorders>
              <w:top w:val="nil"/>
              <w:left w:val="nil"/>
              <w:bottom w:val="single" w:sz="4" w:space="0" w:color="auto"/>
              <w:right w:val="single" w:sz="4" w:space="0" w:color="auto"/>
            </w:tcBorders>
            <w:shd w:val="clear" w:color="000000" w:fill="FFFFFF"/>
            <w:noWrap/>
            <w:hideMark/>
          </w:tcPr>
          <w:p w14:paraId="222150C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589</w:t>
            </w:r>
          </w:p>
        </w:tc>
        <w:tc>
          <w:tcPr>
            <w:tcW w:w="994" w:type="dxa"/>
            <w:tcBorders>
              <w:top w:val="nil"/>
              <w:left w:val="nil"/>
              <w:bottom w:val="single" w:sz="4" w:space="0" w:color="auto"/>
              <w:right w:val="single" w:sz="4" w:space="0" w:color="auto"/>
            </w:tcBorders>
            <w:shd w:val="clear" w:color="000000" w:fill="FFFFFF"/>
            <w:noWrap/>
            <w:hideMark/>
          </w:tcPr>
          <w:p w14:paraId="7324965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2.22</w:t>
            </w:r>
          </w:p>
        </w:tc>
        <w:tc>
          <w:tcPr>
            <w:tcW w:w="886" w:type="dxa"/>
            <w:tcBorders>
              <w:top w:val="nil"/>
              <w:left w:val="nil"/>
              <w:bottom w:val="single" w:sz="4" w:space="0" w:color="auto"/>
              <w:right w:val="single" w:sz="4" w:space="0" w:color="auto"/>
            </w:tcBorders>
            <w:shd w:val="clear" w:color="000000" w:fill="FFFFFF"/>
            <w:noWrap/>
            <w:hideMark/>
          </w:tcPr>
          <w:p w14:paraId="5DA97734"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72.07%</w:t>
            </w:r>
          </w:p>
        </w:tc>
        <w:tc>
          <w:tcPr>
            <w:tcW w:w="904" w:type="dxa"/>
            <w:tcBorders>
              <w:top w:val="nil"/>
              <w:left w:val="nil"/>
              <w:bottom w:val="single" w:sz="4" w:space="0" w:color="auto"/>
              <w:right w:val="single" w:sz="4" w:space="0" w:color="auto"/>
            </w:tcBorders>
            <w:shd w:val="clear" w:color="000000" w:fill="FFFFFF"/>
            <w:noWrap/>
            <w:hideMark/>
          </w:tcPr>
          <w:p w14:paraId="494EE4D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1,308</w:t>
            </w:r>
          </w:p>
        </w:tc>
        <w:tc>
          <w:tcPr>
            <w:tcW w:w="868" w:type="dxa"/>
            <w:tcBorders>
              <w:top w:val="nil"/>
              <w:left w:val="nil"/>
              <w:bottom w:val="single" w:sz="4" w:space="0" w:color="auto"/>
              <w:right w:val="single" w:sz="4" w:space="0" w:color="auto"/>
            </w:tcBorders>
            <w:shd w:val="clear" w:color="000000" w:fill="FFFFFF"/>
            <w:noWrap/>
            <w:hideMark/>
          </w:tcPr>
          <w:p w14:paraId="72AD51C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943</w:t>
            </w:r>
          </w:p>
        </w:tc>
        <w:tc>
          <w:tcPr>
            <w:tcW w:w="860" w:type="dxa"/>
            <w:tcBorders>
              <w:top w:val="nil"/>
              <w:left w:val="nil"/>
              <w:bottom w:val="single" w:sz="4" w:space="0" w:color="auto"/>
              <w:right w:val="single" w:sz="4" w:space="0" w:color="auto"/>
            </w:tcBorders>
            <w:shd w:val="clear" w:color="000000" w:fill="FFFFFF"/>
            <w:noWrap/>
            <w:hideMark/>
          </w:tcPr>
          <w:p w14:paraId="7E28664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365</w:t>
            </w:r>
          </w:p>
        </w:tc>
      </w:tr>
      <w:tr w:rsidR="00153765" w:rsidRPr="005C5E7D" w14:paraId="4BAA9E4E" w14:textId="77777777" w:rsidTr="00786EC9">
        <w:trPr>
          <w:trHeight w:val="290"/>
        </w:trPr>
        <w:tc>
          <w:tcPr>
            <w:tcW w:w="1069" w:type="dxa"/>
            <w:tcBorders>
              <w:top w:val="nil"/>
              <w:left w:val="single" w:sz="4" w:space="0" w:color="auto"/>
              <w:bottom w:val="single" w:sz="4" w:space="0" w:color="auto"/>
              <w:right w:val="nil"/>
            </w:tcBorders>
            <w:shd w:val="clear" w:color="auto" w:fill="auto"/>
            <w:noWrap/>
            <w:vAlign w:val="bottom"/>
            <w:hideMark/>
          </w:tcPr>
          <w:p w14:paraId="5559486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nil"/>
            </w:tcBorders>
            <w:shd w:val="clear" w:color="auto" w:fill="auto"/>
            <w:noWrap/>
            <w:vAlign w:val="bottom"/>
            <w:hideMark/>
          </w:tcPr>
          <w:p w14:paraId="5D3B789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auto" w:fill="auto"/>
            <w:noWrap/>
            <w:vAlign w:val="bottom"/>
            <w:hideMark/>
          </w:tcPr>
          <w:p w14:paraId="4D8E75F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single" w:sz="4" w:space="0" w:color="auto"/>
            </w:tcBorders>
            <w:shd w:val="clear" w:color="auto" w:fill="auto"/>
            <w:noWrap/>
            <w:hideMark/>
          </w:tcPr>
          <w:p w14:paraId="6D50BCFA"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Sub-total ARISA</w:t>
            </w:r>
          </w:p>
        </w:tc>
        <w:tc>
          <w:tcPr>
            <w:tcW w:w="890" w:type="dxa"/>
            <w:tcBorders>
              <w:top w:val="nil"/>
              <w:left w:val="nil"/>
              <w:bottom w:val="single" w:sz="4" w:space="0" w:color="auto"/>
              <w:right w:val="single" w:sz="4" w:space="0" w:color="auto"/>
            </w:tcBorders>
            <w:shd w:val="clear" w:color="auto" w:fill="auto"/>
            <w:noWrap/>
            <w:vAlign w:val="bottom"/>
            <w:hideMark/>
          </w:tcPr>
          <w:p w14:paraId="4D6EB5C3"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1,173</w:t>
            </w:r>
          </w:p>
        </w:tc>
        <w:tc>
          <w:tcPr>
            <w:tcW w:w="994" w:type="dxa"/>
            <w:tcBorders>
              <w:top w:val="nil"/>
              <w:left w:val="nil"/>
              <w:bottom w:val="single" w:sz="4" w:space="0" w:color="auto"/>
              <w:right w:val="nil"/>
            </w:tcBorders>
            <w:shd w:val="clear" w:color="000000" w:fill="757171"/>
            <w:noWrap/>
            <w:vAlign w:val="bottom"/>
            <w:hideMark/>
          </w:tcPr>
          <w:p w14:paraId="2B3FC5E5"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86" w:type="dxa"/>
            <w:tcBorders>
              <w:top w:val="nil"/>
              <w:left w:val="nil"/>
              <w:bottom w:val="single" w:sz="4" w:space="0" w:color="auto"/>
              <w:right w:val="single" w:sz="4" w:space="0" w:color="auto"/>
            </w:tcBorders>
            <w:shd w:val="clear" w:color="000000" w:fill="FFFFFF"/>
            <w:noWrap/>
            <w:vAlign w:val="bottom"/>
            <w:hideMark/>
          </w:tcPr>
          <w:p w14:paraId="4897A3AE"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47.74%</w:t>
            </w:r>
          </w:p>
        </w:tc>
        <w:tc>
          <w:tcPr>
            <w:tcW w:w="904" w:type="dxa"/>
            <w:tcBorders>
              <w:top w:val="nil"/>
              <w:left w:val="nil"/>
              <w:bottom w:val="single" w:sz="4" w:space="0" w:color="auto"/>
              <w:right w:val="single" w:sz="4" w:space="0" w:color="auto"/>
            </w:tcBorders>
            <w:shd w:val="clear" w:color="auto" w:fill="auto"/>
            <w:noWrap/>
            <w:vAlign w:val="bottom"/>
            <w:hideMark/>
          </w:tcPr>
          <w:p w14:paraId="7C6F1A9B"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2,690</w:t>
            </w:r>
          </w:p>
        </w:tc>
        <w:tc>
          <w:tcPr>
            <w:tcW w:w="868" w:type="dxa"/>
            <w:tcBorders>
              <w:top w:val="nil"/>
              <w:left w:val="nil"/>
              <w:bottom w:val="single" w:sz="4" w:space="0" w:color="auto"/>
              <w:right w:val="single" w:sz="4" w:space="0" w:color="auto"/>
            </w:tcBorders>
            <w:shd w:val="clear" w:color="auto" w:fill="auto"/>
            <w:noWrap/>
            <w:vAlign w:val="bottom"/>
            <w:hideMark/>
          </w:tcPr>
          <w:p w14:paraId="4D5CA8B0"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1,596</w:t>
            </w:r>
          </w:p>
        </w:tc>
        <w:tc>
          <w:tcPr>
            <w:tcW w:w="860" w:type="dxa"/>
            <w:tcBorders>
              <w:top w:val="nil"/>
              <w:left w:val="nil"/>
              <w:bottom w:val="single" w:sz="4" w:space="0" w:color="auto"/>
              <w:right w:val="single" w:sz="4" w:space="0" w:color="auto"/>
            </w:tcBorders>
            <w:shd w:val="clear" w:color="auto" w:fill="auto"/>
            <w:noWrap/>
            <w:vAlign w:val="bottom"/>
            <w:hideMark/>
          </w:tcPr>
          <w:p w14:paraId="76C055DB"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1,094</w:t>
            </w:r>
          </w:p>
        </w:tc>
      </w:tr>
      <w:tr w:rsidR="00153765" w:rsidRPr="005C5E7D" w14:paraId="6718B31D" w14:textId="77777777" w:rsidTr="00786EC9">
        <w:trPr>
          <w:trHeight w:val="310"/>
        </w:trPr>
        <w:tc>
          <w:tcPr>
            <w:tcW w:w="1069" w:type="dxa"/>
            <w:tcBorders>
              <w:top w:val="nil"/>
              <w:left w:val="single" w:sz="4" w:space="0" w:color="auto"/>
              <w:bottom w:val="single" w:sz="4" w:space="0" w:color="auto"/>
              <w:right w:val="nil"/>
            </w:tcBorders>
            <w:shd w:val="clear" w:color="000000" w:fill="BFBFBF"/>
            <w:noWrap/>
            <w:vAlign w:val="bottom"/>
            <w:hideMark/>
          </w:tcPr>
          <w:p w14:paraId="6B87F7F7" w14:textId="77777777" w:rsidR="0000269C" w:rsidRPr="005C5E7D" w:rsidRDefault="0000269C" w:rsidP="0000269C">
            <w:pPr>
              <w:spacing w:after="0" w:line="240" w:lineRule="auto"/>
              <w:jc w:val="both"/>
              <w:rPr>
                <w:rFonts w:ascii="Calibri Light" w:eastAsia="Times New Roman" w:hAnsi="Calibri Light" w:cs="Calibri Light"/>
                <w:b/>
                <w:bCs/>
                <w:color w:val="000000"/>
                <w:sz w:val="24"/>
                <w:szCs w:val="24"/>
              </w:rPr>
            </w:pPr>
            <w:r w:rsidRPr="005C5E7D">
              <w:rPr>
                <w:rFonts w:ascii="Calibri Light" w:eastAsia="Times New Roman" w:hAnsi="Calibri Light" w:cs="Calibri Light"/>
                <w:b/>
                <w:bCs/>
                <w:color w:val="000000"/>
                <w:sz w:val="24"/>
                <w:szCs w:val="24"/>
              </w:rPr>
              <w:t>TIRTA</w:t>
            </w:r>
          </w:p>
        </w:tc>
        <w:tc>
          <w:tcPr>
            <w:tcW w:w="639" w:type="dxa"/>
            <w:tcBorders>
              <w:top w:val="nil"/>
              <w:left w:val="nil"/>
              <w:bottom w:val="single" w:sz="4" w:space="0" w:color="auto"/>
              <w:right w:val="nil"/>
            </w:tcBorders>
            <w:shd w:val="clear" w:color="000000" w:fill="BFBFBF"/>
            <w:noWrap/>
            <w:vAlign w:val="bottom"/>
            <w:hideMark/>
          </w:tcPr>
          <w:p w14:paraId="5A40B291"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000000" w:fill="BFBFBF"/>
            <w:noWrap/>
            <w:vAlign w:val="bottom"/>
            <w:hideMark/>
          </w:tcPr>
          <w:p w14:paraId="7F0F5DF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nil"/>
            </w:tcBorders>
            <w:shd w:val="clear" w:color="000000" w:fill="BFBFBF"/>
            <w:noWrap/>
            <w:vAlign w:val="bottom"/>
            <w:hideMark/>
          </w:tcPr>
          <w:p w14:paraId="0B95695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90" w:type="dxa"/>
            <w:tcBorders>
              <w:top w:val="nil"/>
              <w:left w:val="nil"/>
              <w:bottom w:val="single" w:sz="4" w:space="0" w:color="auto"/>
              <w:right w:val="nil"/>
            </w:tcBorders>
            <w:shd w:val="clear" w:color="000000" w:fill="BFBFBF"/>
            <w:noWrap/>
            <w:vAlign w:val="bottom"/>
            <w:hideMark/>
          </w:tcPr>
          <w:p w14:paraId="7DF5D0B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994" w:type="dxa"/>
            <w:tcBorders>
              <w:top w:val="nil"/>
              <w:left w:val="nil"/>
              <w:bottom w:val="single" w:sz="4" w:space="0" w:color="auto"/>
              <w:right w:val="nil"/>
            </w:tcBorders>
            <w:shd w:val="clear" w:color="000000" w:fill="BFBFBF"/>
            <w:noWrap/>
            <w:vAlign w:val="bottom"/>
            <w:hideMark/>
          </w:tcPr>
          <w:p w14:paraId="5A55E915"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86" w:type="dxa"/>
            <w:tcBorders>
              <w:top w:val="nil"/>
              <w:left w:val="nil"/>
              <w:bottom w:val="single" w:sz="4" w:space="0" w:color="auto"/>
              <w:right w:val="nil"/>
            </w:tcBorders>
            <w:shd w:val="clear" w:color="000000" w:fill="BFBFBF"/>
            <w:noWrap/>
            <w:vAlign w:val="bottom"/>
            <w:hideMark/>
          </w:tcPr>
          <w:p w14:paraId="2CDB9F60"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 </w:t>
            </w:r>
          </w:p>
        </w:tc>
        <w:tc>
          <w:tcPr>
            <w:tcW w:w="904" w:type="dxa"/>
            <w:tcBorders>
              <w:top w:val="nil"/>
              <w:left w:val="nil"/>
              <w:bottom w:val="single" w:sz="4" w:space="0" w:color="auto"/>
              <w:right w:val="nil"/>
            </w:tcBorders>
            <w:shd w:val="clear" w:color="000000" w:fill="BFBFBF"/>
            <w:noWrap/>
            <w:vAlign w:val="bottom"/>
            <w:hideMark/>
          </w:tcPr>
          <w:p w14:paraId="007DEA1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8" w:type="dxa"/>
            <w:tcBorders>
              <w:top w:val="nil"/>
              <w:left w:val="nil"/>
              <w:bottom w:val="single" w:sz="4" w:space="0" w:color="auto"/>
              <w:right w:val="nil"/>
            </w:tcBorders>
            <w:shd w:val="clear" w:color="000000" w:fill="BFBFBF"/>
            <w:noWrap/>
            <w:vAlign w:val="bottom"/>
            <w:hideMark/>
          </w:tcPr>
          <w:p w14:paraId="7989268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0" w:type="dxa"/>
            <w:tcBorders>
              <w:top w:val="nil"/>
              <w:left w:val="nil"/>
              <w:bottom w:val="single" w:sz="4" w:space="0" w:color="auto"/>
              <w:right w:val="nil"/>
            </w:tcBorders>
            <w:shd w:val="clear" w:color="000000" w:fill="BFBFBF"/>
            <w:noWrap/>
            <w:vAlign w:val="bottom"/>
            <w:hideMark/>
          </w:tcPr>
          <w:p w14:paraId="1D97E42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r>
      <w:tr w:rsidR="00153765" w:rsidRPr="005C5E7D" w14:paraId="0A03F0A4"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399C3E8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3A1840A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single" w:sz="4" w:space="0" w:color="auto"/>
            </w:tcBorders>
            <w:shd w:val="clear" w:color="auto" w:fill="auto"/>
            <w:noWrap/>
            <w:hideMark/>
          </w:tcPr>
          <w:p w14:paraId="4F7403B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single" w:sz="4" w:space="0" w:color="auto"/>
            </w:tcBorders>
            <w:shd w:val="clear" w:color="auto" w:fill="auto"/>
            <w:noWrap/>
            <w:hideMark/>
          </w:tcPr>
          <w:p w14:paraId="30BEF87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proofErr w:type="spellStart"/>
            <w:r w:rsidRPr="005C5E7D">
              <w:rPr>
                <w:rFonts w:ascii="Calibri Light" w:eastAsia="Times New Roman" w:hAnsi="Calibri Light" w:cs="Calibri Light"/>
                <w:color w:val="000000"/>
                <w:sz w:val="20"/>
                <w:szCs w:val="20"/>
              </w:rPr>
              <w:t>Pilanggede</w:t>
            </w:r>
            <w:proofErr w:type="spellEnd"/>
          </w:p>
        </w:tc>
        <w:tc>
          <w:tcPr>
            <w:tcW w:w="890" w:type="dxa"/>
            <w:tcBorders>
              <w:top w:val="nil"/>
              <w:left w:val="nil"/>
              <w:bottom w:val="single" w:sz="4" w:space="0" w:color="auto"/>
              <w:right w:val="single" w:sz="4" w:space="0" w:color="auto"/>
            </w:tcBorders>
            <w:shd w:val="clear" w:color="auto" w:fill="auto"/>
            <w:noWrap/>
            <w:hideMark/>
          </w:tcPr>
          <w:p w14:paraId="294ED28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304</w:t>
            </w:r>
          </w:p>
        </w:tc>
        <w:tc>
          <w:tcPr>
            <w:tcW w:w="994" w:type="dxa"/>
            <w:tcBorders>
              <w:top w:val="nil"/>
              <w:left w:val="nil"/>
              <w:bottom w:val="single" w:sz="4" w:space="0" w:color="auto"/>
              <w:right w:val="single" w:sz="4" w:space="0" w:color="auto"/>
            </w:tcBorders>
            <w:shd w:val="clear" w:color="auto" w:fill="auto"/>
            <w:noWrap/>
            <w:hideMark/>
          </w:tcPr>
          <w:p w14:paraId="4FEF9B6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2.10</w:t>
            </w:r>
          </w:p>
        </w:tc>
        <w:tc>
          <w:tcPr>
            <w:tcW w:w="886" w:type="dxa"/>
            <w:tcBorders>
              <w:top w:val="nil"/>
              <w:left w:val="nil"/>
              <w:bottom w:val="single" w:sz="4" w:space="0" w:color="auto"/>
              <w:right w:val="single" w:sz="4" w:space="0" w:color="auto"/>
            </w:tcBorders>
            <w:shd w:val="clear" w:color="auto" w:fill="auto"/>
            <w:noWrap/>
            <w:hideMark/>
          </w:tcPr>
          <w:p w14:paraId="362A6D47"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46%</w:t>
            </w:r>
          </w:p>
        </w:tc>
        <w:tc>
          <w:tcPr>
            <w:tcW w:w="904" w:type="dxa"/>
            <w:tcBorders>
              <w:top w:val="nil"/>
              <w:left w:val="nil"/>
              <w:bottom w:val="single" w:sz="4" w:space="0" w:color="auto"/>
              <w:right w:val="single" w:sz="4" w:space="0" w:color="auto"/>
            </w:tcBorders>
            <w:shd w:val="clear" w:color="auto" w:fill="auto"/>
            <w:noWrap/>
            <w:hideMark/>
          </w:tcPr>
          <w:p w14:paraId="14AF1DF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638</w:t>
            </w:r>
          </w:p>
        </w:tc>
        <w:tc>
          <w:tcPr>
            <w:tcW w:w="868" w:type="dxa"/>
            <w:tcBorders>
              <w:top w:val="nil"/>
              <w:left w:val="nil"/>
              <w:bottom w:val="single" w:sz="4" w:space="0" w:color="auto"/>
              <w:right w:val="single" w:sz="4" w:space="0" w:color="auto"/>
            </w:tcBorders>
            <w:shd w:val="clear" w:color="auto" w:fill="auto"/>
            <w:noWrap/>
            <w:hideMark/>
          </w:tcPr>
          <w:p w14:paraId="1D1DC9D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293</w:t>
            </w:r>
          </w:p>
        </w:tc>
        <w:tc>
          <w:tcPr>
            <w:tcW w:w="860" w:type="dxa"/>
            <w:tcBorders>
              <w:top w:val="nil"/>
              <w:left w:val="nil"/>
              <w:bottom w:val="single" w:sz="4" w:space="0" w:color="auto"/>
              <w:right w:val="single" w:sz="4" w:space="0" w:color="auto"/>
            </w:tcBorders>
            <w:shd w:val="clear" w:color="auto" w:fill="auto"/>
            <w:noWrap/>
            <w:hideMark/>
          </w:tcPr>
          <w:p w14:paraId="1AD5755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345</w:t>
            </w:r>
          </w:p>
        </w:tc>
      </w:tr>
      <w:tr w:rsidR="00153765" w:rsidRPr="005C5E7D" w14:paraId="7D7A3DAF" w14:textId="77777777" w:rsidTr="00786EC9">
        <w:trPr>
          <w:trHeight w:val="290"/>
        </w:trPr>
        <w:tc>
          <w:tcPr>
            <w:tcW w:w="1069" w:type="dxa"/>
            <w:tcBorders>
              <w:top w:val="nil"/>
              <w:left w:val="single" w:sz="4" w:space="0" w:color="auto"/>
              <w:bottom w:val="single" w:sz="4" w:space="0" w:color="auto"/>
              <w:right w:val="single" w:sz="4" w:space="0" w:color="auto"/>
            </w:tcBorders>
            <w:shd w:val="clear" w:color="auto" w:fill="auto"/>
            <w:noWrap/>
            <w:hideMark/>
          </w:tcPr>
          <w:p w14:paraId="5433691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single" w:sz="4" w:space="0" w:color="auto"/>
            </w:tcBorders>
            <w:shd w:val="clear" w:color="auto" w:fill="auto"/>
            <w:noWrap/>
            <w:hideMark/>
          </w:tcPr>
          <w:p w14:paraId="53547DD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single" w:sz="4" w:space="0" w:color="auto"/>
            </w:tcBorders>
            <w:shd w:val="clear" w:color="auto" w:fill="auto"/>
            <w:noWrap/>
            <w:hideMark/>
          </w:tcPr>
          <w:p w14:paraId="6B6B6D3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single" w:sz="4" w:space="0" w:color="auto"/>
            </w:tcBorders>
            <w:shd w:val="clear" w:color="auto" w:fill="auto"/>
            <w:noWrap/>
            <w:hideMark/>
          </w:tcPr>
          <w:p w14:paraId="1349392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proofErr w:type="spellStart"/>
            <w:r w:rsidRPr="005C5E7D">
              <w:rPr>
                <w:rFonts w:ascii="Calibri Light" w:eastAsia="Times New Roman" w:hAnsi="Calibri Light" w:cs="Calibri Light"/>
                <w:color w:val="000000"/>
                <w:sz w:val="20"/>
                <w:szCs w:val="20"/>
              </w:rPr>
              <w:t>Leran</w:t>
            </w:r>
            <w:proofErr w:type="spellEnd"/>
            <w:r w:rsidRPr="005C5E7D">
              <w:rPr>
                <w:rFonts w:ascii="Calibri Light" w:eastAsia="Times New Roman" w:hAnsi="Calibri Light" w:cs="Calibri Light"/>
                <w:color w:val="000000"/>
                <w:sz w:val="20"/>
                <w:szCs w:val="20"/>
              </w:rPr>
              <w:t xml:space="preserve"> 2</w:t>
            </w:r>
          </w:p>
        </w:tc>
        <w:tc>
          <w:tcPr>
            <w:tcW w:w="890" w:type="dxa"/>
            <w:tcBorders>
              <w:top w:val="nil"/>
              <w:left w:val="nil"/>
              <w:bottom w:val="single" w:sz="4" w:space="0" w:color="auto"/>
              <w:right w:val="single" w:sz="4" w:space="0" w:color="auto"/>
            </w:tcBorders>
            <w:shd w:val="clear" w:color="auto" w:fill="auto"/>
            <w:noWrap/>
            <w:hideMark/>
          </w:tcPr>
          <w:p w14:paraId="7B22A8A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50</w:t>
            </w:r>
          </w:p>
        </w:tc>
        <w:tc>
          <w:tcPr>
            <w:tcW w:w="994" w:type="dxa"/>
            <w:tcBorders>
              <w:top w:val="nil"/>
              <w:left w:val="nil"/>
              <w:bottom w:val="single" w:sz="4" w:space="0" w:color="auto"/>
              <w:right w:val="single" w:sz="4" w:space="0" w:color="auto"/>
            </w:tcBorders>
            <w:shd w:val="clear" w:color="auto" w:fill="auto"/>
            <w:noWrap/>
            <w:hideMark/>
          </w:tcPr>
          <w:p w14:paraId="7BAC981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2.10</w:t>
            </w:r>
          </w:p>
        </w:tc>
        <w:tc>
          <w:tcPr>
            <w:tcW w:w="886" w:type="dxa"/>
            <w:tcBorders>
              <w:top w:val="nil"/>
              <w:left w:val="nil"/>
              <w:bottom w:val="single" w:sz="4" w:space="0" w:color="auto"/>
              <w:right w:val="single" w:sz="4" w:space="0" w:color="auto"/>
            </w:tcBorders>
            <w:shd w:val="clear" w:color="auto" w:fill="auto"/>
            <w:noWrap/>
            <w:hideMark/>
          </w:tcPr>
          <w:p w14:paraId="27543FD1"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46%</w:t>
            </w:r>
          </w:p>
        </w:tc>
        <w:tc>
          <w:tcPr>
            <w:tcW w:w="904" w:type="dxa"/>
            <w:tcBorders>
              <w:top w:val="nil"/>
              <w:left w:val="nil"/>
              <w:bottom w:val="single" w:sz="4" w:space="0" w:color="auto"/>
              <w:right w:val="single" w:sz="4" w:space="0" w:color="auto"/>
            </w:tcBorders>
            <w:shd w:val="clear" w:color="auto" w:fill="auto"/>
            <w:noWrap/>
            <w:hideMark/>
          </w:tcPr>
          <w:p w14:paraId="6621001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105</w:t>
            </w:r>
          </w:p>
        </w:tc>
        <w:tc>
          <w:tcPr>
            <w:tcW w:w="868" w:type="dxa"/>
            <w:tcBorders>
              <w:top w:val="nil"/>
              <w:left w:val="nil"/>
              <w:bottom w:val="single" w:sz="4" w:space="0" w:color="auto"/>
              <w:right w:val="single" w:sz="4" w:space="0" w:color="auto"/>
            </w:tcBorders>
            <w:shd w:val="clear" w:color="auto" w:fill="auto"/>
            <w:noWrap/>
            <w:hideMark/>
          </w:tcPr>
          <w:p w14:paraId="1B0CE03A"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48</w:t>
            </w:r>
          </w:p>
        </w:tc>
        <w:tc>
          <w:tcPr>
            <w:tcW w:w="860" w:type="dxa"/>
            <w:tcBorders>
              <w:top w:val="nil"/>
              <w:left w:val="nil"/>
              <w:bottom w:val="single" w:sz="4" w:space="0" w:color="auto"/>
              <w:right w:val="single" w:sz="4" w:space="0" w:color="auto"/>
            </w:tcBorders>
            <w:shd w:val="clear" w:color="auto" w:fill="auto"/>
            <w:noWrap/>
            <w:hideMark/>
          </w:tcPr>
          <w:p w14:paraId="5802C631"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57</w:t>
            </w:r>
          </w:p>
        </w:tc>
      </w:tr>
      <w:tr w:rsidR="00153765" w:rsidRPr="005C5E7D" w14:paraId="0374BEC2" w14:textId="77777777" w:rsidTr="00786EC9">
        <w:trPr>
          <w:trHeight w:val="290"/>
        </w:trPr>
        <w:tc>
          <w:tcPr>
            <w:tcW w:w="1069" w:type="dxa"/>
            <w:tcBorders>
              <w:top w:val="nil"/>
              <w:left w:val="single" w:sz="4" w:space="0" w:color="auto"/>
              <w:bottom w:val="single" w:sz="4" w:space="0" w:color="auto"/>
              <w:right w:val="nil"/>
            </w:tcBorders>
            <w:shd w:val="clear" w:color="auto" w:fill="auto"/>
            <w:noWrap/>
            <w:vAlign w:val="bottom"/>
            <w:hideMark/>
          </w:tcPr>
          <w:p w14:paraId="559D546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nil"/>
            </w:tcBorders>
            <w:shd w:val="clear" w:color="auto" w:fill="auto"/>
            <w:noWrap/>
            <w:vAlign w:val="bottom"/>
            <w:hideMark/>
          </w:tcPr>
          <w:p w14:paraId="0FBB56E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auto" w:fill="auto"/>
            <w:noWrap/>
            <w:vAlign w:val="bottom"/>
            <w:hideMark/>
          </w:tcPr>
          <w:p w14:paraId="21007AFC"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single" w:sz="4" w:space="0" w:color="auto"/>
            </w:tcBorders>
            <w:shd w:val="clear" w:color="auto" w:fill="auto"/>
            <w:noWrap/>
            <w:hideMark/>
          </w:tcPr>
          <w:p w14:paraId="2A7AE473"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Sub-total TIRTA</w:t>
            </w:r>
          </w:p>
        </w:tc>
        <w:tc>
          <w:tcPr>
            <w:tcW w:w="890" w:type="dxa"/>
            <w:tcBorders>
              <w:top w:val="nil"/>
              <w:left w:val="nil"/>
              <w:bottom w:val="single" w:sz="4" w:space="0" w:color="auto"/>
              <w:right w:val="single" w:sz="4" w:space="0" w:color="auto"/>
            </w:tcBorders>
            <w:shd w:val="clear" w:color="auto" w:fill="auto"/>
            <w:noWrap/>
            <w:vAlign w:val="bottom"/>
            <w:hideMark/>
          </w:tcPr>
          <w:p w14:paraId="479ACD85"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354</w:t>
            </w:r>
          </w:p>
        </w:tc>
        <w:tc>
          <w:tcPr>
            <w:tcW w:w="994" w:type="dxa"/>
            <w:tcBorders>
              <w:top w:val="nil"/>
              <w:left w:val="nil"/>
              <w:bottom w:val="single" w:sz="4" w:space="0" w:color="auto"/>
              <w:right w:val="nil"/>
            </w:tcBorders>
            <w:shd w:val="clear" w:color="000000" w:fill="757171"/>
            <w:noWrap/>
            <w:vAlign w:val="bottom"/>
            <w:hideMark/>
          </w:tcPr>
          <w:p w14:paraId="18CB349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86" w:type="dxa"/>
            <w:tcBorders>
              <w:top w:val="nil"/>
              <w:left w:val="nil"/>
              <w:bottom w:val="single" w:sz="4" w:space="0" w:color="auto"/>
              <w:right w:val="single" w:sz="4" w:space="0" w:color="auto"/>
            </w:tcBorders>
            <w:shd w:val="clear" w:color="000000" w:fill="FFFFFF"/>
            <w:noWrap/>
            <w:vAlign w:val="bottom"/>
            <w:hideMark/>
          </w:tcPr>
          <w:p w14:paraId="46AC82EE" w14:textId="77777777" w:rsidR="0000269C" w:rsidRPr="005C5E7D" w:rsidRDefault="0000269C" w:rsidP="0000269C">
            <w:pPr>
              <w:spacing w:after="0" w:line="240" w:lineRule="auto"/>
              <w:jc w:val="both"/>
              <w:rPr>
                <w:rFonts w:ascii="Calibri Light" w:eastAsia="Times New Roman" w:hAnsi="Calibri Light" w:cs="Calibri Light"/>
                <w:b/>
                <w:bCs/>
                <w:color w:val="C00000"/>
                <w:sz w:val="20"/>
                <w:szCs w:val="20"/>
              </w:rPr>
            </w:pPr>
            <w:r w:rsidRPr="005C5E7D">
              <w:rPr>
                <w:rFonts w:ascii="Calibri Light" w:eastAsia="Times New Roman" w:hAnsi="Calibri Light" w:cs="Calibri Light"/>
                <w:b/>
                <w:bCs/>
                <w:color w:val="C00000"/>
                <w:sz w:val="20"/>
                <w:szCs w:val="20"/>
              </w:rPr>
              <w:t>46%</w:t>
            </w:r>
          </w:p>
        </w:tc>
        <w:tc>
          <w:tcPr>
            <w:tcW w:w="904" w:type="dxa"/>
            <w:tcBorders>
              <w:top w:val="nil"/>
              <w:left w:val="nil"/>
              <w:bottom w:val="single" w:sz="4" w:space="0" w:color="auto"/>
              <w:right w:val="single" w:sz="4" w:space="0" w:color="auto"/>
            </w:tcBorders>
            <w:shd w:val="clear" w:color="auto" w:fill="auto"/>
            <w:noWrap/>
            <w:vAlign w:val="bottom"/>
            <w:hideMark/>
          </w:tcPr>
          <w:p w14:paraId="6327BFA6"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743</w:t>
            </w:r>
          </w:p>
        </w:tc>
        <w:tc>
          <w:tcPr>
            <w:tcW w:w="868" w:type="dxa"/>
            <w:tcBorders>
              <w:top w:val="nil"/>
              <w:left w:val="nil"/>
              <w:bottom w:val="single" w:sz="4" w:space="0" w:color="auto"/>
              <w:right w:val="single" w:sz="4" w:space="0" w:color="auto"/>
            </w:tcBorders>
            <w:shd w:val="clear" w:color="auto" w:fill="auto"/>
            <w:noWrap/>
            <w:vAlign w:val="bottom"/>
            <w:hideMark/>
          </w:tcPr>
          <w:p w14:paraId="06F01F52"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341</w:t>
            </w:r>
          </w:p>
        </w:tc>
        <w:tc>
          <w:tcPr>
            <w:tcW w:w="860" w:type="dxa"/>
            <w:tcBorders>
              <w:top w:val="nil"/>
              <w:left w:val="nil"/>
              <w:bottom w:val="single" w:sz="4" w:space="0" w:color="auto"/>
              <w:right w:val="single" w:sz="4" w:space="0" w:color="auto"/>
            </w:tcBorders>
            <w:shd w:val="clear" w:color="auto" w:fill="auto"/>
            <w:noWrap/>
            <w:vAlign w:val="bottom"/>
            <w:hideMark/>
          </w:tcPr>
          <w:p w14:paraId="44EE425D"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402</w:t>
            </w:r>
          </w:p>
        </w:tc>
      </w:tr>
      <w:tr w:rsidR="00153765" w:rsidRPr="005C5E7D" w14:paraId="2F75A124" w14:textId="77777777" w:rsidTr="00786EC9">
        <w:trPr>
          <w:trHeight w:val="310"/>
        </w:trPr>
        <w:tc>
          <w:tcPr>
            <w:tcW w:w="1069" w:type="dxa"/>
            <w:tcBorders>
              <w:top w:val="nil"/>
              <w:left w:val="single" w:sz="4" w:space="0" w:color="auto"/>
              <w:bottom w:val="single" w:sz="4" w:space="0" w:color="auto"/>
              <w:right w:val="nil"/>
            </w:tcBorders>
            <w:shd w:val="clear" w:color="000000" w:fill="BFBFBF"/>
            <w:noWrap/>
            <w:vAlign w:val="bottom"/>
            <w:hideMark/>
          </w:tcPr>
          <w:p w14:paraId="30C6CB34" w14:textId="77777777" w:rsidR="0000269C" w:rsidRPr="005C5E7D" w:rsidRDefault="0000269C" w:rsidP="0000269C">
            <w:pPr>
              <w:spacing w:after="0" w:line="240" w:lineRule="auto"/>
              <w:jc w:val="both"/>
              <w:rPr>
                <w:rFonts w:ascii="Calibri Light" w:eastAsia="Times New Roman" w:hAnsi="Calibri Light" w:cs="Calibri Light"/>
                <w:b/>
                <w:bCs/>
                <w:color w:val="000000"/>
                <w:sz w:val="24"/>
                <w:szCs w:val="24"/>
              </w:rPr>
            </w:pPr>
            <w:r w:rsidRPr="005C5E7D">
              <w:rPr>
                <w:rFonts w:ascii="Calibri Light" w:eastAsia="Times New Roman" w:hAnsi="Calibri Light" w:cs="Calibri Light"/>
                <w:b/>
                <w:bCs/>
                <w:color w:val="000000"/>
                <w:sz w:val="24"/>
                <w:szCs w:val="24"/>
              </w:rPr>
              <w:t>SAFIRA</w:t>
            </w:r>
          </w:p>
        </w:tc>
        <w:tc>
          <w:tcPr>
            <w:tcW w:w="639" w:type="dxa"/>
            <w:tcBorders>
              <w:top w:val="nil"/>
              <w:left w:val="nil"/>
              <w:bottom w:val="single" w:sz="4" w:space="0" w:color="auto"/>
              <w:right w:val="nil"/>
            </w:tcBorders>
            <w:shd w:val="clear" w:color="000000" w:fill="BFBFBF"/>
            <w:noWrap/>
            <w:vAlign w:val="bottom"/>
            <w:hideMark/>
          </w:tcPr>
          <w:p w14:paraId="556E629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000000" w:fill="BFBFBF"/>
            <w:noWrap/>
            <w:vAlign w:val="bottom"/>
            <w:hideMark/>
          </w:tcPr>
          <w:p w14:paraId="06C9B08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nil"/>
            </w:tcBorders>
            <w:shd w:val="clear" w:color="000000" w:fill="BFBFBF"/>
            <w:noWrap/>
            <w:hideMark/>
          </w:tcPr>
          <w:p w14:paraId="0286B558"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 </w:t>
            </w:r>
          </w:p>
        </w:tc>
        <w:tc>
          <w:tcPr>
            <w:tcW w:w="890" w:type="dxa"/>
            <w:tcBorders>
              <w:top w:val="nil"/>
              <w:left w:val="nil"/>
              <w:bottom w:val="single" w:sz="4" w:space="0" w:color="auto"/>
              <w:right w:val="nil"/>
            </w:tcBorders>
            <w:shd w:val="clear" w:color="000000" w:fill="BFBFBF"/>
            <w:noWrap/>
            <w:vAlign w:val="bottom"/>
            <w:hideMark/>
          </w:tcPr>
          <w:p w14:paraId="04E7933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994" w:type="dxa"/>
            <w:tcBorders>
              <w:top w:val="nil"/>
              <w:left w:val="nil"/>
              <w:bottom w:val="single" w:sz="4" w:space="0" w:color="auto"/>
              <w:right w:val="nil"/>
            </w:tcBorders>
            <w:shd w:val="clear" w:color="000000" w:fill="BFBFBF"/>
            <w:noWrap/>
            <w:vAlign w:val="bottom"/>
            <w:hideMark/>
          </w:tcPr>
          <w:p w14:paraId="430758D5"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86" w:type="dxa"/>
            <w:tcBorders>
              <w:top w:val="nil"/>
              <w:left w:val="nil"/>
              <w:bottom w:val="single" w:sz="4" w:space="0" w:color="auto"/>
              <w:right w:val="nil"/>
            </w:tcBorders>
            <w:shd w:val="clear" w:color="000000" w:fill="BFBFBF"/>
            <w:noWrap/>
            <w:vAlign w:val="bottom"/>
            <w:hideMark/>
          </w:tcPr>
          <w:p w14:paraId="0BE7C887"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904" w:type="dxa"/>
            <w:tcBorders>
              <w:top w:val="nil"/>
              <w:left w:val="nil"/>
              <w:bottom w:val="single" w:sz="4" w:space="0" w:color="auto"/>
              <w:right w:val="nil"/>
            </w:tcBorders>
            <w:shd w:val="clear" w:color="000000" w:fill="BFBFBF"/>
            <w:noWrap/>
            <w:vAlign w:val="bottom"/>
            <w:hideMark/>
          </w:tcPr>
          <w:p w14:paraId="56048F79"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8" w:type="dxa"/>
            <w:tcBorders>
              <w:top w:val="nil"/>
              <w:left w:val="nil"/>
              <w:bottom w:val="single" w:sz="4" w:space="0" w:color="auto"/>
              <w:right w:val="nil"/>
            </w:tcBorders>
            <w:shd w:val="clear" w:color="000000" w:fill="BFBFBF"/>
            <w:noWrap/>
            <w:vAlign w:val="bottom"/>
            <w:hideMark/>
          </w:tcPr>
          <w:p w14:paraId="08010A2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0" w:type="dxa"/>
            <w:tcBorders>
              <w:top w:val="nil"/>
              <w:left w:val="nil"/>
              <w:bottom w:val="single" w:sz="4" w:space="0" w:color="auto"/>
              <w:right w:val="nil"/>
            </w:tcBorders>
            <w:shd w:val="clear" w:color="000000" w:fill="BFBFBF"/>
            <w:noWrap/>
            <w:vAlign w:val="bottom"/>
            <w:hideMark/>
          </w:tcPr>
          <w:p w14:paraId="2AEF0A9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r>
      <w:tr w:rsidR="0000269C" w:rsidRPr="005C5E7D" w14:paraId="5282128B" w14:textId="77777777" w:rsidTr="00786EC9">
        <w:trPr>
          <w:trHeight w:val="310"/>
        </w:trPr>
        <w:tc>
          <w:tcPr>
            <w:tcW w:w="1069" w:type="dxa"/>
            <w:tcBorders>
              <w:top w:val="nil"/>
              <w:left w:val="single" w:sz="4" w:space="0" w:color="auto"/>
              <w:bottom w:val="single" w:sz="4" w:space="0" w:color="auto"/>
              <w:right w:val="nil"/>
            </w:tcBorders>
            <w:shd w:val="clear" w:color="000000" w:fill="FF0000"/>
            <w:noWrap/>
            <w:vAlign w:val="bottom"/>
            <w:hideMark/>
          </w:tcPr>
          <w:p w14:paraId="4EB39F9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nil"/>
            </w:tcBorders>
            <w:shd w:val="clear" w:color="000000" w:fill="FF0000"/>
            <w:noWrap/>
            <w:vAlign w:val="bottom"/>
            <w:hideMark/>
          </w:tcPr>
          <w:p w14:paraId="5BFE68E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7920" w:type="dxa"/>
            <w:gridSpan w:val="8"/>
            <w:tcBorders>
              <w:top w:val="single" w:sz="4" w:space="0" w:color="auto"/>
              <w:left w:val="nil"/>
              <w:bottom w:val="single" w:sz="4" w:space="0" w:color="auto"/>
              <w:right w:val="nil"/>
            </w:tcBorders>
            <w:shd w:val="clear" w:color="000000" w:fill="FF0000"/>
            <w:noWrap/>
            <w:hideMark/>
          </w:tcPr>
          <w:p w14:paraId="4A0C3CB7" w14:textId="77777777" w:rsidR="0000269C" w:rsidRPr="005C5E7D" w:rsidRDefault="0000269C" w:rsidP="0000269C">
            <w:pPr>
              <w:spacing w:after="0" w:line="240" w:lineRule="auto"/>
              <w:jc w:val="both"/>
              <w:rPr>
                <w:rFonts w:ascii="Calibri Light" w:eastAsia="Times New Roman" w:hAnsi="Calibri Light" w:cs="Calibri Light"/>
                <w:b/>
                <w:bCs/>
                <w:color w:val="FFFFFF"/>
                <w:sz w:val="24"/>
                <w:szCs w:val="24"/>
              </w:rPr>
            </w:pPr>
            <w:r w:rsidRPr="005C5E7D">
              <w:rPr>
                <w:rFonts w:ascii="Calibri Light" w:eastAsia="Times New Roman" w:hAnsi="Calibri Light" w:cs="Calibri Light"/>
                <w:b/>
                <w:bCs/>
                <w:color w:val="FFFFFF"/>
                <w:sz w:val="24"/>
                <w:szCs w:val="24"/>
              </w:rPr>
              <w:t>There is no number from SAFIRA to be reported for this indicator for 2016 ADR</w:t>
            </w:r>
          </w:p>
        </w:tc>
      </w:tr>
      <w:tr w:rsidR="00153765" w:rsidRPr="005C5E7D" w14:paraId="4EA7F6EF" w14:textId="77777777" w:rsidTr="00786EC9">
        <w:trPr>
          <w:trHeight w:val="290"/>
        </w:trPr>
        <w:tc>
          <w:tcPr>
            <w:tcW w:w="1069" w:type="dxa"/>
            <w:tcBorders>
              <w:top w:val="nil"/>
              <w:left w:val="single" w:sz="4" w:space="0" w:color="auto"/>
              <w:bottom w:val="single" w:sz="4" w:space="0" w:color="auto"/>
              <w:right w:val="nil"/>
            </w:tcBorders>
            <w:shd w:val="clear" w:color="auto" w:fill="auto"/>
            <w:noWrap/>
            <w:vAlign w:val="bottom"/>
            <w:hideMark/>
          </w:tcPr>
          <w:p w14:paraId="630E4512"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nil"/>
            </w:tcBorders>
            <w:shd w:val="clear" w:color="auto" w:fill="auto"/>
            <w:noWrap/>
            <w:vAlign w:val="bottom"/>
            <w:hideMark/>
          </w:tcPr>
          <w:p w14:paraId="357CB6EE"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auto" w:fill="auto"/>
            <w:noWrap/>
            <w:vAlign w:val="bottom"/>
            <w:hideMark/>
          </w:tcPr>
          <w:p w14:paraId="0C8297D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single" w:sz="4" w:space="0" w:color="auto"/>
            </w:tcBorders>
            <w:shd w:val="clear" w:color="auto" w:fill="auto"/>
            <w:noWrap/>
            <w:hideMark/>
          </w:tcPr>
          <w:p w14:paraId="0906C7C1"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Sub-total SAFIRA</w:t>
            </w:r>
          </w:p>
        </w:tc>
        <w:tc>
          <w:tcPr>
            <w:tcW w:w="890" w:type="dxa"/>
            <w:tcBorders>
              <w:top w:val="nil"/>
              <w:left w:val="nil"/>
              <w:bottom w:val="single" w:sz="4" w:space="0" w:color="auto"/>
              <w:right w:val="single" w:sz="4" w:space="0" w:color="auto"/>
            </w:tcBorders>
            <w:shd w:val="clear" w:color="auto" w:fill="auto"/>
            <w:noWrap/>
            <w:vAlign w:val="bottom"/>
            <w:hideMark/>
          </w:tcPr>
          <w:p w14:paraId="6429EBA3"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0</w:t>
            </w:r>
          </w:p>
        </w:tc>
        <w:tc>
          <w:tcPr>
            <w:tcW w:w="994" w:type="dxa"/>
            <w:tcBorders>
              <w:top w:val="nil"/>
              <w:left w:val="nil"/>
              <w:bottom w:val="single" w:sz="4" w:space="0" w:color="auto"/>
              <w:right w:val="nil"/>
            </w:tcBorders>
            <w:shd w:val="clear" w:color="000000" w:fill="757171"/>
            <w:noWrap/>
            <w:vAlign w:val="bottom"/>
            <w:hideMark/>
          </w:tcPr>
          <w:p w14:paraId="3741B2B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86" w:type="dxa"/>
            <w:tcBorders>
              <w:top w:val="nil"/>
              <w:left w:val="nil"/>
              <w:bottom w:val="single" w:sz="4" w:space="0" w:color="auto"/>
              <w:right w:val="single" w:sz="4" w:space="0" w:color="auto"/>
            </w:tcBorders>
            <w:shd w:val="clear" w:color="000000" w:fill="757171"/>
            <w:noWrap/>
            <w:vAlign w:val="bottom"/>
            <w:hideMark/>
          </w:tcPr>
          <w:p w14:paraId="6E7202E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904" w:type="dxa"/>
            <w:tcBorders>
              <w:top w:val="nil"/>
              <w:left w:val="nil"/>
              <w:bottom w:val="single" w:sz="4" w:space="0" w:color="auto"/>
              <w:right w:val="single" w:sz="4" w:space="0" w:color="auto"/>
            </w:tcBorders>
            <w:shd w:val="clear" w:color="auto" w:fill="auto"/>
            <w:noWrap/>
            <w:vAlign w:val="bottom"/>
            <w:hideMark/>
          </w:tcPr>
          <w:p w14:paraId="26E62B64"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0</w:t>
            </w:r>
          </w:p>
        </w:tc>
        <w:tc>
          <w:tcPr>
            <w:tcW w:w="868" w:type="dxa"/>
            <w:tcBorders>
              <w:top w:val="nil"/>
              <w:left w:val="nil"/>
              <w:bottom w:val="single" w:sz="4" w:space="0" w:color="auto"/>
              <w:right w:val="single" w:sz="4" w:space="0" w:color="auto"/>
            </w:tcBorders>
            <w:shd w:val="clear" w:color="auto" w:fill="auto"/>
            <w:noWrap/>
            <w:vAlign w:val="bottom"/>
            <w:hideMark/>
          </w:tcPr>
          <w:p w14:paraId="671B5C4A"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14:paraId="1FB06F3B"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0</w:t>
            </w:r>
          </w:p>
        </w:tc>
      </w:tr>
      <w:tr w:rsidR="00153765" w:rsidRPr="005C5E7D" w14:paraId="206D38FF" w14:textId="77777777" w:rsidTr="00786EC9">
        <w:trPr>
          <w:trHeight w:val="290"/>
        </w:trPr>
        <w:tc>
          <w:tcPr>
            <w:tcW w:w="1069" w:type="dxa"/>
            <w:tcBorders>
              <w:top w:val="nil"/>
              <w:left w:val="single" w:sz="4" w:space="0" w:color="auto"/>
              <w:bottom w:val="single" w:sz="4" w:space="0" w:color="auto"/>
              <w:right w:val="nil"/>
            </w:tcBorders>
            <w:shd w:val="clear" w:color="000000" w:fill="808080"/>
            <w:noWrap/>
            <w:vAlign w:val="bottom"/>
            <w:hideMark/>
          </w:tcPr>
          <w:p w14:paraId="1CB91A2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nil"/>
            </w:tcBorders>
            <w:shd w:val="clear" w:color="000000" w:fill="808080"/>
            <w:noWrap/>
            <w:vAlign w:val="bottom"/>
            <w:hideMark/>
          </w:tcPr>
          <w:p w14:paraId="042BF54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000000" w:fill="808080"/>
            <w:noWrap/>
            <w:vAlign w:val="bottom"/>
            <w:hideMark/>
          </w:tcPr>
          <w:p w14:paraId="256E3CE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nil"/>
            </w:tcBorders>
            <w:shd w:val="clear" w:color="000000" w:fill="808080"/>
            <w:noWrap/>
            <w:hideMark/>
          </w:tcPr>
          <w:p w14:paraId="1122362B"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 </w:t>
            </w:r>
          </w:p>
        </w:tc>
        <w:tc>
          <w:tcPr>
            <w:tcW w:w="890" w:type="dxa"/>
            <w:tcBorders>
              <w:top w:val="nil"/>
              <w:left w:val="nil"/>
              <w:bottom w:val="single" w:sz="4" w:space="0" w:color="auto"/>
              <w:right w:val="nil"/>
            </w:tcBorders>
            <w:shd w:val="clear" w:color="000000" w:fill="808080"/>
            <w:noWrap/>
            <w:vAlign w:val="bottom"/>
            <w:hideMark/>
          </w:tcPr>
          <w:p w14:paraId="6884CC7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994" w:type="dxa"/>
            <w:tcBorders>
              <w:top w:val="nil"/>
              <w:left w:val="nil"/>
              <w:bottom w:val="single" w:sz="4" w:space="0" w:color="auto"/>
              <w:right w:val="nil"/>
            </w:tcBorders>
            <w:shd w:val="clear" w:color="000000" w:fill="808080"/>
            <w:noWrap/>
            <w:vAlign w:val="bottom"/>
            <w:hideMark/>
          </w:tcPr>
          <w:p w14:paraId="49A4B79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86" w:type="dxa"/>
            <w:tcBorders>
              <w:top w:val="nil"/>
              <w:left w:val="nil"/>
              <w:bottom w:val="single" w:sz="4" w:space="0" w:color="auto"/>
              <w:right w:val="nil"/>
            </w:tcBorders>
            <w:shd w:val="clear" w:color="000000" w:fill="808080"/>
            <w:noWrap/>
            <w:vAlign w:val="bottom"/>
            <w:hideMark/>
          </w:tcPr>
          <w:p w14:paraId="4F23E4D6"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904" w:type="dxa"/>
            <w:tcBorders>
              <w:top w:val="nil"/>
              <w:left w:val="nil"/>
              <w:bottom w:val="single" w:sz="4" w:space="0" w:color="auto"/>
              <w:right w:val="nil"/>
            </w:tcBorders>
            <w:shd w:val="clear" w:color="000000" w:fill="808080"/>
            <w:noWrap/>
            <w:vAlign w:val="bottom"/>
            <w:hideMark/>
          </w:tcPr>
          <w:p w14:paraId="2F0EBC70"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8" w:type="dxa"/>
            <w:tcBorders>
              <w:top w:val="nil"/>
              <w:left w:val="nil"/>
              <w:bottom w:val="single" w:sz="4" w:space="0" w:color="auto"/>
              <w:right w:val="nil"/>
            </w:tcBorders>
            <w:shd w:val="clear" w:color="000000" w:fill="808080"/>
            <w:noWrap/>
            <w:vAlign w:val="bottom"/>
            <w:hideMark/>
          </w:tcPr>
          <w:p w14:paraId="635FCE3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60" w:type="dxa"/>
            <w:tcBorders>
              <w:top w:val="nil"/>
              <w:left w:val="nil"/>
              <w:bottom w:val="single" w:sz="4" w:space="0" w:color="auto"/>
              <w:right w:val="nil"/>
            </w:tcBorders>
            <w:shd w:val="clear" w:color="000000" w:fill="808080"/>
            <w:noWrap/>
            <w:vAlign w:val="bottom"/>
            <w:hideMark/>
          </w:tcPr>
          <w:p w14:paraId="6D779A74"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r>
      <w:tr w:rsidR="00153765" w:rsidRPr="005C5E7D" w14:paraId="4C4C83F6" w14:textId="77777777" w:rsidTr="00786EC9">
        <w:trPr>
          <w:trHeight w:val="290"/>
        </w:trPr>
        <w:tc>
          <w:tcPr>
            <w:tcW w:w="1069" w:type="dxa"/>
            <w:tcBorders>
              <w:top w:val="nil"/>
              <w:left w:val="single" w:sz="4" w:space="0" w:color="auto"/>
              <w:bottom w:val="single" w:sz="4" w:space="0" w:color="auto"/>
              <w:right w:val="nil"/>
            </w:tcBorders>
            <w:shd w:val="clear" w:color="auto" w:fill="auto"/>
            <w:noWrap/>
            <w:vAlign w:val="bottom"/>
            <w:hideMark/>
          </w:tcPr>
          <w:p w14:paraId="193054FF"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639" w:type="dxa"/>
            <w:tcBorders>
              <w:top w:val="nil"/>
              <w:left w:val="nil"/>
              <w:bottom w:val="single" w:sz="4" w:space="0" w:color="auto"/>
              <w:right w:val="nil"/>
            </w:tcBorders>
            <w:shd w:val="clear" w:color="auto" w:fill="auto"/>
            <w:noWrap/>
            <w:vAlign w:val="bottom"/>
            <w:hideMark/>
          </w:tcPr>
          <w:p w14:paraId="6E39839D"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124" w:type="dxa"/>
            <w:tcBorders>
              <w:top w:val="nil"/>
              <w:left w:val="nil"/>
              <w:bottom w:val="single" w:sz="4" w:space="0" w:color="auto"/>
              <w:right w:val="nil"/>
            </w:tcBorders>
            <w:shd w:val="clear" w:color="auto" w:fill="auto"/>
            <w:noWrap/>
            <w:vAlign w:val="bottom"/>
            <w:hideMark/>
          </w:tcPr>
          <w:p w14:paraId="2F7B1B18"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1394" w:type="dxa"/>
            <w:tcBorders>
              <w:top w:val="nil"/>
              <w:left w:val="nil"/>
              <w:bottom w:val="single" w:sz="4" w:space="0" w:color="auto"/>
              <w:right w:val="single" w:sz="4" w:space="0" w:color="auto"/>
            </w:tcBorders>
            <w:shd w:val="clear" w:color="auto" w:fill="auto"/>
            <w:noWrap/>
            <w:vAlign w:val="bottom"/>
            <w:hideMark/>
          </w:tcPr>
          <w:p w14:paraId="20CB2157"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TOTAL</w:t>
            </w:r>
          </w:p>
        </w:tc>
        <w:tc>
          <w:tcPr>
            <w:tcW w:w="890" w:type="dxa"/>
            <w:tcBorders>
              <w:top w:val="nil"/>
              <w:left w:val="nil"/>
              <w:bottom w:val="single" w:sz="4" w:space="0" w:color="auto"/>
              <w:right w:val="single" w:sz="4" w:space="0" w:color="auto"/>
            </w:tcBorders>
            <w:shd w:val="clear" w:color="auto" w:fill="auto"/>
            <w:noWrap/>
            <w:vAlign w:val="bottom"/>
            <w:hideMark/>
          </w:tcPr>
          <w:p w14:paraId="2BCAD43C"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65,268</w:t>
            </w:r>
          </w:p>
        </w:tc>
        <w:tc>
          <w:tcPr>
            <w:tcW w:w="994" w:type="dxa"/>
            <w:tcBorders>
              <w:top w:val="nil"/>
              <w:left w:val="nil"/>
              <w:bottom w:val="single" w:sz="4" w:space="0" w:color="auto"/>
              <w:right w:val="nil"/>
            </w:tcBorders>
            <w:shd w:val="clear" w:color="000000" w:fill="757171"/>
            <w:noWrap/>
            <w:vAlign w:val="bottom"/>
            <w:hideMark/>
          </w:tcPr>
          <w:p w14:paraId="1F3CBC2B"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886" w:type="dxa"/>
            <w:tcBorders>
              <w:top w:val="nil"/>
              <w:left w:val="nil"/>
              <w:bottom w:val="single" w:sz="4" w:space="0" w:color="auto"/>
              <w:right w:val="single" w:sz="4" w:space="0" w:color="auto"/>
            </w:tcBorders>
            <w:shd w:val="clear" w:color="000000" w:fill="757171"/>
            <w:noWrap/>
            <w:vAlign w:val="bottom"/>
            <w:hideMark/>
          </w:tcPr>
          <w:p w14:paraId="780B8433" w14:textId="77777777" w:rsidR="0000269C" w:rsidRPr="005C5E7D" w:rsidRDefault="0000269C" w:rsidP="0000269C">
            <w:pPr>
              <w:spacing w:after="0" w:line="240" w:lineRule="auto"/>
              <w:jc w:val="both"/>
              <w:rPr>
                <w:rFonts w:ascii="Calibri Light" w:eastAsia="Times New Roman" w:hAnsi="Calibri Light" w:cs="Calibri Light"/>
                <w:color w:val="000000"/>
                <w:sz w:val="20"/>
                <w:szCs w:val="20"/>
              </w:rPr>
            </w:pPr>
            <w:r w:rsidRPr="005C5E7D">
              <w:rPr>
                <w:rFonts w:ascii="Calibri Light" w:eastAsia="Times New Roman" w:hAnsi="Calibri Light" w:cs="Calibri Light"/>
                <w:color w:val="000000"/>
                <w:sz w:val="20"/>
                <w:szCs w:val="20"/>
              </w:rPr>
              <w:t> </w:t>
            </w:r>
          </w:p>
        </w:tc>
        <w:tc>
          <w:tcPr>
            <w:tcW w:w="904" w:type="dxa"/>
            <w:tcBorders>
              <w:top w:val="nil"/>
              <w:left w:val="nil"/>
              <w:bottom w:val="single" w:sz="4" w:space="0" w:color="auto"/>
              <w:right w:val="single" w:sz="4" w:space="0" w:color="auto"/>
            </w:tcBorders>
            <w:shd w:val="clear" w:color="auto" w:fill="auto"/>
            <w:noWrap/>
            <w:vAlign w:val="bottom"/>
            <w:hideMark/>
          </w:tcPr>
          <w:p w14:paraId="6CDB9CC6"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182,845</w:t>
            </w:r>
          </w:p>
        </w:tc>
        <w:tc>
          <w:tcPr>
            <w:tcW w:w="868" w:type="dxa"/>
            <w:tcBorders>
              <w:top w:val="nil"/>
              <w:left w:val="nil"/>
              <w:bottom w:val="single" w:sz="4" w:space="0" w:color="auto"/>
              <w:right w:val="single" w:sz="4" w:space="0" w:color="auto"/>
            </w:tcBorders>
            <w:shd w:val="clear" w:color="auto" w:fill="auto"/>
            <w:noWrap/>
            <w:vAlign w:val="bottom"/>
            <w:hideMark/>
          </w:tcPr>
          <w:p w14:paraId="401A48B2"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85,225</w:t>
            </w:r>
          </w:p>
        </w:tc>
        <w:tc>
          <w:tcPr>
            <w:tcW w:w="860" w:type="dxa"/>
            <w:tcBorders>
              <w:top w:val="nil"/>
              <w:left w:val="nil"/>
              <w:bottom w:val="single" w:sz="4" w:space="0" w:color="auto"/>
              <w:right w:val="single" w:sz="4" w:space="0" w:color="auto"/>
            </w:tcBorders>
            <w:shd w:val="clear" w:color="auto" w:fill="auto"/>
            <w:noWrap/>
            <w:vAlign w:val="bottom"/>
            <w:hideMark/>
          </w:tcPr>
          <w:p w14:paraId="4B63BCBD" w14:textId="77777777" w:rsidR="0000269C" w:rsidRPr="005C5E7D" w:rsidRDefault="0000269C" w:rsidP="0000269C">
            <w:pPr>
              <w:spacing w:after="0" w:line="240" w:lineRule="auto"/>
              <w:jc w:val="both"/>
              <w:rPr>
                <w:rFonts w:ascii="Calibri Light" w:eastAsia="Times New Roman" w:hAnsi="Calibri Light" w:cs="Calibri Light"/>
                <w:b/>
                <w:bCs/>
                <w:color w:val="000000"/>
                <w:sz w:val="20"/>
                <w:szCs w:val="20"/>
              </w:rPr>
            </w:pPr>
            <w:r w:rsidRPr="005C5E7D">
              <w:rPr>
                <w:rFonts w:ascii="Calibri Light" w:eastAsia="Times New Roman" w:hAnsi="Calibri Light" w:cs="Calibri Light"/>
                <w:b/>
                <w:bCs/>
                <w:color w:val="000000"/>
                <w:sz w:val="20"/>
                <w:szCs w:val="20"/>
              </w:rPr>
              <w:t>97,620</w:t>
            </w:r>
          </w:p>
        </w:tc>
      </w:tr>
    </w:tbl>
    <w:p w14:paraId="2E6F6463" w14:textId="5B63E1BB" w:rsidR="0000269C" w:rsidRDefault="0000269C" w:rsidP="00786EC9">
      <w:pPr>
        <w:jc w:val="both"/>
      </w:pPr>
    </w:p>
    <w:p w14:paraId="2834B443" w14:textId="4E8551B2" w:rsidR="004D7E21" w:rsidRDefault="004D7E21" w:rsidP="0000269C">
      <w:pPr>
        <w:jc w:val="both"/>
        <w:sectPr w:rsidR="004D7E21" w:rsidSect="004D7E21">
          <w:pgSz w:w="11906" w:h="16838" w:code="9"/>
          <w:pgMar w:top="1701" w:right="1134" w:bottom="1418" w:left="1134" w:header="425" w:footer="493" w:gutter="0"/>
          <w:cols w:space="397"/>
          <w:titlePg/>
          <w:docGrid w:linePitch="360"/>
        </w:sectPr>
      </w:pPr>
    </w:p>
    <w:p w14:paraId="026AF2A6" w14:textId="7052813B" w:rsidR="0000269C" w:rsidRDefault="0000269C" w:rsidP="0000269C">
      <w:pPr>
        <w:jc w:val="both"/>
      </w:pPr>
    </w:p>
    <w:p w14:paraId="489B77CA" w14:textId="77777777" w:rsidR="0000269C" w:rsidRDefault="0000269C" w:rsidP="0000269C">
      <w:pPr>
        <w:jc w:val="center"/>
        <w:rPr>
          <w:b/>
          <w:sz w:val="24"/>
          <w:szCs w:val="24"/>
        </w:rPr>
      </w:pPr>
    </w:p>
    <w:p w14:paraId="6F92D706" w14:textId="7D93B16F" w:rsidR="008E2834" w:rsidRDefault="008E2834" w:rsidP="00274C18">
      <w:pPr>
        <w:pStyle w:val="Heading3"/>
      </w:pPr>
      <w:bookmarkStart w:id="58" w:name="_Toc499298874"/>
      <w:r>
        <w:t>A</w:t>
      </w:r>
      <w:r w:rsidR="00D91D8B">
        <w:t>nnex 11</w:t>
      </w:r>
      <w:r>
        <w:t>: Risk Matrix</w:t>
      </w:r>
      <w:bookmarkEnd w:id="58"/>
    </w:p>
    <w:tbl>
      <w:tblPr>
        <w:tblStyle w:val="TableGrid"/>
        <w:tblW w:w="5000" w:type="pct"/>
        <w:tblLook w:val="04A0" w:firstRow="1" w:lastRow="0" w:firstColumn="1" w:lastColumn="0" w:noHBand="0" w:noVBand="1"/>
      </w:tblPr>
      <w:tblGrid>
        <w:gridCol w:w="1962"/>
        <w:gridCol w:w="2885"/>
        <w:gridCol w:w="4877"/>
        <w:gridCol w:w="1235"/>
        <w:gridCol w:w="750"/>
        <w:gridCol w:w="872"/>
        <w:gridCol w:w="1354"/>
      </w:tblGrid>
      <w:tr w:rsidR="00162E0B" w14:paraId="2633CC94" w14:textId="77777777" w:rsidTr="00373375">
        <w:trPr>
          <w:trHeight w:val="188"/>
        </w:trPr>
        <w:tc>
          <w:tcPr>
            <w:tcW w:w="704" w:type="pct"/>
            <w:vMerge w:val="restart"/>
            <w:tcBorders>
              <w:top w:val="single" w:sz="4" w:space="0" w:color="auto"/>
              <w:left w:val="single" w:sz="4" w:space="0" w:color="auto"/>
              <w:bottom w:val="nil"/>
              <w:right w:val="single" w:sz="4" w:space="0" w:color="auto"/>
            </w:tcBorders>
            <w:shd w:val="clear" w:color="auto" w:fill="B4C6E7" w:themeFill="accent1" w:themeFillTint="66"/>
          </w:tcPr>
          <w:p w14:paraId="60B2234C" w14:textId="77777777" w:rsidR="00162E0B" w:rsidRDefault="00162E0B" w:rsidP="00794C57">
            <w:pPr>
              <w:pStyle w:val="BodyText"/>
              <w:rPr>
                <w:rFonts w:asciiTheme="majorHAnsi" w:hAnsiTheme="majorHAnsi"/>
              </w:rPr>
            </w:pPr>
          </w:p>
        </w:tc>
        <w:tc>
          <w:tcPr>
            <w:tcW w:w="1035" w:type="pct"/>
            <w:vMerge w:val="restart"/>
            <w:tcBorders>
              <w:left w:val="single" w:sz="4" w:space="0" w:color="auto"/>
            </w:tcBorders>
            <w:shd w:val="clear" w:color="auto" w:fill="B4C6E7" w:themeFill="accent1" w:themeFillTint="66"/>
          </w:tcPr>
          <w:p w14:paraId="473FDA4C" w14:textId="12D06B54" w:rsidR="00162E0B" w:rsidRPr="00181239" w:rsidRDefault="00162E0B" w:rsidP="00794C57">
            <w:pPr>
              <w:pStyle w:val="BodyText"/>
              <w:rPr>
                <w:rFonts w:asciiTheme="majorHAnsi" w:hAnsiTheme="majorHAnsi"/>
                <w:b/>
                <w:sz w:val="18"/>
                <w:szCs w:val="18"/>
              </w:rPr>
            </w:pPr>
            <w:r w:rsidRPr="00181239">
              <w:rPr>
                <w:rFonts w:asciiTheme="majorHAnsi" w:hAnsiTheme="majorHAnsi"/>
                <w:b/>
                <w:sz w:val="18"/>
                <w:szCs w:val="18"/>
              </w:rPr>
              <w:t>Event/Impact</w:t>
            </w:r>
          </w:p>
        </w:tc>
        <w:tc>
          <w:tcPr>
            <w:tcW w:w="1750" w:type="pct"/>
            <w:vMerge w:val="restart"/>
            <w:shd w:val="clear" w:color="auto" w:fill="B4C6E7" w:themeFill="accent1" w:themeFillTint="66"/>
          </w:tcPr>
          <w:p w14:paraId="77A672D1" w14:textId="60B14909" w:rsidR="00162E0B" w:rsidRPr="00EB5DB3" w:rsidRDefault="00162E0B" w:rsidP="00794C57">
            <w:pPr>
              <w:pStyle w:val="BodyText"/>
              <w:rPr>
                <w:rFonts w:asciiTheme="majorHAnsi" w:hAnsiTheme="majorHAnsi"/>
                <w:b/>
                <w:sz w:val="16"/>
                <w:szCs w:val="16"/>
              </w:rPr>
            </w:pPr>
            <w:r w:rsidRPr="00EB5DB3">
              <w:rPr>
                <w:rFonts w:asciiTheme="majorHAnsi" w:hAnsiTheme="majorHAnsi"/>
                <w:b/>
                <w:sz w:val="16"/>
                <w:szCs w:val="16"/>
              </w:rPr>
              <w:t>Mitigation/Treatment</w:t>
            </w:r>
          </w:p>
        </w:tc>
        <w:tc>
          <w:tcPr>
            <w:tcW w:w="443" w:type="pct"/>
            <w:vMerge w:val="restart"/>
            <w:shd w:val="clear" w:color="auto" w:fill="B4C6E7" w:themeFill="accent1" w:themeFillTint="66"/>
          </w:tcPr>
          <w:p w14:paraId="478FBAA1" w14:textId="26724975" w:rsidR="00162E0B" w:rsidRPr="00181239" w:rsidRDefault="00162E0B" w:rsidP="00794C57">
            <w:pPr>
              <w:pStyle w:val="BodyText"/>
              <w:rPr>
                <w:rFonts w:asciiTheme="majorHAnsi" w:hAnsiTheme="majorHAnsi"/>
                <w:b/>
                <w:sz w:val="18"/>
                <w:szCs w:val="18"/>
              </w:rPr>
            </w:pPr>
            <w:r w:rsidRPr="00181239">
              <w:rPr>
                <w:rFonts w:asciiTheme="majorHAnsi" w:hAnsiTheme="majorHAnsi"/>
                <w:b/>
                <w:sz w:val="18"/>
                <w:szCs w:val="18"/>
              </w:rPr>
              <w:t>Responsibility</w:t>
            </w:r>
          </w:p>
        </w:tc>
        <w:tc>
          <w:tcPr>
            <w:tcW w:w="1068" w:type="pct"/>
            <w:gridSpan w:val="3"/>
            <w:shd w:val="clear" w:color="auto" w:fill="B4C6E7" w:themeFill="accent1" w:themeFillTint="66"/>
          </w:tcPr>
          <w:p w14:paraId="6FF79252" w14:textId="0FB86F2E" w:rsidR="00162E0B" w:rsidRPr="00181239" w:rsidRDefault="00162E0B" w:rsidP="00794C57">
            <w:pPr>
              <w:pStyle w:val="BodyText"/>
              <w:rPr>
                <w:rFonts w:asciiTheme="majorHAnsi" w:hAnsiTheme="majorHAnsi"/>
                <w:b/>
                <w:sz w:val="18"/>
                <w:szCs w:val="18"/>
              </w:rPr>
            </w:pPr>
            <w:r w:rsidRPr="00181239">
              <w:rPr>
                <w:rFonts w:asciiTheme="majorHAnsi" w:hAnsiTheme="majorHAnsi"/>
                <w:b/>
                <w:sz w:val="18"/>
                <w:szCs w:val="18"/>
              </w:rPr>
              <w:t>Rating after Mitigation</w:t>
            </w:r>
          </w:p>
        </w:tc>
      </w:tr>
      <w:tr w:rsidR="00162E0B" w14:paraId="11B34335" w14:textId="77777777" w:rsidTr="00373375">
        <w:trPr>
          <w:trHeight w:val="187"/>
        </w:trPr>
        <w:tc>
          <w:tcPr>
            <w:tcW w:w="704" w:type="pct"/>
            <w:vMerge/>
            <w:tcBorders>
              <w:top w:val="nil"/>
              <w:left w:val="single" w:sz="4" w:space="0" w:color="auto"/>
              <w:bottom w:val="nil"/>
              <w:right w:val="single" w:sz="4" w:space="0" w:color="auto"/>
            </w:tcBorders>
            <w:shd w:val="clear" w:color="auto" w:fill="B4C6E7" w:themeFill="accent1" w:themeFillTint="66"/>
          </w:tcPr>
          <w:p w14:paraId="499132E7" w14:textId="77777777" w:rsidR="00162E0B" w:rsidRDefault="00162E0B" w:rsidP="00794C57">
            <w:pPr>
              <w:pStyle w:val="BodyText"/>
              <w:rPr>
                <w:rFonts w:asciiTheme="majorHAnsi" w:hAnsiTheme="majorHAnsi"/>
              </w:rPr>
            </w:pPr>
          </w:p>
        </w:tc>
        <w:tc>
          <w:tcPr>
            <w:tcW w:w="1035" w:type="pct"/>
            <w:vMerge/>
            <w:tcBorders>
              <w:left w:val="single" w:sz="4" w:space="0" w:color="auto"/>
            </w:tcBorders>
            <w:shd w:val="clear" w:color="auto" w:fill="B4C6E7" w:themeFill="accent1" w:themeFillTint="66"/>
          </w:tcPr>
          <w:p w14:paraId="625A9D1C" w14:textId="77777777" w:rsidR="00162E0B" w:rsidRPr="00181239" w:rsidRDefault="00162E0B" w:rsidP="00794C57">
            <w:pPr>
              <w:pStyle w:val="BodyText"/>
              <w:rPr>
                <w:rFonts w:asciiTheme="majorHAnsi" w:hAnsiTheme="majorHAnsi"/>
                <w:b/>
                <w:sz w:val="18"/>
                <w:szCs w:val="18"/>
              </w:rPr>
            </w:pPr>
          </w:p>
        </w:tc>
        <w:tc>
          <w:tcPr>
            <w:tcW w:w="1750" w:type="pct"/>
            <w:vMerge/>
            <w:shd w:val="clear" w:color="auto" w:fill="B4C6E7" w:themeFill="accent1" w:themeFillTint="66"/>
          </w:tcPr>
          <w:p w14:paraId="494A292B" w14:textId="77777777" w:rsidR="00162E0B" w:rsidRPr="00EB5DB3" w:rsidRDefault="00162E0B" w:rsidP="00794C57">
            <w:pPr>
              <w:pStyle w:val="BodyText"/>
              <w:rPr>
                <w:rFonts w:asciiTheme="majorHAnsi" w:hAnsiTheme="majorHAnsi"/>
                <w:b/>
                <w:sz w:val="16"/>
                <w:szCs w:val="16"/>
              </w:rPr>
            </w:pPr>
          </w:p>
        </w:tc>
        <w:tc>
          <w:tcPr>
            <w:tcW w:w="443" w:type="pct"/>
            <w:vMerge/>
            <w:shd w:val="clear" w:color="auto" w:fill="B4C6E7" w:themeFill="accent1" w:themeFillTint="66"/>
          </w:tcPr>
          <w:p w14:paraId="3D1A22F9" w14:textId="77777777" w:rsidR="00162E0B" w:rsidRPr="00181239" w:rsidRDefault="00162E0B" w:rsidP="00794C57">
            <w:pPr>
              <w:pStyle w:val="BodyText"/>
              <w:rPr>
                <w:rFonts w:asciiTheme="majorHAnsi" w:hAnsiTheme="majorHAnsi"/>
                <w:b/>
                <w:sz w:val="18"/>
                <w:szCs w:val="18"/>
              </w:rPr>
            </w:pPr>
          </w:p>
        </w:tc>
        <w:tc>
          <w:tcPr>
            <w:tcW w:w="269" w:type="pct"/>
            <w:shd w:val="clear" w:color="auto" w:fill="B4C6E7" w:themeFill="accent1" w:themeFillTint="66"/>
          </w:tcPr>
          <w:p w14:paraId="79B98484" w14:textId="6A64FCA8" w:rsidR="00162E0B" w:rsidRPr="00162E0B" w:rsidRDefault="00162E0B" w:rsidP="00794C57">
            <w:pPr>
              <w:pStyle w:val="BodyText"/>
              <w:rPr>
                <w:rFonts w:asciiTheme="majorHAnsi" w:hAnsiTheme="majorHAnsi"/>
                <w:b/>
                <w:sz w:val="10"/>
                <w:szCs w:val="10"/>
              </w:rPr>
            </w:pPr>
            <w:r w:rsidRPr="00162E0B">
              <w:rPr>
                <w:rFonts w:asciiTheme="majorHAnsi" w:hAnsiTheme="majorHAnsi"/>
                <w:b/>
                <w:sz w:val="10"/>
                <w:szCs w:val="10"/>
              </w:rPr>
              <w:t>Likelihood</w:t>
            </w:r>
          </w:p>
        </w:tc>
        <w:tc>
          <w:tcPr>
            <w:tcW w:w="313" w:type="pct"/>
            <w:shd w:val="clear" w:color="auto" w:fill="B4C6E7" w:themeFill="accent1" w:themeFillTint="66"/>
          </w:tcPr>
          <w:p w14:paraId="5D1DA839" w14:textId="046672CB" w:rsidR="00162E0B" w:rsidRPr="00162E0B" w:rsidRDefault="00162E0B" w:rsidP="00794C57">
            <w:pPr>
              <w:pStyle w:val="BodyText"/>
              <w:rPr>
                <w:rFonts w:asciiTheme="majorHAnsi" w:hAnsiTheme="majorHAnsi"/>
                <w:b/>
                <w:sz w:val="10"/>
                <w:szCs w:val="10"/>
              </w:rPr>
            </w:pPr>
            <w:r w:rsidRPr="00162E0B">
              <w:rPr>
                <w:rFonts w:asciiTheme="majorHAnsi" w:hAnsiTheme="majorHAnsi"/>
                <w:b/>
                <w:sz w:val="10"/>
                <w:szCs w:val="10"/>
              </w:rPr>
              <w:t>Consequence</w:t>
            </w:r>
          </w:p>
        </w:tc>
        <w:tc>
          <w:tcPr>
            <w:tcW w:w="486" w:type="pct"/>
            <w:shd w:val="clear" w:color="auto" w:fill="B4C6E7" w:themeFill="accent1" w:themeFillTint="66"/>
          </w:tcPr>
          <w:p w14:paraId="2EBC87D2" w14:textId="5D38D14E" w:rsidR="00162E0B" w:rsidRPr="00162E0B" w:rsidRDefault="00162E0B" w:rsidP="00794C57">
            <w:pPr>
              <w:pStyle w:val="BodyText"/>
              <w:rPr>
                <w:rFonts w:asciiTheme="majorHAnsi" w:hAnsiTheme="majorHAnsi"/>
                <w:b/>
                <w:sz w:val="10"/>
                <w:szCs w:val="10"/>
              </w:rPr>
            </w:pPr>
            <w:r w:rsidRPr="00162E0B">
              <w:rPr>
                <w:rFonts w:asciiTheme="majorHAnsi" w:hAnsiTheme="majorHAnsi"/>
                <w:b/>
                <w:sz w:val="10"/>
                <w:szCs w:val="10"/>
              </w:rPr>
              <w:t>Rating</w:t>
            </w:r>
          </w:p>
        </w:tc>
      </w:tr>
      <w:tr w:rsidR="00181239" w14:paraId="0B9F875A" w14:textId="77777777" w:rsidTr="00373375">
        <w:trPr>
          <w:trHeight w:val="1493"/>
        </w:trPr>
        <w:tc>
          <w:tcPr>
            <w:tcW w:w="704" w:type="pct"/>
            <w:tcBorders>
              <w:top w:val="nil"/>
              <w:left w:val="single" w:sz="4" w:space="0" w:color="auto"/>
              <w:bottom w:val="nil"/>
              <w:right w:val="single" w:sz="4" w:space="0" w:color="auto"/>
            </w:tcBorders>
            <w:shd w:val="clear" w:color="auto" w:fill="B4C6E7" w:themeFill="accent1" w:themeFillTint="66"/>
          </w:tcPr>
          <w:p w14:paraId="1894D29E" w14:textId="1B18BFFB" w:rsidR="00181239" w:rsidRPr="00181239" w:rsidRDefault="00181239" w:rsidP="00794C57">
            <w:pPr>
              <w:pStyle w:val="BodyText"/>
              <w:rPr>
                <w:rFonts w:asciiTheme="majorHAnsi" w:hAnsiTheme="majorHAnsi"/>
                <w:b/>
                <w:sz w:val="18"/>
                <w:szCs w:val="18"/>
              </w:rPr>
            </w:pPr>
            <w:r w:rsidRPr="00181239">
              <w:rPr>
                <w:rFonts w:asciiTheme="majorHAnsi" w:hAnsiTheme="majorHAnsi"/>
                <w:b/>
                <w:sz w:val="18"/>
                <w:szCs w:val="18"/>
              </w:rPr>
              <w:t>Operating Environment</w:t>
            </w:r>
          </w:p>
        </w:tc>
        <w:tc>
          <w:tcPr>
            <w:tcW w:w="1035" w:type="pct"/>
            <w:tcBorders>
              <w:left w:val="single" w:sz="4" w:space="0" w:color="auto"/>
            </w:tcBorders>
          </w:tcPr>
          <w:p w14:paraId="798B2D18" w14:textId="77777777" w:rsidR="00455D79" w:rsidRPr="008011F8" w:rsidRDefault="00455D79" w:rsidP="00455D79">
            <w:pPr>
              <w:pStyle w:val="BodyText"/>
              <w:rPr>
                <w:rFonts w:cstheme="minorHAnsi"/>
                <w:sz w:val="16"/>
                <w:szCs w:val="16"/>
              </w:rPr>
            </w:pPr>
            <w:r w:rsidRPr="008011F8">
              <w:rPr>
                <w:rFonts w:cstheme="minorHAnsi"/>
                <w:sz w:val="16"/>
                <w:szCs w:val="16"/>
              </w:rPr>
              <w:t xml:space="preserve">Non-conducive government policies and other agribusiness enabling factors, including vested interests and subsidies, distort market systems and prevent a competitive private sector impacting the achievement of more systemic change to market systems. </w:t>
            </w:r>
          </w:p>
          <w:p w14:paraId="2C3C17B1" w14:textId="2D00F3C7" w:rsidR="00181239" w:rsidRPr="008011F8" w:rsidRDefault="00181239" w:rsidP="00794C57">
            <w:pPr>
              <w:pStyle w:val="BodyText"/>
              <w:rPr>
                <w:rFonts w:asciiTheme="majorHAnsi" w:hAnsiTheme="majorHAnsi"/>
                <w:sz w:val="16"/>
                <w:szCs w:val="16"/>
                <w:highlight w:val="yellow"/>
              </w:rPr>
            </w:pPr>
          </w:p>
        </w:tc>
        <w:tc>
          <w:tcPr>
            <w:tcW w:w="1750" w:type="pct"/>
          </w:tcPr>
          <w:p w14:paraId="5D3699D2" w14:textId="3BD1BF3F" w:rsidR="000818AA" w:rsidRDefault="000818AA" w:rsidP="004B220D">
            <w:pPr>
              <w:pStyle w:val="BodyText"/>
              <w:numPr>
                <w:ilvl w:val="0"/>
                <w:numId w:val="27"/>
              </w:numPr>
              <w:rPr>
                <w:rFonts w:asciiTheme="majorHAnsi" w:hAnsiTheme="majorHAnsi"/>
                <w:sz w:val="16"/>
                <w:szCs w:val="16"/>
              </w:rPr>
            </w:pPr>
            <w:r w:rsidRPr="00EB5DB3">
              <w:rPr>
                <w:rFonts w:asciiTheme="majorHAnsi" w:hAnsiTheme="majorHAnsi"/>
                <w:sz w:val="16"/>
                <w:szCs w:val="16"/>
              </w:rPr>
              <w:t xml:space="preserve">DFAT will work closely with BAPPENAS to </w:t>
            </w:r>
            <w:r w:rsidR="007811F1">
              <w:rPr>
                <w:rFonts w:asciiTheme="majorHAnsi" w:hAnsiTheme="majorHAnsi"/>
                <w:sz w:val="16"/>
                <w:szCs w:val="16"/>
              </w:rPr>
              <w:t>facilitate communication between</w:t>
            </w:r>
            <w:r w:rsidR="007811F1" w:rsidRPr="00EB5DB3">
              <w:rPr>
                <w:rFonts w:asciiTheme="majorHAnsi" w:hAnsiTheme="majorHAnsi"/>
                <w:sz w:val="16"/>
                <w:szCs w:val="16"/>
              </w:rPr>
              <w:t xml:space="preserve"> </w:t>
            </w:r>
            <w:proofErr w:type="spellStart"/>
            <w:r w:rsidRPr="00EB5DB3">
              <w:rPr>
                <w:rFonts w:asciiTheme="majorHAnsi" w:hAnsiTheme="majorHAnsi"/>
                <w:sz w:val="16"/>
                <w:szCs w:val="16"/>
              </w:rPr>
              <w:t>GoI</w:t>
            </w:r>
            <w:proofErr w:type="spellEnd"/>
            <w:r w:rsidRPr="00EB5DB3">
              <w:rPr>
                <w:rFonts w:asciiTheme="majorHAnsi" w:hAnsiTheme="majorHAnsi"/>
                <w:sz w:val="16"/>
                <w:szCs w:val="16"/>
              </w:rPr>
              <w:t xml:space="preserve"> </w:t>
            </w:r>
            <w:r w:rsidR="007811F1">
              <w:rPr>
                <w:rFonts w:asciiTheme="majorHAnsi" w:hAnsiTheme="majorHAnsi"/>
                <w:sz w:val="16"/>
                <w:szCs w:val="16"/>
              </w:rPr>
              <w:t>and</w:t>
            </w:r>
            <w:r w:rsidR="007811F1" w:rsidRPr="00EB5DB3">
              <w:rPr>
                <w:rFonts w:asciiTheme="majorHAnsi" w:hAnsiTheme="majorHAnsi"/>
                <w:sz w:val="16"/>
                <w:szCs w:val="16"/>
              </w:rPr>
              <w:t xml:space="preserve"> </w:t>
            </w:r>
            <w:r w:rsidRPr="00EB5DB3">
              <w:rPr>
                <w:rFonts w:asciiTheme="majorHAnsi" w:hAnsiTheme="majorHAnsi"/>
                <w:sz w:val="16"/>
                <w:szCs w:val="16"/>
              </w:rPr>
              <w:t>private sector companies/</w:t>
            </w:r>
            <w:r w:rsidR="002F27A6">
              <w:rPr>
                <w:rFonts w:asciiTheme="majorHAnsi" w:hAnsiTheme="majorHAnsi"/>
                <w:sz w:val="16"/>
                <w:szCs w:val="16"/>
              </w:rPr>
              <w:t>businesse</w:t>
            </w:r>
            <w:r w:rsidRPr="00EB5DB3">
              <w:rPr>
                <w:rFonts w:asciiTheme="majorHAnsi" w:hAnsiTheme="majorHAnsi"/>
                <w:sz w:val="16"/>
                <w:szCs w:val="16"/>
              </w:rPr>
              <w:t>s</w:t>
            </w:r>
            <w:r w:rsidR="00EB5DB3" w:rsidRPr="00EB5DB3">
              <w:rPr>
                <w:rFonts w:asciiTheme="majorHAnsi" w:hAnsiTheme="majorHAnsi"/>
                <w:sz w:val="16"/>
                <w:szCs w:val="16"/>
              </w:rPr>
              <w:t xml:space="preserve">. </w:t>
            </w:r>
          </w:p>
          <w:p w14:paraId="43A82A5E" w14:textId="0B819CBF" w:rsidR="007811F1" w:rsidRDefault="007811F1" w:rsidP="004B220D">
            <w:pPr>
              <w:pStyle w:val="BodyText"/>
              <w:numPr>
                <w:ilvl w:val="0"/>
                <w:numId w:val="27"/>
              </w:numPr>
              <w:rPr>
                <w:rFonts w:asciiTheme="majorHAnsi" w:hAnsiTheme="majorHAnsi"/>
                <w:sz w:val="16"/>
                <w:szCs w:val="16"/>
              </w:rPr>
            </w:pPr>
            <w:r>
              <w:rPr>
                <w:rFonts w:asciiTheme="majorHAnsi" w:hAnsiTheme="majorHAnsi"/>
                <w:sz w:val="16"/>
                <w:szCs w:val="16"/>
              </w:rPr>
              <w:t>MRM information and lessons learned will be prepared for different communication channels to influence influencers</w:t>
            </w:r>
          </w:p>
          <w:p w14:paraId="0C67DE2A" w14:textId="6C5FB056" w:rsidR="00E2392C" w:rsidRPr="00EB5DB3" w:rsidRDefault="00E2392C" w:rsidP="004B220D">
            <w:pPr>
              <w:pStyle w:val="BodyText"/>
              <w:numPr>
                <w:ilvl w:val="0"/>
                <w:numId w:val="27"/>
              </w:numPr>
              <w:rPr>
                <w:rFonts w:asciiTheme="majorHAnsi" w:hAnsiTheme="majorHAnsi"/>
                <w:sz w:val="16"/>
                <w:szCs w:val="16"/>
              </w:rPr>
            </w:pPr>
            <w:r>
              <w:rPr>
                <w:rFonts w:asciiTheme="majorHAnsi" w:hAnsiTheme="majorHAnsi"/>
                <w:sz w:val="16"/>
                <w:szCs w:val="16"/>
              </w:rPr>
              <w:t xml:space="preserve">Ongoing engagement with Program Coordination Committee and Technical Working Group to maintain high level coordination, relevance and alignment with policy priorities. </w:t>
            </w:r>
          </w:p>
          <w:p w14:paraId="63E25D83" w14:textId="7D291CF0" w:rsidR="00EB5DB3" w:rsidRDefault="00EB5DB3" w:rsidP="004B220D">
            <w:pPr>
              <w:pStyle w:val="BodyText"/>
              <w:numPr>
                <w:ilvl w:val="0"/>
                <w:numId w:val="27"/>
              </w:numPr>
              <w:rPr>
                <w:rFonts w:asciiTheme="majorHAnsi" w:hAnsiTheme="majorHAnsi"/>
                <w:sz w:val="16"/>
                <w:szCs w:val="16"/>
              </w:rPr>
            </w:pPr>
            <w:r w:rsidRPr="00EB5DB3">
              <w:rPr>
                <w:rFonts w:asciiTheme="majorHAnsi" w:hAnsiTheme="majorHAnsi"/>
                <w:sz w:val="16"/>
                <w:szCs w:val="16"/>
              </w:rPr>
              <w:t>Program will work with other DFAT programs including AIPEG</w:t>
            </w:r>
            <w:r w:rsidR="00253D41">
              <w:rPr>
                <w:rFonts w:asciiTheme="majorHAnsi" w:hAnsiTheme="majorHAnsi"/>
                <w:sz w:val="16"/>
                <w:szCs w:val="16"/>
              </w:rPr>
              <w:t>/AI-ECO</w:t>
            </w:r>
            <w:r w:rsidRPr="00EB5DB3">
              <w:rPr>
                <w:rFonts w:asciiTheme="majorHAnsi" w:hAnsiTheme="majorHAnsi"/>
                <w:sz w:val="16"/>
                <w:szCs w:val="16"/>
              </w:rPr>
              <w:t xml:space="preserve"> and MAHKOTA to support research and development of relevant policy papers.</w:t>
            </w:r>
          </w:p>
          <w:p w14:paraId="35F54860" w14:textId="78A2B0CB" w:rsidR="00EB5DB3" w:rsidRDefault="00EB5DB3" w:rsidP="004B220D">
            <w:pPr>
              <w:pStyle w:val="BodyText"/>
              <w:numPr>
                <w:ilvl w:val="0"/>
                <w:numId w:val="27"/>
              </w:numPr>
              <w:rPr>
                <w:rFonts w:asciiTheme="majorHAnsi" w:hAnsiTheme="majorHAnsi"/>
                <w:sz w:val="16"/>
                <w:szCs w:val="16"/>
              </w:rPr>
            </w:pPr>
            <w:r>
              <w:rPr>
                <w:rFonts w:asciiTheme="majorHAnsi" w:hAnsiTheme="majorHAnsi"/>
                <w:sz w:val="16"/>
                <w:szCs w:val="16"/>
              </w:rPr>
              <w:t xml:space="preserve">Collaboration with local government to identify local solutions and promote impacts and results of </w:t>
            </w:r>
            <w:r w:rsidR="005D461A">
              <w:rPr>
                <w:rFonts w:asciiTheme="majorHAnsi" w:hAnsiTheme="majorHAnsi"/>
                <w:sz w:val="16"/>
                <w:szCs w:val="16"/>
              </w:rPr>
              <w:t>PRISMA-2</w:t>
            </w:r>
            <w:r>
              <w:rPr>
                <w:rFonts w:asciiTheme="majorHAnsi" w:hAnsiTheme="majorHAnsi"/>
                <w:sz w:val="16"/>
                <w:szCs w:val="16"/>
              </w:rPr>
              <w:t xml:space="preserve"> interventions. </w:t>
            </w:r>
          </w:p>
          <w:p w14:paraId="1865B78C" w14:textId="74BC3749" w:rsidR="00181239" w:rsidRPr="00253D41" w:rsidRDefault="00EB5DB3" w:rsidP="008F165E">
            <w:pPr>
              <w:pStyle w:val="BodyText"/>
              <w:numPr>
                <w:ilvl w:val="0"/>
                <w:numId w:val="27"/>
              </w:numPr>
              <w:rPr>
                <w:rFonts w:asciiTheme="majorHAnsi" w:hAnsiTheme="majorHAnsi"/>
                <w:sz w:val="16"/>
                <w:szCs w:val="16"/>
              </w:rPr>
            </w:pPr>
            <w:r>
              <w:rPr>
                <w:rFonts w:asciiTheme="majorHAnsi" w:hAnsiTheme="majorHAnsi"/>
                <w:sz w:val="16"/>
                <w:szCs w:val="16"/>
              </w:rPr>
              <w:t>Engagement and collaboration with influential private sector partners, research institutions and other organisations to support more conducive policy environment at national and sub-national level</w:t>
            </w:r>
            <w:r w:rsidR="008F165E">
              <w:rPr>
                <w:rFonts w:asciiTheme="majorHAnsi" w:hAnsiTheme="majorHAnsi"/>
                <w:sz w:val="16"/>
                <w:szCs w:val="16"/>
              </w:rPr>
              <w:t>s</w:t>
            </w:r>
            <w:r>
              <w:rPr>
                <w:rFonts w:asciiTheme="majorHAnsi" w:hAnsiTheme="majorHAnsi"/>
                <w:sz w:val="16"/>
                <w:szCs w:val="16"/>
              </w:rPr>
              <w:t xml:space="preserve">. </w:t>
            </w:r>
          </w:p>
        </w:tc>
        <w:tc>
          <w:tcPr>
            <w:tcW w:w="443" w:type="pct"/>
          </w:tcPr>
          <w:p w14:paraId="113F2BF6" w14:textId="7E1DA0B0" w:rsidR="00181239" w:rsidRPr="00EB5DB3" w:rsidRDefault="00EB5DB3" w:rsidP="00794C57">
            <w:pPr>
              <w:pStyle w:val="BodyText"/>
              <w:rPr>
                <w:rFonts w:asciiTheme="majorHAnsi" w:hAnsiTheme="majorHAnsi"/>
                <w:sz w:val="16"/>
                <w:szCs w:val="16"/>
              </w:rPr>
            </w:pPr>
            <w:r>
              <w:rPr>
                <w:rFonts w:asciiTheme="majorHAnsi" w:hAnsiTheme="majorHAnsi"/>
                <w:sz w:val="16"/>
                <w:szCs w:val="16"/>
              </w:rPr>
              <w:t>DFAT/ Contractor</w:t>
            </w:r>
          </w:p>
        </w:tc>
        <w:tc>
          <w:tcPr>
            <w:tcW w:w="269" w:type="pct"/>
          </w:tcPr>
          <w:p w14:paraId="16EAA194" w14:textId="4F9043F4" w:rsidR="00181239" w:rsidRPr="003460B6" w:rsidRDefault="008F165E" w:rsidP="00794C57">
            <w:pPr>
              <w:pStyle w:val="BodyText"/>
              <w:rPr>
                <w:rFonts w:asciiTheme="majorHAnsi" w:hAnsiTheme="majorHAnsi"/>
                <w:sz w:val="20"/>
                <w:szCs w:val="20"/>
                <w:vertAlign w:val="subscript"/>
              </w:rPr>
            </w:pPr>
            <w:r w:rsidRPr="003460B6">
              <w:rPr>
                <w:rFonts w:asciiTheme="majorHAnsi" w:hAnsiTheme="majorHAnsi"/>
                <w:sz w:val="20"/>
                <w:szCs w:val="20"/>
                <w:vertAlign w:val="subscript"/>
              </w:rPr>
              <w:t>Almost Certain</w:t>
            </w:r>
          </w:p>
        </w:tc>
        <w:tc>
          <w:tcPr>
            <w:tcW w:w="313" w:type="pct"/>
          </w:tcPr>
          <w:p w14:paraId="424566DC" w14:textId="63241E3A" w:rsidR="00181239" w:rsidRPr="003460B6" w:rsidRDefault="000818AA" w:rsidP="00794C57">
            <w:pPr>
              <w:pStyle w:val="BodyText"/>
              <w:rPr>
                <w:rFonts w:asciiTheme="majorHAnsi" w:hAnsiTheme="majorHAnsi"/>
                <w:sz w:val="20"/>
                <w:szCs w:val="20"/>
                <w:vertAlign w:val="subscript"/>
              </w:rPr>
            </w:pPr>
            <w:r w:rsidRPr="003460B6">
              <w:rPr>
                <w:rFonts w:asciiTheme="majorHAnsi" w:hAnsiTheme="majorHAnsi"/>
                <w:sz w:val="20"/>
                <w:szCs w:val="20"/>
                <w:vertAlign w:val="subscript"/>
              </w:rPr>
              <w:t>Moderate</w:t>
            </w:r>
          </w:p>
        </w:tc>
        <w:tc>
          <w:tcPr>
            <w:tcW w:w="486" w:type="pct"/>
          </w:tcPr>
          <w:p w14:paraId="3F863563" w14:textId="510797EF" w:rsidR="00181239" w:rsidRPr="003460B6" w:rsidRDefault="000818AA" w:rsidP="00794C57">
            <w:pPr>
              <w:pStyle w:val="BodyText"/>
              <w:rPr>
                <w:rFonts w:asciiTheme="majorHAnsi" w:hAnsiTheme="majorHAnsi"/>
                <w:sz w:val="20"/>
                <w:szCs w:val="20"/>
                <w:vertAlign w:val="subscript"/>
              </w:rPr>
            </w:pPr>
            <w:r w:rsidRPr="003460B6">
              <w:rPr>
                <w:rFonts w:asciiTheme="majorHAnsi" w:hAnsiTheme="majorHAnsi"/>
                <w:sz w:val="20"/>
                <w:szCs w:val="20"/>
                <w:vertAlign w:val="subscript"/>
              </w:rPr>
              <w:t>High</w:t>
            </w:r>
          </w:p>
        </w:tc>
      </w:tr>
      <w:tr w:rsidR="00181239" w14:paraId="3FC36899" w14:textId="77777777" w:rsidTr="00373375">
        <w:trPr>
          <w:trHeight w:val="971"/>
        </w:trPr>
        <w:tc>
          <w:tcPr>
            <w:tcW w:w="704" w:type="pct"/>
            <w:tcBorders>
              <w:top w:val="nil"/>
              <w:left w:val="single" w:sz="4" w:space="0" w:color="auto"/>
              <w:bottom w:val="nil"/>
              <w:right w:val="single" w:sz="4" w:space="0" w:color="auto"/>
            </w:tcBorders>
            <w:shd w:val="clear" w:color="auto" w:fill="B4C6E7" w:themeFill="accent1" w:themeFillTint="66"/>
          </w:tcPr>
          <w:p w14:paraId="37460806" w14:textId="77777777" w:rsidR="00181239" w:rsidRDefault="00181239" w:rsidP="00794C57">
            <w:pPr>
              <w:pStyle w:val="BodyText"/>
              <w:rPr>
                <w:rFonts w:asciiTheme="majorHAnsi" w:hAnsiTheme="majorHAnsi"/>
              </w:rPr>
            </w:pPr>
          </w:p>
        </w:tc>
        <w:tc>
          <w:tcPr>
            <w:tcW w:w="1035" w:type="pct"/>
            <w:tcBorders>
              <w:left w:val="single" w:sz="4" w:space="0" w:color="auto"/>
            </w:tcBorders>
          </w:tcPr>
          <w:p w14:paraId="02183721" w14:textId="292CEE51" w:rsidR="00181239" w:rsidRPr="008011F8" w:rsidRDefault="0063735C" w:rsidP="00794C57">
            <w:pPr>
              <w:pStyle w:val="BodyText"/>
              <w:rPr>
                <w:rFonts w:cstheme="minorHAnsi"/>
                <w:sz w:val="16"/>
                <w:szCs w:val="16"/>
              </w:rPr>
            </w:pPr>
            <w:r w:rsidRPr="008011F8">
              <w:rPr>
                <w:rFonts w:cstheme="minorHAnsi"/>
                <w:sz w:val="16"/>
                <w:szCs w:val="16"/>
              </w:rPr>
              <w:t>Crop failure due to weather patterns</w:t>
            </w:r>
            <w:r w:rsidR="00143A40">
              <w:rPr>
                <w:rFonts w:cstheme="minorHAnsi"/>
                <w:sz w:val="16"/>
                <w:szCs w:val="16"/>
              </w:rPr>
              <w:t>/climate change/natural disasters</w:t>
            </w:r>
            <w:r w:rsidRPr="008011F8">
              <w:rPr>
                <w:rFonts w:cstheme="minorHAnsi"/>
                <w:sz w:val="16"/>
                <w:szCs w:val="16"/>
              </w:rPr>
              <w:t xml:space="preserve"> negatively impacts the achievement of results in certain commodities</w:t>
            </w:r>
            <w:r w:rsidR="001837FE" w:rsidRPr="008011F8">
              <w:rPr>
                <w:rFonts w:cstheme="minorHAnsi"/>
                <w:sz w:val="16"/>
                <w:szCs w:val="16"/>
              </w:rPr>
              <w:t xml:space="preserve"> and hinder</w:t>
            </w:r>
            <w:r w:rsidR="008011F8" w:rsidRPr="008011F8">
              <w:rPr>
                <w:rFonts w:cstheme="minorHAnsi"/>
                <w:sz w:val="16"/>
                <w:szCs w:val="16"/>
              </w:rPr>
              <w:t>s</w:t>
            </w:r>
            <w:r w:rsidR="001837FE" w:rsidRPr="008011F8">
              <w:rPr>
                <w:rFonts w:cstheme="minorHAnsi"/>
                <w:sz w:val="16"/>
                <w:szCs w:val="16"/>
              </w:rPr>
              <w:t xml:space="preserve"> production in </w:t>
            </w:r>
            <w:proofErr w:type="spellStart"/>
            <w:r w:rsidR="001837FE" w:rsidRPr="008011F8">
              <w:rPr>
                <w:rFonts w:cstheme="minorHAnsi"/>
                <w:sz w:val="16"/>
                <w:szCs w:val="16"/>
              </w:rPr>
              <w:t>agri</w:t>
            </w:r>
            <w:proofErr w:type="spellEnd"/>
            <w:r w:rsidR="001837FE" w:rsidRPr="008011F8">
              <w:rPr>
                <w:rFonts w:cstheme="minorHAnsi"/>
                <w:sz w:val="16"/>
                <w:szCs w:val="16"/>
              </w:rPr>
              <w:t>-sectors</w:t>
            </w:r>
            <w:r w:rsidRPr="008011F8">
              <w:rPr>
                <w:rFonts w:cstheme="minorHAnsi"/>
                <w:sz w:val="16"/>
                <w:szCs w:val="16"/>
              </w:rPr>
              <w:t xml:space="preserve">. </w:t>
            </w:r>
          </w:p>
        </w:tc>
        <w:tc>
          <w:tcPr>
            <w:tcW w:w="1750" w:type="pct"/>
          </w:tcPr>
          <w:p w14:paraId="2DCBAD00" w14:textId="04066C44" w:rsidR="008011F8" w:rsidRDefault="008011F8" w:rsidP="004B220D">
            <w:pPr>
              <w:pStyle w:val="BodyText"/>
              <w:numPr>
                <w:ilvl w:val="0"/>
                <w:numId w:val="28"/>
              </w:numPr>
              <w:rPr>
                <w:rFonts w:asciiTheme="majorHAnsi" w:hAnsiTheme="majorHAnsi"/>
                <w:sz w:val="16"/>
                <w:szCs w:val="16"/>
              </w:rPr>
            </w:pPr>
            <w:r>
              <w:rPr>
                <w:rFonts w:asciiTheme="majorHAnsi" w:hAnsiTheme="majorHAnsi"/>
                <w:sz w:val="16"/>
                <w:szCs w:val="16"/>
              </w:rPr>
              <w:t xml:space="preserve">Regular monitoring of </w:t>
            </w:r>
            <w:r w:rsidR="007811F1">
              <w:rPr>
                <w:rFonts w:asciiTheme="majorHAnsi" w:hAnsiTheme="majorHAnsi"/>
                <w:sz w:val="16"/>
                <w:szCs w:val="16"/>
              </w:rPr>
              <w:t>medium-term forecasts for regional weather and river basin</w:t>
            </w:r>
            <w:r>
              <w:rPr>
                <w:rFonts w:asciiTheme="majorHAnsi" w:hAnsiTheme="majorHAnsi"/>
                <w:sz w:val="16"/>
                <w:szCs w:val="16"/>
              </w:rPr>
              <w:t xml:space="preserve"> </w:t>
            </w:r>
            <w:r w:rsidR="007811F1">
              <w:rPr>
                <w:rFonts w:asciiTheme="majorHAnsi" w:hAnsiTheme="majorHAnsi"/>
                <w:sz w:val="16"/>
                <w:szCs w:val="16"/>
              </w:rPr>
              <w:t xml:space="preserve">hydrology </w:t>
            </w:r>
            <w:r>
              <w:rPr>
                <w:rFonts w:asciiTheme="majorHAnsi" w:hAnsiTheme="majorHAnsi"/>
                <w:sz w:val="16"/>
                <w:szCs w:val="16"/>
              </w:rPr>
              <w:t>a</w:t>
            </w:r>
            <w:r w:rsidR="007811F1">
              <w:rPr>
                <w:rFonts w:asciiTheme="majorHAnsi" w:hAnsiTheme="majorHAnsi"/>
                <w:sz w:val="16"/>
                <w:szCs w:val="16"/>
              </w:rPr>
              <w:t>s well as natural</w:t>
            </w:r>
            <w:r>
              <w:rPr>
                <w:rFonts w:asciiTheme="majorHAnsi" w:hAnsiTheme="majorHAnsi"/>
                <w:sz w:val="16"/>
                <w:szCs w:val="16"/>
              </w:rPr>
              <w:t xml:space="preserve"> phenomen</w:t>
            </w:r>
            <w:r w:rsidR="007811F1">
              <w:rPr>
                <w:rFonts w:asciiTheme="majorHAnsi" w:hAnsiTheme="majorHAnsi"/>
                <w:sz w:val="16"/>
                <w:szCs w:val="16"/>
              </w:rPr>
              <w:t>a</w:t>
            </w:r>
            <w:r>
              <w:rPr>
                <w:rFonts w:asciiTheme="majorHAnsi" w:hAnsiTheme="majorHAnsi"/>
                <w:sz w:val="16"/>
                <w:szCs w:val="16"/>
              </w:rPr>
              <w:t xml:space="preserve"> and climatic/ weather patterns</w:t>
            </w:r>
            <w:r w:rsidR="007811F1">
              <w:rPr>
                <w:rFonts w:asciiTheme="majorHAnsi" w:hAnsiTheme="majorHAnsi"/>
                <w:sz w:val="16"/>
                <w:szCs w:val="16"/>
              </w:rPr>
              <w:t xml:space="preserve"> (e.g. SOI and IOD)</w:t>
            </w:r>
            <w:r>
              <w:rPr>
                <w:rFonts w:asciiTheme="majorHAnsi" w:hAnsiTheme="majorHAnsi"/>
                <w:sz w:val="16"/>
                <w:szCs w:val="16"/>
              </w:rPr>
              <w:t>.</w:t>
            </w:r>
          </w:p>
          <w:p w14:paraId="5EB15949" w14:textId="03ED9C9D" w:rsidR="008011F8" w:rsidRDefault="008011F8" w:rsidP="004B220D">
            <w:pPr>
              <w:pStyle w:val="BodyText"/>
              <w:numPr>
                <w:ilvl w:val="0"/>
                <w:numId w:val="28"/>
              </w:numPr>
              <w:rPr>
                <w:rFonts w:asciiTheme="majorHAnsi" w:hAnsiTheme="majorHAnsi"/>
                <w:sz w:val="16"/>
                <w:szCs w:val="16"/>
              </w:rPr>
            </w:pPr>
            <w:r>
              <w:rPr>
                <w:rFonts w:asciiTheme="majorHAnsi" w:hAnsiTheme="majorHAnsi"/>
                <w:sz w:val="16"/>
                <w:szCs w:val="16"/>
              </w:rPr>
              <w:t xml:space="preserve">Active monitoring of </w:t>
            </w:r>
            <w:r w:rsidR="007811F1">
              <w:rPr>
                <w:rFonts w:asciiTheme="majorHAnsi" w:hAnsiTheme="majorHAnsi"/>
                <w:sz w:val="16"/>
                <w:szCs w:val="16"/>
              </w:rPr>
              <w:t xml:space="preserve">potential (forecast) and actual weather </w:t>
            </w:r>
            <w:r>
              <w:rPr>
                <w:rFonts w:asciiTheme="majorHAnsi" w:hAnsiTheme="majorHAnsi"/>
                <w:sz w:val="16"/>
                <w:szCs w:val="16"/>
              </w:rPr>
              <w:t>impacts on productivity.</w:t>
            </w:r>
          </w:p>
          <w:p w14:paraId="5E21F599" w14:textId="081E8B6D" w:rsidR="008011F8" w:rsidRDefault="008011F8" w:rsidP="004B220D">
            <w:pPr>
              <w:pStyle w:val="BodyText"/>
              <w:numPr>
                <w:ilvl w:val="0"/>
                <w:numId w:val="28"/>
              </w:numPr>
              <w:rPr>
                <w:rFonts w:asciiTheme="majorHAnsi" w:hAnsiTheme="majorHAnsi"/>
                <w:sz w:val="16"/>
                <w:szCs w:val="16"/>
              </w:rPr>
            </w:pPr>
            <w:r>
              <w:rPr>
                <w:rFonts w:asciiTheme="majorHAnsi" w:hAnsiTheme="majorHAnsi"/>
                <w:sz w:val="16"/>
                <w:szCs w:val="16"/>
              </w:rPr>
              <w:t xml:space="preserve">Multiple interventions across multiple sectors and commodities </w:t>
            </w:r>
            <w:r w:rsidR="007811F1">
              <w:rPr>
                <w:rFonts w:asciiTheme="majorHAnsi" w:hAnsiTheme="majorHAnsi"/>
                <w:sz w:val="16"/>
                <w:szCs w:val="16"/>
              </w:rPr>
              <w:t xml:space="preserve">in a wide geography </w:t>
            </w:r>
            <w:r>
              <w:rPr>
                <w:rFonts w:asciiTheme="majorHAnsi" w:hAnsiTheme="majorHAnsi"/>
                <w:sz w:val="16"/>
                <w:szCs w:val="16"/>
              </w:rPr>
              <w:t xml:space="preserve">to spread risk. </w:t>
            </w:r>
          </w:p>
          <w:p w14:paraId="583D19A0" w14:textId="77777777" w:rsidR="008F165E" w:rsidRDefault="008011F8" w:rsidP="004B220D">
            <w:pPr>
              <w:pStyle w:val="BodyText"/>
              <w:numPr>
                <w:ilvl w:val="0"/>
                <w:numId w:val="28"/>
              </w:numPr>
              <w:rPr>
                <w:rFonts w:asciiTheme="majorHAnsi" w:hAnsiTheme="majorHAnsi"/>
                <w:sz w:val="16"/>
                <w:szCs w:val="16"/>
              </w:rPr>
            </w:pPr>
            <w:r>
              <w:rPr>
                <w:rFonts w:asciiTheme="majorHAnsi" w:hAnsiTheme="majorHAnsi"/>
                <w:sz w:val="16"/>
                <w:szCs w:val="16"/>
              </w:rPr>
              <w:t xml:space="preserve">Ongoing risk control and management discussions with partners. </w:t>
            </w:r>
          </w:p>
          <w:p w14:paraId="6B7AD62B" w14:textId="77777777" w:rsidR="00181239" w:rsidRDefault="008F165E" w:rsidP="004B220D">
            <w:pPr>
              <w:pStyle w:val="BodyText"/>
              <w:numPr>
                <w:ilvl w:val="0"/>
                <w:numId w:val="28"/>
              </w:numPr>
              <w:rPr>
                <w:rFonts w:asciiTheme="majorHAnsi" w:hAnsiTheme="majorHAnsi"/>
                <w:sz w:val="16"/>
                <w:szCs w:val="16"/>
              </w:rPr>
            </w:pPr>
            <w:r>
              <w:rPr>
                <w:rFonts w:asciiTheme="majorHAnsi" w:hAnsiTheme="majorHAnsi"/>
                <w:sz w:val="16"/>
                <w:szCs w:val="16"/>
              </w:rPr>
              <w:t xml:space="preserve">Identify opportunities to support crop diversification through program interventions. </w:t>
            </w:r>
          </w:p>
          <w:p w14:paraId="76079FA3" w14:textId="6277197E" w:rsidR="00143A40" w:rsidRPr="00EB5DB3" w:rsidRDefault="00143A40" w:rsidP="004B220D">
            <w:pPr>
              <w:pStyle w:val="BodyText"/>
              <w:numPr>
                <w:ilvl w:val="0"/>
                <w:numId w:val="28"/>
              </w:numPr>
              <w:rPr>
                <w:rFonts w:asciiTheme="majorHAnsi" w:hAnsiTheme="majorHAnsi"/>
                <w:sz w:val="16"/>
                <w:szCs w:val="16"/>
              </w:rPr>
            </w:pPr>
            <w:r>
              <w:rPr>
                <w:rFonts w:asciiTheme="majorHAnsi" w:hAnsiTheme="majorHAnsi"/>
                <w:sz w:val="16"/>
                <w:szCs w:val="16"/>
              </w:rPr>
              <w:t>Actively seeking private sector partners with technologies to mitigate these risks.</w:t>
            </w:r>
          </w:p>
        </w:tc>
        <w:tc>
          <w:tcPr>
            <w:tcW w:w="443" w:type="pct"/>
          </w:tcPr>
          <w:p w14:paraId="1D842854" w14:textId="7FF24108" w:rsidR="00181239" w:rsidRPr="00EB5DB3" w:rsidRDefault="008011F8" w:rsidP="00794C57">
            <w:pPr>
              <w:pStyle w:val="BodyText"/>
              <w:rPr>
                <w:rFonts w:asciiTheme="majorHAnsi" w:hAnsiTheme="majorHAnsi"/>
                <w:sz w:val="16"/>
                <w:szCs w:val="16"/>
              </w:rPr>
            </w:pPr>
            <w:r>
              <w:rPr>
                <w:rFonts w:asciiTheme="majorHAnsi" w:hAnsiTheme="majorHAnsi"/>
                <w:sz w:val="16"/>
                <w:szCs w:val="16"/>
              </w:rPr>
              <w:t>Contractor</w:t>
            </w:r>
          </w:p>
        </w:tc>
        <w:tc>
          <w:tcPr>
            <w:tcW w:w="269" w:type="pct"/>
          </w:tcPr>
          <w:p w14:paraId="5194FFC4" w14:textId="0AE07F67" w:rsidR="00181239" w:rsidRPr="003460B6" w:rsidRDefault="008F165E" w:rsidP="00794C57">
            <w:pPr>
              <w:pStyle w:val="BodyText"/>
              <w:rPr>
                <w:rFonts w:asciiTheme="majorHAnsi" w:hAnsiTheme="majorHAnsi"/>
                <w:sz w:val="20"/>
                <w:szCs w:val="20"/>
                <w:vertAlign w:val="subscript"/>
              </w:rPr>
            </w:pPr>
            <w:r w:rsidRPr="003460B6">
              <w:rPr>
                <w:rFonts w:asciiTheme="majorHAnsi" w:hAnsiTheme="majorHAnsi"/>
                <w:sz w:val="20"/>
                <w:szCs w:val="20"/>
                <w:vertAlign w:val="subscript"/>
              </w:rPr>
              <w:t>Likely</w:t>
            </w:r>
          </w:p>
        </w:tc>
        <w:tc>
          <w:tcPr>
            <w:tcW w:w="313" w:type="pct"/>
          </w:tcPr>
          <w:p w14:paraId="5C24E422" w14:textId="4F458BA5" w:rsidR="00181239" w:rsidRPr="003460B6" w:rsidRDefault="008011F8" w:rsidP="00794C57">
            <w:pPr>
              <w:pStyle w:val="BodyText"/>
              <w:rPr>
                <w:rFonts w:asciiTheme="majorHAnsi" w:hAnsiTheme="majorHAnsi"/>
                <w:sz w:val="20"/>
                <w:szCs w:val="20"/>
                <w:vertAlign w:val="subscript"/>
              </w:rPr>
            </w:pPr>
            <w:r w:rsidRPr="003460B6">
              <w:rPr>
                <w:rFonts w:asciiTheme="majorHAnsi" w:hAnsiTheme="majorHAnsi"/>
                <w:sz w:val="20"/>
                <w:szCs w:val="20"/>
                <w:vertAlign w:val="subscript"/>
              </w:rPr>
              <w:t>Major</w:t>
            </w:r>
          </w:p>
        </w:tc>
        <w:tc>
          <w:tcPr>
            <w:tcW w:w="486" w:type="pct"/>
          </w:tcPr>
          <w:p w14:paraId="720BEF83" w14:textId="164F47CF" w:rsidR="00181239" w:rsidRPr="003460B6" w:rsidRDefault="008011F8" w:rsidP="00794C57">
            <w:pPr>
              <w:pStyle w:val="BodyText"/>
              <w:rPr>
                <w:rFonts w:asciiTheme="majorHAnsi" w:hAnsiTheme="majorHAnsi"/>
                <w:sz w:val="20"/>
                <w:szCs w:val="20"/>
                <w:vertAlign w:val="subscript"/>
              </w:rPr>
            </w:pPr>
            <w:r w:rsidRPr="003460B6">
              <w:rPr>
                <w:rFonts w:asciiTheme="majorHAnsi" w:hAnsiTheme="majorHAnsi"/>
                <w:sz w:val="20"/>
                <w:szCs w:val="20"/>
                <w:vertAlign w:val="subscript"/>
              </w:rPr>
              <w:t>High</w:t>
            </w:r>
          </w:p>
        </w:tc>
      </w:tr>
      <w:tr w:rsidR="00181239" w14:paraId="4B8BD10D" w14:textId="77777777" w:rsidTr="00373375">
        <w:tc>
          <w:tcPr>
            <w:tcW w:w="704" w:type="pct"/>
            <w:tcBorders>
              <w:top w:val="nil"/>
              <w:left w:val="single" w:sz="4" w:space="0" w:color="auto"/>
              <w:bottom w:val="nil"/>
              <w:right w:val="single" w:sz="4" w:space="0" w:color="auto"/>
            </w:tcBorders>
            <w:shd w:val="clear" w:color="auto" w:fill="B4C6E7" w:themeFill="accent1" w:themeFillTint="66"/>
          </w:tcPr>
          <w:p w14:paraId="08545D51" w14:textId="77777777" w:rsidR="00181239" w:rsidRDefault="00181239" w:rsidP="00794C57">
            <w:pPr>
              <w:pStyle w:val="BodyText"/>
              <w:rPr>
                <w:rFonts w:asciiTheme="majorHAnsi" w:hAnsiTheme="majorHAnsi"/>
              </w:rPr>
            </w:pPr>
          </w:p>
        </w:tc>
        <w:tc>
          <w:tcPr>
            <w:tcW w:w="1035" w:type="pct"/>
            <w:tcBorders>
              <w:left w:val="single" w:sz="4" w:space="0" w:color="auto"/>
            </w:tcBorders>
          </w:tcPr>
          <w:p w14:paraId="46909E08" w14:textId="22F15CE3" w:rsidR="00181239" w:rsidRPr="008011F8" w:rsidRDefault="005D461A" w:rsidP="0063735C">
            <w:pPr>
              <w:pStyle w:val="BodyText"/>
              <w:rPr>
                <w:rFonts w:asciiTheme="majorHAnsi" w:hAnsiTheme="majorHAnsi"/>
                <w:sz w:val="16"/>
                <w:szCs w:val="16"/>
              </w:rPr>
            </w:pPr>
            <w:r>
              <w:rPr>
                <w:rFonts w:cstheme="minorHAnsi"/>
                <w:sz w:val="16"/>
                <w:szCs w:val="16"/>
              </w:rPr>
              <w:t>PRISMA-2</w:t>
            </w:r>
            <w:r w:rsidR="0063735C" w:rsidRPr="008011F8">
              <w:rPr>
                <w:rFonts w:cstheme="minorHAnsi"/>
                <w:sz w:val="16"/>
                <w:szCs w:val="16"/>
              </w:rPr>
              <w:t xml:space="preserve"> supports success for businesses and households but does not capture the interest of policy-makers or influential businesses.</w:t>
            </w:r>
          </w:p>
        </w:tc>
        <w:tc>
          <w:tcPr>
            <w:tcW w:w="1750" w:type="pct"/>
          </w:tcPr>
          <w:p w14:paraId="42DB7692" w14:textId="5C65184C" w:rsidR="00EB5DB3" w:rsidRDefault="00EB5DB3" w:rsidP="004B220D">
            <w:pPr>
              <w:pStyle w:val="BodyText"/>
              <w:numPr>
                <w:ilvl w:val="0"/>
                <w:numId w:val="28"/>
              </w:numPr>
              <w:rPr>
                <w:rFonts w:asciiTheme="majorHAnsi" w:hAnsiTheme="majorHAnsi"/>
                <w:sz w:val="16"/>
                <w:szCs w:val="16"/>
              </w:rPr>
            </w:pPr>
            <w:r>
              <w:rPr>
                <w:rFonts w:asciiTheme="majorHAnsi" w:hAnsiTheme="majorHAnsi"/>
                <w:sz w:val="16"/>
                <w:szCs w:val="16"/>
              </w:rPr>
              <w:t>Conduct regular political economy analysis to identify and support emerging policy and business opportunities</w:t>
            </w:r>
            <w:r w:rsidR="008011F8">
              <w:rPr>
                <w:rFonts w:asciiTheme="majorHAnsi" w:hAnsiTheme="majorHAnsi"/>
                <w:sz w:val="16"/>
                <w:szCs w:val="16"/>
              </w:rPr>
              <w:t>.</w:t>
            </w:r>
          </w:p>
          <w:p w14:paraId="005F4760" w14:textId="77777777" w:rsidR="008011F8" w:rsidRDefault="00EB5DB3" w:rsidP="004B220D">
            <w:pPr>
              <w:pStyle w:val="BodyText"/>
              <w:numPr>
                <w:ilvl w:val="0"/>
                <w:numId w:val="28"/>
              </w:numPr>
              <w:rPr>
                <w:rFonts w:asciiTheme="majorHAnsi" w:hAnsiTheme="majorHAnsi"/>
                <w:sz w:val="16"/>
                <w:szCs w:val="16"/>
              </w:rPr>
            </w:pPr>
            <w:r>
              <w:rPr>
                <w:rFonts w:asciiTheme="majorHAnsi" w:hAnsiTheme="majorHAnsi"/>
                <w:sz w:val="16"/>
                <w:szCs w:val="16"/>
              </w:rPr>
              <w:t>Pro</w:t>
            </w:r>
            <w:r w:rsidR="008011F8">
              <w:rPr>
                <w:rFonts w:asciiTheme="majorHAnsi" w:hAnsiTheme="majorHAnsi"/>
                <w:sz w:val="16"/>
                <w:szCs w:val="16"/>
              </w:rPr>
              <w:t>-</w:t>
            </w:r>
            <w:r>
              <w:rPr>
                <w:rFonts w:asciiTheme="majorHAnsi" w:hAnsiTheme="majorHAnsi"/>
                <w:sz w:val="16"/>
                <w:szCs w:val="16"/>
              </w:rPr>
              <w:t xml:space="preserve">active engagement </w:t>
            </w:r>
            <w:r w:rsidR="008011F8">
              <w:rPr>
                <w:rFonts w:asciiTheme="majorHAnsi" w:hAnsiTheme="majorHAnsi"/>
                <w:sz w:val="16"/>
                <w:szCs w:val="16"/>
              </w:rPr>
              <w:t xml:space="preserve">with influential market players to leverage influence. </w:t>
            </w:r>
          </w:p>
          <w:p w14:paraId="2E32508B" w14:textId="77777777" w:rsidR="008F165E" w:rsidRDefault="008011F8" w:rsidP="004B220D">
            <w:pPr>
              <w:pStyle w:val="BodyText"/>
              <w:numPr>
                <w:ilvl w:val="0"/>
                <w:numId w:val="28"/>
              </w:numPr>
              <w:rPr>
                <w:rFonts w:asciiTheme="majorHAnsi" w:hAnsiTheme="majorHAnsi"/>
                <w:sz w:val="16"/>
                <w:szCs w:val="16"/>
              </w:rPr>
            </w:pPr>
            <w:r>
              <w:rPr>
                <w:rFonts w:asciiTheme="majorHAnsi" w:hAnsiTheme="majorHAnsi"/>
                <w:sz w:val="16"/>
                <w:szCs w:val="16"/>
              </w:rPr>
              <w:t>Develop relevant research and policy papers and case s</w:t>
            </w:r>
            <w:r w:rsidR="008F165E">
              <w:rPr>
                <w:rFonts w:asciiTheme="majorHAnsi" w:hAnsiTheme="majorHAnsi"/>
                <w:sz w:val="16"/>
                <w:szCs w:val="16"/>
              </w:rPr>
              <w:t>tudies for government and businesses to support engagement and interest in results and approaches in the program.</w:t>
            </w:r>
          </w:p>
          <w:p w14:paraId="350B7AB0" w14:textId="6BCF0A5B" w:rsidR="00181239" w:rsidRPr="00EB5DB3" w:rsidRDefault="008F165E" w:rsidP="004B220D">
            <w:pPr>
              <w:pStyle w:val="BodyText"/>
              <w:numPr>
                <w:ilvl w:val="0"/>
                <w:numId w:val="28"/>
              </w:numPr>
              <w:rPr>
                <w:rFonts w:asciiTheme="majorHAnsi" w:hAnsiTheme="majorHAnsi"/>
                <w:sz w:val="16"/>
                <w:szCs w:val="16"/>
              </w:rPr>
            </w:pPr>
            <w:r>
              <w:rPr>
                <w:rFonts w:asciiTheme="majorHAnsi" w:hAnsiTheme="majorHAnsi"/>
                <w:sz w:val="16"/>
                <w:szCs w:val="16"/>
              </w:rPr>
              <w:t xml:space="preserve">Support linkages between </w:t>
            </w:r>
            <w:proofErr w:type="spellStart"/>
            <w:r>
              <w:rPr>
                <w:rFonts w:asciiTheme="majorHAnsi" w:hAnsiTheme="majorHAnsi"/>
                <w:sz w:val="16"/>
                <w:szCs w:val="16"/>
              </w:rPr>
              <w:t>GoI</w:t>
            </w:r>
            <w:proofErr w:type="spellEnd"/>
            <w:r>
              <w:rPr>
                <w:rFonts w:asciiTheme="majorHAnsi" w:hAnsiTheme="majorHAnsi"/>
                <w:sz w:val="16"/>
                <w:szCs w:val="16"/>
              </w:rPr>
              <w:t xml:space="preserve"> and private sector. </w:t>
            </w:r>
            <w:r w:rsidR="00EB5DB3">
              <w:rPr>
                <w:rFonts w:asciiTheme="majorHAnsi" w:hAnsiTheme="majorHAnsi"/>
                <w:sz w:val="16"/>
                <w:szCs w:val="16"/>
              </w:rPr>
              <w:t xml:space="preserve"> </w:t>
            </w:r>
          </w:p>
        </w:tc>
        <w:tc>
          <w:tcPr>
            <w:tcW w:w="443" w:type="pct"/>
          </w:tcPr>
          <w:p w14:paraId="146E8D5A" w14:textId="186C7109" w:rsidR="00181239" w:rsidRPr="00EB5DB3" w:rsidRDefault="008F165E" w:rsidP="00794C57">
            <w:pPr>
              <w:pStyle w:val="BodyText"/>
              <w:rPr>
                <w:rFonts w:asciiTheme="majorHAnsi" w:hAnsiTheme="majorHAnsi"/>
                <w:sz w:val="16"/>
                <w:szCs w:val="16"/>
              </w:rPr>
            </w:pPr>
            <w:r>
              <w:rPr>
                <w:rFonts w:asciiTheme="majorHAnsi" w:hAnsiTheme="majorHAnsi"/>
                <w:sz w:val="16"/>
                <w:szCs w:val="16"/>
              </w:rPr>
              <w:t>DFAT/ Contractor</w:t>
            </w:r>
          </w:p>
        </w:tc>
        <w:tc>
          <w:tcPr>
            <w:tcW w:w="269" w:type="pct"/>
          </w:tcPr>
          <w:p w14:paraId="46484368" w14:textId="473EE01D" w:rsidR="00181239" w:rsidRPr="003460B6" w:rsidRDefault="008F165E" w:rsidP="00794C57">
            <w:pPr>
              <w:pStyle w:val="BodyText"/>
              <w:rPr>
                <w:rFonts w:asciiTheme="majorHAnsi" w:hAnsiTheme="majorHAnsi"/>
                <w:sz w:val="12"/>
                <w:szCs w:val="12"/>
              </w:rPr>
            </w:pPr>
            <w:r w:rsidRPr="003460B6">
              <w:rPr>
                <w:rFonts w:asciiTheme="majorHAnsi" w:hAnsiTheme="majorHAnsi"/>
                <w:sz w:val="12"/>
                <w:szCs w:val="12"/>
              </w:rPr>
              <w:t>Possible</w:t>
            </w:r>
          </w:p>
        </w:tc>
        <w:tc>
          <w:tcPr>
            <w:tcW w:w="313" w:type="pct"/>
          </w:tcPr>
          <w:p w14:paraId="5D4ED23C" w14:textId="33D1CBEA" w:rsidR="00181239" w:rsidRPr="003460B6" w:rsidRDefault="008F165E" w:rsidP="00794C57">
            <w:pPr>
              <w:pStyle w:val="BodyText"/>
              <w:rPr>
                <w:rFonts w:asciiTheme="majorHAnsi" w:hAnsiTheme="majorHAnsi"/>
                <w:sz w:val="12"/>
                <w:szCs w:val="12"/>
              </w:rPr>
            </w:pPr>
            <w:r w:rsidRPr="003460B6">
              <w:rPr>
                <w:rFonts w:asciiTheme="majorHAnsi" w:hAnsiTheme="majorHAnsi"/>
                <w:sz w:val="12"/>
                <w:szCs w:val="12"/>
              </w:rPr>
              <w:t>Moderate</w:t>
            </w:r>
          </w:p>
        </w:tc>
        <w:tc>
          <w:tcPr>
            <w:tcW w:w="486" w:type="pct"/>
          </w:tcPr>
          <w:p w14:paraId="7031803F" w14:textId="7922F253" w:rsidR="00181239" w:rsidRPr="003460B6" w:rsidRDefault="008F165E" w:rsidP="00794C57">
            <w:pPr>
              <w:pStyle w:val="BodyText"/>
              <w:rPr>
                <w:rFonts w:asciiTheme="majorHAnsi" w:hAnsiTheme="majorHAnsi"/>
                <w:sz w:val="12"/>
                <w:szCs w:val="12"/>
              </w:rPr>
            </w:pPr>
            <w:r w:rsidRPr="003460B6">
              <w:rPr>
                <w:rFonts w:asciiTheme="majorHAnsi" w:hAnsiTheme="majorHAnsi"/>
                <w:sz w:val="12"/>
                <w:szCs w:val="12"/>
              </w:rPr>
              <w:t>High</w:t>
            </w:r>
          </w:p>
        </w:tc>
      </w:tr>
      <w:tr w:rsidR="002A16D9" w14:paraId="49D8C956" w14:textId="77777777" w:rsidTr="00373375">
        <w:tc>
          <w:tcPr>
            <w:tcW w:w="704" w:type="pct"/>
            <w:tcBorders>
              <w:top w:val="nil"/>
              <w:left w:val="single" w:sz="4" w:space="0" w:color="auto"/>
              <w:bottom w:val="nil"/>
              <w:right w:val="single" w:sz="4" w:space="0" w:color="auto"/>
            </w:tcBorders>
            <w:shd w:val="clear" w:color="auto" w:fill="B4C6E7" w:themeFill="accent1" w:themeFillTint="66"/>
          </w:tcPr>
          <w:p w14:paraId="514A1EF5" w14:textId="77777777" w:rsidR="002A16D9" w:rsidRDefault="002A16D9" w:rsidP="00794C57">
            <w:pPr>
              <w:pStyle w:val="BodyText"/>
              <w:rPr>
                <w:rFonts w:asciiTheme="majorHAnsi" w:hAnsiTheme="majorHAnsi"/>
              </w:rPr>
            </w:pPr>
          </w:p>
        </w:tc>
        <w:tc>
          <w:tcPr>
            <w:tcW w:w="1035" w:type="pct"/>
            <w:tcBorders>
              <w:left w:val="single" w:sz="4" w:space="0" w:color="auto"/>
            </w:tcBorders>
          </w:tcPr>
          <w:p w14:paraId="23928947" w14:textId="4BFC85BC" w:rsidR="002A16D9" w:rsidRPr="008011F8" w:rsidRDefault="00145B12" w:rsidP="00794C57">
            <w:pPr>
              <w:pStyle w:val="BodyText"/>
              <w:rPr>
                <w:rFonts w:cstheme="minorHAnsi"/>
                <w:sz w:val="16"/>
                <w:szCs w:val="16"/>
                <w:highlight w:val="yellow"/>
              </w:rPr>
            </w:pPr>
            <w:r w:rsidRPr="008F165E">
              <w:rPr>
                <w:rFonts w:cstheme="minorHAnsi"/>
                <w:sz w:val="16"/>
                <w:szCs w:val="16"/>
              </w:rPr>
              <w:t xml:space="preserve">Changes in DFAT capacity to support effective delivery of a market systems development program or use its results </w:t>
            </w:r>
            <w:r w:rsidR="004D7E21">
              <w:rPr>
                <w:rFonts w:cstheme="minorHAnsi"/>
                <w:sz w:val="16"/>
                <w:szCs w:val="16"/>
              </w:rPr>
              <w:t>effectively</w:t>
            </w:r>
            <w:r w:rsidRPr="008F165E">
              <w:rPr>
                <w:rFonts w:cstheme="minorHAnsi"/>
                <w:sz w:val="16"/>
                <w:szCs w:val="16"/>
              </w:rPr>
              <w:t>.</w:t>
            </w:r>
          </w:p>
        </w:tc>
        <w:tc>
          <w:tcPr>
            <w:tcW w:w="1750" w:type="pct"/>
          </w:tcPr>
          <w:p w14:paraId="75C1280F" w14:textId="4094B0C6" w:rsidR="007B3BB3" w:rsidRDefault="007B3BB3" w:rsidP="004B220D">
            <w:pPr>
              <w:pStyle w:val="BodyText"/>
              <w:numPr>
                <w:ilvl w:val="0"/>
                <w:numId w:val="29"/>
              </w:numPr>
              <w:rPr>
                <w:rFonts w:asciiTheme="majorHAnsi" w:hAnsiTheme="majorHAnsi"/>
                <w:sz w:val="16"/>
                <w:szCs w:val="16"/>
              </w:rPr>
            </w:pPr>
            <w:r>
              <w:rPr>
                <w:rFonts w:asciiTheme="majorHAnsi" w:hAnsiTheme="majorHAnsi"/>
                <w:sz w:val="16"/>
                <w:szCs w:val="16"/>
              </w:rPr>
              <w:t>Ongoing engagement between DFAT Post in Indonesia and the DFAT</w:t>
            </w:r>
            <w:r w:rsidR="00397504">
              <w:t xml:space="preserve"> </w:t>
            </w:r>
            <w:r w:rsidR="00397504" w:rsidRPr="00397504">
              <w:rPr>
                <w:rFonts w:asciiTheme="majorHAnsi" w:hAnsiTheme="majorHAnsi"/>
                <w:sz w:val="16"/>
                <w:szCs w:val="16"/>
              </w:rPr>
              <w:t>Agricultural Productivity and Food Security Branch</w:t>
            </w:r>
            <w:r w:rsidR="00397504">
              <w:rPr>
                <w:rFonts w:asciiTheme="majorHAnsi" w:hAnsiTheme="majorHAnsi"/>
                <w:sz w:val="16"/>
                <w:szCs w:val="16"/>
              </w:rPr>
              <w:t xml:space="preserve"> </w:t>
            </w:r>
            <w:r>
              <w:rPr>
                <w:rFonts w:asciiTheme="majorHAnsi" w:hAnsiTheme="majorHAnsi"/>
                <w:sz w:val="16"/>
                <w:szCs w:val="16"/>
              </w:rPr>
              <w:t xml:space="preserve">to maintain continuity and support program linkages/learning. </w:t>
            </w:r>
          </w:p>
          <w:p w14:paraId="438BC462" w14:textId="6F54AFAC" w:rsidR="002A16D9" w:rsidRDefault="007B3BB3" w:rsidP="004B220D">
            <w:pPr>
              <w:pStyle w:val="BodyText"/>
              <w:numPr>
                <w:ilvl w:val="0"/>
                <w:numId w:val="29"/>
              </w:numPr>
              <w:rPr>
                <w:rFonts w:asciiTheme="majorHAnsi" w:hAnsiTheme="majorHAnsi"/>
                <w:sz w:val="16"/>
                <w:szCs w:val="16"/>
              </w:rPr>
            </w:pPr>
            <w:r>
              <w:rPr>
                <w:rFonts w:asciiTheme="majorHAnsi" w:hAnsiTheme="majorHAnsi"/>
                <w:sz w:val="16"/>
                <w:szCs w:val="16"/>
              </w:rPr>
              <w:t xml:space="preserve">Proactive engagement of DFAT national staff in transition process </w:t>
            </w:r>
            <w:r>
              <w:rPr>
                <w:rFonts w:asciiTheme="majorHAnsi" w:hAnsiTheme="majorHAnsi"/>
                <w:sz w:val="16"/>
                <w:szCs w:val="16"/>
              </w:rPr>
              <w:lastRenderedPageBreak/>
              <w:t xml:space="preserve">between AIP-Rural and </w:t>
            </w:r>
            <w:r w:rsidR="005D461A">
              <w:rPr>
                <w:rFonts w:asciiTheme="majorHAnsi" w:hAnsiTheme="majorHAnsi"/>
                <w:sz w:val="16"/>
                <w:szCs w:val="16"/>
              </w:rPr>
              <w:t>PRISMA-2</w:t>
            </w:r>
            <w:r>
              <w:rPr>
                <w:rFonts w:asciiTheme="majorHAnsi" w:hAnsiTheme="majorHAnsi"/>
                <w:sz w:val="16"/>
                <w:szCs w:val="16"/>
              </w:rPr>
              <w:t xml:space="preserve"> to ensure continuity</w:t>
            </w:r>
            <w:r w:rsidR="00336898">
              <w:rPr>
                <w:rFonts w:asciiTheme="majorHAnsi" w:hAnsiTheme="majorHAnsi"/>
                <w:sz w:val="16"/>
                <w:szCs w:val="16"/>
              </w:rPr>
              <w:t xml:space="preserve">. </w:t>
            </w:r>
          </w:p>
          <w:p w14:paraId="440B9824" w14:textId="1D741E66" w:rsidR="00397504" w:rsidRDefault="00397504" w:rsidP="004B220D">
            <w:pPr>
              <w:pStyle w:val="BodyText"/>
              <w:numPr>
                <w:ilvl w:val="0"/>
                <w:numId w:val="29"/>
              </w:numPr>
              <w:rPr>
                <w:rFonts w:asciiTheme="majorHAnsi" w:hAnsiTheme="majorHAnsi"/>
                <w:sz w:val="16"/>
                <w:szCs w:val="16"/>
              </w:rPr>
            </w:pPr>
            <w:r>
              <w:rPr>
                <w:rFonts w:asciiTheme="majorHAnsi" w:hAnsiTheme="majorHAnsi"/>
                <w:sz w:val="16"/>
                <w:szCs w:val="16"/>
              </w:rPr>
              <w:t>Use of Strategic Review Panel as a quality assurance and technical support resource</w:t>
            </w:r>
          </w:p>
          <w:p w14:paraId="7CAC55F6" w14:textId="7BBE071A" w:rsidR="00336898" w:rsidRDefault="00336898" w:rsidP="004B220D">
            <w:pPr>
              <w:pStyle w:val="BodyText"/>
              <w:numPr>
                <w:ilvl w:val="0"/>
                <w:numId w:val="29"/>
              </w:numPr>
              <w:rPr>
                <w:rFonts w:asciiTheme="majorHAnsi" w:hAnsiTheme="majorHAnsi"/>
                <w:sz w:val="16"/>
                <w:szCs w:val="16"/>
              </w:rPr>
            </w:pPr>
            <w:r>
              <w:rPr>
                <w:rFonts w:asciiTheme="majorHAnsi" w:hAnsiTheme="majorHAnsi"/>
                <w:sz w:val="16"/>
                <w:szCs w:val="16"/>
              </w:rPr>
              <w:t>Maintain regular open communication between DFAT and Contractor to ensure implementation challenges are openly discussed.</w:t>
            </w:r>
          </w:p>
          <w:p w14:paraId="47A92E54" w14:textId="4AB0D6B1" w:rsidR="00336898" w:rsidRPr="007B3BB3" w:rsidRDefault="00253D41" w:rsidP="00253D41">
            <w:pPr>
              <w:pStyle w:val="BodyText"/>
              <w:numPr>
                <w:ilvl w:val="0"/>
                <w:numId w:val="29"/>
              </w:numPr>
              <w:rPr>
                <w:rFonts w:asciiTheme="majorHAnsi" w:hAnsiTheme="majorHAnsi"/>
                <w:sz w:val="16"/>
                <w:szCs w:val="16"/>
              </w:rPr>
            </w:pPr>
            <w:r>
              <w:rPr>
                <w:rFonts w:asciiTheme="majorHAnsi" w:hAnsiTheme="majorHAnsi"/>
                <w:sz w:val="16"/>
                <w:szCs w:val="16"/>
              </w:rPr>
              <w:t>Handover notes and c</w:t>
            </w:r>
            <w:r w:rsidR="00336898">
              <w:rPr>
                <w:rFonts w:asciiTheme="majorHAnsi" w:hAnsiTheme="majorHAnsi"/>
                <w:sz w:val="16"/>
                <w:szCs w:val="16"/>
              </w:rPr>
              <w:t xml:space="preserve">omprehensive briefing of new DFAT Officers on program approach. </w:t>
            </w:r>
          </w:p>
        </w:tc>
        <w:tc>
          <w:tcPr>
            <w:tcW w:w="443" w:type="pct"/>
          </w:tcPr>
          <w:p w14:paraId="40631592" w14:textId="6A067130" w:rsidR="002A16D9" w:rsidRPr="00EB5DB3" w:rsidRDefault="007B3BB3" w:rsidP="00794C57">
            <w:pPr>
              <w:pStyle w:val="BodyText"/>
              <w:rPr>
                <w:rFonts w:asciiTheme="majorHAnsi" w:hAnsiTheme="majorHAnsi"/>
                <w:sz w:val="16"/>
                <w:szCs w:val="16"/>
              </w:rPr>
            </w:pPr>
            <w:r>
              <w:rPr>
                <w:rFonts w:asciiTheme="majorHAnsi" w:hAnsiTheme="majorHAnsi"/>
                <w:sz w:val="16"/>
                <w:szCs w:val="16"/>
              </w:rPr>
              <w:lastRenderedPageBreak/>
              <w:t>DFAT</w:t>
            </w:r>
            <w:r w:rsidR="00336898">
              <w:rPr>
                <w:rFonts w:asciiTheme="majorHAnsi" w:hAnsiTheme="majorHAnsi"/>
                <w:sz w:val="16"/>
                <w:szCs w:val="16"/>
              </w:rPr>
              <w:t>/ Contractor</w:t>
            </w:r>
          </w:p>
        </w:tc>
        <w:tc>
          <w:tcPr>
            <w:tcW w:w="269" w:type="pct"/>
          </w:tcPr>
          <w:p w14:paraId="343F5FB3" w14:textId="4B48BD22" w:rsidR="002A16D9" w:rsidRPr="00EB5DB3" w:rsidRDefault="007B3BB3" w:rsidP="00794C57">
            <w:pPr>
              <w:pStyle w:val="BodyText"/>
              <w:rPr>
                <w:rFonts w:asciiTheme="majorHAnsi" w:hAnsiTheme="majorHAnsi"/>
                <w:sz w:val="16"/>
                <w:szCs w:val="16"/>
              </w:rPr>
            </w:pPr>
            <w:r>
              <w:rPr>
                <w:rFonts w:asciiTheme="majorHAnsi" w:hAnsiTheme="majorHAnsi"/>
                <w:sz w:val="16"/>
                <w:szCs w:val="16"/>
              </w:rPr>
              <w:t>Possible</w:t>
            </w:r>
          </w:p>
        </w:tc>
        <w:tc>
          <w:tcPr>
            <w:tcW w:w="313" w:type="pct"/>
          </w:tcPr>
          <w:p w14:paraId="7E4731D0" w14:textId="03943F05" w:rsidR="002A16D9" w:rsidRPr="00EB5DB3" w:rsidRDefault="00CC2B83" w:rsidP="00794C57">
            <w:pPr>
              <w:pStyle w:val="BodyText"/>
              <w:rPr>
                <w:rFonts w:asciiTheme="majorHAnsi" w:hAnsiTheme="majorHAnsi"/>
                <w:sz w:val="16"/>
                <w:szCs w:val="16"/>
              </w:rPr>
            </w:pPr>
            <w:r>
              <w:rPr>
                <w:rFonts w:asciiTheme="majorHAnsi" w:hAnsiTheme="majorHAnsi"/>
                <w:sz w:val="16"/>
                <w:szCs w:val="16"/>
              </w:rPr>
              <w:t>High</w:t>
            </w:r>
          </w:p>
        </w:tc>
        <w:tc>
          <w:tcPr>
            <w:tcW w:w="486" w:type="pct"/>
          </w:tcPr>
          <w:p w14:paraId="0C4EE5F6" w14:textId="185C0174" w:rsidR="002A16D9" w:rsidRPr="00EB5DB3" w:rsidRDefault="00CC2B83" w:rsidP="00794C57">
            <w:pPr>
              <w:pStyle w:val="BodyText"/>
              <w:rPr>
                <w:rFonts w:asciiTheme="majorHAnsi" w:hAnsiTheme="majorHAnsi"/>
                <w:sz w:val="16"/>
                <w:szCs w:val="16"/>
              </w:rPr>
            </w:pPr>
            <w:r>
              <w:rPr>
                <w:rFonts w:asciiTheme="majorHAnsi" w:hAnsiTheme="majorHAnsi"/>
                <w:sz w:val="16"/>
                <w:szCs w:val="16"/>
              </w:rPr>
              <w:t>Moderate</w:t>
            </w:r>
          </w:p>
        </w:tc>
      </w:tr>
      <w:tr w:rsidR="00181239" w14:paraId="2BD49181" w14:textId="77777777" w:rsidTr="00373375">
        <w:trPr>
          <w:trHeight w:val="1115"/>
        </w:trPr>
        <w:tc>
          <w:tcPr>
            <w:tcW w:w="704" w:type="pct"/>
            <w:tcBorders>
              <w:top w:val="single" w:sz="4" w:space="0" w:color="auto"/>
              <w:left w:val="single" w:sz="4" w:space="0" w:color="auto"/>
              <w:bottom w:val="nil"/>
              <w:right w:val="single" w:sz="4" w:space="0" w:color="auto"/>
            </w:tcBorders>
            <w:shd w:val="clear" w:color="auto" w:fill="B4C6E7" w:themeFill="accent1" w:themeFillTint="66"/>
          </w:tcPr>
          <w:p w14:paraId="6830C88C" w14:textId="76E97F77" w:rsidR="00181239" w:rsidRDefault="00181239" w:rsidP="00794C57">
            <w:pPr>
              <w:pStyle w:val="BodyText"/>
              <w:rPr>
                <w:rFonts w:asciiTheme="majorHAnsi" w:hAnsiTheme="majorHAnsi"/>
              </w:rPr>
            </w:pPr>
            <w:r w:rsidRPr="00181239">
              <w:rPr>
                <w:rFonts w:asciiTheme="majorHAnsi" w:hAnsiTheme="majorHAnsi"/>
                <w:b/>
                <w:sz w:val="18"/>
                <w:szCs w:val="18"/>
              </w:rPr>
              <w:lastRenderedPageBreak/>
              <w:t>Management</w:t>
            </w:r>
          </w:p>
        </w:tc>
        <w:tc>
          <w:tcPr>
            <w:tcW w:w="1035" w:type="pct"/>
            <w:tcBorders>
              <w:left w:val="single" w:sz="4" w:space="0" w:color="auto"/>
            </w:tcBorders>
          </w:tcPr>
          <w:p w14:paraId="62959B04" w14:textId="77777777" w:rsidR="00455D79" w:rsidRPr="00E2392C" w:rsidRDefault="00455D79" w:rsidP="00455D79">
            <w:pPr>
              <w:pStyle w:val="BodyText"/>
              <w:rPr>
                <w:rFonts w:cstheme="minorHAnsi"/>
                <w:sz w:val="16"/>
                <w:szCs w:val="16"/>
              </w:rPr>
            </w:pPr>
            <w:r w:rsidRPr="00E2392C">
              <w:rPr>
                <w:rFonts w:cstheme="minorHAnsi"/>
                <w:sz w:val="16"/>
                <w:szCs w:val="16"/>
              </w:rPr>
              <w:t xml:space="preserve">The transition to a new program impacts personnel retention and momentum, slowing down the implementation of existing and new interventions. </w:t>
            </w:r>
          </w:p>
          <w:p w14:paraId="41D4FE68" w14:textId="179C7492" w:rsidR="00181239" w:rsidRPr="008011F8" w:rsidRDefault="00181239" w:rsidP="00794C57">
            <w:pPr>
              <w:pStyle w:val="BodyText"/>
              <w:rPr>
                <w:rFonts w:asciiTheme="majorHAnsi" w:hAnsiTheme="majorHAnsi"/>
                <w:sz w:val="16"/>
                <w:szCs w:val="16"/>
                <w:highlight w:val="yellow"/>
              </w:rPr>
            </w:pPr>
          </w:p>
        </w:tc>
        <w:tc>
          <w:tcPr>
            <w:tcW w:w="1750" w:type="pct"/>
          </w:tcPr>
          <w:p w14:paraId="11844351" w14:textId="23D599DC" w:rsidR="007216BF" w:rsidRDefault="007216BF" w:rsidP="004B220D">
            <w:pPr>
              <w:pStyle w:val="BodyText"/>
              <w:numPr>
                <w:ilvl w:val="0"/>
                <w:numId w:val="30"/>
              </w:numPr>
              <w:rPr>
                <w:rFonts w:asciiTheme="majorHAnsi" w:hAnsiTheme="majorHAnsi"/>
                <w:sz w:val="16"/>
                <w:szCs w:val="16"/>
              </w:rPr>
            </w:pPr>
            <w:r>
              <w:rPr>
                <w:rFonts w:asciiTheme="majorHAnsi" w:hAnsiTheme="majorHAnsi"/>
                <w:sz w:val="16"/>
                <w:szCs w:val="16"/>
              </w:rPr>
              <w:t>Personnel retention fully considered and addressed through clear communications prior to the end of the AIP-Rural program</w:t>
            </w:r>
            <w:r w:rsidR="00E2392C">
              <w:rPr>
                <w:rFonts w:asciiTheme="majorHAnsi" w:hAnsiTheme="majorHAnsi"/>
                <w:sz w:val="16"/>
                <w:szCs w:val="16"/>
              </w:rPr>
              <w:t xml:space="preserve"> and transition phase </w:t>
            </w:r>
            <w:r>
              <w:rPr>
                <w:rFonts w:asciiTheme="majorHAnsi" w:hAnsiTheme="majorHAnsi"/>
                <w:sz w:val="16"/>
                <w:szCs w:val="16"/>
              </w:rPr>
              <w:t>to ensure all staff aware of process</w:t>
            </w:r>
            <w:r w:rsidR="00E2392C">
              <w:rPr>
                <w:rFonts w:asciiTheme="majorHAnsi" w:hAnsiTheme="majorHAnsi"/>
                <w:sz w:val="16"/>
                <w:szCs w:val="16"/>
              </w:rPr>
              <w:t xml:space="preserve"> and </w:t>
            </w:r>
            <w:proofErr w:type="gramStart"/>
            <w:r w:rsidR="00E2392C">
              <w:rPr>
                <w:rFonts w:asciiTheme="majorHAnsi" w:hAnsiTheme="majorHAnsi"/>
                <w:sz w:val="16"/>
                <w:szCs w:val="16"/>
              </w:rPr>
              <w:t>are</w:t>
            </w:r>
            <w:proofErr w:type="gramEnd"/>
            <w:r w:rsidR="00E2392C">
              <w:rPr>
                <w:rFonts w:asciiTheme="majorHAnsi" w:hAnsiTheme="majorHAnsi"/>
                <w:sz w:val="16"/>
                <w:szCs w:val="16"/>
              </w:rPr>
              <w:t xml:space="preserve"> well informed.</w:t>
            </w:r>
          </w:p>
          <w:p w14:paraId="31EB8996" w14:textId="4B4266D4" w:rsidR="00E2392C" w:rsidRDefault="007216BF" w:rsidP="004B220D">
            <w:pPr>
              <w:pStyle w:val="BodyText"/>
              <w:numPr>
                <w:ilvl w:val="0"/>
                <w:numId w:val="30"/>
              </w:numPr>
              <w:rPr>
                <w:rFonts w:asciiTheme="majorHAnsi" w:hAnsiTheme="majorHAnsi"/>
                <w:sz w:val="16"/>
                <w:szCs w:val="16"/>
              </w:rPr>
            </w:pPr>
            <w:r>
              <w:rPr>
                <w:rFonts w:asciiTheme="majorHAnsi" w:hAnsiTheme="majorHAnsi"/>
                <w:sz w:val="16"/>
                <w:szCs w:val="16"/>
              </w:rPr>
              <w:t xml:space="preserve">All personnel other than Senior Management Team novated to </w:t>
            </w:r>
            <w:r w:rsidR="00E2392C">
              <w:rPr>
                <w:rFonts w:asciiTheme="majorHAnsi" w:hAnsiTheme="majorHAnsi"/>
                <w:sz w:val="16"/>
                <w:szCs w:val="16"/>
              </w:rPr>
              <w:t xml:space="preserve">new Contractor for </w:t>
            </w:r>
            <w:r w:rsidR="005D461A">
              <w:rPr>
                <w:rFonts w:asciiTheme="majorHAnsi" w:hAnsiTheme="majorHAnsi"/>
                <w:sz w:val="16"/>
                <w:szCs w:val="16"/>
              </w:rPr>
              <w:t>PRISMA-2</w:t>
            </w:r>
            <w:r w:rsidR="00E2392C">
              <w:rPr>
                <w:rFonts w:asciiTheme="majorHAnsi" w:hAnsiTheme="majorHAnsi"/>
                <w:sz w:val="16"/>
                <w:szCs w:val="16"/>
              </w:rPr>
              <w:t xml:space="preserve"> to retain capacity, institutional knowledge and relationships with key partners. </w:t>
            </w:r>
          </w:p>
          <w:p w14:paraId="7C23FFD5" w14:textId="77777777" w:rsidR="00397504" w:rsidRPr="00397504" w:rsidRDefault="00397504" w:rsidP="004B220D">
            <w:pPr>
              <w:pStyle w:val="ListParagraph"/>
              <w:numPr>
                <w:ilvl w:val="0"/>
                <w:numId w:val="30"/>
              </w:numPr>
              <w:rPr>
                <w:rFonts w:asciiTheme="majorHAnsi" w:hAnsiTheme="majorHAnsi"/>
                <w:sz w:val="16"/>
                <w:szCs w:val="16"/>
              </w:rPr>
            </w:pPr>
            <w:r w:rsidRPr="00397504">
              <w:rPr>
                <w:rFonts w:asciiTheme="majorHAnsi" w:hAnsiTheme="majorHAnsi"/>
                <w:sz w:val="16"/>
                <w:szCs w:val="16"/>
              </w:rPr>
              <w:t>Use of Strategic Review Panel as a quality assurance and technical support resource</w:t>
            </w:r>
          </w:p>
          <w:p w14:paraId="2330C38F" w14:textId="045CE74B" w:rsidR="00336898" w:rsidRPr="00336898" w:rsidRDefault="00336898" w:rsidP="004B220D">
            <w:pPr>
              <w:pStyle w:val="BodyText"/>
              <w:numPr>
                <w:ilvl w:val="0"/>
                <w:numId w:val="30"/>
              </w:numPr>
              <w:rPr>
                <w:rFonts w:asciiTheme="majorHAnsi" w:hAnsiTheme="majorHAnsi"/>
                <w:sz w:val="16"/>
                <w:szCs w:val="16"/>
              </w:rPr>
            </w:pPr>
            <w:r>
              <w:rPr>
                <w:rFonts w:asciiTheme="majorHAnsi" w:hAnsiTheme="majorHAnsi"/>
                <w:sz w:val="16"/>
                <w:szCs w:val="16"/>
              </w:rPr>
              <w:t xml:space="preserve">Identification of clear transition approach and communication processes to ensure effective management, continuity and maintain momentum from AIP-Rural. </w:t>
            </w:r>
          </w:p>
        </w:tc>
        <w:tc>
          <w:tcPr>
            <w:tcW w:w="443" w:type="pct"/>
          </w:tcPr>
          <w:p w14:paraId="20CB0E62" w14:textId="2955F0D3" w:rsidR="00181239" w:rsidRPr="00EB5DB3" w:rsidRDefault="00E2392C" w:rsidP="00794C57">
            <w:pPr>
              <w:pStyle w:val="BodyText"/>
              <w:rPr>
                <w:rFonts w:asciiTheme="majorHAnsi" w:hAnsiTheme="majorHAnsi"/>
                <w:sz w:val="16"/>
                <w:szCs w:val="16"/>
              </w:rPr>
            </w:pPr>
            <w:r>
              <w:rPr>
                <w:rFonts w:asciiTheme="majorHAnsi" w:hAnsiTheme="majorHAnsi"/>
                <w:sz w:val="16"/>
                <w:szCs w:val="16"/>
              </w:rPr>
              <w:t>DFAT/ Contractor</w:t>
            </w:r>
          </w:p>
        </w:tc>
        <w:tc>
          <w:tcPr>
            <w:tcW w:w="269" w:type="pct"/>
          </w:tcPr>
          <w:p w14:paraId="69361CEE" w14:textId="7DA91F6E" w:rsidR="00181239" w:rsidRPr="00EB5DB3" w:rsidRDefault="008B2708" w:rsidP="00794C57">
            <w:pPr>
              <w:pStyle w:val="BodyText"/>
              <w:rPr>
                <w:rFonts w:asciiTheme="majorHAnsi" w:hAnsiTheme="majorHAnsi"/>
                <w:sz w:val="16"/>
                <w:szCs w:val="16"/>
              </w:rPr>
            </w:pPr>
            <w:r>
              <w:rPr>
                <w:rFonts w:asciiTheme="majorHAnsi" w:hAnsiTheme="majorHAnsi"/>
                <w:sz w:val="16"/>
                <w:szCs w:val="16"/>
              </w:rPr>
              <w:t>Likely</w:t>
            </w:r>
          </w:p>
        </w:tc>
        <w:tc>
          <w:tcPr>
            <w:tcW w:w="313" w:type="pct"/>
          </w:tcPr>
          <w:p w14:paraId="5C00C115" w14:textId="001E35E2" w:rsidR="00181239" w:rsidRPr="00EB5DB3" w:rsidRDefault="008B2708" w:rsidP="00794C57">
            <w:pPr>
              <w:pStyle w:val="BodyText"/>
              <w:rPr>
                <w:rFonts w:asciiTheme="majorHAnsi" w:hAnsiTheme="majorHAnsi"/>
                <w:sz w:val="16"/>
                <w:szCs w:val="16"/>
              </w:rPr>
            </w:pPr>
            <w:r>
              <w:rPr>
                <w:rFonts w:asciiTheme="majorHAnsi" w:hAnsiTheme="majorHAnsi"/>
                <w:sz w:val="16"/>
                <w:szCs w:val="16"/>
              </w:rPr>
              <w:t>High</w:t>
            </w:r>
          </w:p>
        </w:tc>
        <w:tc>
          <w:tcPr>
            <w:tcW w:w="486" w:type="pct"/>
          </w:tcPr>
          <w:p w14:paraId="28F37961" w14:textId="44C53599" w:rsidR="00181239" w:rsidRPr="00EB5DB3" w:rsidRDefault="00F9558F" w:rsidP="00794C57">
            <w:pPr>
              <w:pStyle w:val="BodyText"/>
              <w:rPr>
                <w:rFonts w:asciiTheme="majorHAnsi" w:hAnsiTheme="majorHAnsi"/>
                <w:sz w:val="16"/>
                <w:szCs w:val="16"/>
              </w:rPr>
            </w:pPr>
            <w:r>
              <w:rPr>
                <w:rFonts w:asciiTheme="majorHAnsi" w:hAnsiTheme="majorHAnsi"/>
                <w:sz w:val="16"/>
                <w:szCs w:val="16"/>
              </w:rPr>
              <w:t>High</w:t>
            </w:r>
          </w:p>
        </w:tc>
      </w:tr>
      <w:tr w:rsidR="00181239" w14:paraId="2995D8F5" w14:textId="77777777" w:rsidTr="00373375">
        <w:tc>
          <w:tcPr>
            <w:tcW w:w="704" w:type="pct"/>
            <w:tcBorders>
              <w:top w:val="single" w:sz="4" w:space="0" w:color="auto"/>
              <w:left w:val="single" w:sz="4" w:space="0" w:color="auto"/>
              <w:bottom w:val="nil"/>
              <w:right w:val="single" w:sz="4" w:space="0" w:color="auto"/>
            </w:tcBorders>
            <w:shd w:val="clear" w:color="auto" w:fill="B4C6E7" w:themeFill="accent1" w:themeFillTint="66"/>
          </w:tcPr>
          <w:p w14:paraId="13369862" w14:textId="03784A0C" w:rsidR="00181239" w:rsidRDefault="00181239" w:rsidP="00181239">
            <w:pPr>
              <w:pStyle w:val="BodyText"/>
              <w:rPr>
                <w:rFonts w:asciiTheme="majorHAnsi" w:hAnsiTheme="majorHAnsi"/>
              </w:rPr>
            </w:pPr>
            <w:r w:rsidRPr="00181239">
              <w:rPr>
                <w:rFonts w:asciiTheme="majorHAnsi" w:hAnsiTheme="majorHAnsi"/>
                <w:b/>
                <w:sz w:val="18"/>
                <w:szCs w:val="18"/>
              </w:rPr>
              <w:t>Results</w:t>
            </w:r>
          </w:p>
        </w:tc>
        <w:tc>
          <w:tcPr>
            <w:tcW w:w="1035" w:type="pct"/>
            <w:tcBorders>
              <w:left w:val="single" w:sz="4" w:space="0" w:color="auto"/>
            </w:tcBorders>
          </w:tcPr>
          <w:p w14:paraId="60726CEC" w14:textId="77777777" w:rsidR="0063735C" w:rsidRPr="008011F8" w:rsidRDefault="0063735C" w:rsidP="0063735C">
            <w:pPr>
              <w:pStyle w:val="BodyText"/>
              <w:rPr>
                <w:rFonts w:cstheme="minorHAnsi"/>
                <w:sz w:val="16"/>
                <w:szCs w:val="16"/>
              </w:rPr>
            </w:pPr>
            <w:r w:rsidRPr="008B2708">
              <w:rPr>
                <w:rFonts w:cstheme="minorHAnsi"/>
                <w:sz w:val="16"/>
                <w:szCs w:val="16"/>
              </w:rPr>
              <w:t>Changes in market systems through program interventions do not aggregate into broader systemic and/or institutional change within private sector companies.</w:t>
            </w:r>
          </w:p>
          <w:p w14:paraId="27027104" w14:textId="024103AC" w:rsidR="00181239" w:rsidRPr="008011F8" w:rsidRDefault="00181239" w:rsidP="00794C57">
            <w:pPr>
              <w:pStyle w:val="BodyText"/>
              <w:rPr>
                <w:rFonts w:asciiTheme="majorHAnsi" w:hAnsiTheme="majorHAnsi"/>
                <w:sz w:val="16"/>
                <w:szCs w:val="16"/>
              </w:rPr>
            </w:pPr>
          </w:p>
        </w:tc>
        <w:tc>
          <w:tcPr>
            <w:tcW w:w="1750" w:type="pct"/>
          </w:tcPr>
          <w:p w14:paraId="77AEB534" w14:textId="3464BE6B" w:rsidR="00336898" w:rsidRDefault="00336898" w:rsidP="004B220D">
            <w:pPr>
              <w:pStyle w:val="BodyText"/>
              <w:numPr>
                <w:ilvl w:val="0"/>
                <w:numId w:val="31"/>
              </w:numPr>
              <w:rPr>
                <w:rFonts w:asciiTheme="majorHAnsi" w:hAnsiTheme="majorHAnsi"/>
                <w:sz w:val="16"/>
                <w:szCs w:val="16"/>
              </w:rPr>
            </w:pPr>
            <w:r>
              <w:rPr>
                <w:rFonts w:asciiTheme="majorHAnsi" w:hAnsiTheme="majorHAnsi"/>
                <w:sz w:val="16"/>
                <w:szCs w:val="16"/>
              </w:rPr>
              <w:t xml:space="preserve">Stronger focus on influencing broader systemic change through </w:t>
            </w:r>
            <w:r w:rsidR="005D461A">
              <w:rPr>
                <w:rFonts w:asciiTheme="majorHAnsi" w:hAnsiTheme="majorHAnsi"/>
                <w:sz w:val="16"/>
                <w:szCs w:val="16"/>
              </w:rPr>
              <w:t>PRISMA-2</w:t>
            </w:r>
            <w:r w:rsidR="008D1615">
              <w:rPr>
                <w:rFonts w:asciiTheme="majorHAnsi" w:hAnsiTheme="majorHAnsi"/>
                <w:sz w:val="16"/>
                <w:szCs w:val="16"/>
              </w:rPr>
              <w:t xml:space="preserve"> (than AIP-Rural)</w:t>
            </w:r>
            <w:r>
              <w:rPr>
                <w:rFonts w:asciiTheme="majorHAnsi" w:hAnsiTheme="majorHAnsi"/>
                <w:sz w:val="16"/>
                <w:szCs w:val="16"/>
              </w:rPr>
              <w:t xml:space="preserve"> through</w:t>
            </w:r>
            <w:r w:rsidR="00143A40">
              <w:rPr>
                <w:rFonts w:asciiTheme="majorHAnsi" w:hAnsiTheme="majorHAnsi"/>
                <w:sz w:val="16"/>
                <w:szCs w:val="16"/>
              </w:rPr>
              <w:t xml:space="preserve"> an emphasis on Level 2 and 3 sustainability and supporting positive policy change. </w:t>
            </w:r>
          </w:p>
          <w:p w14:paraId="2AA736A5" w14:textId="77777777" w:rsidR="00373375" w:rsidRDefault="00397504" w:rsidP="004B220D">
            <w:pPr>
              <w:pStyle w:val="BodyText"/>
              <w:numPr>
                <w:ilvl w:val="0"/>
                <w:numId w:val="31"/>
              </w:numPr>
              <w:rPr>
                <w:rFonts w:asciiTheme="majorHAnsi" w:hAnsiTheme="majorHAnsi"/>
                <w:sz w:val="16"/>
                <w:szCs w:val="16"/>
              </w:rPr>
            </w:pPr>
            <w:r w:rsidRPr="00397504">
              <w:rPr>
                <w:rFonts w:asciiTheme="majorHAnsi" w:hAnsiTheme="majorHAnsi"/>
                <w:sz w:val="16"/>
                <w:szCs w:val="16"/>
              </w:rPr>
              <w:t>MRM information and lessons learned will be prepared for different communication channels to influence influencers</w:t>
            </w:r>
          </w:p>
          <w:p w14:paraId="23B66D90" w14:textId="523A8904" w:rsidR="00181239" w:rsidRPr="00EB5DB3" w:rsidRDefault="00397504" w:rsidP="004B220D">
            <w:pPr>
              <w:pStyle w:val="BodyText"/>
              <w:numPr>
                <w:ilvl w:val="0"/>
                <w:numId w:val="31"/>
              </w:numPr>
              <w:rPr>
                <w:rFonts w:asciiTheme="majorHAnsi" w:hAnsiTheme="majorHAnsi"/>
                <w:sz w:val="16"/>
                <w:szCs w:val="16"/>
              </w:rPr>
            </w:pPr>
            <w:r>
              <w:rPr>
                <w:rFonts w:asciiTheme="majorHAnsi" w:hAnsiTheme="majorHAnsi"/>
                <w:sz w:val="16"/>
                <w:szCs w:val="16"/>
              </w:rPr>
              <w:t xml:space="preserve">Implementation </w:t>
            </w:r>
            <w:r w:rsidR="00336898">
              <w:rPr>
                <w:rFonts w:asciiTheme="majorHAnsi" w:hAnsiTheme="majorHAnsi"/>
                <w:sz w:val="16"/>
                <w:szCs w:val="16"/>
              </w:rPr>
              <w:t>of Communications Plan to ensure program results from monitoring and results measurement are packaged and disseminated to key partners and support broader evidence base</w:t>
            </w:r>
            <w:r w:rsidR="008D1615">
              <w:rPr>
                <w:rFonts w:asciiTheme="majorHAnsi" w:hAnsiTheme="majorHAnsi"/>
                <w:sz w:val="16"/>
                <w:szCs w:val="16"/>
              </w:rPr>
              <w:t xml:space="preserve"> for new ways of working that strengthen market systems. </w:t>
            </w:r>
          </w:p>
        </w:tc>
        <w:tc>
          <w:tcPr>
            <w:tcW w:w="443" w:type="pct"/>
          </w:tcPr>
          <w:p w14:paraId="2895EF40" w14:textId="14AE9A04" w:rsidR="00181239" w:rsidRPr="00EB5DB3" w:rsidRDefault="008D1615" w:rsidP="00794C57">
            <w:pPr>
              <w:pStyle w:val="BodyText"/>
              <w:rPr>
                <w:rFonts w:asciiTheme="majorHAnsi" w:hAnsiTheme="majorHAnsi"/>
                <w:sz w:val="16"/>
                <w:szCs w:val="16"/>
              </w:rPr>
            </w:pPr>
            <w:r>
              <w:rPr>
                <w:rFonts w:asciiTheme="majorHAnsi" w:hAnsiTheme="majorHAnsi"/>
                <w:sz w:val="16"/>
                <w:szCs w:val="16"/>
              </w:rPr>
              <w:t>DFAT/ Contractor</w:t>
            </w:r>
          </w:p>
        </w:tc>
        <w:tc>
          <w:tcPr>
            <w:tcW w:w="269" w:type="pct"/>
          </w:tcPr>
          <w:p w14:paraId="77831A15" w14:textId="082E6DFA" w:rsidR="00181239" w:rsidRPr="00EB5DB3" w:rsidRDefault="008D1615" w:rsidP="00794C57">
            <w:pPr>
              <w:pStyle w:val="BodyText"/>
              <w:rPr>
                <w:rFonts w:asciiTheme="majorHAnsi" w:hAnsiTheme="majorHAnsi"/>
                <w:sz w:val="16"/>
                <w:szCs w:val="16"/>
              </w:rPr>
            </w:pPr>
            <w:r>
              <w:rPr>
                <w:rFonts w:asciiTheme="majorHAnsi" w:hAnsiTheme="majorHAnsi"/>
                <w:sz w:val="16"/>
                <w:szCs w:val="16"/>
              </w:rPr>
              <w:t>Likely</w:t>
            </w:r>
          </w:p>
        </w:tc>
        <w:tc>
          <w:tcPr>
            <w:tcW w:w="313" w:type="pct"/>
          </w:tcPr>
          <w:p w14:paraId="7B8C9282" w14:textId="2D705B89" w:rsidR="00181239" w:rsidRPr="00EB5DB3" w:rsidRDefault="008D1615" w:rsidP="00794C57">
            <w:pPr>
              <w:pStyle w:val="BodyText"/>
              <w:rPr>
                <w:rFonts w:asciiTheme="majorHAnsi" w:hAnsiTheme="majorHAnsi"/>
                <w:sz w:val="16"/>
                <w:szCs w:val="16"/>
              </w:rPr>
            </w:pPr>
            <w:r>
              <w:rPr>
                <w:rFonts w:asciiTheme="majorHAnsi" w:hAnsiTheme="majorHAnsi"/>
                <w:sz w:val="16"/>
                <w:szCs w:val="16"/>
              </w:rPr>
              <w:t>High</w:t>
            </w:r>
          </w:p>
        </w:tc>
        <w:tc>
          <w:tcPr>
            <w:tcW w:w="486" w:type="pct"/>
          </w:tcPr>
          <w:p w14:paraId="1B083E19" w14:textId="3BEFA30A" w:rsidR="00181239" w:rsidRPr="00EB5DB3" w:rsidRDefault="008D1615" w:rsidP="00794C57">
            <w:pPr>
              <w:pStyle w:val="BodyText"/>
              <w:rPr>
                <w:rFonts w:asciiTheme="majorHAnsi" w:hAnsiTheme="majorHAnsi"/>
                <w:sz w:val="16"/>
                <w:szCs w:val="16"/>
              </w:rPr>
            </w:pPr>
            <w:r>
              <w:rPr>
                <w:rFonts w:asciiTheme="majorHAnsi" w:hAnsiTheme="majorHAnsi"/>
                <w:sz w:val="16"/>
                <w:szCs w:val="16"/>
              </w:rPr>
              <w:t>Moderate</w:t>
            </w:r>
          </w:p>
        </w:tc>
      </w:tr>
      <w:tr w:rsidR="00181239" w14:paraId="206AABB4" w14:textId="77777777" w:rsidTr="00373375">
        <w:tc>
          <w:tcPr>
            <w:tcW w:w="704" w:type="pct"/>
            <w:tcBorders>
              <w:top w:val="single" w:sz="4" w:space="0" w:color="auto"/>
              <w:left w:val="single" w:sz="4" w:space="0" w:color="auto"/>
              <w:bottom w:val="nil"/>
              <w:right w:val="single" w:sz="4" w:space="0" w:color="auto"/>
            </w:tcBorders>
            <w:shd w:val="clear" w:color="auto" w:fill="B4C6E7" w:themeFill="accent1" w:themeFillTint="66"/>
          </w:tcPr>
          <w:p w14:paraId="4300CC8A" w14:textId="471A5C9C" w:rsidR="00181239" w:rsidRDefault="002A16D9" w:rsidP="00794C57">
            <w:pPr>
              <w:pStyle w:val="BodyText"/>
              <w:rPr>
                <w:rFonts w:asciiTheme="majorHAnsi" w:hAnsiTheme="majorHAnsi"/>
              </w:rPr>
            </w:pPr>
            <w:r>
              <w:rPr>
                <w:rFonts w:asciiTheme="majorHAnsi" w:hAnsiTheme="majorHAnsi"/>
                <w:b/>
                <w:sz w:val="18"/>
                <w:szCs w:val="18"/>
              </w:rPr>
              <w:t>Fraud/Fiduciary</w:t>
            </w:r>
          </w:p>
        </w:tc>
        <w:tc>
          <w:tcPr>
            <w:tcW w:w="1035" w:type="pct"/>
            <w:tcBorders>
              <w:left w:val="single" w:sz="4" w:space="0" w:color="auto"/>
            </w:tcBorders>
          </w:tcPr>
          <w:p w14:paraId="6B30467D" w14:textId="16FACBE6" w:rsidR="00181239" w:rsidRPr="008011F8" w:rsidRDefault="002A16D9" w:rsidP="00794C57">
            <w:pPr>
              <w:pStyle w:val="BodyText"/>
              <w:rPr>
                <w:rFonts w:asciiTheme="majorHAnsi" w:hAnsiTheme="majorHAnsi"/>
                <w:sz w:val="16"/>
                <w:szCs w:val="16"/>
              </w:rPr>
            </w:pPr>
            <w:r w:rsidRPr="008011F8">
              <w:rPr>
                <w:rFonts w:cstheme="minorHAnsi"/>
                <w:sz w:val="16"/>
                <w:szCs w:val="16"/>
              </w:rPr>
              <w:t xml:space="preserve">Partners engaged in the program, or staff act fraudulently leading to the misuse of program funds. </w:t>
            </w:r>
          </w:p>
        </w:tc>
        <w:tc>
          <w:tcPr>
            <w:tcW w:w="1750" w:type="pct"/>
          </w:tcPr>
          <w:p w14:paraId="32073511" w14:textId="5832B5A7" w:rsidR="001057C7" w:rsidRDefault="001057C7" w:rsidP="004B220D">
            <w:pPr>
              <w:pStyle w:val="BodyText"/>
              <w:numPr>
                <w:ilvl w:val="0"/>
                <w:numId w:val="32"/>
              </w:numPr>
              <w:rPr>
                <w:rFonts w:asciiTheme="majorHAnsi" w:hAnsiTheme="majorHAnsi"/>
                <w:sz w:val="16"/>
                <w:szCs w:val="16"/>
              </w:rPr>
            </w:pPr>
            <w:r>
              <w:rPr>
                <w:rFonts w:asciiTheme="majorHAnsi" w:hAnsiTheme="majorHAnsi"/>
                <w:sz w:val="16"/>
                <w:szCs w:val="16"/>
              </w:rPr>
              <w:t>Risk and fraud training for all program personnel including fraud awareness training at induction and regular refresher training for personnel throughout implementation.</w:t>
            </w:r>
          </w:p>
          <w:p w14:paraId="6AE54E7C" w14:textId="2A1DE474" w:rsidR="001057C7" w:rsidRDefault="001057C7" w:rsidP="004B220D">
            <w:pPr>
              <w:pStyle w:val="BodyText"/>
              <w:numPr>
                <w:ilvl w:val="0"/>
                <w:numId w:val="32"/>
              </w:numPr>
              <w:rPr>
                <w:rFonts w:asciiTheme="majorHAnsi" w:hAnsiTheme="majorHAnsi"/>
                <w:sz w:val="16"/>
                <w:szCs w:val="16"/>
              </w:rPr>
            </w:pPr>
            <w:r>
              <w:rPr>
                <w:rFonts w:asciiTheme="majorHAnsi" w:hAnsiTheme="majorHAnsi"/>
                <w:sz w:val="16"/>
                <w:szCs w:val="16"/>
              </w:rPr>
              <w:t>Regular financial audits of program expenditure conducted throughout implementation.</w:t>
            </w:r>
          </w:p>
          <w:p w14:paraId="2C628E63" w14:textId="3BA5B6C3" w:rsidR="00397504" w:rsidRDefault="00397504" w:rsidP="004B220D">
            <w:pPr>
              <w:pStyle w:val="BodyText"/>
              <w:numPr>
                <w:ilvl w:val="0"/>
                <w:numId w:val="32"/>
              </w:numPr>
              <w:rPr>
                <w:rFonts w:asciiTheme="majorHAnsi" w:hAnsiTheme="majorHAnsi"/>
                <w:sz w:val="16"/>
                <w:szCs w:val="16"/>
              </w:rPr>
            </w:pPr>
            <w:r>
              <w:rPr>
                <w:rFonts w:asciiTheme="majorHAnsi" w:hAnsiTheme="majorHAnsi"/>
                <w:sz w:val="16"/>
                <w:szCs w:val="16"/>
              </w:rPr>
              <w:t xml:space="preserve">Measurement of </w:t>
            </w:r>
            <w:proofErr w:type="spellStart"/>
            <w:r>
              <w:rPr>
                <w:rFonts w:asciiTheme="majorHAnsi" w:hAnsiTheme="majorHAnsi"/>
                <w:sz w:val="16"/>
                <w:szCs w:val="16"/>
              </w:rPr>
              <w:t>VfM</w:t>
            </w:r>
            <w:proofErr w:type="spellEnd"/>
            <w:r>
              <w:rPr>
                <w:rFonts w:asciiTheme="majorHAnsi" w:hAnsiTheme="majorHAnsi"/>
                <w:sz w:val="16"/>
                <w:szCs w:val="16"/>
              </w:rPr>
              <w:t xml:space="preserve"> measures across portfolio, regular benchmarking using comparative analysis and investigation of outliers.</w:t>
            </w:r>
          </w:p>
          <w:p w14:paraId="3EAEE8F4" w14:textId="78C2DC5B" w:rsidR="001057C7" w:rsidRDefault="001057C7" w:rsidP="004B220D">
            <w:pPr>
              <w:pStyle w:val="BodyText"/>
              <w:numPr>
                <w:ilvl w:val="0"/>
                <w:numId w:val="32"/>
              </w:numPr>
              <w:rPr>
                <w:rFonts w:asciiTheme="majorHAnsi" w:hAnsiTheme="majorHAnsi"/>
                <w:sz w:val="16"/>
                <w:szCs w:val="16"/>
              </w:rPr>
            </w:pPr>
            <w:r>
              <w:rPr>
                <w:rFonts w:asciiTheme="majorHAnsi" w:hAnsiTheme="majorHAnsi"/>
                <w:sz w:val="16"/>
                <w:szCs w:val="16"/>
              </w:rPr>
              <w:t xml:space="preserve">Adequate resourcing within operational team for conducting partner audits, spot-checks and training for program personnel and key partners in identifying and managing risk and fraud. </w:t>
            </w:r>
          </w:p>
          <w:p w14:paraId="360D16CE" w14:textId="591100AB" w:rsidR="00181239" w:rsidRPr="001057C7" w:rsidRDefault="001057C7" w:rsidP="004B220D">
            <w:pPr>
              <w:pStyle w:val="BodyText"/>
              <w:numPr>
                <w:ilvl w:val="0"/>
                <w:numId w:val="32"/>
              </w:numPr>
              <w:rPr>
                <w:rFonts w:asciiTheme="majorHAnsi" w:hAnsiTheme="majorHAnsi"/>
                <w:sz w:val="16"/>
                <w:szCs w:val="16"/>
              </w:rPr>
            </w:pPr>
            <w:r>
              <w:rPr>
                <w:rFonts w:asciiTheme="majorHAnsi" w:hAnsiTheme="majorHAnsi"/>
                <w:sz w:val="16"/>
                <w:szCs w:val="16"/>
              </w:rPr>
              <w:t xml:space="preserve">Clear and robust fraud reporting systems and processes aligned with DFAT policies on financial management and fraud. </w:t>
            </w:r>
            <w:r w:rsidRPr="001057C7">
              <w:rPr>
                <w:rFonts w:asciiTheme="majorHAnsi" w:hAnsiTheme="majorHAnsi"/>
                <w:sz w:val="16"/>
                <w:szCs w:val="16"/>
              </w:rPr>
              <w:t xml:space="preserve"> </w:t>
            </w:r>
          </w:p>
        </w:tc>
        <w:tc>
          <w:tcPr>
            <w:tcW w:w="443" w:type="pct"/>
          </w:tcPr>
          <w:p w14:paraId="2F30BE2B" w14:textId="19AB3F97" w:rsidR="00181239" w:rsidRPr="00EB5DB3" w:rsidRDefault="00207A90" w:rsidP="00794C57">
            <w:pPr>
              <w:pStyle w:val="BodyText"/>
              <w:rPr>
                <w:rFonts w:asciiTheme="majorHAnsi" w:hAnsiTheme="majorHAnsi"/>
                <w:sz w:val="16"/>
                <w:szCs w:val="16"/>
              </w:rPr>
            </w:pPr>
            <w:r>
              <w:rPr>
                <w:rFonts w:asciiTheme="majorHAnsi" w:hAnsiTheme="majorHAnsi"/>
                <w:sz w:val="16"/>
                <w:szCs w:val="16"/>
              </w:rPr>
              <w:t xml:space="preserve">DFAT/ Contractor </w:t>
            </w:r>
          </w:p>
        </w:tc>
        <w:tc>
          <w:tcPr>
            <w:tcW w:w="269" w:type="pct"/>
          </w:tcPr>
          <w:p w14:paraId="3206FFB3" w14:textId="7C584BF3" w:rsidR="00181239" w:rsidRPr="00EB5DB3" w:rsidRDefault="00207A90" w:rsidP="00794C57">
            <w:pPr>
              <w:pStyle w:val="BodyText"/>
              <w:rPr>
                <w:rFonts w:asciiTheme="majorHAnsi" w:hAnsiTheme="majorHAnsi"/>
                <w:sz w:val="16"/>
                <w:szCs w:val="16"/>
              </w:rPr>
            </w:pPr>
            <w:r>
              <w:rPr>
                <w:rFonts w:asciiTheme="majorHAnsi" w:hAnsiTheme="majorHAnsi"/>
                <w:sz w:val="16"/>
                <w:szCs w:val="16"/>
              </w:rPr>
              <w:t>Possible</w:t>
            </w:r>
          </w:p>
        </w:tc>
        <w:tc>
          <w:tcPr>
            <w:tcW w:w="313" w:type="pct"/>
          </w:tcPr>
          <w:p w14:paraId="518C3305" w14:textId="19522E83" w:rsidR="00181239" w:rsidRPr="00EB5DB3" w:rsidRDefault="00207A90" w:rsidP="00794C57">
            <w:pPr>
              <w:pStyle w:val="BodyText"/>
              <w:rPr>
                <w:rFonts w:asciiTheme="majorHAnsi" w:hAnsiTheme="majorHAnsi"/>
                <w:sz w:val="16"/>
                <w:szCs w:val="16"/>
              </w:rPr>
            </w:pPr>
            <w:r>
              <w:rPr>
                <w:rFonts w:asciiTheme="majorHAnsi" w:hAnsiTheme="majorHAnsi"/>
                <w:sz w:val="16"/>
                <w:szCs w:val="16"/>
              </w:rPr>
              <w:t xml:space="preserve">Moderate </w:t>
            </w:r>
          </w:p>
        </w:tc>
        <w:tc>
          <w:tcPr>
            <w:tcW w:w="486" w:type="pct"/>
          </w:tcPr>
          <w:p w14:paraId="7BFC4F95" w14:textId="553B68C0" w:rsidR="00181239" w:rsidRPr="00EB5DB3" w:rsidRDefault="00207A90" w:rsidP="00794C57">
            <w:pPr>
              <w:pStyle w:val="BodyText"/>
              <w:rPr>
                <w:rFonts w:asciiTheme="majorHAnsi" w:hAnsiTheme="majorHAnsi"/>
                <w:sz w:val="16"/>
                <w:szCs w:val="16"/>
              </w:rPr>
            </w:pPr>
            <w:r>
              <w:rPr>
                <w:rFonts w:asciiTheme="majorHAnsi" w:hAnsiTheme="majorHAnsi"/>
                <w:sz w:val="16"/>
                <w:szCs w:val="16"/>
              </w:rPr>
              <w:t>Minor</w:t>
            </w:r>
          </w:p>
        </w:tc>
      </w:tr>
      <w:tr w:rsidR="00181239" w14:paraId="1F912B37" w14:textId="77777777" w:rsidTr="00373375">
        <w:tc>
          <w:tcPr>
            <w:tcW w:w="704" w:type="pct"/>
            <w:tcBorders>
              <w:top w:val="single" w:sz="4" w:space="0" w:color="auto"/>
              <w:left w:val="single" w:sz="4" w:space="0" w:color="auto"/>
              <w:bottom w:val="nil"/>
              <w:right w:val="single" w:sz="4" w:space="0" w:color="auto"/>
            </w:tcBorders>
            <w:shd w:val="clear" w:color="auto" w:fill="B4C6E7" w:themeFill="accent1" w:themeFillTint="66"/>
          </w:tcPr>
          <w:p w14:paraId="57FA9699" w14:textId="4B443527" w:rsidR="00181239" w:rsidRDefault="00181239" w:rsidP="00794C57">
            <w:pPr>
              <w:pStyle w:val="BodyText"/>
              <w:rPr>
                <w:rFonts w:asciiTheme="majorHAnsi" w:hAnsiTheme="majorHAnsi"/>
              </w:rPr>
            </w:pPr>
            <w:r w:rsidRPr="00181239">
              <w:rPr>
                <w:rFonts w:asciiTheme="majorHAnsi" w:hAnsiTheme="majorHAnsi"/>
                <w:b/>
                <w:sz w:val="18"/>
                <w:szCs w:val="18"/>
              </w:rPr>
              <w:t>Reputation</w:t>
            </w:r>
          </w:p>
        </w:tc>
        <w:tc>
          <w:tcPr>
            <w:tcW w:w="1035" w:type="pct"/>
            <w:tcBorders>
              <w:left w:val="single" w:sz="4" w:space="0" w:color="auto"/>
            </w:tcBorders>
          </w:tcPr>
          <w:p w14:paraId="5BB3DF98" w14:textId="0284ACF8" w:rsidR="0063735C" w:rsidRPr="008011F8" w:rsidRDefault="0063735C" w:rsidP="0063735C">
            <w:pPr>
              <w:pStyle w:val="BodyText"/>
              <w:rPr>
                <w:rFonts w:cstheme="minorHAnsi"/>
                <w:sz w:val="16"/>
                <w:szCs w:val="16"/>
              </w:rPr>
            </w:pPr>
            <w:r w:rsidRPr="008D1615">
              <w:rPr>
                <w:rFonts w:cstheme="minorHAnsi"/>
                <w:sz w:val="16"/>
                <w:szCs w:val="16"/>
              </w:rPr>
              <w:t xml:space="preserve">Interventions lead to environmental damage or have </w:t>
            </w:r>
            <w:r w:rsidR="002A16D9" w:rsidRPr="008D1615">
              <w:rPr>
                <w:rFonts w:cstheme="minorHAnsi"/>
                <w:sz w:val="16"/>
                <w:szCs w:val="16"/>
              </w:rPr>
              <w:t xml:space="preserve">unintended </w:t>
            </w:r>
            <w:r w:rsidRPr="008D1615">
              <w:rPr>
                <w:rFonts w:cstheme="minorHAnsi"/>
                <w:sz w:val="16"/>
                <w:szCs w:val="16"/>
              </w:rPr>
              <w:t>negative impacts on human health and animal welfare, leading to reputational risks for the program and DFAT.</w:t>
            </w:r>
          </w:p>
          <w:p w14:paraId="49531EEA" w14:textId="0FEED1FD" w:rsidR="00181239" w:rsidRPr="008011F8" w:rsidRDefault="00181239" w:rsidP="00794C57">
            <w:pPr>
              <w:pStyle w:val="BodyText"/>
              <w:rPr>
                <w:rFonts w:asciiTheme="majorHAnsi" w:hAnsiTheme="majorHAnsi"/>
                <w:sz w:val="16"/>
                <w:szCs w:val="16"/>
              </w:rPr>
            </w:pPr>
          </w:p>
        </w:tc>
        <w:tc>
          <w:tcPr>
            <w:tcW w:w="1750" w:type="pct"/>
          </w:tcPr>
          <w:p w14:paraId="03BD4319" w14:textId="34CA538E" w:rsidR="001057C7" w:rsidRDefault="001057C7" w:rsidP="004B220D">
            <w:pPr>
              <w:pStyle w:val="BodyText"/>
              <w:numPr>
                <w:ilvl w:val="0"/>
                <w:numId w:val="33"/>
              </w:numPr>
              <w:rPr>
                <w:rFonts w:asciiTheme="majorHAnsi" w:hAnsiTheme="majorHAnsi"/>
                <w:sz w:val="16"/>
                <w:szCs w:val="16"/>
              </w:rPr>
            </w:pPr>
            <w:r>
              <w:rPr>
                <w:rFonts w:asciiTheme="majorHAnsi" w:hAnsiTheme="majorHAnsi"/>
                <w:sz w:val="16"/>
                <w:szCs w:val="16"/>
              </w:rPr>
              <w:t>Environmental Impact Assessments conducted for a</w:t>
            </w:r>
            <w:r w:rsidR="00207A90">
              <w:rPr>
                <w:rFonts w:asciiTheme="majorHAnsi" w:hAnsiTheme="majorHAnsi"/>
                <w:sz w:val="16"/>
                <w:szCs w:val="16"/>
              </w:rPr>
              <w:t xml:space="preserve">ll interventions that have the potential to lead to </w:t>
            </w:r>
            <w:r>
              <w:rPr>
                <w:rFonts w:asciiTheme="majorHAnsi" w:hAnsiTheme="majorHAnsi"/>
                <w:sz w:val="16"/>
                <w:szCs w:val="16"/>
              </w:rPr>
              <w:t xml:space="preserve">environmental damage, with results used to determine viability of a potential intervention and/or develop additional risk mitigation strategies required for an intervention. </w:t>
            </w:r>
          </w:p>
          <w:p w14:paraId="2C449ED4" w14:textId="116E1649" w:rsidR="00E60246" w:rsidRDefault="001057C7" w:rsidP="004B220D">
            <w:pPr>
              <w:pStyle w:val="BodyText"/>
              <w:numPr>
                <w:ilvl w:val="0"/>
                <w:numId w:val="33"/>
              </w:numPr>
              <w:rPr>
                <w:rFonts w:asciiTheme="majorHAnsi" w:hAnsiTheme="majorHAnsi"/>
                <w:sz w:val="16"/>
                <w:szCs w:val="16"/>
              </w:rPr>
            </w:pPr>
            <w:r>
              <w:rPr>
                <w:rFonts w:asciiTheme="majorHAnsi" w:hAnsiTheme="majorHAnsi"/>
                <w:sz w:val="16"/>
                <w:szCs w:val="16"/>
              </w:rPr>
              <w:t xml:space="preserve">Use of Good </w:t>
            </w:r>
            <w:r w:rsidR="00E60246">
              <w:rPr>
                <w:rFonts w:asciiTheme="majorHAnsi" w:hAnsiTheme="majorHAnsi"/>
                <w:sz w:val="16"/>
                <w:szCs w:val="16"/>
              </w:rPr>
              <w:t>Agricultural Practices and DFAT safeguard manuals to guide interventions</w:t>
            </w:r>
            <w:r w:rsidR="00207A90">
              <w:rPr>
                <w:rFonts w:asciiTheme="majorHAnsi" w:hAnsiTheme="majorHAnsi"/>
                <w:sz w:val="16"/>
                <w:szCs w:val="16"/>
              </w:rPr>
              <w:t xml:space="preserve"> and reduce risk of detrimental impacts on </w:t>
            </w:r>
            <w:r w:rsidR="00207A90">
              <w:rPr>
                <w:rFonts w:asciiTheme="majorHAnsi" w:hAnsiTheme="majorHAnsi"/>
                <w:sz w:val="16"/>
                <w:szCs w:val="16"/>
              </w:rPr>
              <w:lastRenderedPageBreak/>
              <w:t>human health and animal welfare</w:t>
            </w:r>
            <w:r w:rsidR="00E60246">
              <w:rPr>
                <w:rFonts w:asciiTheme="majorHAnsi" w:hAnsiTheme="majorHAnsi"/>
                <w:sz w:val="16"/>
                <w:szCs w:val="16"/>
              </w:rPr>
              <w:t xml:space="preserve">. </w:t>
            </w:r>
          </w:p>
          <w:p w14:paraId="7BB8A3F5" w14:textId="110915E0" w:rsidR="00397504" w:rsidRDefault="00397504" w:rsidP="004B220D">
            <w:pPr>
              <w:pStyle w:val="BodyText"/>
              <w:numPr>
                <w:ilvl w:val="0"/>
                <w:numId w:val="33"/>
              </w:numPr>
              <w:rPr>
                <w:rFonts w:asciiTheme="majorHAnsi" w:hAnsiTheme="majorHAnsi"/>
                <w:sz w:val="16"/>
                <w:szCs w:val="16"/>
              </w:rPr>
            </w:pPr>
            <w:r>
              <w:rPr>
                <w:rFonts w:asciiTheme="majorHAnsi" w:hAnsiTheme="majorHAnsi"/>
                <w:sz w:val="16"/>
                <w:szCs w:val="16"/>
              </w:rPr>
              <w:t xml:space="preserve">Maintain effective MRM and portfolio review systems, </w:t>
            </w:r>
            <w:r w:rsidR="004328E1">
              <w:rPr>
                <w:rFonts w:asciiTheme="majorHAnsi" w:hAnsiTheme="majorHAnsi"/>
                <w:sz w:val="16"/>
                <w:szCs w:val="16"/>
              </w:rPr>
              <w:t>linked to MIS accessed by DFAT a</w:t>
            </w:r>
            <w:r>
              <w:rPr>
                <w:rFonts w:asciiTheme="majorHAnsi" w:hAnsiTheme="majorHAnsi"/>
                <w:sz w:val="16"/>
                <w:szCs w:val="16"/>
              </w:rPr>
              <w:t>nd BAPPENAS.</w:t>
            </w:r>
          </w:p>
          <w:p w14:paraId="4759B33B" w14:textId="72E61D7D" w:rsidR="00207A90" w:rsidRDefault="00207A90" w:rsidP="004B220D">
            <w:pPr>
              <w:pStyle w:val="BodyText"/>
              <w:numPr>
                <w:ilvl w:val="0"/>
                <w:numId w:val="33"/>
              </w:numPr>
              <w:rPr>
                <w:rFonts w:asciiTheme="majorHAnsi" w:hAnsiTheme="majorHAnsi"/>
                <w:sz w:val="16"/>
                <w:szCs w:val="16"/>
              </w:rPr>
            </w:pPr>
            <w:r>
              <w:rPr>
                <w:rFonts w:asciiTheme="majorHAnsi" w:hAnsiTheme="majorHAnsi"/>
                <w:sz w:val="16"/>
                <w:szCs w:val="16"/>
              </w:rPr>
              <w:t>Maintain and monitor the Environmental Management System (EMS)</w:t>
            </w:r>
            <w:r w:rsidR="00311A76">
              <w:rPr>
                <w:rFonts w:asciiTheme="majorHAnsi" w:hAnsiTheme="majorHAnsi"/>
                <w:sz w:val="16"/>
                <w:szCs w:val="16"/>
              </w:rPr>
              <w:t>.</w:t>
            </w:r>
          </w:p>
          <w:p w14:paraId="14D5C802" w14:textId="395ACCA7" w:rsidR="00181239" w:rsidRPr="00253D41" w:rsidRDefault="00311A76" w:rsidP="00253D41">
            <w:pPr>
              <w:pStyle w:val="BodyText"/>
              <w:numPr>
                <w:ilvl w:val="0"/>
                <w:numId w:val="33"/>
              </w:numPr>
              <w:rPr>
                <w:rFonts w:asciiTheme="majorHAnsi" w:hAnsiTheme="majorHAnsi"/>
                <w:sz w:val="16"/>
                <w:szCs w:val="16"/>
              </w:rPr>
            </w:pPr>
            <w:r>
              <w:rPr>
                <w:rFonts w:asciiTheme="majorHAnsi" w:hAnsiTheme="majorHAnsi"/>
                <w:sz w:val="16"/>
                <w:szCs w:val="16"/>
              </w:rPr>
              <w:t>Promote program and results</w:t>
            </w:r>
            <w:r w:rsidR="00207A90">
              <w:rPr>
                <w:rFonts w:asciiTheme="majorHAnsi" w:hAnsiTheme="majorHAnsi"/>
                <w:sz w:val="16"/>
                <w:szCs w:val="16"/>
              </w:rPr>
              <w:t xml:space="preserve"> through ongoing publications related to program achievements including advancing animal welfare. </w:t>
            </w:r>
          </w:p>
        </w:tc>
        <w:tc>
          <w:tcPr>
            <w:tcW w:w="443" w:type="pct"/>
          </w:tcPr>
          <w:p w14:paraId="6866B5C3" w14:textId="492723FD" w:rsidR="00181239" w:rsidRPr="00EB5DB3" w:rsidRDefault="00207A90" w:rsidP="00794C57">
            <w:pPr>
              <w:pStyle w:val="BodyText"/>
              <w:rPr>
                <w:rFonts w:asciiTheme="majorHAnsi" w:hAnsiTheme="majorHAnsi"/>
                <w:sz w:val="16"/>
                <w:szCs w:val="16"/>
              </w:rPr>
            </w:pPr>
            <w:r>
              <w:rPr>
                <w:rFonts w:asciiTheme="majorHAnsi" w:hAnsiTheme="majorHAnsi"/>
                <w:sz w:val="16"/>
                <w:szCs w:val="16"/>
              </w:rPr>
              <w:lastRenderedPageBreak/>
              <w:t>Contractor</w:t>
            </w:r>
          </w:p>
        </w:tc>
        <w:tc>
          <w:tcPr>
            <w:tcW w:w="269" w:type="pct"/>
          </w:tcPr>
          <w:p w14:paraId="1E85FE7A" w14:textId="70205B18" w:rsidR="00181239" w:rsidRPr="00EB5DB3" w:rsidRDefault="001057C7" w:rsidP="00794C57">
            <w:pPr>
              <w:pStyle w:val="BodyText"/>
              <w:rPr>
                <w:rFonts w:asciiTheme="majorHAnsi" w:hAnsiTheme="majorHAnsi"/>
                <w:sz w:val="16"/>
                <w:szCs w:val="16"/>
              </w:rPr>
            </w:pPr>
            <w:r>
              <w:rPr>
                <w:rFonts w:asciiTheme="majorHAnsi" w:hAnsiTheme="majorHAnsi"/>
                <w:sz w:val="16"/>
                <w:szCs w:val="16"/>
              </w:rPr>
              <w:t>Possible</w:t>
            </w:r>
          </w:p>
        </w:tc>
        <w:tc>
          <w:tcPr>
            <w:tcW w:w="313" w:type="pct"/>
          </w:tcPr>
          <w:p w14:paraId="15804745" w14:textId="7CCD27B4" w:rsidR="00181239" w:rsidRPr="00EB5DB3" w:rsidRDefault="001057C7" w:rsidP="00794C57">
            <w:pPr>
              <w:pStyle w:val="BodyText"/>
              <w:rPr>
                <w:rFonts w:asciiTheme="majorHAnsi" w:hAnsiTheme="majorHAnsi"/>
                <w:sz w:val="16"/>
                <w:szCs w:val="16"/>
              </w:rPr>
            </w:pPr>
            <w:r>
              <w:rPr>
                <w:rFonts w:asciiTheme="majorHAnsi" w:hAnsiTheme="majorHAnsi"/>
                <w:sz w:val="16"/>
                <w:szCs w:val="16"/>
              </w:rPr>
              <w:t>Moderate</w:t>
            </w:r>
          </w:p>
        </w:tc>
        <w:tc>
          <w:tcPr>
            <w:tcW w:w="486" w:type="pct"/>
          </w:tcPr>
          <w:p w14:paraId="4757ED28" w14:textId="78003F49" w:rsidR="00181239" w:rsidRPr="00EB5DB3" w:rsidRDefault="001057C7" w:rsidP="00794C57">
            <w:pPr>
              <w:pStyle w:val="BodyText"/>
              <w:rPr>
                <w:rFonts w:asciiTheme="majorHAnsi" w:hAnsiTheme="majorHAnsi"/>
                <w:sz w:val="16"/>
                <w:szCs w:val="16"/>
              </w:rPr>
            </w:pPr>
            <w:r>
              <w:rPr>
                <w:rFonts w:asciiTheme="majorHAnsi" w:hAnsiTheme="majorHAnsi"/>
                <w:sz w:val="16"/>
                <w:szCs w:val="16"/>
              </w:rPr>
              <w:t>High</w:t>
            </w:r>
          </w:p>
        </w:tc>
      </w:tr>
    </w:tbl>
    <w:p w14:paraId="4224B561" w14:textId="77777777" w:rsidR="00C85101" w:rsidRDefault="00C85101" w:rsidP="0045469D">
      <w:pPr>
        <w:rPr>
          <w:rFonts w:asciiTheme="majorHAnsi" w:hAnsiTheme="majorHAnsi"/>
        </w:rPr>
        <w:sectPr w:rsidR="00C85101" w:rsidSect="0045469D">
          <w:pgSz w:w="16838" w:h="11906" w:orient="landscape" w:code="9"/>
          <w:pgMar w:top="1134" w:right="1701" w:bottom="1134" w:left="1418" w:header="425" w:footer="493" w:gutter="0"/>
          <w:cols w:space="397"/>
          <w:titlePg/>
          <w:docGrid w:linePitch="360"/>
        </w:sectPr>
      </w:pPr>
    </w:p>
    <w:p w14:paraId="2EF160B8" w14:textId="0E5CEB28" w:rsidR="00C85101" w:rsidRDefault="00C85101" w:rsidP="00265CF6">
      <w:pPr>
        <w:pStyle w:val="Heading3"/>
        <w:spacing w:after="240"/>
      </w:pPr>
      <w:bookmarkStart w:id="59" w:name="_Toc499298875"/>
      <w:r>
        <w:lastRenderedPageBreak/>
        <w:t>Annex 1</w:t>
      </w:r>
      <w:r w:rsidR="00D91D8B">
        <w:t>2</w:t>
      </w:r>
      <w:r>
        <w:t>: NGO</w:t>
      </w:r>
      <w:r w:rsidR="00D46FB3">
        <w:t xml:space="preserve"> Co-Facilitation</w:t>
      </w:r>
      <w:bookmarkEnd w:id="59"/>
    </w:p>
    <w:p w14:paraId="24C7B068" w14:textId="5D4ACA6A" w:rsidR="00B04E7C" w:rsidRDefault="00D46FB3" w:rsidP="00D46FB3">
      <w:pPr>
        <w:spacing w:line="240" w:lineRule="auto"/>
      </w:pPr>
      <w:r>
        <w:t xml:space="preserve">Many market systems development programs involve NGOs (sometimes called Co-Facilitators) in the implementation of their interventions. In May 2017, as part of the preparation for </w:t>
      </w:r>
      <w:r w:rsidR="005D461A">
        <w:t>PRISMA-2</w:t>
      </w:r>
      <w:r>
        <w:t xml:space="preserve">, a </w:t>
      </w:r>
      <w:r w:rsidR="00072262">
        <w:t>‘</w:t>
      </w:r>
      <w:r>
        <w:t>stock take</w:t>
      </w:r>
      <w:r w:rsidR="00072262">
        <w:t>’</w:t>
      </w:r>
      <w:r>
        <w:t xml:space="preserve"> was undertaken of PRISMA’s experience in its use of NGOs over a three-year period (December 2013 to December 2016). This Annex is a summary of this stock take with suggestions on the utility of NGOs in the implementation of </w:t>
      </w:r>
      <w:r w:rsidR="005D461A">
        <w:t>PRISMA-2</w:t>
      </w:r>
      <w:r>
        <w:t>.</w:t>
      </w:r>
      <w:r w:rsidR="009B74D2">
        <w:t xml:space="preserve">PRISMA-2 </w:t>
      </w:r>
      <w:r w:rsidR="001323AA">
        <w:t xml:space="preserve">will </w:t>
      </w:r>
      <w:r w:rsidR="0000313C">
        <w:t xml:space="preserve">seek to </w:t>
      </w:r>
      <w:r w:rsidR="001323AA">
        <w:t xml:space="preserve">work with NGOs </w:t>
      </w:r>
      <w:r w:rsidR="007A0804">
        <w:t>that bring</w:t>
      </w:r>
      <w:r w:rsidR="001323AA">
        <w:t xml:space="preserve"> sp</w:t>
      </w:r>
      <w:r w:rsidR="00D66292">
        <w:t>ecific strengths within a sector or geographic lo</w:t>
      </w:r>
      <w:r w:rsidR="005C4B1C">
        <w:t>cation</w:t>
      </w:r>
      <w:r w:rsidR="009F31D0">
        <w:t>,</w:t>
      </w:r>
      <w:r w:rsidR="005C4B1C">
        <w:t xml:space="preserve"> and where there </w:t>
      </w:r>
      <w:r w:rsidR="00AA7EB4">
        <w:t xml:space="preserve">is a clear benefit from </w:t>
      </w:r>
      <w:r w:rsidR="001B76F5">
        <w:t xml:space="preserve">doing so. </w:t>
      </w:r>
      <w:r w:rsidR="00253D41">
        <w:t>Working with NGO</w:t>
      </w:r>
      <w:r w:rsidR="00001BC5">
        <w:t>s will require close program supervision and support to ensure success</w:t>
      </w:r>
      <w:r w:rsidR="0000313C">
        <w:t xml:space="preserve">ful </w:t>
      </w:r>
      <w:r w:rsidR="00414DD2">
        <w:t>partnerships and</w:t>
      </w:r>
      <w:r w:rsidR="009F31D0">
        <w:t xml:space="preserve"> outcomes. </w:t>
      </w:r>
    </w:p>
    <w:p w14:paraId="4205E7FA" w14:textId="77777777" w:rsidR="00D46FB3" w:rsidRDefault="00D46FB3" w:rsidP="00D46FB3">
      <w:pPr>
        <w:pStyle w:val="Heading9"/>
      </w:pPr>
      <w:bookmarkStart w:id="60" w:name="_Toc480361128"/>
      <w:r>
        <w:t>Rationale for use of NGOs as Co-Facilitators</w:t>
      </w:r>
      <w:r>
        <w:rPr>
          <w:rStyle w:val="FootnoteReference"/>
        </w:rPr>
        <w:footnoteReference w:id="101"/>
      </w:r>
      <w:r>
        <w:t xml:space="preserve"> in PRISMA</w:t>
      </w:r>
      <w:bookmarkEnd w:id="60"/>
    </w:p>
    <w:p w14:paraId="77A14758" w14:textId="3662FD6D" w:rsidR="00D46FB3" w:rsidRDefault="00D46FB3" w:rsidP="00D46FB3">
      <w:r>
        <w:t>The design for PRISMA incorporated the use of NGOs as co-facilitators because they offered an entry point to agricultural markets and systems in eastern Indonesia.</w:t>
      </w:r>
      <w:r>
        <w:rPr>
          <w:rStyle w:val="FootnoteReference"/>
        </w:rPr>
        <w:footnoteReference w:id="102"/>
      </w:r>
      <w:r>
        <w:t xml:space="preserve"> The rational</w:t>
      </w:r>
      <w:r w:rsidR="004328E1">
        <w:t>e</w:t>
      </w:r>
      <w:r>
        <w:t xml:space="preserve"> for their use in early 2013, well before the start of PRISMA, was that:</w:t>
      </w:r>
    </w:p>
    <w:p w14:paraId="013AFFE5" w14:textId="37BDA546" w:rsidR="00D46FB3" w:rsidRDefault="00D46FB3" w:rsidP="004B220D">
      <w:pPr>
        <w:pStyle w:val="ListParagraph"/>
        <w:numPr>
          <w:ilvl w:val="0"/>
          <w:numId w:val="52"/>
        </w:numPr>
        <w:suppressAutoHyphens/>
        <w:autoSpaceDE w:val="0"/>
        <w:autoSpaceDN w:val="0"/>
        <w:adjustRightInd w:val="0"/>
        <w:spacing w:after="120" w:line="280" w:lineRule="atLeast"/>
        <w:jc w:val="both"/>
        <w:textAlignment w:val="center"/>
      </w:pPr>
      <w:r>
        <w:t>It would build local capacity in the market development approach not previously implem</w:t>
      </w:r>
      <w:r w:rsidR="004328E1">
        <w:t>ented at any scale in Indonesia;</w:t>
      </w:r>
      <w:r>
        <w:t xml:space="preserve"> </w:t>
      </w:r>
    </w:p>
    <w:p w14:paraId="4F77B0A8" w14:textId="7D183CA1" w:rsidR="00D46FB3" w:rsidRDefault="00D46FB3" w:rsidP="004B220D">
      <w:pPr>
        <w:pStyle w:val="ListParagraph"/>
        <w:numPr>
          <w:ilvl w:val="0"/>
          <w:numId w:val="52"/>
        </w:numPr>
        <w:suppressAutoHyphens/>
        <w:autoSpaceDE w:val="0"/>
        <w:autoSpaceDN w:val="0"/>
        <w:adjustRightInd w:val="0"/>
        <w:spacing w:after="120" w:line="280" w:lineRule="atLeast"/>
        <w:jc w:val="both"/>
        <w:textAlignment w:val="center"/>
      </w:pPr>
      <w:r>
        <w:t xml:space="preserve">It would provide short-term additional capacity for delivery while PRISMA staff </w:t>
      </w:r>
      <w:r w:rsidR="004328E1">
        <w:t>were being inducted and trained;</w:t>
      </w:r>
    </w:p>
    <w:p w14:paraId="3DC10D47" w14:textId="4B97B44D" w:rsidR="00D46FB3" w:rsidRDefault="00D46FB3" w:rsidP="004B220D">
      <w:pPr>
        <w:pStyle w:val="ListParagraph"/>
        <w:numPr>
          <w:ilvl w:val="0"/>
          <w:numId w:val="52"/>
        </w:numPr>
        <w:suppressAutoHyphens/>
        <w:autoSpaceDE w:val="0"/>
        <w:autoSpaceDN w:val="0"/>
        <w:adjustRightInd w:val="0"/>
        <w:spacing w:after="120" w:line="280" w:lineRule="atLeast"/>
        <w:jc w:val="both"/>
        <w:textAlignment w:val="center"/>
      </w:pPr>
      <w:r>
        <w:t>The</w:t>
      </w:r>
      <w:r w:rsidR="004328E1">
        <w:t xml:space="preserve"> program would be able to utilis</w:t>
      </w:r>
      <w:r>
        <w:t>e the technical competence of the NGOs in the identified sub-sectors in which some of th</w:t>
      </w:r>
      <w:r w:rsidR="004328E1">
        <w:t>e NGOs had already been working;</w:t>
      </w:r>
    </w:p>
    <w:p w14:paraId="32271F7B" w14:textId="0A64F7B4" w:rsidR="00D46FB3" w:rsidRDefault="00D46FB3" w:rsidP="004B220D">
      <w:pPr>
        <w:pStyle w:val="ListParagraph"/>
        <w:numPr>
          <w:ilvl w:val="0"/>
          <w:numId w:val="52"/>
        </w:numPr>
        <w:suppressAutoHyphens/>
        <w:autoSpaceDE w:val="0"/>
        <w:autoSpaceDN w:val="0"/>
        <w:adjustRightInd w:val="0"/>
        <w:spacing w:after="120" w:line="280" w:lineRule="atLeast"/>
        <w:jc w:val="both"/>
        <w:textAlignment w:val="center"/>
      </w:pPr>
      <w:r>
        <w:t>It would enable the program to gain an immediate regional presence where NGOs had established networks with both the private and public sector act</w:t>
      </w:r>
      <w:r w:rsidR="004328E1">
        <w:t>ors;</w:t>
      </w:r>
    </w:p>
    <w:p w14:paraId="21EF7E7D" w14:textId="77777777" w:rsidR="00D46FB3" w:rsidRDefault="00D46FB3" w:rsidP="004B220D">
      <w:pPr>
        <w:pStyle w:val="ListParagraph"/>
        <w:numPr>
          <w:ilvl w:val="0"/>
          <w:numId w:val="52"/>
        </w:numPr>
        <w:suppressAutoHyphens/>
        <w:autoSpaceDE w:val="0"/>
        <w:autoSpaceDN w:val="0"/>
        <w:adjustRightInd w:val="0"/>
        <w:spacing w:after="120" w:line="280" w:lineRule="atLeast"/>
        <w:jc w:val="both"/>
        <w:textAlignment w:val="center"/>
      </w:pPr>
      <w:r>
        <w:t>It would provide the opportunity to pilot and test implementation systems such as: sector strategy documentation, intervention design, results measurement and to build the necessary in-house capacity to support these systems.</w:t>
      </w:r>
    </w:p>
    <w:p w14:paraId="7BD43BDA" w14:textId="77777777" w:rsidR="00D46FB3" w:rsidRDefault="00D46FB3" w:rsidP="00D46FB3">
      <w:r>
        <w:t>The underlying motivation was that the use of NGOs in the initial phase of PRISMA would enable the program to hit the ground running and get some early runs on the board.</w:t>
      </w:r>
    </w:p>
    <w:p w14:paraId="18090E1D" w14:textId="77777777" w:rsidR="00D46FB3" w:rsidRDefault="00D46FB3" w:rsidP="00D46FB3">
      <w:pPr>
        <w:pStyle w:val="Heading9"/>
      </w:pPr>
      <w:bookmarkStart w:id="61" w:name="_Toc480361129"/>
      <w:r>
        <w:t>Background to the use of co-facilitators in PRISMA</w:t>
      </w:r>
      <w:bookmarkEnd w:id="61"/>
    </w:p>
    <w:p w14:paraId="49A12804" w14:textId="3EB5A259" w:rsidR="00D46FB3" w:rsidRPr="00A267F0" w:rsidRDefault="00D46FB3" w:rsidP="00D46FB3">
      <w:pPr>
        <w:rPr>
          <w:bCs/>
          <w:color w:val="006D63"/>
          <w:sz w:val="24"/>
          <w:szCs w:val="24"/>
        </w:rPr>
      </w:pPr>
      <w:r>
        <w:t xml:space="preserve">NGOs were brought into PRISMA in two Batches. The first batch consisted of 5 international NGOs while the second was made up of 6 national and 1 international NGO. The timeline on the next page summarizes the key milestones in their engagement. In preparation for the commencement of PRISMA, the 1st Batch of NGOs was identified and their capacity building initiated through a smaller AIP-Rural project called Introducing Market Development in Indonesia (IMDI). In effect, they were ready to start implementing interventions in August 2013 but because of unexpected delays in PRISMA’s start up, followed by inadequate knowledge, on the part of the contractor, </w:t>
      </w:r>
      <w:r w:rsidR="00373375">
        <w:t>of how to contract these organis</w:t>
      </w:r>
      <w:r>
        <w:t>ation</w:t>
      </w:r>
      <w:r w:rsidR="00373375">
        <w:t>s</w:t>
      </w:r>
      <w:r>
        <w:t xml:space="preserve">, there was 9-month gap in implementation. When implementation of these interventions did start PRISMA was still inadequately prepared to oversee these organizations’ interventions. To further plug this gap, another contract was awarded in May 2014 for a project called PROMARK. Both IMDI and PROMARK were implemented by the same contractor, </w:t>
      </w:r>
      <w:proofErr w:type="spellStart"/>
      <w:r>
        <w:t>Swisscontact</w:t>
      </w:r>
      <w:proofErr w:type="spellEnd"/>
      <w:r>
        <w:t>.</w:t>
      </w:r>
    </w:p>
    <w:p w14:paraId="46890FAC" w14:textId="77777777" w:rsidR="00D46FB3" w:rsidRDefault="00D46FB3" w:rsidP="00D46FB3">
      <w:pPr>
        <w:pStyle w:val="Heading9"/>
      </w:pPr>
      <w:bookmarkStart w:id="62" w:name="_Toc480361131"/>
      <w:r>
        <w:t xml:space="preserve">The costs of using </w:t>
      </w:r>
      <w:bookmarkEnd w:id="62"/>
      <w:r>
        <w:t>NGOs as Co-Facilitators</w:t>
      </w:r>
    </w:p>
    <w:p w14:paraId="132B1ABF" w14:textId="77777777" w:rsidR="00D46FB3" w:rsidRPr="00B01F19" w:rsidRDefault="00D46FB3" w:rsidP="00D46FB3">
      <w:r>
        <w:t xml:space="preserve">While the NGOs had good local networks and some local knowledge of agriculture they had no experience in conceptualizing or implementing market development interventions. For this reason, they needed formal </w:t>
      </w:r>
      <w:r>
        <w:lastRenderedPageBreak/>
        <w:t>exposure to the theories of market development and subsequent hand-holding in the early stages of implementation. This was done through IMDI and then PROMARK.</w:t>
      </w:r>
    </w:p>
    <w:p w14:paraId="77ADBC05" w14:textId="77777777" w:rsidR="00D46FB3" w:rsidRDefault="00D46FB3" w:rsidP="00D46FB3">
      <w:r>
        <w:t>The total cost of IMDI was $1,491,994</w:t>
      </w:r>
      <w:r>
        <w:rPr>
          <w:rStyle w:val="FootnoteReference"/>
        </w:rPr>
        <w:footnoteReference w:id="103"/>
      </w:r>
      <w:r>
        <w:t>. PROMARK provided refresher training and implementation mentoring for Batch 1 NGOs and selected, trained, and mentored the Batch 2 NGOs. The total cost for the capacity building and mentoring of co-facilitators under PROMARK for the period from May 2014 to March 2016 was $1,113,811</w:t>
      </w:r>
      <w:r>
        <w:rPr>
          <w:rStyle w:val="FootnoteReference"/>
        </w:rPr>
        <w:footnoteReference w:id="104"/>
      </w:r>
      <w:r>
        <w:t>. This equates to $213,142 per NGO under IMDI and $92,817 per NGO under PROMARK.</w:t>
      </w:r>
      <w:r>
        <w:rPr>
          <w:rStyle w:val="FootnoteReference"/>
        </w:rPr>
        <w:footnoteReference w:id="105"/>
      </w:r>
    </w:p>
    <w:p w14:paraId="5F12F337" w14:textId="77777777" w:rsidR="00D46FB3" w:rsidRDefault="00D46FB3" w:rsidP="00D46FB3">
      <w:r>
        <w:t>All NGOs that responded to a questionnaire and interviews, as part of this review overwhelmingly stated that the induction program increased their knowledge of M4P and improved their ability to implement the approach.</w:t>
      </w:r>
      <w:r>
        <w:rPr>
          <w:rStyle w:val="FootnoteReference"/>
        </w:rPr>
        <w:footnoteReference w:id="106"/>
      </w:r>
      <w:r>
        <w:t xml:space="preserve"> The induction program undertaken especially by PROMARK also resulted in development key training materials and instruction manuals that have already been used 4 times by PRISMA for the training of all its subsequent cohorts of staff. </w:t>
      </w:r>
    </w:p>
    <w:p w14:paraId="4AE41EC0" w14:textId="732FE466" w:rsidR="00373375" w:rsidRPr="00373375" w:rsidRDefault="00D46FB3" w:rsidP="00A267F0">
      <w:pPr>
        <w:pStyle w:val="Heading9"/>
      </w:pPr>
      <w:bookmarkStart w:id="63" w:name="_Toc480361132"/>
      <w:r>
        <w:t>Contribution of the NGOs to implementation</w:t>
      </w:r>
      <w:bookmarkStart w:id="64" w:name="_Toc480361133"/>
      <w:bookmarkEnd w:id="63"/>
    </w:p>
    <w:p w14:paraId="0758C3FE" w14:textId="4C799746" w:rsidR="00D46FB3" w:rsidRPr="00D46FB3" w:rsidRDefault="00D46FB3" w:rsidP="00D46FB3">
      <w:pPr>
        <w:rPr>
          <w:b/>
        </w:rPr>
      </w:pPr>
      <w:r w:rsidRPr="00D46FB3">
        <w:rPr>
          <w:b/>
        </w:rPr>
        <w:t>Contribution to total portfolio</w:t>
      </w:r>
      <w:bookmarkEnd w:id="64"/>
    </w:p>
    <w:p w14:paraId="7363ACBB" w14:textId="77777777" w:rsidR="00D46FB3" w:rsidRPr="0063142E" w:rsidRDefault="00D46FB3" w:rsidP="00D46FB3">
      <w:pPr>
        <w:spacing w:after="200" w:line="276" w:lineRule="auto"/>
      </w:pPr>
      <w:r>
        <w:t xml:space="preserve">As of December 2016, there were 21 interventions being implemented by 12 NGOs from a total of 58 PRISMA interventions. This accounts for 36% of the total number of interventions in the portfolio. How does this compare with other market development projects? </w:t>
      </w:r>
      <w:proofErr w:type="spellStart"/>
      <w:r>
        <w:t>Katalyst</w:t>
      </w:r>
      <w:proofErr w:type="spellEnd"/>
      <w:r>
        <w:t>, for example, the longest running market development project, located in Bangladesh, currently outsources 70% of its portfolio to 9 NGOs.  SAMARTH in Nepal, on the other hand, in the space of 3 years, went from 80% of its portfolio being implemented by 5 NGOs to just 20% with 2 NGOs</w:t>
      </w:r>
      <w:r>
        <w:rPr>
          <w:rStyle w:val="FootnoteReference"/>
        </w:rPr>
        <w:footnoteReference w:id="107"/>
      </w:r>
      <w:r>
        <w:t xml:space="preserve">. Most programs have eventually whittled away the dead wood and kept the NGOs that had proven their ability and commitment.  </w:t>
      </w:r>
    </w:p>
    <w:p w14:paraId="51E66A62" w14:textId="77777777" w:rsidR="00D46FB3" w:rsidRPr="00D46FB3" w:rsidRDefault="00D46FB3" w:rsidP="00D46FB3">
      <w:pPr>
        <w:rPr>
          <w:b/>
        </w:rPr>
      </w:pPr>
      <w:bookmarkStart w:id="65" w:name="_Toc480361134"/>
      <w:r w:rsidRPr="00D46FB3">
        <w:rPr>
          <w:b/>
        </w:rPr>
        <w:t>Contribution to outreach</w:t>
      </w:r>
      <w:bookmarkEnd w:id="65"/>
    </w:p>
    <w:p w14:paraId="0F8C1389" w14:textId="77777777" w:rsidR="00D46FB3" w:rsidRDefault="00D46FB3" w:rsidP="00D46FB3">
      <w:pPr>
        <w:spacing w:after="200" w:line="276" w:lineRule="auto"/>
      </w:pPr>
      <w:r>
        <w:t xml:space="preserve">In terms of outreach, interventions implemented by NGOs accounted for 38.25% </w:t>
      </w:r>
      <w:r w:rsidRPr="00A947BC">
        <w:t xml:space="preserve">of </w:t>
      </w:r>
      <w:r>
        <w:t>PRISMA’s total outreach of 45,318 HHs achieved by December 2016. Batch 1 fared better than Batch 2 partly because the average grant size for Batch 1 was $763,148 compared to a significantly smaller $353,969 for Batch 2, moreover Batch 2 NGOs have been working in areas such as Papua, where pilots are smaller and the population less dense.</w:t>
      </w:r>
      <w:r>
        <w:rPr>
          <w:rStyle w:val="FootnoteReference"/>
        </w:rPr>
        <w:footnoteReference w:id="108"/>
      </w:r>
    </w:p>
    <w:p w14:paraId="0BD631C2" w14:textId="77777777" w:rsidR="00D46FB3" w:rsidRPr="00D46FB3" w:rsidRDefault="00D46FB3" w:rsidP="00D46FB3">
      <w:pPr>
        <w:rPr>
          <w:b/>
        </w:rPr>
      </w:pPr>
      <w:bookmarkStart w:id="66" w:name="_Toc480361135"/>
      <w:r w:rsidRPr="00D46FB3">
        <w:rPr>
          <w:b/>
        </w:rPr>
        <w:t>Contribution to Portfolio Performance</w:t>
      </w:r>
      <w:bookmarkEnd w:id="66"/>
    </w:p>
    <w:p w14:paraId="2B2E92B5" w14:textId="0AA97A5C" w:rsidR="00D46FB3" w:rsidRDefault="00D46FB3" w:rsidP="00D46FB3">
      <w:r>
        <w:t xml:space="preserve">In terms of outreach and net attributable income, out of the 13 interventions assessed by the MTR as </w:t>
      </w:r>
      <w:r w:rsidR="00072262">
        <w:t>’</w:t>
      </w:r>
      <w:r>
        <w:t>stars</w:t>
      </w:r>
      <w:r w:rsidR="00072262">
        <w:t>’</w:t>
      </w:r>
      <w:r>
        <w:t>, 7 of them were being implemented by NGOs.</w:t>
      </w:r>
      <w:r>
        <w:rPr>
          <w:rStyle w:val="FootnoteReference"/>
        </w:rPr>
        <w:footnoteReference w:id="109"/>
      </w:r>
      <w:r>
        <w:t xml:space="preserve">  Based on an internal review of these star interventions, their success can almost always be attributed to the ability of the NGO to: leverage their contacts at the local level, find willing private sector partners, and to mobilize support from farmer groups. When this was coupled with timely and focused technical market-based intervention guidance from </w:t>
      </w:r>
      <w:r>
        <w:lastRenderedPageBreak/>
        <w:t>PRISMA, performance was enhanced. In all cases the star interventions were underpinned by a good working relationship between the NGO and the PRISMA Task Leader.</w:t>
      </w:r>
    </w:p>
    <w:p w14:paraId="34BEF8CE" w14:textId="77777777" w:rsidR="00D46FB3" w:rsidRDefault="00D46FB3" w:rsidP="00D46FB3">
      <w:pPr>
        <w:pStyle w:val="Heading9"/>
      </w:pPr>
      <w:bookmarkStart w:id="67" w:name="_Toc480361136"/>
      <w:r>
        <w:t>Value for money</w:t>
      </w:r>
      <w:bookmarkEnd w:id="67"/>
    </w:p>
    <w:p w14:paraId="1D5BC284" w14:textId="77777777" w:rsidR="00D46FB3" w:rsidRDefault="00D46FB3" w:rsidP="00D46FB3">
      <w:r>
        <w:t>AIP-Rural has 9 Value for Money (</w:t>
      </w:r>
      <w:proofErr w:type="spellStart"/>
      <w:r>
        <w:t>VfM</w:t>
      </w:r>
      <w:proofErr w:type="spellEnd"/>
      <w:r>
        <w:t>) ratios; 3 are used for screening interventions before they start, 3 for monitoring interventions during implementation and 3 that pertain to the overall program. For this review, we will use the middle 3 ratios or those used during implementation.</w:t>
      </w:r>
      <w:r>
        <w:rPr>
          <w:rStyle w:val="FootnoteReference"/>
        </w:rPr>
        <w:footnoteReference w:id="110"/>
      </w:r>
      <w:r>
        <w:t xml:space="preserve"> Because outreach numbers grow over time and costs tend to reduce as interventions mature these indicators change over time, so, one must therefore be careful in reading too much into them, nevertheless they do provide a starting point for analysis. The assessment below benchmarks NGO interventions with PRISMA’s own portfolio and compares both ongoing with completed interventions. To make as far as possible a “like for like” comparison, existing data had to be repackaged. What costs and benefits are in and which ones are out of this calculation is described in the Glossary of Terms below.   </w:t>
      </w:r>
    </w:p>
    <w:p w14:paraId="644206F6" w14:textId="1F9E952C" w:rsidR="00D46FB3" w:rsidRDefault="00D46FB3" w:rsidP="00D46FB3">
      <w:r>
        <w:t>The three ratios used in this section are:</w:t>
      </w:r>
    </w:p>
    <w:p w14:paraId="5411F05F" w14:textId="77777777" w:rsidR="00D46FB3" w:rsidRDefault="00D46FB3" w:rsidP="00D46FB3">
      <w:proofErr w:type="spellStart"/>
      <w:proofErr w:type="gramStart"/>
      <w:r w:rsidRPr="0045629A">
        <w:rPr>
          <w:b/>
        </w:rPr>
        <w:t>VfM</w:t>
      </w:r>
      <w:proofErr w:type="spellEnd"/>
      <w:r w:rsidRPr="0045629A">
        <w:rPr>
          <w:b/>
        </w:rPr>
        <w:t xml:space="preserve"> Indicator 1.</w:t>
      </w:r>
      <w:proofErr w:type="gramEnd"/>
      <w:r>
        <w:t xml:space="preserve"> </w:t>
      </w:r>
      <w:r w:rsidRPr="009747B8">
        <w:rPr>
          <w:b/>
        </w:rPr>
        <w:t xml:space="preserve">Investment </w:t>
      </w:r>
      <w:proofErr w:type="gramStart"/>
      <w:r w:rsidRPr="009747B8">
        <w:rPr>
          <w:b/>
        </w:rPr>
        <w:t>leverage</w:t>
      </w:r>
      <w:r>
        <w:t>,</w:t>
      </w:r>
      <w:proofErr w:type="gramEnd"/>
      <w:r>
        <w:t xml:space="preserve"> or the percentage of additional investment by the private sector partner compared to the direct intervention cost. This is calculated by dividing the value of investment costs of direct contributions by investment partners (private partners and intermediary service providers (ISPs)) by the actual direct intervention cost</w:t>
      </w:r>
      <w:r>
        <w:rPr>
          <w:rStyle w:val="FootnoteReference"/>
        </w:rPr>
        <w:footnoteReference w:id="111"/>
      </w:r>
      <w:r>
        <w:t xml:space="preserve"> This ratio is used to measure “buy in” from the partner (refer to the Glossary to see what costs are included and excluded in this calculation).</w:t>
      </w:r>
    </w:p>
    <w:p w14:paraId="4F3F40A8" w14:textId="77777777" w:rsidR="00D46FB3" w:rsidRDefault="00D46FB3" w:rsidP="00D46FB3">
      <w:proofErr w:type="spellStart"/>
      <w:proofErr w:type="gramStart"/>
      <w:r w:rsidRPr="0045629A">
        <w:rPr>
          <w:b/>
        </w:rPr>
        <w:t>VfM</w:t>
      </w:r>
      <w:proofErr w:type="spellEnd"/>
      <w:r w:rsidRPr="0045629A">
        <w:rPr>
          <w:b/>
        </w:rPr>
        <w:t xml:space="preserve"> Indicator 2.</w:t>
      </w:r>
      <w:proofErr w:type="gramEnd"/>
      <w:r>
        <w:t xml:space="preserve"> </w:t>
      </w:r>
      <w:proofErr w:type="gramStart"/>
      <w:r w:rsidRPr="00B93B6B">
        <w:rPr>
          <w:b/>
        </w:rPr>
        <w:t>Social return on investment</w:t>
      </w:r>
      <w:r>
        <w:t>, or the actual amount of increased farmer income that is achieved for every dollar that PRISMA invests in that intervention.</w:t>
      </w:r>
      <w:proofErr w:type="gramEnd"/>
      <w:r>
        <w:t xml:space="preserve"> This is calculated by dividing the net attributable income increase of all farmer households benefitting from the intervention by the actual direct intervention cost (refer to the Glossary to see what costs are included and excluded).</w:t>
      </w:r>
    </w:p>
    <w:p w14:paraId="48A04632" w14:textId="77777777" w:rsidR="00D46FB3" w:rsidRDefault="00D46FB3" w:rsidP="00D46FB3">
      <w:proofErr w:type="spellStart"/>
      <w:proofErr w:type="gramStart"/>
      <w:r w:rsidRPr="0045629A">
        <w:rPr>
          <w:b/>
        </w:rPr>
        <w:t>VfM</w:t>
      </w:r>
      <w:proofErr w:type="spellEnd"/>
      <w:r w:rsidRPr="0045629A">
        <w:rPr>
          <w:b/>
        </w:rPr>
        <w:t xml:space="preserve"> Indicator 3.</w:t>
      </w:r>
      <w:proofErr w:type="gramEnd"/>
      <w:r>
        <w:t xml:space="preserve"> </w:t>
      </w:r>
      <w:r w:rsidRPr="00B93B6B">
        <w:rPr>
          <w:b/>
        </w:rPr>
        <w:t xml:space="preserve">Investment per </w:t>
      </w:r>
      <w:proofErr w:type="gramStart"/>
      <w:r w:rsidRPr="00B93B6B">
        <w:rPr>
          <w:b/>
        </w:rPr>
        <w:t>farmer</w:t>
      </w:r>
      <w:r>
        <w:t>,</w:t>
      </w:r>
      <w:proofErr w:type="gramEnd"/>
      <w:r>
        <w:t xml:space="preserve"> or the average actual direct investment cost per farm household. This is calculated by dividing the actual direct intervention cost by actual outreach (refer to the</w:t>
      </w:r>
      <w:r w:rsidRPr="00B93B6B">
        <w:t xml:space="preserve"> </w:t>
      </w:r>
      <w:r>
        <w:t>Glossary to see what costs are included and excluded).</w:t>
      </w:r>
    </w:p>
    <w:p w14:paraId="47B1CBD9" w14:textId="77777777" w:rsidR="00D46FB3" w:rsidRPr="00F07F5E" w:rsidRDefault="00D46FB3" w:rsidP="00D46FB3">
      <w:pPr>
        <w:pStyle w:val="Heading9"/>
      </w:pPr>
      <w:bookmarkStart w:id="68" w:name="_Toc479685572"/>
      <w:r>
        <w:t xml:space="preserve">Glossary of terms used for making the </w:t>
      </w:r>
      <w:proofErr w:type="spellStart"/>
      <w:r>
        <w:t>VfM</w:t>
      </w:r>
      <w:proofErr w:type="spellEnd"/>
      <w:r>
        <w:t xml:space="preserve"> calculations</w:t>
      </w:r>
      <w:bookmarkEnd w:id="68"/>
    </w:p>
    <w:tbl>
      <w:tblPr>
        <w:tblStyle w:val="TableGrid"/>
        <w:tblW w:w="0" w:type="auto"/>
        <w:tblLook w:val="04A0" w:firstRow="1" w:lastRow="0" w:firstColumn="1" w:lastColumn="0" w:noHBand="0" w:noVBand="1"/>
      </w:tblPr>
      <w:tblGrid>
        <w:gridCol w:w="9631"/>
      </w:tblGrid>
      <w:tr w:rsidR="00D46FB3" w14:paraId="38CB0422" w14:textId="77777777" w:rsidTr="00766023">
        <w:tc>
          <w:tcPr>
            <w:tcW w:w="9631" w:type="dxa"/>
          </w:tcPr>
          <w:p w14:paraId="0AE61BF4" w14:textId="77777777" w:rsidR="00D46FB3" w:rsidRDefault="00D46FB3" w:rsidP="00766023">
            <w:r w:rsidRPr="00420818">
              <w:rPr>
                <w:b/>
                <w:sz w:val="20"/>
                <w:szCs w:val="20"/>
              </w:rPr>
              <w:t xml:space="preserve">Direct contribution of investment partner - </w:t>
            </w:r>
            <w:r w:rsidRPr="00420818">
              <w:rPr>
                <w:sz w:val="20"/>
                <w:szCs w:val="20"/>
              </w:rPr>
              <w:t>the additional resources spent by the partner towards achieving the goals of the partnership.</w:t>
            </w:r>
          </w:p>
        </w:tc>
      </w:tr>
      <w:tr w:rsidR="00D46FB3" w14:paraId="1FE66A7E" w14:textId="77777777" w:rsidTr="00766023">
        <w:tc>
          <w:tcPr>
            <w:tcW w:w="9631" w:type="dxa"/>
          </w:tcPr>
          <w:p w14:paraId="5F6A516F" w14:textId="77777777" w:rsidR="00D46FB3" w:rsidRPr="00835A6D" w:rsidRDefault="00D46FB3" w:rsidP="00766023">
            <w:pPr>
              <w:rPr>
                <w:b/>
                <w:sz w:val="20"/>
                <w:szCs w:val="20"/>
              </w:rPr>
            </w:pPr>
            <w:r w:rsidRPr="00835A6D">
              <w:rPr>
                <w:b/>
                <w:sz w:val="20"/>
                <w:szCs w:val="20"/>
              </w:rPr>
              <w:t>What is Included:</w:t>
            </w:r>
          </w:p>
          <w:p w14:paraId="0CC2FB4D" w14:textId="77777777" w:rsidR="00D46FB3" w:rsidRPr="00420818"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rPr>
                <w:sz w:val="20"/>
                <w:szCs w:val="20"/>
              </w:rPr>
            </w:pPr>
            <w:r w:rsidRPr="00420818">
              <w:rPr>
                <w:sz w:val="20"/>
                <w:szCs w:val="20"/>
              </w:rPr>
              <w:t xml:space="preserve">Fixed capital or assets purchased or rented for the intervention </w:t>
            </w:r>
          </w:p>
          <w:p w14:paraId="2F2F62A2" w14:textId="73F9F58F" w:rsidR="00D46FB3" w:rsidRPr="00420818"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rPr>
                <w:sz w:val="20"/>
                <w:szCs w:val="20"/>
              </w:rPr>
            </w:pPr>
            <w:r>
              <w:rPr>
                <w:sz w:val="20"/>
                <w:szCs w:val="20"/>
              </w:rPr>
              <w:t>Additional w</w:t>
            </w:r>
            <w:r w:rsidRPr="00420818">
              <w:rPr>
                <w:sz w:val="20"/>
                <w:szCs w:val="20"/>
              </w:rPr>
              <w:t>orking capital as shown in the business calculations to run a business cycle (e.g. material costs for pre-financing for seeds, fertili</w:t>
            </w:r>
            <w:r w:rsidR="00A16DE2">
              <w:rPr>
                <w:sz w:val="20"/>
                <w:szCs w:val="20"/>
              </w:rPr>
              <w:t>s</w:t>
            </w:r>
            <w:r w:rsidRPr="00420818">
              <w:rPr>
                <w:sz w:val="20"/>
                <w:szCs w:val="20"/>
              </w:rPr>
              <w:t>er, pesticides etc. provided to farmers), personnel and operating costs dedicated to the interventions (e.g. fees for marketing staff, agronomists, transport etc.)</w:t>
            </w:r>
          </w:p>
          <w:p w14:paraId="47E7BA64" w14:textId="77777777" w:rsidR="00D46FB3"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pPr>
            <w:r w:rsidRPr="0067781C">
              <w:rPr>
                <w:sz w:val="20"/>
                <w:szCs w:val="20"/>
              </w:rPr>
              <w:t>Costs for one-off intervention activities, such as R&amp;D, capacity building, promotional events etc.</w:t>
            </w:r>
          </w:p>
        </w:tc>
      </w:tr>
      <w:tr w:rsidR="00D46FB3" w14:paraId="4FB2BB3E" w14:textId="77777777" w:rsidTr="00766023">
        <w:tc>
          <w:tcPr>
            <w:tcW w:w="9631" w:type="dxa"/>
          </w:tcPr>
          <w:p w14:paraId="65902748" w14:textId="77777777" w:rsidR="00D46FB3" w:rsidRPr="00790364" w:rsidRDefault="00D46FB3" w:rsidP="00766023">
            <w:pPr>
              <w:rPr>
                <w:b/>
                <w:sz w:val="20"/>
                <w:szCs w:val="20"/>
              </w:rPr>
            </w:pPr>
            <w:r w:rsidRPr="00790364">
              <w:rPr>
                <w:b/>
                <w:sz w:val="20"/>
                <w:szCs w:val="20"/>
              </w:rPr>
              <w:t>What is Excluded:</w:t>
            </w:r>
          </w:p>
          <w:p w14:paraId="663FE83E" w14:textId="77777777" w:rsidR="00D46FB3" w:rsidRPr="00420818"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rPr>
                <w:sz w:val="20"/>
                <w:szCs w:val="20"/>
              </w:rPr>
            </w:pPr>
            <w:r>
              <w:rPr>
                <w:sz w:val="20"/>
                <w:szCs w:val="20"/>
              </w:rPr>
              <w:t>M</w:t>
            </w:r>
            <w:r w:rsidRPr="00420818">
              <w:rPr>
                <w:sz w:val="20"/>
                <w:szCs w:val="20"/>
              </w:rPr>
              <w:t>anagement fees</w:t>
            </w:r>
          </w:p>
          <w:p w14:paraId="3CBD92BA" w14:textId="77777777" w:rsidR="00D46FB3"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pPr>
            <w:r>
              <w:rPr>
                <w:sz w:val="20"/>
                <w:szCs w:val="20"/>
              </w:rPr>
              <w:t>S</w:t>
            </w:r>
            <w:r w:rsidRPr="00420818">
              <w:rPr>
                <w:sz w:val="20"/>
                <w:szCs w:val="20"/>
              </w:rPr>
              <w:t>taff and management commitments from existing personnel and operations</w:t>
            </w:r>
          </w:p>
        </w:tc>
      </w:tr>
      <w:tr w:rsidR="00D46FB3" w14:paraId="47D0693C" w14:textId="77777777" w:rsidTr="00766023">
        <w:tc>
          <w:tcPr>
            <w:tcW w:w="9631" w:type="dxa"/>
          </w:tcPr>
          <w:p w14:paraId="16C612EA" w14:textId="77777777" w:rsidR="00D46FB3" w:rsidRDefault="00D46FB3" w:rsidP="00766023">
            <w:r w:rsidRPr="00420818">
              <w:rPr>
                <w:b/>
                <w:sz w:val="20"/>
                <w:szCs w:val="20"/>
              </w:rPr>
              <w:t>Direct intervention cost</w:t>
            </w:r>
            <w:r w:rsidRPr="00420818">
              <w:rPr>
                <w:rStyle w:val="FootnoteReference"/>
                <w:b/>
                <w:sz w:val="20"/>
              </w:rPr>
              <w:footnoteReference w:id="112"/>
            </w:r>
            <w:r w:rsidRPr="00420818">
              <w:rPr>
                <w:b/>
                <w:sz w:val="20"/>
                <w:szCs w:val="20"/>
              </w:rPr>
              <w:t xml:space="preserve"> - </w:t>
            </w:r>
            <w:r w:rsidRPr="00420818">
              <w:rPr>
                <w:sz w:val="20"/>
                <w:szCs w:val="20"/>
              </w:rPr>
              <w:t>PRISMA’s contribution to the intervention</w:t>
            </w:r>
          </w:p>
        </w:tc>
      </w:tr>
      <w:tr w:rsidR="00D46FB3" w14:paraId="5C4E4891" w14:textId="77777777" w:rsidTr="00766023">
        <w:tc>
          <w:tcPr>
            <w:tcW w:w="9631" w:type="dxa"/>
          </w:tcPr>
          <w:p w14:paraId="2161EE8D" w14:textId="77777777" w:rsidR="00D46FB3" w:rsidRPr="00790364" w:rsidRDefault="00D46FB3" w:rsidP="00766023">
            <w:pPr>
              <w:rPr>
                <w:b/>
                <w:sz w:val="20"/>
                <w:szCs w:val="20"/>
              </w:rPr>
            </w:pPr>
            <w:r w:rsidRPr="00790364">
              <w:rPr>
                <w:b/>
                <w:sz w:val="20"/>
                <w:szCs w:val="20"/>
              </w:rPr>
              <w:t>What is included:</w:t>
            </w:r>
          </w:p>
          <w:p w14:paraId="45096333" w14:textId="77777777" w:rsidR="00D46FB3" w:rsidRPr="00420818" w:rsidRDefault="00D46FB3" w:rsidP="00766023">
            <w:pPr>
              <w:rPr>
                <w:sz w:val="20"/>
                <w:szCs w:val="20"/>
                <w:u w:val="single"/>
              </w:rPr>
            </w:pPr>
            <w:r>
              <w:rPr>
                <w:sz w:val="20"/>
                <w:szCs w:val="20"/>
                <w:u w:val="single"/>
              </w:rPr>
              <w:lastRenderedPageBreak/>
              <w:t>For PRISMA’s Interventions</w:t>
            </w:r>
          </w:p>
          <w:p w14:paraId="142F7C6A" w14:textId="77777777" w:rsidR="00D46FB3" w:rsidRPr="00420818" w:rsidRDefault="00D46FB3" w:rsidP="004B220D">
            <w:pPr>
              <w:pStyle w:val="ListParagraph"/>
              <w:numPr>
                <w:ilvl w:val="0"/>
                <w:numId w:val="53"/>
              </w:numPr>
              <w:suppressAutoHyphens/>
              <w:autoSpaceDE w:val="0"/>
              <w:autoSpaceDN w:val="0"/>
              <w:adjustRightInd w:val="0"/>
              <w:spacing w:line="280" w:lineRule="atLeast"/>
              <w:ind w:left="220" w:hanging="220"/>
              <w:jc w:val="both"/>
              <w:textAlignment w:val="center"/>
              <w:rPr>
                <w:sz w:val="20"/>
                <w:szCs w:val="20"/>
              </w:rPr>
            </w:pPr>
            <w:r w:rsidRPr="00420818">
              <w:rPr>
                <w:sz w:val="20"/>
                <w:szCs w:val="20"/>
              </w:rPr>
              <w:t>Activity costs as described in the partnership arrangement</w:t>
            </w:r>
            <w:r w:rsidRPr="00420818">
              <w:rPr>
                <w:rStyle w:val="FootnoteReference"/>
                <w:sz w:val="20"/>
              </w:rPr>
              <w:footnoteReference w:id="113"/>
            </w:r>
            <w:r w:rsidRPr="00420818">
              <w:rPr>
                <w:sz w:val="20"/>
                <w:szCs w:val="20"/>
              </w:rPr>
              <w:t xml:space="preserve"> including costs associated with: farmer gatherings; promotional materials; specialized technical assistance; farmer logistics; inputs not manufactured by the partner etc.</w:t>
            </w:r>
          </w:p>
          <w:p w14:paraId="7CC49CA9" w14:textId="77777777" w:rsidR="00D46FB3" w:rsidRPr="00420818" w:rsidRDefault="00D46FB3" w:rsidP="004B220D">
            <w:pPr>
              <w:pStyle w:val="ListParagraph"/>
              <w:numPr>
                <w:ilvl w:val="0"/>
                <w:numId w:val="53"/>
              </w:numPr>
              <w:suppressAutoHyphens/>
              <w:autoSpaceDE w:val="0"/>
              <w:autoSpaceDN w:val="0"/>
              <w:adjustRightInd w:val="0"/>
              <w:spacing w:line="280" w:lineRule="atLeast"/>
              <w:ind w:left="220" w:hanging="220"/>
              <w:jc w:val="both"/>
              <w:textAlignment w:val="center"/>
              <w:rPr>
                <w:sz w:val="20"/>
                <w:szCs w:val="20"/>
              </w:rPr>
            </w:pPr>
            <w:r w:rsidRPr="00420818">
              <w:rPr>
                <w:sz w:val="20"/>
                <w:szCs w:val="20"/>
              </w:rPr>
              <w:t>PRISMA staff salary costs to oversee the intervention (including portfolio and RML staff)</w:t>
            </w:r>
          </w:p>
          <w:p w14:paraId="1DBAFB67" w14:textId="77777777" w:rsidR="00D46FB3" w:rsidRDefault="00D46FB3" w:rsidP="004B220D">
            <w:pPr>
              <w:pStyle w:val="ListParagraph"/>
              <w:numPr>
                <w:ilvl w:val="0"/>
                <w:numId w:val="53"/>
              </w:numPr>
              <w:suppressAutoHyphens/>
              <w:autoSpaceDE w:val="0"/>
              <w:autoSpaceDN w:val="0"/>
              <w:adjustRightInd w:val="0"/>
              <w:spacing w:line="280" w:lineRule="atLeast"/>
              <w:ind w:left="220" w:hanging="220"/>
              <w:jc w:val="both"/>
              <w:textAlignment w:val="center"/>
              <w:rPr>
                <w:sz w:val="20"/>
                <w:szCs w:val="20"/>
              </w:rPr>
            </w:pPr>
            <w:r w:rsidRPr="00420818">
              <w:rPr>
                <w:sz w:val="20"/>
                <w:szCs w:val="20"/>
              </w:rPr>
              <w:t>PRISMA staff intervention related travel and accommodation costs (including hotel, airfares, land travel and per</w:t>
            </w:r>
            <w:r>
              <w:rPr>
                <w:sz w:val="20"/>
                <w:szCs w:val="20"/>
              </w:rPr>
              <w:t xml:space="preserve"> </w:t>
            </w:r>
            <w:r w:rsidRPr="00420818">
              <w:rPr>
                <w:sz w:val="20"/>
                <w:szCs w:val="20"/>
              </w:rPr>
              <w:t>diems for portfolio and RML staff)</w:t>
            </w:r>
          </w:p>
          <w:p w14:paraId="294B6993" w14:textId="77777777" w:rsidR="00D46FB3" w:rsidRDefault="00D46FB3" w:rsidP="00766023">
            <w:pPr>
              <w:rPr>
                <w:sz w:val="20"/>
                <w:szCs w:val="20"/>
                <w:u w:val="single"/>
              </w:rPr>
            </w:pPr>
          </w:p>
          <w:p w14:paraId="4D1DE6FF" w14:textId="77777777" w:rsidR="00D46FB3" w:rsidRPr="00420818" w:rsidRDefault="00D46FB3" w:rsidP="00766023">
            <w:pPr>
              <w:rPr>
                <w:sz w:val="20"/>
                <w:szCs w:val="20"/>
                <w:u w:val="single"/>
              </w:rPr>
            </w:pPr>
            <w:r>
              <w:rPr>
                <w:sz w:val="20"/>
                <w:szCs w:val="20"/>
                <w:u w:val="single"/>
              </w:rPr>
              <w:t>For the NGO’s Interventions</w:t>
            </w:r>
          </w:p>
          <w:p w14:paraId="0F33A021" w14:textId="77777777" w:rsidR="00D46FB3" w:rsidRPr="00420818"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rPr>
                <w:sz w:val="20"/>
                <w:szCs w:val="20"/>
              </w:rPr>
            </w:pPr>
            <w:r w:rsidRPr="00420818">
              <w:rPr>
                <w:sz w:val="20"/>
                <w:szCs w:val="20"/>
              </w:rPr>
              <w:t xml:space="preserve">Activity costs as described in Cost Category 6 of the Grant Agreement “Intervention Activity Costs”, including: farmer gathering costs, promotional materials, specialized technical assistance, farmer logistics, </w:t>
            </w:r>
            <w:proofErr w:type="gramStart"/>
            <w:r w:rsidRPr="00420818">
              <w:rPr>
                <w:sz w:val="20"/>
                <w:szCs w:val="20"/>
              </w:rPr>
              <w:t>inputs</w:t>
            </w:r>
            <w:proofErr w:type="gramEnd"/>
            <w:r w:rsidRPr="00420818">
              <w:rPr>
                <w:sz w:val="20"/>
                <w:szCs w:val="20"/>
              </w:rPr>
              <w:t xml:space="preserve"> not manufactured by the partner etc.</w:t>
            </w:r>
          </w:p>
          <w:p w14:paraId="4A92BD26" w14:textId="77777777" w:rsidR="00D46FB3" w:rsidRPr="00420818"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rPr>
                <w:sz w:val="20"/>
                <w:szCs w:val="20"/>
              </w:rPr>
            </w:pPr>
            <w:r w:rsidRPr="00420818">
              <w:rPr>
                <w:sz w:val="20"/>
                <w:szCs w:val="20"/>
              </w:rPr>
              <w:t>NGO intervention related staff costs including salary and travel (international staff - Cost Category 4 and local staff - Cost Category 5), which includes hotel, airfares, land travel and per</w:t>
            </w:r>
            <w:r>
              <w:rPr>
                <w:sz w:val="20"/>
                <w:szCs w:val="20"/>
              </w:rPr>
              <w:t xml:space="preserve"> </w:t>
            </w:r>
            <w:r w:rsidRPr="00420818">
              <w:rPr>
                <w:sz w:val="20"/>
                <w:szCs w:val="20"/>
              </w:rPr>
              <w:t>diems</w:t>
            </w:r>
          </w:p>
          <w:p w14:paraId="7A6F2641" w14:textId="77777777" w:rsidR="00D46FB3" w:rsidRPr="00420818"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rPr>
                <w:sz w:val="20"/>
                <w:szCs w:val="20"/>
              </w:rPr>
            </w:pPr>
            <w:r w:rsidRPr="00420818">
              <w:rPr>
                <w:sz w:val="20"/>
                <w:szCs w:val="20"/>
              </w:rPr>
              <w:t>PRISMA staff salary costs to oversee the interventions (including portfolio staff and RML)</w:t>
            </w:r>
          </w:p>
          <w:p w14:paraId="151B8872" w14:textId="77777777" w:rsidR="00D46FB3"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pPr>
            <w:r w:rsidRPr="00790364">
              <w:rPr>
                <w:sz w:val="20"/>
                <w:szCs w:val="20"/>
              </w:rPr>
              <w:t>PRISMA staff intervention related travel and accommodation costs to oversee the intervention, including hotel, airfares, land travel and per</w:t>
            </w:r>
            <w:r>
              <w:rPr>
                <w:sz w:val="20"/>
                <w:szCs w:val="20"/>
              </w:rPr>
              <w:t xml:space="preserve"> </w:t>
            </w:r>
            <w:r w:rsidRPr="00790364">
              <w:rPr>
                <w:sz w:val="20"/>
                <w:szCs w:val="20"/>
              </w:rPr>
              <w:t>diems for portfolio staff and RML</w:t>
            </w:r>
          </w:p>
        </w:tc>
      </w:tr>
      <w:tr w:rsidR="00D46FB3" w14:paraId="6A7B99CD" w14:textId="77777777" w:rsidTr="00766023">
        <w:tc>
          <w:tcPr>
            <w:tcW w:w="9631" w:type="dxa"/>
          </w:tcPr>
          <w:p w14:paraId="4242C3A2" w14:textId="77777777" w:rsidR="00D46FB3" w:rsidRPr="00790364" w:rsidRDefault="00D46FB3" w:rsidP="00766023">
            <w:pPr>
              <w:rPr>
                <w:b/>
                <w:sz w:val="20"/>
                <w:szCs w:val="20"/>
              </w:rPr>
            </w:pPr>
            <w:r w:rsidRPr="00790364">
              <w:rPr>
                <w:b/>
                <w:sz w:val="20"/>
                <w:szCs w:val="20"/>
              </w:rPr>
              <w:lastRenderedPageBreak/>
              <w:t>What is excluded:</w:t>
            </w:r>
          </w:p>
          <w:p w14:paraId="1657F958" w14:textId="77777777" w:rsidR="00D46FB3" w:rsidRPr="00420818" w:rsidRDefault="00D46FB3" w:rsidP="00766023">
            <w:pPr>
              <w:rPr>
                <w:sz w:val="20"/>
                <w:szCs w:val="20"/>
                <w:u w:val="single"/>
              </w:rPr>
            </w:pPr>
            <w:r>
              <w:rPr>
                <w:sz w:val="20"/>
                <w:szCs w:val="20"/>
                <w:u w:val="single"/>
              </w:rPr>
              <w:t>For PRISMA’s Interventions</w:t>
            </w:r>
            <w:r w:rsidRPr="00420818">
              <w:rPr>
                <w:sz w:val="20"/>
                <w:szCs w:val="20"/>
                <w:u w:val="single"/>
              </w:rPr>
              <w:t xml:space="preserve"> </w:t>
            </w:r>
          </w:p>
          <w:p w14:paraId="48055021" w14:textId="77777777" w:rsidR="00D46FB3" w:rsidRPr="00420818" w:rsidRDefault="00D46FB3" w:rsidP="004B220D">
            <w:pPr>
              <w:pStyle w:val="ListParagraph"/>
              <w:numPr>
                <w:ilvl w:val="0"/>
                <w:numId w:val="53"/>
              </w:numPr>
              <w:suppressAutoHyphens/>
              <w:autoSpaceDE w:val="0"/>
              <w:autoSpaceDN w:val="0"/>
              <w:adjustRightInd w:val="0"/>
              <w:spacing w:line="280" w:lineRule="atLeast"/>
              <w:ind w:left="220" w:hanging="220"/>
              <w:jc w:val="both"/>
              <w:textAlignment w:val="center"/>
              <w:rPr>
                <w:sz w:val="20"/>
                <w:szCs w:val="20"/>
              </w:rPr>
            </w:pPr>
            <w:r w:rsidRPr="00420818">
              <w:rPr>
                <w:sz w:val="20"/>
                <w:szCs w:val="20"/>
              </w:rPr>
              <w:t>Non-intervention related staff costs (such as admin, finance, MIS, management staff)</w:t>
            </w:r>
          </w:p>
          <w:p w14:paraId="0EDFCD72" w14:textId="77777777" w:rsidR="00D46FB3" w:rsidRPr="00420818" w:rsidRDefault="00D46FB3" w:rsidP="004B220D">
            <w:pPr>
              <w:pStyle w:val="ListParagraph"/>
              <w:numPr>
                <w:ilvl w:val="0"/>
                <w:numId w:val="53"/>
              </w:numPr>
              <w:suppressAutoHyphens/>
              <w:autoSpaceDE w:val="0"/>
              <w:autoSpaceDN w:val="0"/>
              <w:adjustRightInd w:val="0"/>
              <w:spacing w:line="280" w:lineRule="atLeast"/>
              <w:ind w:left="220" w:hanging="220"/>
              <w:jc w:val="both"/>
              <w:textAlignment w:val="center"/>
              <w:rPr>
                <w:sz w:val="20"/>
                <w:szCs w:val="20"/>
              </w:rPr>
            </w:pPr>
            <w:r w:rsidRPr="00420818">
              <w:rPr>
                <w:sz w:val="20"/>
                <w:szCs w:val="20"/>
              </w:rPr>
              <w:t>Other program management costs</w:t>
            </w:r>
          </w:p>
          <w:p w14:paraId="3AD93E85" w14:textId="77777777" w:rsidR="00D46FB3" w:rsidRPr="00420818" w:rsidRDefault="00D46FB3" w:rsidP="004B220D">
            <w:pPr>
              <w:pStyle w:val="ListParagraph"/>
              <w:numPr>
                <w:ilvl w:val="0"/>
                <w:numId w:val="53"/>
              </w:numPr>
              <w:suppressAutoHyphens/>
              <w:autoSpaceDE w:val="0"/>
              <w:autoSpaceDN w:val="0"/>
              <w:adjustRightInd w:val="0"/>
              <w:spacing w:line="280" w:lineRule="atLeast"/>
              <w:ind w:left="220" w:hanging="220"/>
              <w:jc w:val="both"/>
              <w:textAlignment w:val="center"/>
              <w:rPr>
                <w:sz w:val="20"/>
                <w:szCs w:val="20"/>
              </w:rPr>
            </w:pPr>
            <w:r w:rsidRPr="00420818">
              <w:rPr>
                <w:sz w:val="20"/>
                <w:szCs w:val="20"/>
              </w:rPr>
              <w:t>Procurement (fixed asset) costs</w:t>
            </w:r>
          </w:p>
          <w:p w14:paraId="3B403F52" w14:textId="77777777" w:rsidR="00D46FB3" w:rsidRDefault="00D46FB3" w:rsidP="004B220D">
            <w:pPr>
              <w:pStyle w:val="ListParagraph"/>
              <w:numPr>
                <w:ilvl w:val="0"/>
                <w:numId w:val="53"/>
              </w:numPr>
              <w:suppressAutoHyphens/>
              <w:autoSpaceDE w:val="0"/>
              <w:autoSpaceDN w:val="0"/>
              <w:adjustRightInd w:val="0"/>
              <w:spacing w:line="280" w:lineRule="atLeast"/>
              <w:ind w:left="220" w:hanging="220"/>
              <w:jc w:val="both"/>
              <w:textAlignment w:val="center"/>
              <w:rPr>
                <w:sz w:val="20"/>
                <w:szCs w:val="20"/>
              </w:rPr>
            </w:pPr>
            <w:r w:rsidRPr="00420818">
              <w:rPr>
                <w:sz w:val="20"/>
                <w:szCs w:val="20"/>
              </w:rPr>
              <w:t>Fixed Management Fee</w:t>
            </w:r>
          </w:p>
          <w:p w14:paraId="2AC9FFD0" w14:textId="77777777" w:rsidR="00D46FB3" w:rsidRDefault="00D46FB3" w:rsidP="00766023">
            <w:pPr>
              <w:rPr>
                <w:sz w:val="20"/>
                <w:szCs w:val="20"/>
                <w:u w:val="single"/>
              </w:rPr>
            </w:pPr>
          </w:p>
          <w:p w14:paraId="22678BEE" w14:textId="77777777" w:rsidR="00D46FB3" w:rsidRPr="00420818" w:rsidRDefault="00D46FB3" w:rsidP="00766023">
            <w:pPr>
              <w:rPr>
                <w:sz w:val="20"/>
                <w:szCs w:val="20"/>
                <w:u w:val="single"/>
              </w:rPr>
            </w:pPr>
            <w:r>
              <w:rPr>
                <w:sz w:val="20"/>
                <w:szCs w:val="20"/>
                <w:u w:val="single"/>
              </w:rPr>
              <w:t>For the NGO interventions</w:t>
            </w:r>
          </w:p>
          <w:p w14:paraId="796FFA3B" w14:textId="77777777" w:rsidR="00D46FB3" w:rsidRPr="00420818"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rPr>
                <w:sz w:val="20"/>
                <w:szCs w:val="20"/>
              </w:rPr>
            </w:pPr>
            <w:r w:rsidRPr="00420818">
              <w:rPr>
                <w:sz w:val="20"/>
                <w:szCs w:val="20"/>
              </w:rPr>
              <w:t>Head office costs (staff and overheads – Cost Category 1)</w:t>
            </w:r>
          </w:p>
          <w:p w14:paraId="57DFA24B" w14:textId="77777777" w:rsidR="00D46FB3" w:rsidRPr="00420818"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rPr>
                <w:sz w:val="20"/>
                <w:szCs w:val="20"/>
              </w:rPr>
            </w:pPr>
            <w:r w:rsidRPr="00420818">
              <w:rPr>
                <w:sz w:val="20"/>
                <w:szCs w:val="20"/>
              </w:rPr>
              <w:t>Field office support costs, for example rent contribution and overheads (Cost Category 2)</w:t>
            </w:r>
          </w:p>
          <w:p w14:paraId="3961F0A3" w14:textId="77777777" w:rsidR="00D46FB3" w:rsidRPr="00420818"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rPr>
                <w:sz w:val="20"/>
                <w:szCs w:val="20"/>
              </w:rPr>
            </w:pPr>
            <w:r w:rsidRPr="00420818">
              <w:rPr>
                <w:sz w:val="20"/>
                <w:szCs w:val="20"/>
              </w:rPr>
              <w:t>Non-intervention related procurement costs (Cost Category 3)</w:t>
            </w:r>
          </w:p>
          <w:p w14:paraId="7D596B70" w14:textId="77777777" w:rsidR="00D46FB3" w:rsidRDefault="00D46FB3" w:rsidP="004B220D">
            <w:pPr>
              <w:pStyle w:val="ListParagraph"/>
              <w:numPr>
                <w:ilvl w:val="0"/>
                <w:numId w:val="53"/>
              </w:numPr>
              <w:suppressAutoHyphens/>
              <w:autoSpaceDE w:val="0"/>
              <w:autoSpaceDN w:val="0"/>
              <w:adjustRightInd w:val="0"/>
              <w:spacing w:after="120" w:line="280" w:lineRule="atLeast"/>
              <w:ind w:left="220" w:hanging="220"/>
              <w:jc w:val="both"/>
              <w:textAlignment w:val="center"/>
            </w:pPr>
            <w:r w:rsidRPr="00420818">
              <w:rPr>
                <w:sz w:val="20"/>
                <w:szCs w:val="20"/>
              </w:rPr>
              <w:t>Fixed Management Fee (Cost Category 7)</w:t>
            </w:r>
          </w:p>
        </w:tc>
      </w:tr>
      <w:tr w:rsidR="00D46FB3" w14:paraId="7747CF50" w14:textId="77777777" w:rsidTr="00766023">
        <w:tc>
          <w:tcPr>
            <w:tcW w:w="9631" w:type="dxa"/>
          </w:tcPr>
          <w:p w14:paraId="22C83FE4" w14:textId="77777777" w:rsidR="00D46FB3" w:rsidRDefault="00D46FB3" w:rsidP="00766023">
            <w:r w:rsidRPr="00420818">
              <w:rPr>
                <w:b/>
                <w:sz w:val="20"/>
                <w:szCs w:val="20"/>
              </w:rPr>
              <w:t xml:space="preserve">Net attributable income increase – </w:t>
            </w:r>
            <w:r w:rsidRPr="00420818">
              <w:rPr>
                <w:sz w:val="20"/>
                <w:szCs w:val="20"/>
              </w:rPr>
              <w:t>the actual value of the total net income increase of farmer households benefiting from the intervention</w:t>
            </w:r>
          </w:p>
        </w:tc>
      </w:tr>
      <w:tr w:rsidR="00D46FB3" w14:paraId="438342BF" w14:textId="77777777" w:rsidTr="00766023">
        <w:tc>
          <w:tcPr>
            <w:tcW w:w="9631" w:type="dxa"/>
          </w:tcPr>
          <w:p w14:paraId="18E926D4" w14:textId="77777777" w:rsidR="00D46FB3" w:rsidRDefault="00D46FB3" w:rsidP="00766023">
            <w:r w:rsidRPr="00420818">
              <w:rPr>
                <w:sz w:val="20"/>
                <w:szCs w:val="20"/>
              </w:rPr>
              <w:t>This is calculated by multiplying the actual outreach by the average net income increase per farm household</w:t>
            </w:r>
          </w:p>
        </w:tc>
      </w:tr>
    </w:tbl>
    <w:p w14:paraId="1DA467EA" w14:textId="77777777" w:rsidR="00D46FB3" w:rsidRPr="00BE6BFA" w:rsidRDefault="00D46FB3" w:rsidP="00D46FB3"/>
    <w:p w14:paraId="47333D45" w14:textId="77777777" w:rsidR="00D46FB3" w:rsidRPr="00186261" w:rsidRDefault="00D46FB3" w:rsidP="00D46FB3">
      <w:pPr>
        <w:rPr>
          <w:b/>
        </w:rPr>
      </w:pPr>
      <w:proofErr w:type="spellStart"/>
      <w:r w:rsidRPr="00186261">
        <w:rPr>
          <w:b/>
        </w:rPr>
        <w:t>VfM</w:t>
      </w:r>
      <w:proofErr w:type="spellEnd"/>
      <w:r w:rsidRPr="00186261">
        <w:rPr>
          <w:b/>
        </w:rPr>
        <w:t xml:space="preserve"> Indicator 1: Investment leverage </w:t>
      </w:r>
    </w:p>
    <w:p w14:paraId="13C261ED" w14:textId="17E9D2E9" w:rsidR="00D46FB3" w:rsidRDefault="00D46FB3" w:rsidP="00D46FB3">
      <w:pPr>
        <w:spacing w:after="200" w:line="276" w:lineRule="auto"/>
      </w:pPr>
      <w:r>
        <w:t>Investment leveraged from partners is measured every semester and is based on actual estimates rather than commitments made at the beginning of the intervention.</w:t>
      </w:r>
      <w:bookmarkStart w:id="69" w:name="_Ref477871886"/>
      <w:r>
        <w:rPr>
          <w:rStyle w:val="FootnoteReference"/>
        </w:rPr>
        <w:footnoteReference w:id="114"/>
      </w:r>
      <w:r>
        <w:t xml:space="preserve"> For this reason it is a lagging indicator. This explains the difference between completed and ongoing interventions as many of the NGO interventions are more mature than those of PRISMA. Nevertheless, as can be seen below the NGOs ability to leverage investment from their partners is comparable to what </w:t>
      </w:r>
      <w:r w:rsidR="006C7E5B">
        <w:t xml:space="preserve">was achieved in interventions directly implemented by </w:t>
      </w:r>
      <w:r>
        <w:t xml:space="preserve">PRISMA. </w:t>
      </w:r>
    </w:p>
    <w:p w14:paraId="12A8568F" w14:textId="77777777" w:rsidR="00C27645" w:rsidRDefault="00C27645" w:rsidP="00D46FB3">
      <w:pPr>
        <w:spacing w:after="200" w:line="276" w:lineRule="auto"/>
      </w:pPr>
    </w:p>
    <w:tbl>
      <w:tblPr>
        <w:tblStyle w:val="TableGrid"/>
        <w:tblW w:w="0" w:type="auto"/>
        <w:tblLook w:val="04A0" w:firstRow="1" w:lastRow="0" w:firstColumn="1" w:lastColumn="0" w:noHBand="0" w:noVBand="1"/>
      </w:tblPr>
      <w:tblGrid>
        <w:gridCol w:w="3210"/>
        <w:gridCol w:w="3210"/>
        <w:gridCol w:w="3211"/>
      </w:tblGrid>
      <w:tr w:rsidR="00D46FB3" w14:paraId="0953AE56" w14:textId="77777777" w:rsidTr="00766023">
        <w:tc>
          <w:tcPr>
            <w:tcW w:w="9631" w:type="dxa"/>
            <w:gridSpan w:val="3"/>
          </w:tcPr>
          <w:p w14:paraId="23337D1E" w14:textId="77777777" w:rsidR="00D46FB3" w:rsidRPr="00F07F5E" w:rsidRDefault="00D46FB3" w:rsidP="00766023">
            <w:pPr>
              <w:spacing w:after="200" w:line="276" w:lineRule="auto"/>
              <w:jc w:val="center"/>
              <w:rPr>
                <w:b/>
                <w:iCs/>
                <w:color w:val="266064"/>
                <w:sz w:val="28"/>
                <w:szCs w:val="28"/>
              </w:rPr>
            </w:pPr>
            <w:r w:rsidRPr="00F07F5E">
              <w:rPr>
                <w:b/>
                <w:iCs/>
                <w:color w:val="266064"/>
                <w:sz w:val="28"/>
                <w:szCs w:val="28"/>
              </w:rPr>
              <w:lastRenderedPageBreak/>
              <w:t>Investment Leverage</w:t>
            </w:r>
            <w:r>
              <w:rPr>
                <w:b/>
                <w:iCs/>
                <w:color w:val="266064"/>
                <w:sz w:val="28"/>
                <w:szCs w:val="28"/>
              </w:rPr>
              <w:t xml:space="preserve"> %</w:t>
            </w:r>
          </w:p>
        </w:tc>
      </w:tr>
      <w:tr w:rsidR="00D46FB3" w14:paraId="0A0EA06F" w14:textId="77777777" w:rsidTr="00766023">
        <w:tc>
          <w:tcPr>
            <w:tcW w:w="3210" w:type="dxa"/>
          </w:tcPr>
          <w:p w14:paraId="6A53C2D3" w14:textId="77777777" w:rsidR="00D46FB3" w:rsidRDefault="00D46FB3" w:rsidP="00766023">
            <w:pPr>
              <w:spacing w:after="200" w:line="276" w:lineRule="auto"/>
              <w:rPr>
                <w:iCs/>
                <w:color w:val="266064"/>
              </w:rPr>
            </w:pPr>
          </w:p>
        </w:tc>
        <w:tc>
          <w:tcPr>
            <w:tcW w:w="3210" w:type="dxa"/>
          </w:tcPr>
          <w:p w14:paraId="2A661197" w14:textId="77777777" w:rsidR="00D46FB3" w:rsidRPr="00D732DA" w:rsidRDefault="00D46FB3" w:rsidP="00766023">
            <w:pPr>
              <w:spacing w:after="200" w:line="276" w:lineRule="auto"/>
              <w:jc w:val="center"/>
              <w:rPr>
                <w:b/>
                <w:iCs/>
                <w:color w:val="266064"/>
              </w:rPr>
            </w:pPr>
            <w:r w:rsidRPr="00D732DA">
              <w:rPr>
                <w:b/>
                <w:iCs/>
                <w:color w:val="266064"/>
              </w:rPr>
              <w:t>NGOs</w:t>
            </w:r>
          </w:p>
        </w:tc>
        <w:tc>
          <w:tcPr>
            <w:tcW w:w="3211" w:type="dxa"/>
          </w:tcPr>
          <w:p w14:paraId="28BD87C7" w14:textId="77777777" w:rsidR="00D46FB3" w:rsidRPr="00D732DA" w:rsidRDefault="00D46FB3" w:rsidP="00766023">
            <w:pPr>
              <w:spacing w:after="200" w:line="276" w:lineRule="auto"/>
              <w:jc w:val="center"/>
              <w:rPr>
                <w:b/>
                <w:iCs/>
                <w:color w:val="266064"/>
              </w:rPr>
            </w:pPr>
            <w:r w:rsidRPr="00D732DA">
              <w:rPr>
                <w:b/>
                <w:iCs/>
                <w:color w:val="266064"/>
              </w:rPr>
              <w:t>PRISMA</w:t>
            </w:r>
          </w:p>
        </w:tc>
      </w:tr>
      <w:tr w:rsidR="00D46FB3" w14:paraId="0EED5665" w14:textId="77777777" w:rsidTr="00766023">
        <w:tc>
          <w:tcPr>
            <w:tcW w:w="3210" w:type="dxa"/>
          </w:tcPr>
          <w:p w14:paraId="6E2D6C35" w14:textId="77777777" w:rsidR="00D46FB3" w:rsidRPr="00D732DA" w:rsidRDefault="00D46FB3" w:rsidP="00766023">
            <w:pPr>
              <w:spacing w:after="200" w:line="276" w:lineRule="auto"/>
              <w:rPr>
                <w:b/>
                <w:iCs/>
                <w:color w:val="266064"/>
              </w:rPr>
            </w:pPr>
            <w:r w:rsidRPr="00D732DA">
              <w:rPr>
                <w:b/>
                <w:iCs/>
                <w:color w:val="266064"/>
              </w:rPr>
              <w:t>Completed Interventions</w:t>
            </w:r>
          </w:p>
        </w:tc>
        <w:tc>
          <w:tcPr>
            <w:tcW w:w="3210" w:type="dxa"/>
          </w:tcPr>
          <w:p w14:paraId="5F9D1BB2" w14:textId="77777777" w:rsidR="00D46FB3" w:rsidRPr="00F07F5E" w:rsidRDefault="00D46FB3" w:rsidP="00766023">
            <w:pPr>
              <w:spacing w:after="200" w:line="276" w:lineRule="auto"/>
              <w:jc w:val="center"/>
              <w:rPr>
                <w:iCs/>
                <w:color w:val="266064"/>
              </w:rPr>
            </w:pPr>
            <w:r>
              <w:rPr>
                <w:iCs/>
                <w:color w:val="266064"/>
              </w:rPr>
              <w:t>19.38</w:t>
            </w:r>
          </w:p>
        </w:tc>
        <w:tc>
          <w:tcPr>
            <w:tcW w:w="3211" w:type="dxa"/>
          </w:tcPr>
          <w:p w14:paraId="293C71FA" w14:textId="77777777" w:rsidR="00D46FB3" w:rsidRPr="00F07F5E" w:rsidRDefault="00D46FB3" w:rsidP="00766023">
            <w:pPr>
              <w:spacing w:after="200" w:line="276" w:lineRule="auto"/>
              <w:jc w:val="center"/>
              <w:rPr>
                <w:iCs/>
                <w:color w:val="266064"/>
              </w:rPr>
            </w:pPr>
            <w:r>
              <w:rPr>
                <w:iCs/>
                <w:color w:val="266064"/>
              </w:rPr>
              <w:t>25.68</w:t>
            </w:r>
          </w:p>
        </w:tc>
      </w:tr>
      <w:tr w:rsidR="00D46FB3" w14:paraId="2F7B29E1" w14:textId="77777777" w:rsidTr="00766023">
        <w:tc>
          <w:tcPr>
            <w:tcW w:w="3210" w:type="dxa"/>
          </w:tcPr>
          <w:p w14:paraId="42181A9C" w14:textId="77777777" w:rsidR="00D46FB3" w:rsidRPr="00D732DA" w:rsidRDefault="00D46FB3" w:rsidP="00766023">
            <w:pPr>
              <w:spacing w:after="200" w:line="276" w:lineRule="auto"/>
              <w:rPr>
                <w:b/>
                <w:iCs/>
                <w:color w:val="266064"/>
              </w:rPr>
            </w:pPr>
            <w:r w:rsidRPr="00D732DA">
              <w:rPr>
                <w:b/>
                <w:iCs/>
                <w:color w:val="266064"/>
              </w:rPr>
              <w:t>Ongoing Interventions</w:t>
            </w:r>
          </w:p>
        </w:tc>
        <w:tc>
          <w:tcPr>
            <w:tcW w:w="3210" w:type="dxa"/>
          </w:tcPr>
          <w:p w14:paraId="31C1BC2C" w14:textId="77777777" w:rsidR="00D46FB3" w:rsidRPr="00F07F5E" w:rsidRDefault="00D46FB3" w:rsidP="00766023">
            <w:pPr>
              <w:spacing w:after="200" w:line="276" w:lineRule="auto"/>
              <w:jc w:val="center"/>
              <w:rPr>
                <w:iCs/>
                <w:color w:val="266064"/>
              </w:rPr>
            </w:pPr>
            <w:r>
              <w:rPr>
                <w:iCs/>
                <w:color w:val="266064"/>
              </w:rPr>
              <w:t>13.88</w:t>
            </w:r>
          </w:p>
        </w:tc>
        <w:tc>
          <w:tcPr>
            <w:tcW w:w="3211" w:type="dxa"/>
          </w:tcPr>
          <w:p w14:paraId="705CB43B" w14:textId="77777777" w:rsidR="00D46FB3" w:rsidRPr="00F07F5E" w:rsidRDefault="00D46FB3" w:rsidP="00766023">
            <w:pPr>
              <w:spacing w:after="200" w:line="276" w:lineRule="auto"/>
              <w:jc w:val="center"/>
              <w:rPr>
                <w:iCs/>
                <w:color w:val="266064"/>
              </w:rPr>
            </w:pPr>
            <w:r>
              <w:rPr>
                <w:iCs/>
                <w:color w:val="266064"/>
              </w:rPr>
              <w:t>7.07</w:t>
            </w:r>
          </w:p>
        </w:tc>
      </w:tr>
    </w:tbl>
    <w:p w14:paraId="23026CB0" w14:textId="77777777" w:rsidR="00D46FB3" w:rsidRDefault="00D46FB3" w:rsidP="00D46FB3">
      <w:pPr>
        <w:spacing w:after="200" w:line="276" w:lineRule="auto"/>
        <w:rPr>
          <w:i/>
          <w:iCs/>
          <w:color w:val="266064"/>
          <w:sz w:val="18"/>
          <w:szCs w:val="18"/>
        </w:rPr>
      </w:pPr>
    </w:p>
    <w:bookmarkEnd w:id="69"/>
    <w:p w14:paraId="2F106E83" w14:textId="77777777" w:rsidR="00D46FB3" w:rsidRPr="00186261" w:rsidRDefault="00D46FB3" w:rsidP="00D46FB3">
      <w:pPr>
        <w:rPr>
          <w:b/>
        </w:rPr>
      </w:pPr>
      <w:proofErr w:type="spellStart"/>
      <w:r w:rsidRPr="00186261">
        <w:rPr>
          <w:b/>
        </w:rPr>
        <w:t>VfM</w:t>
      </w:r>
      <w:proofErr w:type="spellEnd"/>
      <w:r w:rsidRPr="00186261">
        <w:rPr>
          <w:b/>
        </w:rPr>
        <w:t xml:space="preserve"> Indicator 2: Social Return on Investment </w:t>
      </w:r>
    </w:p>
    <w:p w14:paraId="246C5183" w14:textId="77777777" w:rsidR="00D46FB3" w:rsidRPr="00A63A06" w:rsidRDefault="00D46FB3" w:rsidP="00D46FB3">
      <w:r w:rsidRPr="00A63A06">
        <w:t xml:space="preserve">The figures </w:t>
      </w:r>
      <w:r>
        <w:t xml:space="preserve">below that compare dollar-for-dollar intervention delivery costs to the net attributable incomes produced from the interventions also points to similar levels of returns. It would be expected that as experience in implementation improves this return should see an upward trend.  </w:t>
      </w:r>
    </w:p>
    <w:tbl>
      <w:tblPr>
        <w:tblStyle w:val="TableGrid"/>
        <w:tblW w:w="0" w:type="auto"/>
        <w:tblLook w:val="04A0" w:firstRow="1" w:lastRow="0" w:firstColumn="1" w:lastColumn="0" w:noHBand="0" w:noVBand="1"/>
      </w:tblPr>
      <w:tblGrid>
        <w:gridCol w:w="3210"/>
        <w:gridCol w:w="3210"/>
        <w:gridCol w:w="3211"/>
      </w:tblGrid>
      <w:tr w:rsidR="00D46FB3" w:rsidRPr="00F07F5E" w14:paraId="449D9CD2" w14:textId="77777777" w:rsidTr="00766023">
        <w:tc>
          <w:tcPr>
            <w:tcW w:w="9631" w:type="dxa"/>
            <w:gridSpan w:val="3"/>
          </w:tcPr>
          <w:p w14:paraId="6A7FD1B9" w14:textId="77777777" w:rsidR="00D46FB3" w:rsidRPr="00F07F5E" w:rsidRDefault="00D46FB3" w:rsidP="00766023">
            <w:pPr>
              <w:spacing w:after="200" w:line="276" w:lineRule="auto"/>
              <w:jc w:val="center"/>
              <w:rPr>
                <w:b/>
                <w:iCs/>
                <w:color w:val="266064"/>
                <w:sz w:val="28"/>
                <w:szCs w:val="28"/>
              </w:rPr>
            </w:pPr>
            <w:r>
              <w:rPr>
                <w:b/>
                <w:iCs/>
                <w:color w:val="266064"/>
                <w:sz w:val="28"/>
                <w:szCs w:val="28"/>
              </w:rPr>
              <w:t>Social Return on Investment %</w:t>
            </w:r>
          </w:p>
        </w:tc>
      </w:tr>
      <w:tr w:rsidR="00D46FB3" w:rsidRPr="00D732DA" w14:paraId="1C349A10" w14:textId="77777777" w:rsidTr="00766023">
        <w:tc>
          <w:tcPr>
            <w:tcW w:w="3210" w:type="dxa"/>
          </w:tcPr>
          <w:p w14:paraId="6D95EC5E" w14:textId="77777777" w:rsidR="00D46FB3" w:rsidRDefault="00D46FB3" w:rsidP="00766023">
            <w:pPr>
              <w:spacing w:after="200" w:line="276" w:lineRule="auto"/>
              <w:rPr>
                <w:iCs/>
                <w:color w:val="266064"/>
              </w:rPr>
            </w:pPr>
          </w:p>
        </w:tc>
        <w:tc>
          <w:tcPr>
            <w:tcW w:w="3210" w:type="dxa"/>
          </w:tcPr>
          <w:p w14:paraId="2B99C850" w14:textId="77777777" w:rsidR="00D46FB3" w:rsidRPr="00D732DA" w:rsidRDefault="00D46FB3" w:rsidP="00766023">
            <w:pPr>
              <w:spacing w:after="200" w:line="276" w:lineRule="auto"/>
              <w:jc w:val="center"/>
              <w:rPr>
                <w:b/>
                <w:iCs/>
                <w:color w:val="266064"/>
              </w:rPr>
            </w:pPr>
            <w:r w:rsidRPr="00D732DA">
              <w:rPr>
                <w:b/>
                <w:iCs/>
                <w:color w:val="266064"/>
              </w:rPr>
              <w:t>NGOs</w:t>
            </w:r>
          </w:p>
        </w:tc>
        <w:tc>
          <w:tcPr>
            <w:tcW w:w="3211" w:type="dxa"/>
          </w:tcPr>
          <w:p w14:paraId="45A669C6" w14:textId="77777777" w:rsidR="00D46FB3" w:rsidRPr="00D732DA" w:rsidRDefault="00D46FB3" w:rsidP="00766023">
            <w:pPr>
              <w:spacing w:after="200" w:line="276" w:lineRule="auto"/>
              <w:jc w:val="center"/>
              <w:rPr>
                <w:b/>
                <w:iCs/>
                <w:color w:val="266064"/>
              </w:rPr>
            </w:pPr>
            <w:r w:rsidRPr="00D732DA">
              <w:rPr>
                <w:b/>
                <w:iCs/>
                <w:color w:val="266064"/>
              </w:rPr>
              <w:t>PRISMA</w:t>
            </w:r>
          </w:p>
        </w:tc>
      </w:tr>
      <w:tr w:rsidR="00D46FB3" w:rsidRPr="00F07F5E" w14:paraId="450D613E" w14:textId="77777777" w:rsidTr="00766023">
        <w:tc>
          <w:tcPr>
            <w:tcW w:w="3210" w:type="dxa"/>
          </w:tcPr>
          <w:p w14:paraId="29071614" w14:textId="77777777" w:rsidR="00D46FB3" w:rsidRPr="00D732DA" w:rsidRDefault="00D46FB3" w:rsidP="00766023">
            <w:pPr>
              <w:spacing w:after="200" w:line="276" w:lineRule="auto"/>
              <w:rPr>
                <w:b/>
                <w:iCs/>
                <w:color w:val="266064"/>
              </w:rPr>
            </w:pPr>
            <w:r w:rsidRPr="00D732DA">
              <w:rPr>
                <w:b/>
                <w:iCs/>
                <w:color w:val="266064"/>
              </w:rPr>
              <w:t>Completed Interventions</w:t>
            </w:r>
          </w:p>
        </w:tc>
        <w:tc>
          <w:tcPr>
            <w:tcW w:w="3210" w:type="dxa"/>
          </w:tcPr>
          <w:p w14:paraId="0FE6D4EF" w14:textId="77777777" w:rsidR="00D46FB3" w:rsidRPr="00F07F5E" w:rsidRDefault="00D46FB3" w:rsidP="00766023">
            <w:pPr>
              <w:spacing w:after="200" w:line="276" w:lineRule="auto"/>
              <w:jc w:val="center"/>
              <w:rPr>
                <w:iCs/>
                <w:color w:val="266064"/>
              </w:rPr>
            </w:pPr>
            <w:r>
              <w:rPr>
                <w:iCs/>
                <w:color w:val="266064"/>
              </w:rPr>
              <w:t>0.77</w:t>
            </w:r>
          </w:p>
        </w:tc>
        <w:tc>
          <w:tcPr>
            <w:tcW w:w="3211" w:type="dxa"/>
          </w:tcPr>
          <w:p w14:paraId="25839C3C" w14:textId="77777777" w:rsidR="00D46FB3" w:rsidRPr="00F07F5E" w:rsidRDefault="00D46FB3" w:rsidP="00766023">
            <w:pPr>
              <w:spacing w:after="200" w:line="276" w:lineRule="auto"/>
              <w:jc w:val="center"/>
              <w:rPr>
                <w:iCs/>
                <w:color w:val="266064"/>
              </w:rPr>
            </w:pPr>
            <w:r>
              <w:rPr>
                <w:iCs/>
                <w:color w:val="266064"/>
              </w:rPr>
              <w:t>0.96</w:t>
            </w:r>
          </w:p>
        </w:tc>
      </w:tr>
      <w:tr w:rsidR="00D46FB3" w:rsidRPr="00F07F5E" w14:paraId="1BD13568" w14:textId="77777777" w:rsidTr="00766023">
        <w:tc>
          <w:tcPr>
            <w:tcW w:w="3210" w:type="dxa"/>
          </w:tcPr>
          <w:p w14:paraId="2D587140" w14:textId="77777777" w:rsidR="00D46FB3" w:rsidRPr="00D732DA" w:rsidRDefault="00D46FB3" w:rsidP="00766023">
            <w:pPr>
              <w:spacing w:after="200" w:line="276" w:lineRule="auto"/>
              <w:rPr>
                <w:b/>
                <w:iCs/>
                <w:color w:val="266064"/>
              </w:rPr>
            </w:pPr>
            <w:r w:rsidRPr="00D732DA">
              <w:rPr>
                <w:b/>
                <w:iCs/>
                <w:color w:val="266064"/>
              </w:rPr>
              <w:t>Ongoing Interventions</w:t>
            </w:r>
          </w:p>
        </w:tc>
        <w:tc>
          <w:tcPr>
            <w:tcW w:w="3210" w:type="dxa"/>
          </w:tcPr>
          <w:p w14:paraId="34FD630A" w14:textId="77777777" w:rsidR="00D46FB3" w:rsidRPr="00F07F5E" w:rsidRDefault="00D46FB3" w:rsidP="00766023">
            <w:pPr>
              <w:spacing w:after="200" w:line="276" w:lineRule="auto"/>
              <w:jc w:val="center"/>
              <w:rPr>
                <w:iCs/>
                <w:color w:val="266064"/>
              </w:rPr>
            </w:pPr>
            <w:r>
              <w:rPr>
                <w:iCs/>
                <w:color w:val="266064"/>
              </w:rPr>
              <w:t>0.99</w:t>
            </w:r>
          </w:p>
        </w:tc>
        <w:tc>
          <w:tcPr>
            <w:tcW w:w="3211" w:type="dxa"/>
          </w:tcPr>
          <w:p w14:paraId="77CD58B6" w14:textId="77777777" w:rsidR="00D46FB3" w:rsidRPr="00F07F5E" w:rsidRDefault="00D46FB3" w:rsidP="00766023">
            <w:pPr>
              <w:spacing w:after="200" w:line="276" w:lineRule="auto"/>
              <w:jc w:val="center"/>
              <w:rPr>
                <w:iCs/>
                <w:color w:val="266064"/>
              </w:rPr>
            </w:pPr>
            <w:r>
              <w:rPr>
                <w:iCs/>
                <w:color w:val="266064"/>
              </w:rPr>
              <w:t>0.83</w:t>
            </w:r>
          </w:p>
        </w:tc>
      </w:tr>
    </w:tbl>
    <w:p w14:paraId="43FA90DA" w14:textId="77777777" w:rsidR="00D46FB3" w:rsidRPr="00186261" w:rsidRDefault="00D46FB3" w:rsidP="00D46FB3">
      <w:pPr>
        <w:spacing w:before="240"/>
        <w:rPr>
          <w:b/>
        </w:rPr>
      </w:pPr>
      <w:proofErr w:type="spellStart"/>
      <w:r w:rsidRPr="00186261">
        <w:rPr>
          <w:b/>
        </w:rPr>
        <w:t>VfM</w:t>
      </w:r>
      <w:proofErr w:type="spellEnd"/>
      <w:r w:rsidRPr="00186261">
        <w:rPr>
          <w:b/>
        </w:rPr>
        <w:t xml:space="preserve"> Indicator 3: Investment per Farmer </w:t>
      </w:r>
    </w:p>
    <w:p w14:paraId="7E93CC44" w14:textId="77777777" w:rsidR="00D46FB3" w:rsidRDefault="00D46FB3" w:rsidP="00D46FB3">
      <w:pPr>
        <w:spacing w:after="200" w:line="276" w:lineRule="auto"/>
      </w:pPr>
      <w:r>
        <w:t xml:space="preserve">On this ratio, PRISMA’s own </w:t>
      </w:r>
      <w:proofErr w:type="gramStart"/>
      <w:r>
        <w:t>portfolio of interventions do</w:t>
      </w:r>
      <w:proofErr w:type="gramEnd"/>
      <w:r>
        <w:t xml:space="preserve"> better than the NGOs but these figures also include 3 failed NGO interventions where the recorded outreach was assessed as “0”. </w:t>
      </w:r>
    </w:p>
    <w:tbl>
      <w:tblPr>
        <w:tblStyle w:val="TableGrid"/>
        <w:tblW w:w="0" w:type="auto"/>
        <w:tblLook w:val="04A0" w:firstRow="1" w:lastRow="0" w:firstColumn="1" w:lastColumn="0" w:noHBand="0" w:noVBand="1"/>
      </w:tblPr>
      <w:tblGrid>
        <w:gridCol w:w="3210"/>
        <w:gridCol w:w="3210"/>
        <w:gridCol w:w="3211"/>
      </w:tblGrid>
      <w:tr w:rsidR="00D46FB3" w:rsidRPr="00F07F5E" w14:paraId="14B710CF" w14:textId="77777777" w:rsidTr="00766023">
        <w:tc>
          <w:tcPr>
            <w:tcW w:w="9631" w:type="dxa"/>
            <w:gridSpan w:val="3"/>
          </w:tcPr>
          <w:p w14:paraId="07103B14" w14:textId="77777777" w:rsidR="00D46FB3" w:rsidRPr="00F07F5E" w:rsidRDefault="00D46FB3" w:rsidP="00766023">
            <w:pPr>
              <w:spacing w:after="200" w:line="276" w:lineRule="auto"/>
              <w:jc w:val="center"/>
              <w:rPr>
                <w:b/>
                <w:iCs/>
                <w:color w:val="266064"/>
                <w:sz w:val="28"/>
                <w:szCs w:val="28"/>
              </w:rPr>
            </w:pPr>
            <w:r w:rsidRPr="00F07F5E">
              <w:rPr>
                <w:b/>
                <w:iCs/>
                <w:color w:val="266064"/>
                <w:sz w:val="28"/>
                <w:szCs w:val="28"/>
              </w:rPr>
              <w:t xml:space="preserve">Investment </w:t>
            </w:r>
            <w:r>
              <w:rPr>
                <w:b/>
                <w:iCs/>
                <w:color w:val="266064"/>
                <w:sz w:val="28"/>
                <w:szCs w:val="28"/>
              </w:rPr>
              <w:t>Per Farmer (AUD)</w:t>
            </w:r>
          </w:p>
        </w:tc>
      </w:tr>
      <w:tr w:rsidR="00D46FB3" w:rsidRPr="00D732DA" w14:paraId="452C2B6C" w14:textId="77777777" w:rsidTr="00766023">
        <w:tc>
          <w:tcPr>
            <w:tcW w:w="3210" w:type="dxa"/>
          </w:tcPr>
          <w:p w14:paraId="4E0CA4EC" w14:textId="77777777" w:rsidR="00D46FB3" w:rsidRDefault="00D46FB3" w:rsidP="00766023">
            <w:pPr>
              <w:spacing w:after="200" w:line="276" w:lineRule="auto"/>
              <w:rPr>
                <w:iCs/>
                <w:color w:val="266064"/>
              </w:rPr>
            </w:pPr>
          </w:p>
        </w:tc>
        <w:tc>
          <w:tcPr>
            <w:tcW w:w="3210" w:type="dxa"/>
          </w:tcPr>
          <w:p w14:paraId="561FD5C3" w14:textId="77777777" w:rsidR="00D46FB3" w:rsidRPr="00D732DA" w:rsidRDefault="00D46FB3" w:rsidP="00766023">
            <w:pPr>
              <w:spacing w:after="200" w:line="276" w:lineRule="auto"/>
              <w:jc w:val="center"/>
              <w:rPr>
                <w:b/>
                <w:iCs/>
                <w:color w:val="266064"/>
              </w:rPr>
            </w:pPr>
            <w:r w:rsidRPr="00D732DA">
              <w:rPr>
                <w:b/>
                <w:iCs/>
                <w:color w:val="266064"/>
              </w:rPr>
              <w:t>NGOs</w:t>
            </w:r>
          </w:p>
        </w:tc>
        <w:tc>
          <w:tcPr>
            <w:tcW w:w="3211" w:type="dxa"/>
          </w:tcPr>
          <w:p w14:paraId="1E58867D" w14:textId="77777777" w:rsidR="00D46FB3" w:rsidRPr="00D732DA" w:rsidRDefault="00D46FB3" w:rsidP="00766023">
            <w:pPr>
              <w:spacing w:after="200" w:line="276" w:lineRule="auto"/>
              <w:jc w:val="center"/>
              <w:rPr>
                <w:b/>
                <w:iCs/>
                <w:color w:val="266064"/>
              </w:rPr>
            </w:pPr>
            <w:r w:rsidRPr="00D732DA">
              <w:rPr>
                <w:b/>
                <w:iCs/>
                <w:color w:val="266064"/>
              </w:rPr>
              <w:t>PRISMA</w:t>
            </w:r>
          </w:p>
        </w:tc>
      </w:tr>
      <w:tr w:rsidR="00D46FB3" w:rsidRPr="00F07F5E" w14:paraId="34BA6E9C" w14:textId="77777777" w:rsidTr="00766023">
        <w:tc>
          <w:tcPr>
            <w:tcW w:w="3210" w:type="dxa"/>
          </w:tcPr>
          <w:p w14:paraId="4A8AA90C" w14:textId="77777777" w:rsidR="00D46FB3" w:rsidRPr="00D732DA" w:rsidRDefault="00D46FB3" w:rsidP="00766023">
            <w:pPr>
              <w:spacing w:after="200" w:line="276" w:lineRule="auto"/>
              <w:rPr>
                <w:b/>
                <w:iCs/>
                <w:color w:val="266064"/>
              </w:rPr>
            </w:pPr>
            <w:r w:rsidRPr="00D732DA">
              <w:rPr>
                <w:b/>
                <w:iCs/>
                <w:color w:val="266064"/>
              </w:rPr>
              <w:t>Completed Interventions</w:t>
            </w:r>
          </w:p>
        </w:tc>
        <w:tc>
          <w:tcPr>
            <w:tcW w:w="3210" w:type="dxa"/>
          </w:tcPr>
          <w:p w14:paraId="448410E5" w14:textId="77777777" w:rsidR="00D46FB3" w:rsidRPr="00F07F5E" w:rsidRDefault="00D46FB3" w:rsidP="00766023">
            <w:pPr>
              <w:spacing w:after="200" w:line="276" w:lineRule="auto"/>
              <w:jc w:val="center"/>
              <w:rPr>
                <w:iCs/>
                <w:color w:val="266064"/>
              </w:rPr>
            </w:pPr>
            <w:r>
              <w:rPr>
                <w:iCs/>
                <w:color w:val="266064"/>
              </w:rPr>
              <w:t>439</w:t>
            </w:r>
          </w:p>
        </w:tc>
        <w:tc>
          <w:tcPr>
            <w:tcW w:w="3211" w:type="dxa"/>
          </w:tcPr>
          <w:p w14:paraId="1988EB60" w14:textId="77777777" w:rsidR="00D46FB3" w:rsidRPr="00F07F5E" w:rsidRDefault="00D46FB3" w:rsidP="00766023">
            <w:pPr>
              <w:spacing w:after="200" w:line="276" w:lineRule="auto"/>
              <w:jc w:val="center"/>
              <w:rPr>
                <w:iCs/>
                <w:color w:val="266064"/>
              </w:rPr>
            </w:pPr>
            <w:r>
              <w:rPr>
                <w:iCs/>
                <w:color w:val="266064"/>
              </w:rPr>
              <w:t>264</w:t>
            </w:r>
          </w:p>
        </w:tc>
      </w:tr>
      <w:tr w:rsidR="00D46FB3" w:rsidRPr="00F07F5E" w14:paraId="257C7BEA" w14:textId="77777777" w:rsidTr="00766023">
        <w:tc>
          <w:tcPr>
            <w:tcW w:w="3210" w:type="dxa"/>
          </w:tcPr>
          <w:p w14:paraId="6F321B01" w14:textId="77777777" w:rsidR="00D46FB3" w:rsidRPr="00D732DA" w:rsidRDefault="00D46FB3" w:rsidP="00766023">
            <w:pPr>
              <w:spacing w:after="200" w:line="276" w:lineRule="auto"/>
              <w:rPr>
                <w:b/>
                <w:iCs/>
                <w:color w:val="266064"/>
              </w:rPr>
            </w:pPr>
            <w:r w:rsidRPr="00D732DA">
              <w:rPr>
                <w:b/>
                <w:iCs/>
                <w:color w:val="266064"/>
              </w:rPr>
              <w:t>Ongoing Interventions</w:t>
            </w:r>
          </w:p>
        </w:tc>
        <w:tc>
          <w:tcPr>
            <w:tcW w:w="3210" w:type="dxa"/>
          </w:tcPr>
          <w:p w14:paraId="7042E860" w14:textId="77777777" w:rsidR="00D46FB3" w:rsidRPr="00F07F5E" w:rsidRDefault="00D46FB3" w:rsidP="00766023">
            <w:pPr>
              <w:spacing w:after="200" w:line="276" w:lineRule="auto"/>
              <w:jc w:val="center"/>
              <w:rPr>
                <w:iCs/>
                <w:color w:val="266064"/>
              </w:rPr>
            </w:pPr>
            <w:r>
              <w:rPr>
                <w:iCs/>
                <w:color w:val="266064"/>
              </w:rPr>
              <w:t>459</w:t>
            </w:r>
          </w:p>
        </w:tc>
        <w:tc>
          <w:tcPr>
            <w:tcW w:w="3211" w:type="dxa"/>
          </w:tcPr>
          <w:p w14:paraId="51D9A42F" w14:textId="77777777" w:rsidR="00D46FB3" w:rsidRPr="00F07F5E" w:rsidRDefault="00D46FB3" w:rsidP="00766023">
            <w:pPr>
              <w:spacing w:after="200" w:line="276" w:lineRule="auto"/>
              <w:jc w:val="center"/>
              <w:rPr>
                <w:iCs/>
                <w:color w:val="266064"/>
              </w:rPr>
            </w:pPr>
            <w:r>
              <w:rPr>
                <w:iCs/>
                <w:color w:val="266064"/>
              </w:rPr>
              <w:t>353</w:t>
            </w:r>
          </w:p>
        </w:tc>
      </w:tr>
    </w:tbl>
    <w:p w14:paraId="33AA7582" w14:textId="77777777" w:rsidR="00D46FB3" w:rsidRDefault="00D46FB3" w:rsidP="00D46FB3"/>
    <w:p w14:paraId="2D6ACA3A" w14:textId="5A51AF4A" w:rsidR="00D46FB3" w:rsidRDefault="00D46FB3" w:rsidP="00D46FB3">
      <w:r>
        <w:t>From interviews with PRISMA staff, there is a perception that the NGOs are expensive and not effective. It seems this perception is borne, in part, from a frustration by the portfolio team over having to manage the NGOs. However, except for the cost per farmer, there is not a significant difference in costs or benefits between interventions managed b</w:t>
      </w:r>
      <w:r w:rsidR="00253D41">
        <w:t>y PRISMA and those managed by</w:t>
      </w:r>
      <w:r>
        <w:t xml:space="preserve"> NGO</w:t>
      </w:r>
      <w:r w:rsidR="00253D41">
        <w:t>s</w:t>
      </w:r>
      <w:r>
        <w:t xml:space="preserve">. </w:t>
      </w:r>
    </w:p>
    <w:p w14:paraId="74DCF047" w14:textId="77777777" w:rsidR="00D46FB3" w:rsidRDefault="00D46FB3" w:rsidP="00D46FB3">
      <w:pPr>
        <w:pStyle w:val="Heading9"/>
      </w:pPr>
      <w:bookmarkStart w:id="70" w:name="_Toc480361137"/>
      <w:r>
        <w:t>Summary Assessment</w:t>
      </w:r>
      <w:bookmarkEnd w:id="70"/>
    </w:p>
    <w:p w14:paraId="5AFAD27F" w14:textId="77777777" w:rsidR="00D46FB3" w:rsidRPr="00DA53F6" w:rsidRDefault="00D46FB3" w:rsidP="00D46FB3">
      <w:pPr>
        <w:rPr>
          <w:b/>
        </w:rPr>
      </w:pPr>
      <w:r w:rsidRPr="00DA53F6">
        <w:rPr>
          <w:b/>
        </w:rPr>
        <w:t>The key take away lessons, based on both PRISMA’s experience and this analysis are:</w:t>
      </w:r>
    </w:p>
    <w:p w14:paraId="636A31F8" w14:textId="77777777" w:rsidR="00D46FB3" w:rsidRDefault="00D46FB3" w:rsidP="004B220D">
      <w:pPr>
        <w:pStyle w:val="ListParagraph"/>
        <w:numPr>
          <w:ilvl w:val="0"/>
          <w:numId w:val="54"/>
        </w:numPr>
        <w:suppressAutoHyphens/>
        <w:autoSpaceDE w:val="0"/>
        <w:autoSpaceDN w:val="0"/>
        <w:adjustRightInd w:val="0"/>
        <w:spacing w:after="120" w:line="280" w:lineRule="atLeast"/>
        <w:textAlignment w:val="center"/>
      </w:pPr>
      <w:r>
        <w:t xml:space="preserve">AIP-Rural did benefit significantly from the capacity building effort that went into preparing the NGOs for intervention implementation. The trainers and the training materials have been repeatedly used for PRISMA, TIRTA and SAFIRA staff as well as for the M4P training programs for </w:t>
      </w:r>
      <w:r>
        <w:lastRenderedPageBreak/>
        <w:t xml:space="preserve">local government. This continues to be the case. This investment has yielded unexpected returns to in-house capacity. </w:t>
      </w:r>
    </w:p>
    <w:p w14:paraId="7C0BDD25" w14:textId="6F7E0573" w:rsidR="00D46FB3" w:rsidRDefault="00D46FB3" w:rsidP="004B220D">
      <w:pPr>
        <w:pStyle w:val="ListParagraph"/>
        <w:numPr>
          <w:ilvl w:val="0"/>
          <w:numId w:val="54"/>
        </w:numPr>
        <w:suppressAutoHyphens/>
        <w:autoSpaceDE w:val="0"/>
        <w:autoSpaceDN w:val="0"/>
        <w:adjustRightInd w:val="0"/>
        <w:spacing w:after="120" w:line="280" w:lineRule="atLeast"/>
        <w:textAlignment w:val="center"/>
      </w:pPr>
      <w:r>
        <w:t xml:space="preserve">The NGOs did deliver sufficient </w:t>
      </w:r>
      <w:r w:rsidR="00072262">
        <w:t>‘</w:t>
      </w:r>
      <w:r>
        <w:t>quick wins</w:t>
      </w:r>
      <w:r w:rsidR="00072262">
        <w:t>’</w:t>
      </w:r>
      <w:r>
        <w:t xml:space="preserve"> and star interventions. It should be noted that at the time of the MTR the NGO portfolio of interventions represented nearly 40% of PRISMA’s outreach. If this outreach had been absent at the time of the MTR, the overall credibility of the program would have been reduced.</w:t>
      </w:r>
    </w:p>
    <w:p w14:paraId="6E2FBD6A" w14:textId="77777777" w:rsidR="00D46FB3" w:rsidRDefault="00D46FB3" w:rsidP="004B220D">
      <w:pPr>
        <w:pStyle w:val="ListParagraph"/>
        <w:numPr>
          <w:ilvl w:val="0"/>
          <w:numId w:val="54"/>
        </w:numPr>
        <w:suppressAutoHyphens/>
        <w:autoSpaceDE w:val="0"/>
        <w:autoSpaceDN w:val="0"/>
        <w:adjustRightInd w:val="0"/>
        <w:spacing w:after="120" w:line="280" w:lineRule="atLeast"/>
        <w:textAlignment w:val="center"/>
      </w:pPr>
      <w:r>
        <w:t>There is not a very significant difference in the value for money calculations between PRISMA’s own interventions and those of the NGOs. The NGOs do have higher overhead costs in implementation but their implementation personnel are considerably less expensive than those of PRISMA.</w:t>
      </w:r>
    </w:p>
    <w:p w14:paraId="388277C8" w14:textId="77777777" w:rsidR="00D46FB3" w:rsidRPr="00DA53F6" w:rsidRDefault="00D46FB3" w:rsidP="00C27645">
      <w:pPr>
        <w:rPr>
          <w:b/>
        </w:rPr>
      </w:pPr>
      <w:r w:rsidRPr="00DA53F6">
        <w:rPr>
          <w:b/>
        </w:rPr>
        <w:t>The key learning points</w:t>
      </w:r>
      <w:r>
        <w:rPr>
          <w:b/>
        </w:rPr>
        <w:t>,</w:t>
      </w:r>
      <w:r w:rsidRPr="00DA53F6">
        <w:rPr>
          <w:b/>
        </w:rPr>
        <w:t xml:space="preserve"> moving forward are:</w:t>
      </w:r>
    </w:p>
    <w:p w14:paraId="0039F945" w14:textId="77777777" w:rsidR="00D46FB3" w:rsidRDefault="00D46FB3" w:rsidP="004B220D">
      <w:pPr>
        <w:pStyle w:val="ListParagraph"/>
        <w:numPr>
          <w:ilvl w:val="0"/>
          <w:numId w:val="55"/>
        </w:numPr>
        <w:suppressAutoHyphens/>
        <w:autoSpaceDE w:val="0"/>
        <w:autoSpaceDN w:val="0"/>
        <w:adjustRightInd w:val="0"/>
        <w:spacing w:after="120" w:line="280" w:lineRule="atLeast"/>
        <w:textAlignment w:val="center"/>
      </w:pPr>
      <w:r>
        <w:t>Not all NGOs have turned out to be effective. It makes sense to be selective in their use; those that are willing to leverage their contacts and networks for more market development interventions and those that are prepared to devote competent personnel to implementation will make excellent partners under specific conditions.</w:t>
      </w:r>
    </w:p>
    <w:p w14:paraId="4B1C75BA" w14:textId="3B043716" w:rsidR="00D46FB3" w:rsidRDefault="00D46FB3" w:rsidP="004B220D">
      <w:pPr>
        <w:pStyle w:val="ListParagraph"/>
        <w:numPr>
          <w:ilvl w:val="0"/>
          <w:numId w:val="55"/>
        </w:numPr>
        <w:suppressAutoHyphens/>
        <w:autoSpaceDE w:val="0"/>
        <w:autoSpaceDN w:val="0"/>
        <w:adjustRightInd w:val="0"/>
        <w:spacing w:after="120" w:line="280" w:lineRule="atLeast"/>
        <w:textAlignment w:val="center"/>
      </w:pPr>
      <w:r>
        <w:t xml:space="preserve">In addition to networks and personnel the other key condition for the continued use of NGOs is that they should </w:t>
      </w:r>
      <w:r w:rsidRPr="003802B6">
        <w:rPr>
          <w:b/>
        </w:rPr>
        <w:t>not</w:t>
      </w:r>
      <w:r>
        <w:t xml:space="preserve"> be expected to conceptualize and implement M4P at </w:t>
      </w:r>
      <w:r w:rsidR="00072262">
        <w:t>’</w:t>
      </w:r>
      <w:r>
        <w:t>arm’s length</w:t>
      </w:r>
      <w:r w:rsidR="00072262">
        <w:t>’</w:t>
      </w:r>
      <w:r>
        <w:t>. Preparing good results chains, credible business models, negotiating with partners, and imagining systemic change and sustainability are rather the core competencies of PRISMA.</w:t>
      </w:r>
    </w:p>
    <w:p w14:paraId="1DDD3A1D" w14:textId="77777777" w:rsidR="00D46FB3" w:rsidRDefault="00D46FB3" w:rsidP="004B220D">
      <w:pPr>
        <w:pStyle w:val="ListParagraph"/>
        <w:numPr>
          <w:ilvl w:val="0"/>
          <w:numId w:val="55"/>
        </w:numPr>
        <w:suppressAutoHyphens/>
        <w:autoSpaceDE w:val="0"/>
        <w:autoSpaceDN w:val="0"/>
        <w:adjustRightInd w:val="0"/>
        <w:spacing w:after="120" w:line="280" w:lineRule="atLeast"/>
        <w:textAlignment w:val="center"/>
      </w:pPr>
      <w:r>
        <w:t>Greater involvement is therefore needed from PRISMA’s Task Leaders and the Heads of Portfolio to provide M4P skills as part of PRISMA’s contributions to the intervention, when preparing the relevant grant agreements. PRISMA will also need to become more engaged in the field, at key milestones of intervention implementation to ensure that modifications to interventions are made at earlier stages of implementation.</w:t>
      </w:r>
    </w:p>
    <w:p w14:paraId="4B0B2EB8" w14:textId="23104566" w:rsidR="00D46FB3" w:rsidRDefault="00D46FB3" w:rsidP="004B220D">
      <w:pPr>
        <w:pStyle w:val="ListParagraph"/>
        <w:numPr>
          <w:ilvl w:val="0"/>
          <w:numId w:val="55"/>
        </w:numPr>
        <w:suppressAutoHyphens/>
        <w:autoSpaceDE w:val="0"/>
        <w:autoSpaceDN w:val="0"/>
        <w:adjustRightInd w:val="0"/>
        <w:spacing w:after="120" w:line="280" w:lineRule="atLeast"/>
        <w:textAlignment w:val="center"/>
      </w:pPr>
      <w:r>
        <w:t>This approach which places more modest expectations on NGOs means that engaging them in the future will no longer need large, lengthy and tailor made capacity building programs, but rather will involve joint intervention concept workshops between the NGO and PRI</w:t>
      </w:r>
      <w:r w:rsidR="001D503D">
        <w:t>SMA to assess their value adding</w:t>
      </w:r>
      <w:r>
        <w:t xml:space="preserve"> local networks and personnel.  </w:t>
      </w:r>
    </w:p>
    <w:p w14:paraId="264DA8CD" w14:textId="070C2DED" w:rsidR="00D46FB3" w:rsidRPr="0072601F" w:rsidRDefault="00D46FB3" w:rsidP="00C27645">
      <w:pPr>
        <w:rPr>
          <w:rFonts w:asciiTheme="majorHAnsi" w:hAnsiTheme="majorHAnsi"/>
        </w:rPr>
      </w:pPr>
      <w:r>
        <w:t>At this point, there is not a high demand from other local or international NGOs to work together with PRISMA. The program is therefore able to focus on improving the working relationships with the current NGOs and consolidate efforts to scale-up successful interventions while exploring opportunities to work on new interventions.</w:t>
      </w:r>
    </w:p>
    <w:p w14:paraId="251E1914" w14:textId="77777777" w:rsidR="003416F9" w:rsidRPr="0072601F" w:rsidRDefault="003416F9">
      <w:pPr>
        <w:rPr>
          <w:rFonts w:asciiTheme="majorHAnsi" w:hAnsiTheme="majorHAnsi"/>
        </w:rPr>
      </w:pPr>
    </w:p>
    <w:sectPr w:rsidR="003416F9" w:rsidRPr="0072601F" w:rsidSect="00C85101">
      <w:pgSz w:w="11906" w:h="16838" w:code="9"/>
      <w:pgMar w:top="1701" w:right="1134" w:bottom="1418" w:left="1134" w:header="425" w:footer="493" w:gutter="0"/>
      <w:cols w:space="397"/>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B34F40" w15:done="0"/>
  <w15:commentEx w15:paraId="329CFC69" w15:done="0"/>
  <w15:commentEx w15:paraId="071CD4AE" w15:done="0"/>
  <w15:commentEx w15:paraId="40183D0F" w15:done="0"/>
  <w15:commentEx w15:paraId="5149E10E" w15:done="0"/>
  <w15:commentEx w15:paraId="2C223378" w15:done="0"/>
  <w15:commentEx w15:paraId="4F8B6B7A" w15:done="0"/>
  <w15:commentEx w15:paraId="39753A50" w15:done="0"/>
  <w15:commentEx w15:paraId="128C3398" w15:done="0"/>
  <w15:commentEx w15:paraId="70239DB5" w15:done="0"/>
  <w15:commentEx w15:paraId="33133F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F24F69" w16cid:durableId="1D74ED00"/>
  <w16cid:commentId w16cid:paraId="03C65D78" w16cid:durableId="1D74ED3B"/>
  <w16cid:commentId w16cid:paraId="011CB256" w16cid:durableId="1D74ED7A"/>
  <w16cid:commentId w16cid:paraId="0D4DC34A" w16cid:durableId="1D74EDB7"/>
  <w16cid:commentId w16cid:paraId="3E519BA8" w16cid:durableId="1D74ECA2"/>
  <w16cid:commentId w16cid:paraId="26EACB2D" w16cid:durableId="1D74ECA3"/>
  <w16cid:commentId w16cid:paraId="288CC457" w16cid:durableId="1D74ECA4"/>
  <w16cid:commentId w16cid:paraId="49E0E1D8" w16cid:durableId="1D752913"/>
  <w16cid:commentId w16cid:paraId="0051B2CE" w16cid:durableId="1D74ECA5"/>
  <w16cid:commentId w16cid:paraId="6616BC7D" w16cid:durableId="1D75291C"/>
  <w16cid:commentId w16cid:paraId="78F4AF14" w16cid:durableId="1D74ECA6"/>
  <w16cid:commentId w16cid:paraId="5DED9D1C" w16cid:durableId="1D74ECA7"/>
  <w16cid:commentId w16cid:paraId="7FB11083" w16cid:durableId="1D74ECA8"/>
  <w16cid:commentId w16cid:paraId="0216BAB1" w16cid:durableId="1D74ECA9"/>
  <w16cid:commentId w16cid:paraId="6AAA3A3C" w16cid:durableId="1D74ECAA"/>
  <w16cid:commentId w16cid:paraId="1F89115A" w16cid:durableId="1D74ECAB"/>
  <w16cid:commentId w16cid:paraId="686B5F58" w16cid:durableId="1D74ECAC"/>
  <w16cid:commentId w16cid:paraId="71AADF17" w16cid:durableId="1D74ECAD"/>
  <w16cid:commentId w16cid:paraId="4F89F6D7" w16cid:durableId="1D74ECAE"/>
  <w16cid:commentId w16cid:paraId="28629CD4" w16cid:durableId="1D751366"/>
  <w16cid:commentId w16cid:paraId="5A6DD4E5" w16cid:durableId="1D74ECAF"/>
  <w16cid:commentId w16cid:paraId="2DDF910E" w16cid:durableId="1D74ECB0"/>
  <w16cid:commentId w16cid:paraId="33F28C82" w16cid:durableId="1D74ECB1"/>
  <w16cid:commentId w16cid:paraId="6D9BB797" w16cid:durableId="1D74ECB2"/>
  <w16cid:commentId w16cid:paraId="4B45EF12" w16cid:durableId="1D74ECB3"/>
  <w16cid:commentId w16cid:paraId="4C89A48C" w16cid:durableId="1D74EC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79D29" w14:textId="77777777" w:rsidR="00243660" w:rsidRDefault="00243660" w:rsidP="00D37B04">
      <w:r>
        <w:separator/>
      </w:r>
    </w:p>
  </w:endnote>
  <w:endnote w:type="continuationSeparator" w:id="0">
    <w:p w14:paraId="0DBF0263" w14:textId="77777777" w:rsidR="00243660" w:rsidRDefault="00243660"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GothicBook">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ranklinGothicBook,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064304"/>
      <w:docPartObj>
        <w:docPartGallery w:val="Page Numbers (Bottom of Page)"/>
        <w:docPartUnique/>
      </w:docPartObj>
    </w:sdtPr>
    <w:sdtEndPr>
      <w:rPr>
        <w:noProof/>
      </w:rPr>
    </w:sdtEndPr>
    <w:sdtContent>
      <w:p w14:paraId="1029A013" w14:textId="278942A6" w:rsidR="00243660" w:rsidRDefault="00243660">
        <w:pPr>
          <w:pStyle w:val="Footer"/>
          <w:jc w:val="right"/>
        </w:pPr>
        <w:r>
          <w:fldChar w:fldCharType="begin"/>
        </w:r>
        <w:r>
          <w:instrText xml:space="preserve"> PAGE   \* MERGEFORMAT </w:instrText>
        </w:r>
        <w:r>
          <w:fldChar w:fldCharType="separate"/>
        </w:r>
        <w:r w:rsidR="00186453">
          <w:rPr>
            <w:noProof/>
          </w:rPr>
          <w:t>42</w:t>
        </w:r>
        <w:r>
          <w:rPr>
            <w:noProof/>
          </w:rPr>
          <w:fldChar w:fldCharType="end"/>
        </w:r>
      </w:p>
    </w:sdtContent>
  </w:sdt>
  <w:p w14:paraId="27EEA9AF" w14:textId="77777777" w:rsidR="00243660" w:rsidRPr="00FC322F" w:rsidRDefault="00243660" w:rsidP="00FC322F">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BC79B" w14:textId="77777777" w:rsidR="00243660" w:rsidRPr="00FC322F" w:rsidRDefault="00243660" w:rsidP="00FC322F">
    <w:pPr>
      <w:pStyle w:val="Footer"/>
      <w:rPr>
        <w:b/>
      </w:rPr>
    </w:pPr>
    <w:r w:rsidRPr="00FC322F">
      <w:rPr>
        <w:b/>
        <w:noProof/>
        <w:lang w:eastAsia="en-AU"/>
      </w:rPr>
      <w:drawing>
        <wp:inline distT="0" distB="0" distL="0" distR="0" wp14:anchorId="718EDAD6" wp14:editId="106E3DCE">
          <wp:extent cx="108000" cy="87480"/>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proofErr w:type="gramStart"/>
    <w:r w:rsidRPr="00FC322F">
      <w:rPr>
        <w:b/>
      </w:rPr>
      <w:t xml:space="preserve">@DFAT  </w:t>
    </w:r>
    <w:r w:rsidRPr="00FC322F">
      <w:rPr>
        <w:rStyle w:val="Green"/>
        <w:b/>
      </w:rPr>
      <w:t>DFAT.GOV.AU</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90F4B" w14:textId="77777777" w:rsidR="00243660" w:rsidRPr="008C5A0E" w:rsidRDefault="00243660" w:rsidP="00D37B04">
      <w:pPr>
        <w:pStyle w:val="Footer"/>
      </w:pPr>
    </w:p>
  </w:footnote>
  <w:footnote w:type="continuationSeparator" w:id="0">
    <w:p w14:paraId="11157ED6" w14:textId="77777777" w:rsidR="00243660" w:rsidRDefault="00243660" w:rsidP="00D37B04">
      <w:r>
        <w:continuationSeparator/>
      </w:r>
    </w:p>
  </w:footnote>
  <w:footnote w:id="1">
    <w:p w14:paraId="5B44EDAB" w14:textId="77777777" w:rsidR="00243660" w:rsidRDefault="00243660" w:rsidP="00417375">
      <w:pPr>
        <w:pStyle w:val="FootnoteText"/>
      </w:pPr>
      <w:r>
        <w:rPr>
          <w:rStyle w:val="FootnoteReference"/>
        </w:rPr>
        <w:footnoteRef/>
      </w:r>
      <w:r>
        <w:t xml:space="preserve"> The current RPJMN will expire in 2018. The PRISMA-2 program will be reviewed against the next RPJMN to ensure focus areas remain relevant. </w:t>
      </w:r>
    </w:p>
  </w:footnote>
  <w:footnote w:id="2">
    <w:p w14:paraId="7A5FC2AA" w14:textId="1323A1E3" w:rsidR="00243660" w:rsidRPr="00B1788C" w:rsidRDefault="00243660">
      <w:pPr>
        <w:pStyle w:val="FootnoteText"/>
        <w:rPr>
          <w:lang w:val="en-US"/>
        </w:rPr>
      </w:pPr>
      <w:r>
        <w:rPr>
          <w:rStyle w:val="FootnoteReference"/>
        </w:rPr>
        <w:footnoteRef/>
      </w:r>
      <w:r>
        <w:t xml:space="preserve"> </w:t>
      </w:r>
      <w:r>
        <w:rPr>
          <w:lang w:val="en-US"/>
        </w:rPr>
        <w:t>A typical rural household may contain 6 or more people, but on average 2.7 of them will be farmers</w:t>
      </w:r>
    </w:p>
  </w:footnote>
  <w:footnote w:id="3">
    <w:p w14:paraId="7CB31927" w14:textId="19AEE667" w:rsidR="00243660" w:rsidRDefault="00243660">
      <w:pPr>
        <w:pStyle w:val="FootnoteText"/>
      </w:pPr>
      <w:r>
        <w:rPr>
          <w:rStyle w:val="FootnoteReference"/>
        </w:rPr>
        <w:footnoteRef/>
      </w:r>
      <w:r>
        <w:t xml:space="preserve"> The Indonesian National Statistics Agency figures, based on March 2017 </w:t>
      </w:r>
      <w:proofErr w:type="spellStart"/>
      <w:r>
        <w:t>Susenas</w:t>
      </w:r>
      <w:proofErr w:type="spellEnd"/>
      <w:r>
        <w:t xml:space="preserve"> data, which sets the national poverty line at approximately IDR12</w:t>
      </w:r>
      <w:proofErr w:type="gramStart"/>
      <w:r>
        <w:t>,500</w:t>
      </w:r>
      <w:proofErr w:type="gramEnd"/>
      <w:r>
        <w:t xml:space="preserve"> per person per day (or AUD1.25). </w:t>
      </w:r>
      <w:r>
        <w:rPr>
          <w:rFonts w:cstheme="minorHAnsi"/>
        </w:rPr>
        <w:t xml:space="preserve">If the World Bank poverty benchmark of USD1.90 per day is applied, then around 16% of the Indonesian population (39 million people) remain poor and approximately 40% of the entire population (103 million people) are considered near poor, with incomes hovering marginally above the national poverty line. See </w:t>
      </w:r>
      <w:r>
        <w:t>World Bank (2016) World Development Indicators [</w:t>
      </w:r>
      <w:r w:rsidRPr="009C774A">
        <w:t>SI.POV.DDAY</w:t>
      </w:r>
      <w:r>
        <w:t xml:space="preserve">] accessed from </w:t>
      </w:r>
      <w:hyperlink r:id="rId1" w:history="1">
        <w:r w:rsidRPr="002B707E">
          <w:rPr>
            <w:rStyle w:val="Hyperlink"/>
          </w:rPr>
          <w:t>http://databank.worldbank.org/data/reports.aspx?source=world-development-indicators</w:t>
        </w:r>
      </w:hyperlink>
      <w:r>
        <w:t xml:space="preserve">, accessed May 9, 2017; World Bank (2017) Country Overview Indonesia, </w:t>
      </w:r>
      <w:hyperlink r:id="rId2" w:history="1">
        <w:r w:rsidRPr="00F73CBF">
          <w:rPr>
            <w:rStyle w:val="Hyperlink"/>
          </w:rPr>
          <w:t>http://www.worldbank.org/en/country/indonesia/overview</w:t>
        </w:r>
      </w:hyperlink>
      <w:r>
        <w:t>, accessed 8 May 2017.</w:t>
      </w:r>
    </w:p>
  </w:footnote>
  <w:footnote w:id="4">
    <w:p w14:paraId="2FD8029A" w14:textId="77777777" w:rsidR="00243660" w:rsidRDefault="00243660" w:rsidP="00820236">
      <w:pPr>
        <w:pStyle w:val="FootnoteText"/>
      </w:pPr>
      <w:r>
        <w:rPr>
          <w:rStyle w:val="FootnoteReference"/>
        </w:rPr>
        <w:footnoteRef/>
      </w:r>
      <w:r>
        <w:t xml:space="preserve"> World Bank (2015) The Double Burden of Malnutrition in Indonesia, </w:t>
      </w:r>
      <w:hyperlink r:id="rId3" w:history="1">
        <w:r w:rsidRPr="00AF00AD">
          <w:rPr>
            <w:rStyle w:val="Hyperlink"/>
          </w:rPr>
          <w:t>http://www.worldbank.org/en/news/feature/2015/04/23/the-double-burden-of-malnutrition-in-indonesia</w:t>
        </w:r>
      </w:hyperlink>
      <w:r>
        <w:t xml:space="preserve">, Accessed July 3, 2017. </w:t>
      </w:r>
    </w:p>
  </w:footnote>
  <w:footnote w:id="5">
    <w:p w14:paraId="0CE88D57" w14:textId="77777777" w:rsidR="00243660" w:rsidRDefault="00243660" w:rsidP="00820236">
      <w:pPr>
        <w:pStyle w:val="FootnoteText"/>
      </w:pPr>
      <w:r>
        <w:rPr>
          <w:rStyle w:val="FootnoteReference"/>
        </w:rPr>
        <w:footnoteRef/>
      </w:r>
      <w:r>
        <w:t xml:space="preserve"> World Bank, 2016, </w:t>
      </w:r>
      <w:hyperlink r:id="rId4" w:history="1">
        <w:r w:rsidRPr="00AF00AD">
          <w:rPr>
            <w:rStyle w:val="Hyperlink"/>
          </w:rPr>
          <w:t>http://data.worldbank.org/indicator/SL.UEM.TOTL.ZS?locations=ID</w:t>
        </w:r>
      </w:hyperlink>
      <w:r>
        <w:t xml:space="preserve">, accessed July 3, 2017. </w:t>
      </w:r>
    </w:p>
  </w:footnote>
  <w:footnote w:id="6">
    <w:p w14:paraId="7C60234C" w14:textId="1F46AC40" w:rsidR="00243660" w:rsidRDefault="00243660">
      <w:pPr>
        <w:pStyle w:val="FootnoteText"/>
      </w:pPr>
      <w:r>
        <w:rPr>
          <w:rStyle w:val="FootnoteReference"/>
        </w:rPr>
        <w:footnoteRef/>
      </w:r>
      <w:r>
        <w:t xml:space="preserve"> The Gini coefficient increased sharply from 30 in 2000 to 41 in 2011, where it stagnated until 2015. Over the past two years, the Gini has fallen to 39.3 (considered to be very high and falling short of Indonesia’s RPJMN target of 36 by 2019).</w:t>
      </w:r>
    </w:p>
  </w:footnote>
  <w:footnote w:id="7">
    <w:p w14:paraId="5082E958" w14:textId="77777777" w:rsidR="00243660" w:rsidRDefault="00243660" w:rsidP="00820236">
      <w:pPr>
        <w:pStyle w:val="FootnoteText"/>
      </w:pPr>
      <w:r>
        <w:rPr>
          <w:rStyle w:val="FootnoteReference"/>
        </w:rPr>
        <w:footnoteRef/>
      </w:r>
      <w:r>
        <w:t xml:space="preserve"> World Bank (2016), ), Indonesia’s Rising Divide, </w:t>
      </w:r>
      <w:hyperlink r:id="rId5" w:history="1">
        <w:r w:rsidRPr="00F057B7">
          <w:rPr>
            <w:rStyle w:val="Hyperlink"/>
          </w:rPr>
          <w:t>http://documents.worldbank.org/curated/en/267671467991932516/pdf/106070-WP-PUBLIC-Indonesias-Rising-Divide-English.pdf</w:t>
        </w:r>
      </w:hyperlink>
      <w:r>
        <w:t>, Accessed 11 May 2017</w:t>
      </w:r>
    </w:p>
  </w:footnote>
  <w:footnote w:id="8">
    <w:p w14:paraId="493EAB49" w14:textId="77777777" w:rsidR="00243660" w:rsidRDefault="00243660" w:rsidP="00820236">
      <w:pPr>
        <w:pStyle w:val="FootnoteText"/>
      </w:pPr>
      <w:r>
        <w:rPr>
          <w:rStyle w:val="FootnoteReference"/>
        </w:rPr>
        <w:footnoteRef/>
      </w:r>
      <w:r>
        <w:t xml:space="preserve"> World Bank (2016), Indonesia’s Rising Divide, </w:t>
      </w:r>
      <w:hyperlink r:id="rId6" w:history="1">
        <w:r w:rsidRPr="00F057B7">
          <w:rPr>
            <w:rStyle w:val="Hyperlink"/>
          </w:rPr>
          <w:t>http://documents.worldbank.org/curated/en/267671467991932516/pdf/106070-WP-PUBLIC-Indonesias-Rising-Divide-English.pdf</w:t>
        </w:r>
      </w:hyperlink>
      <w:r>
        <w:t>, Accessed 11 May 2017</w:t>
      </w:r>
    </w:p>
  </w:footnote>
  <w:footnote w:id="9">
    <w:p w14:paraId="043DF2F4" w14:textId="77777777" w:rsidR="00243660" w:rsidRPr="00372E14" w:rsidRDefault="00243660" w:rsidP="00820236">
      <w:pPr>
        <w:pStyle w:val="FootnoteText"/>
        <w:rPr>
          <w:lang w:val="en-US"/>
        </w:rPr>
      </w:pPr>
      <w:r>
        <w:rPr>
          <w:rStyle w:val="FootnoteReference"/>
        </w:rPr>
        <w:footnoteRef/>
      </w:r>
      <w:r>
        <w:t xml:space="preserve"> </w:t>
      </w:r>
      <w:r w:rsidRPr="00372E14">
        <w:t>http://www.indonesia-investments.com/finance/macroeconomic-indicators/poverty/item301?</w:t>
      </w:r>
    </w:p>
  </w:footnote>
  <w:footnote w:id="10">
    <w:p w14:paraId="579E2F8A" w14:textId="77777777" w:rsidR="00243660" w:rsidRDefault="00243660" w:rsidP="00820236">
      <w:pPr>
        <w:pStyle w:val="FootnoteText"/>
      </w:pPr>
      <w:r>
        <w:rPr>
          <w:rStyle w:val="FootnoteReference"/>
        </w:rPr>
        <w:footnoteRef/>
      </w:r>
      <w:r>
        <w:t xml:space="preserve"> Indonesia has increased its share in total agricultural value added (13.9% in 2015), however this is largely due to a general global decline in agriculture value added and represents general stagnation over the past four years (14.3 in 2010; 13.7 in 2011). </w:t>
      </w:r>
      <w:proofErr w:type="gramStart"/>
      <w:r>
        <w:t>OECD Agriculture Policy Monitoring and Evaluation reports 2010 – 17.</w:t>
      </w:r>
      <w:proofErr w:type="gramEnd"/>
    </w:p>
  </w:footnote>
  <w:footnote w:id="11">
    <w:p w14:paraId="6A92A41C" w14:textId="77777777" w:rsidR="00243660" w:rsidRPr="009C3BBE" w:rsidRDefault="00243660" w:rsidP="00820236">
      <w:pPr>
        <w:pStyle w:val="FootnoteText"/>
      </w:pPr>
      <w:r>
        <w:rPr>
          <w:rStyle w:val="FootnoteReference"/>
        </w:rPr>
        <w:footnoteRef/>
      </w:r>
      <w:r>
        <w:t xml:space="preserve"> </w:t>
      </w:r>
      <w:r w:rsidRPr="009C3BBE">
        <w:t xml:space="preserve"> World Bank (2016) Indonesia Economic Quarterly (June 2016).  </w:t>
      </w:r>
      <w:proofErr w:type="gramStart"/>
      <w:r w:rsidRPr="009C3BBE">
        <w:t>World Bank, Jakarta, Indonesia.</w:t>
      </w:r>
      <w:proofErr w:type="gramEnd"/>
      <w:r w:rsidRPr="009C3BBE">
        <w:t xml:space="preserve"> [p40] as well as ILO and ADB (2014) ASEAN Community 2015: Managing integration for better jobs and shared prosperity. </w:t>
      </w:r>
      <w:proofErr w:type="gramStart"/>
      <w:r w:rsidRPr="009C3BBE">
        <w:t>International Labour Organisation, Bangkok, Thailand and Asian Development Bank, Manila, Philippines.</w:t>
      </w:r>
      <w:proofErr w:type="gramEnd"/>
      <w:r w:rsidRPr="009C3BBE">
        <w:t xml:space="preserve"> [Table F1-6, p125]</w:t>
      </w:r>
    </w:p>
  </w:footnote>
  <w:footnote w:id="12">
    <w:p w14:paraId="09D46872" w14:textId="77777777" w:rsidR="00243660" w:rsidRDefault="00243660" w:rsidP="006B55D9">
      <w:pPr>
        <w:pStyle w:val="FootnoteText"/>
      </w:pPr>
      <w:r>
        <w:rPr>
          <w:rStyle w:val="FootnoteReference"/>
        </w:rPr>
        <w:footnoteRef/>
      </w:r>
      <w:r>
        <w:t xml:space="preserve"> World Bank (2015), Female Employment in Agriculture (</w:t>
      </w:r>
      <w:hyperlink r:id="rId7" w:history="1">
        <w:r w:rsidRPr="002B3FD7">
          <w:rPr>
            <w:rStyle w:val="Hyperlink"/>
            <w:rFonts w:cstheme="minorBidi"/>
          </w:rPr>
          <w:t>https://data.worldbank.org/indicator/SL.AGR.EMPL.FE.ZS?locations=ID&amp;view=chart</w:t>
        </w:r>
      </w:hyperlink>
      <w:r>
        <w:t xml:space="preserve">) </w:t>
      </w:r>
    </w:p>
  </w:footnote>
  <w:footnote w:id="13">
    <w:p w14:paraId="16AEC45B" w14:textId="77777777" w:rsidR="00243660" w:rsidRPr="0075763D" w:rsidRDefault="00243660" w:rsidP="00820236">
      <w:pPr>
        <w:pStyle w:val="FootnoteText"/>
      </w:pPr>
      <w:r>
        <w:rPr>
          <w:rStyle w:val="FootnoteReference"/>
        </w:rPr>
        <w:footnoteRef/>
      </w:r>
      <w:r>
        <w:t xml:space="preserve"> Rajah, A. and McCullough, N., Does agriculture still have an important role to play in reducing poverty in Indonesia, AusAID 2012 </w:t>
      </w:r>
    </w:p>
  </w:footnote>
  <w:footnote w:id="14">
    <w:p w14:paraId="49AF860A" w14:textId="77777777" w:rsidR="00243660" w:rsidRDefault="00243660" w:rsidP="00820236">
      <w:pPr>
        <w:pStyle w:val="FootnoteText"/>
      </w:pPr>
      <w:r>
        <w:rPr>
          <w:rStyle w:val="FootnoteReference"/>
        </w:rPr>
        <w:footnoteRef/>
      </w:r>
      <w:r>
        <w:t xml:space="preserve"> </w:t>
      </w:r>
      <w:proofErr w:type="gramStart"/>
      <w:r w:rsidRPr="006D5846">
        <w:t>World Bank (2008) World Development Report 2008.</w:t>
      </w:r>
      <w:proofErr w:type="gramEnd"/>
      <w:r w:rsidRPr="006D5846">
        <w:t xml:space="preserve"> </w:t>
      </w:r>
      <w:proofErr w:type="gramStart"/>
      <w:r w:rsidRPr="006D5846">
        <w:t xml:space="preserve">World </w:t>
      </w:r>
      <w:r>
        <w:t>Bank, Washington DC, USA.</w:t>
      </w:r>
      <w:proofErr w:type="gramEnd"/>
      <w:r>
        <w:t xml:space="preserve"> [p.6]</w:t>
      </w:r>
    </w:p>
  </w:footnote>
  <w:footnote w:id="15">
    <w:p w14:paraId="6DB60333" w14:textId="77777777" w:rsidR="00243660" w:rsidRDefault="00243660" w:rsidP="00820236">
      <w:pPr>
        <w:pStyle w:val="FootnoteText"/>
      </w:pPr>
      <w:r>
        <w:rPr>
          <w:rStyle w:val="FootnoteReference"/>
        </w:rPr>
        <w:footnoteRef/>
      </w:r>
      <w:r>
        <w:t xml:space="preserve"> </w:t>
      </w:r>
      <w:r w:rsidRPr="00714754">
        <w:t>ADB (2006), ‘Indonesia: Strategic Vision for Agriculture and Rural Development’, Manila, Philippines</w:t>
      </w:r>
    </w:p>
  </w:footnote>
  <w:footnote w:id="16">
    <w:p w14:paraId="7AA5A5FF" w14:textId="77777777" w:rsidR="00243660" w:rsidRDefault="00243660" w:rsidP="00820236">
      <w:pPr>
        <w:pStyle w:val="FootnoteText"/>
        <w:jc w:val="both"/>
      </w:pPr>
      <w:r>
        <w:rPr>
          <w:rStyle w:val="FootnoteReference"/>
        </w:rPr>
        <w:footnoteRef/>
      </w:r>
      <w:r>
        <w:t xml:space="preserve"> </w:t>
      </w:r>
      <w:proofErr w:type="spellStart"/>
      <w:r>
        <w:t>Surayadi</w:t>
      </w:r>
      <w:proofErr w:type="spellEnd"/>
      <w:r>
        <w:t xml:space="preserve">, A. </w:t>
      </w:r>
      <w:proofErr w:type="spellStart"/>
      <w:r>
        <w:t>Suryadarma</w:t>
      </w:r>
      <w:proofErr w:type="spellEnd"/>
      <w:r>
        <w:t xml:space="preserve">, D. and </w:t>
      </w:r>
      <w:proofErr w:type="spellStart"/>
      <w:r>
        <w:t>Sumarto</w:t>
      </w:r>
      <w:proofErr w:type="spellEnd"/>
      <w:r>
        <w:t xml:space="preserve">, S. (2009) The effects of location and sectoral components of economic growth on poverty: Evidence from Indonesia: Journal of Development Economics; and Cervantes-Godoy, D. </w:t>
      </w:r>
      <w:proofErr w:type="spellStart"/>
      <w:r>
        <w:t>Dewbre</w:t>
      </w:r>
      <w:proofErr w:type="spellEnd"/>
      <w:r>
        <w:t>, J. (2010) Economic importance of agriculture for sustainable development and poverty reduction, OECD Working Party on Agricultural Policy, Paris</w:t>
      </w:r>
    </w:p>
  </w:footnote>
  <w:footnote w:id="17">
    <w:p w14:paraId="3FDE2C2F" w14:textId="77777777" w:rsidR="00243660" w:rsidRDefault="00243660" w:rsidP="00820236">
      <w:pPr>
        <w:pStyle w:val="FootnoteText"/>
        <w:rPr>
          <w:lang w:val="en-US"/>
        </w:rPr>
      </w:pPr>
      <w:r>
        <w:rPr>
          <w:rStyle w:val="FootnoteReference"/>
        </w:rPr>
        <w:footnoteRef/>
      </w:r>
      <w:r>
        <w:t xml:space="preserve"> </w:t>
      </w:r>
      <w:r>
        <w:rPr>
          <w:lang w:val="en-US"/>
        </w:rPr>
        <w:t>In 2010 the growth rate in agriculture was 2.9% in 2011, 3.0%, in 2012, 4%, in 2013 3.4% and in 2014 2.4%. See</w:t>
      </w:r>
      <w:proofErr w:type="gramStart"/>
      <w:r>
        <w:rPr>
          <w:lang w:val="en-US"/>
        </w:rPr>
        <w:t>..</w:t>
      </w:r>
      <w:proofErr w:type="gramEnd"/>
      <w:r>
        <w:rPr>
          <w:lang w:val="en-US"/>
        </w:rPr>
        <w:t>https://www.indonesia-investments.com/culture/economy/general-economic-outline/agriculture/item378?</w:t>
      </w:r>
    </w:p>
  </w:footnote>
  <w:footnote w:id="18">
    <w:p w14:paraId="4951ED5A" w14:textId="77777777" w:rsidR="00243660" w:rsidRDefault="00243660" w:rsidP="00820236">
      <w:pPr>
        <w:pStyle w:val="FootnoteText"/>
        <w:rPr>
          <w:lang w:val="en-GB"/>
        </w:rPr>
      </w:pPr>
      <w:r>
        <w:rPr>
          <w:rStyle w:val="FootnoteReference"/>
        </w:rPr>
        <w:footnoteRef/>
      </w:r>
      <w:r>
        <w:t xml:space="preserve"> </w:t>
      </w:r>
      <w:r>
        <w:rPr>
          <w:lang w:val="en-GB"/>
        </w:rPr>
        <w:t>McKinsey Global Institute (2012) The Archipelago Economy: Unleashing Indonesia’s Potential</w:t>
      </w:r>
    </w:p>
  </w:footnote>
  <w:footnote w:id="19">
    <w:p w14:paraId="670B6D36" w14:textId="77777777" w:rsidR="00243660" w:rsidRDefault="00243660" w:rsidP="00820236">
      <w:pPr>
        <w:pStyle w:val="FootnoteText"/>
      </w:pPr>
      <w:r>
        <w:rPr>
          <w:rStyle w:val="FootnoteReference"/>
        </w:rPr>
        <w:footnoteRef/>
      </w:r>
      <w:r>
        <w:t xml:space="preserve"> </w:t>
      </w:r>
      <w:proofErr w:type="gramStart"/>
      <w:r w:rsidRPr="00B11F41">
        <w:rPr>
          <w:rFonts w:cstheme="minorHAnsi"/>
        </w:rPr>
        <w:t>Anderson, K. (2013) Indonesia’s Food Law of 2012.</w:t>
      </w:r>
      <w:proofErr w:type="gramEnd"/>
      <w:r w:rsidRPr="00B11F41">
        <w:rPr>
          <w:rFonts w:cstheme="minorHAnsi"/>
        </w:rPr>
        <w:t xml:space="preserve"> Report to USAID.  United States Agency for International Development, Jakarta, Indonesia</w:t>
      </w:r>
    </w:p>
  </w:footnote>
  <w:footnote w:id="20">
    <w:p w14:paraId="3C699073" w14:textId="77777777" w:rsidR="00243660" w:rsidRPr="00AD4CEF" w:rsidRDefault="00243660" w:rsidP="00820236">
      <w:pPr>
        <w:pStyle w:val="FootnoteText"/>
        <w:ind w:left="0" w:firstLine="0"/>
      </w:pPr>
      <w:r>
        <w:rPr>
          <w:rStyle w:val="FootnoteReference"/>
        </w:rPr>
        <w:footnoteRef/>
      </w:r>
      <w:r>
        <w:rPr>
          <w:rFonts w:cstheme="minorHAnsi"/>
        </w:rPr>
        <w:t xml:space="preserve"> </w:t>
      </w:r>
      <w:proofErr w:type="gramStart"/>
      <w:r w:rsidRPr="00B11F41">
        <w:rPr>
          <w:rFonts w:cstheme="minorHAnsi"/>
        </w:rPr>
        <w:t>Anderson, K. (2013) Indonesia’s Food Law of 2012.</w:t>
      </w:r>
      <w:proofErr w:type="gramEnd"/>
      <w:r w:rsidRPr="00B11F41">
        <w:rPr>
          <w:rFonts w:cstheme="minorHAnsi"/>
        </w:rPr>
        <w:t xml:space="preserve"> Report to USAID.  </w:t>
      </w:r>
      <w:proofErr w:type="gramStart"/>
      <w:r w:rsidRPr="00B11F41">
        <w:rPr>
          <w:rFonts w:cstheme="minorHAnsi"/>
        </w:rPr>
        <w:t>United States Agency for International Development, Jakarta, Indonesia.</w:t>
      </w:r>
      <w:proofErr w:type="gramEnd"/>
    </w:p>
  </w:footnote>
  <w:footnote w:id="21">
    <w:p w14:paraId="38D771D5" w14:textId="77777777" w:rsidR="00243660" w:rsidRPr="0075763D" w:rsidRDefault="00243660" w:rsidP="00820236">
      <w:pPr>
        <w:pStyle w:val="FootnoteText"/>
        <w:rPr>
          <w:lang w:val="en-US"/>
        </w:rPr>
      </w:pPr>
      <w:r>
        <w:rPr>
          <w:rStyle w:val="FootnoteReference"/>
        </w:rPr>
        <w:footnoteRef/>
      </w:r>
      <w:r>
        <w:t xml:space="preserve"> </w:t>
      </w:r>
      <w:r w:rsidRPr="00627BDE">
        <w:t>https://www.amcham.or.id/fe/4090-indonesia-s-food-law-backfires</w:t>
      </w:r>
    </w:p>
  </w:footnote>
  <w:footnote w:id="22">
    <w:p w14:paraId="3C36BAFE" w14:textId="77777777" w:rsidR="00243660" w:rsidRDefault="00243660" w:rsidP="00820236">
      <w:pPr>
        <w:pStyle w:val="FootnoteText"/>
      </w:pPr>
      <w:r>
        <w:rPr>
          <w:rStyle w:val="FootnoteReference"/>
        </w:rPr>
        <w:footnoteRef/>
      </w:r>
      <w:r>
        <w:t xml:space="preserve"> </w:t>
      </w:r>
      <w:r>
        <w:rPr>
          <w:lang w:val="en-US"/>
        </w:rPr>
        <w:t xml:space="preserve">World Bank (October 2016), </w:t>
      </w:r>
      <w:r>
        <w:rPr>
          <w:i/>
          <w:lang w:val="en-US"/>
        </w:rPr>
        <w:t xml:space="preserve">Indonesia Economic Quarterly: Pressures Easing. </w:t>
      </w:r>
      <w:hyperlink r:id="rId8" w:history="1">
        <w:r w:rsidRPr="004B5C08">
          <w:rPr>
            <w:rStyle w:val="Hyperlink"/>
            <w:lang w:val="en-US"/>
          </w:rPr>
          <w:t>http://pubdocs.worldbank.org/en/202891477357946101/IEQ-OCT-2016-ENG-web.pdf</w:t>
        </w:r>
      </w:hyperlink>
      <w:r>
        <w:rPr>
          <w:i/>
          <w:lang w:val="en-US"/>
        </w:rPr>
        <w:t xml:space="preserve">, </w:t>
      </w:r>
      <w:r w:rsidRPr="007B784F">
        <w:rPr>
          <w:lang w:val="en-US"/>
        </w:rPr>
        <w:t>Accessed 27 March, 2017</w:t>
      </w:r>
    </w:p>
  </w:footnote>
  <w:footnote w:id="23">
    <w:p w14:paraId="1AB0681C" w14:textId="77777777" w:rsidR="00243660" w:rsidRDefault="00243660" w:rsidP="00820236">
      <w:pPr>
        <w:pStyle w:val="FootnoteText"/>
      </w:pPr>
      <w:r>
        <w:rPr>
          <w:rStyle w:val="FootnoteReference"/>
        </w:rPr>
        <w:footnoteRef/>
      </w:r>
      <w:r>
        <w:t xml:space="preserve"> </w:t>
      </w:r>
      <w:proofErr w:type="spellStart"/>
      <w:proofErr w:type="gramStart"/>
      <w:r w:rsidRPr="00452B4F">
        <w:t>Armas</w:t>
      </w:r>
      <w:proofErr w:type="spellEnd"/>
      <w:r w:rsidRPr="00452B4F">
        <w:t>, E. et al (2012) Agriculture Public Spending and Growth in Indonesia; World Bank Policy Research Working Paper 5977.</w:t>
      </w:r>
      <w:proofErr w:type="gramEnd"/>
      <w:r>
        <w:t xml:space="preserve"> </w:t>
      </w:r>
      <w:r>
        <w:rPr>
          <w:lang w:val="en-GB"/>
        </w:rPr>
        <w:t>National spending on agriculture includes central government spending on irrigation, the budget of the Ministry of Agriculture, sub-national government spending on agriculture and irrigation, and agricultural subsidies.]</w:t>
      </w:r>
    </w:p>
  </w:footnote>
  <w:footnote w:id="24">
    <w:p w14:paraId="7C96B8BC" w14:textId="77777777" w:rsidR="00243660" w:rsidRPr="00B43F07" w:rsidRDefault="00243660" w:rsidP="00820236">
      <w:pPr>
        <w:pStyle w:val="FootnoteText"/>
      </w:pPr>
      <w:r w:rsidRPr="00B43F07">
        <w:rPr>
          <w:rStyle w:val="FootnoteReference"/>
        </w:rPr>
        <w:footnoteRef/>
      </w:r>
      <w:r w:rsidRPr="00B43F07">
        <w:t xml:space="preserve"> </w:t>
      </w:r>
      <w:r w:rsidRPr="00B43F07">
        <w:rPr>
          <w:lang w:val="en-GB"/>
        </w:rPr>
        <w:t xml:space="preserve"> </w:t>
      </w:r>
      <w:proofErr w:type="gramStart"/>
      <w:r w:rsidRPr="00B43F07">
        <w:rPr>
          <w:lang w:val="en-GB"/>
        </w:rPr>
        <w:t>IMF (2017) Article IV Consultation Minutes and Report – Indonesia.</w:t>
      </w:r>
      <w:proofErr w:type="gramEnd"/>
      <w:r w:rsidRPr="00B43F07">
        <w:rPr>
          <w:lang w:val="en-GB"/>
        </w:rPr>
        <w:t xml:space="preserve">  International Monetary Fund, Washington, </w:t>
      </w:r>
      <w:proofErr w:type="gramStart"/>
      <w:r w:rsidRPr="00B43F07">
        <w:rPr>
          <w:lang w:val="en-GB"/>
        </w:rPr>
        <w:t>DC.,</w:t>
      </w:r>
      <w:proofErr w:type="gramEnd"/>
      <w:r w:rsidRPr="00B43F07">
        <w:rPr>
          <w:lang w:val="en-GB"/>
        </w:rPr>
        <w:t xml:space="preserve"> SA. </w:t>
      </w:r>
      <w:proofErr w:type="gramStart"/>
      <w:r w:rsidRPr="00B43F07">
        <w:rPr>
          <w:lang w:val="en-GB"/>
        </w:rPr>
        <w:t>[Tables 5 and 5, pp43, 44].</w:t>
      </w:r>
      <w:proofErr w:type="gramEnd"/>
    </w:p>
  </w:footnote>
  <w:footnote w:id="25">
    <w:p w14:paraId="3D39F7D6" w14:textId="77777777" w:rsidR="00243660" w:rsidRPr="00062B03" w:rsidRDefault="00243660" w:rsidP="00820236">
      <w:pPr>
        <w:pStyle w:val="FootnoteText"/>
      </w:pPr>
      <w:r w:rsidRPr="00062B03">
        <w:rPr>
          <w:rStyle w:val="FootnoteReference"/>
        </w:rPr>
        <w:footnoteRef/>
      </w:r>
      <w:r w:rsidRPr="00062B03">
        <w:t xml:space="preserve"> </w:t>
      </w:r>
      <w:r w:rsidRPr="00062B03">
        <w:rPr>
          <w:lang w:val="en-GB"/>
        </w:rPr>
        <w:t xml:space="preserve">OECD (2017) Agricultural Policy Monitoring and Evaluation 2017.  </w:t>
      </w:r>
      <w:proofErr w:type="gramStart"/>
      <w:r w:rsidRPr="00062B03">
        <w:rPr>
          <w:lang w:val="en-GB"/>
        </w:rPr>
        <w:t>Organisation for Economic Cooperation and Development, Paris, France.</w:t>
      </w:r>
      <w:proofErr w:type="gramEnd"/>
      <w:r w:rsidRPr="00062B03">
        <w:rPr>
          <w:lang w:val="en-GB"/>
        </w:rPr>
        <w:t xml:space="preserve"> [p110]</w:t>
      </w:r>
    </w:p>
  </w:footnote>
  <w:footnote w:id="26">
    <w:p w14:paraId="73E5AA06" w14:textId="77777777" w:rsidR="00243660" w:rsidRDefault="00243660" w:rsidP="00820236">
      <w:pPr>
        <w:pStyle w:val="FootnoteText"/>
      </w:pPr>
      <w:r>
        <w:rPr>
          <w:rStyle w:val="FootnoteReference"/>
        </w:rPr>
        <w:footnoteRef/>
      </w:r>
      <w:r>
        <w:t xml:space="preserve"> See for example: </w:t>
      </w:r>
      <w:proofErr w:type="spellStart"/>
      <w:r w:rsidRPr="00854456">
        <w:t>Armas</w:t>
      </w:r>
      <w:proofErr w:type="spellEnd"/>
      <w:r w:rsidRPr="00854456">
        <w:t>, E. (2012) Agriculture Public Spending and Growth in Indonesia; World Bank Policy Research Working Paper 5977</w:t>
      </w:r>
      <w:r>
        <w:t xml:space="preserve">; </w:t>
      </w:r>
      <w:r w:rsidRPr="00854456">
        <w:t>FAO (undated) Corporate Private Sector Investment in Agriculture in Indonesia</w:t>
      </w:r>
      <w:r>
        <w:t xml:space="preserve">; </w:t>
      </w:r>
      <w:r w:rsidRPr="00854456">
        <w:t>Tabor, S (2015) Indonesia: Constraints to Economic Growth; ADB, Papers on Indonesia, No 10.</w:t>
      </w:r>
    </w:p>
  </w:footnote>
  <w:footnote w:id="27">
    <w:p w14:paraId="4CB8ADDA" w14:textId="77777777" w:rsidR="00243660" w:rsidRDefault="00243660" w:rsidP="00820236">
      <w:pPr>
        <w:pStyle w:val="FootnoteText"/>
      </w:pPr>
      <w:r>
        <w:rPr>
          <w:rStyle w:val="FootnoteReference"/>
        </w:rPr>
        <w:footnoteRef/>
      </w:r>
      <w:r>
        <w:t xml:space="preserve"> Domestic and Foreign Direct Investment Realisation (2013-2016); </w:t>
      </w:r>
      <w:proofErr w:type="gramStart"/>
      <w:r>
        <w:t>BKPM  By</w:t>
      </w:r>
      <w:proofErr w:type="gramEnd"/>
      <w:r>
        <w:t xml:space="preserve"> way of contrast, albeit not like-for-like comparison, in 2008 FDI in Thailand’s agriculture and food processing industries was approximately USD13bn.</w:t>
      </w:r>
    </w:p>
  </w:footnote>
  <w:footnote w:id="28">
    <w:p w14:paraId="08B372C9" w14:textId="77777777" w:rsidR="00243660" w:rsidRPr="00FE12D0" w:rsidRDefault="00243660" w:rsidP="004E7445">
      <w:pPr>
        <w:pStyle w:val="FootnoteText"/>
        <w:rPr>
          <w:lang w:val="en-US"/>
        </w:rPr>
      </w:pPr>
      <w:r>
        <w:rPr>
          <w:rStyle w:val="FootnoteReference"/>
        </w:rPr>
        <w:footnoteRef/>
      </w:r>
      <w:r>
        <w:t xml:space="preserve"> </w:t>
      </w:r>
      <w:r w:rsidRPr="007B784F">
        <w:rPr>
          <w:lang w:val="en-US"/>
        </w:rPr>
        <w:t xml:space="preserve">Government of Indonesia (2015) Strategic Plan for Agriculture (2015-19). </w:t>
      </w:r>
      <w:proofErr w:type="gramStart"/>
      <w:r w:rsidRPr="007B784F">
        <w:rPr>
          <w:lang w:val="en-US"/>
        </w:rPr>
        <w:t>Ministry of Agriculture, Jakarta, Indonesia.</w:t>
      </w:r>
      <w:proofErr w:type="gramEnd"/>
    </w:p>
  </w:footnote>
  <w:footnote w:id="29">
    <w:p w14:paraId="67473CA5" w14:textId="77777777" w:rsidR="00243660" w:rsidRPr="0011730F" w:rsidRDefault="00243660" w:rsidP="004E7445">
      <w:pPr>
        <w:pStyle w:val="FootnoteText"/>
        <w:rPr>
          <w:lang w:val="en-US"/>
        </w:rPr>
      </w:pPr>
      <w:r>
        <w:rPr>
          <w:rStyle w:val="FootnoteReference"/>
        </w:rPr>
        <w:footnoteRef/>
      </w:r>
      <w:r>
        <w:t xml:space="preserve"> </w:t>
      </w:r>
      <w:proofErr w:type="spellStart"/>
      <w:r>
        <w:rPr>
          <w:lang w:val="en-US"/>
        </w:rPr>
        <w:t>Rencana</w:t>
      </w:r>
      <w:proofErr w:type="spellEnd"/>
      <w:r>
        <w:rPr>
          <w:lang w:val="en-US"/>
        </w:rPr>
        <w:t xml:space="preserve"> Pembangunan </w:t>
      </w:r>
      <w:proofErr w:type="spellStart"/>
      <w:r>
        <w:rPr>
          <w:lang w:val="en-US"/>
        </w:rPr>
        <w:t>Jangka</w:t>
      </w:r>
      <w:proofErr w:type="spellEnd"/>
      <w:r>
        <w:rPr>
          <w:lang w:val="en-US"/>
        </w:rPr>
        <w:t xml:space="preserve"> </w:t>
      </w:r>
      <w:proofErr w:type="spellStart"/>
      <w:r>
        <w:rPr>
          <w:lang w:val="en-US"/>
        </w:rPr>
        <w:t>Menengah</w:t>
      </w:r>
      <w:proofErr w:type="spellEnd"/>
      <w:r>
        <w:rPr>
          <w:lang w:val="en-US"/>
        </w:rPr>
        <w:t xml:space="preserve"> Nasional (RPJMN) 2015-2019</w:t>
      </w:r>
    </w:p>
  </w:footnote>
  <w:footnote w:id="30">
    <w:p w14:paraId="3A797D6D" w14:textId="77777777" w:rsidR="00243660" w:rsidRPr="00F34B79" w:rsidRDefault="00243660" w:rsidP="009366CD">
      <w:pPr>
        <w:pStyle w:val="FootnoteText"/>
      </w:pPr>
      <w:r>
        <w:rPr>
          <w:rStyle w:val="FootnoteReference"/>
        </w:rPr>
        <w:footnoteRef/>
      </w:r>
      <w:r>
        <w:t xml:space="preserve"> Mid-Term Review (MTR) AIP-Rural, DFAT, December 2016.</w:t>
      </w:r>
    </w:p>
  </w:footnote>
  <w:footnote w:id="31">
    <w:p w14:paraId="0029094E" w14:textId="7766F978" w:rsidR="00243660" w:rsidRDefault="00243660">
      <w:pPr>
        <w:pStyle w:val="FootnoteText"/>
      </w:pPr>
      <w:r>
        <w:rPr>
          <w:rStyle w:val="FootnoteReference"/>
        </w:rPr>
        <w:footnoteRef/>
      </w:r>
      <w:r>
        <w:t xml:space="preserve"> Fargher, J. D. </w:t>
      </w:r>
      <w:r w:rsidRPr="00A162D2">
        <w:rPr>
          <w:i/>
        </w:rPr>
        <w:t>et al</w:t>
      </w:r>
      <w:r>
        <w:t xml:space="preserve">. (2010) Independent Completion Report of SADI. </w:t>
      </w:r>
      <w:proofErr w:type="gramStart"/>
      <w:r>
        <w:t>Australian Agency for International Development, Canberra, Australia.</w:t>
      </w:r>
      <w:proofErr w:type="gramEnd"/>
    </w:p>
  </w:footnote>
  <w:footnote w:id="32">
    <w:p w14:paraId="5F1AE802" w14:textId="6B054FDF" w:rsidR="00243660" w:rsidRPr="00E74883" w:rsidRDefault="00243660" w:rsidP="00E74883">
      <w:pPr>
        <w:pStyle w:val="CommentText"/>
        <w:rPr>
          <w:sz w:val="12"/>
          <w:szCs w:val="12"/>
        </w:rPr>
      </w:pPr>
      <w:r w:rsidRPr="00E74883">
        <w:rPr>
          <w:rStyle w:val="FootnoteReference"/>
          <w:sz w:val="12"/>
          <w:szCs w:val="12"/>
        </w:rPr>
        <w:footnoteRef/>
      </w:r>
      <w:r w:rsidRPr="00E74883">
        <w:rPr>
          <w:sz w:val="12"/>
          <w:szCs w:val="12"/>
        </w:rPr>
        <w:t xml:space="preserve"> The Donor Committee for Enterprise Development’s Standard for Results Measurement provides programmes working in complex market systems with the framework, tools and incentives to</w:t>
      </w:r>
      <w:r>
        <w:rPr>
          <w:sz w:val="12"/>
          <w:szCs w:val="12"/>
        </w:rPr>
        <w:t xml:space="preserve"> </w:t>
      </w:r>
      <w:r w:rsidRPr="00E74883">
        <w:rPr>
          <w:sz w:val="12"/>
          <w:szCs w:val="12"/>
        </w:rPr>
        <w:t>monitor their results in a systematic way. Credibility is enhanced through an optional external audit of the measurement process used by the programme. The DCED Standard was developed in 2008 in collaboration with many programmes in the field; it includes all the elements now accepted as 'good practice'.</w:t>
      </w:r>
    </w:p>
    <w:p w14:paraId="6BD05A1A" w14:textId="107DB692" w:rsidR="00243660" w:rsidRDefault="00243660">
      <w:pPr>
        <w:pStyle w:val="FootnoteText"/>
      </w:pPr>
    </w:p>
  </w:footnote>
  <w:footnote w:id="33">
    <w:p w14:paraId="5A2753F7" w14:textId="0ED8E640" w:rsidR="00243660" w:rsidRDefault="00243660">
      <w:pPr>
        <w:pStyle w:val="FootnoteText"/>
      </w:pPr>
      <w:r>
        <w:rPr>
          <w:rStyle w:val="FootnoteReference"/>
        </w:rPr>
        <w:footnoteRef/>
      </w:r>
      <w:r>
        <w:t xml:space="preserve"> </w:t>
      </w:r>
      <w:r>
        <w:rPr>
          <w:lang w:val="en-GB"/>
        </w:rPr>
        <w:t xml:space="preserve">Facilitation includes market systems analysis, communication of opportunities, joint development of interventions and co-learning, using a 4-step process: </w:t>
      </w:r>
      <w:r w:rsidRPr="00F91152">
        <w:rPr>
          <w:lang w:val="en-GB"/>
        </w:rPr>
        <w:t>intervention concept note – intervention plan – partner contracting –</w:t>
      </w:r>
      <w:r>
        <w:rPr>
          <w:lang w:val="en-GB"/>
        </w:rPr>
        <w:t xml:space="preserve"> intervention steering document.</w:t>
      </w:r>
    </w:p>
  </w:footnote>
  <w:footnote w:id="34">
    <w:p w14:paraId="29B4DC44" w14:textId="77777777" w:rsidR="00243660" w:rsidRDefault="00243660" w:rsidP="004A19FB">
      <w:pPr>
        <w:pStyle w:val="FootnoteText"/>
      </w:pPr>
      <w:r>
        <w:rPr>
          <w:rStyle w:val="FootnoteReference"/>
        </w:rPr>
        <w:footnoteRef/>
      </w:r>
      <w:r>
        <w:t xml:space="preserve"> A sub-sector is defined as a crop or livestock in a specific geographic area. For example, maize in NTT is considered a separate sub-sector from maize in East Java due to climatic conditions, farmer levels of awareness and partner availability. These sub-sectors are significantly different, therefore warrant tailor made solutions.</w:t>
      </w:r>
    </w:p>
  </w:footnote>
  <w:footnote w:id="35">
    <w:p w14:paraId="7D5D14D0" w14:textId="3FCEB2E3" w:rsidR="00243660" w:rsidRPr="0059628F" w:rsidRDefault="00243660" w:rsidP="00DE0823">
      <w:pPr>
        <w:pStyle w:val="FootnoteText"/>
        <w:rPr>
          <w:lang w:val="en-US"/>
        </w:rPr>
      </w:pPr>
      <w:r>
        <w:rPr>
          <w:rStyle w:val="FootnoteReference"/>
        </w:rPr>
        <w:footnoteRef/>
      </w:r>
      <w:r>
        <w:t xml:space="preserve"> The basis for outreach calculations was the Government’s Agricultural Census of 2013. However, it became clear, during fieldwork connected with this design document, that some of the numbers of farming households are overstated in the census. This is especially the case in maize and cocoa.</w:t>
      </w:r>
    </w:p>
  </w:footnote>
  <w:footnote w:id="36">
    <w:p w14:paraId="25E1C8E2" w14:textId="77777777" w:rsidR="00243660" w:rsidRPr="00C474A0" w:rsidRDefault="00243660" w:rsidP="002B16CC">
      <w:pPr>
        <w:jc w:val="both"/>
        <w:rPr>
          <w:lang w:val="en-US"/>
        </w:rPr>
      </w:pPr>
      <w:r w:rsidRPr="009C69B6">
        <w:rPr>
          <w:rStyle w:val="FootnoteReference"/>
          <w:sz w:val="12"/>
          <w:szCs w:val="20"/>
        </w:rPr>
        <w:footnoteRef/>
      </w:r>
      <w:r w:rsidRPr="009C69B6">
        <w:rPr>
          <w:rStyle w:val="FootnoteReference"/>
          <w:sz w:val="12"/>
          <w:szCs w:val="20"/>
        </w:rPr>
        <w:t xml:space="preserve"> </w:t>
      </w:r>
      <w:r w:rsidRPr="009C69B6">
        <w:rPr>
          <w:sz w:val="12"/>
          <w:szCs w:val="20"/>
        </w:rPr>
        <w:t xml:space="preserve">The combined urban and rural incidence of poverty in the more eastern provinces of Indonesia is greater than other parts of the country: it is for example in Papua, 74%; West Papua, 69%; NTT and NTB, 60%; East Java and Central Java at 51% and 57% respectively. Most of Indonesia’s poor, however, live in rural areas where the incidence of poverty is 68% higher than in urban areas. </w:t>
      </w:r>
    </w:p>
  </w:footnote>
  <w:footnote w:id="37">
    <w:p w14:paraId="16BC3AD4" w14:textId="0173BDC0" w:rsidR="00243660" w:rsidRDefault="00243660">
      <w:pPr>
        <w:pStyle w:val="FootnoteText"/>
      </w:pPr>
      <w:r>
        <w:rPr>
          <w:rStyle w:val="FootnoteReference"/>
        </w:rPr>
        <w:footnoteRef/>
      </w:r>
      <w:r>
        <w:t xml:space="preserve"> GEGP aims to improve livelihoods for 22,000 forest-dependent Papuans, create 4,500 jobs, and mobilise public and private finance, through a focus on SME development in up to 12 agriculture commodities.</w:t>
      </w:r>
    </w:p>
  </w:footnote>
  <w:footnote w:id="38">
    <w:p w14:paraId="150DF610" w14:textId="28273A23" w:rsidR="00243660" w:rsidRDefault="00243660" w:rsidP="00EE4F96">
      <w:pPr>
        <w:pStyle w:val="FootnoteText"/>
      </w:pPr>
      <w:r>
        <w:rPr>
          <w:rStyle w:val="FootnoteReference"/>
        </w:rPr>
        <w:footnoteRef/>
      </w:r>
      <w:r>
        <w:t xml:space="preserve"> USAID also implements the Sustainable Agribusiness Alliance (2016-18, USD4m) to support sustainable production, post-harvest and marketing of high-value crops, and conserve natural resources, in eastern Indonesia with a focus on Papua.</w:t>
      </w:r>
    </w:p>
  </w:footnote>
  <w:footnote w:id="39">
    <w:p w14:paraId="046366C3" w14:textId="50A22CEB" w:rsidR="00243660" w:rsidRDefault="00243660" w:rsidP="001B3EA5">
      <w:pPr>
        <w:pStyle w:val="FootnoteText"/>
      </w:pPr>
      <w:r>
        <w:rPr>
          <w:rStyle w:val="FootnoteReference"/>
        </w:rPr>
        <w:footnoteRef/>
      </w:r>
      <w:r>
        <w:t xml:space="preserve"> NZAID’s Innovative Farm Systems and Capability for Agribusiness (IFSCA) program aims to create economic opportunities for sustainable farming in NTB (NZD4.5m, 2016-2020). The IDEA program focuses on dairy production in Central Java and West Sumatera. NZAID are designing a fruit and vegetable value chain and applied research project in East and West Java.</w:t>
      </w:r>
    </w:p>
  </w:footnote>
  <w:footnote w:id="40">
    <w:p w14:paraId="21CE916D" w14:textId="62F36E0D" w:rsidR="00243660" w:rsidRDefault="00243660">
      <w:pPr>
        <w:pStyle w:val="FootnoteText"/>
      </w:pPr>
      <w:r>
        <w:rPr>
          <w:rStyle w:val="FootnoteReference"/>
        </w:rPr>
        <w:footnoteRef/>
      </w:r>
      <w:r>
        <w:t xml:space="preserve"> SECO and SDC established an agribusiness financial facility under the Sustainable Cocoa Production Program (CHF 2.15m, 2014-2020) which aims to improve the bankability of cocoa producers. The Swiss Government also supports agriculture microfinance through funding to Mercy Corps (maize </w:t>
      </w:r>
      <w:proofErr w:type="spellStart"/>
      <w:r>
        <w:t>agri</w:t>
      </w:r>
      <w:proofErr w:type="spellEnd"/>
      <w:r>
        <w:t>-insurance), IFC and the World Bank.</w:t>
      </w:r>
    </w:p>
  </w:footnote>
  <w:footnote w:id="41">
    <w:p w14:paraId="0DE5FE8A" w14:textId="6F88DDD9" w:rsidR="00243660" w:rsidRDefault="00243660">
      <w:pPr>
        <w:pStyle w:val="FootnoteText"/>
      </w:pPr>
      <w:r>
        <w:rPr>
          <w:rStyle w:val="FootnoteReference"/>
        </w:rPr>
        <w:footnoteRef/>
      </w:r>
      <w:r>
        <w:t xml:space="preserve"> IFAD’s Coastal Community Development Project (USD43m, 2012-17) and Smallholder Livelihood Development Project in Eastern Indonesia (USD65m, 2011-19</w:t>
      </w:r>
      <w:proofErr w:type="gramStart"/>
      <w:r>
        <w:t>)  aims</w:t>
      </w:r>
      <w:proofErr w:type="gramEnd"/>
      <w:r>
        <w:t xml:space="preserve"> to improve incomes for 49,500 HH in Maluku and North Maluku. IFAD is currently designing two new programs: READSI in Sulawesi and YES!</w:t>
      </w:r>
    </w:p>
  </w:footnote>
  <w:footnote w:id="42">
    <w:p w14:paraId="0FB7058E" w14:textId="0CA0F4F3" w:rsidR="00243660" w:rsidRDefault="00243660">
      <w:pPr>
        <w:pStyle w:val="FootnoteText"/>
      </w:pPr>
      <w:r>
        <w:rPr>
          <w:rStyle w:val="FootnoteReference"/>
        </w:rPr>
        <w:footnoteRef/>
      </w:r>
      <w:r>
        <w:t xml:space="preserve"> The Decent Work for Food Security and Sustainable Rural Development program (USD21.7m, 2015-17) is a partnership between Ministry of Villages, FAO and ILO to create sustainable rural livelihoods for 10,000 farmers in NTT.</w:t>
      </w:r>
    </w:p>
  </w:footnote>
  <w:footnote w:id="43">
    <w:p w14:paraId="33E00C3B" w14:textId="310ED85A" w:rsidR="00243660" w:rsidRDefault="00243660">
      <w:pPr>
        <w:pStyle w:val="FootnoteText"/>
      </w:pPr>
      <w:r>
        <w:rPr>
          <w:rStyle w:val="FootnoteReference"/>
        </w:rPr>
        <w:footnoteRef/>
      </w:r>
      <w:r>
        <w:t xml:space="preserve"> WFP provides technical advice and assistance to </w:t>
      </w:r>
      <w:proofErr w:type="spellStart"/>
      <w:r>
        <w:t>GoI</w:t>
      </w:r>
      <w:proofErr w:type="spellEnd"/>
      <w:r>
        <w:t xml:space="preserve"> (USD 15m, 2016-2020), including through the development of the Food Security and Vulnerability Atlas (with support from DFAT).</w:t>
      </w:r>
    </w:p>
  </w:footnote>
  <w:footnote w:id="44">
    <w:p w14:paraId="158F30D6" w14:textId="56B7060B" w:rsidR="00243660" w:rsidRDefault="00243660">
      <w:pPr>
        <w:pStyle w:val="FootnoteText"/>
      </w:pPr>
      <w:r>
        <w:rPr>
          <w:rStyle w:val="FootnoteReference"/>
        </w:rPr>
        <w:footnoteRef/>
      </w:r>
      <w:r>
        <w:t xml:space="preserve"> IFC’s </w:t>
      </w:r>
      <w:r w:rsidRPr="00507D45">
        <w:t xml:space="preserve">Indonesia </w:t>
      </w:r>
      <w:proofErr w:type="spellStart"/>
      <w:r w:rsidRPr="00507D45">
        <w:t>Agri</w:t>
      </w:r>
      <w:proofErr w:type="spellEnd"/>
      <w:r w:rsidRPr="00507D45">
        <w:t>-finance</w:t>
      </w:r>
      <w:r>
        <w:t xml:space="preserve"> project</w:t>
      </w:r>
      <w:r w:rsidRPr="00507D45">
        <w:t xml:space="preserve"> develop</w:t>
      </w:r>
      <w:r>
        <w:t>s</w:t>
      </w:r>
      <w:r w:rsidRPr="00507D45">
        <w:t xml:space="preserve"> commercially replicable smallholder credit models, help</w:t>
      </w:r>
      <w:r>
        <w:t>s</w:t>
      </w:r>
      <w:r w:rsidRPr="00507D45">
        <w:t xml:space="preserve"> farmers adopt </w:t>
      </w:r>
      <w:r>
        <w:t>Good Agriculture Practices</w:t>
      </w:r>
      <w:r w:rsidRPr="00507D45">
        <w:t xml:space="preserve"> and establish</w:t>
      </w:r>
      <w:r>
        <w:t>es</w:t>
      </w:r>
      <w:r w:rsidRPr="00507D45">
        <w:t xml:space="preserve"> links with supply chain</w:t>
      </w:r>
      <w:r>
        <w:t>s</w:t>
      </w:r>
      <w:r w:rsidRPr="00507D45">
        <w:t>.</w:t>
      </w:r>
    </w:p>
  </w:footnote>
  <w:footnote w:id="45">
    <w:p w14:paraId="6D9839F3" w14:textId="46487A14" w:rsidR="00243660" w:rsidRDefault="00243660">
      <w:pPr>
        <w:pStyle w:val="FootnoteText"/>
      </w:pPr>
      <w:r>
        <w:rPr>
          <w:rStyle w:val="FootnoteReference"/>
        </w:rPr>
        <w:footnoteRef/>
      </w:r>
      <w:r>
        <w:t xml:space="preserve"> ADB provides large irrigation loans to Indonesia, including through the Integrated Participatory Development and Management of Irrigation Program (USD600m, 2017-2021) which focuses on whole-system irrigation, river based irrigation, and a small component on tertiary irrigation in Sumatra, Java, Kalimantan, Sulawesi, and NTT.</w:t>
      </w:r>
    </w:p>
  </w:footnote>
  <w:footnote w:id="46">
    <w:p w14:paraId="6FB6BE0D" w14:textId="66BE5183" w:rsidR="00243660" w:rsidRDefault="00243660">
      <w:pPr>
        <w:pStyle w:val="FootnoteText"/>
      </w:pPr>
      <w:r>
        <w:rPr>
          <w:rStyle w:val="FootnoteReference"/>
        </w:rPr>
        <w:footnoteRef/>
      </w:r>
      <w:r>
        <w:t xml:space="preserve"> The World Bank is providing a Research and Innovation in Research and Technology Project loan ($95m, 2013-2020) through the Ministry of Research and Technology. The World Bank also provides a loan on irrigation and has begun research on agricultural productivity (funded by DFAT).</w:t>
      </w:r>
    </w:p>
  </w:footnote>
  <w:footnote w:id="47">
    <w:p w14:paraId="767277C3" w14:textId="77777777" w:rsidR="00243660" w:rsidRPr="0036598A" w:rsidRDefault="00243660" w:rsidP="00D3077A">
      <w:pPr>
        <w:pStyle w:val="FootnoteText"/>
        <w:rPr>
          <w:lang w:val="en-US"/>
        </w:rPr>
      </w:pPr>
      <w:r>
        <w:rPr>
          <w:rStyle w:val="FootnoteReference"/>
        </w:rPr>
        <w:footnoteRef/>
      </w:r>
      <w:r>
        <w:t xml:space="preserve"> </w:t>
      </w:r>
      <w:hyperlink r:id="rId9" w:history="1">
        <w:r w:rsidRPr="00343460">
          <w:rPr>
            <w:rFonts w:cstheme="minorHAnsi"/>
          </w:rPr>
          <w:t>https://beamexchange.org/guidance/m4pguide/</w:t>
        </w:r>
      </w:hyperlink>
    </w:p>
  </w:footnote>
  <w:footnote w:id="48">
    <w:p w14:paraId="216FDF23" w14:textId="11521476" w:rsidR="00243660" w:rsidRPr="0067137A" w:rsidRDefault="00243660">
      <w:pPr>
        <w:pStyle w:val="FootnoteText"/>
        <w:rPr>
          <w:lang w:val="en-US"/>
        </w:rPr>
      </w:pPr>
      <w:r>
        <w:rPr>
          <w:rStyle w:val="FootnoteReference"/>
        </w:rPr>
        <w:footnoteRef/>
      </w:r>
      <w:r>
        <w:t xml:space="preserve"> </w:t>
      </w:r>
      <w:hyperlink r:id="rId10" w:history="1">
        <w:r w:rsidRPr="00343460">
          <w:rPr>
            <w:rFonts w:cstheme="minorHAnsi"/>
          </w:rPr>
          <w:t>http://www.springfieldcentre.com/wp-content/uploads/2014/09/2013-11-Who-wants-to-give-forever.pdf</w:t>
        </w:r>
      </w:hyperlink>
    </w:p>
  </w:footnote>
  <w:footnote w:id="49">
    <w:p w14:paraId="3B61D677" w14:textId="77777777" w:rsidR="00243660" w:rsidRDefault="00243660" w:rsidP="00A93668">
      <w:pPr>
        <w:pStyle w:val="FootnoteText"/>
      </w:pPr>
      <w:r>
        <w:rPr>
          <w:rStyle w:val="FootnoteReference"/>
        </w:rPr>
        <w:footnoteRef/>
      </w:r>
      <w:r>
        <w:t xml:space="preserve"> AIP-Rural Mid-Term Review 2016 (</w:t>
      </w:r>
      <w:hyperlink r:id="rId11" w:history="1">
        <w:r w:rsidRPr="006A1248">
          <w:rPr>
            <w:rStyle w:val="Hyperlink"/>
            <w:rFonts w:cstheme="minorBidi"/>
          </w:rPr>
          <w:t>http://dfat.gov.au/geo/indonesia/development-assistance/Pages/effective-economic-institutions-infrastructure-in-indonesia.aspx</w:t>
        </w:r>
      </w:hyperlink>
      <w:proofErr w:type="gramStart"/>
      <w:r>
        <w:t>) .</w:t>
      </w:r>
      <w:proofErr w:type="gramEnd"/>
      <w:r>
        <w:t xml:space="preserve"> For example, w</w:t>
      </w:r>
      <w:r w:rsidRPr="00A93668">
        <w:t>hen the full program cost of PRISMA is counted (AUD605 per beneficiary household at June 2017), the measured net income benefit (AUD271/ household) suggests a multiplier of less than 2.3, which is an attractive investment for a donor.</w:t>
      </w:r>
    </w:p>
  </w:footnote>
  <w:footnote w:id="50">
    <w:p w14:paraId="336D6AD3" w14:textId="77777777" w:rsidR="00243660" w:rsidRDefault="00243660" w:rsidP="00A93668">
      <w:pPr>
        <w:pStyle w:val="FootnoteText"/>
      </w:pPr>
      <w:r>
        <w:rPr>
          <w:rStyle w:val="FootnoteReference"/>
        </w:rPr>
        <w:footnoteRef/>
      </w:r>
      <w:r>
        <w:t xml:space="preserve"> </w:t>
      </w:r>
      <w:r>
        <w:rPr>
          <w:rFonts w:ascii="Calibri" w:hAnsi="Calibri" w:cs="Calibri"/>
        </w:rPr>
        <w:t>The VFM results for PRISMA were: 40% private sector leverage (</w:t>
      </w:r>
      <w:r w:rsidRPr="008E557C">
        <w:rPr>
          <w:rFonts w:ascii="Calibri" w:hAnsi="Calibri" w:cs="Calibri"/>
          <w:i/>
        </w:rPr>
        <w:t>i.e</w:t>
      </w:r>
      <w:r>
        <w:rPr>
          <w:rFonts w:ascii="Calibri" w:hAnsi="Calibri" w:cs="Calibri"/>
        </w:rPr>
        <w:t>. for every intervention dollar from PRISMA the private sector invested 40 cents); 1:3.25 SROI (</w:t>
      </w:r>
      <w:r w:rsidRPr="008E557C">
        <w:rPr>
          <w:rFonts w:ascii="Calibri" w:hAnsi="Calibri" w:cs="Calibri"/>
          <w:i/>
        </w:rPr>
        <w:t>i.e</w:t>
      </w:r>
      <w:r>
        <w:rPr>
          <w:rFonts w:ascii="Calibri" w:hAnsi="Calibri" w:cs="Calibri"/>
        </w:rPr>
        <w:t>. for every intervention dollar from Australia and the private sector, farming households had measured net income change of $3.25); and $83 investment per farmer (down from $357 in 2014). These results compare very favourably with programs such as CAVAC and MDF.</w:t>
      </w:r>
    </w:p>
  </w:footnote>
  <w:footnote w:id="51">
    <w:p w14:paraId="07A7E118" w14:textId="77777777" w:rsidR="00243660" w:rsidRDefault="00243660" w:rsidP="00A93668">
      <w:pPr>
        <w:pStyle w:val="FootnoteText"/>
      </w:pPr>
      <w:r>
        <w:rPr>
          <w:rStyle w:val="FootnoteReference"/>
        </w:rPr>
        <w:footnoteRef/>
      </w:r>
      <w:r>
        <w:t xml:space="preserve"> </w:t>
      </w:r>
      <w:r w:rsidRPr="00870A81">
        <w:rPr>
          <w:rFonts w:ascii="Calibri" w:hAnsi="Calibri" w:cs="Calibri"/>
        </w:rPr>
        <w:t>AIP-Rural has invested AUD55.5 million at June 2017</w:t>
      </w:r>
      <w:r>
        <w:rPr>
          <w:rFonts w:ascii="Calibri" w:hAnsi="Calibri" w:cs="Calibri"/>
        </w:rPr>
        <w:t>,</w:t>
      </w:r>
      <w:r w:rsidRPr="00870A81">
        <w:rPr>
          <w:rFonts w:ascii="Calibri" w:hAnsi="Calibri" w:cs="Calibri"/>
        </w:rPr>
        <w:t xml:space="preserve"> of which </w:t>
      </w:r>
      <w:r>
        <w:rPr>
          <w:rFonts w:ascii="Calibri" w:hAnsi="Calibri" w:cs="Calibri"/>
        </w:rPr>
        <w:t xml:space="preserve">almost </w:t>
      </w:r>
      <w:r w:rsidRPr="00870A81">
        <w:rPr>
          <w:rFonts w:ascii="Calibri" w:hAnsi="Calibri" w:cs="Calibri"/>
        </w:rPr>
        <w:t>AUD</w:t>
      </w:r>
      <w:r>
        <w:rPr>
          <w:rFonts w:ascii="Calibri" w:hAnsi="Calibri" w:cs="Calibri"/>
        </w:rPr>
        <w:t>9</w:t>
      </w:r>
      <w:r w:rsidRPr="00870A81">
        <w:rPr>
          <w:rFonts w:ascii="Calibri" w:hAnsi="Calibri" w:cs="Calibri"/>
        </w:rPr>
        <w:t xml:space="preserve"> million was direct</w:t>
      </w:r>
      <w:r>
        <w:rPr>
          <w:rFonts w:ascii="Calibri" w:hAnsi="Calibri" w:cs="Calibri"/>
        </w:rPr>
        <w:t xml:space="preserve"> intervention costs that attracted AUD3.7 million private sector investment from 98 partners and 1163 ISPs. Together, these investments and the facilitation from the program team resulted in </w:t>
      </w:r>
      <w:r w:rsidRPr="00341044">
        <w:rPr>
          <w:rFonts w:ascii="Calibri" w:hAnsi="Calibri" w:cs="Calibri"/>
        </w:rPr>
        <w:t xml:space="preserve">AUD25.6 million of net attributable income increase for </w:t>
      </w:r>
      <w:r>
        <w:rPr>
          <w:rFonts w:ascii="Calibri" w:hAnsi="Calibri" w:cs="Calibri"/>
        </w:rPr>
        <w:t xml:space="preserve">80,171 </w:t>
      </w:r>
      <w:r w:rsidRPr="00341044">
        <w:rPr>
          <w:rFonts w:ascii="Calibri" w:hAnsi="Calibri" w:cs="Calibri"/>
        </w:rPr>
        <w:t xml:space="preserve">farming households and </w:t>
      </w:r>
      <w:r>
        <w:rPr>
          <w:rFonts w:ascii="Calibri" w:hAnsi="Calibri" w:cs="Calibri"/>
        </w:rPr>
        <w:t xml:space="preserve">almost </w:t>
      </w:r>
      <w:r w:rsidRPr="00341044">
        <w:rPr>
          <w:rFonts w:ascii="Calibri" w:hAnsi="Calibri" w:cs="Calibri"/>
        </w:rPr>
        <w:t>AUD</w:t>
      </w:r>
      <w:r>
        <w:rPr>
          <w:rFonts w:ascii="Calibri" w:hAnsi="Calibri" w:cs="Calibri"/>
        </w:rPr>
        <w:t>10 million</w:t>
      </w:r>
      <w:r w:rsidRPr="00341044">
        <w:rPr>
          <w:rFonts w:ascii="Calibri" w:hAnsi="Calibri" w:cs="Calibri"/>
        </w:rPr>
        <w:t xml:space="preserve"> increased </w:t>
      </w:r>
      <w:r>
        <w:rPr>
          <w:rFonts w:ascii="Calibri" w:hAnsi="Calibri" w:cs="Calibri"/>
        </w:rPr>
        <w:t>ISP turnover.</w:t>
      </w:r>
    </w:p>
  </w:footnote>
  <w:footnote w:id="52">
    <w:p w14:paraId="393A9B5F" w14:textId="07B86299" w:rsidR="00243660" w:rsidRPr="00A5791F" w:rsidRDefault="00243660" w:rsidP="00807169">
      <w:pPr>
        <w:pStyle w:val="CommentText"/>
        <w:spacing w:after="0"/>
        <w:rPr>
          <w:szCs w:val="12"/>
        </w:rPr>
      </w:pPr>
      <w:r w:rsidRPr="00985B84">
        <w:rPr>
          <w:rStyle w:val="FootnoteReference"/>
          <w:sz w:val="12"/>
          <w:szCs w:val="12"/>
        </w:rPr>
        <w:footnoteRef/>
      </w:r>
      <w:r w:rsidRPr="00985B84">
        <w:rPr>
          <w:rStyle w:val="CommentReference"/>
          <w:sz w:val="12"/>
          <w:szCs w:val="12"/>
        </w:rPr>
        <w:t xml:space="preserve"> Investment leverage is the proportion of private sector investment relative to program investment. Social return on investment is the amount of economic benefit (net income) stimulated by program intervention relative to program investment. Investment per farmer is the amount of program investment per farmer impacted. These calculations are made for each intervention and at the aggregate program level. </w:t>
      </w:r>
    </w:p>
  </w:footnote>
  <w:footnote w:id="53">
    <w:p w14:paraId="0E10E05F" w14:textId="77777777" w:rsidR="00243660" w:rsidRPr="001E11B9" w:rsidRDefault="00243660" w:rsidP="00807169">
      <w:pPr>
        <w:pStyle w:val="FootnoteText"/>
        <w:spacing w:before="0"/>
        <w:rPr>
          <w:sz w:val="18"/>
          <w:szCs w:val="18"/>
        </w:rPr>
      </w:pPr>
      <w:r>
        <w:rPr>
          <w:rStyle w:val="FootnoteReference"/>
        </w:rPr>
        <w:footnoteRef/>
      </w:r>
      <w:r>
        <w:t xml:space="preserve"> </w:t>
      </w:r>
      <w:r w:rsidRPr="001367C9">
        <w:rPr>
          <w:szCs w:val="12"/>
        </w:rPr>
        <w:t xml:space="preserve">See: </w:t>
      </w:r>
      <w:hyperlink r:id="rId12" w:history="1">
        <w:r w:rsidRPr="001367C9">
          <w:rPr>
            <w:rStyle w:val="Hyperlink"/>
            <w:szCs w:val="12"/>
          </w:rPr>
          <w:t>http://dfat.gov.au/aid/who-we-work-with/value-for-money-principles/Pages/value-for-money-principles.aspx</w:t>
        </w:r>
      </w:hyperlink>
      <w:r w:rsidRPr="001E11B9">
        <w:rPr>
          <w:sz w:val="18"/>
          <w:szCs w:val="18"/>
        </w:rPr>
        <w:t xml:space="preserve"> </w:t>
      </w:r>
    </w:p>
  </w:footnote>
  <w:footnote w:id="54">
    <w:p w14:paraId="08A2B33C" w14:textId="57BE506B" w:rsidR="00243660" w:rsidRDefault="00243660">
      <w:pPr>
        <w:pStyle w:val="FootnoteText"/>
      </w:pPr>
      <w:r>
        <w:rPr>
          <w:rStyle w:val="FootnoteReference"/>
        </w:rPr>
        <w:footnoteRef/>
      </w:r>
      <w:r>
        <w:t xml:space="preserve"> The current RPJMN will expire in 2018. The PRISMA-2 program will be reviewed against the next RPJMN to ensure focus areas remain relevant. </w:t>
      </w:r>
    </w:p>
  </w:footnote>
  <w:footnote w:id="55">
    <w:p w14:paraId="3229BAF4" w14:textId="5332600F" w:rsidR="00243660" w:rsidRDefault="00243660" w:rsidP="005C2288">
      <w:pPr>
        <w:pStyle w:val="FootnoteText"/>
        <w:spacing w:before="0"/>
      </w:pPr>
      <w:r>
        <w:rPr>
          <w:rStyle w:val="FootnoteReference"/>
        </w:rPr>
        <w:footnoteRef/>
      </w:r>
      <w:r>
        <w:t xml:space="preserve"> </w:t>
      </w:r>
      <w:r w:rsidRPr="00116C7E">
        <w:rPr>
          <w:szCs w:val="12"/>
          <w:lang w:val="en-US"/>
        </w:rPr>
        <w:t xml:space="preserve">Donor Committee for Enterprise Development – see: </w:t>
      </w:r>
      <w:hyperlink r:id="rId13" w:history="1">
        <w:r w:rsidRPr="00116C7E">
          <w:rPr>
            <w:rStyle w:val="Hyperlink"/>
            <w:szCs w:val="12"/>
            <w:lang w:val="en-US"/>
          </w:rPr>
          <w:t>www.enterprise-development.org/measuring-results-the-dced-standard/</w:t>
        </w:r>
      </w:hyperlink>
      <w:r w:rsidRPr="00116C7E">
        <w:rPr>
          <w:szCs w:val="12"/>
          <w:lang w:val="en-US"/>
        </w:rPr>
        <w:t xml:space="preserve">  Over 120 projects in more than 50 countries currently apply the DCED Standard for results measurement.</w:t>
      </w:r>
    </w:p>
  </w:footnote>
  <w:footnote w:id="56">
    <w:p w14:paraId="7C4BEE23" w14:textId="6D566E1D" w:rsidR="00243660" w:rsidRPr="007A0995" w:rsidRDefault="00243660">
      <w:pPr>
        <w:pStyle w:val="FootnoteText"/>
        <w:rPr>
          <w:lang w:val="en-US"/>
        </w:rPr>
      </w:pPr>
      <w:r>
        <w:rPr>
          <w:rStyle w:val="FootnoteReference"/>
        </w:rPr>
        <w:footnoteRef/>
      </w:r>
      <w:r>
        <w:t xml:space="preserve"> </w:t>
      </w:r>
      <w:r>
        <w:rPr>
          <w:lang w:val="en-US"/>
        </w:rPr>
        <w:t>For details, see the 2016-17 Indonesia Annual Program Performance Report and PAF at:</w:t>
      </w:r>
      <w:r w:rsidRPr="005C2288">
        <w:rPr>
          <w:lang w:val="en-US"/>
        </w:rPr>
        <w:t xml:space="preserve"> </w:t>
      </w:r>
      <w:hyperlink r:id="rId14" w:history="1">
        <w:r w:rsidRPr="00FC3C77">
          <w:rPr>
            <w:rStyle w:val="Hyperlink"/>
            <w:rFonts w:cstheme="minorBidi"/>
            <w:lang w:val="en-US"/>
          </w:rPr>
          <w:t>http://dfat.gov.au/about-us/publications/Pages/indonesia-aid-program-performance-report-2016-17.aspx</w:t>
        </w:r>
      </w:hyperlink>
      <w:r>
        <w:rPr>
          <w:lang w:val="en-US"/>
        </w:rPr>
        <w:t xml:space="preserve"> </w:t>
      </w:r>
    </w:p>
  </w:footnote>
  <w:footnote w:id="57">
    <w:p w14:paraId="5244C3C7" w14:textId="77777777" w:rsidR="00243660" w:rsidRPr="00C6100C" w:rsidRDefault="00243660" w:rsidP="002738CB">
      <w:pPr>
        <w:pStyle w:val="FootnoteText"/>
        <w:rPr>
          <w:rFonts w:ascii="Calibri" w:hAnsi="Calibri" w:cs="Calibri"/>
          <w:sz w:val="18"/>
          <w:szCs w:val="18"/>
        </w:rPr>
      </w:pPr>
    </w:p>
    <w:p w14:paraId="331793B1" w14:textId="77777777" w:rsidR="00243660" w:rsidRPr="00AA0F15" w:rsidRDefault="00243660" w:rsidP="002738CB">
      <w:pPr>
        <w:pStyle w:val="FootnoteText"/>
        <w:rPr>
          <w:rFonts w:cstheme="minorHAnsi"/>
          <w:szCs w:val="12"/>
          <w:lang w:val="en-CA"/>
        </w:rPr>
      </w:pPr>
      <w:r w:rsidRPr="00AA0F15">
        <w:rPr>
          <w:rStyle w:val="FootnoteReference"/>
          <w:rFonts w:cstheme="minorHAnsi"/>
          <w:szCs w:val="12"/>
        </w:rPr>
        <w:footnoteRef/>
      </w:r>
      <w:r w:rsidRPr="00AA0F15">
        <w:rPr>
          <w:rFonts w:cstheme="minorHAnsi"/>
          <w:szCs w:val="12"/>
        </w:rPr>
        <w:t xml:space="preserve"> </w:t>
      </w:r>
      <w:proofErr w:type="gramStart"/>
      <w:r w:rsidRPr="00AA0F15">
        <w:rPr>
          <w:rFonts w:cstheme="minorHAnsi"/>
          <w:szCs w:val="12"/>
        </w:rPr>
        <w:t>Department of Foreign Affairs and Trade</w:t>
      </w:r>
      <w:r w:rsidRPr="00AA0F15">
        <w:rPr>
          <w:rFonts w:cstheme="minorHAnsi"/>
          <w:szCs w:val="12"/>
          <w:lang w:val="en-CA"/>
        </w:rPr>
        <w:t xml:space="preserve"> (2016) </w:t>
      </w:r>
      <w:r w:rsidRPr="00AA0F15">
        <w:rPr>
          <w:rFonts w:cstheme="minorHAnsi"/>
          <w:i/>
          <w:szCs w:val="12"/>
          <w:lang w:val="en-CA"/>
        </w:rPr>
        <w:t>Gender Equality and Women’s Empowerment Strategy.</w:t>
      </w:r>
      <w:proofErr w:type="gramEnd"/>
      <w:r w:rsidRPr="00AA0F15">
        <w:rPr>
          <w:rFonts w:cstheme="minorHAnsi"/>
          <w:i/>
          <w:szCs w:val="12"/>
          <w:lang w:val="en-CA"/>
        </w:rPr>
        <w:t xml:space="preserve"> </w:t>
      </w:r>
      <w:r w:rsidRPr="00AA0F15">
        <w:rPr>
          <w:rFonts w:cstheme="minorHAnsi"/>
          <w:szCs w:val="12"/>
          <w:lang w:val="en-CA"/>
        </w:rPr>
        <w:t xml:space="preserve">Government of Australia </w:t>
      </w:r>
      <w:hyperlink r:id="rId15" w:history="1">
        <w:r w:rsidRPr="00AA0F15">
          <w:rPr>
            <w:rStyle w:val="Hyperlink"/>
            <w:rFonts w:cstheme="minorHAnsi"/>
            <w:szCs w:val="12"/>
            <w:lang w:val="en-CA"/>
          </w:rPr>
          <w:t>http://dfat.gov.au/about-us/publications/Pages/gender-equality-and-womens-empowerment-strategy.aspx</w:t>
        </w:r>
      </w:hyperlink>
      <w:r w:rsidRPr="00AA0F15">
        <w:rPr>
          <w:rFonts w:cstheme="minorHAnsi"/>
          <w:szCs w:val="12"/>
          <w:lang w:val="en-CA"/>
        </w:rPr>
        <w:t xml:space="preserve"> </w:t>
      </w:r>
    </w:p>
  </w:footnote>
  <w:footnote w:id="58">
    <w:p w14:paraId="6A8BCE26" w14:textId="77777777" w:rsidR="00243660" w:rsidRPr="00AA0F15" w:rsidRDefault="00243660" w:rsidP="009500CF">
      <w:pPr>
        <w:pStyle w:val="FootnoteText"/>
        <w:rPr>
          <w:rFonts w:cstheme="minorHAnsi"/>
          <w:szCs w:val="12"/>
        </w:rPr>
      </w:pPr>
      <w:r w:rsidRPr="00AA0F15">
        <w:rPr>
          <w:rStyle w:val="FootnoteReference"/>
          <w:rFonts w:cstheme="minorHAnsi"/>
          <w:szCs w:val="12"/>
        </w:rPr>
        <w:footnoteRef/>
      </w:r>
      <w:r w:rsidRPr="00AA0F15">
        <w:rPr>
          <w:rFonts w:cstheme="minorHAnsi"/>
          <w:szCs w:val="12"/>
        </w:rPr>
        <w:t xml:space="preserve"> DFAT (2015) </w:t>
      </w:r>
      <w:r w:rsidRPr="00AA0F15">
        <w:rPr>
          <w:rFonts w:cstheme="minorHAnsi"/>
          <w:color w:val="222222"/>
          <w:szCs w:val="12"/>
        </w:rPr>
        <w:t xml:space="preserve">Gender equality and women’s economic empowerment in agriculture   </w:t>
      </w:r>
      <w:r w:rsidRPr="00AA0F15">
        <w:rPr>
          <w:rFonts w:cstheme="minorHAnsi"/>
          <w:color w:val="222222"/>
          <w:szCs w:val="12"/>
        </w:rPr>
        <w:br/>
        <w:t>Operational Guidance Note</w:t>
      </w:r>
      <w:r w:rsidRPr="00AA0F15">
        <w:rPr>
          <w:rFonts w:cstheme="minorHAnsi"/>
          <w:szCs w:val="12"/>
        </w:rPr>
        <w:t xml:space="preserve">  </w:t>
      </w:r>
      <w:hyperlink r:id="rId16" w:history="1">
        <w:r w:rsidRPr="00AA0F15">
          <w:rPr>
            <w:rStyle w:val="Hyperlink"/>
            <w:rFonts w:cstheme="minorHAnsi"/>
            <w:szCs w:val="12"/>
          </w:rPr>
          <w:t>https://dfat.gov.au/about-us/publications/Documents/operational-guidance-note-gender-equality-and-womens-economic-empowerment-in-agriculture.pdf</w:t>
        </w:r>
      </w:hyperlink>
      <w:r w:rsidRPr="00AA0F15">
        <w:rPr>
          <w:rFonts w:cstheme="minorHAnsi"/>
          <w:szCs w:val="12"/>
        </w:rPr>
        <w:t xml:space="preserve"> </w:t>
      </w:r>
    </w:p>
  </w:footnote>
  <w:footnote w:id="59">
    <w:p w14:paraId="7077DF79" w14:textId="77777777" w:rsidR="00243660" w:rsidRPr="00C6100C" w:rsidRDefault="00243660" w:rsidP="00894774">
      <w:pPr>
        <w:pStyle w:val="FootnoteText"/>
        <w:rPr>
          <w:rFonts w:ascii="Calibri" w:hAnsi="Calibri" w:cs="Calibri"/>
          <w:sz w:val="18"/>
          <w:szCs w:val="18"/>
        </w:rPr>
      </w:pPr>
      <w:r w:rsidRPr="00AA0F15">
        <w:rPr>
          <w:rStyle w:val="FootnoteReference"/>
          <w:rFonts w:cstheme="minorHAnsi"/>
          <w:szCs w:val="12"/>
        </w:rPr>
        <w:footnoteRef/>
      </w:r>
      <w:r w:rsidRPr="00AA0F15">
        <w:rPr>
          <w:rFonts w:cstheme="minorHAnsi"/>
          <w:szCs w:val="12"/>
        </w:rPr>
        <w:t xml:space="preserve"> For the seminal M4P WEE Framework see Jones, L. (2012) Jones, </w:t>
      </w:r>
      <w:proofErr w:type="gramStart"/>
      <w:r w:rsidRPr="00AA0F15">
        <w:rPr>
          <w:rFonts w:cstheme="minorHAnsi"/>
          <w:szCs w:val="12"/>
        </w:rPr>
        <w:t>L</w:t>
      </w:r>
      <w:proofErr w:type="gramEnd"/>
      <w:r w:rsidRPr="00AA0F15">
        <w:rPr>
          <w:rFonts w:cstheme="minorHAnsi"/>
          <w:szCs w:val="12"/>
        </w:rPr>
        <w:t xml:space="preserve">. (2012) </w:t>
      </w:r>
      <w:r w:rsidRPr="00AA0F15">
        <w:rPr>
          <w:rFonts w:cstheme="minorHAnsi"/>
          <w:i/>
          <w:szCs w:val="12"/>
        </w:rPr>
        <w:t xml:space="preserve">Conceptual Framework for Women’s Economic Empowerment </w:t>
      </w:r>
      <w:r w:rsidRPr="00AA0F15">
        <w:rPr>
          <w:rFonts w:cstheme="minorHAnsi"/>
          <w:szCs w:val="12"/>
        </w:rPr>
        <w:t xml:space="preserve">M4P Hub paper for DFID, </w:t>
      </w:r>
      <w:proofErr w:type="spellStart"/>
      <w:r w:rsidRPr="00AA0F15">
        <w:rPr>
          <w:rFonts w:cstheme="minorHAnsi"/>
          <w:szCs w:val="12"/>
        </w:rPr>
        <w:t>Sida</w:t>
      </w:r>
      <w:proofErr w:type="spellEnd"/>
      <w:r w:rsidRPr="00AA0F15">
        <w:rPr>
          <w:rFonts w:cstheme="minorHAnsi"/>
          <w:szCs w:val="12"/>
        </w:rPr>
        <w:t xml:space="preserve"> and SDC. </w:t>
      </w:r>
      <w:hyperlink r:id="rId17" w:history="1">
        <w:r w:rsidRPr="00AA0F15">
          <w:rPr>
            <w:rStyle w:val="Hyperlink"/>
            <w:rFonts w:cstheme="minorHAnsi"/>
            <w:szCs w:val="12"/>
          </w:rPr>
          <w:t>http://www.springfieldcentre.com/wp-content/uploads/2012/11/M4P_WEE_Framework_Final.pdf</w:t>
        </w:r>
      </w:hyperlink>
    </w:p>
  </w:footnote>
  <w:footnote w:id="60">
    <w:p w14:paraId="0E95BD36" w14:textId="2CFA903C" w:rsidR="00243660" w:rsidRDefault="00243660">
      <w:pPr>
        <w:pStyle w:val="FootnoteText"/>
      </w:pPr>
      <w:r>
        <w:rPr>
          <w:rStyle w:val="FootnoteReference"/>
        </w:rPr>
        <w:footnoteRef/>
      </w:r>
      <w:r>
        <w:t xml:space="preserve"> </w:t>
      </w:r>
      <w:r>
        <w:rPr>
          <w:lang w:val="en-US"/>
        </w:rPr>
        <w:t>DFAT Child Protection Guidance Note: Child Protection in Private Enterprise</w:t>
      </w:r>
    </w:p>
  </w:footnote>
  <w:footnote w:id="61">
    <w:p w14:paraId="52E08F6D" w14:textId="77777777" w:rsidR="00243660" w:rsidRPr="007813DA" w:rsidRDefault="00243660" w:rsidP="004170C6">
      <w:pPr>
        <w:pStyle w:val="FootnoteText"/>
      </w:pPr>
      <w:r>
        <w:rPr>
          <w:rStyle w:val="FootnoteReference"/>
        </w:rPr>
        <w:footnoteRef/>
      </w:r>
      <w:r>
        <w:t xml:space="preserve"> For example, see: </w:t>
      </w:r>
      <w:hyperlink r:id="rId18" w:history="1">
        <w:r w:rsidRPr="00F9622C">
          <w:rPr>
            <w:rStyle w:val="Hyperlink"/>
            <w:rFonts w:cstheme="minorBidi"/>
          </w:rPr>
          <w:t>http://dfat.gov.au/about-us/publications/Pages/environmental-policy.aspx</w:t>
        </w:r>
      </w:hyperlink>
      <w:r>
        <w:t xml:space="preserve"> </w:t>
      </w:r>
    </w:p>
  </w:footnote>
  <w:footnote w:id="62">
    <w:p w14:paraId="0BEB359F" w14:textId="77777777" w:rsidR="00243660" w:rsidRDefault="00243660" w:rsidP="004170C6">
      <w:pPr>
        <w:pStyle w:val="FootnoteText"/>
      </w:pPr>
      <w:r>
        <w:rPr>
          <w:rStyle w:val="FootnoteReference"/>
        </w:rPr>
        <w:footnoteRef/>
      </w:r>
      <w:r>
        <w:t xml:space="preserve"> The Environment Protection and Biodiversity Conversion Act, 1999 (</w:t>
      </w:r>
      <w:r w:rsidRPr="004E27D0">
        <w:t>https://www.legislation.gov.au/Details/C2005C00338</w:t>
      </w:r>
      <w:r>
        <w:t>)</w:t>
      </w:r>
    </w:p>
  </w:footnote>
  <w:footnote w:id="63">
    <w:p w14:paraId="5974D340" w14:textId="77777777" w:rsidR="00243660" w:rsidRDefault="00243660" w:rsidP="004170C6">
      <w:pPr>
        <w:pStyle w:val="FootnoteText"/>
      </w:pPr>
      <w:r>
        <w:rPr>
          <w:rStyle w:val="FootnoteReference"/>
        </w:rPr>
        <w:footnoteRef/>
      </w:r>
      <w:r>
        <w:t xml:space="preserve"> </w:t>
      </w:r>
      <w:r w:rsidRPr="008B3AB4">
        <w:t>http://cdn.setneg.go.id/_multimedia/document/20091019/UU%2032%20Tahun%202009.pdf</w:t>
      </w:r>
    </w:p>
  </w:footnote>
  <w:footnote w:id="64">
    <w:p w14:paraId="6E8D4591" w14:textId="77777777" w:rsidR="00243660" w:rsidRPr="00B207EF" w:rsidRDefault="00243660" w:rsidP="007B172C">
      <w:pPr>
        <w:pStyle w:val="FootnoteText"/>
      </w:pPr>
      <w:r>
        <w:rPr>
          <w:rStyle w:val="FootnoteReference"/>
        </w:rPr>
        <w:footnoteRef/>
      </w:r>
      <w:r>
        <w:t xml:space="preserve"> For example, see: </w:t>
      </w:r>
      <w:r w:rsidRPr="00031E3E">
        <w:t>http://dfat.gov.au/about-us/publications/corporate/conduct-ethics-manual/Pages/conduct-and-ethics-manual.aspx</w:t>
      </w:r>
    </w:p>
  </w:footnote>
  <w:footnote w:id="65">
    <w:p w14:paraId="3CB2D146" w14:textId="77777777" w:rsidR="00243660" w:rsidRDefault="00243660" w:rsidP="007B172C">
      <w:pPr>
        <w:pStyle w:val="FootnoteText"/>
        <w:spacing w:before="0"/>
        <w:rPr>
          <w:sz w:val="16"/>
          <w:szCs w:val="16"/>
        </w:rPr>
      </w:pPr>
      <w:r>
        <w:rPr>
          <w:rStyle w:val="FootnoteReference"/>
        </w:rPr>
        <w:footnoteRef/>
      </w:r>
      <w:r>
        <w:t xml:space="preserve"> </w:t>
      </w:r>
      <w:r w:rsidRPr="00122349">
        <w:rPr>
          <w:szCs w:val="12"/>
        </w:rPr>
        <w:t>For example</w:t>
      </w:r>
      <w:r>
        <w:rPr>
          <w:szCs w:val="12"/>
        </w:rPr>
        <w:t>,</w:t>
      </w:r>
      <w:r w:rsidRPr="00122349">
        <w:rPr>
          <w:szCs w:val="12"/>
        </w:rPr>
        <w:t xml:space="preserve"> see: </w:t>
      </w:r>
      <w:hyperlink r:id="rId19" w:history="1">
        <w:r w:rsidRPr="00122349">
          <w:rPr>
            <w:rStyle w:val="Hyperlink"/>
            <w:szCs w:val="12"/>
          </w:rPr>
          <w:t>http://asean.org/storage/2012/05/ASEAN-GAHP-for-Animal-Welfare-and-Environmental-Sustainability-Module_final.pdf</w:t>
        </w:r>
      </w:hyperlink>
      <w:r w:rsidRPr="00122349">
        <w:rPr>
          <w:szCs w:val="12"/>
        </w:rPr>
        <w:t xml:space="preserve">  Accessed February 19, 2017.</w:t>
      </w:r>
    </w:p>
  </w:footnote>
  <w:footnote w:id="66">
    <w:p w14:paraId="2CDE5417" w14:textId="21AF22EA" w:rsidR="00243660" w:rsidRDefault="00243660" w:rsidP="004F54A1">
      <w:pPr>
        <w:pStyle w:val="FootnoteText"/>
      </w:pPr>
      <w:r>
        <w:rPr>
          <w:rStyle w:val="FootnoteReference"/>
        </w:rPr>
        <w:footnoteRef/>
      </w:r>
      <w:r>
        <w:t xml:space="preserve"> The Indonesian National Statistics Agency figures, based on March 2017 </w:t>
      </w:r>
      <w:proofErr w:type="spellStart"/>
      <w:r>
        <w:t>Susenas</w:t>
      </w:r>
      <w:proofErr w:type="spellEnd"/>
      <w:r>
        <w:t xml:space="preserve"> data, which sets the national poverty line at approximately IDR12</w:t>
      </w:r>
      <w:proofErr w:type="gramStart"/>
      <w:r>
        <w:t>,500</w:t>
      </w:r>
      <w:proofErr w:type="gramEnd"/>
      <w:r>
        <w:t xml:space="preserve"> per person per day (or AUD1.25). </w:t>
      </w:r>
    </w:p>
  </w:footnote>
  <w:footnote w:id="67">
    <w:p w14:paraId="19990335" w14:textId="0D2C8C21" w:rsidR="00243660" w:rsidRDefault="00243660">
      <w:pPr>
        <w:pStyle w:val="FootnoteText"/>
      </w:pPr>
      <w:r>
        <w:rPr>
          <w:rStyle w:val="FootnoteReference"/>
        </w:rPr>
        <w:footnoteRef/>
      </w:r>
      <w:r>
        <w:t xml:space="preserve"> While the International Poverty Line is useful to compare poverty rates between countries, it is not a completely reliable measure to track poverty within Indonesia as it doesn’t differentiate between living costs in different provinces.</w:t>
      </w:r>
    </w:p>
  </w:footnote>
  <w:footnote w:id="68">
    <w:p w14:paraId="077D217F" w14:textId="722193B5" w:rsidR="00243660" w:rsidRDefault="00243660" w:rsidP="00396809">
      <w:pPr>
        <w:pStyle w:val="FootnoteText"/>
      </w:pPr>
      <w:r>
        <w:rPr>
          <w:rStyle w:val="FootnoteReference"/>
        </w:rPr>
        <w:footnoteRef/>
      </w:r>
      <w:r>
        <w:t xml:space="preserve">  World Bank (2016) World Development Indicators [</w:t>
      </w:r>
      <w:r w:rsidRPr="009C774A">
        <w:t>SI.POV.DDAY</w:t>
      </w:r>
      <w:r>
        <w:t xml:space="preserve">] accessed from </w:t>
      </w:r>
      <w:hyperlink r:id="rId20" w:history="1">
        <w:r w:rsidRPr="002B707E">
          <w:rPr>
            <w:rStyle w:val="Hyperlink"/>
            <w:rFonts w:cstheme="minorBidi"/>
          </w:rPr>
          <w:t>http://databank.worldbank.org/data/reports.aspx?source=world-development-indicators</w:t>
        </w:r>
      </w:hyperlink>
      <w:r>
        <w:t>, Accessed May 9, 2017.</w:t>
      </w:r>
    </w:p>
  </w:footnote>
  <w:footnote w:id="69">
    <w:p w14:paraId="667AC892" w14:textId="77777777" w:rsidR="00243660" w:rsidRDefault="00243660" w:rsidP="00396809">
      <w:pPr>
        <w:pStyle w:val="FootnoteText"/>
      </w:pPr>
      <w:r>
        <w:rPr>
          <w:rStyle w:val="FootnoteReference"/>
        </w:rPr>
        <w:footnoteRef/>
      </w:r>
      <w:r>
        <w:t xml:space="preserve"> Near poor refers to those living on less than USD$2.50 per day, taking into account the dynamics of poverty. </w:t>
      </w:r>
    </w:p>
  </w:footnote>
  <w:footnote w:id="70">
    <w:p w14:paraId="0F6D752A" w14:textId="77777777" w:rsidR="00243660" w:rsidRDefault="00243660" w:rsidP="00396809">
      <w:pPr>
        <w:pStyle w:val="FootnoteText"/>
      </w:pPr>
      <w:r>
        <w:rPr>
          <w:rStyle w:val="FootnoteReference"/>
        </w:rPr>
        <w:footnoteRef/>
      </w:r>
      <w:r>
        <w:t xml:space="preserve"> </w:t>
      </w:r>
      <w:proofErr w:type="gramStart"/>
      <w:r>
        <w:t xml:space="preserve">World Bank (2017) Country Overview Indonesia, </w:t>
      </w:r>
      <w:hyperlink r:id="rId21" w:history="1">
        <w:r w:rsidRPr="00F73CBF">
          <w:rPr>
            <w:rStyle w:val="Hyperlink"/>
            <w:rFonts w:cstheme="minorBidi"/>
          </w:rPr>
          <w:t>http://www.worldbank.org/en/country/indonesia/overview</w:t>
        </w:r>
      </w:hyperlink>
      <w:r>
        <w:t>, Accessed 8 May 2017.</w:t>
      </w:r>
      <w:proofErr w:type="gramEnd"/>
      <w:r>
        <w:t xml:space="preserve"> </w:t>
      </w:r>
    </w:p>
  </w:footnote>
  <w:footnote w:id="71">
    <w:p w14:paraId="753483DA" w14:textId="77777777" w:rsidR="00243660" w:rsidRPr="00F34CA8" w:rsidRDefault="00243660" w:rsidP="00396809">
      <w:pPr>
        <w:pStyle w:val="FootnoteText"/>
        <w:rPr>
          <w:lang w:val="en-US"/>
        </w:rPr>
      </w:pPr>
      <w:r>
        <w:rPr>
          <w:rStyle w:val="FootnoteReference"/>
        </w:rPr>
        <w:footnoteRef/>
      </w:r>
      <w:r>
        <w:t xml:space="preserve"> </w:t>
      </w:r>
      <w:r w:rsidRPr="00F34CA8">
        <w:t>https://www.adb.org/sites/default/files/publication/177017/ino-paper-04-2015.pdf</w:t>
      </w:r>
    </w:p>
  </w:footnote>
  <w:footnote w:id="72">
    <w:p w14:paraId="7AB339DA" w14:textId="77777777" w:rsidR="00243660" w:rsidRPr="00A7138A" w:rsidRDefault="00243660" w:rsidP="00396809">
      <w:pPr>
        <w:pStyle w:val="FootnoteText"/>
        <w:rPr>
          <w:lang w:val="en-US"/>
        </w:rPr>
      </w:pPr>
      <w:r>
        <w:rPr>
          <w:rStyle w:val="FootnoteReference"/>
        </w:rPr>
        <w:footnoteRef/>
      </w:r>
      <w:r>
        <w:t xml:space="preserve"> In 2015 the World Bank announced a revised or updated figure of $3.10 as their current measure for international poverty. </w:t>
      </w:r>
      <w:r w:rsidRPr="00E116B3">
        <w:t>https://www.ineteconomics.org/uploads/general/WBPovBlogOct6PostinFinal.pdf</w:t>
      </w:r>
    </w:p>
  </w:footnote>
  <w:footnote w:id="73">
    <w:p w14:paraId="48BF638B" w14:textId="77777777" w:rsidR="00243660" w:rsidRPr="00C474A0" w:rsidRDefault="00243660" w:rsidP="00396809">
      <w:pPr>
        <w:jc w:val="both"/>
        <w:rPr>
          <w:lang w:val="en-US"/>
        </w:rPr>
      </w:pPr>
      <w:r w:rsidRPr="009C69B6">
        <w:rPr>
          <w:rStyle w:val="FootnoteReference"/>
          <w:sz w:val="12"/>
          <w:szCs w:val="20"/>
        </w:rPr>
        <w:footnoteRef/>
      </w:r>
      <w:r w:rsidRPr="009C69B6">
        <w:rPr>
          <w:rStyle w:val="FootnoteReference"/>
          <w:sz w:val="12"/>
          <w:szCs w:val="20"/>
        </w:rPr>
        <w:t xml:space="preserve"> </w:t>
      </w:r>
      <w:r w:rsidRPr="009C69B6">
        <w:rPr>
          <w:sz w:val="12"/>
          <w:szCs w:val="20"/>
        </w:rPr>
        <w:t xml:space="preserve">The combined urban and rural incidence of poverty in the more eastern provinces of Indonesia is greater than other parts of the country: it is for example in Papua, 74%; West Papua, 69%; NTT and NTB, 60%; East Java and Central Java at 51% and 57% respectively. Most of Indonesia’s poor, however, live in rural areas where the incidence of poverty is 68% higher than in urban areas. </w:t>
      </w:r>
    </w:p>
  </w:footnote>
  <w:footnote w:id="74">
    <w:p w14:paraId="715AB55E" w14:textId="7F8C50CC" w:rsidR="00243660" w:rsidRPr="00080199" w:rsidRDefault="00243660" w:rsidP="000A20DA">
      <w:pPr>
        <w:pStyle w:val="FootnoteText"/>
        <w:ind w:left="0" w:firstLine="0"/>
        <w:rPr>
          <w:lang w:val="en-US"/>
        </w:rPr>
      </w:pPr>
      <w:r>
        <w:rPr>
          <w:rStyle w:val="FootnoteReference"/>
        </w:rPr>
        <w:footnoteRef/>
      </w:r>
      <w:r>
        <w:t xml:space="preserve"> </w:t>
      </w:r>
      <w:r>
        <w:rPr>
          <w:lang w:val="en-US"/>
        </w:rPr>
        <w:t>The weighted average for the NAIC percentage is determined by multiplying the % of the NAIC for that intervention by the % that that intervention represents of PRISMA’s total portfolio and then averaging these increases.</w:t>
      </w:r>
    </w:p>
  </w:footnote>
  <w:footnote w:id="75">
    <w:p w14:paraId="49BB283F" w14:textId="7866C8CF" w:rsidR="00243660" w:rsidRDefault="00243660">
      <w:pPr>
        <w:pStyle w:val="FootnoteText"/>
      </w:pPr>
      <w:r>
        <w:rPr>
          <w:rStyle w:val="FootnoteReference"/>
        </w:rPr>
        <w:footnoteRef/>
      </w:r>
      <w:r>
        <w:t xml:space="preserve"> Rogers, E. (</w:t>
      </w:r>
      <w:r w:rsidRPr="00654E4B">
        <w:t>1995</w:t>
      </w:r>
      <w:r>
        <w:t>)</w:t>
      </w:r>
      <w:r w:rsidRPr="00654E4B">
        <w:t xml:space="preserve"> Diffusion of Innovations, 4th edition</w:t>
      </w:r>
    </w:p>
  </w:footnote>
  <w:footnote w:id="76">
    <w:p w14:paraId="66463FB2" w14:textId="77777777" w:rsidR="00243660" w:rsidRPr="00E6708B" w:rsidRDefault="00243660" w:rsidP="00DC071E">
      <w:pPr>
        <w:pStyle w:val="FootnoteText"/>
        <w:spacing w:before="0"/>
        <w:rPr>
          <w:sz w:val="16"/>
          <w:szCs w:val="16"/>
          <w:lang w:val="en-US"/>
        </w:rPr>
      </w:pPr>
      <w:r>
        <w:rPr>
          <w:rStyle w:val="FootnoteReference"/>
        </w:rPr>
        <w:footnoteRef/>
      </w:r>
      <w:r>
        <w:t xml:space="preserve"> </w:t>
      </w:r>
      <w:r w:rsidRPr="00E6708B">
        <w:rPr>
          <w:sz w:val="16"/>
          <w:szCs w:val="16"/>
          <w:lang w:val="en-US"/>
        </w:rPr>
        <w:t xml:space="preserve">Donor Committee for Enterprise Development – see: </w:t>
      </w:r>
      <w:hyperlink r:id="rId22" w:history="1">
        <w:r w:rsidRPr="00E6708B">
          <w:rPr>
            <w:rStyle w:val="Hyperlink"/>
            <w:sz w:val="16"/>
            <w:szCs w:val="16"/>
            <w:lang w:val="en-US"/>
          </w:rPr>
          <w:t>www.enterprise-development.org/measuring-results-the-dced-standard/</w:t>
        </w:r>
      </w:hyperlink>
      <w:r w:rsidRPr="00E6708B">
        <w:rPr>
          <w:sz w:val="16"/>
          <w:szCs w:val="16"/>
          <w:lang w:val="en-US"/>
        </w:rPr>
        <w:t xml:space="preserve"> </w:t>
      </w:r>
      <w:r>
        <w:rPr>
          <w:sz w:val="16"/>
          <w:szCs w:val="16"/>
          <w:lang w:val="en-US"/>
        </w:rPr>
        <w:t xml:space="preserve"> </w:t>
      </w:r>
      <w:r w:rsidRPr="00D86CE0">
        <w:rPr>
          <w:sz w:val="16"/>
          <w:szCs w:val="16"/>
          <w:lang w:val="en-US"/>
        </w:rPr>
        <w:t>Over 120 projects in more than 50 countries currently apply the DCED Standard for results measurement</w:t>
      </w:r>
      <w:r>
        <w:rPr>
          <w:sz w:val="16"/>
          <w:szCs w:val="16"/>
          <w:lang w:val="en-US"/>
        </w:rPr>
        <w:t>.</w:t>
      </w:r>
    </w:p>
  </w:footnote>
  <w:footnote w:id="77">
    <w:p w14:paraId="3BA806A2" w14:textId="77777777" w:rsidR="00243660" w:rsidRPr="007A0995" w:rsidRDefault="00243660" w:rsidP="00F50E26">
      <w:pPr>
        <w:pStyle w:val="FootnoteText"/>
        <w:rPr>
          <w:lang w:val="en-US"/>
        </w:rPr>
      </w:pPr>
      <w:r>
        <w:rPr>
          <w:rStyle w:val="FootnoteReference"/>
        </w:rPr>
        <w:footnoteRef/>
      </w:r>
      <w:r>
        <w:t xml:space="preserve"> </w:t>
      </w:r>
      <w:r>
        <w:rPr>
          <w:lang w:val="en-US"/>
        </w:rPr>
        <w:t>For details, see the 2016-17 Indonesia Annual Program Performance Report and PAF at:</w:t>
      </w:r>
      <w:r w:rsidRPr="005C2288">
        <w:rPr>
          <w:lang w:val="en-US"/>
        </w:rPr>
        <w:t xml:space="preserve"> </w:t>
      </w:r>
      <w:hyperlink r:id="rId23" w:history="1">
        <w:r w:rsidRPr="00FC3C77">
          <w:rPr>
            <w:rStyle w:val="Hyperlink"/>
            <w:rFonts w:cstheme="minorBidi"/>
            <w:lang w:val="en-US"/>
          </w:rPr>
          <w:t>http://dfat.gov.au/about-us/publications/Pages/indonesia-aid-program-performance-report-2016-17.aspx</w:t>
        </w:r>
      </w:hyperlink>
      <w:r>
        <w:rPr>
          <w:lang w:val="en-US"/>
        </w:rPr>
        <w:t xml:space="preserve"> </w:t>
      </w:r>
    </w:p>
  </w:footnote>
  <w:footnote w:id="78">
    <w:p w14:paraId="30068F45" w14:textId="77777777" w:rsidR="00243660" w:rsidRPr="00852CF8" w:rsidRDefault="00243660" w:rsidP="00DC071E">
      <w:pPr>
        <w:pStyle w:val="FootnoteText"/>
        <w:rPr>
          <w:lang w:val="en-US"/>
        </w:rPr>
      </w:pPr>
      <w:r>
        <w:rPr>
          <w:rStyle w:val="FootnoteReference"/>
        </w:rPr>
        <w:footnoteRef/>
      </w:r>
      <w:r>
        <w:t xml:space="preserve">  </w:t>
      </w:r>
      <w:hyperlink r:id="rId24" w:history="1">
        <w:r w:rsidRPr="000F6B71">
          <w:rPr>
            <w:rStyle w:val="Hyperlink"/>
            <w:sz w:val="16"/>
            <w:szCs w:val="16"/>
          </w:rPr>
          <w:t>http://aip-rural.or.id/uploads/publication_files/PRISMA_Stft_Coffee_Government_the_Private_Sector_eng.pdf</w:t>
        </w:r>
      </w:hyperlink>
    </w:p>
  </w:footnote>
  <w:footnote w:id="79">
    <w:p w14:paraId="06B30A5C" w14:textId="77777777" w:rsidR="00243660" w:rsidRPr="00852CF8" w:rsidRDefault="00243660" w:rsidP="00DC071E">
      <w:pPr>
        <w:pStyle w:val="FootnoteText"/>
        <w:rPr>
          <w:lang w:val="en-US"/>
        </w:rPr>
      </w:pPr>
      <w:r>
        <w:rPr>
          <w:rStyle w:val="FootnoteReference"/>
        </w:rPr>
        <w:footnoteRef/>
      </w:r>
      <w:r>
        <w:t xml:space="preserve">  </w:t>
      </w:r>
      <w:hyperlink r:id="rId25" w:history="1">
        <w:r w:rsidRPr="0087652E">
          <w:rPr>
            <w:rStyle w:val="Hyperlink"/>
            <w:sz w:val="16"/>
            <w:szCs w:val="16"/>
          </w:rPr>
          <w:t>http://aip-rural.or.id/index.php/media/detail/10</w:t>
        </w:r>
      </w:hyperlink>
    </w:p>
  </w:footnote>
  <w:footnote w:id="80">
    <w:p w14:paraId="1DA1190E" w14:textId="77777777" w:rsidR="00243660" w:rsidRPr="00852CF8" w:rsidRDefault="00243660" w:rsidP="00DC071E">
      <w:pPr>
        <w:pStyle w:val="FootnoteText"/>
        <w:rPr>
          <w:lang w:val="en-US"/>
        </w:rPr>
      </w:pPr>
      <w:r>
        <w:rPr>
          <w:rStyle w:val="FootnoteReference"/>
        </w:rPr>
        <w:footnoteRef/>
      </w:r>
      <w:r>
        <w:t xml:space="preserve"> </w:t>
      </w:r>
      <w:hyperlink r:id="rId26" w:history="1">
        <w:r w:rsidRPr="00004037">
          <w:rPr>
            <w:rStyle w:val="Hyperlink"/>
            <w:sz w:val="16"/>
            <w:szCs w:val="16"/>
          </w:rPr>
          <w:t>http://aip-rural.or.id/uploads/publication_files/150810_Outreach_Cal_Module_NJF_ML1.pdf</w:t>
        </w:r>
      </w:hyperlink>
    </w:p>
  </w:footnote>
  <w:footnote w:id="81">
    <w:p w14:paraId="49F2ACD8" w14:textId="77777777" w:rsidR="00243660" w:rsidRPr="004A3B34" w:rsidRDefault="00243660" w:rsidP="00DC071E">
      <w:pPr>
        <w:pStyle w:val="FootnoteText"/>
        <w:spacing w:before="0"/>
        <w:rPr>
          <w:sz w:val="16"/>
          <w:szCs w:val="16"/>
        </w:rPr>
      </w:pPr>
      <w:r>
        <w:rPr>
          <w:rStyle w:val="FootnoteReference"/>
        </w:rPr>
        <w:footnoteRef/>
      </w:r>
      <w:r>
        <w:t xml:space="preserve"> </w:t>
      </w:r>
      <w:r w:rsidRPr="004A3B34">
        <w:rPr>
          <w:sz w:val="16"/>
          <w:szCs w:val="16"/>
        </w:rPr>
        <w:t xml:space="preserve">See: </w:t>
      </w:r>
      <w:hyperlink r:id="rId27" w:history="1">
        <w:r w:rsidRPr="004A3B34">
          <w:rPr>
            <w:rStyle w:val="Hyperlink"/>
            <w:sz w:val="16"/>
            <w:szCs w:val="16"/>
          </w:rPr>
          <w:t>https://dfat.gov.au/about-us/publications/Documents/monitoring-evaluation-standards.pdf</w:t>
        </w:r>
      </w:hyperlink>
      <w:r w:rsidRPr="004A3B34">
        <w:rPr>
          <w:sz w:val="16"/>
          <w:szCs w:val="16"/>
        </w:rPr>
        <w:t xml:space="preserve"> [Accessed February 17, 2017].</w:t>
      </w:r>
    </w:p>
  </w:footnote>
  <w:footnote w:id="82">
    <w:p w14:paraId="1510A439" w14:textId="77777777" w:rsidR="00243660" w:rsidRPr="008606F8" w:rsidRDefault="00243660" w:rsidP="008B1682">
      <w:pPr>
        <w:pStyle w:val="FootnoteText"/>
        <w:rPr>
          <w:lang w:val="en-US"/>
        </w:rPr>
      </w:pPr>
      <w:r>
        <w:rPr>
          <w:rStyle w:val="FootnoteReference"/>
        </w:rPr>
        <w:footnoteRef/>
      </w:r>
      <w:r>
        <w:t xml:space="preserve"> The basis for outreach calculations was the Government’s Agricultural Census of 2013. However, it became clear, during fieldwork connected with this design document, that some of the numbers of farming households are overstated in the census. This is especially the case in maize and cocoa</w:t>
      </w:r>
    </w:p>
  </w:footnote>
  <w:footnote w:id="83">
    <w:p w14:paraId="7A461CA4" w14:textId="77777777" w:rsidR="00243660" w:rsidRPr="00C6100C" w:rsidRDefault="00243660" w:rsidP="009B62B3">
      <w:pPr>
        <w:pStyle w:val="FootnoteText"/>
        <w:ind w:left="0" w:firstLine="0"/>
        <w:rPr>
          <w:rFonts w:ascii="Calibri" w:hAnsi="Calibri" w:cs="Calibri"/>
          <w:sz w:val="18"/>
          <w:szCs w:val="18"/>
        </w:rPr>
      </w:pPr>
    </w:p>
    <w:p w14:paraId="6EC5A9C0" w14:textId="77777777" w:rsidR="00243660" w:rsidRPr="00C6100C" w:rsidRDefault="00243660" w:rsidP="0000269C">
      <w:pPr>
        <w:pStyle w:val="FootnoteText"/>
        <w:rPr>
          <w:rFonts w:ascii="Calibri" w:hAnsi="Calibri" w:cs="Calibri"/>
          <w:sz w:val="18"/>
          <w:szCs w:val="18"/>
          <w:lang w:val="en-CA"/>
        </w:rPr>
      </w:pPr>
      <w:r w:rsidRPr="00C6100C">
        <w:rPr>
          <w:rStyle w:val="FootnoteReference"/>
          <w:rFonts w:ascii="Calibri" w:hAnsi="Calibri" w:cs="Calibri"/>
          <w:sz w:val="18"/>
          <w:szCs w:val="18"/>
        </w:rPr>
        <w:footnoteRef/>
      </w:r>
      <w:r w:rsidRPr="00C6100C">
        <w:rPr>
          <w:rFonts w:ascii="Calibri" w:hAnsi="Calibri" w:cs="Calibri"/>
          <w:sz w:val="18"/>
          <w:szCs w:val="18"/>
        </w:rPr>
        <w:t xml:space="preserve"> </w:t>
      </w:r>
      <w:proofErr w:type="gramStart"/>
      <w:r w:rsidRPr="00C6100C">
        <w:rPr>
          <w:rFonts w:ascii="Calibri" w:hAnsi="Calibri" w:cs="Calibri"/>
          <w:sz w:val="18"/>
          <w:szCs w:val="18"/>
        </w:rPr>
        <w:t>Department of Foreign Affairs and Trade</w:t>
      </w:r>
      <w:r w:rsidRPr="00C6100C">
        <w:rPr>
          <w:rFonts w:ascii="Calibri" w:hAnsi="Calibri" w:cs="Calibri"/>
          <w:sz w:val="18"/>
          <w:szCs w:val="18"/>
          <w:lang w:val="en-CA"/>
        </w:rPr>
        <w:t xml:space="preserve"> (2016) </w:t>
      </w:r>
      <w:r w:rsidRPr="00C6100C">
        <w:rPr>
          <w:rFonts w:ascii="Calibri" w:hAnsi="Calibri" w:cs="Calibri"/>
          <w:i/>
          <w:sz w:val="18"/>
          <w:szCs w:val="18"/>
          <w:lang w:val="en-CA"/>
        </w:rPr>
        <w:t>Gender Equality and Women’s Empowerment Strategy.</w:t>
      </w:r>
      <w:proofErr w:type="gramEnd"/>
      <w:r w:rsidRPr="00C6100C">
        <w:rPr>
          <w:rFonts w:ascii="Calibri" w:hAnsi="Calibri" w:cs="Calibri"/>
          <w:i/>
          <w:sz w:val="18"/>
          <w:szCs w:val="18"/>
          <w:lang w:val="en-CA"/>
        </w:rPr>
        <w:t xml:space="preserve"> </w:t>
      </w:r>
      <w:r w:rsidRPr="00C6100C">
        <w:rPr>
          <w:rFonts w:ascii="Calibri" w:hAnsi="Calibri" w:cs="Calibri"/>
          <w:sz w:val="18"/>
          <w:szCs w:val="18"/>
          <w:lang w:val="en-CA"/>
        </w:rPr>
        <w:t xml:space="preserve">Government of Australia </w:t>
      </w:r>
      <w:hyperlink r:id="rId28" w:history="1">
        <w:r w:rsidRPr="00C6100C">
          <w:rPr>
            <w:rStyle w:val="Hyperlink"/>
            <w:rFonts w:ascii="Calibri" w:hAnsi="Calibri" w:cs="Calibri"/>
            <w:sz w:val="18"/>
            <w:szCs w:val="18"/>
            <w:lang w:val="en-CA"/>
          </w:rPr>
          <w:t>http://dfat.gov.au/about-us/publications/Pages/gender-equality-and-womens-empowerment-strategy.aspx</w:t>
        </w:r>
      </w:hyperlink>
      <w:r w:rsidRPr="00C6100C">
        <w:rPr>
          <w:rFonts w:ascii="Calibri" w:hAnsi="Calibri" w:cs="Calibri"/>
          <w:sz w:val="18"/>
          <w:szCs w:val="18"/>
          <w:lang w:val="en-CA"/>
        </w:rPr>
        <w:t xml:space="preserve"> </w:t>
      </w:r>
    </w:p>
  </w:footnote>
  <w:footnote w:id="84">
    <w:p w14:paraId="300E136D" w14:textId="77777777" w:rsidR="00243660" w:rsidRPr="00C6100C" w:rsidRDefault="00243660" w:rsidP="0000269C">
      <w:pPr>
        <w:pStyle w:val="FootnoteText"/>
        <w:rPr>
          <w:rFonts w:ascii="Calibri" w:hAnsi="Calibri" w:cs="Calibri"/>
          <w:sz w:val="18"/>
          <w:szCs w:val="18"/>
        </w:rPr>
      </w:pPr>
      <w:r w:rsidRPr="00C6100C">
        <w:rPr>
          <w:rStyle w:val="FootnoteReference"/>
          <w:rFonts w:ascii="Calibri" w:hAnsi="Calibri" w:cs="Calibri"/>
          <w:sz w:val="18"/>
          <w:szCs w:val="18"/>
        </w:rPr>
        <w:footnoteRef/>
      </w:r>
      <w:r w:rsidRPr="00C6100C">
        <w:rPr>
          <w:rFonts w:ascii="Calibri" w:hAnsi="Calibri" w:cs="Calibri"/>
          <w:sz w:val="18"/>
          <w:szCs w:val="18"/>
        </w:rPr>
        <w:t xml:space="preserve"> DFAT (2015) </w:t>
      </w:r>
      <w:r w:rsidRPr="00C6100C">
        <w:rPr>
          <w:rFonts w:ascii="Calibri" w:hAnsi="Calibri" w:cs="Calibri"/>
          <w:color w:val="222222"/>
          <w:sz w:val="18"/>
          <w:szCs w:val="18"/>
        </w:rPr>
        <w:t xml:space="preserve">Gender equality and women’s economic empowerment in agriculture   </w:t>
      </w:r>
      <w:r w:rsidRPr="00C6100C">
        <w:rPr>
          <w:rFonts w:ascii="Calibri" w:hAnsi="Calibri" w:cs="Calibri"/>
          <w:color w:val="222222"/>
          <w:sz w:val="18"/>
          <w:szCs w:val="18"/>
        </w:rPr>
        <w:br/>
        <w:t>Operational Guidance Note</w:t>
      </w:r>
      <w:r w:rsidRPr="00C6100C">
        <w:rPr>
          <w:rFonts w:ascii="Calibri" w:hAnsi="Calibri" w:cs="Calibri"/>
          <w:sz w:val="18"/>
          <w:szCs w:val="18"/>
        </w:rPr>
        <w:t xml:space="preserve">  </w:t>
      </w:r>
      <w:hyperlink r:id="rId29" w:history="1">
        <w:r w:rsidRPr="00C6100C">
          <w:rPr>
            <w:rStyle w:val="Hyperlink"/>
            <w:rFonts w:ascii="Calibri" w:hAnsi="Calibri" w:cs="Calibri"/>
            <w:sz w:val="18"/>
            <w:szCs w:val="18"/>
          </w:rPr>
          <w:t>https://dfat.gov.au/about-us/publications/Documents/operational-guidance-note-gender-equality-and-womens-economic-empowerment-in-agriculture.pdf</w:t>
        </w:r>
      </w:hyperlink>
      <w:r w:rsidRPr="00C6100C">
        <w:rPr>
          <w:rFonts w:ascii="Calibri" w:hAnsi="Calibri" w:cs="Calibri"/>
          <w:sz w:val="18"/>
          <w:szCs w:val="18"/>
        </w:rPr>
        <w:t xml:space="preserve"> </w:t>
      </w:r>
    </w:p>
  </w:footnote>
  <w:footnote w:id="85">
    <w:p w14:paraId="270C0CFF" w14:textId="77777777" w:rsidR="00243660" w:rsidRPr="00C6100C" w:rsidRDefault="00243660" w:rsidP="0000269C">
      <w:pPr>
        <w:pStyle w:val="FootnoteText"/>
        <w:rPr>
          <w:rFonts w:ascii="Calibri" w:hAnsi="Calibri" w:cs="Calibri"/>
          <w:sz w:val="18"/>
          <w:szCs w:val="18"/>
        </w:rPr>
      </w:pPr>
      <w:r w:rsidRPr="00C6100C">
        <w:rPr>
          <w:rStyle w:val="FootnoteReference"/>
          <w:rFonts w:ascii="Calibri" w:hAnsi="Calibri" w:cs="Calibri"/>
          <w:sz w:val="18"/>
          <w:szCs w:val="18"/>
        </w:rPr>
        <w:footnoteRef/>
      </w:r>
      <w:r w:rsidRPr="00C6100C">
        <w:rPr>
          <w:rFonts w:ascii="Calibri" w:hAnsi="Calibri" w:cs="Calibri"/>
          <w:sz w:val="18"/>
          <w:szCs w:val="18"/>
        </w:rPr>
        <w:t xml:space="preserve"> </w:t>
      </w:r>
      <w:proofErr w:type="gramStart"/>
      <w:r w:rsidRPr="00C6100C">
        <w:rPr>
          <w:rFonts w:ascii="Calibri" w:hAnsi="Calibri" w:cs="Calibri"/>
          <w:sz w:val="18"/>
          <w:szCs w:val="18"/>
        </w:rPr>
        <w:t xml:space="preserve">Jones, L. (2012) Jones, L. (2012) </w:t>
      </w:r>
      <w:r w:rsidRPr="00C6100C">
        <w:rPr>
          <w:rFonts w:ascii="Calibri" w:hAnsi="Calibri" w:cs="Calibri"/>
          <w:i/>
          <w:sz w:val="18"/>
          <w:szCs w:val="18"/>
        </w:rPr>
        <w:t xml:space="preserve">Conceptual Framework for Women’s Economic Empowerment </w:t>
      </w:r>
      <w:r w:rsidRPr="00C6100C">
        <w:rPr>
          <w:rFonts w:ascii="Calibri" w:hAnsi="Calibri" w:cs="Calibri"/>
          <w:sz w:val="18"/>
          <w:szCs w:val="18"/>
        </w:rPr>
        <w:t xml:space="preserve">M4P Hub paper for DFID, </w:t>
      </w:r>
      <w:proofErr w:type="spellStart"/>
      <w:r w:rsidRPr="00C6100C">
        <w:rPr>
          <w:rFonts w:ascii="Calibri" w:hAnsi="Calibri" w:cs="Calibri"/>
          <w:sz w:val="18"/>
          <w:szCs w:val="18"/>
        </w:rPr>
        <w:t>Sida</w:t>
      </w:r>
      <w:proofErr w:type="spellEnd"/>
      <w:r w:rsidRPr="00C6100C">
        <w:rPr>
          <w:rFonts w:ascii="Calibri" w:hAnsi="Calibri" w:cs="Calibri"/>
          <w:sz w:val="18"/>
          <w:szCs w:val="18"/>
        </w:rPr>
        <w:t xml:space="preserve"> and SDC.</w:t>
      </w:r>
      <w:proofErr w:type="gramEnd"/>
      <w:r w:rsidRPr="00C6100C">
        <w:rPr>
          <w:rFonts w:ascii="Calibri" w:hAnsi="Calibri" w:cs="Calibri"/>
          <w:sz w:val="18"/>
          <w:szCs w:val="18"/>
        </w:rPr>
        <w:t xml:space="preserve"> </w:t>
      </w:r>
      <w:hyperlink r:id="rId30" w:history="1">
        <w:r w:rsidRPr="00C6100C">
          <w:rPr>
            <w:rStyle w:val="Hyperlink"/>
            <w:rFonts w:ascii="Calibri" w:hAnsi="Calibri" w:cs="Calibri"/>
            <w:sz w:val="18"/>
            <w:szCs w:val="18"/>
          </w:rPr>
          <w:t>http://www.springfieldcentre.com/wp-content/uploads/2012/11/M4P_WEE_Framework_Final.pdf</w:t>
        </w:r>
      </w:hyperlink>
    </w:p>
  </w:footnote>
  <w:footnote w:id="86">
    <w:p w14:paraId="145B68A8" w14:textId="77777777" w:rsidR="00243660" w:rsidRPr="00C6100C" w:rsidRDefault="00243660" w:rsidP="0000269C">
      <w:pPr>
        <w:pStyle w:val="FootnoteText"/>
        <w:rPr>
          <w:rFonts w:ascii="Calibri" w:hAnsi="Calibri" w:cs="Calibri"/>
          <w:sz w:val="18"/>
          <w:szCs w:val="18"/>
        </w:rPr>
      </w:pPr>
      <w:r w:rsidRPr="00C6100C">
        <w:rPr>
          <w:rStyle w:val="FootnoteReference"/>
          <w:rFonts w:ascii="Calibri" w:hAnsi="Calibri" w:cs="Calibri"/>
          <w:sz w:val="18"/>
          <w:szCs w:val="18"/>
        </w:rPr>
        <w:footnoteRef/>
      </w:r>
      <w:r w:rsidRPr="00C6100C">
        <w:rPr>
          <w:rFonts w:ascii="Calibri" w:hAnsi="Calibri" w:cs="Calibri"/>
          <w:sz w:val="18"/>
          <w:szCs w:val="18"/>
        </w:rPr>
        <w:t xml:space="preserve"> </w:t>
      </w:r>
      <w:proofErr w:type="gramStart"/>
      <w:r w:rsidRPr="00C6100C">
        <w:rPr>
          <w:rFonts w:ascii="Calibri" w:hAnsi="Calibri" w:cs="Calibri"/>
          <w:sz w:val="18"/>
          <w:szCs w:val="18"/>
        </w:rPr>
        <w:t xml:space="preserve">Markel, E. (2014) </w:t>
      </w:r>
      <w:r w:rsidRPr="00C6100C">
        <w:rPr>
          <w:rFonts w:ascii="Calibri" w:hAnsi="Calibri" w:cs="Calibri"/>
          <w:i/>
          <w:sz w:val="18"/>
          <w:szCs w:val="18"/>
        </w:rPr>
        <w:t>Measuring Women’s Economic Empowerment in Private Sector Development.</w:t>
      </w:r>
      <w:proofErr w:type="gramEnd"/>
      <w:r w:rsidRPr="00C6100C">
        <w:rPr>
          <w:rFonts w:ascii="Calibri" w:hAnsi="Calibri" w:cs="Calibri"/>
          <w:sz w:val="18"/>
          <w:szCs w:val="18"/>
        </w:rPr>
        <w:t xml:space="preserve"> The Donor Committee for Enterprise Development (DCED) </w:t>
      </w:r>
    </w:p>
  </w:footnote>
  <w:footnote w:id="87">
    <w:p w14:paraId="11CABC97" w14:textId="77777777" w:rsidR="00243660" w:rsidRPr="00C6100C" w:rsidRDefault="00243660" w:rsidP="0000269C">
      <w:pPr>
        <w:pStyle w:val="FootnoteText"/>
        <w:rPr>
          <w:rFonts w:ascii="Calibri" w:hAnsi="Calibri" w:cs="Calibri"/>
          <w:sz w:val="18"/>
          <w:szCs w:val="18"/>
        </w:rPr>
      </w:pPr>
      <w:r w:rsidRPr="00C6100C">
        <w:rPr>
          <w:rStyle w:val="FootnoteReference"/>
          <w:rFonts w:ascii="Calibri" w:hAnsi="Calibri" w:cs="Calibri"/>
          <w:sz w:val="18"/>
          <w:szCs w:val="18"/>
        </w:rPr>
        <w:footnoteRef/>
      </w:r>
      <w:r w:rsidRPr="00C6100C">
        <w:rPr>
          <w:rFonts w:ascii="Calibri" w:hAnsi="Calibri" w:cs="Calibri"/>
          <w:sz w:val="18"/>
          <w:szCs w:val="18"/>
        </w:rPr>
        <w:t xml:space="preserve"> IFPRI / USAID (2012) </w:t>
      </w:r>
      <w:r w:rsidRPr="00C6100C">
        <w:rPr>
          <w:rFonts w:ascii="Calibri" w:hAnsi="Calibri" w:cs="Calibri"/>
          <w:i/>
          <w:sz w:val="18"/>
          <w:szCs w:val="18"/>
        </w:rPr>
        <w:t xml:space="preserve">Women’s Empowerment in Agriculture Index  </w:t>
      </w:r>
      <w:hyperlink r:id="rId31" w:history="1">
        <w:r w:rsidRPr="00C6100C">
          <w:rPr>
            <w:rStyle w:val="Hyperlink"/>
            <w:rFonts w:ascii="Calibri" w:hAnsi="Calibri" w:cs="Calibri"/>
            <w:sz w:val="18"/>
            <w:szCs w:val="18"/>
          </w:rPr>
          <w:t>http://feedthefuture.gov/lp/womens-empowerment-agriculture-index</w:t>
        </w:r>
      </w:hyperlink>
    </w:p>
  </w:footnote>
  <w:footnote w:id="88">
    <w:p w14:paraId="29B1B23E" w14:textId="77777777" w:rsidR="00243660" w:rsidRDefault="00243660" w:rsidP="0000269C">
      <w:pPr>
        <w:autoSpaceDE w:val="0"/>
        <w:autoSpaceDN w:val="0"/>
        <w:adjustRightInd w:val="0"/>
        <w:spacing w:after="0" w:line="240" w:lineRule="auto"/>
        <w:rPr>
          <w:rFonts w:ascii="FranklinGothicBook" w:hAnsi="FranklinGothicBook" w:cs="FranklinGothicBook"/>
          <w:sz w:val="15"/>
          <w:szCs w:val="15"/>
        </w:rPr>
      </w:pPr>
      <w:r>
        <w:rPr>
          <w:rStyle w:val="FootnoteReference"/>
        </w:rPr>
        <w:footnoteRef/>
      </w:r>
      <w:r>
        <w:t xml:space="preserve"> </w:t>
      </w:r>
      <w:r>
        <w:rPr>
          <w:rFonts w:ascii="FranklinGothicBook" w:hAnsi="FranklinGothicBook" w:cs="FranklinGothicBook"/>
          <w:sz w:val="15"/>
          <w:szCs w:val="15"/>
        </w:rPr>
        <w:t xml:space="preserve">Rao, A. and Kelleher, D. (2005) </w:t>
      </w:r>
      <w:r>
        <w:rPr>
          <w:rFonts w:ascii="FranklinGothicBook,Italic" w:hAnsi="FranklinGothicBook,Italic" w:cs="FranklinGothicBook,Italic"/>
          <w:i/>
          <w:iCs/>
          <w:sz w:val="15"/>
          <w:szCs w:val="15"/>
        </w:rPr>
        <w:t xml:space="preserve">Is there life after gender mainstreaming?, </w:t>
      </w:r>
      <w:r>
        <w:rPr>
          <w:rFonts w:ascii="FranklinGothicBook" w:hAnsi="FranklinGothicBook" w:cs="FranklinGothicBook"/>
          <w:sz w:val="15"/>
          <w:szCs w:val="15"/>
        </w:rPr>
        <w:t>Gender &amp; Development,</w:t>
      </w:r>
    </w:p>
    <w:p w14:paraId="210FAFA5" w14:textId="77777777" w:rsidR="00243660" w:rsidRPr="00ED6FF3" w:rsidRDefault="00243660" w:rsidP="0000269C">
      <w:pPr>
        <w:pStyle w:val="FootnoteText"/>
        <w:rPr>
          <w:lang w:val="en-US"/>
        </w:rPr>
      </w:pPr>
      <w:r>
        <w:rPr>
          <w:rFonts w:ascii="FranklinGothicBook" w:hAnsi="FranklinGothicBook" w:cs="FranklinGothicBook"/>
          <w:sz w:val="15"/>
          <w:szCs w:val="15"/>
        </w:rPr>
        <w:t xml:space="preserve">13:2, 57-69 </w:t>
      </w:r>
      <w:hyperlink r:id="rId32" w:history="1">
        <w:r w:rsidRPr="007851F4">
          <w:rPr>
            <w:rStyle w:val="Hyperlink"/>
            <w:rFonts w:ascii="FranklinGothicBook" w:hAnsi="FranklinGothicBook" w:cs="FranklinGothicBook"/>
            <w:sz w:val="15"/>
            <w:szCs w:val="15"/>
          </w:rPr>
          <w:t>http://yfa.awid.org/wp-content/uploads/2010/03/life_after_mainstreaming.pdf</w:t>
        </w:r>
      </w:hyperlink>
      <w:r>
        <w:rPr>
          <w:rFonts w:ascii="FranklinGothicBook" w:hAnsi="FranklinGothicBook" w:cs="FranklinGothicBook"/>
          <w:sz w:val="15"/>
          <w:szCs w:val="15"/>
        </w:rPr>
        <w:t xml:space="preserve"> </w:t>
      </w:r>
    </w:p>
  </w:footnote>
  <w:footnote w:id="89">
    <w:p w14:paraId="71D20C7A" w14:textId="77777777" w:rsidR="00243660" w:rsidRPr="00C6100C" w:rsidRDefault="00243660" w:rsidP="0000269C">
      <w:pPr>
        <w:pStyle w:val="FootnoteText"/>
        <w:rPr>
          <w:rFonts w:ascii="Calibri" w:hAnsi="Calibri" w:cs="Calibri"/>
          <w:sz w:val="18"/>
          <w:szCs w:val="18"/>
        </w:rPr>
      </w:pPr>
      <w:r w:rsidRPr="00C6100C">
        <w:rPr>
          <w:rStyle w:val="FootnoteReference"/>
          <w:rFonts w:ascii="Calibri" w:hAnsi="Calibri" w:cs="Calibri"/>
          <w:sz w:val="18"/>
          <w:szCs w:val="18"/>
        </w:rPr>
        <w:footnoteRef/>
      </w:r>
      <w:r w:rsidRPr="00C6100C">
        <w:rPr>
          <w:rFonts w:ascii="Calibri" w:hAnsi="Calibri" w:cs="Calibri"/>
          <w:sz w:val="18"/>
          <w:szCs w:val="18"/>
        </w:rPr>
        <w:t xml:space="preserve"> For the seminal M4P WEE Framework see Jones, L. (2012) Jones, </w:t>
      </w:r>
      <w:proofErr w:type="gramStart"/>
      <w:r w:rsidRPr="00C6100C">
        <w:rPr>
          <w:rFonts w:ascii="Calibri" w:hAnsi="Calibri" w:cs="Calibri"/>
          <w:sz w:val="18"/>
          <w:szCs w:val="18"/>
        </w:rPr>
        <w:t>L</w:t>
      </w:r>
      <w:proofErr w:type="gramEnd"/>
      <w:r w:rsidRPr="00C6100C">
        <w:rPr>
          <w:rFonts w:ascii="Calibri" w:hAnsi="Calibri" w:cs="Calibri"/>
          <w:sz w:val="18"/>
          <w:szCs w:val="18"/>
        </w:rPr>
        <w:t xml:space="preserve">. (2012) </w:t>
      </w:r>
      <w:r w:rsidRPr="00C6100C">
        <w:rPr>
          <w:rFonts w:ascii="Calibri" w:hAnsi="Calibri" w:cs="Calibri"/>
          <w:i/>
          <w:sz w:val="18"/>
          <w:szCs w:val="18"/>
        </w:rPr>
        <w:t xml:space="preserve">Conceptual Framework for Women’s Economic Empowerment </w:t>
      </w:r>
      <w:r w:rsidRPr="00C6100C">
        <w:rPr>
          <w:rFonts w:ascii="Calibri" w:hAnsi="Calibri" w:cs="Calibri"/>
          <w:sz w:val="18"/>
          <w:szCs w:val="18"/>
        </w:rPr>
        <w:t xml:space="preserve">M4P Hub paper for DFID, </w:t>
      </w:r>
      <w:proofErr w:type="spellStart"/>
      <w:r w:rsidRPr="00C6100C">
        <w:rPr>
          <w:rFonts w:ascii="Calibri" w:hAnsi="Calibri" w:cs="Calibri"/>
          <w:sz w:val="18"/>
          <w:szCs w:val="18"/>
        </w:rPr>
        <w:t>Sida</w:t>
      </w:r>
      <w:proofErr w:type="spellEnd"/>
      <w:r w:rsidRPr="00C6100C">
        <w:rPr>
          <w:rFonts w:ascii="Calibri" w:hAnsi="Calibri" w:cs="Calibri"/>
          <w:sz w:val="18"/>
          <w:szCs w:val="18"/>
        </w:rPr>
        <w:t xml:space="preserve"> and SDC. </w:t>
      </w:r>
      <w:hyperlink r:id="rId33" w:history="1">
        <w:r w:rsidRPr="00C6100C">
          <w:rPr>
            <w:rStyle w:val="Hyperlink"/>
            <w:rFonts w:ascii="Calibri" w:hAnsi="Calibri" w:cs="Calibri"/>
            <w:sz w:val="18"/>
            <w:szCs w:val="18"/>
          </w:rPr>
          <w:t>http://www.springfieldcentre.com/wp-content/uploads/2012/11/M4P_WEE_Framework_Final.pdf</w:t>
        </w:r>
      </w:hyperlink>
    </w:p>
  </w:footnote>
  <w:footnote w:id="90">
    <w:p w14:paraId="2235A5B9" w14:textId="77777777" w:rsidR="00243660" w:rsidRPr="00C6100C" w:rsidRDefault="00243660" w:rsidP="0000269C">
      <w:pPr>
        <w:pStyle w:val="FootnoteText"/>
        <w:rPr>
          <w:rFonts w:ascii="Calibri" w:hAnsi="Calibri" w:cs="Calibri"/>
          <w:sz w:val="18"/>
          <w:szCs w:val="18"/>
        </w:rPr>
      </w:pPr>
      <w:r w:rsidRPr="00C6100C">
        <w:rPr>
          <w:rStyle w:val="FootnoteReference"/>
          <w:rFonts w:ascii="Calibri" w:hAnsi="Calibri" w:cs="Calibri"/>
          <w:sz w:val="18"/>
          <w:szCs w:val="18"/>
        </w:rPr>
        <w:footnoteRef/>
      </w:r>
      <w:r w:rsidRPr="00C6100C">
        <w:rPr>
          <w:rFonts w:ascii="Calibri" w:hAnsi="Calibri" w:cs="Calibri"/>
          <w:sz w:val="18"/>
          <w:szCs w:val="18"/>
        </w:rPr>
        <w:t xml:space="preserve"> </w:t>
      </w:r>
      <w:proofErr w:type="spellStart"/>
      <w:r w:rsidRPr="00C6100C">
        <w:rPr>
          <w:rFonts w:ascii="Calibri" w:hAnsi="Calibri" w:cs="Calibri"/>
          <w:sz w:val="18"/>
          <w:szCs w:val="18"/>
        </w:rPr>
        <w:t>Bekkers</w:t>
      </w:r>
      <w:proofErr w:type="spellEnd"/>
      <w:r w:rsidRPr="00C6100C">
        <w:rPr>
          <w:rFonts w:ascii="Calibri" w:hAnsi="Calibri" w:cs="Calibri"/>
          <w:sz w:val="18"/>
          <w:szCs w:val="18"/>
        </w:rPr>
        <w:t xml:space="preserve">, H., Carter, V. and Jones, L. (2015) </w:t>
      </w:r>
      <w:r w:rsidRPr="00C6100C">
        <w:rPr>
          <w:rFonts w:ascii="Calibri" w:hAnsi="Calibri" w:cs="Calibri"/>
          <w:bCs/>
          <w:i/>
          <w:sz w:val="18"/>
          <w:szCs w:val="18"/>
        </w:rPr>
        <w:t xml:space="preserve">Women’s Economic Empowerment </w:t>
      </w:r>
      <w:r w:rsidRPr="00C6100C">
        <w:rPr>
          <w:rFonts w:ascii="Calibri" w:hAnsi="Calibri" w:cs="Calibri"/>
          <w:i/>
          <w:sz w:val="18"/>
          <w:szCs w:val="18"/>
        </w:rPr>
        <w:t xml:space="preserve">How Women Contribute to and Benefit from Growth. </w:t>
      </w:r>
      <w:proofErr w:type="gramStart"/>
      <w:r w:rsidRPr="00C6100C">
        <w:rPr>
          <w:rFonts w:ascii="Calibri" w:hAnsi="Calibri" w:cs="Calibri"/>
          <w:sz w:val="18"/>
          <w:szCs w:val="18"/>
        </w:rPr>
        <w:t>Market Development Facility.</w:t>
      </w:r>
      <w:proofErr w:type="gramEnd"/>
      <w:r w:rsidRPr="00C6100C">
        <w:rPr>
          <w:rFonts w:ascii="Calibri" w:hAnsi="Calibri" w:cs="Calibri"/>
          <w:sz w:val="18"/>
          <w:szCs w:val="18"/>
        </w:rPr>
        <w:t xml:space="preserve"> </w:t>
      </w:r>
      <w:hyperlink r:id="rId34" w:history="1">
        <w:r w:rsidRPr="00C6100C">
          <w:rPr>
            <w:rStyle w:val="Hyperlink"/>
            <w:rFonts w:ascii="Calibri" w:hAnsi="Calibri" w:cs="Calibri"/>
            <w:sz w:val="18"/>
            <w:szCs w:val="18"/>
          </w:rPr>
          <w:t>http://marketdevelopmentfacility.org/wp-content/uploads/2015/09/Womens-Economic-Empowerment.pdf</w:t>
        </w:r>
      </w:hyperlink>
    </w:p>
  </w:footnote>
  <w:footnote w:id="91">
    <w:p w14:paraId="7F23785B" w14:textId="77777777" w:rsidR="00243660" w:rsidRPr="000E383C" w:rsidRDefault="00243660" w:rsidP="0000269C">
      <w:pPr>
        <w:pStyle w:val="Default"/>
        <w:rPr>
          <w:rFonts w:asciiTheme="minorHAnsi" w:hAnsiTheme="minorHAnsi" w:cstheme="minorHAnsi"/>
          <w:sz w:val="12"/>
          <w:szCs w:val="12"/>
        </w:rPr>
      </w:pPr>
      <w:r w:rsidRPr="000E383C">
        <w:rPr>
          <w:rStyle w:val="FootnoteReference"/>
          <w:rFonts w:asciiTheme="minorHAnsi" w:hAnsiTheme="minorHAnsi" w:cstheme="minorHAnsi"/>
          <w:sz w:val="12"/>
          <w:szCs w:val="12"/>
        </w:rPr>
        <w:footnoteRef/>
      </w:r>
      <w:r w:rsidRPr="000E383C">
        <w:rPr>
          <w:rFonts w:asciiTheme="minorHAnsi" w:hAnsiTheme="minorHAnsi" w:cstheme="minorHAnsi"/>
          <w:sz w:val="12"/>
          <w:szCs w:val="12"/>
        </w:rPr>
        <w:t xml:space="preserve"> DFAT (2016)  </w:t>
      </w:r>
      <w:r w:rsidRPr="000E383C">
        <w:rPr>
          <w:rFonts w:asciiTheme="minorHAnsi" w:hAnsiTheme="minorHAnsi" w:cstheme="minorHAnsi"/>
          <w:i/>
          <w:sz w:val="12"/>
          <w:szCs w:val="12"/>
        </w:rPr>
        <w:t xml:space="preserve">Gender-Responsive Equitable Agriculture and Tourism(GREAT) Investment Design Document   </w:t>
      </w:r>
      <w:hyperlink r:id="rId35" w:history="1">
        <w:r w:rsidRPr="000E383C">
          <w:rPr>
            <w:rStyle w:val="Hyperlink"/>
            <w:rFonts w:cstheme="minorHAnsi"/>
            <w:sz w:val="12"/>
            <w:szCs w:val="12"/>
          </w:rPr>
          <w:t>http://dfat.gov.au/about-us/business-opportunities/tenders/Documents/gender-responsive-equitable-agriculture-and-tourism-program-vietnam-design.pdf</w:t>
        </w:r>
      </w:hyperlink>
      <w:r w:rsidRPr="000E383C">
        <w:rPr>
          <w:rFonts w:asciiTheme="minorHAnsi" w:hAnsiTheme="minorHAnsi" w:cstheme="minorHAnsi"/>
          <w:sz w:val="12"/>
          <w:szCs w:val="12"/>
        </w:rPr>
        <w:t xml:space="preserve"> </w:t>
      </w:r>
    </w:p>
  </w:footnote>
  <w:footnote w:id="92">
    <w:p w14:paraId="0ECD2636" w14:textId="77777777" w:rsidR="00243660" w:rsidRPr="000E383C" w:rsidRDefault="00243660" w:rsidP="0000269C">
      <w:pPr>
        <w:pStyle w:val="FootnoteText"/>
        <w:rPr>
          <w:rFonts w:cstheme="minorHAnsi"/>
          <w:szCs w:val="12"/>
        </w:rPr>
      </w:pPr>
      <w:r w:rsidRPr="000E383C">
        <w:rPr>
          <w:rStyle w:val="FootnoteReference"/>
          <w:rFonts w:cstheme="minorHAnsi"/>
          <w:szCs w:val="12"/>
        </w:rPr>
        <w:footnoteRef/>
      </w:r>
      <w:r w:rsidRPr="000E383C">
        <w:rPr>
          <w:rFonts w:cstheme="minorHAnsi"/>
          <w:szCs w:val="12"/>
        </w:rPr>
        <w:t xml:space="preserve"> </w:t>
      </w:r>
      <w:proofErr w:type="spellStart"/>
      <w:r w:rsidRPr="000E383C">
        <w:rPr>
          <w:rFonts w:cstheme="minorHAnsi"/>
          <w:szCs w:val="12"/>
        </w:rPr>
        <w:t>Golla</w:t>
      </w:r>
      <w:proofErr w:type="spellEnd"/>
      <w:r w:rsidRPr="000E383C">
        <w:rPr>
          <w:rFonts w:cstheme="minorHAnsi"/>
          <w:szCs w:val="12"/>
        </w:rPr>
        <w:t xml:space="preserve">, A. et al (2011) </w:t>
      </w:r>
      <w:r w:rsidRPr="000E383C">
        <w:rPr>
          <w:rFonts w:cstheme="minorHAnsi"/>
          <w:i/>
          <w:szCs w:val="12"/>
        </w:rPr>
        <w:t xml:space="preserve">Measuring Women’s Economic Empowerment: Definition, Framework and Indicators. </w:t>
      </w:r>
      <w:r w:rsidRPr="000E383C">
        <w:rPr>
          <w:rFonts w:cstheme="minorHAnsi"/>
          <w:szCs w:val="12"/>
        </w:rPr>
        <w:t xml:space="preserve">Washington, DC: International Centre for Research on Women. </w:t>
      </w:r>
      <w:hyperlink r:id="rId36" w:history="1">
        <w:r w:rsidRPr="000E383C">
          <w:rPr>
            <w:rStyle w:val="Hyperlink"/>
            <w:rFonts w:cstheme="minorHAnsi"/>
            <w:szCs w:val="12"/>
          </w:rPr>
          <w:t>http://www.icrw.org/files/publications/Understanding-measuring-womens-economic-empowerment.pdf</w:t>
        </w:r>
      </w:hyperlink>
      <w:r w:rsidRPr="000E383C">
        <w:rPr>
          <w:rFonts w:cstheme="minorHAnsi"/>
          <w:szCs w:val="12"/>
        </w:rPr>
        <w:t xml:space="preserve"> </w:t>
      </w:r>
    </w:p>
  </w:footnote>
  <w:footnote w:id="93">
    <w:p w14:paraId="6F3F8F80" w14:textId="77777777" w:rsidR="00243660" w:rsidRPr="0021369D" w:rsidRDefault="00243660" w:rsidP="0000269C">
      <w:pPr>
        <w:pStyle w:val="FootnoteText"/>
        <w:rPr>
          <w:lang w:val="en-US"/>
        </w:rPr>
      </w:pPr>
      <w:r>
        <w:rPr>
          <w:rStyle w:val="FootnoteReference"/>
        </w:rPr>
        <w:footnoteRef/>
      </w:r>
      <w:r>
        <w:t xml:space="preserve"> </w:t>
      </w:r>
      <w:r>
        <w:rPr>
          <w:lang w:val="en-US"/>
        </w:rPr>
        <w:t xml:space="preserve">The term “agency” is used her to describe the ability or power that a woman possesses to influence her environment, an example of this in PRISMA would be women service providers having the capacity and confidence to take on the role of selling agricultural inputs to other farmers. </w:t>
      </w:r>
    </w:p>
  </w:footnote>
  <w:footnote w:id="94">
    <w:p w14:paraId="74710FF1" w14:textId="77777777" w:rsidR="00243660" w:rsidRPr="000E383C" w:rsidRDefault="00243660" w:rsidP="0000269C">
      <w:pPr>
        <w:pStyle w:val="FootnoteText"/>
        <w:rPr>
          <w:rFonts w:ascii="Calibri" w:hAnsi="Calibri" w:cs="Calibri"/>
          <w:szCs w:val="12"/>
        </w:rPr>
      </w:pPr>
      <w:r w:rsidRPr="000E383C">
        <w:rPr>
          <w:rStyle w:val="FootnoteReference"/>
          <w:rFonts w:ascii="Calibri" w:hAnsi="Calibri" w:cs="Calibri"/>
          <w:szCs w:val="12"/>
        </w:rPr>
        <w:footnoteRef/>
      </w:r>
      <w:r w:rsidRPr="000E383C">
        <w:rPr>
          <w:rFonts w:ascii="Calibri" w:hAnsi="Calibri" w:cs="Calibri"/>
          <w:szCs w:val="12"/>
        </w:rPr>
        <w:t xml:space="preserve"> </w:t>
      </w:r>
      <w:proofErr w:type="spellStart"/>
      <w:r w:rsidRPr="000E383C">
        <w:rPr>
          <w:rFonts w:ascii="Calibri" w:hAnsi="Calibri" w:cs="Calibri"/>
          <w:szCs w:val="12"/>
        </w:rPr>
        <w:t>Golla</w:t>
      </w:r>
      <w:proofErr w:type="spellEnd"/>
      <w:r w:rsidRPr="000E383C">
        <w:rPr>
          <w:rFonts w:ascii="Calibri" w:hAnsi="Calibri" w:cs="Calibri"/>
          <w:szCs w:val="12"/>
        </w:rPr>
        <w:t xml:space="preserve">, A. et al (2011) </w:t>
      </w:r>
      <w:r w:rsidRPr="000E383C">
        <w:rPr>
          <w:rFonts w:ascii="Calibri" w:hAnsi="Calibri" w:cs="Calibri"/>
          <w:i/>
          <w:szCs w:val="12"/>
        </w:rPr>
        <w:t>Ibid</w:t>
      </w:r>
      <w:r w:rsidRPr="000E383C">
        <w:rPr>
          <w:rFonts w:ascii="Calibri" w:hAnsi="Calibri" w:cs="Calibri"/>
          <w:szCs w:val="12"/>
        </w:rPr>
        <w:t xml:space="preserve"> </w:t>
      </w:r>
    </w:p>
  </w:footnote>
  <w:footnote w:id="95">
    <w:p w14:paraId="307D86DD" w14:textId="77777777" w:rsidR="00243660" w:rsidRPr="00C6100C" w:rsidRDefault="00243660" w:rsidP="0000269C">
      <w:pPr>
        <w:pStyle w:val="FootnoteText"/>
        <w:rPr>
          <w:rFonts w:ascii="Calibri" w:hAnsi="Calibri" w:cs="Calibri"/>
          <w:sz w:val="18"/>
          <w:szCs w:val="18"/>
        </w:rPr>
      </w:pPr>
      <w:r w:rsidRPr="000E383C">
        <w:rPr>
          <w:rStyle w:val="FootnoteReference"/>
          <w:rFonts w:ascii="Calibri" w:hAnsi="Calibri" w:cs="Calibri"/>
          <w:szCs w:val="12"/>
        </w:rPr>
        <w:footnoteRef/>
      </w:r>
      <w:r w:rsidRPr="000E383C">
        <w:rPr>
          <w:rFonts w:ascii="Calibri" w:hAnsi="Calibri" w:cs="Calibri"/>
          <w:szCs w:val="12"/>
        </w:rPr>
        <w:t xml:space="preserve"> Source: </w:t>
      </w:r>
      <w:proofErr w:type="spellStart"/>
      <w:r w:rsidRPr="000E383C">
        <w:rPr>
          <w:rFonts w:ascii="Calibri" w:hAnsi="Calibri" w:cs="Calibri"/>
          <w:szCs w:val="12"/>
        </w:rPr>
        <w:t>Golla</w:t>
      </w:r>
      <w:proofErr w:type="spellEnd"/>
      <w:r w:rsidRPr="000E383C">
        <w:rPr>
          <w:rFonts w:ascii="Calibri" w:hAnsi="Calibri" w:cs="Calibri"/>
          <w:szCs w:val="12"/>
        </w:rPr>
        <w:t xml:space="preserve">, A. et al (2011) </w:t>
      </w:r>
      <w:r w:rsidRPr="000E383C">
        <w:rPr>
          <w:rFonts w:ascii="Calibri" w:hAnsi="Calibri" w:cs="Calibri"/>
          <w:i/>
          <w:szCs w:val="12"/>
        </w:rPr>
        <w:t>Ibid</w:t>
      </w:r>
    </w:p>
  </w:footnote>
  <w:footnote w:id="96">
    <w:p w14:paraId="5AAB9EEE" w14:textId="77777777" w:rsidR="00243660" w:rsidRPr="000E383C" w:rsidRDefault="00243660" w:rsidP="0000269C">
      <w:pPr>
        <w:pStyle w:val="FootnoteText"/>
        <w:rPr>
          <w:rFonts w:ascii="Calibri" w:hAnsi="Calibri" w:cs="Calibri"/>
          <w:szCs w:val="12"/>
        </w:rPr>
      </w:pPr>
      <w:r w:rsidRPr="000E383C">
        <w:rPr>
          <w:rStyle w:val="FootnoteReference"/>
          <w:rFonts w:ascii="Calibri" w:hAnsi="Calibri" w:cs="Calibri"/>
          <w:szCs w:val="12"/>
        </w:rPr>
        <w:footnoteRef/>
      </w:r>
      <w:r w:rsidRPr="000E383C">
        <w:rPr>
          <w:rFonts w:ascii="Calibri" w:hAnsi="Calibri" w:cs="Calibri"/>
          <w:szCs w:val="12"/>
        </w:rPr>
        <w:t xml:space="preserve"> See for example See: M4C (2014) </w:t>
      </w:r>
      <w:r w:rsidRPr="000E383C">
        <w:rPr>
          <w:rFonts w:ascii="Calibri" w:hAnsi="Calibri" w:cs="Calibri"/>
          <w:i/>
          <w:szCs w:val="12"/>
        </w:rPr>
        <w:t xml:space="preserve">Women’s Economic Empowerment Assessment Report. </w:t>
      </w:r>
      <w:r w:rsidRPr="000E383C">
        <w:rPr>
          <w:rFonts w:ascii="Calibri" w:hAnsi="Calibri" w:cs="Calibri"/>
          <w:szCs w:val="12"/>
        </w:rPr>
        <w:t xml:space="preserve">M4C May </w:t>
      </w:r>
      <w:proofErr w:type="gramStart"/>
      <w:r w:rsidRPr="000E383C">
        <w:rPr>
          <w:rFonts w:ascii="Calibri" w:hAnsi="Calibri" w:cs="Calibri"/>
          <w:szCs w:val="12"/>
        </w:rPr>
        <w:t>2014.;</w:t>
      </w:r>
      <w:proofErr w:type="gramEnd"/>
    </w:p>
  </w:footnote>
  <w:footnote w:id="97">
    <w:p w14:paraId="04FCF7B7" w14:textId="77777777" w:rsidR="00243660" w:rsidRPr="00C6100C" w:rsidRDefault="00243660" w:rsidP="0000269C">
      <w:pPr>
        <w:pStyle w:val="FootnoteText"/>
        <w:rPr>
          <w:rFonts w:ascii="Calibri" w:hAnsi="Calibri" w:cs="Calibri"/>
          <w:sz w:val="18"/>
          <w:szCs w:val="18"/>
        </w:rPr>
      </w:pPr>
      <w:r w:rsidRPr="000E383C">
        <w:rPr>
          <w:rStyle w:val="FootnoteReference"/>
          <w:rFonts w:ascii="Calibri" w:hAnsi="Calibri" w:cs="Calibri"/>
          <w:szCs w:val="12"/>
        </w:rPr>
        <w:footnoteRef/>
      </w:r>
      <w:r w:rsidRPr="000E383C">
        <w:rPr>
          <w:rFonts w:ascii="Calibri" w:hAnsi="Calibri" w:cs="Calibri"/>
          <w:szCs w:val="12"/>
        </w:rPr>
        <w:t xml:space="preserve"> Markel, E. (2014) </w:t>
      </w:r>
      <w:r w:rsidRPr="000E383C">
        <w:rPr>
          <w:rFonts w:ascii="Calibri" w:hAnsi="Calibri" w:cs="Calibri"/>
          <w:i/>
          <w:szCs w:val="12"/>
        </w:rPr>
        <w:t xml:space="preserve">Measuring the Results of Women’s Economic Empowerment in Private Sector Development: a guideline for practitioners. </w:t>
      </w:r>
      <w:proofErr w:type="gramStart"/>
      <w:r w:rsidRPr="000E383C">
        <w:rPr>
          <w:rFonts w:ascii="Calibri" w:hAnsi="Calibri" w:cs="Calibri"/>
          <w:szCs w:val="12"/>
        </w:rPr>
        <w:t>The Donor Committee on Enterprise Development.</w:t>
      </w:r>
      <w:proofErr w:type="gramEnd"/>
    </w:p>
  </w:footnote>
  <w:footnote w:id="98">
    <w:p w14:paraId="77B7E67E" w14:textId="77777777" w:rsidR="00243660" w:rsidRPr="006E2BDC" w:rsidRDefault="00243660" w:rsidP="0000269C">
      <w:pPr>
        <w:pStyle w:val="FootnoteText"/>
        <w:rPr>
          <w:rFonts w:ascii="Calibri" w:hAnsi="Calibri" w:cs="Calibri"/>
          <w:szCs w:val="12"/>
        </w:rPr>
      </w:pPr>
      <w:r w:rsidRPr="006E2BDC">
        <w:rPr>
          <w:rStyle w:val="FootnoteReference"/>
          <w:rFonts w:ascii="Calibri" w:hAnsi="Calibri" w:cs="Calibri"/>
          <w:szCs w:val="12"/>
        </w:rPr>
        <w:footnoteRef/>
      </w:r>
      <w:r w:rsidRPr="006E2BDC">
        <w:rPr>
          <w:rFonts w:ascii="Calibri" w:hAnsi="Calibri" w:cs="Calibri"/>
          <w:szCs w:val="12"/>
        </w:rPr>
        <w:t xml:space="preserve"> Jones, L. (2016) </w:t>
      </w:r>
      <w:r w:rsidRPr="006E2BDC">
        <w:rPr>
          <w:rFonts w:ascii="Calibri" w:hAnsi="Calibri" w:cs="Calibri"/>
          <w:i/>
          <w:szCs w:val="12"/>
        </w:rPr>
        <w:t xml:space="preserve">Women’s Empowerment and Market Systems </w:t>
      </w:r>
      <w:r w:rsidRPr="006E2BDC">
        <w:rPr>
          <w:rFonts w:ascii="Calibri" w:hAnsi="Calibri" w:cs="Calibri"/>
          <w:szCs w:val="12"/>
        </w:rPr>
        <w:t xml:space="preserve">BEAM Exchange </w:t>
      </w:r>
      <w:hyperlink r:id="rId37" w:history="1">
        <w:r w:rsidRPr="006E2BDC">
          <w:rPr>
            <w:rStyle w:val="Hyperlink"/>
            <w:rFonts w:ascii="Calibri" w:hAnsi="Calibri" w:cs="Calibri"/>
            <w:szCs w:val="12"/>
          </w:rPr>
          <w:t>https://beamexchange.org/uploads/filer_public/0d/50/0d5009be-faea-4b8c-b191-c40c6bde5394/weams_framework.pdf</w:t>
        </w:r>
      </w:hyperlink>
      <w:r w:rsidRPr="006E2BDC">
        <w:rPr>
          <w:rFonts w:ascii="Calibri" w:hAnsi="Calibri" w:cs="Calibri"/>
          <w:szCs w:val="12"/>
        </w:rPr>
        <w:t xml:space="preserve">  </w:t>
      </w:r>
    </w:p>
  </w:footnote>
  <w:footnote w:id="99">
    <w:p w14:paraId="651266C2" w14:textId="77777777" w:rsidR="00243660" w:rsidRPr="006E2BDC" w:rsidRDefault="00243660" w:rsidP="0000269C">
      <w:pPr>
        <w:pStyle w:val="FootnoteText"/>
        <w:rPr>
          <w:rFonts w:ascii="Calibri" w:hAnsi="Calibri" w:cs="Calibri"/>
          <w:szCs w:val="12"/>
        </w:rPr>
      </w:pPr>
      <w:r w:rsidRPr="006E2BDC">
        <w:rPr>
          <w:rStyle w:val="FootnoteReference"/>
          <w:rFonts w:ascii="Calibri" w:hAnsi="Calibri" w:cs="Calibri"/>
          <w:szCs w:val="12"/>
        </w:rPr>
        <w:footnoteRef/>
      </w:r>
      <w:r w:rsidRPr="006E2BDC">
        <w:rPr>
          <w:rFonts w:ascii="Calibri" w:hAnsi="Calibri" w:cs="Calibri"/>
          <w:szCs w:val="12"/>
        </w:rPr>
        <w:t xml:space="preserve"> See: M4C (2014) </w:t>
      </w:r>
      <w:r w:rsidRPr="006E2BDC">
        <w:rPr>
          <w:rFonts w:ascii="Calibri" w:hAnsi="Calibri" w:cs="Calibri"/>
          <w:i/>
          <w:szCs w:val="12"/>
        </w:rPr>
        <w:t xml:space="preserve">Women’s Economic Empowerment Assessment Report. </w:t>
      </w:r>
      <w:r w:rsidRPr="006E2BDC">
        <w:rPr>
          <w:rFonts w:ascii="Calibri" w:hAnsi="Calibri" w:cs="Calibri"/>
          <w:szCs w:val="12"/>
        </w:rPr>
        <w:t xml:space="preserve">M4C May </w:t>
      </w:r>
      <w:proofErr w:type="gramStart"/>
      <w:r w:rsidRPr="006E2BDC">
        <w:rPr>
          <w:rFonts w:ascii="Calibri" w:hAnsi="Calibri" w:cs="Calibri"/>
          <w:szCs w:val="12"/>
        </w:rPr>
        <w:t>2014.;</w:t>
      </w:r>
      <w:proofErr w:type="gramEnd"/>
      <w:r w:rsidRPr="006E2BDC">
        <w:rPr>
          <w:rFonts w:ascii="Calibri" w:hAnsi="Calibri" w:cs="Calibri"/>
          <w:szCs w:val="12"/>
        </w:rPr>
        <w:t xml:space="preserve"> Markel, E. (2014) </w:t>
      </w:r>
      <w:r w:rsidRPr="006E2BDC">
        <w:rPr>
          <w:rFonts w:ascii="Calibri" w:hAnsi="Calibri" w:cs="Calibri"/>
          <w:i/>
          <w:szCs w:val="12"/>
        </w:rPr>
        <w:t>Ibid</w:t>
      </w:r>
      <w:r w:rsidRPr="006E2BDC">
        <w:rPr>
          <w:rFonts w:ascii="Calibri" w:hAnsi="Calibri" w:cs="Calibri"/>
          <w:szCs w:val="12"/>
        </w:rPr>
        <w:t>.</w:t>
      </w:r>
    </w:p>
    <w:p w14:paraId="0DFD0B67" w14:textId="77777777" w:rsidR="00243660" w:rsidRDefault="00243660" w:rsidP="0000269C">
      <w:pPr>
        <w:pStyle w:val="FootnoteText"/>
        <w:rPr>
          <w:rFonts w:ascii="Calibri" w:hAnsi="Calibri" w:cs="Calibri"/>
          <w:sz w:val="18"/>
          <w:szCs w:val="18"/>
        </w:rPr>
      </w:pPr>
    </w:p>
    <w:p w14:paraId="3FAB299D" w14:textId="77777777" w:rsidR="00243660" w:rsidRPr="00C6100C" w:rsidRDefault="00243660" w:rsidP="0000269C">
      <w:pPr>
        <w:pStyle w:val="FootnoteText"/>
        <w:rPr>
          <w:rFonts w:ascii="Calibri" w:hAnsi="Calibri" w:cs="Calibri"/>
          <w:sz w:val="18"/>
          <w:szCs w:val="18"/>
        </w:rPr>
      </w:pPr>
    </w:p>
  </w:footnote>
  <w:footnote w:id="100">
    <w:p w14:paraId="2468328B" w14:textId="77777777" w:rsidR="00243660" w:rsidRPr="00BD3207" w:rsidRDefault="00243660" w:rsidP="0000269C">
      <w:pPr>
        <w:pStyle w:val="FootnoteText"/>
        <w:rPr>
          <w:lang w:val="en-US"/>
        </w:rPr>
      </w:pPr>
      <w:r>
        <w:rPr>
          <w:rStyle w:val="FootnoteReference"/>
        </w:rPr>
        <w:footnoteRef/>
      </w:r>
      <w:r>
        <w:t xml:space="preserve"> </w:t>
      </w:r>
      <w:r>
        <w:rPr>
          <w:lang w:val="en-US"/>
        </w:rPr>
        <w:t xml:space="preserve">A sister </w:t>
      </w:r>
      <w:proofErr w:type="spellStart"/>
      <w:r>
        <w:rPr>
          <w:lang w:val="en-US"/>
        </w:rPr>
        <w:t>programme</w:t>
      </w:r>
      <w:proofErr w:type="spellEnd"/>
      <w:r>
        <w:rPr>
          <w:lang w:val="en-US"/>
        </w:rPr>
        <w:t xml:space="preserve"> of PRISMA under AIP-Rural – Tertiary Irrigation Technical Assistance.</w:t>
      </w:r>
    </w:p>
  </w:footnote>
  <w:footnote w:id="101">
    <w:p w14:paraId="293432E0" w14:textId="77777777" w:rsidR="00243660" w:rsidRDefault="00243660" w:rsidP="00D46FB3">
      <w:pPr>
        <w:pStyle w:val="FootnoteText"/>
      </w:pPr>
      <w:r>
        <w:rPr>
          <w:rStyle w:val="FootnoteReference"/>
        </w:rPr>
        <w:footnoteRef/>
      </w:r>
      <w:r>
        <w:t xml:space="preserve"> The term “co-facilitator” is often used when describing what NGOs do for market development projects. Even though NGOs have a more “public good” or development facilitation mission when compared to a private company they are indeed closer to a sub-contractor when they receive grants from PRISMA. </w:t>
      </w:r>
    </w:p>
  </w:footnote>
  <w:footnote w:id="102">
    <w:p w14:paraId="529082B5" w14:textId="77777777" w:rsidR="00243660" w:rsidRPr="00A7518F" w:rsidRDefault="00243660" w:rsidP="00D46FB3">
      <w:pPr>
        <w:pStyle w:val="FootnoteText"/>
      </w:pPr>
      <w:r>
        <w:rPr>
          <w:rStyle w:val="FootnoteReference"/>
        </w:rPr>
        <w:footnoteRef/>
      </w:r>
      <w:r>
        <w:t xml:space="preserve"> </w:t>
      </w:r>
      <w:proofErr w:type="gramStart"/>
      <w:r>
        <w:t>AusAID, 2013, June.</w:t>
      </w:r>
      <w:proofErr w:type="gramEnd"/>
      <w:r>
        <w:t xml:space="preserve"> </w:t>
      </w:r>
      <w:proofErr w:type="gramStart"/>
      <w:r>
        <w:t>“Australian-Indonesia Partnership Promoting Rural Income through Support for Markets in Agriculture Summary Design Document” pp.14-15.</w:t>
      </w:r>
      <w:proofErr w:type="gramEnd"/>
      <w:r>
        <w:t xml:space="preserve"> </w:t>
      </w:r>
    </w:p>
  </w:footnote>
  <w:footnote w:id="103">
    <w:p w14:paraId="0CF33099" w14:textId="0EF97273" w:rsidR="00243660" w:rsidRPr="00B55FFD" w:rsidRDefault="00243660" w:rsidP="00D46FB3">
      <w:pPr>
        <w:pStyle w:val="FootnoteText"/>
      </w:pPr>
      <w:r>
        <w:rPr>
          <w:rStyle w:val="FootnoteReference"/>
        </w:rPr>
        <w:footnoteRef/>
      </w:r>
      <w:r>
        <w:t xml:space="preserve"> IMDI grant went from 1 January 2012 to 31 May 2014. This includes all capacity building and staff technical assistance costs, but excludes the management fee to </w:t>
      </w:r>
      <w:proofErr w:type="spellStart"/>
      <w:r>
        <w:t>Swisscontact</w:t>
      </w:r>
      <w:proofErr w:type="spellEnd"/>
      <w:r>
        <w:t>.</w:t>
      </w:r>
    </w:p>
  </w:footnote>
  <w:footnote w:id="104">
    <w:p w14:paraId="689C2510" w14:textId="77777777" w:rsidR="00243660" w:rsidRPr="001F235E" w:rsidRDefault="00243660" w:rsidP="00D46FB3">
      <w:pPr>
        <w:pStyle w:val="FootnoteText"/>
      </w:pPr>
      <w:r>
        <w:rPr>
          <w:rStyle w:val="FootnoteReference"/>
        </w:rPr>
        <w:footnoteRef/>
      </w:r>
      <w:r>
        <w:t xml:space="preserve"> This included in-class training, mentoring and coaching throughout the full M4P cycle, as well as technical oversight during implementation.</w:t>
      </w:r>
    </w:p>
  </w:footnote>
  <w:footnote w:id="105">
    <w:p w14:paraId="4946BB97" w14:textId="77777777" w:rsidR="00243660" w:rsidRPr="0065439B" w:rsidRDefault="00243660" w:rsidP="00D46FB3">
      <w:pPr>
        <w:pStyle w:val="FootnoteText"/>
      </w:pPr>
      <w:r>
        <w:rPr>
          <w:rStyle w:val="FootnoteReference"/>
        </w:rPr>
        <w:footnoteRef/>
      </w:r>
      <w:r>
        <w:t xml:space="preserve"> While it is not necessarily comparable, the induction capacity building of PRISMA’s first two cohorts of its own personnel (Cohort 1 and Cohort 2 - also undertaken by PROMARK) cost $215,926. If the on-going mentoring and coaching costs during implementation are included, this would be equivalent to $</w:t>
      </w:r>
      <w:r w:rsidRPr="009544F0">
        <w:t>930,926</w:t>
      </w:r>
      <w:r>
        <w:t xml:space="preserve"> for the same period. If we include international training, such as Springfield M4P training, study tours, and DCED training for local staff, the total cost of in-house capacity building was $1,396,566</w:t>
      </w:r>
    </w:p>
  </w:footnote>
  <w:footnote w:id="106">
    <w:p w14:paraId="39977575" w14:textId="77777777" w:rsidR="00243660" w:rsidRPr="00B55FFD" w:rsidRDefault="00243660" w:rsidP="00D46FB3">
      <w:pPr>
        <w:pStyle w:val="FootnoteText"/>
      </w:pPr>
      <w:r>
        <w:rPr>
          <w:rStyle w:val="FootnoteReference"/>
        </w:rPr>
        <w:footnoteRef/>
      </w:r>
      <w:r>
        <w:t xml:space="preserve"> Individual training assessment reports are available from PROMARK, which were reviewed as part of this report. </w:t>
      </w:r>
      <w:proofErr w:type="gramStart"/>
      <w:r>
        <w:t>In all cases participants felt that the training had met the learning objectives.</w:t>
      </w:r>
      <w:proofErr w:type="gramEnd"/>
    </w:p>
  </w:footnote>
  <w:footnote w:id="107">
    <w:p w14:paraId="0281EF09" w14:textId="77777777" w:rsidR="00243660" w:rsidRPr="00497FAA" w:rsidRDefault="00243660" w:rsidP="00D46FB3">
      <w:pPr>
        <w:pStyle w:val="FootnoteText"/>
      </w:pPr>
      <w:r>
        <w:rPr>
          <w:rStyle w:val="FootnoteReference"/>
        </w:rPr>
        <w:footnoteRef/>
      </w:r>
      <w:r>
        <w:t xml:space="preserve"> Source: interview SAMARTH Program Director and implementation staff</w:t>
      </w:r>
    </w:p>
  </w:footnote>
  <w:footnote w:id="108">
    <w:p w14:paraId="4DBBE477" w14:textId="77777777" w:rsidR="00243660" w:rsidRPr="005662B4" w:rsidRDefault="00243660" w:rsidP="00D46FB3">
      <w:pPr>
        <w:pStyle w:val="FootnoteText"/>
      </w:pPr>
      <w:r>
        <w:rPr>
          <w:rStyle w:val="FootnoteReference"/>
        </w:rPr>
        <w:footnoteRef/>
      </w:r>
      <w:r>
        <w:t>The reason for the smaller grant size was partly a risk management measure by the program as Batch 2 NGOs were primarily local NGOs with weaker financial management systems in place and less structured SOP</w:t>
      </w:r>
    </w:p>
  </w:footnote>
  <w:footnote w:id="109">
    <w:p w14:paraId="3C388BEA" w14:textId="77777777" w:rsidR="00243660" w:rsidRPr="00914A00" w:rsidRDefault="00243660" w:rsidP="00D46FB3">
      <w:pPr>
        <w:pStyle w:val="FootnoteText"/>
      </w:pPr>
      <w:r>
        <w:rPr>
          <w:rStyle w:val="FootnoteReference"/>
        </w:rPr>
        <w:footnoteRef/>
      </w:r>
      <w:r>
        <w:t xml:space="preserve"> John Fargher &amp; Associates Pty Ltd, 2016. “Australia-Indonesia Partnership – Rural Economic Development Program – Mid-term Review”, p.22-23</w:t>
      </w:r>
    </w:p>
  </w:footnote>
  <w:footnote w:id="110">
    <w:p w14:paraId="605C62F4" w14:textId="77777777" w:rsidR="00243660" w:rsidRPr="004E4ABA" w:rsidRDefault="00243660" w:rsidP="00D46FB3">
      <w:pPr>
        <w:pStyle w:val="FootnoteText"/>
      </w:pPr>
      <w:r>
        <w:rPr>
          <w:rStyle w:val="FootnoteReference"/>
        </w:rPr>
        <w:footnoteRef/>
      </w:r>
      <w:r>
        <w:t xml:space="preserve"> AIP-Rural, 2016 June, “Protocol For Reporting on DFAT Indicators”, v.3.4: p.18</w:t>
      </w:r>
    </w:p>
  </w:footnote>
  <w:footnote w:id="111">
    <w:p w14:paraId="534D0767" w14:textId="77777777" w:rsidR="00243660" w:rsidRPr="005662B4" w:rsidRDefault="00243660" w:rsidP="00D46FB3">
      <w:pPr>
        <w:pStyle w:val="FootnoteText"/>
      </w:pPr>
      <w:r>
        <w:rPr>
          <w:rStyle w:val="FootnoteReference"/>
        </w:rPr>
        <w:footnoteRef/>
      </w:r>
      <w:r>
        <w:t xml:space="preserve"> In the Protocol, the actual direct intervention cost is calculated based on PRISMA’s contribution as outlined in the partnership arrangement for direct intervention costs. However, based on the latest SRP, a recommendation was made to include intervention-related staff costs and intervention related staff travel in this calculation. As the current cost code system does not code these costs down to the intervention level, (staff intervention related costs are only coded to the sub-sector level), the total sub-sector costs for intervention related staff and travel costs was calculated by dividing the total sub-sector staff costs evenly among the interventions. This includes the NGO led interventions, as PRISMA </w:t>
      </w:r>
      <w:proofErr w:type="gramStart"/>
      <w:r>
        <w:t>staff also provide</w:t>
      </w:r>
      <w:proofErr w:type="gramEnd"/>
      <w:r>
        <w:t xml:space="preserve"> oversight to these interventions. Intervention </w:t>
      </w:r>
      <w:proofErr w:type="gramStart"/>
      <w:r>
        <w:t>staff include</w:t>
      </w:r>
      <w:proofErr w:type="gramEnd"/>
      <w:r>
        <w:t xml:space="preserve"> the portfolio staff (HOP, Task leaders, Business Consultants) and RML staff. This enables the calculation of intervention level </w:t>
      </w:r>
      <w:proofErr w:type="spellStart"/>
      <w:r>
        <w:t>VfM</w:t>
      </w:r>
      <w:proofErr w:type="spellEnd"/>
      <w:r>
        <w:t xml:space="preserve"> at an aggregate level.</w:t>
      </w:r>
    </w:p>
  </w:footnote>
  <w:footnote w:id="112">
    <w:p w14:paraId="4D21CF50" w14:textId="77777777" w:rsidR="00243660" w:rsidRPr="00B93B6B" w:rsidRDefault="00243660" w:rsidP="00D46FB3">
      <w:pPr>
        <w:pStyle w:val="FootnoteText"/>
      </w:pPr>
      <w:r>
        <w:rPr>
          <w:rStyle w:val="FootnoteReference"/>
        </w:rPr>
        <w:footnoteRef/>
      </w:r>
      <w:r>
        <w:t xml:space="preserve"> The PRISMA Deal-making Guidelines outline what can be counted as a PRISMA contribution and a private sector partner contribution.</w:t>
      </w:r>
    </w:p>
  </w:footnote>
  <w:footnote w:id="113">
    <w:p w14:paraId="251B0230" w14:textId="77777777" w:rsidR="00243660" w:rsidRPr="00B93B6B" w:rsidRDefault="00243660" w:rsidP="00D46FB3">
      <w:pPr>
        <w:pStyle w:val="FootnoteText"/>
      </w:pPr>
      <w:r>
        <w:rPr>
          <w:rStyle w:val="FootnoteReference"/>
        </w:rPr>
        <w:footnoteRef/>
      </w:r>
      <w:r>
        <w:t xml:space="preserve"> This includes Partnership Agreements with private sector companies where PRISMA’s contribution is paid to the company; Memorandum of Understanding (MoU), where PRISMA implement and pay for their contribution and the private sector partner implement and pay for their contribution; Grant Agreements, where a co-facilitator is paid to implement PRISMA’s contribution on their behalf.</w:t>
      </w:r>
    </w:p>
  </w:footnote>
  <w:footnote w:id="114">
    <w:p w14:paraId="182FA1EA" w14:textId="77777777" w:rsidR="00243660" w:rsidRPr="00420818" w:rsidRDefault="00243660" w:rsidP="00D46FB3">
      <w:pPr>
        <w:pStyle w:val="FootnoteText"/>
      </w:pPr>
      <w:r>
        <w:rPr>
          <w:rStyle w:val="FootnoteReference"/>
        </w:rPr>
        <w:footnoteRef/>
      </w:r>
      <w:r>
        <w:t xml:space="preserve"> It should be noted that these </w:t>
      </w:r>
      <w:proofErr w:type="spellStart"/>
      <w:r>
        <w:t>VfM</w:t>
      </w:r>
      <w:proofErr w:type="spellEnd"/>
      <w:r>
        <w:t xml:space="preserve"> calculations are different to those reported in the December 2016 PRIP. The reason for this is that the calculations in this report include intervention related staff and travel, whereas these were not included in the PRIP calculations. Future PRIPs will use the revised calculation method recommended by the most recent SRP (refer also to footnote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F83E9" w14:textId="42D56F01" w:rsidR="00243660" w:rsidRDefault="002436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2EC98" w14:textId="11104FFC" w:rsidR="00243660" w:rsidRPr="000854FD" w:rsidRDefault="00243660" w:rsidP="002D5B25">
    <w:pPr>
      <w:pStyle w:val="Header"/>
    </w:pPr>
    <w:r w:rsidRPr="00943730">
      <w:rPr>
        <w:noProof/>
        <w:lang w:eastAsia="en-AU"/>
      </w:rPr>
      <w:drawing>
        <wp:anchor distT="0" distB="0" distL="114300" distR="114300" simplePos="0" relativeHeight="251660288" behindDoc="1" locked="1" layoutInCell="1" allowOverlap="1" wp14:anchorId="7301EF21" wp14:editId="2C3FB4B5">
          <wp:simplePos x="0" y="0"/>
          <wp:positionH relativeFrom="page">
            <wp:posOffset>12065</wp:posOffset>
          </wp:positionH>
          <wp:positionV relativeFrom="page">
            <wp:posOffset>0</wp:posOffset>
          </wp:positionV>
          <wp:extent cx="7559040" cy="10692765"/>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59DF8" w14:textId="047620D0" w:rsidR="00243660" w:rsidRPr="00943730" w:rsidRDefault="00243660" w:rsidP="00943730">
    <w:pPr>
      <w:pStyle w:val="Header"/>
    </w:pPr>
    <w:r w:rsidRPr="00943730">
      <w:fldChar w:fldCharType="begin"/>
    </w:r>
    <w:r w:rsidRPr="00943730">
      <w:instrText xml:space="preserve"> DATE  \@ "MMMM yyyy"  \* MERGEFORMAT </w:instrText>
    </w:r>
    <w:r w:rsidRPr="00943730">
      <w:fldChar w:fldCharType="separate"/>
    </w:r>
    <w:r w:rsidR="000E35E9">
      <w:rPr>
        <w:noProof/>
      </w:rPr>
      <w:t>November 2017</w:t>
    </w:r>
    <w:r w:rsidRPr="00943730">
      <w:fldChar w:fldCharType="end"/>
    </w:r>
    <w:r w:rsidRPr="00943730">
      <w:rPr>
        <w:noProof/>
        <w:lang w:eastAsia="en-AU"/>
      </w:rPr>
      <w:drawing>
        <wp:anchor distT="0" distB="0" distL="114300" distR="114300" simplePos="0" relativeHeight="251656192" behindDoc="1" locked="1" layoutInCell="1" allowOverlap="1" wp14:anchorId="23045700" wp14:editId="788A6D45">
          <wp:simplePos x="0" y="0"/>
          <wp:positionH relativeFrom="page">
            <wp:posOffset>12700</wp:posOffset>
          </wp:positionH>
          <wp:positionV relativeFrom="page">
            <wp:posOffset>0</wp:posOffset>
          </wp:positionV>
          <wp:extent cx="7559040" cy="1069213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BCE9490"/>
    <w:lvl w:ilvl="0">
      <w:start w:val="1"/>
      <w:numFmt w:val="decimal"/>
      <w:pStyle w:val="ListNumber"/>
      <w:lvlText w:val="%1."/>
      <w:lvlJc w:val="left"/>
      <w:pPr>
        <w:tabs>
          <w:tab w:val="num" w:pos="360"/>
        </w:tabs>
        <w:ind w:left="360" w:hanging="360"/>
      </w:pPr>
    </w:lvl>
  </w:abstractNum>
  <w:abstractNum w:abstractNumId="1">
    <w:nsid w:val="009E55EC"/>
    <w:multiLevelType w:val="hybridMultilevel"/>
    <w:tmpl w:val="FD16C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C51A7B"/>
    <w:multiLevelType w:val="hybridMultilevel"/>
    <w:tmpl w:val="1D64C5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22C0F80"/>
    <w:multiLevelType w:val="hybridMultilevel"/>
    <w:tmpl w:val="E5A2FA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32B6B"/>
    <w:multiLevelType w:val="hybridMultilevel"/>
    <w:tmpl w:val="448E59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4B676C"/>
    <w:multiLevelType w:val="hybridMultilevel"/>
    <w:tmpl w:val="E1BC6E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nsid w:val="10C640BB"/>
    <w:multiLevelType w:val="hybridMultilevel"/>
    <w:tmpl w:val="F8EAC3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3E32ED6"/>
    <w:multiLevelType w:val="hybridMultilevel"/>
    <w:tmpl w:val="DDEADF30"/>
    <w:lvl w:ilvl="0" w:tplc="41665510">
      <w:start w:val="1"/>
      <w:numFmt w:val="lowerLetter"/>
      <w:pStyle w:val="SHORTDOCSUB-NUMBERS"/>
      <w:lvlText w:val="%1."/>
      <w:lvlJc w:val="left"/>
      <w:pPr>
        <w:ind w:left="360"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9">
    <w:nsid w:val="14D909EB"/>
    <w:multiLevelType w:val="hybridMultilevel"/>
    <w:tmpl w:val="60003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1">
    <w:nsid w:val="18122A2D"/>
    <w:multiLevelType w:val="hybridMultilevel"/>
    <w:tmpl w:val="8A64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FF1F69"/>
    <w:multiLevelType w:val="hybridMultilevel"/>
    <w:tmpl w:val="4EF4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3B75B3"/>
    <w:multiLevelType w:val="hybridMultilevel"/>
    <w:tmpl w:val="49D4C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C201F9B"/>
    <w:multiLevelType w:val="hybridMultilevel"/>
    <w:tmpl w:val="81C87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565A19"/>
    <w:multiLevelType w:val="hybridMultilevel"/>
    <w:tmpl w:val="909E69F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1C41B9D"/>
    <w:multiLevelType w:val="hybridMultilevel"/>
    <w:tmpl w:val="13ECB88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24A2D1D"/>
    <w:multiLevelType w:val="hybridMultilevel"/>
    <w:tmpl w:val="032CE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730B68"/>
    <w:multiLevelType w:val="hybridMultilevel"/>
    <w:tmpl w:val="AE685B4C"/>
    <w:lvl w:ilvl="0" w:tplc="0C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24B62678"/>
    <w:multiLevelType w:val="hybridMultilevel"/>
    <w:tmpl w:val="CFF43F9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7B76269"/>
    <w:multiLevelType w:val="hybridMultilevel"/>
    <w:tmpl w:val="4458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04497B"/>
    <w:multiLevelType w:val="hybridMultilevel"/>
    <w:tmpl w:val="FA96D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902F1B"/>
    <w:multiLevelType w:val="hybridMultilevel"/>
    <w:tmpl w:val="95F8F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A181E79"/>
    <w:multiLevelType w:val="hybridMultilevel"/>
    <w:tmpl w:val="789A49E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B9B159F"/>
    <w:multiLevelType w:val="multilevel"/>
    <w:tmpl w:val="1F38FDB4"/>
    <w:styleLink w:val="HeadingsList"/>
    <w:lvl w:ilvl="0">
      <w:start w:val="1"/>
      <w:numFmt w:val="decimal"/>
      <w:pStyle w:val="Heading1Numbered"/>
      <w:lvlText w:val="%1."/>
      <w:lvlJc w:val="left"/>
      <w:pPr>
        <w:ind w:left="709"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5">
    <w:nsid w:val="2C40596D"/>
    <w:multiLevelType w:val="hybridMultilevel"/>
    <w:tmpl w:val="07C45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C5743A7"/>
    <w:multiLevelType w:val="hybridMultilevel"/>
    <w:tmpl w:val="60482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DD32160"/>
    <w:multiLevelType w:val="hybridMultilevel"/>
    <w:tmpl w:val="3AB8F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65C22C8"/>
    <w:multiLevelType w:val="hybridMultilevel"/>
    <w:tmpl w:val="0ACCA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AA80CEA"/>
    <w:multiLevelType w:val="hybridMultilevel"/>
    <w:tmpl w:val="1F928E88"/>
    <w:lvl w:ilvl="0" w:tplc="6090E8E8">
      <w:start w:val="1"/>
      <w:numFmt w:val="bullet"/>
      <w:lvlText w:val="•"/>
      <w:lvlJc w:val="left"/>
      <w:pPr>
        <w:tabs>
          <w:tab w:val="num" w:pos="720"/>
        </w:tabs>
        <w:ind w:left="720" w:hanging="360"/>
      </w:pPr>
      <w:rPr>
        <w:rFonts w:ascii="Arial" w:hAnsi="Arial" w:hint="default"/>
      </w:rPr>
    </w:lvl>
    <w:lvl w:ilvl="1" w:tplc="CE96C798" w:tentative="1">
      <w:start w:val="1"/>
      <w:numFmt w:val="bullet"/>
      <w:lvlText w:val="•"/>
      <w:lvlJc w:val="left"/>
      <w:pPr>
        <w:tabs>
          <w:tab w:val="num" w:pos="1440"/>
        </w:tabs>
        <w:ind w:left="1440" w:hanging="360"/>
      </w:pPr>
      <w:rPr>
        <w:rFonts w:ascii="Arial" w:hAnsi="Arial" w:hint="default"/>
      </w:rPr>
    </w:lvl>
    <w:lvl w:ilvl="2" w:tplc="A386F728" w:tentative="1">
      <w:start w:val="1"/>
      <w:numFmt w:val="bullet"/>
      <w:lvlText w:val="•"/>
      <w:lvlJc w:val="left"/>
      <w:pPr>
        <w:tabs>
          <w:tab w:val="num" w:pos="2160"/>
        </w:tabs>
        <w:ind w:left="2160" w:hanging="360"/>
      </w:pPr>
      <w:rPr>
        <w:rFonts w:ascii="Arial" w:hAnsi="Arial" w:hint="default"/>
      </w:rPr>
    </w:lvl>
    <w:lvl w:ilvl="3" w:tplc="68B2D3DE" w:tentative="1">
      <w:start w:val="1"/>
      <w:numFmt w:val="bullet"/>
      <w:lvlText w:val="•"/>
      <w:lvlJc w:val="left"/>
      <w:pPr>
        <w:tabs>
          <w:tab w:val="num" w:pos="2880"/>
        </w:tabs>
        <w:ind w:left="2880" w:hanging="360"/>
      </w:pPr>
      <w:rPr>
        <w:rFonts w:ascii="Arial" w:hAnsi="Arial" w:hint="default"/>
      </w:rPr>
    </w:lvl>
    <w:lvl w:ilvl="4" w:tplc="84BCC3B2" w:tentative="1">
      <w:start w:val="1"/>
      <w:numFmt w:val="bullet"/>
      <w:lvlText w:val="•"/>
      <w:lvlJc w:val="left"/>
      <w:pPr>
        <w:tabs>
          <w:tab w:val="num" w:pos="3600"/>
        </w:tabs>
        <w:ind w:left="3600" w:hanging="360"/>
      </w:pPr>
      <w:rPr>
        <w:rFonts w:ascii="Arial" w:hAnsi="Arial" w:hint="default"/>
      </w:rPr>
    </w:lvl>
    <w:lvl w:ilvl="5" w:tplc="003A1574" w:tentative="1">
      <w:start w:val="1"/>
      <w:numFmt w:val="bullet"/>
      <w:lvlText w:val="•"/>
      <w:lvlJc w:val="left"/>
      <w:pPr>
        <w:tabs>
          <w:tab w:val="num" w:pos="4320"/>
        </w:tabs>
        <w:ind w:left="4320" w:hanging="360"/>
      </w:pPr>
      <w:rPr>
        <w:rFonts w:ascii="Arial" w:hAnsi="Arial" w:hint="default"/>
      </w:rPr>
    </w:lvl>
    <w:lvl w:ilvl="6" w:tplc="6E8EA30A" w:tentative="1">
      <w:start w:val="1"/>
      <w:numFmt w:val="bullet"/>
      <w:lvlText w:val="•"/>
      <w:lvlJc w:val="left"/>
      <w:pPr>
        <w:tabs>
          <w:tab w:val="num" w:pos="5040"/>
        </w:tabs>
        <w:ind w:left="5040" w:hanging="360"/>
      </w:pPr>
      <w:rPr>
        <w:rFonts w:ascii="Arial" w:hAnsi="Arial" w:hint="default"/>
      </w:rPr>
    </w:lvl>
    <w:lvl w:ilvl="7" w:tplc="3C447C30" w:tentative="1">
      <w:start w:val="1"/>
      <w:numFmt w:val="bullet"/>
      <w:lvlText w:val="•"/>
      <w:lvlJc w:val="left"/>
      <w:pPr>
        <w:tabs>
          <w:tab w:val="num" w:pos="5760"/>
        </w:tabs>
        <w:ind w:left="5760" w:hanging="360"/>
      </w:pPr>
      <w:rPr>
        <w:rFonts w:ascii="Arial" w:hAnsi="Arial" w:hint="default"/>
      </w:rPr>
    </w:lvl>
    <w:lvl w:ilvl="8" w:tplc="CFF45A64" w:tentative="1">
      <w:start w:val="1"/>
      <w:numFmt w:val="bullet"/>
      <w:lvlText w:val="•"/>
      <w:lvlJc w:val="left"/>
      <w:pPr>
        <w:tabs>
          <w:tab w:val="num" w:pos="6480"/>
        </w:tabs>
        <w:ind w:left="6480" w:hanging="360"/>
      </w:pPr>
      <w:rPr>
        <w:rFonts w:ascii="Arial" w:hAnsi="Arial" w:hint="default"/>
      </w:rPr>
    </w:lvl>
  </w:abstractNum>
  <w:abstractNum w:abstractNumId="30">
    <w:nsid w:val="3D58236E"/>
    <w:multiLevelType w:val="hybridMultilevel"/>
    <w:tmpl w:val="B76A0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F270D2D"/>
    <w:multiLevelType w:val="hybridMultilevel"/>
    <w:tmpl w:val="587E69C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2B30CB7"/>
    <w:multiLevelType w:val="hybridMultilevel"/>
    <w:tmpl w:val="CF6E4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8300AB"/>
    <w:multiLevelType w:val="hybridMultilevel"/>
    <w:tmpl w:val="02E2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BC7CD9"/>
    <w:multiLevelType w:val="hybridMultilevel"/>
    <w:tmpl w:val="D1BCC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4ACD5B67"/>
    <w:multiLevelType w:val="hybridMultilevel"/>
    <w:tmpl w:val="5B4CE8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F9D7953"/>
    <w:multiLevelType w:val="hybridMultilevel"/>
    <w:tmpl w:val="749E62CA"/>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3314F64"/>
    <w:multiLevelType w:val="hybridMultilevel"/>
    <w:tmpl w:val="D1EE19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8087965"/>
    <w:multiLevelType w:val="hybridMultilevel"/>
    <w:tmpl w:val="F9B8A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0">
    <w:nsid w:val="59696D2C"/>
    <w:multiLevelType w:val="hybridMultilevel"/>
    <w:tmpl w:val="1E0889F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651E81"/>
    <w:multiLevelType w:val="hybridMultilevel"/>
    <w:tmpl w:val="9BBE49CE"/>
    <w:lvl w:ilvl="0" w:tplc="E41805D6">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5D3C1EA7"/>
    <w:multiLevelType w:val="multilevel"/>
    <w:tmpl w:val="43428892"/>
    <w:numStyleLink w:val="BulletsList"/>
  </w:abstractNum>
  <w:abstractNum w:abstractNumId="43">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4">
    <w:nsid w:val="60196734"/>
    <w:multiLevelType w:val="hybridMultilevel"/>
    <w:tmpl w:val="1EFCFD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93722D"/>
    <w:multiLevelType w:val="hybridMultilevel"/>
    <w:tmpl w:val="CC846DC6"/>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6">
    <w:nsid w:val="68B23EF0"/>
    <w:multiLevelType w:val="hybridMultilevel"/>
    <w:tmpl w:val="A8EE1CC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6D731E35"/>
    <w:multiLevelType w:val="hybridMultilevel"/>
    <w:tmpl w:val="2398C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E14567F"/>
    <w:multiLevelType w:val="hybridMultilevel"/>
    <w:tmpl w:val="028AC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0">
    <w:nsid w:val="75FF7B0B"/>
    <w:multiLevelType w:val="hybridMultilevel"/>
    <w:tmpl w:val="CD56EE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62360E0"/>
    <w:multiLevelType w:val="hybridMultilevel"/>
    <w:tmpl w:val="8BEE916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4E15B7"/>
    <w:multiLevelType w:val="hybridMultilevel"/>
    <w:tmpl w:val="48E2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F52B91"/>
    <w:multiLevelType w:val="hybridMultilevel"/>
    <w:tmpl w:val="3E408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nsid w:val="79840B40"/>
    <w:multiLevelType w:val="hybridMultilevel"/>
    <w:tmpl w:val="7F928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7A61259A"/>
    <w:multiLevelType w:val="hybridMultilevel"/>
    <w:tmpl w:val="721E4D6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7AB70813"/>
    <w:multiLevelType w:val="hybridMultilevel"/>
    <w:tmpl w:val="BE880F0A"/>
    <w:lvl w:ilvl="0" w:tplc="789ED9E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AB1EF9"/>
    <w:multiLevelType w:val="hybridMultilevel"/>
    <w:tmpl w:val="E0E42F9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7F6646CE"/>
    <w:multiLevelType w:val="hybridMultilevel"/>
    <w:tmpl w:val="14C65F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F7A528B"/>
    <w:multiLevelType w:val="hybridMultilevel"/>
    <w:tmpl w:val="A39658C0"/>
    <w:lvl w:ilvl="0" w:tplc="7B640FF6">
      <w:start w:val="1"/>
      <w:numFmt w:val="bullet"/>
      <w:pStyle w:val="ListBullet"/>
      <w:lvlText w:val="›"/>
      <w:lvlJc w:val="left"/>
      <w:pPr>
        <w:ind w:left="644" w:hanging="360"/>
      </w:pPr>
      <w:rPr>
        <w:rFonts w:ascii="Times New Roman" w:hAnsi="Times New Roman" w:cs="Times New Roman"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num w:numId="1">
    <w:abstractNumId w:val="49"/>
  </w:num>
  <w:num w:numId="2">
    <w:abstractNumId w:val="6"/>
  </w:num>
  <w:num w:numId="3">
    <w:abstractNumId w:val="24"/>
  </w:num>
  <w:num w:numId="4">
    <w:abstractNumId w:val="39"/>
  </w:num>
  <w:num w:numId="5">
    <w:abstractNumId w:val="43"/>
  </w:num>
  <w:num w:numId="6">
    <w:abstractNumId w:val="0"/>
  </w:num>
  <w:num w:numId="7">
    <w:abstractNumId w:val="24"/>
  </w:num>
  <w:num w:numId="8">
    <w:abstractNumId w:val="42"/>
  </w:num>
  <w:num w:numId="9">
    <w:abstractNumId w:val="6"/>
  </w:num>
  <w:num w:numId="10">
    <w:abstractNumId w:val="10"/>
  </w:num>
  <w:num w:numId="11">
    <w:abstractNumId w:val="54"/>
  </w:num>
  <w:num w:numId="12">
    <w:abstractNumId w:val="56"/>
  </w:num>
  <w:num w:numId="13">
    <w:abstractNumId w:val="61"/>
  </w:num>
  <w:num w:numId="14">
    <w:abstractNumId w:val="3"/>
  </w:num>
  <w:num w:numId="15">
    <w:abstractNumId w:val="44"/>
  </w:num>
  <w:num w:numId="16">
    <w:abstractNumId w:val="21"/>
  </w:num>
  <w:num w:numId="17">
    <w:abstractNumId w:val="60"/>
  </w:num>
  <w:num w:numId="18">
    <w:abstractNumId w:val="33"/>
  </w:num>
  <w:num w:numId="19">
    <w:abstractNumId w:val="17"/>
  </w:num>
  <w:num w:numId="20">
    <w:abstractNumId w:val="35"/>
  </w:num>
  <w:num w:numId="21">
    <w:abstractNumId w:val="30"/>
  </w:num>
  <w:num w:numId="22">
    <w:abstractNumId w:val="15"/>
  </w:num>
  <w:num w:numId="23">
    <w:abstractNumId w:val="36"/>
  </w:num>
  <w:num w:numId="24">
    <w:abstractNumId w:val="9"/>
  </w:num>
  <w:num w:numId="25">
    <w:abstractNumId w:val="48"/>
  </w:num>
  <w:num w:numId="26">
    <w:abstractNumId w:val="31"/>
  </w:num>
  <w:num w:numId="27">
    <w:abstractNumId w:val="19"/>
  </w:num>
  <w:num w:numId="28">
    <w:abstractNumId w:val="46"/>
  </w:num>
  <w:num w:numId="29">
    <w:abstractNumId w:val="57"/>
  </w:num>
  <w:num w:numId="30">
    <w:abstractNumId w:val="59"/>
  </w:num>
  <w:num w:numId="31">
    <w:abstractNumId w:val="23"/>
  </w:num>
  <w:num w:numId="32">
    <w:abstractNumId w:val="7"/>
  </w:num>
  <w:num w:numId="33">
    <w:abstractNumId w:val="16"/>
  </w:num>
  <w:num w:numId="34">
    <w:abstractNumId w:val="37"/>
  </w:num>
  <w:num w:numId="35">
    <w:abstractNumId w:val="22"/>
  </w:num>
  <w:num w:numId="36">
    <w:abstractNumId w:val="20"/>
  </w:num>
  <w:num w:numId="37">
    <w:abstractNumId w:val="25"/>
  </w:num>
  <w:num w:numId="38">
    <w:abstractNumId w:val="12"/>
  </w:num>
  <w:num w:numId="39">
    <w:abstractNumId w:val="29"/>
  </w:num>
  <w:num w:numId="40">
    <w:abstractNumId w:val="1"/>
  </w:num>
  <w:num w:numId="41">
    <w:abstractNumId w:val="27"/>
  </w:num>
  <w:num w:numId="42">
    <w:abstractNumId w:val="38"/>
  </w:num>
  <w:num w:numId="43">
    <w:abstractNumId w:val="47"/>
  </w:num>
  <w:num w:numId="44">
    <w:abstractNumId w:val="34"/>
  </w:num>
  <w:num w:numId="45">
    <w:abstractNumId w:val="53"/>
  </w:num>
  <w:num w:numId="46">
    <w:abstractNumId w:val="41"/>
  </w:num>
  <w:num w:numId="47">
    <w:abstractNumId w:val="11"/>
  </w:num>
  <w:num w:numId="48">
    <w:abstractNumId w:val="4"/>
  </w:num>
  <w:num w:numId="49">
    <w:abstractNumId w:val="52"/>
  </w:num>
  <w:num w:numId="50">
    <w:abstractNumId w:val="58"/>
  </w:num>
  <w:num w:numId="51">
    <w:abstractNumId w:val="8"/>
  </w:num>
  <w:num w:numId="52">
    <w:abstractNumId w:val="28"/>
  </w:num>
  <w:num w:numId="53">
    <w:abstractNumId w:val="55"/>
  </w:num>
  <w:num w:numId="54">
    <w:abstractNumId w:val="18"/>
  </w:num>
  <w:num w:numId="55">
    <w:abstractNumId w:val="40"/>
  </w:num>
  <w:num w:numId="56">
    <w:abstractNumId w:val="45"/>
  </w:num>
  <w:num w:numId="57">
    <w:abstractNumId w:val="2"/>
  </w:num>
  <w:num w:numId="58">
    <w:abstractNumId w:val="51"/>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num>
  <w:num w:numId="61">
    <w:abstractNumId w:val="26"/>
  </w:num>
  <w:num w:numId="62">
    <w:abstractNumId w:val="14"/>
  </w:num>
  <w:num w:numId="63">
    <w:abstractNumId w:val="32"/>
  </w:num>
  <w:num w:numId="64">
    <w:abstractNumId w:val="13"/>
  </w:num>
  <w:num w:numId="65">
    <w:abstractNumId w:val="5"/>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Fargher">
    <w15:presenceInfo w15:providerId="None" w15:userId="John Farg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revisionView w:markup="0"/>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01BC5"/>
    <w:rsid w:val="00001DA8"/>
    <w:rsid w:val="000020C1"/>
    <w:rsid w:val="0000269C"/>
    <w:rsid w:val="00002770"/>
    <w:rsid w:val="0000313C"/>
    <w:rsid w:val="00003834"/>
    <w:rsid w:val="000059DB"/>
    <w:rsid w:val="0000674C"/>
    <w:rsid w:val="00006A55"/>
    <w:rsid w:val="00007FBA"/>
    <w:rsid w:val="00010963"/>
    <w:rsid w:val="00011E04"/>
    <w:rsid w:val="00012F17"/>
    <w:rsid w:val="000135FA"/>
    <w:rsid w:val="00015DA8"/>
    <w:rsid w:val="0002080A"/>
    <w:rsid w:val="00020BAC"/>
    <w:rsid w:val="0002153D"/>
    <w:rsid w:val="000219F7"/>
    <w:rsid w:val="000227B1"/>
    <w:rsid w:val="00024C51"/>
    <w:rsid w:val="00026BD2"/>
    <w:rsid w:val="0002735A"/>
    <w:rsid w:val="0002782F"/>
    <w:rsid w:val="00031E3E"/>
    <w:rsid w:val="000334B6"/>
    <w:rsid w:val="00033D1C"/>
    <w:rsid w:val="00035BBF"/>
    <w:rsid w:val="000403BB"/>
    <w:rsid w:val="0004384F"/>
    <w:rsid w:val="00044544"/>
    <w:rsid w:val="00044EA3"/>
    <w:rsid w:val="00046E9D"/>
    <w:rsid w:val="000501C4"/>
    <w:rsid w:val="00050806"/>
    <w:rsid w:val="00051B88"/>
    <w:rsid w:val="000528FA"/>
    <w:rsid w:val="000546D9"/>
    <w:rsid w:val="00054E4D"/>
    <w:rsid w:val="0005764D"/>
    <w:rsid w:val="00060073"/>
    <w:rsid w:val="00060082"/>
    <w:rsid w:val="000603DC"/>
    <w:rsid w:val="000616C6"/>
    <w:rsid w:val="000617E4"/>
    <w:rsid w:val="000622CD"/>
    <w:rsid w:val="00062B03"/>
    <w:rsid w:val="0006425B"/>
    <w:rsid w:val="000642D9"/>
    <w:rsid w:val="0006460B"/>
    <w:rsid w:val="00072262"/>
    <w:rsid w:val="000738FA"/>
    <w:rsid w:val="00073B43"/>
    <w:rsid w:val="00076F77"/>
    <w:rsid w:val="00077E89"/>
    <w:rsid w:val="000818AA"/>
    <w:rsid w:val="00083921"/>
    <w:rsid w:val="000841D1"/>
    <w:rsid w:val="000854FD"/>
    <w:rsid w:val="0008565D"/>
    <w:rsid w:val="00090933"/>
    <w:rsid w:val="00092F07"/>
    <w:rsid w:val="00093262"/>
    <w:rsid w:val="00093D44"/>
    <w:rsid w:val="00096298"/>
    <w:rsid w:val="00097109"/>
    <w:rsid w:val="000A20DA"/>
    <w:rsid w:val="000A2F77"/>
    <w:rsid w:val="000A3D6C"/>
    <w:rsid w:val="000A4AB1"/>
    <w:rsid w:val="000B1598"/>
    <w:rsid w:val="000B3315"/>
    <w:rsid w:val="000B3354"/>
    <w:rsid w:val="000B37F5"/>
    <w:rsid w:val="000B4552"/>
    <w:rsid w:val="000B532B"/>
    <w:rsid w:val="000B535A"/>
    <w:rsid w:val="000B5665"/>
    <w:rsid w:val="000B7DEA"/>
    <w:rsid w:val="000C1DB4"/>
    <w:rsid w:val="000C321B"/>
    <w:rsid w:val="000C33FB"/>
    <w:rsid w:val="000C3BA0"/>
    <w:rsid w:val="000C5245"/>
    <w:rsid w:val="000C7E61"/>
    <w:rsid w:val="000D3792"/>
    <w:rsid w:val="000D39DE"/>
    <w:rsid w:val="000D3CAC"/>
    <w:rsid w:val="000D437E"/>
    <w:rsid w:val="000D4B02"/>
    <w:rsid w:val="000D53D1"/>
    <w:rsid w:val="000D5D64"/>
    <w:rsid w:val="000D66D6"/>
    <w:rsid w:val="000D6A3B"/>
    <w:rsid w:val="000E0508"/>
    <w:rsid w:val="000E09F0"/>
    <w:rsid w:val="000E260E"/>
    <w:rsid w:val="000E2F1A"/>
    <w:rsid w:val="000E35E9"/>
    <w:rsid w:val="000E383C"/>
    <w:rsid w:val="000E3926"/>
    <w:rsid w:val="000E3E4A"/>
    <w:rsid w:val="000E4F9C"/>
    <w:rsid w:val="000E537B"/>
    <w:rsid w:val="000E5B6A"/>
    <w:rsid w:val="000E63C0"/>
    <w:rsid w:val="000E7208"/>
    <w:rsid w:val="000F1332"/>
    <w:rsid w:val="000F4DCD"/>
    <w:rsid w:val="000F5F03"/>
    <w:rsid w:val="000F65E9"/>
    <w:rsid w:val="000F73F2"/>
    <w:rsid w:val="000F799D"/>
    <w:rsid w:val="00101564"/>
    <w:rsid w:val="001056C2"/>
    <w:rsid w:val="001057C7"/>
    <w:rsid w:val="001075D0"/>
    <w:rsid w:val="0011053B"/>
    <w:rsid w:val="0011097E"/>
    <w:rsid w:val="0011103C"/>
    <w:rsid w:val="001117AB"/>
    <w:rsid w:val="00111D84"/>
    <w:rsid w:val="00113288"/>
    <w:rsid w:val="00113338"/>
    <w:rsid w:val="00113F05"/>
    <w:rsid w:val="00115575"/>
    <w:rsid w:val="00115C50"/>
    <w:rsid w:val="00116C72"/>
    <w:rsid w:val="001170E6"/>
    <w:rsid w:val="0011730F"/>
    <w:rsid w:val="00117BE4"/>
    <w:rsid w:val="001214BE"/>
    <w:rsid w:val="00122349"/>
    <w:rsid w:val="001236FF"/>
    <w:rsid w:val="00126B52"/>
    <w:rsid w:val="00127196"/>
    <w:rsid w:val="00127EBD"/>
    <w:rsid w:val="0013101C"/>
    <w:rsid w:val="001323AA"/>
    <w:rsid w:val="00133C97"/>
    <w:rsid w:val="00133CB5"/>
    <w:rsid w:val="00134298"/>
    <w:rsid w:val="00135164"/>
    <w:rsid w:val="00135409"/>
    <w:rsid w:val="001367C9"/>
    <w:rsid w:val="001405D0"/>
    <w:rsid w:val="001406C1"/>
    <w:rsid w:val="001408A8"/>
    <w:rsid w:val="00141EB9"/>
    <w:rsid w:val="00142216"/>
    <w:rsid w:val="00143A40"/>
    <w:rsid w:val="00145164"/>
    <w:rsid w:val="00145B12"/>
    <w:rsid w:val="001461D6"/>
    <w:rsid w:val="0014714E"/>
    <w:rsid w:val="00150F69"/>
    <w:rsid w:val="0015251E"/>
    <w:rsid w:val="00153765"/>
    <w:rsid w:val="00153E67"/>
    <w:rsid w:val="001541EA"/>
    <w:rsid w:val="00154834"/>
    <w:rsid w:val="00154A5E"/>
    <w:rsid w:val="00156434"/>
    <w:rsid w:val="0015685D"/>
    <w:rsid w:val="00156D02"/>
    <w:rsid w:val="00156DEF"/>
    <w:rsid w:val="00161545"/>
    <w:rsid w:val="00161832"/>
    <w:rsid w:val="00162E0B"/>
    <w:rsid w:val="00163046"/>
    <w:rsid w:val="00163E33"/>
    <w:rsid w:val="00165185"/>
    <w:rsid w:val="001670B6"/>
    <w:rsid w:val="0016741B"/>
    <w:rsid w:val="00171C58"/>
    <w:rsid w:val="0017211F"/>
    <w:rsid w:val="001724B6"/>
    <w:rsid w:val="00174F66"/>
    <w:rsid w:val="00176730"/>
    <w:rsid w:val="00177A43"/>
    <w:rsid w:val="001811B5"/>
    <w:rsid w:val="00181239"/>
    <w:rsid w:val="00182EEF"/>
    <w:rsid w:val="001837FE"/>
    <w:rsid w:val="00184A26"/>
    <w:rsid w:val="00185A3F"/>
    <w:rsid w:val="00185EC7"/>
    <w:rsid w:val="00186453"/>
    <w:rsid w:val="0018686E"/>
    <w:rsid w:val="00186ACD"/>
    <w:rsid w:val="00187E6D"/>
    <w:rsid w:val="00191C2B"/>
    <w:rsid w:val="00192DBE"/>
    <w:rsid w:val="00194027"/>
    <w:rsid w:val="001A1445"/>
    <w:rsid w:val="001A2687"/>
    <w:rsid w:val="001A4316"/>
    <w:rsid w:val="001A54E1"/>
    <w:rsid w:val="001B1D0C"/>
    <w:rsid w:val="001B3239"/>
    <w:rsid w:val="001B3EA5"/>
    <w:rsid w:val="001B4690"/>
    <w:rsid w:val="001B5846"/>
    <w:rsid w:val="001B76F5"/>
    <w:rsid w:val="001C0BF3"/>
    <w:rsid w:val="001C3A5E"/>
    <w:rsid w:val="001C3C00"/>
    <w:rsid w:val="001C78C8"/>
    <w:rsid w:val="001C7A97"/>
    <w:rsid w:val="001D04BA"/>
    <w:rsid w:val="001D1832"/>
    <w:rsid w:val="001D1FFB"/>
    <w:rsid w:val="001D2264"/>
    <w:rsid w:val="001D25D4"/>
    <w:rsid w:val="001D3321"/>
    <w:rsid w:val="001D4200"/>
    <w:rsid w:val="001D503D"/>
    <w:rsid w:val="001D5608"/>
    <w:rsid w:val="001D5852"/>
    <w:rsid w:val="001D663E"/>
    <w:rsid w:val="001E1078"/>
    <w:rsid w:val="001E1DC0"/>
    <w:rsid w:val="001E2149"/>
    <w:rsid w:val="001E3479"/>
    <w:rsid w:val="001E55F5"/>
    <w:rsid w:val="001E6DA2"/>
    <w:rsid w:val="001E7A93"/>
    <w:rsid w:val="001E7BCE"/>
    <w:rsid w:val="001F0A39"/>
    <w:rsid w:val="001F11EE"/>
    <w:rsid w:val="001F13C3"/>
    <w:rsid w:val="001F16F3"/>
    <w:rsid w:val="001F2389"/>
    <w:rsid w:val="001F39CB"/>
    <w:rsid w:val="001F50FB"/>
    <w:rsid w:val="001F5804"/>
    <w:rsid w:val="001F5AE0"/>
    <w:rsid w:val="001F5B68"/>
    <w:rsid w:val="001F7144"/>
    <w:rsid w:val="00200A10"/>
    <w:rsid w:val="00203277"/>
    <w:rsid w:val="0020368F"/>
    <w:rsid w:val="00203B45"/>
    <w:rsid w:val="0020441D"/>
    <w:rsid w:val="00204D4A"/>
    <w:rsid w:val="00204F72"/>
    <w:rsid w:val="00204F83"/>
    <w:rsid w:val="0020608F"/>
    <w:rsid w:val="002064BA"/>
    <w:rsid w:val="00207425"/>
    <w:rsid w:val="00207A90"/>
    <w:rsid w:val="00220506"/>
    <w:rsid w:val="00220DF8"/>
    <w:rsid w:val="002216BB"/>
    <w:rsid w:val="0022191F"/>
    <w:rsid w:val="00222556"/>
    <w:rsid w:val="00222F46"/>
    <w:rsid w:val="00224AAD"/>
    <w:rsid w:val="00225821"/>
    <w:rsid w:val="0022728F"/>
    <w:rsid w:val="00230B64"/>
    <w:rsid w:val="00231443"/>
    <w:rsid w:val="00234257"/>
    <w:rsid w:val="00240CCE"/>
    <w:rsid w:val="00242200"/>
    <w:rsid w:val="00242744"/>
    <w:rsid w:val="002427D1"/>
    <w:rsid w:val="00243245"/>
    <w:rsid w:val="00243655"/>
    <w:rsid w:val="00243660"/>
    <w:rsid w:val="00243860"/>
    <w:rsid w:val="00244282"/>
    <w:rsid w:val="00245AFD"/>
    <w:rsid w:val="00247399"/>
    <w:rsid w:val="0025131A"/>
    <w:rsid w:val="002527BD"/>
    <w:rsid w:val="00252C04"/>
    <w:rsid w:val="00252D2C"/>
    <w:rsid w:val="00253D41"/>
    <w:rsid w:val="002575C2"/>
    <w:rsid w:val="002576AC"/>
    <w:rsid w:val="002612AF"/>
    <w:rsid w:val="002639B5"/>
    <w:rsid w:val="00264B28"/>
    <w:rsid w:val="002658F0"/>
    <w:rsid w:val="00265CF6"/>
    <w:rsid w:val="0026725E"/>
    <w:rsid w:val="002705DB"/>
    <w:rsid w:val="002707D5"/>
    <w:rsid w:val="00271347"/>
    <w:rsid w:val="0027315E"/>
    <w:rsid w:val="002738CB"/>
    <w:rsid w:val="002740E8"/>
    <w:rsid w:val="00274369"/>
    <w:rsid w:val="00274659"/>
    <w:rsid w:val="00274C18"/>
    <w:rsid w:val="002761B9"/>
    <w:rsid w:val="002765F0"/>
    <w:rsid w:val="002810CB"/>
    <w:rsid w:val="002820A6"/>
    <w:rsid w:val="00282906"/>
    <w:rsid w:val="002834B9"/>
    <w:rsid w:val="00284E1E"/>
    <w:rsid w:val="00284FCC"/>
    <w:rsid w:val="0028602A"/>
    <w:rsid w:val="0028742B"/>
    <w:rsid w:val="00287601"/>
    <w:rsid w:val="00290028"/>
    <w:rsid w:val="002907C6"/>
    <w:rsid w:val="002928BB"/>
    <w:rsid w:val="0029299B"/>
    <w:rsid w:val="00292C05"/>
    <w:rsid w:val="0029339F"/>
    <w:rsid w:val="00293499"/>
    <w:rsid w:val="00294364"/>
    <w:rsid w:val="002960A1"/>
    <w:rsid w:val="002964E0"/>
    <w:rsid w:val="002A0580"/>
    <w:rsid w:val="002A16D9"/>
    <w:rsid w:val="002A2B41"/>
    <w:rsid w:val="002A2C8D"/>
    <w:rsid w:val="002A2FB2"/>
    <w:rsid w:val="002A43BF"/>
    <w:rsid w:val="002B105A"/>
    <w:rsid w:val="002B16CC"/>
    <w:rsid w:val="002B4649"/>
    <w:rsid w:val="002B46F2"/>
    <w:rsid w:val="002B5D7F"/>
    <w:rsid w:val="002B5DBE"/>
    <w:rsid w:val="002B5E10"/>
    <w:rsid w:val="002B5FDB"/>
    <w:rsid w:val="002B6D01"/>
    <w:rsid w:val="002B71F7"/>
    <w:rsid w:val="002C080B"/>
    <w:rsid w:val="002C09B3"/>
    <w:rsid w:val="002C7847"/>
    <w:rsid w:val="002C793D"/>
    <w:rsid w:val="002D39AF"/>
    <w:rsid w:val="002D4887"/>
    <w:rsid w:val="002D5475"/>
    <w:rsid w:val="002D5B25"/>
    <w:rsid w:val="002D648B"/>
    <w:rsid w:val="002D71CF"/>
    <w:rsid w:val="002E16ED"/>
    <w:rsid w:val="002E25D1"/>
    <w:rsid w:val="002E298F"/>
    <w:rsid w:val="002E54DA"/>
    <w:rsid w:val="002E553B"/>
    <w:rsid w:val="002F0EFA"/>
    <w:rsid w:val="002F2793"/>
    <w:rsid w:val="002F27A6"/>
    <w:rsid w:val="002F2CF1"/>
    <w:rsid w:val="002F3B4B"/>
    <w:rsid w:val="002F4F2B"/>
    <w:rsid w:val="002F6F58"/>
    <w:rsid w:val="002F7707"/>
    <w:rsid w:val="003002C0"/>
    <w:rsid w:val="00301144"/>
    <w:rsid w:val="003031C6"/>
    <w:rsid w:val="00303F23"/>
    <w:rsid w:val="003045D5"/>
    <w:rsid w:val="00304984"/>
    <w:rsid w:val="0030521A"/>
    <w:rsid w:val="00305EFB"/>
    <w:rsid w:val="00307084"/>
    <w:rsid w:val="00307B57"/>
    <w:rsid w:val="00310C5C"/>
    <w:rsid w:val="00311A76"/>
    <w:rsid w:val="00312442"/>
    <w:rsid w:val="00312BF8"/>
    <w:rsid w:val="0031388C"/>
    <w:rsid w:val="003148B7"/>
    <w:rsid w:val="00314E16"/>
    <w:rsid w:val="003158C3"/>
    <w:rsid w:val="0032076A"/>
    <w:rsid w:val="00321593"/>
    <w:rsid w:val="00321E61"/>
    <w:rsid w:val="003221C7"/>
    <w:rsid w:val="003259F8"/>
    <w:rsid w:val="00326B1E"/>
    <w:rsid w:val="0032742D"/>
    <w:rsid w:val="003274CD"/>
    <w:rsid w:val="00330BD6"/>
    <w:rsid w:val="00331D5C"/>
    <w:rsid w:val="00333501"/>
    <w:rsid w:val="00335017"/>
    <w:rsid w:val="00336898"/>
    <w:rsid w:val="00336899"/>
    <w:rsid w:val="003416F9"/>
    <w:rsid w:val="00342195"/>
    <w:rsid w:val="00343460"/>
    <w:rsid w:val="003457C4"/>
    <w:rsid w:val="003460B6"/>
    <w:rsid w:val="00347DEB"/>
    <w:rsid w:val="00350E8A"/>
    <w:rsid w:val="00350F65"/>
    <w:rsid w:val="0035119D"/>
    <w:rsid w:val="003512B9"/>
    <w:rsid w:val="00351373"/>
    <w:rsid w:val="00355781"/>
    <w:rsid w:val="00355B0D"/>
    <w:rsid w:val="00356647"/>
    <w:rsid w:val="003578FF"/>
    <w:rsid w:val="003622EF"/>
    <w:rsid w:val="0036344C"/>
    <w:rsid w:val="003648CB"/>
    <w:rsid w:val="0036598A"/>
    <w:rsid w:val="00371193"/>
    <w:rsid w:val="003730C0"/>
    <w:rsid w:val="00373375"/>
    <w:rsid w:val="0037362A"/>
    <w:rsid w:val="0037387D"/>
    <w:rsid w:val="00374E11"/>
    <w:rsid w:val="00376544"/>
    <w:rsid w:val="00382F87"/>
    <w:rsid w:val="0038387E"/>
    <w:rsid w:val="00384420"/>
    <w:rsid w:val="00384D40"/>
    <w:rsid w:val="003856DA"/>
    <w:rsid w:val="00386699"/>
    <w:rsid w:val="00387017"/>
    <w:rsid w:val="00387324"/>
    <w:rsid w:val="00387A1D"/>
    <w:rsid w:val="00393066"/>
    <w:rsid w:val="0039344A"/>
    <w:rsid w:val="00394B15"/>
    <w:rsid w:val="00395163"/>
    <w:rsid w:val="00395916"/>
    <w:rsid w:val="00396809"/>
    <w:rsid w:val="00397504"/>
    <w:rsid w:val="003A0FA9"/>
    <w:rsid w:val="003A1045"/>
    <w:rsid w:val="003A111E"/>
    <w:rsid w:val="003A2450"/>
    <w:rsid w:val="003A3CF5"/>
    <w:rsid w:val="003A3FC0"/>
    <w:rsid w:val="003A43F4"/>
    <w:rsid w:val="003A6A2B"/>
    <w:rsid w:val="003A7B41"/>
    <w:rsid w:val="003B174E"/>
    <w:rsid w:val="003B1DC4"/>
    <w:rsid w:val="003B2764"/>
    <w:rsid w:val="003B27BF"/>
    <w:rsid w:val="003B39E1"/>
    <w:rsid w:val="003B4F12"/>
    <w:rsid w:val="003B50FA"/>
    <w:rsid w:val="003B5678"/>
    <w:rsid w:val="003B5EAA"/>
    <w:rsid w:val="003B6F2E"/>
    <w:rsid w:val="003C1ACF"/>
    <w:rsid w:val="003C2BB8"/>
    <w:rsid w:val="003C4982"/>
    <w:rsid w:val="003D5A62"/>
    <w:rsid w:val="003D7A68"/>
    <w:rsid w:val="003D7B02"/>
    <w:rsid w:val="003D7B7F"/>
    <w:rsid w:val="003E12A3"/>
    <w:rsid w:val="003E3602"/>
    <w:rsid w:val="003E41C8"/>
    <w:rsid w:val="003E4202"/>
    <w:rsid w:val="003E60EA"/>
    <w:rsid w:val="003E61B9"/>
    <w:rsid w:val="003E71C8"/>
    <w:rsid w:val="003F0EE7"/>
    <w:rsid w:val="003F2041"/>
    <w:rsid w:val="003F26C4"/>
    <w:rsid w:val="003F2854"/>
    <w:rsid w:val="003F2A5F"/>
    <w:rsid w:val="003F46DC"/>
    <w:rsid w:val="00402ACC"/>
    <w:rsid w:val="0040460B"/>
    <w:rsid w:val="004058B5"/>
    <w:rsid w:val="00406AB6"/>
    <w:rsid w:val="004077AC"/>
    <w:rsid w:val="004119E9"/>
    <w:rsid w:val="004120EC"/>
    <w:rsid w:val="00414DD2"/>
    <w:rsid w:val="004170C6"/>
    <w:rsid w:val="00417375"/>
    <w:rsid w:val="00420003"/>
    <w:rsid w:val="004207A7"/>
    <w:rsid w:val="0042271B"/>
    <w:rsid w:val="00423F31"/>
    <w:rsid w:val="0042541B"/>
    <w:rsid w:val="00425D6F"/>
    <w:rsid w:val="00425F97"/>
    <w:rsid w:val="0042738D"/>
    <w:rsid w:val="00430A92"/>
    <w:rsid w:val="00431899"/>
    <w:rsid w:val="004328E1"/>
    <w:rsid w:val="00433010"/>
    <w:rsid w:val="00433B66"/>
    <w:rsid w:val="00436123"/>
    <w:rsid w:val="00440A1D"/>
    <w:rsid w:val="00440AA5"/>
    <w:rsid w:val="004412A1"/>
    <w:rsid w:val="00442055"/>
    <w:rsid w:val="00442E5E"/>
    <w:rsid w:val="00444085"/>
    <w:rsid w:val="004441A4"/>
    <w:rsid w:val="00444953"/>
    <w:rsid w:val="00445054"/>
    <w:rsid w:val="00445056"/>
    <w:rsid w:val="00445953"/>
    <w:rsid w:val="00447AC5"/>
    <w:rsid w:val="0045204F"/>
    <w:rsid w:val="00452380"/>
    <w:rsid w:val="0045469D"/>
    <w:rsid w:val="00454BD5"/>
    <w:rsid w:val="00455455"/>
    <w:rsid w:val="00455D79"/>
    <w:rsid w:val="004562C1"/>
    <w:rsid w:val="00457E35"/>
    <w:rsid w:val="00457EC6"/>
    <w:rsid w:val="00461ADE"/>
    <w:rsid w:val="00464934"/>
    <w:rsid w:val="004659EA"/>
    <w:rsid w:val="0046682C"/>
    <w:rsid w:val="004678AE"/>
    <w:rsid w:val="004678E5"/>
    <w:rsid w:val="00467BD5"/>
    <w:rsid w:val="0047096F"/>
    <w:rsid w:val="004712BA"/>
    <w:rsid w:val="00472F06"/>
    <w:rsid w:val="00473A4C"/>
    <w:rsid w:val="004753B6"/>
    <w:rsid w:val="0047571B"/>
    <w:rsid w:val="00475E90"/>
    <w:rsid w:val="0047630A"/>
    <w:rsid w:val="00476B89"/>
    <w:rsid w:val="0048008B"/>
    <w:rsid w:val="0048223F"/>
    <w:rsid w:val="00482AE8"/>
    <w:rsid w:val="00482B96"/>
    <w:rsid w:val="00483539"/>
    <w:rsid w:val="0048579F"/>
    <w:rsid w:val="00486804"/>
    <w:rsid w:val="004872D8"/>
    <w:rsid w:val="0048769F"/>
    <w:rsid w:val="00490A59"/>
    <w:rsid w:val="00490E0C"/>
    <w:rsid w:val="004915FF"/>
    <w:rsid w:val="004918E6"/>
    <w:rsid w:val="00493925"/>
    <w:rsid w:val="004962D8"/>
    <w:rsid w:val="00497DC4"/>
    <w:rsid w:val="004A0B4C"/>
    <w:rsid w:val="004A19FB"/>
    <w:rsid w:val="004A4626"/>
    <w:rsid w:val="004A49AC"/>
    <w:rsid w:val="004A4A06"/>
    <w:rsid w:val="004A5A58"/>
    <w:rsid w:val="004B19F5"/>
    <w:rsid w:val="004B220D"/>
    <w:rsid w:val="004B3775"/>
    <w:rsid w:val="004B3DE9"/>
    <w:rsid w:val="004B51FB"/>
    <w:rsid w:val="004B55E3"/>
    <w:rsid w:val="004B7239"/>
    <w:rsid w:val="004B7CFF"/>
    <w:rsid w:val="004C1F15"/>
    <w:rsid w:val="004C2A56"/>
    <w:rsid w:val="004C69FD"/>
    <w:rsid w:val="004C6AF9"/>
    <w:rsid w:val="004C7357"/>
    <w:rsid w:val="004C7AE2"/>
    <w:rsid w:val="004D0BA0"/>
    <w:rsid w:val="004D20E0"/>
    <w:rsid w:val="004D5B63"/>
    <w:rsid w:val="004D6DEF"/>
    <w:rsid w:val="004D78C5"/>
    <w:rsid w:val="004D7E21"/>
    <w:rsid w:val="004E058F"/>
    <w:rsid w:val="004E3B87"/>
    <w:rsid w:val="004E49E3"/>
    <w:rsid w:val="004E5673"/>
    <w:rsid w:val="004E5E0C"/>
    <w:rsid w:val="004E7445"/>
    <w:rsid w:val="004F0162"/>
    <w:rsid w:val="004F0F7F"/>
    <w:rsid w:val="004F2EAE"/>
    <w:rsid w:val="004F54A1"/>
    <w:rsid w:val="004F6020"/>
    <w:rsid w:val="00500035"/>
    <w:rsid w:val="00500C04"/>
    <w:rsid w:val="005034B9"/>
    <w:rsid w:val="0050399B"/>
    <w:rsid w:val="00505B3E"/>
    <w:rsid w:val="00506600"/>
    <w:rsid w:val="0050772D"/>
    <w:rsid w:val="00507D45"/>
    <w:rsid w:val="00510618"/>
    <w:rsid w:val="00510746"/>
    <w:rsid w:val="00510921"/>
    <w:rsid w:val="00510AD3"/>
    <w:rsid w:val="00513348"/>
    <w:rsid w:val="00513AD8"/>
    <w:rsid w:val="00514314"/>
    <w:rsid w:val="005143F8"/>
    <w:rsid w:val="0051484F"/>
    <w:rsid w:val="00514D91"/>
    <w:rsid w:val="00517A37"/>
    <w:rsid w:val="00520196"/>
    <w:rsid w:val="005204D2"/>
    <w:rsid w:val="00522396"/>
    <w:rsid w:val="0052691B"/>
    <w:rsid w:val="00526ACC"/>
    <w:rsid w:val="005330BF"/>
    <w:rsid w:val="00533B5D"/>
    <w:rsid w:val="005347E5"/>
    <w:rsid w:val="0053607D"/>
    <w:rsid w:val="0054073C"/>
    <w:rsid w:val="00540CB0"/>
    <w:rsid w:val="00543294"/>
    <w:rsid w:val="00543FDE"/>
    <w:rsid w:val="00544CD1"/>
    <w:rsid w:val="005470B9"/>
    <w:rsid w:val="005479AF"/>
    <w:rsid w:val="00552DDB"/>
    <w:rsid w:val="005539A3"/>
    <w:rsid w:val="00554011"/>
    <w:rsid w:val="0055570F"/>
    <w:rsid w:val="00557844"/>
    <w:rsid w:val="00563DA5"/>
    <w:rsid w:val="00565B9E"/>
    <w:rsid w:val="00566085"/>
    <w:rsid w:val="005677CE"/>
    <w:rsid w:val="00570069"/>
    <w:rsid w:val="00570F81"/>
    <w:rsid w:val="00571894"/>
    <w:rsid w:val="005720A2"/>
    <w:rsid w:val="00572CE8"/>
    <w:rsid w:val="00583A4A"/>
    <w:rsid w:val="0058415A"/>
    <w:rsid w:val="00585C14"/>
    <w:rsid w:val="00587FC7"/>
    <w:rsid w:val="005911FF"/>
    <w:rsid w:val="005962FD"/>
    <w:rsid w:val="00596DEC"/>
    <w:rsid w:val="005978DF"/>
    <w:rsid w:val="005A0498"/>
    <w:rsid w:val="005A14F4"/>
    <w:rsid w:val="005A17D5"/>
    <w:rsid w:val="005A20F6"/>
    <w:rsid w:val="005A2F08"/>
    <w:rsid w:val="005A3A8A"/>
    <w:rsid w:val="005B0306"/>
    <w:rsid w:val="005B4D9E"/>
    <w:rsid w:val="005B6911"/>
    <w:rsid w:val="005B7584"/>
    <w:rsid w:val="005B763B"/>
    <w:rsid w:val="005B78C6"/>
    <w:rsid w:val="005C20EA"/>
    <w:rsid w:val="005C2288"/>
    <w:rsid w:val="005C2938"/>
    <w:rsid w:val="005C2B8A"/>
    <w:rsid w:val="005C2D66"/>
    <w:rsid w:val="005C4B1C"/>
    <w:rsid w:val="005C57F2"/>
    <w:rsid w:val="005C63BD"/>
    <w:rsid w:val="005C6785"/>
    <w:rsid w:val="005C6B59"/>
    <w:rsid w:val="005D160B"/>
    <w:rsid w:val="005D17AB"/>
    <w:rsid w:val="005D1BDA"/>
    <w:rsid w:val="005D2AD0"/>
    <w:rsid w:val="005D3053"/>
    <w:rsid w:val="005D3655"/>
    <w:rsid w:val="005D461A"/>
    <w:rsid w:val="005D68FD"/>
    <w:rsid w:val="005E1048"/>
    <w:rsid w:val="005E2396"/>
    <w:rsid w:val="005E45EA"/>
    <w:rsid w:val="005E4830"/>
    <w:rsid w:val="005E5768"/>
    <w:rsid w:val="005F06D8"/>
    <w:rsid w:val="005F2A23"/>
    <w:rsid w:val="005F3FE5"/>
    <w:rsid w:val="005F6B80"/>
    <w:rsid w:val="00600033"/>
    <w:rsid w:val="006000A3"/>
    <w:rsid w:val="0060305C"/>
    <w:rsid w:val="0060430D"/>
    <w:rsid w:val="006046CB"/>
    <w:rsid w:val="00606040"/>
    <w:rsid w:val="006075E2"/>
    <w:rsid w:val="00607E88"/>
    <w:rsid w:val="006103AD"/>
    <w:rsid w:val="0061186A"/>
    <w:rsid w:val="0061215C"/>
    <w:rsid w:val="00612E16"/>
    <w:rsid w:val="00613876"/>
    <w:rsid w:val="00615589"/>
    <w:rsid w:val="00615987"/>
    <w:rsid w:val="00616BC8"/>
    <w:rsid w:val="006213D1"/>
    <w:rsid w:val="00622B86"/>
    <w:rsid w:val="0062388E"/>
    <w:rsid w:val="00623BA1"/>
    <w:rsid w:val="006278FA"/>
    <w:rsid w:val="00627BDE"/>
    <w:rsid w:val="006318DD"/>
    <w:rsid w:val="00633041"/>
    <w:rsid w:val="00633BE3"/>
    <w:rsid w:val="006346BC"/>
    <w:rsid w:val="006346C7"/>
    <w:rsid w:val="00634D82"/>
    <w:rsid w:val="0063735C"/>
    <w:rsid w:val="00640AD6"/>
    <w:rsid w:val="006411AE"/>
    <w:rsid w:val="00645B82"/>
    <w:rsid w:val="00646EDB"/>
    <w:rsid w:val="00650B83"/>
    <w:rsid w:val="00654E32"/>
    <w:rsid w:val="00654E4B"/>
    <w:rsid w:val="00657CB2"/>
    <w:rsid w:val="00660E9A"/>
    <w:rsid w:val="0066190F"/>
    <w:rsid w:val="00662881"/>
    <w:rsid w:val="0066379C"/>
    <w:rsid w:val="00663AEF"/>
    <w:rsid w:val="00664D04"/>
    <w:rsid w:val="00665EE4"/>
    <w:rsid w:val="0066642E"/>
    <w:rsid w:val="0066652A"/>
    <w:rsid w:val="00666E94"/>
    <w:rsid w:val="0067137A"/>
    <w:rsid w:val="006719C3"/>
    <w:rsid w:val="00672D50"/>
    <w:rsid w:val="0067345D"/>
    <w:rsid w:val="00674BF1"/>
    <w:rsid w:val="006750AA"/>
    <w:rsid w:val="00675B61"/>
    <w:rsid w:val="006777E3"/>
    <w:rsid w:val="00677814"/>
    <w:rsid w:val="00680522"/>
    <w:rsid w:val="00682167"/>
    <w:rsid w:val="00686632"/>
    <w:rsid w:val="00686FA8"/>
    <w:rsid w:val="0068752D"/>
    <w:rsid w:val="00687605"/>
    <w:rsid w:val="00691A1E"/>
    <w:rsid w:val="006929A6"/>
    <w:rsid w:val="00692BC7"/>
    <w:rsid w:val="00693C8C"/>
    <w:rsid w:val="00694215"/>
    <w:rsid w:val="00694270"/>
    <w:rsid w:val="006952A0"/>
    <w:rsid w:val="00696241"/>
    <w:rsid w:val="0069688A"/>
    <w:rsid w:val="006A0224"/>
    <w:rsid w:val="006A205D"/>
    <w:rsid w:val="006A7341"/>
    <w:rsid w:val="006B4285"/>
    <w:rsid w:val="006B505E"/>
    <w:rsid w:val="006B55D9"/>
    <w:rsid w:val="006C02EA"/>
    <w:rsid w:val="006C104B"/>
    <w:rsid w:val="006C3460"/>
    <w:rsid w:val="006C3C92"/>
    <w:rsid w:val="006C42AF"/>
    <w:rsid w:val="006C6FD2"/>
    <w:rsid w:val="006C7E5B"/>
    <w:rsid w:val="006D23C5"/>
    <w:rsid w:val="006D3C75"/>
    <w:rsid w:val="006D4F76"/>
    <w:rsid w:val="006D510C"/>
    <w:rsid w:val="006D7254"/>
    <w:rsid w:val="006D748C"/>
    <w:rsid w:val="006E21C5"/>
    <w:rsid w:val="006E26D1"/>
    <w:rsid w:val="006E28AA"/>
    <w:rsid w:val="006E2BDC"/>
    <w:rsid w:val="006E6A46"/>
    <w:rsid w:val="006F13D5"/>
    <w:rsid w:val="006F2170"/>
    <w:rsid w:val="006F2CAB"/>
    <w:rsid w:val="006F3A6C"/>
    <w:rsid w:val="006F418F"/>
    <w:rsid w:val="006F4EB8"/>
    <w:rsid w:val="006F583B"/>
    <w:rsid w:val="006F72CB"/>
    <w:rsid w:val="006F7C52"/>
    <w:rsid w:val="00701235"/>
    <w:rsid w:val="00704409"/>
    <w:rsid w:val="0070457A"/>
    <w:rsid w:val="007061D4"/>
    <w:rsid w:val="007068F5"/>
    <w:rsid w:val="00710024"/>
    <w:rsid w:val="00710E81"/>
    <w:rsid w:val="00711D8E"/>
    <w:rsid w:val="00712672"/>
    <w:rsid w:val="00714439"/>
    <w:rsid w:val="00716103"/>
    <w:rsid w:val="00717A7A"/>
    <w:rsid w:val="007216BF"/>
    <w:rsid w:val="0072601F"/>
    <w:rsid w:val="00726CF9"/>
    <w:rsid w:val="00731371"/>
    <w:rsid w:val="00731EA7"/>
    <w:rsid w:val="00732E1E"/>
    <w:rsid w:val="00733E0C"/>
    <w:rsid w:val="00734E3F"/>
    <w:rsid w:val="007351F4"/>
    <w:rsid w:val="00736985"/>
    <w:rsid w:val="007372AA"/>
    <w:rsid w:val="00737DB5"/>
    <w:rsid w:val="007401BA"/>
    <w:rsid w:val="007408FE"/>
    <w:rsid w:val="00745DF5"/>
    <w:rsid w:val="00746337"/>
    <w:rsid w:val="00746ADA"/>
    <w:rsid w:val="00746CCF"/>
    <w:rsid w:val="0074720D"/>
    <w:rsid w:val="00747538"/>
    <w:rsid w:val="00750BBF"/>
    <w:rsid w:val="007511C6"/>
    <w:rsid w:val="00752FAA"/>
    <w:rsid w:val="007541AE"/>
    <w:rsid w:val="00754CA2"/>
    <w:rsid w:val="0075622F"/>
    <w:rsid w:val="007562C3"/>
    <w:rsid w:val="0075642B"/>
    <w:rsid w:val="0075763D"/>
    <w:rsid w:val="007577F6"/>
    <w:rsid w:val="0076025B"/>
    <w:rsid w:val="0076066C"/>
    <w:rsid w:val="00761951"/>
    <w:rsid w:val="0076250F"/>
    <w:rsid w:val="007625D0"/>
    <w:rsid w:val="00763643"/>
    <w:rsid w:val="00764FCB"/>
    <w:rsid w:val="00766023"/>
    <w:rsid w:val="007668E9"/>
    <w:rsid w:val="00767A7F"/>
    <w:rsid w:val="007700B3"/>
    <w:rsid w:val="00772FC3"/>
    <w:rsid w:val="007743E7"/>
    <w:rsid w:val="00776CE2"/>
    <w:rsid w:val="00777C1F"/>
    <w:rsid w:val="00780FA5"/>
    <w:rsid w:val="00781072"/>
    <w:rsid w:val="007811F1"/>
    <w:rsid w:val="00781DFB"/>
    <w:rsid w:val="00783891"/>
    <w:rsid w:val="007858FE"/>
    <w:rsid w:val="00785B9F"/>
    <w:rsid w:val="00785D8A"/>
    <w:rsid w:val="00786939"/>
    <w:rsid w:val="00786EC9"/>
    <w:rsid w:val="007879DC"/>
    <w:rsid w:val="007918C9"/>
    <w:rsid w:val="00793D19"/>
    <w:rsid w:val="00794C57"/>
    <w:rsid w:val="007957A8"/>
    <w:rsid w:val="007A0001"/>
    <w:rsid w:val="007A0804"/>
    <w:rsid w:val="007A0845"/>
    <w:rsid w:val="007A0995"/>
    <w:rsid w:val="007A3146"/>
    <w:rsid w:val="007A3EBB"/>
    <w:rsid w:val="007A57BE"/>
    <w:rsid w:val="007A6820"/>
    <w:rsid w:val="007A76BF"/>
    <w:rsid w:val="007B0A15"/>
    <w:rsid w:val="007B172C"/>
    <w:rsid w:val="007B1AA6"/>
    <w:rsid w:val="007B1C8F"/>
    <w:rsid w:val="007B279A"/>
    <w:rsid w:val="007B2901"/>
    <w:rsid w:val="007B2B9E"/>
    <w:rsid w:val="007B3BB3"/>
    <w:rsid w:val="007B50E8"/>
    <w:rsid w:val="007B6200"/>
    <w:rsid w:val="007B784F"/>
    <w:rsid w:val="007C61F4"/>
    <w:rsid w:val="007C7965"/>
    <w:rsid w:val="007C7F06"/>
    <w:rsid w:val="007D0D79"/>
    <w:rsid w:val="007D0D7E"/>
    <w:rsid w:val="007D3660"/>
    <w:rsid w:val="007D6869"/>
    <w:rsid w:val="007E22DF"/>
    <w:rsid w:val="007E22F4"/>
    <w:rsid w:val="007E243E"/>
    <w:rsid w:val="007E34F0"/>
    <w:rsid w:val="007E3AA9"/>
    <w:rsid w:val="007E4A1B"/>
    <w:rsid w:val="007E5658"/>
    <w:rsid w:val="007E5BF2"/>
    <w:rsid w:val="007E65FD"/>
    <w:rsid w:val="007E680F"/>
    <w:rsid w:val="007E7743"/>
    <w:rsid w:val="007F00AE"/>
    <w:rsid w:val="007F19E2"/>
    <w:rsid w:val="007F201E"/>
    <w:rsid w:val="007F3395"/>
    <w:rsid w:val="007F736A"/>
    <w:rsid w:val="00800F08"/>
    <w:rsid w:val="008011B2"/>
    <w:rsid w:val="008011F8"/>
    <w:rsid w:val="00801B9F"/>
    <w:rsid w:val="00801E24"/>
    <w:rsid w:val="0080204D"/>
    <w:rsid w:val="008059C3"/>
    <w:rsid w:val="00805A04"/>
    <w:rsid w:val="00807169"/>
    <w:rsid w:val="008104B0"/>
    <w:rsid w:val="008108A4"/>
    <w:rsid w:val="00811F84"/>
    <w:rsid w:val="0081522A"/>
    <w:rsid w:val="00816A00"/>
    <w:rsid w:val="00817787"/>
    <w:rsid w:val="00820236"/>
    <w:rsid w:val="0082081F"/>
    <w:rsid w:val="00821613"/>
    <w:rsid w:val="00821822"/>
    <w:rsid w:val="00822412"/>
    <w:rsid w:val="008227DF"/>
    <w:rsid w:val="00823334"/>
    <w:rsid w:val="00823A4A"/>
    <w:rsid w:val="00823B72"/>
    <w:rsid w:val="00823E8E"/>
    <w:rsid w:val="00824BE3"/>
    <w:rsid w:val="00824E1B"/>
    <w:rsid w:val="00826469"/>
    <w:rsid w:val="0082657D"/>
    <w:rsid w:val="0082676A"/>
    <w:rsid w:val="0082779F"/>
    <w:rsid w:val="00830D84"/>
    <w:rsid w:val="00831DD7"/>
    <w:rsid w:val="008325D1"/>
    <w:rsid w:val="008326FC"/>
    <w:rsid w:val="00837265"/>
    <w:rsid w:val="008405A0"/>
    <w:rsid w:val="00840DD9"/>
    <w:rsid w:val="00843D31"/>
    <w:rsid w:val="0084455C"/>
    <w:rsid w:val="00845FF7"/>
    <w:rsid w:val="008467F3"/>
    <w:rsid w:val="008475F0"/>
    <w:rsid w:val="008476FB"/>
    <w:rsid w:val="00847B82"/>
    <w:rsid w:val="00850051"/>
    <w:rsid w:val="00851B0E"/>
    <w:rsid w:val="00852CF8"/>
    <w:rsid w:val="00853E39"/>
    <w:rsid w:val="00854627"/>
    <w:rsid w:val="008557A7"/>
    <w:rsid w:val="0086102C"/>
    <w:rsid w:val="008630CE"/>
    <w:rsid w:val="00865DF0"/>
    <w:rsid w:val="00870440"/>
    <w:rsid w:val="00870928"/>
    <w:rsid w:val="00872251"/>
    <w:rsid w:val="00872E42"/>
    <w:rsid w:val="00873329"/>
    <w:rsid w:val="008733C8"/>
    <w:rsid w:val="00874DE6"/>
    <w:rsid w:val="00875086"/>
    <w:rsid w:val="00875EFC"/>
    <w:rsid w:val="00876D66"/>
    <w:rsid w:val="00881789"/>
    <w:rsid w:val="00881B16"/>
    <w:rsid w:val="00881E1B"/>
    <w:rsid w:val="00883F16"/>
    <w:rsid w:val="0088485B"/>
    <w:rsid w:val="00886A8D"/>
    <w:rsid w:val="00891ADB"/>
    <w:rsid w:val="00893528"/>
    <w:rsid w:val="0089405C"/>
    <w:rsid w:val="00894774"/>
    <w:rsid w:val="00894C0A"/>
    <w:rsid w:val="00895CC2"/>
    <w:rsid w:val="00896A6B"/>
    <w:rsid w:val="00897FA2"/>
    <w:rsid w:val="008A1C5D"/>
    <w:rsid w:val="008A1FF0"/>
    <w:rsid w:val="008A5AFE"/>
    <w:rsid w:val="008A5CA4"/>
    <w:rsid w:val="008B0642"/>
    <w:rsid w:val="008B0BC5"/>
    <w:rsid w:val="008B1682"/>
    <w:rsid w:val="008B2708"/>
    <w:rsid w:val="008B28AA"/>
    <w:rsid w:val="008B48AC"/>
    <w:rsid w:val="008B7106"/>
    <w:rsid w:val="008C0F41"/>
    <w:rsid w:val="008C1A7F"/>
    <w:rsid w:val="008C2CB9"/>
    <w:rsid w:val="008C3AD6"/>
    <w:rsid w:val="008C3E5A"/>
    <w:rsid w:val="008C52FF"/>
    <w:rsid w:val="008C5A0E"/>
    <w:rsid w:val="008C74D0"/>
    <w:rsid w:val="008C769F"/>
    <w:rsid w:val="008D0DAB"/>
    <w:rsid w:val="008D0E64"/>
    <w:rsid w:val="008D1615"/>
    <w:rsid w:val="008D1BE1"/>
    <w:rsid w:val="008D1DC5"/>
    <w:rsid w:val="008D40C9"/>
    <w:rsid w:val="008D6CC7"/>
    <w:rsid w:val="008D7506"/>
    <w:rsid w:val="008E2530"/>
    <w:rsid w:val="008E2834"/>
    <w:rsid w:val="008E5A2C"/>
    <w:rsid w:val="008E6FD4"/>
    <w:rsid w:val="008F0A4A"/>
    <w:rsid w:val="008F1008"/>
    <w:rsid w:val="008F165E"/>
    <w:rsid w:val="008F2859"/>
    <w:rsid w:val="008F356E"/>
    <w:rsid w:val="008F3727"/>
    <w:rsid w:val="008F4A75"/>
    <w:rsid w:val="008F7961"/>
    <w:rsid w:val="00900ECC"/>
    <w:rsid w:val="0090329E"/>
    <w:rsid w:val="00903930"/>
    <w:rsid w:val="0090397D"/>
    <w:rsid w:val="00904103"/>
    <w:rsid w:val="00904A63"/>
    <w:rsid w:val="009069AF"/>
    <w:rsid w:val="00907444"/>
    <w:rsid w:val="0091276A"/>
    <w:rsid w:val="009128D0"/>
    <w:rsid w:val="00912A77"/>
    <w:rsid w:val="00914A5E"/>
    <w:rsid w:val="009166F1"/>
    <w:rsid w:val="009211DA"/>
    <w:rsid w:val="0092153E"/>
    <w:rsid w:val="00922B73"/>
    <w:rsid w:val="009264C6"/>
    <w:rsid w:val="00931759"/>
    <w:rsid w:val="0093209D"/>
    <w:rsid w:val="009322BF"/>
    <w:rsid w:val="00934764"/>
    <w:rsid w:val="009356CB"/>
    <w:rsid w:val="00936188"/>
    <w:rsid w:val="009366CD"/>
    <w:rsid w:val="00936F9B"/>
    <w:rsid w:val="0093732E"/>
    <w:rsid w:val="009375F9"/>
    <w:rsid w:val="00937AB5"/>
    <w:rsid w:val="00937CD6"/>
    <w:rsid w:val="00941EEA"/>
    <w:rsid w:val="00943730"/>
    <w:rsid w:val="0094487D"/>
    <w:rsid w:val="00944F5E"/>
    <w:rsid w:val="009500CF"/>
    <w:rsid w:val="00953884"/>
    <w:rsid w:val="00955A9B"/>
    <w:rsid w:val="009575E5"/>
    <w:rsid w:val="00960595"/>
    <w:rsid w:val="00960B08"/>
    <w:rsid w:val="00960BBF"/>
    <w:rsid w:val="00961B0A"/>
    <w:rsid w:val="00961EBE"/>
    <w:rsid w:val="0096294B"/>
    <w:rsid w:val="00962EBA"/>
    <w:rsid w:val="00963BE4"/>
    <w:rsid w:val="00963C90"/>
    <w:rsid w:val="00964AE4"/>
    <w:rsid w:val="00965A83"/>
    <w:rsid w:val="00971254"/>
    <w:rsid w:val="00972AA5"/>
    <w:rsid w:val="009730E0"/>
    <w:rsid w:val="00973993"/>
    <w:rsid w:val="00973BE5"/>
    <w:rsid w:val="009757D3"/>
    <w:rsid w:val="00975CA5"/>
    <w:rsid w:val="0097654B"/>
    <w:rsid w:val="00976BB4"/>
    <w:rsid w:val="00981F8E"/>
    <w:rsid w:val="00982CE2"/>
    <w:rsid w:val="0098574C"/>
    <w:rsid w:val="00985B84"/>
    <w:rsid w:val="00986590"/>
    <w:rsid w:val="00987DA9"/>
    <w:rsid w:val="00992C76"/>
    <w:rsid w:val="0099437D"/>
    <w:rsid w:val="009969D6"/>
    <w:rsid w:val="009A121D"/>
    <w:rsid w:val="009A140C"/>
    <w:rsid w:val="009A1705"/>
    <w:rsid w:val="009A182B"/>
    <w:rsid w:val="009A19AF"/>
    <w:rsid w:val="009A20A2"/>
    <w:rsid w:val="009A2BAC"/>
    <w:rsid w:val="009A4F52"/>
    <w:rsid w:val="009A73EF"/>
    <w:rsid w:val="009B207B"/>
    <w:rsid w:val="009B294B"/>
    <w:rsid w:val="009B34E4"/>
    <w:rsid w:val="009B4D3B"/>
    <w:rsid w:val="009B60CE"/>
    <w:rsid w:val="009B62B3"/>
    <w:rsid w:val="009B74D2"/>
    <w:rsid w:val="009B75E3"/>
    <w:rsid w:val="009C289B"/>
    <w:rsid w:val="009C3925"/>
    <w:rsid w:val="009C3BBE"/>
    <w:rsid w:val="009C7DDE"/>
    <w:rsid w:val="009D0B16"/>
    <w:rsid w:val="009D174E"/>
    <w:rsid w:val="009D41A3"/>
    <w:rsid w:val="009D46B1"/>
    <w:rsid w:val="009D473B"/>
    <w:rsid w:val="009D51BB"/>
    <w:rsid w:val="009D63CD"/>
    <w:rsid w:val="009D65A8"/>
    <w:rsid w:val="009D7407"/>
    <w:rsid w:val="009E0173"/>
    <w:rsid w:val="009E0866"/>
    <w:rsid w:val="009E18FA"/>
    <w:rsid w:val="009E273C"/>
    <w:rsid w:val="009E447D"/>
    <w:rsid w:val="009F11E7"/>
    <w:rsid w:val="009F1350"/>
    <w:rsid w:val="009F2250"/>
    <w:rsid w:val="009F2FA9"/>
    <w:rsid w:val="009F31D0"/>
    <w:rsid w:val="009F6232"/>
    <w:rsid w:val="009F6423"/>
    <w:rsid w:val="009F6D6F"/>
    <w:rsid w:val="00A00E16"/>
    <w:rsid w:val="00A0123D"/>
    <w:rsid w:val="00A028C7"/>
    <w:rsid w:val="00A02D30"/>
    <w:rsid w:val="00A04235"/>
    <w:rsid w:val="00A061BE"/>
    <w:rsid w:val="00A1052A"/>
    <w:rsid w:val="00A14F16"/>
    <w:rsid w:val="00A162D2"/>
    <w:rsid w:val="00A16DE2"/>
    <w:rsid w:val="00A16F26"/>
    <w:rsid w:val="00A210F6"/>
    <w:rsid w:val="00A223C8"/>
    <w:rsid w:val="00A22653"/>
    <w:rsid w:val="00A24A62"/>
    <w:rsid w:val="00A2545B"/>
    <w:rsid w:val="00A267F0"/>
    <w:rsid w:val="00A31C9F"/>
    <w:rsid w:val="00A353AA"/>
    <w:rsid w:val="00A4144F"/>
    <w:rsid w:val="00A441B7"/>
    <w:rsid w:val="00A46C77"/>
    <w:rsid w:val="00A51426"/>
    <w:rsid w:val="00A51967"/>
    <w:rsid w:val="00A531B5"/>
    <w:rsid w:val="00A53BE7"/>
    <w:rsid w:val="00A54B00"/>
    <w:rsid w:val="00A56D63"/>
    <w:rsid w:val="00A56F35"/>
    <w:rsid w:val="00A5791F"/>
    <w:rsid w:val="00A57DE9"/>
    <w:rsid w:val="00A60023"/>
    <w:rsid w:val="00A61B4D"/>
    <w:rsid w:val="00A621E4"/>
    <w:rsid w:val="00A62C41"/>
    <w:rsid w:val="00A6357A"/>
    <w:rsid w:val="00A63BDB"/>
    <w:rsid w:val="00A661E7"/>
    <w:rsid w:val="00A67EF1"/>
    <w:rsid w:val="00A70EF7"/>
    <w:rsid w:val="00A71288"/>
    <w:rsid w:val="00A71E88"/>
    <w:rsid w:val="00A72EF8"/>
    <w:rsid w:val="00A73137"/>
    <w:rsid w:val="00A7338E"/>
    <w:rsid w:val="00A73E4E"/>
    <w:rsid w:val="00A80F95"/>
    <w:rsid w:val="00A81BDA"/>
    <w:rsid w:val="00A82610"/>
    <w:rsid w:val="00A82F88"/>
    <w:rsid w:val="00A83139"/>
    <w:rsid w:val="00A8384D"/>
    <w:rsid w:val="00A85A47"/>
    <w:rsid w:val="00A872CE"/>
    <w:rsid w:val="00A875D1"/>
    <w:rsid w:val="00A919A0"/>
    <w:rsid w:val="00A93668"/>
    <w:rsid w:val="00A938E6"/>
    <w:rsid w:val="00A947C3"/>
    <w:rsid w:val="00A955D7"/>
    <w:rsid w:val="00A97BF1"/>
    <w:rsid w:val="00AA0F15"/>
    <w:rsid w:val="00AA298A"/>
    <w:rsid w:val="00AA386E"/>
    <w:rsid w:val="00AA4B6F"/>
    <w:rsid w:val="00AA5784"/>
    <w:rsid w:val="00AA6010"/>
    <w:rsid w:val="00AA7EB4"/>
    <w:rsid w:val="00AB0623"/>
    <w:rsid w:val="00AB1E44"/>
    <w:rsid w:val="00AB2564"/>
    <w:rsid w:val="00AB28E8"/>
    <w:rsid w:val="00AB43B0"/>
    <w:rsid w:val="00AC164A"/>
    <w:rsid w:val="00AC43B6"/>
    <w:rsid w:val="00AC56A5"/>
    <w:rsid w:val="00AC6EFC"/>
    <w:rsid w:val="00AC739D"/>
    <w:rsid w:val="00AD158E"/>
    <w:rsid w:val="00AD4CEF"/>
    <w:rsid w:val="00AD7CD7"/>
    <w:rsid w:val="00AE0368"/>
    <w:rsid w:val="00AE204A"/>
    <w:rsid w:val="00AE323F"/>
    <w:rsid w:val="00AE448A"/>
    <w:rsid w:val="00AE4E5B"/>
    <w:rsid w:val="00AE5A8F"/>
    <w:rsid w:val="00AE63DC"/>
    <w:rsid w:val="00AE7364"/>
    <w:rsid w:val="00AE7DF4"/>
    <w:rsid w:val="00AF1715"/>
    <w:rsid w:val="00AF2050"/>
    <w:rsid w:val="00AF3C2D"/>
    <w:rsid w:val="00AF3FA2"/>
    <w:rsid w:val="00AF439C"/>
    <w:rsid w:val="00AF4A74"/>
    <w:rsid w:val="00AF4AC5"/>
    <w:rsid w:val="00AF4D2E"/>
    <w:rsid w:val="00B00B31"/>
    <w:rsid w:val="00B00C18"/>
    <w:rsid w:val="00B03CA8"/>
    <w:rsid w:val="00B03CCA"/>
    <w:rsid w:val="00B04E68"/>
    <w:rsid w:val="00B04E7C"/>
    <w:rsid w:val="00B0595B"/>
    <w:rsid w:val="00B05E53"/>
    <w:rsid w:val="00B07746"/>
    <w:rsid w:val="00B1036E"/>
    <w:rsid w:val="00B11F41"/>
    <w:rsid w:val="00B1300F"/>
    <w:rsid w:val="00B147F5"/>
    <w:rsid w:val="00B14AA4"/>
    <w:rsid w:val="00B1567F"/>
    <w:rsid w:val="00B1619E"/>
    <w:rsid w:val="00B16F68"/>
    <w:rsid w:val="00B1788C"/>
    <w:rsid w:val="00B17A28"/>
    <w:rsid w:val="00B207EF"/>
    <w:rsid w:val="00B21192"/>
    <w:rsid w:val="00B2487B"/>
    <w:rsid w:val="00B259F0"/>
    <w:rsid w:val="00B30FE3"/>
    <w:rsid w:val="00B33C0A"/>
    <w:rsid w:val="00B345E1"/>
    <w:rsid w:val="00B3524F"/>
    <w:rsid w:val="00B35B0A"/>
    <w:rsid w:val="00B409F6"/>
    <w:rsid w:val="00B43470"/>
    <w:rsid w:val="00B43F07"/>
    <w:rsid w:val="00B4504E"/>
    <w:rsid w:val="00B46B0A"/>
    <w:rsid w:val="00B46D30"/>
    <w:rsid w:val="00B5198C"/>
    <w:rsid w:val="00B52E30"/>
    <w:rsid w:val="00B52E3B"/>
    <w:rsid w:val="00B550FB"/>
    <w:rsid w:val="00B55E19"/>
    <w:rsid w:val="00B55EEB"/>
    <w:rsid w:val="00B61E85"/>
    <w:rsid w:val="00B629BC"/>
    <w:rsid w:val="00B64D5A"/>
    <w:rsid w:val="00B65AE2"/>
    <w:rsid w:val="00B66A52"/>
    <w:rsid w:val="00B70FFB"/>
    <w:rsid w:val="00B72A3B"/>
    <w:rsid w:val="00B72C24"/>
    <w:rsid w:val="00B7719F"/>
    <w:rsid w:val="00B81441"/>
    <w:rsid w:val="00B837EE"/>
    <w:rsid w:val="00B83DD9"/>
    <w:rsid w:val="00B840CF"/>
    <w:rsid w:val="00B84FC1"/>
    <w:rsid w:val="00B8672E"/>
    <w:rsid w:val="00B87FAE"/>
    <w:rsid w:val="00B900C3"/>
    <w:rsid w:val="00B90115"/>
    <w:rsid w:val="00B91014"/>
    <w:rsid w:val="00B9259F"/>
    <w:rsid w:val="00B94758"/>
    <w:rsid w:val="00BA00D6"/>
    <w:rsid w:val="00BA32C3"/>
    <w:rsid w:val="00BA4504"/>
    <w:rsid w:val="00BA4B0A"/>
    <w:rsid w:val="00BA4B6D"/>
    <w:rsid w:val="00BA5D83"/>
    <w:rsid w:val="00BA7BE9"/>
    <w:rsid w:val="00BB0F80"/>
    <w:rsid w:val="00BB1F6A"/>
    <w:rsid w:val="00BB1FDC"/>
    <w:rsid w:val="00BB26C5"/>
    <w:rsid w:val="00BB3DFA"/>
    <w:rsid w:val="00BB6BDF"/>
    <w:rsid w:val="00BC367E"/>
    <w:rsid w:val="00BD27F4"/>
    <w:rsid w:val="00BD2C8B"/>
    <w:rsid w:val="00BD34E4"/>
    <w:rsid w:val="00BD440F"/>
    <w:rsid w:val="00BD5BFA"/>
    <w:rsid w:val="00BE00F3"/>
    <w:rsid w:val="00BE10E4"/>
    <w:rsid w:val="00BE1FE0"/>
    <w:rsid w:val="00BE3E97"/>
    <w:rsid w:val="00BE4BB7"/>
    <w:rsid w:val="00BE718D"/>
    <w:rsid w:val="00BE7A42"/>
    <w:rsid w:val="00BF2F0F"/>
    <w:rsid w:val="00BF3C68"/>
    <w:rsid w:val="00BF4DE6"/>
    <w:rsid w:val="00BF73A9"/>
    <w:rsid w:val="00C00842"/>
    <w:rsid w:val="00C00F11"/>
    <w:rsid w:val="00C05BF8"/>
    <w:rsid w:val="00C06B13"/>
    <w:rsid w:val="00C07A48"/>
    <w:rsid w:val="00C10062"/>
    <w:rsid w:val="00C1145C"/>
    <w:rsid w:val="00C13A1C"/>
    <w:rsid w:val="00C13C23"/>
    <w:rsid w:val="00C15D17"/>
    <w:rsid w:val="00C16824"/>
    <w:rsid w:val="00C16954"/>
    <w:rsid w:val="00C17B02"/>
    <w:rsid w:val="00C17D3F"/>
    <w:rsid w:val="00C2140E"/>
    <w:rsid w:val="00C23E36"/>
    <w:rsid w:val="00C24523"/>
    <w:rsid w:val="00C247A9"/>
    <w:rsid w:val="00C257A8"/>
    <w:rsid w:val="00C261EA"/>
    <w:rsid w:val="00C26B7E"/>
    <w:rsid w:val="00C27645"/>
    <w:rsid w:val="00C27D25"/>
    <w:rsid w:val="00C30456"/>
    <w:rsid w:val="00C311CE"/>
    <w:rsid w:val="00C33CAF"/>
    <w:rsid w:val="00C378C3"/>
    <w:rsid w:val="00C42541"/>
    <w:rsid w:val="00C426A7"/>
    <w:rsid w:val="00C42CDE"/>
    <w:rsid w:val="00C44609"/>
    <w:rsid w:val="00C45026"/>
    <w:rsid w:val="00C458B8"/>
    <w:rsid w:val="00C5182A"/>
    <w:rsid w:val="00C536AE"/>
    <w:rsid w:val="00C56B81"/>
    <w:rsid w:val="00C57526"/>
    <w:rsid w:val="00C62B9D"/>
    <w:rsid w:val="00C62DB0"/>
    <w:rsid w:val="00C63276"/>
    <w:rsid w:val="00C63DD9"/>
    <w:rsid w:val="00C63EE9"/>
    <w:rsid w:val="00C65755"/>
    <w:rsid w:val="00C73365"/>
    <w:rsid w:val="00C74C3E"/>
    <w:rsid w:val="00C761E8"/>
    <w:rsid w:val="00C776AD"/>
    <w:rsid w:val="00C80121"/>
    <w:rsid w:val="00C80956"/>
    <w:rsid w:val="00C82711"/>
    <w:rsid w:val="00C833D1"/>
    <w:rsid w:val="00C85101"/>
    <w:rsid w:val="00C8540E"/>
    <w:rsid w:val="00C87E5E"/>
    <w:rsid w:val="00C90269"/>
    <w:rsid w:val="00C9287A"/>
    <w:rsid w:val="00C92E83"/>
    <w:rsid w:val="00C946CD"/>
    <w:rsid w:val="00C94F48"/>
    <w:rsid w:val="00C97D1A"/>
    <w:rsid w:val="00CA09A1"/>
    <w:rsid w:val="00CA16F3"/>
    <w:rsid w:val="00CA31FB"/>
    <w:rsid w:val="00CA37B1"/>
    <w:rsid w:val="00CA39D6"/>
    <w:rsid w:val="00CA4F83"/>
    <w:rsid w:val="00CA5BDC"/>
    <w:rsid w:val="00CA620B"/>
    <w:rsid w:val="00CA63BF"/>
    <w:rsid w:val="00CA6C75"/>
    <w:rsid w:val="00CA6ECF"/>
    <w:rsid w:val="00CB15F5"/>
    <w:rsid w:val="00CB1959"/>
    <w:rsid w:val="00CB2188"/>
    <w:rsid w:val="00CB3B49"/>
    <w:rsid w:val="00CB40EE"/>
    <w:rsid w:val="00CB4A43"/>
    <w:rsid w:val="00CB4BCA"/>
    <w:rsid w:val="00CB5F19"/>
    <w:rsid w:val="00CB602B"/>
    <w:rsid w:val="00CB7BBB"/>
    <w:rsid w:val="00CC065F"/>
    <w:rsid w:val="00CC2314"/>
    <w:rsid w:val="00CC2B83"/>
    <w:rsid w:val="00CC37C7"/>
    <w:rsid w:val="00CC3D86"/>
    <w:rsid w:val="00CC4818"/>
    <w:rsid w:val="00CC6E77"/>
    <w:rsid w:val="00CC71F0"/>
    <w:rsid w:val="00CC741B"/>
    <w:rsid w:val="00CD0872"/>
    <w:rsid w:val="00CD0E4B"/>
    <w:rsid w:val="00CD161A"/>
    <w:rsid w:val="00CD1A6A"/>
    <w:rsid w:val="00CD41EF"/>
    <w:rsid w:val="00CD5CE6"/>
    <w:rsid w:val="00CD7CB2"/>
    <w:rsid w:val="00CE4C89"/>
    <w:rsid w:val="00CE7C9B"/>
    <w:rsid w:val="00CF07BA"/>
    <w:rsid w:val="00CF1A1A"/>
    <w:rsid w:val="00CF23D6"/>
    <w:rsid w:val="00CF2EA9"/>
    <w:rsid w:val="00CF480D"/>
    <w:rsid w:val="00CF6B60"/>
    <w:rsid w:val="00D01581"/>
    <w:rsid w:val="00D0296C"/>
    <w:rsid w:val="00D0438A"/>
    <w:rsid w:val="00D04AA0"/>
    <w:rsid w:val="00D04C54"/>
    <w:rsid w:val="00D04C59"/>
    <w:rsid w:val="00D067FE"/>
    <w:rsid w:val="00D069BF"/>
    <w:rsid w:val="00D06D23"/>
    <w:rsid w:val="00D079B1"/>
    <w:rsid w:val="00D07A39"/>
    <w:rsid w:val="00D117F4"/>
    <w:rsid w:val="00D14304"/>
    <w:rsid w:val="00D14A94"/>
    <w:rsid w:val="00D15956"/>
    <w:rsid w:val="00D15F4A"/>
    <w:rsid w:val="00D1669B"/>
    <w:rsid w:val="00D1766B"/>
    <w:rsid w:val="00D2176E"/>
    <w:rsid w:val="00D21B75"/>
    <w:rsid w:val="00D22FE5"/>
    <w:rsid w:val="00D23ADC"/>
    <w:rsid w:val="00D242D9"/>
    <w:rsid w:val="00D25EA5"/>
    <w:rsid w:val="00D26DA7"/>
    <w:rsid w:val="00D26EFD"/>
    <w:rsid w:val="00D3077A"/>
    <w:rsid w:val="00D31537"/>
    <w:rsid w:val="00D31965"/>
    <w:rsid w:val="00D324B4"/>
    <w:rsid w:val="00D3262F"/>
    <w:rsid w:val="00D32D6F"/>
    <w:rsid w:val="00D330E0"/>
    <w:rsid w:val="00D34CAF"/>
    <w:rsid w:val="00D37B04"/>
    <w:rsid w:val="00D4078F"/>
    <w:rsid w:val="00D43874"/>
    <w:rsid w:val="00D46FB3"/>
    <w:rsid w:val="00D472C0"/>
    <w:rsid w:val="00D47879"/>
    <w:rsid w:val="00D47D4C"/>
    <w:rsid w:val="00D511DE"/>
    <w:rsid w:val="00D51EB2"/>
    <w:rsid w:val="00D540C6"/>
    <w:rsid w:val="00D56A61"/>
    <w:rsid w:val="00D60584"/>
    <w:rsid w:val="00D62E94"/>
    <w:rsid w:val="00D63DEE"/>
    <w:rsid w:val="00D64735"/>
    <w:rsid w:val="00D64BD1"/>
    <w:rsid w:val="00D66292"/>
    <w:rsid w:val="00D6658C"/>
    <w:rsid w:val="00D67C76"/>
    <w:rsid w:val="00D7224F"/>
    <w:rsid w:val="00D72982"/>
    <w:rsid w:val="00D7313E"/>
    <w:rsid w:val="00D74349"/>
    <w:rsid w:val="00D75193"/>
    <w:rsid w:val="00D834A3"/>
    <w:rsid w:val="00D83708"/>
    <w:rsid w:val="00D842B7"/>
    <w:rsid w:val="00D84889"/>
    <w:rsid w:val="00D86E99"/>
    <w:rsid w:val="00D901F6"/>
    <w:rsid w:val="00D90489"/>
    <w:rsid w:val="00D907B4"/>
    <w:rsid w:val="00D91833"/>
    <w:rsid w:val="00D9185D"/>
    <w:rsid w:val="00D91D8B"/>
    <w:rsid w:val="00D92254"/>
    <w:rsid w:val="00D9476A"/>
    <w:rsid w:val="00D9759E"/>
    <w:rsid w:val="00DA14E7"/>
    <w:rsid w:val="00DA1FB5"/>
    <w:rsid w:val="00DA2274"/>
    <w:rsid w:val="00DA27DE"/>
    <w:rsid w:val="00DA5487"/>
    <w:rsid w:val="00DA58D4"/>
    <w:rsid w:val="00DA645F"/>
    <w:rsid w:val="00DA6A06"/>
    <w:rsid w:val="00DA7754"/>
    <w:rsid w:val="00DB0F28"/>
    <w:rsid w:val="00DB17C5"/>
    <w:rsid w:val="00DB372C"/>
    <w:rsid w:val="00DB424E"/>
    <w:rsid w:val="00DC071E"/>
    <w:rsid w:val="00DC2BB5"/>
    <w:rsid w:val="00DC4B47"/>
    <w:rsid w:val="00DC5A21"/>
    <w:rsid w:val="00DD03A3"/>
    <w:rsid w:val="00DD1F35"/>
    <w:rsid w:val="00DD3C93"/>
    <w:rsid w:val="00DD426E"/>
    <w:rsid w:val="00DE0823"/>
    <w:rsid w:val="00DE084C"/>
    <w:rsid w:val="00DE3743"/>
    <w:rsid w:val="00DE43DE"/>
    <w:rsid w:val="00DE4530"/>
    <w:rsid w:val="00DE4A97"/>
    <w:rsid w:val="00DE65CD"/>
    <w:rsid w:val="00DE786E"/>
    <w:rsid w:val="00DF04CF"/>
    <w:rsid w:val="00DF06DD"/>
    <w:rsid w:val="00DF3490"/>
    <w:rsid w:val="00DF5A3C"/>
    <w:rsid w:val="00DF74CC"/>
    <w:rsid w:val="00E004F2"/>
    <w:rsid w:val="00E006D1"/>
    <w:rsid w:val="00E01000"/>
    <w:rsid w:val="00E01E6F"/>
    <w:rsid w:val="00E0203A"/>
    <w:rsid w:val="00E04435"/>
    <w:rsid w:val="00E04CDA"/>
    <w:rsid w:val="00E053F4"/>
    <w:rsid w:val="00E10E4B"/>
    <w:rsid w:val="00E12335"/>
    <w:rsid w:val="00E12705"/>
    <w:rsid w:val="00E13C18"/>
    <w:rsid w:val="00E14F51"/>
    <w:rsid w:val="00E17F23"/>
    <w:rsid w:val="00E20147"/>
    <w:rsid w:val="00E21419"/>
    <w:rsid w:val="00E2392C"/>
    <w:rsid w:val="00E25B71"/>
    <w:rsid w:val="00E25E9C"/>
    <w:rsid w:val="00E2604D"/>
    <w:rsid w:val="00E31C0C"/>
    <w:rsid w:val="00E353D7"/>
    <w:rsid w:val="00E357B7"/>
    <w:rsid w:val="00E42F0F"/>
    <w:rsid w:val="00E439B5"/>
    <w:rsid w:val="00E46418"/>
    <w:rsid w:val="00E47516"/>
    <w:rsid w:val="00E533E9"/>
    <w:rsid w:val="00E53800"/>
    <w:rsid w:val="00E568E9"/>
    <w:rsid w:val="00E60246"/>
    <w:rsid w:val="00E6081F"/>
    <w:rsid w:val="00E62287"/>
    <w:rsid w:val="00E65B49"/>
    <w:rsid w:val="00E66484"/>
    <w:rsid w:val="00E66993"/>
    <w:rsid w:val="00E66EF5"/>
    <w:rsid w:val="00E70A31"/>
    <w:rsid w:val="00E73991"/>
    <w:rsid w:val="00E74883"/>
    <w:rsid w:val="00E74E19"/>
    <w:rsid w:val="00E75321"/>
    <w:rsid w:val="00E763A6"/>
    <w:rsid w:val="00E820B4"/>
    <w:rsid w:val="00E8296D"/>
    <w:rsid w:val="00E8342F"/>
    <w:rsid w:val="00E83F21"/>
    <w:rsid w:val="00E8457B"/>
    <w:rsid w:val="00E8481B"/>
    <w:rsid w:val="00E862D8"/>
    <w:rsid w:val="00E87178"/>
    <w:rsid w:val="00E876D1"/>
    <w:rsid w:val="00E87E79"/>
    <w:rsid w:val="00E87FED"/>
    <w:rsid w:val="00E9331B"/>
    <w:rsid w:val="00E935E4"/>
    <w:rsid w:val="00E94E0A"/>
    <w:rsid w:val="00E9550D"/>
    <w:rsid w:val="00EA04B2"/>
    <w:rsid w:val="00EA20F3"/>
    <w:rsid w:val="00EA2EF9"/>
    <w:rsid w:val="00EA50F4"/>
    <w:rsid w:val="00EA53FB"/>
    <w:rsid w:val="00EA607F"/>
    <w:rsid w:val="00EA68A5"/>
    <w:rsid w:val="00EB060A"/>
    <w:rsid w:val="00EB1AC3"/>
    <w:rsid w:val="00EB25E8"/>
    <w:rsid w:val="00EB349A"/>
    <w:rsid w:val="00EB4021"/>
    <w:rsid w:val="00EB568E"/>
    <w:rsid w:val="00EB5D54"/>
    <w:rsid w:val="00EB5DB3"/>
    <w:rsid w:val="00EB7199"/>
    <w:rsid w:val="00EB7BBB"/>
    <w:rsid w:val="00EC085D"/>
    <w:rsid w:val="00EC1FD6"/>
    <w:rsid w:val="00EC3772"/>
    <w:rsid w:val="00EC39DB"/>
    <w:rsid w:val="00EC670D"/>
    <w:rsid w:val="00EC680E"/>
    <w:rsid w:val="00EC708E"/>
    <w:rsid w:val="00ED11DE"/>
    <w:rsid w:val="00ED21CB"/>
    <w:rsid w:val="00ED278E"/>
    <w:rsid w:val="00ED2831"/>
    <w:rsid w:val="00ED2BAF"/>
    <w:rsid w:val="00ED43D1"/>
    <w:rsid w:val="00ED4418"/>
    <w:rsid w:val="00ED4663"/>
    <w:rsid w:val="00ED5ED7"/>
    <w:rsid w:val="00ED60B0"/>
    <w:rsid w:val="00ED7AA6"/>
    <w:rsid w:val="00EE1F05"/>
    <w:rsid w:val="00EE2424"/>
    <w:rsid w:val="00EE4EE1"/>
    <w:rsid w:val="00EE4F96"/>
    <w:rsid w:val="00EE5DB3"/>
    <w:rsid w:val="00EE752A"/>
    <w:rsid w:val="00EF386E"/>
    <w:rsid w:val="00EF4574"/>
    <w:rsid w:val="00EF4584"/>
    <w:rsid w:val="00EF5177"/>
    <w:rsid w:val="00EF5F7E"/>
    <w:rsid w:val="00EF6002"/>
    <w:rsid w:val="00EF7144"/>
    <w:rsid w:val="00F01098"/>
    <w:rsid w:val="00F01433"/>
    <w:rsid w:val="00F03610"/>
    <w:rsid w:val="00F05802"/>
    <w:rsid w:val="00F0798D"/>
    <w:rsid w:val="00F10F95"/>
    <w:rsid w:val="00F11EF9"/>
    <w:rsid w:val="00F13336"/>
    <w:rsid w:val="00F155AD"/>
    <w:rsid w:val="00F172CA"/>
    <w:rsid w:val="00F17C9C"/>
    <w:rsid w:val="00F20E5C"/>
    <w:rsid w:val="00F212CB"/>
    <w:rsid w:val="00F248FC"/>
    <w:rsid w:val="00F24BA4"/>
    <w:rsid w:val="00F25382"/>
    <w:rsid w:val="00F25A93"/>
    <w:rsid w:val="00F2684E"/>
    <w:rsid w:val="00F27A15"/>
    <w:rsid w:val="00F30095"/>
    <w:rsid w:val="00F307A1"/>
    <w:rsid w:val="00F308BC"/>
    <w:rsid w:val="00F32501"/>
    <w:rsid w:val="00F34B79"/>
    <w:rsid w:val="00F35582"/>
    <w:rsid w:val="00F409D1"/>
    <w:rsid w:val="00F419BE"/>
    <w:rsid w:val="00F42918"/>
    <w:rsid w:val="00F4299C"/>
    <w:rsid w:val="00F42C05"/>
    <w:rsid w:val="00F43062"/>
    <w:rsid w:val="00F43E3A"/>
    <w:rsid w:val="00F46AB2"/>
    <w:rsid w:val="00F47AFE"/>
    <w:rsid w:val="00F50E26"/>
    <w:rsid w:val="00F5404C"/>
    <w:rsid w:val="00F543A8"/>
    <w:rsid w:val="00F6061A"/>
    <w:rsid w:val="00F619A0"/>
    <w:rsid w:val="00F623FE"/>
    <w:rsid w:val="00F633B1"/>
    <w:rsid w:val="00F647AC"/>
    <w:rsid w:val="00F711A6"/>
    <w:rsid w:val="00F7198B"/>
    <w:rsid w:val="00F729EF"/>
    <w:rsid w:val="00F73CBF"/>
    <w:rsid w:val="00F74373"/>
    <w:rsid w:val="00F773C4"/>
    <w:rsid w:val="00F77CAE"/>
    <w:rsid w:val="00F80C6E"/>
    <w:rsid w:val="00F81472"/>
    <w:rsid w:val="00F81667"/>
    <w:rsid w:val="00F81DB9"/>
    <w:rsid w:val="00F82271"/>
    <w:rsid w:val="00F82434"/>
    <w:rsid w:val="00F82E37"/>
    <w:rsid w:val="00F83428"/>
    <w:rsid w:val="00F844C7"/>
    <w:rsid w:val="00F90FF5"/>
    <w:rsid w:val="00F93131"/>
    <w:rsid w:val="00F9558F"/>
    <w:rsid w:val="00F96BB9"/>
    <w:rsid w:val="00F97587"/>
    <w:rsid w:val="00F97F3B"/>
    <w:rsid w:val="00FA0A9B"/>
    <w:rsid w:val="00FA0C2C"/>
    <w:rsid w:val="00FA1C30"/>
    <w:rsid w:val="00FA42A3"/>
    <w:rsid w:val="00FA4ACD"/>
    <w:rsid w:val="00FA561A"/>
    <w:rsid w:val="00FA5D65"/>
    <w:rsid w:val="00FA6679"/>
    <w:rsid w:val="00FA7BC3"/>
    <w:rsid w:val="00FB29C2"/>
    <w:rsid w:val="00FB2AEA"/>
    <w:rsid w:val="00FB2B90"/>
    <w:rsid w:val="00FB2BE9"/>
    <w:rsid w:val="00FB3AD2"/>
    <w:rsid w:val="00FB3DE5"/>
    <w:rsid w:val="00FB40F9"/>
    <w:rsid w:val="00FB48FB"/>
    <w:rsid w:val="00FB4EFA"/>
    <w:rsid w:val="00FB5A82"/>
    <w:rsid w:val="00FB65F3"/>
    <w:rsid w:val="00FB79BA"/>
    <w:rsid w:val="00FC0253"/>
    <w:rsid w:val="00FC269E"/>
    <w:rsid w:val="00FC322F"/>
    <w:rsid w:val="00FC4D83"/>
    <w:rsid w:val="00FC4FB5"/>
    <w:rsid w:val="00FC5AF6"/>
    <w:rsid w:val="00FC5C8D"/>
    <w:rsid w:val="00FC6688"/>
    <w:rsid w:val="00FD06ED"/>
    <w:rsid w:val="00FD141F"/>
    <w:rsid w:val="00FD68A6"/>
    <w:rsid w:val="00FE12D0"/>
    <w:rsid w:val="00FE1673"/>
    <w:rsid w:val="00FE472C"/>
    <w:rsid w:val="00FE54D6"/>
    <w:rsid w:val="00FE6D51"/>
    <w:rsid w:val="00FE6F2A"/>
    <w:rsid w:val="00FE7F84"/>
    <w:rsid w:val="00FF01F9"/>
    <w:rsid w:val="00FF24A0"/>
    <w:rsid w:val="00FF53FC"/>
    <w:rsid w:val="00FF6C49"/>
    <w:rsid w:val="00FF7206"/>
    <w:rsid w:val="00FF795A"/>
    <w:rsid w:val="00FF7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13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locked="0" w:uiPriority="0" w:qFormat="1"/>
    <w:lsdException w:name="heading 8" w:locked="0" w:uiPriority="0" w:qFormat="1"/>
    <w:lsdException w:name="heading 9" w:locked="0" w:uiPriority="0" w:qFormat="1"/>
    <w:lsdException w:name="index 1" w:locked="0"/>
    <w:lsdException w:name="index 2" w:locked="0"/>
    <w:lsdException w:name="index 3"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locked="0" w:qFormat="1"/>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footnote reference" w:locked="0" w:qFormat="1"/>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toa heading" w:locked="0"/>
    <w:lsdException w:name="List Bullet" w:uiPriority="0" w:qFormat="1"/>
    <w:lsdException w:name="List Number 2" w:uiPriority="0"/>
    <w:lsdException w:name="Title" w:locked="0" w:semiHidden="0" w:uiPriority="10" w:unhideWhenUsed="0" w:qFormat="1"/>
    <w:lsdException w:name="Default Paragraph Font" w:locked="0" w:uiPriority="1"/>
    <w:lsdException w:name="Body Text" w:locked="0"/>
    <w:lsdException w:name="Body Text Indent" w:locked="0"/>
    <w:lsdException w:name="Subtitle" w:locked="0" w:semiHidden="0" w:uiPriority="11" w:unhideWhenUsed="0" w:qFormat="1"/>
    <w:lsdException w:name="Date" w:locked="0"/>
    <w:lsdException w:name="Body Text First Indent" w:locked="0"/>
    <w:lsdException w:name="Body Text First Indent 2" w:locked="0"/>
    <w:lsdException w:name="Note Heading" w:locked="0"/>
    <w:lsdException w:name="Body Text 2" w:locked="0"/>
    <w:lsdException w:name="Body Tex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HTML Top of Form" w:locked="0"/>
    <w:lsdException w:name="HTML Bottom of Form" w:locked="0"/>
    <w:lsdException w:name="Normal (Web)" w:locked="0" w:uiPriority="0"/>
    <w:lsdException w:name="Normal Table" w:locked="0"/>
    <w:lsdException w:name="annotation subject" w:locked="0"/>
    <w:lsdException w:name="No List" w:locked="0"/>
    <w:lsdException w:name="Table Columns 1" w:locked="0"/>
    <w:lsdException w:name="Table Columns 2" w:locked="0"/>
    <w:lsdException w:name="Table Columns 3" w:locked="0"/>
    <w:lsdException w:name="Table Columns 4" w:locked="0"/>
    <w:lsdException w:name="Table Columns 5" w:locked="0"/>
    <w:lsdException w:name="Balloon Text" w:locked="0"/>
    <w:lsdException w:name="Table Grid" w:locked="0" w:semiHidden="0" w:uiPriority="59" w:unhideWhenUsed="0"/>
    <w:lsdException w:name="Table Theme" w:lock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locked="0"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qFormat/>
    <w:rsid w:val="00F81DB9"/>
  </w:style>
  <w:style w:type="paragraph" w:styleId="Heading1">
    <w:name w:val="heading 1"/>
    <w:basedOn w:val="Normal"/>
    <w:next w:val="Normal"/>
    <w:link w:val="Heading1Char"/>
    <w:qFormat/>
    <w:rsid w:val="00F81DB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aliases w:val="D&amp;M Heading 2"/>
    <w:basedOn w:val="Normal"/>
    <w:next w:val="Normal"/>
    <w:link w:val="Heading2Char"/>
    <w:unhideWhenUsed/>
    <w:qFormat/>
    <w:rsid w:val="00F81DB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F81DB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nhideWhenUsed/>
    <w:qFormat/>
    <w:rsid w:val="00F81DB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F81DB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F81DB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locked/>
    <w:rsid w:val="00F81DB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locked/>
    <w:rsid w:val="00F81DB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locked/>
    <w:rsid w:val="00F81DB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DB9"/>
    <w:rPr>
      <w:rFonts w:asciiTheme="majorHAnsi" w:eastAsiaTheme="majorEastAsia" w:hAnsiTheme="majorHAnsi" w:cstheme="majorBidi"/>
      <w:color w:val="1F3864" w:themeColor="accent1" w:themeShade="80"/>
      <w:sz w:val="36"/>
      <w:szCs w:val="36"/>
    </w:rPr>
  </w:style>
  <w:style w:type="character" w:customStyle="1" w:styleId="Heading2Char">
    <w:name w:val="Heading 2 Char"/>
    <w:aliases w:val="D&amp;M Heading 2 Char"/>
    <w:basedOn w:val="DefaultParagraphFont"/>
    <w:link w:val="Heading2"/>
    <w:uiPriority w:val="9"/>
    <w:rsid w:val="00F81D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81DB9"/>
    <w:rPr>
      <w:rFonts w:asciiTheme="majorHAnsi" w:eastAsiaTheme="majorEastAsia" w:hAnsiTheme="majorHAnsi" w:cstheme="majorBidi"/>
      <w:color w:val="2F5496" w:themeColor="accent1" w:themeShade="BF"/>
      <w:sz w:val="28"/>
      <w:szCs w:val="28"/>
    </w:rPr>
  </w:style>
  <w:style w:type="paragraph" w:customStyle="1" w:styleId="NormalIndented">
    <w:name w:val="Normal Indented"/>
    <w:basedOn w:val="Normal"/>
    <w:rsid w:val="00D0296C"/>
    <w:pPr>
      <w:ind w:left="284"/>
    </w:pPr>
  </w:style>
  <w:style w:type="paragraph" w:styleId="Title">
    <w:name w:val="Title"/>
    <w:basedOn w:val="Normal"/>
    <w:next w:val="Normal"/>
    <w:link w:val="TitleChar"/>
    <w:uiPriority w:val="10"/>
    <w:qFormat/>
    <w:rsid w:val="00F81DB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81DB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81DB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81DB9"/>
    <w:rPr>
      <w:rFonts w:asciiTheme="majorHAnsi" w:eastAsiaTheme="majorEastAsia" w:hAnsiTheme="majorHAnsi" w:cstheme="majorBidi"/>
      <w:color w:val="4472C4" w:themeColor="accent1"/>
      <w:sz w:val="28"/>
      <w:szCs w:val="28"/>
    </w:rPr>
  </w:style>
  <w:style w:type="paragraph" w:customStyle="1" w:styleId="Bullet1">
    <w:name w:val="Bullet 1"/>
    <w:basedOn w:val="Normal"/>
    <w:rsid w:val="001D663E"/>
    <w:pPr>
      <w:numPr>
        <w:numId w:val="8"/>
      </w:numPr>
    </w:pPr>
  </w:style>
  <w:style w:type="paragraph" w:customStyle="1" w:styleId="Bullet2">
    <w:name w:val="Bullet 2"/>
    <w:basedOn w:val="Bullet1"/>
    <w:rsid w:val="00F2684E"/>
    <w:pPr>
      <w:numPr>
        <w:ilvl w:val="1"/>
      </w:numPr>
    </w:pPr>
  </w:style>
  <w:style w:type="paragraph" w:customStyle="1" w:styleId="Bullet3">
    <w:name w:val="Bullet 3"/>
    <w:basedOn w:val="Bullet2"/>
    <w:rsid w:val="00F2684E"/>
    <w:pPr>
      <w:numPr>
        <w:ilvl w:val="2"/>
      </w:numPr>
    </w:pPr>
  </w:style>
  <w:style w:type="paragraph" w:customStyle="1" w:styleId="NumberedList1">
    <w:name w:val="Numbered List 1"/>
    <w:basedOn w:val="Normal"/>
    <w:qFormat/>
    <w:rsid w:val="00F2684E"/>
    <w:pPr>
      <w:numPr>
        <w:numId w:val="9"/>
      </w:numPr>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ind w:left="567"/>
    </w:pPr>
  </w:style>
  <w:style w:type="paragraph" w:customStyle="1" w:styleId="Heading2Numbered">
    <w:name w:val="Heading 2 Numbered"/>
    <w:basedOn w:val="Heading2"/>
    <w:next w:val="Normal"/>
    <w:rsid w:val="00ED2831"/>
    <w:pPr>
      <w:numPr>
        <w:ilvl w:val="1"/>
        <w:numId w:val="7"/>
      </w:numPr>
      <w:spacing w:before="480" w:after="60"/>
    </w:pPr>
    <w:rPr>
      <w:bCs/>
    </w:rPr>
  </w:style>
  <w:style w:type="paragraph" w:customStyle="1" w:styleId="Heading3Numbered">
    <w:name w:val="Heading 3 Numbered"/>
    <w:basedOn w:val="Heading3"/>
    <w:next w:val="Normal"/>
    <w:rsid w:val="00ED2831"/>
    <w:pPr>
      <w:numPr>
        <w:ilvl w:val="2"/>
        <w:numId w:val="7"/>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F81DB9"/>
    <w:pPr>
      <w:outlineLvl w:val="9"/>
    </w:pPr>
  </w:style>
  <w:style w:type="character" w:customStyle="1" w:styleId="Heading4Char">
    <w:name w:val="Heading 4 Char"/>
    <w:basedOn w:val="DefaultParagraphFont"/>
    <w:link w:val="Heading4"/>
    <w:uiPriority w:val="9"/>
    <w:rsid w:val="00F81DB9"/>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autoRedefine/>
    <w:uiPriority w:val="39"/>
    <w:unhideWhenUsed/>
    <w:rsid w:val="00ED2831"/>
    <w:pPr>
      <w:pBdr>
        <w:top w:val="single" w:sz="4" w:space="6" w:color="4472C4" w:themeColor="accent1"/>
        <w:between w:val="single" w:sz="4" w:space="6" w:color="4472C4" w:themeColor="accent1"/>
      </w:pBdr>
      <w:tabs>
        <w:tab w:val="right" w:pos="9639"/>
      </w:tabs>
      <w:spacing w:after="100" w:line="320" w:lineRule="atLeast"/>
    </w:pPr>
    <w:rPr>
      <w:b/>
      <w:caps/>
      <w:color w:val="4472C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E75321"/>
    <w:pPr>
      <w:tabs>
        <w:tab w:val="right" w:pos="9628"/>
      </w:tabs>
      <w:spacing w:after="100"/>
      <w:ind w:left="400"/>
    </w:pPr>
  </w:style>
  <w:style w:type="paragraph" w:styleId="Header">
    <w:name w:val="header"/>
    <w:basedOn w:val="Normal"/>
    <w:link w:val="HeaderChar"/>
    <w:uiPriority w:val="99"/>
    <w:unhideWhenUsed/>
    <w:rsid w:val="00FC322F"/>
    <w:pPr>
      <w:tabs>
        <w:tab w:val="center" w:pos="4513"/>
        <w:tab w:val="right" w:pos="9026"/>
      </w:tabs>
      <w:spacing w:after="0"/>
      <w:ind w:left="227"/>
    </w:pPr>
    <w:rPr>
      <w:b/>
      <w:caps/>
      <w:color w:val="FFFFFF" w:themeColor="background1"/>
      <w:sz w:val="20"/>
    </w:rPr>
  </w:style>
  <w:style w:type="paragraph" w:styleId="TOC4">
    <w:name w:val="toc 4"/>
    <w:basedOn w:val="Normal"/>
    <w:next w:val="Normal"/>
    <w:autoRedefine/>
    <w:uiPriority w:val="39"/>
    <w:unhideWhenUsed/>
    <w:locked/>
    <w:rsid w:val="0035119D"/>
    <w:pPr>
      <w:spacing w:after="100"/>
      <w:ind w:left="660"/>
    </w:pPr>
    <w:rPr>
      <w:lang w:eastAsia="en-AU"/>
    </w:rPr>
  </w:style>
  <w:style w:type="paragraph" w:styleId="TOC5">
    <w:name w:val="toc 5"/>
    <w:basedOn w:val="Normal"/>
    <w:next w:val="Normal"/>
    <w:autoRedefine/>
    <w:uiPriority w:val="39"/>
    <w:unhideWhenUsed/>
    <w:locked/>
    <w:rsid w:val="0035119D"/>
    <w:pPr>
      <w:spacing w:after="100"/>
      <w:ind w:left="880"/>
    </w:pPr>
    <w:rPr>
      <w:lang w:eastAsia="en-AU"/>
    </w:rPr>
  </w:style>
  <w:style w:type="paragraph" w:styleId="TOC6">
    <w:name w:val="toc 6"/>
    <w:basedOn w:val="Normal"/>
    <w:next w:val="Normal"/>
    <w:autoRedefine/>
    <w:uiPriority w:val="39"/>
    <w:unhideWhenUsed/>
    <w:locked/>
    <w:rsid w:val="0035119D"/>
    <w:pPr>
      <w:spacing w:after="100"/>
      <w:ind w:left="1100"/>
    </w:pPr>
    <w:rPr>
      <w:lang w:eastAsia="en-AU"/>
    </w:rPr>
  </w:style>
  <w:style w:type="paragraph" w:styleId="TOC7">
    <w:name w:val="toc 7"/>
    <w:basedOn w:val="Normal"/>
    <w:next w:val="Normal"/>
    <w:autoRedefine/>
    <w:uiPriority w:val="39"/>
    <w:unhideWhenUsed/>
    <w:locked/>
    <w:rsid w:val="0035119D"/>
    <w:pPr>
      <w:spacing w:after="100"/>
      <w:ind w:left="1320"/>
    </w:pPr>
    <w:rPr>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pacing w:after="100"/>
      <w:ind w:left="1540"/>
    </w:pPr>
    <w:rPr>
      <w:lang w:eastAsia="en-AU"/>
    </w:rPr>
  </w:style>
  <w:style w:type="paragraph" w:styleId="TOC9">
    <w:name w:val="toc 9"/>
    <w:basedOn w:val="Normal"/>
    <w:next w:val="Normal"/>
    <w:autoRedefine/>
    <w:uiPriority w:val="39"/>
    <w:unhideWhenUsed/>
    <w:locked/>
    <w:rsid w:val="0035119D"/>
    <w:pPr>
      <w:spacing w:after="100"/>
      <w:ind w:left="1760"/>
    </w:pPr>
    <w:rPr>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rsid w:val="00E01000"/>
    <w:pPr>
      <w:spacing w:before="400" w:after="400" w:line="280" w:lineRule="exact"/>
    </w:pPr>
    <w:rPr>
      <w:b/>
      <w:caps/>
      <w:color w:val="ED7D31"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81DB9"/>
    <w:rPr>
      <w:b/>
      <w:bCs/>
      <w:i/>
      <w:iCs/>
    </w:rPr>
  </w:style>
  <w:style w:type="character" w:styleId="Strong">
    <w:name w:val="Strong"/>
    <w:basedOn w:val="DefaultParagraphFont"/>
    <w:uiPriority w:val="22"/>
    <w:qFormat/>
    <w:rsid w:val="00F81DB9"/>
    <w:rPr>
      <w:b/>
      <w:bCs/>
    </w:rPr>
  </w:style>
  <w:style w:type="character" w:styleId="Emphasis">
    <w:name w:val="Emphasis"/>
    <w:basedOn w:val="DefaultParagraphFont"/>
    <w:uiPriority w:val="20"/>
    <w:qFormat/>
    <w:rsid w:val="00F81DB9"/>
    <w:rPr>
      <w:i/>
      <w:iCs/>
    </w:rPr>
  </w:style>
  <w:style w:type="character" w:customStyle="1" w:styleId="Heading5Char">
    <w:name w:val="Heading 5 Char"/>
    <w:basedOn w:val="DefaultParagraphFont"/>
    <w:link w:val="Heading5"/>
    <w:uiPriority w:val="9"/>
    <w:rsid w:val="00F81DB9"/>
    <w:rPr>
      <w:rFonts w:asciiTheme="majorHAnsi" w:eastAsiaTheme="majorEastAsia" w:hAnsiTheme="majorHAnsi" w:cstheme="majorBidi"/>
      <w:caps/>
      <w:color w:val="2F5496" w:themeColor="accent1" w:themeShade="BF"/>
    </w:rPr>
  </w:style>
  <w:style w:type="paragraph" w:styleId="Caption">
    <w:name w:val="caption"/>
    <w:basedOn w:val="Normal"/>
    <w:next w:val="Normal"/>
    <w:uiPriority w:val="35"/>
    <w:unhideWhenUsed/>
    <w:qFormat/>
    <w:rsid w:val="00F81DB9"/>
    <w:pPr>
      <w:spacing w:line="240" w:lineRule="auto"/>
    </w:pPr>
    <w:rPr>
      <w:b/>
      <w:bCs/>
      <w:smallCaps/>
      <w:color w:val="44546A" w:themeColor="text2"/>
    </w:rPr>
  </w:style>
  <w:style w:type="paragraph" w:styleId="Footer">
    <w:name w:val="footer"/>
    <w:basedOn w:val="Normal"/>
    <w:link w:val="FooterChar"/>
    <w:uiPriority w:val="99"/>
    <w:unhideWhenUsed/>
    <w:rsid w:val="00FC322F"/>
    <w:pPr>
      <w:spacing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rsid w:val="00F81DB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F81DB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F81DB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F81DB9"/>
    <w:rPr>
      <w:rFonts w:asciiTheme="majorHAnsi" w:eastAsiaTheme="majorEastAsia" w:hAnsiTheme="majorHAnsi" w:cstheme="majorBidi"/>
      <w:i/>
      <w:iCs/>
      <w:color w:val="1F3864" w:themeColor="accent1" w:themeShade="80"/>
    </w:rPr>
  </w:style>
  <w:style w:type="character" w:customStyle="1" w:styleId="LightGrey">
    <w:name w:val="Light Grey"/>
    <w:basedOn w:val="DefaultParagraphFont"/>
    <w:uiPriority w:val="1"/>
    <w:rsid w:val="00ED2831"/>
    <w:rPr>
      <w:color w:val="ACB9CA" w:themeColor="text2" w:themeTint="66"/>
    </w:rPr>
  </w:style>
  <w:style w:type="character" w:styleId="PageNumber">
    <w:name w:val="page number"/>
    <w:basedOn w:val="DefaultParagraphFont"/>
    <w:uiPriority w:val="99"/>
    <w:unhideWhenUsed/>
    <w:rsid w:val="00F5404C"/>
    <w:rPr>
      <w:color w:val="44546A" w:themeColor="text2"/>
    </w:rPr>
  </w:style>
  <w:style w:type="paragraph" w:styleId="Quote">
    <w:name w:val="Quote"/>
    <w:basedOn w:val="Normal"/>
    <w:next w:val="Normal"/>
    <w:link w:val="QuoteChar"/>
    <w:uiPriority w:val="29"/>
    <w:qFormat/>
    <w:rsid w:val="00F81DB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81DB9"/>
    <w:rPr>
      <w:color w:val="44546A" w:themeColor="text2"/>
      <w:sz w:val="24"/>
      <w:szCs w:val="24"/>
    </w:rPr>
  </w:style>
  <w:style w:type="paragraph" w:customStyle="1" w:styleId="QuoteHeading">
    <w:name w:val="Quote Heading"/>
    <w:basedOn w:val="Quote"/>
    <w:locked/>
    <w:rsid w:val="00C5182A"/>
    <w:rPr>
      <w:b/>
      <w:sz w:val="20"/>
    </w:rPr>
  </w:style>
  <w:style w:type="paragraph" w:styleId="FootnoteText">
    <w:name w:val="footnote text"/>
    <w:aliases w:val=" Char Char, Char,ft,single space,footnote text,fn,Footnote Text Char Char Char Char,Char Char,Char,FOOTNOTES,Footnote ak Char,Footnotes Char,FOOTNOTES Char Char Char Char1,FOOTNOTES Char Char Char Char Char,f Char,Footnote text Char,f,ADB"/>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 Char Char Char1, Char Char2,ft Char1,single space Char1,footnote text Char1,fn Char1,Footnote Text Char Char Char Char Char1,Char Char Char1,Char Char2,FOOTNOTES Char1,Footnote ak Char Char,Footnotes Char Char,f Char Char,f Char1"/>
    <w:basedOn w:val="DefaultParagraphFont"/>
    <w:link w:val="FootnoteText"/>
    <w:uiPriority w:val="99"/>
    <w:rsid w:val="008C5A0E"/>
    <w:rPr>
      <w:color w:val="44546A" w:themeColor="text2"/>
      <w:sz w:val="12"/>
      <w:szCs w:val="20"/>
    </w:rPr>
  </w:style>
  <w:style w:type="character" w:styleId="FootnoteReference">
    <w:name w:val="footnote reference"/>
    <w:aliases w:val="ftref,ASI Footer,Ref,de nota al pie,Char Char9,BVI fnr,BVI fnr Car Car,BVI fnr Car,BVI fnr Car Car Car Car,BVI fnr Car Car Car Car Char Car,Normal + Font:9 Point,Superscript 3 Point Times,Footnote Reference1"/>
    <w:basedOn w:val="DefaultParagraphFont"/>
    <w:uiPriority w:val="99"/>
    <w:unhideWhenUsed/>
    <w:qFormat/>
    <w:rsid w:val="003002C0"/>
    <w:rPr>
      <w:vertAlign w:val="superscript"/>
    </w:rPr>
  </w:style>
  <w:style w:type="paragraph" w:customStyle="1" w:styleId="GreyRoundBoxText">
    <w:name w:val="Grey Round Box Text"/>
    <w:basedOn w:val="Normal"/>
    <w:rsid w:val="000D66D6"/>
    <w:rPr>
      <w:b/>
      <w:caps/>
      <w:color w:val="FFFFFF" w:themeColor="background1"/>
      <w:sz w:val="18"/>
    </w:rPr>
  </w:style>
  <w:style w:type="character" w:customStyle="1" w:styleId="Green">
    <w:name w:val="Green"/>
    <w:basedOn w:val="DefaultParagraphFont"/>
    <w:uiPriority w:val="1"/>
    <w:rsid w:val="00B900C3"/>
    <w:rPr>
      <w:color w:val="ED7D31" w:themeColor="accent2"/>
    </w:rPr>
  </w:style>
  <w:style w:type="paragraph" w:customStyle="1" w:styleId="PhotoMargins">
    <w:name w:val="Photo Margins"/>
    <w:basedOn w:val="Normal"/>
    <w:rsid w:val="00992C76"/>
  </w:style>
  <w:style w:type="paragraph" w:customStyle="1" w:styleId="PhotoLeft">
    <w:name w:val="Photo Left"/>
    <w:basedOn w:val="PhotoMargins"/>
    <w:rsid w:val="00F82271"/>
    <w:pPr>
      <w:ind w:left="-851"/>
    </w:pPr>
  </w:style>
  <w:style w:type="paragraph" w:customStyle="1" w:styleId="PhotoRight">
    <w:name w:val="Photo Right"/>
    <w:basedOn w:val="PhotoMargins"/>
    <w:rsid w:val="00F82271"/>
    <w:pPr>
      <w:ind w:right="-851"/>
      <w:jc w:val="right"/>
    </w:pPr>
  </w:style>
  <w:style w:type="paragraph" w:customStyle="1" w:styleId="PhotoCaption">
    <w:name w:val="Photo Caption"/>
    <w:basedOn w:val="Normal"/>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4472C4" w:themeColor="accent1"/>
          <w:bottom w:val="single" w:sz="4" w:space="0" w:color="4472C4" w:themeColor="accent1"/>
          <w:insideH w:val="single" w:sz="4" w:space="0" w:color="4472C4" w:themeColor="accent1"/>
        </w:tcBorders>
        <w:shd w:val="clear" w:color="auto" w:fill="4472C4"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9E2F3" w:themeFill="accent1" w:themeFillTint="33"/>
      </w:tcPr>
    </w:tblStylePr>
    <w:tblStylePr w:type="band2Vert">
      <w:tblPr/>
      <w:tcPr>
        <w:shd w:val="clear" w:color="auto" w:fill="B4C6E7" w:themeFill="accent1" w:themeFillTint="66"/>
      </w:tcPr>
    </w:tblStylePr>
    <w:tblStylePr w:type="band1Horz">
      <w:tblPr/>
      <w:tcPr>
        <w:shd w:val="clear" w:color="auto" w:fill="D9E2F3" w:themeFill="accent1" w:themeFillTint="33"/>
      </w:tcPr>
    </w:tblStylePr>
    <w:tblStylePr w:type="band2Horz">
      <w:tblPr/>
      <w:tcPr>
        <w:shd w:val="clear" w:color="auto" w:fill="B4C6E7" w:themeFill="accent1" w:themeFillTint="66"/>
      </w:tcPr>
    </w:tblStylePr>
  </w:style>
  <w:style w:type="paragraph" w:customStyle="1" w:styleId="FootnoteSeparator">
    <w:name w:val="Footnote Separator"/>
    <w:basedOn w:val="Footer"/>
    <w:rsid w:val="00ED2831"/>
    <w:pPr>
      <w:pBdr>
        <w:top w:val="single" w:sz="4" w:space="1" w:color="44546A" w:themeColor="text2"/>
      </w:pBdr>
      <w:tabs>
        <w:tab w:val="right" w:pos="9356"/>
        <w:tab w:val="center" w:pos="10036"/>
      </w:tabs>
      <w:spacing w:line="220" w:lineRule="atLeast"/>
      <w:ind w:right="0"/>
    </w:pPr>
    <w:rPr>
      <w:color w:val="44546A" w:themeColor="text2"/>
      <w:sz w:val="14"/>
    </w:rPr>
  </w:style>
  <w:style w:type="paragraph" w:customStyle="1" w:styleId="Heading1smallspaceafter">
    <w:name w:val="Heading 1 small space after"/>
    <w:basedOn w:val="Heading1"/>
    <w:qFormat/>
    <w:rsid w:val="00F25A93"/>
    <w:pPr>
      <w:spacing w:after="600"/>
    </w:pPr>
  </w:style>
  <w:style w:type="paragraph" w:customStyle="1" w:styleId="TableBullet1">
    <w:name w:val="Table Bullet 1"/>
    <w:basedOn w:val="Bullet1"/>
    <w:rsid w:val="00ED2831"/>
    <w:pPr>
      <w:spacing w:before="60" w:line="220" w:lineRule="atLeast"/>
    </w:pPr>
    <w:rPr>
      <w:rFonts w:ascii="Calibri" w:hAnsi="Calibri"/>
      <w:sz w:val="18"/>
    </w:rPr>
  </w:style>
  <w:style w:type="paragraph" w:customStyle="1" w:styleId="TableBullet2">
    <w:name w:val="Table Bullet 2"/>
    <w:basedOn w:val="Bullet2"/>
    <w:rsid w:val="00ED2831"/>
    <w:pPr>
      <w:spacing w:before="60" w:line="220" w:lineRule="atLeast"/>
    </w:pPr>
    <w:rPr>
      <w:rFonts w:ascii="Calibri" w:hAnsi="Calibri"/>
      <w:sz w:val="18"/>
    </w:rPr>
  </w:style>
  <w:style w:type="paragraph" w:customStyle="1" w:styleId="TableBullet3">
    <w:name w:val="Table Bullet 3"/>
    <w:basedOn w:val="Bullet3"/>
    <w:rsid w:val="00ED2831"/>
    <w:pPr>
      <w:spacing w:before="60" w:line="220" w:lineRule="atLeast"/>
    </w:pPr>
    <w:rPr>
      <w:rFonts w:ascii="Calibri" w:hAnsi="Calibri"/>
      <w:sz w:val="18"/>
    </w:rPr>
  </w:style>
  <w:style w:type="paragraph" w:customStyle="1" w:styleId="TableHeaderRow">
    <w:name w:val="Table Header Row"/>
    <w:basedOn w:val="Normal"/>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rsid w:val="00ED2831"/>
    <w:pPr>
      <w:spacing w:before="60" w:line="220" w:lineRule="atLeast"/>
    </w:pPr>
    <w:rPr>
      <w:rFonts w:ascii="Calibri" w:hAnsi="Calibri"/>
      <w:sz w:val="18"/>
    </w:rPr>
  </w:style>
  <w:style w:type="paragraph" w:customStyle="1" w:styleId="TableNumberedList2">
    <w:name w:val="Table Numbered List 2"/>
    <w:basedOn w:val="NumberedList2"/>
    <w:rsid w:val="00ED2831"/>
    <w:pPr>
      <w:spacing w:before="60" w:line="220" w:lineRule="atLeast"/>
    </w:pPr>
    <w:rPr>
      <w:rFonts w:ascii="Calibri" w:hAnsi="Calibri"/>
      <w:sz w:val="18"/>
    </w:rPr>
  </w:style>
  <w:style w:type="paragraph" w:customStyle="1" w:styleId="TableNumberedList3">
    <w:name w:val="Table Numbered List 3"/>
    <w:basedOn w:val="NumberedList3"/>
    <w:rsid w:val="00ED2831"/>
    <w:pPr>
      <w:spacing w:before="60" w:line="220" w:lineRule="atLeast"/>
      <w:ind w:left="851"/>
    </w:pPr>
    <w:rPr>
      <w:rFonts w:ascii="Calibri" w:hAnsi="Calibri"/>
      <w:sz w:val="18"/>
    </w:rPr>
  </w:style>
  <w:style w:type="paragraph" w:customStyle="1" w:styleId="TableSourceNotes">
    <w:name w:val="Table Source Notes"/>
    <w:basedOn w:val="Normal"/>
    <w:rsid w:val="00ED2831"/>
    <w:pPr>
      <w:tabs>
        <w:tab w:val="left" w:pos="284"/>
      </w:tabs>
      <w:spacing w:line="160" w:lineRule="atLeast"/>
      <w:ind w:left="284" w:hanging="284"/>
      <w:contextualSpacing/>
    </w:pPr>
    <w:rPr>
      <w:sz w:val="12"/>
    </w:rPr>
  </w:style>
  <w:style w:type="paragraph" w:customStyle="1" w:styleId="TableTotalRow">
    <w:name w:val="Table Total Row"/>
    <w:basedOn w:val="Normal"/>
    <w:rsid w:val="00CF07BA"/>
    <w:pPr>
      <w:spacing w:before="60"/>
    </w:pPr>
    <w:rPr>
      <w:rFonts w:ascii="Calibri" w:hAnsi="Calibri"/>
      <w:b/>
      <w:color w:val="FFFFFF" w:themeColor="background1"/>
    </w:rPr>
  </w:style>
  <w:style w:type="paragraph" w:customStyle="1" w:styleId="BoxHeading">
    <w:name w:val="Box Heading"/>
    <w:basedOn w:val="Heading3"/>
    <w:locked/>
    <w:rsid w:val="00ED2831"/>
    <w:pPr>
      <w:spacing w:before="60"/>
    </w:pPr>
  </w:style>
  <w:style w:type="paragraph" w:customStyle="1" w:styleId="QuoteAuthor">
    <w:name w:val="Quote Author"/>
    <w:basedOn w:val="Quote"/>
    <w:rsid w:val="00D64BD1"/>
    <w:pPr>
      <w:spacing w:after="60" w:line="200" w:lineRule="atLeast"/>
    </w:pPr>
    <w:rPr>
      <w:sz w:val="16"/>
    </w:rPr>
  </w:style>
  <w:style w:type="paragraph" w:customStyle="1" w:styleId="TableText">
    <w:name w:val="Table Text"/>
    <w:basedOn w:val="Normal"/>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4546A" w:themeColor="text2"/>
      <w:sz w:val="16"/>
      <w:szCs w:val="16"/>
      <w:lang w:val="en-GB"/>
    </w:rPr>
  </w:style>
  <w:style w:type="paragraph" w:customStyle="1" w:styleId="SpacebeforeTitle">
    <w:name w:val="Space before Title"/>
    <w:basedOn w:val="Normal"/>
    <w:rsid w:val="00B33C0A"/>
    <w:pPr>
      <w:spacing w:after="900"/>
    </w:pPr>
  </w:style>
  <w:style w:type="paragraph" w:customStyle="1" w:styleId="Box1Text">
    <w:name w:val="Box 1 Text"/>
    <w:basedOn w:val="Normal"/>
    <w:rsid w:val="00E8296D"/>
    <w:pPr>
      <w:pBdr>
        <w:top w:val="single" w:sz="4" w:space="14" w:color="4472C4" w:themeColor="accent1"/>
        <w:left w:val="single" w:sz="4" w:space="14" w:color="4472C4" w:themeColor="accent1"/>
        <w:bottom w:val="single" w:sz="4" w:space="14" w:color="4472C4" w:themeColor="accent1"/>
        <w:right w:val="single" w:sz="4" w:space="14" w:color="4472C4" w:themeColor="accent1"/>
      </w:pBdr>
      <w:shd w:val="clear" w:color="auto" w:fill="FFFFFF" w:themeFill="background1"/>
      <w:spacing w:before="180" w:after="80" w:line="240" w:lineRule="atLeast"/>
      <w:ind w:left="284" w:right="284"/>
    </w:pPr>
    <w:rPr>
      <w:sz w:val="20"/>
    </w:rPr>
  </w:style>
  <w:style w:type="paragraph" w:customStyle="1" w:styleId="Box1Heading">
    <w:name w:val="Box 1 Heading"/>
    <w:basedOn w:val="Box1Text"/>
    <w:rsid w:val="00E8296D"/>
    <w:pPr>
      <w:keepNext/>
      <w:spacing w:line="300" w:lineRule="atLeast"/>
    </w:pPr>
    <w:rPr>
      <w:b/>
      <w:sz w:val="26"/>
    </w:rPr>
  </w:style>
  <w:style w:type="paragraph" w:customStyle="1" w:styleId="Box2Text">
    <w:name w:val="Box 2 Text"/>
    <w:basedOn w:val="Box1Text"/>
    <w:rsid w:val="00522396"/>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rsid w:val="00E8296D"/>
    <w:pPr>
      <w:keepNext/>
      <w:spacing w:line="300" w:lineRule="atLeast"/>
    </w:pPr>
    <w:rPr>
      <w:b/>
      <w:sz w:val="26"/>
    </w:rPr>
  </w:style>
  <w:style w:type="paragraph" w:customStyle="1" w:styleId="Box1Bullet">
    <w:name w:val="Box 1 Bullet"/>
    <w:basedOn w:val="Box1Text"/>
    <w:rsid w:val="00C42541"/>
    <w:pPr>
      <w:numPr>
        <w:numId w:val="10"/>
      </w:numPr>
      <w:ind w:left="454" w:hanging="170"/>
    </w:pPr>
  </w:style>
  <w:style w:type="paragraph" w:customStyle="1" w:styleId="Box2Bullet">
    <w:name w:val="Box 2 Bullet"/>
    <w:basedOn w:val="Box2Text"/>
    <w:rsid w:val="00C42541"/>
    <w:pPr>
      <w:numPr>
        <w:numId w:val="11"/>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4546A"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4546A"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4546A"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4546A"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4546A"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4546A" w:themeColor="text2"/>
      <w:lang w:val="en-GB"/>
    </w:rPr>
  </w:style>
  <w:style w:type="paragraph" w:styleId="BlockText">
    <w:name w:val="Block Text"/>
    <w:basedOn w:val="Normal"/>
    <w:uiPriority w:val="99"/>
    <w:unhideWhenUsed/>
    <w:locked/>
    <w:rsid w:val="00E8457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table" w:customStyle="1" w:styleId="DFATTable2">
    <w:name w:val="DFAT Table 2"/>
    <w:basedOn w:val="TableNormal"/>
    <w:uiPriority w:val="99"/>
    <w:rsid w:val="00482AE8"/>
    <w:pPr>
      <w:spacing w:after="0" w:line="260" w:lineRule="atLeast"/>
    </w:pPr>
    <w:rPr>
      <w:rFonts w:ascii="Calibri" w:hAnsi="Calibri"/>
      <w:color w:val="44546A"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4546A"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4546A" w:themeColor="text2"/>
      <w:sz w:val="20"/>
      <w:szCs w:val="20"/>
      <w:lang w:val="en-GB"/>
    </w:rPr>
  </w:style>
  <w:style w:type="character" w:customStyle="1" w:styleId="ColourAccent1">
    <w:name w:val="Colour Accent 1"/>
    <w:basedOn w:val="DefaultParagraphFont"/>
    <w:uiPriority w:val="1"/>
    <w:locked/>
    <w:rsid w:val="001214BE"/>
    <w:rPr>
      <w:color w:val="4472C4" w:themeColor="accent1"/>
    </w:rPr>
  </w:style>
  <w:style w:type="paragraph" w:styleId="ListBullet">
    <w:name w:val="List Bullet"/>
    <w:basedOn w:val="BodyText"/>
    <w:qFormat/>
    <w:locked/>
    <w:rsid w:val="00963C90"/>
    <w:pPr>
      <w:numPr>
        <w:numId w:val="13"/>
      </w:numPr>
      <w:tabs>
        <w:tab w:val="left" w:pos="284"/>
      </w:tabs>
      <w:spacing w:after="120" w:line="280" w:lineRule="exact"/>
    </w:pPr>
    <w:rPr>
      <w:rFonts w:ascii="Franklin Gothic Book" w:eastAsia="Times New Roman" w:hAnsi="Franklin Gothic Book" w:cs="Times New Roman"/>
      <w:sz w:val="21"/>
      <w:szCs w:val="24"/>
      <w:lang w:eastAsia="en-AU"/>
    </w:rPr>
  </w:style>
  <w:style w:type="paragraph" w:styleId="ListNumber2">
    <w:name w:val="List Number 2"/>
    <w:basedOn w:val="ListNumber"/>
    <w:locked/>
    <w:rsid w:val="00963C90"/>
    <w:pPr>
      <w:numPr>
        <w:numId w:val="12"/>
      </w:numPr>
      <w:tabs>
        <w:tab w:val="clear" w:pos="567"/>
        <w:tab w:val="left" w:pos="284"/>
        <w:tab w:val="num" w:pos="360"/>
      </w:tabs>
      <w:spacing w:after="120" w:line="280" w:lineRule="exact"/>
      <w:ind w:left="568" w:hanging="284"/>
      <w:contextualSpacing w:val="0"/>
    </w:pPr>
    <w:rPr>
      <w:rFonts w:ascii="Franklin Gothic Book" w:eastAsia="Times New Roman" w:hAnsi="Franklin Gothic Book" w:cs="Times New Roman"/>
      <w:sz w:val="21"/>
      <w:szCs w:val="24"/>
      <w:lang w:eastAsia="en-AU"/>
    </w:rPr>
  </w:style>
  <w:style w:type="character" w:customStyle="1" w:styleId="apple-converted-space">
    <w:name w:val="apple-converted-space"/>
    <w:basedOn w:val="DefaultParagraphFont"/>
    <w:rsid w:val="00963C90"/>
  </w:style>
  <w:style w:type="paragraph" w:styleId="ListNumber">
    <w:name w:val="List Number"/>
    <w:basedOn w:val="Normal"/>
    <w:uiPriority w:val="99"/>
    <w:semiHidden/>
    <w:unhideWhenUsed/>
    <w:locked/>
    <w:rsid w:val="00963C90"/>
    <w:pPr>
      <w:numPr>
        <w:numId w:val="6"/>
      </w:numPr>
      <w:contextualSpacing/>
    </w:pPr>
  </w:style>
  <w:style w:type="paragraph" w:customStyle="1" w:styleId="Default">
    <w:name w:val="Default"/>
    <w:rsid w:val="00077E89"/>
    <w:pPr>
      <w:autoSpaceDE w:val="0"/>
      <w:autoSpaceDN w:val="0"/>
      <w:adjustRightInd w:val="0"/>
      <w:spacing w:after="0" w:line="240" w:lineRule="auto"/>
    </w:pPr>
    <w:rPr>
      <w:rFonts w:ascii="Franklin Gothic Book" w:hAnsi="Franklin Gothic Book" w:cs="Franklin Gothic Book"/>
      <w:color w:val="000000"/>
      <w:sz w:val="24"/>
      <w:szCs w:val="24"/>
      <w:lang w:val="en-US"/>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DD1F35"/>
    <w:pPr>
      <w:ind w:left="720"/>
      <w:contextualSpacing/>
    </w:pPr>
  </w:style>
  <w:style w:type="character" w:customStyle="1" w:styleId="Mention1">
    <w:name w:val="Mention1"/>
    <w:basedOn w:val="DefaultParagraphFont"/>
    <w:uiPriority w:val="99"/>
    <w:semiHidden/>
    <w:unhideWhenUsed/>
    <w:rsid w:val="007B784F"/>
    <w:rPr>
      <w:color w:val="2B579A"/>
      <w:shd w:val="clear" w:color="auto" w:fill="E6E6E6"/>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761951"/>
  </w:style>
  <w:style w:type="paragraph" w:styleId="NormalWeb">
    <w:name w:val="Normal (Web)"/>
    <w:basedOn w:val="Normal"/>
    <w:rsid w:val="00851B0E"/>
    <w:pPr>
      <w:spacing w:before="61" w:after="68"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rsid w:val="00851B0E"/>
    <w:pPr>
      <w:spacing w:before="40" w:after="4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 Char Char Char, Char Char1,ft Char,single space Char,footnote text Char,fn Char,Footnote Text Char Char Char Char Char,Char Char Char,Char Char1,FOOTNOTES Char"/>
    <w:basedOn w:val="DefaultParagraphFont"/>
    <w:rsid w:val="00E17F23"/>
    <w:rPr>
      <w:lang w:eastAsia="en-US"/>
    </w:rPr>
  </w:style>
  <w:style w:type="character" w:customStyle="1" w:styleId="s2">
    <w:name w:val="s2"/>
    <w:basedOn w:val="DefaultParagraphFont"/>
    <w:rsid w:val="00F155AD"/>
    <w:rPr>
      <w:rFonts w:ascii="Times New Roman" w:hAnsi="Times New Roman" w:cs="Times New Roman" w:hint="default"/>
      <w:sz w:val="15"/>
      <w:szCs w:val="15"/>
    </w:rPr>
  </w:style>
  <w:style w:type="paragraph" w:styleId="Revision">
    <w:name w:val="Revision"/>
    <w:hidden/>
    <w:uiPriority w:val="99"/>
    <w:semiHidden/>
    <w:rsid w:val="00E0203A"/>
    <w:pPr>
      <w:spacing w:after="0" w:line="240" w:lineRule="auto"/>
    </w:pPr>
    <w:rPr>
      <w:color w:val="44546A" w:themeColor="text2"/>
      <w:lang w:val="en-GB"/>
    </w:rPr>
  </w:style>
  <w:style w:type="paragraph" w:styleId="NoSpacing">
    <w:name w:val="No Spacing"/>
    <w:uiPriority w:val="1"/>
    <w:qFormat/>
    <w:rsid w:val="00F81DB9"/>
    <w:pPr>
      <w:spacing w:after="0" w:line="240" w:lineRule="auto"/>
    </w:pPr>
  </w:style>
  <w:style w:type="paragraph" w:styleId="IntenseQuote">
    <w:name w:val="Intense Quote"/>
    <w:basedOn w:val="Normal"/>
    <w:next w:val="Normal"/>
    <w:link w:val="IntenseQuoteChar"/>
    <w:uiPriority w:val="30"/>
    <w:qFormat/>
    <w:locked/>
    <w:rsid w:val="00F81DB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81DB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locked/>
    <w:rsid w:val="00F81DB9"/>
    <w:rPr>
      <w:i/>
      <w:iCs/>
      <w:color w:val="595959" w:themeColor="text1" w:themeTint="A6"/>
    </w:rPr>
  </w:style>
  <w:style w:type="character" w:styleId="SubtleReference">
    <w:name w:val="Subtle Reference"/>
    <w:basedOn w:val="DefaultParagraphFont"/>
    <w:uiPriority w:val="31"/>
    <w:qFormat/>
    <w:locked/>
    <w:rsid w:val="00F81DB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locked/>
    <w:rsid w:val="00F81DB9"/>
    <w:rPr>
      <w:b/>
      <w:bCs/>
      <w:smallCaps/>
      <w:color w:val="44546A" w:themeColor="text2"/>
      <w:u w:val="single"/>
    </w:rPr>
  </w:style>
  <w:style w:type="character" w:styleId="BookTitle">
    <w:name w:val="Book Title"/>
    <w:basedOn w:val="DefaultParagraphFont"/>
    <w:uiPriority w:val="33"/>
    <w:qFormat/>
    <w:locked/>
    <w:rsid w:val="00F81DB9"/>
    <w:rPr>
      <w:b/>
      <w:bCs/>
      <w:smallCaps/>
      <w:spacing w:val="10"/>
    </w:rPr>
  </w:style>
  <w:style w:type="table" w:customStyle="1" w:styleId="GridTable3-Accent51">
    <w:name w:val="Grid Table 3 - Accent 51"/>
    <w:basedOn w:val="TableNormal"/>
    <w:uiPriority w:val="48"/>
    <w:rsid w:val="004659EA"/>
    <w:pPr>
      <w:spacing w:after="0" w:line="240" w:lineRule="auto"/>
    </w:pPr>
    <w:rPr>
      <w:rFonts w:ascii="Calibri" w:eastAsia="Times New Roman" w:hAnsi="Calibri" w:cs="Times New Roman"/>
      <w:sz w:val="20"/>
      <w:szCs w:val="20"/>
      <w:lang w:val="en-NZ" w:eastAsia="en-NZ"/>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customStyle="1" w:styleId="Mention2">
    <w:name w:val="Mention2"/>
    <w:basedOn w:val="DefaultParagraphFont"/>
    <w:uiPriority w:val="99"/>
    <w:semiHidden/>
    <w:unhideWhenUsed/>
    <w:rsid w:val="00F27A15"/>
    <w:rPr>
      <w:color w:val="2B579A"/>
      <w:shd w:val="clear" w:color="auto" w:fill="E6E6E6"/>
    </w:rPr>
  </w:style>
  <w:style w:type="paragraph" w:customStyle="1" w:styleId="BodyText1">
    <w:name w:val="Body Text 1"/>
    <w:basedOn w:val="Normal"/>
    <w:link w:val="BodyText1Char"/>
    <w:qFormat/>
    <w:rsid w:val="0000269C"/>
    <w:pPr>
      <w:widowControl w:val="0"/>
      <w:autoSpaceDE w:val="0"/>
      <w:autoSpaceDN w:val="0"/>
      <w:adjustRightInd w:val="0"/>
      <w:spacing w:before="60" w:after="60" w:line="276" w:lineRule="auto"/>
      <w:jc w:val="both"/>
    </w:pPr>
    <w:rPr>
      <w:rFonts w:ascii="Times New Roman" w:eastAsia="Cambria" w:hAnsi="Times New Roman" w:cs="ArialMT"/>
      <w:lang w:bidi="en-US"/>
    </w:rPr>
  </w:style>
  <w:style w:type="character" w:customStyle="1" w:styleId="BodyText1Char">
    <w:name w:val="Body Text 1 Char"/>
    <w:basedOn w:val="DefaultParagraphFont"/>
    <w:link w:val="BodyText1"/>
    <w:rsid w:val="0000269C"/>
    <w:rPr>
      <w:rFonts w:ascii="Times New Roman" w:eastAsia="Cambria" w:hAnsi="Times New Roman" w:cs="ArialMT"/>
      <w:lang w:bidi="en-US"/>
    </w:rPr>
  </w:style>
  <w:style w:type="table" w:customStyle="1" w:styleId="TableGrid11">
    <w:name w:val="Table Grid11"/>
    <w:basedOn w:val="TableNormal"/>
    <w:next w:val="TableGrid"/>
    <w:rsid w:val="00DA6A06"/>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ORTDOCSUB-NUMBERS">
    <w:name w:val="SHORT DOC SUB-NUMBERS"/>
    <w:basedOn w:val="Normal"/>
    <w:uiPriority w:val="99"/>
    <w:rsid w:val="00D46FB3"/>
    <w:pPr>
      <w:numPr>
        <w:numId w:val="51"/>
      </w:numPr>
      <w:tabs>
        <w:tab w:val="left" w:pos="1077"/>
      </w:tabs>
      <w:suppressAutoHyphens/>
      <w:autoSpaceDE w:val="0"/>
      <w:autoSpaceDN w:val="0"/>
      <w:adjustRightInd w:val="0"/>
      <w:spacing w:after="0" w:line="280" w:lineRule="atLeast"/>
      <w:ind w:left="811" w:hanging="357"/>
      <w:jc w:val="both"/>
      <w:textAlignment w:val="center"/>
    </w:pPr>
    <w:rPr>
      <w:rFonts w:ascii="HelveticaNeueLT Std" w:eastAsiaTheme="minorHAnsi" w:hAnsi="HelveticaNeueLT Std" w:cs="HelveticaNeueLT Std"/>
      <w:color w:val="414141"/>
      <w:lang w:val="en-US"/>
    </w:rPr>
  </w:style>
  <w:style w:type="character" w:customStyle="1" w:styleId="UnresolvedMention1">
    <w:name w:val="Unresolved Mention1"/>
    <w:basedOn w:val="DefaultParagraphFont"/>
    <w:uiPriority w:val="99"/>
    <w:semiHidden/>
    <w:unhideWhenUsed/>
    <w:rsid w:val="001670B6"/>
    <w:rPr>
      <w:color w:val="808080"/>
      <w:shd w:val="clear" w:color="auto" w:fill="E6E6E6"/>
    </w:rPr>
  </w:style>
  <w:style w:type="character" w:styleId="FollowedHyperlink">
    <w:name w:val="FollowedHyperlink"/>
    <w:basedOn w:val="DefaultParagraphFont"/>
    <w:uiPriority w:val="99"/>
    <w:semiHidden/>
    <w:unhideWhenUsed/>
    <w:rsid w:val="0081522A"/>
    <w:rPr>
      <w:color w:val="954F72" w:themeColor="followedHyperlink"/>
      <w:u w:val="single"/>
    </w:rPr>
  </w:style>
  <w:style w:type="numbering" w:customStyle="1" w:styleId="Numberedlist10">
    <w:name w:val="Numbered list1"/>
    <w:uiPriority w:val="99"/>
    <w:rsid w:val="005C22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locked="0" w:uiPriority="0" w:qFormat="1"/>
    <w:lsdException w:name="heading 8" w:locked="0" w:uiPriority="0" w:qFormat="1"/>
    <w:lsdException w:name="heading 9" w:locked="0" w:uiPriority="0" w:qFormat="1"/>
    <w:lsdException w:name="index 1" w:locked="0"/>
    <w:lsdException w:name="index 2" w:locked="0"/>
    <w:lsdException w:name="index 3"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locked="0" w:qFormat="1"/>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footnote reference" w:locked="0" w:qFormat="1"/>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toa heading" w:locked="0"/>
    <w:lsdException w:name="List Bullet" w:uiPriority="0" w:qFormat="1"/>
    <w:lsdException w:name="List Number 2" w:uiPriority="0"/>
    <w:lsdException w:name="Title" w:locked="0" w:semiHidden="0" w:uiPriority="10" w:unhideWhenUsed="0" w:qFormat="1"/>
    <w:lsdException w:name="Default Paragraph Font" w:locked="0" w:uiPriority="1"/>
    <w:lsdException w:name="Body Text" w:locked="0"/>
    <w:lsdException w:name="Body Text Indent" w:locked="0"/>
    <w:lsdException w:name="Subtitle" w:locked="0" w:semiHidden="0" w:uiPriority="11" w:unhideWhenUsed="0" w:qFormat="1"/>
    <w:lsdException w:name="Date" w:locked="0"/>
    <w:lsdException w:name="Body Text First Indent" w:locked="0"/>
    <w:lsdException w:name="Body Text First Indent 2" w:locked="0"/>
    <w:lsdException w:name="Note Heading" w:locked="0"/>
    <w:lsdException w:name="Body Text 2" w:locked="0"/>
    <w:lsdException w:name="Body Tex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HTML Top of Form" w:locked="0"/>
    <w:lsdException w:name="HTML Bottom of Form" w:locked="0"/>
    <w:lsdException w:name="Normal (Web)" w:locked="0" w:uiPriority="0"/>
    <w:lsdException w:name="Normal Table" w:locked="0"/>
    <w:lsdException w:name="annotation subject" w:locked="0"/>
    <w:lsdException w:name="No List" w:locked="0"/>
    <w:lsdException w:name="Table Columns 1" w:locked="0"/>
    <w:lsdException w:name="Table Columns 2" w:locked="0"/>
    <w:lsdException w:name="Table Columns 3" w:locked="0"/>
    <w:lsdException w:name="Table Columns 4" w:locked="0"/>
    <w:lsdException w:name="Table Columns 5" w:locked="0"/>
    <w:lsdException w:name="Balloon Text" w:locked="0"/>
    <w:lsdException w:name="Table Grid" w:locked="0" w:semiHidden="0" w:uiPriority="59" w:unhideWhenUsed="0"/>
    <w:lsdException w:name="Table Theme" w:lock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locked="0"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qFormat/>
    <w:rsid w:val="00F81DB9"/>
  </w:style>
  <w:style w:type="paragraph" w:styleId="Heading1">
    <w:name w:val="heading 1"/>
    <w:basedOn w:val="Normal"/>
    <w:next w:val="Normal"/>
    <w:link w:val="Heading1Char"/>
    <w:qFormat/>
    <w:rsid w:val="00F81DB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aliases w:val="D&amp;M Heading 2"/>
    <w:basedOn w:val="Normal"/>
    <w:next w:val="Normal"/>
    <w:link w:val="Heading2Char"/>
    <w:unhideWhenUsed/>
    <w:qFormat/>
    <w:rsid w:val="00F81DB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F81DB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nhideWhenUsed/>
    <w:qFormat/>
    <w:rsid w:val="00F81DB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F81DB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F81DB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locked/>
    <w:rsid w:val="00F81DB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locked/>
    <w:rsid w:val="00F81DB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locked/>
    <w:rsid w:val="00F81DB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DB9"/>
    <w:rPr>
      <w:rFonts w:asciiTheme="majorHAnsi" w:eastAsiaTheme="majorEastAsia" w:hAnsiTheme="majorHAnsi" w:cstheme="majorBidi"/>
      <w:color w:val="1F3864" w:themeColor="accent1" w:themeShade="80"/>
      <w:sz w:val="36"/>
      <w:szCs w:val="36"/>
    </w:rPr>
  </w:style>
  <w:style w:type="character" w:customStyle="1" w:styleId="Heading2Char">
    <w:name w:val="Heading 2 Char"/>
    <w:aliases w:val="D&amp;M Heading 2 Char"/>
    <w:basedOn w:val="DefaultParagraphFont"/>
    <w:link w:val="Heading2"/>
    <w:uiPriority w:val="9"/>
    <w:rsid w:val="00F81D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81DB9"/>
    <w:rPr>
      <w:rFonts w:asciiTheme="majorHAnsi" w:eastAsiaTheme="majorEastAsia" w:hAnsiTheme="majorHAnsi" w:cstheme="majorBidi"/>
      <w:color w:val="2F5496" w:themeColor="accent1" w:themeShade="BF"/>
      <w:sz w:val="28"/>
      <w:szCs w:val="28"/>
    </w:rPr>
  </w:style>
  <w:style w:type="paragraph" w:customStyle="1" w:styleId="NormalIndented">
    <w:name w:val="Normal Indented"/>
    <w:basedOn w:val="Normal"/>
    <w:rsid w:val="00D0296C"/>
    <w:pPr>
      <w:ind w:left="284"/>
    </w:pPr>
  </w:style>
  <w:style w:type="paragraph" w:styleId="Title">
    <w:name w:val="Title"/>
    <w:basedOn w:val="Normal"/>
    <w:next w:val="Normal"/>
    <w:link w:val="TitleChar"/>
    <w:uiPriority w:val="10"/>
    <w:qFormat/>
    <w:rsid w:val="00F81DB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81DB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81DB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81DB9"/>
    <w:rPr>
      <w:rFonts w:asciiTheme="majorHAnsi" w:eastAsiaTheme="majorEastAsia" w:hAnsiTheme="majorHAnsi" w:cstheme="majorBidi"/>
      <w:color w:val="4472C4" w:themeColor="accent1"/>
      <w:sz w:val="28"/>
      <w:szCs w:val="28"/>
    </w:rPr>
  </w:style>
  <w:style w:type="paragraph" w:customStyle="1" w:styleId="Bullet1">
    <w:name w:val="Bullet 1"/>
    <w:basedOn w:val="Normal"/>
    <w:rsid w:val="001D663E"/>
    <w:pPr>
      <w:numPr>
        <w:numId w:val="8"/>
      </w:numPr>
    </w:pPr>
  </w:style>
  <w:style w:type="paragraph" w:customStyle="1" w:styleId="Bullet2">
    <w:name w:val="Bullet 2"/>
    <w:basedOn w:val="Bullet1"/>
    <w:rsid w:val="00F2684E"/>
    <w:pPr>
      <w:numPr>
        <w:ilvl w:val="1"/>
      </w:numPr>
    </w:pPr>
  </w:style>
  <w:style w:type="paragraph" w:customStyle="1" w:styleId="Bullet3">
    <w:name w:val="Bullet 3"/>
    <w:basedOn w:val="Bullet2"/>
    <w:rsid w:val="00F2684E"/>
    <w:pPr>
      <w:numPr>
        <w:ilvl w:val="2"/>
      </w:numPr>
    </w:pPr>
  </w:style>
  <w:style w:type="paragraph" w:customStyle="1" w:styleId="NumberedList1">
    <w:name w:val="Numbered List 1"/>
    <w:basedOn w:val="Normal"/>
    <w:qFormat/>
    <w:rsid w:val="00F2684E"/>
    <w:pPr>
      <w:numPr>
        <w:numId w:val="9"/>
      </w:numPr>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ind w:left="567"/>
    </w:pPr>
  </w:style>
  <w:style w:type="paragraph" w:customStyle="1" w:styleId="Heading2Numbered">
    <w:name w:val="Heading 2 Numbered"/>
    <w:basedOn w:val="Heading2"/>
    <w:next w:val="Normal"/>
    <w:rsid w:val="00ED2831"/>
    <w:pPr>
      <w:numPr>
        <w:ilvl w:val="1"/>
        <w:numId w:val="7"/>
      </w:numPr>
      <w:spacing w:before="480" w:after="60"/>
    </w:pPr>
    <w:rPr>
      <w:bCs/>
    </w:rPr>
  </w:style>
  <w:style w:type="paragraph" w:customStyle="1" w:styleId="Heading3Numbered">
    <w:name w:val="Heading 3 Numbered"/>
    <w:basedOn w:val="Heading3"/>
    <w:next w:val="Normal"/>
    <w:rsid w:val="00ED2831"/>
    <w:pPr>
      <w:numPr>
        <w:ilvl w:val="2"/>
        <w:numId w:val="7"/>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F81DB9"/>
    <w:pPr>
      <w:outlineLvl w:val="9"/>
    </w:pPr>
  </w:style>
  <w:style w:type="character" w:customStyle="1" w:styleId="Heading4Char">
    <w:name w:val="Heading 4 Char"/>
    <w:basedOn w:val="DefaultParagraphFont"/>
    <w:link w:val="Heading4"/>
    <w:uiPriority w:val="9"/>
    <w:rsid w:val="00F81DB9"/>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autoRedefine/>
    <w:uiPriority w:val="39"/>
    <w:unhideWhenUsed/>
    <w:rsid w:val="00ED2831"/>
    <w:pPr>
      <w:pBdr>
        <w:top w:val="single" w:sz="4" w:space="6" w:color="4472C4" w:themeColor="accent1"/>
        <w:between w:val="single" w:sz="4" w:space="6" w:color="4472C4" w:themeColor="accent1"/>
      </w:pBdr>
      <w:tabs>
        <w:tab w:val="right" w:pos="9639"/>
      </w:tabs>
      <w:spacing w:after="100" w:line="320" w:lineRule="atLeast"/>
    </w:pPr>
    <w:rPr>
      <w:b/>
      <w:caps/>
      <w:color w:val="4472C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E75321"/>
    <w:pPr>
      <w:tabs>
        <w:tab w:val="right" w:pos="9628"/>
      </w:tabs>
      <w:spacing w:after="100"/>
      <w:ind w:left="400"/>
    </w:pPr>
  </w:style>
  <w:style w:type="paragraph" w:styleId="Header">
    <w:name w:val="header"/>
    <w:basedOn w:val="Normal"/>
    <w:link w:val="HeaderChar"/>
    <w:uiPriority w:val="99"/>
    <w:unhideWhenUsed/>
    <w:rsid w:val="00FC322F"/>
    <w:pPr>
      <w:tabs>
        <w:tab w:val="center" w:pos="4513"/>
        <w:tab w:val="right" w:pos="9026"/>
      </w:tabs>
      <w:spacing w:after="0"/>
      <w:ind w:left="227"/>
    </w:pPr>
    <w:rPr>
      <w:b/>
      <w:caps/>
      <w:color w:val="FFFFFF" w:themeColor="background1"/>
      <w:sz w:val="20"/>
    </w:rPr>
  </w:style>
  <w:style w:type="paragraph" w:styleId="TOC4">
    <w:name w:val="toc 4"/>
    <w:basedOn w:val="Normal"/>
    <w:next w:val="Normal"/>
    <w:autoRedefine/>
    <w:uiPriority w:val="39"/>
    <w:unhideWhenUsed/>
    <w:locked/>
    <w:rsid w:val="0035119D"/>
    <w:pPr>
      <w:spacing w:after="100"/>
      <w:ind w:left="660"/>
    </w:pPr>
    <w:rPr>
      <w:lang w:eastAsia="en-AU"/>
    </w:rPr>
  </w:style>
  <w:style w:type="paragraph" w:styleId="TOC5">
    <w:name w:val="toc 5"/>
    <w:basedOn w:val="Normal"/>
    <w:next w:val="Normal"/>
    <w:autoRedefine/>
    <w:uiPriority w:val="39"/>
    <w:unhideWhenUsed/>
    <w:locked/>
    <w:rsid w:val="0035119D"/>
    <w:pPr>
      <w:spacing w:after="100"/>
      <w:ind w:left="880"/>
    </w:pPr>
    <w:rPr>
      <w:lang w:eastAsia="en-AU"/>
    </w:rPr>
  </w:style>
  <w:style w:type="paragraph" w:styleId="TOC6">
    <w:name w:val="toc 6"/>
    <w:basedOn w:val="Normal"/>
    <w:next w:val="Normal"/>
    <w:autoRedefine/>
    <w:uiPriority w:val="39"/>
    <w:unhideWhenUsed/>
    <w:locked/>
    <w:rsid w:val="0035119D"/>
    <w:pPr>
      <w:spacing w:after="100"/>
      <w:ind w:left="1100"/>
    </w:pPr>
    <w:rPr>
      <w:lang w:eastAsia="en-AU"/>
    </w:rPr>
  </w:style>
  <w:style w:type="paragraph" w:styleId="TOC7">
    <w:name w:val="toc 7"/>
    <w:basedOn w:val="Normal"/>
    <w:next w:val="Normal"/>
    <w:autoRedefine/>
    <w:uiPriority w:val="39"/>
    <w:unhideWhenUsed/>
    <w:locked/>
    <w:rsid w:val="0035119D"/>
    <w:pPr>
      <w:spacing w:after="100"/>
      <w:ind w:left="1320"/>
    </w:pPr>
    <w:rPr>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pacing w:after="100"/>
      <w:ind w:left="1540"/>
    </w:pPr>
    <w:rPr>
      <w:lang w:eastAsia="en-AU"/>
    </w:rPr>
  </w:style>
  <w:style w:type="paragraph" w:styleId="TOC9">
    <w:name w:val="toc 9"/>
    <w:basedOn w:val="Normal"/>
    <w:next w:val="Normal"/>
    <w:autoRedefine/>
    <w:uiPriority w:val="39"/>
    <w:unhideWhenUsed/>
    <w:locked/>
    <w:rsid w:val="0035119D"/>
    <w:pPr>
      <w:spacing w:after="100"/>
      <w:ind w:left="1760"/>
    </w:pPr>
    <w:rPr>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rsid w:val="00E01000"/>
    <w:pPr>
      <w:spacing w:before="400" w:after="400" w:line="280" w:lineRule="exact"/>
    </w:pPr>
    <w:rPr>
      <w:b/>
      <w:caps/>
      <w:color w:val="ED7D31"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81DB9"/>
    <w:rPr>
      <w:b/>
      <w:bCs/>
      <w:i/>
      <w:iCs/>
    </w:rPr>
  </w:style>
  <w:style w:type="character" w:styleId="Strong">
    <w:name w:val="Strong"/>
    <w:basedOn w:val="DefaultParagraphFont"/>
    <w:uiPriority w:val="22"/>
    <w:qFormat/>
    <w:rsid w:val="00F81DB9"/>
    <w:rPr>
      <w:b/>
      <w:bCs/>
    </w:rPr>
  </w:style>
  <w:style w:type="character" w:styleId="Emphasis">
    <w:name w:val="Emphasis"/>
    <w:basedOn w:val="DefaultParagraphFont"/>
    <w:uiPriority w:val="20"/>
    <w:qFormat/>
    <w:rsid w:val="00F81DB9"/>
    <w:rPr>
      <w:i/>
      <w:iCs/>
    </w:rPr>
  </w:style>
  <w:style w:type="character" w:customStyle="1" w:styleId="Heading5Char">
    <w:name w:val="Heading 5 Char"/>
    <w:basedOn w:val="DefaultParagraphFont"/>
    <w:link w:val="Heading5"/>
    <w:uiPriority w:val="9"/>
    <w:rsid w:val="00F81DB9"/>
    <w:rPr>
      <w:rFonts w:asciiTheme="majorHAnsi" w:eastAsiaTheme="majorEastAsia" w:hAnsiTheme="majorHAnsi" w:cstheme="majorBidi"/>
      <w:caps/>
      <w:color w:val="2F5496" w:themeColor="accent1" w:themeShade="BF"/>
    </w:rPr>
  </w:style>
  <w:style w:type="paragraph" w:styleId="Caption">
    <w:name w:val="caption"/>
    <w:basedOn w:val="Normal"/>
    <w:next w:val="Normal"/>
    <w:uiPriority w:val="35"/>
    <w:unhideWhenUsed/>
    <w:qFormat/>
    <w:rsid w:val="00F81DB9"/>
    <w:pPr>
      <w:spacing w:line="240" w:lineRule="auto"/>
    </w:pPr>
    <w:rPr>
      <w:b/>
      <w:bCs/>
      <w:smallCaps/>
      <w:color w:val="44546A" w:themeColor="text2"/>
    </w:rPr>
  </w:style>
  <w:style w:type="paragraph" w:styleId="Footer">
    <w:name w:val="footer"/>
    <w:basedOn w:val="Normal"/>
    <w:link w:val="FooterChar"/>
    <w:uiPriority w:val="99"/>
    <w:unhideWhenUsed/>
    <w:rsid w:val="00FC322F"/>
    <w:pPr>
      <w:spacing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rsid w:val="00F81DB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F81DB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F81DB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F81DB9"/>
    <w:rPr>
      <w:rFonts w:asciiTheme="majorHAnsi" w:eastAsiaTheme="majorEastAsia" w:hAnsiTheme="majorHAnsi" w:cstheme="majorBidi"/>
      <w:i/>
      <w:iCs/>
      <w:color w:val="1F3864" w:themeColor="accent1" w:themeShade="80"/>
    </w:rPr>
  </w:style>
  <w:style w:type="character" w:customStyle="1" w:styleId="LightGrey">
    <w:name w:val="Light Grey"/>
    <w:basedOn w:val="DefaultParagraphFont"/>
    <w:uiPriority w:val="1"/>
    <w:rsid w:val="00ED2831"/>
    <w:rPr>
      <w:color w:val="ACB9CA" w:themeColor="text2" w:themeTint="66"/>
    </w:rPr>
  </w:style>
  <w:style w:type="character" w:styleId="PageNumber">
    <w:name w:val="page number"/>
    <w:basedOn w:val="DefaultParagraphFont"/>
    <w:uiPriority w:val="99"/>
    <w:unhideWhenUsed/>
    <w:rsid w:val="00F5404C"/>
    <w:rPr>
      <w:color w:val="44546A" w:themeColor="text2"/>
    </w:rPr>
  </w:style>
  <w:style w:type="paragraph" w:styleId="Quote">
    <w:name w:val="Quote"/>
    <w:basedOn w:val="Normal"/>
    <w:next w:val="Normal"/>
    <w:link w:val="QuoteChar"/>
    <w:uiPriority w:val="29"/>
    <w:qFormat/>
    <w:rsid w:val="00F81DB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81DB9"/>
    <w:rPr>
      <w:color w:val="44546A" w:themeColor="text2"/>
      <w:sz w:val="24"/>
      <w:szCs w:val="24"/>
    </w:rPr>
  </w:style>
  <w:style w:type="paragraph" w:customStyle="1" w:styleId="QuoteHeading">
    <w:name w:val="Quote Heading"/>
    <w:basedOn w:val="Quote"/>
    <w:locked/>
    <w:rsid w:val="00C5182A"/>
    <w:rPr>
      <w:b/>
      <w:sz w:val="20"/>
    </w:rPr>
  </w:style>
  <w:style w:type="paragraph" w:styleId="FootnoteText">
    <w:name w:val="footnote text"/>
    <w:aliases w:val=" Char Char, Char,ft,single space,footnote text,fn,Footnote Text Char Char Char Char,Char Char,Char,FOOTNOTES,Footnote ak Char,Footnotes Char,FOOTNOTES Char Char Char Char1,FOOTNOTES Char Char Char Char Char,f Char,Footnote text Char,f,ADB"/>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 Char Char Char1, Char Char2,ft Char1,single space Char1,footnote text Char1,fn Char1,Footnote Text Char Char Char Char Char1,Char Char Char1,Char Char2,FOOTNOTES Char1,Footnote ak Char Char,Footnotes Char Char,f Char Char,f Char1"/>
    <w:basedOn w:val="DefaultParagraphFont"/>
    <w:link w:val="FootnoteText"/>
    <w:uiPriority w:val="99"/>
    <w:rsid w:val="008C5A0E"/>
    <w:rPr>
      <w:color w:val="44546A" w:themeColor="text2"/>
      <w:sz w:val="12"/>
      <w:szCs w:val="20"/>
    </w:rPr>
  </w:style>
  <w:style w:type="character" w:styleId="FootnoteReference">
    <w:name w:val="footnote reference"/>
    <w:aliases w:val="ftref,ASI Footer,Ref,de nota al pie,Char Char9,BVI fnr,BVI fnr Car Car,BVI fnr Car,BVI fnr Car Car Car Car,BVI fnr Car Car Car Car Char Car,Normal + Font:9 Point,Superscript 3 Point Times,Footnote Reference1"/>
    <w:basedOn w:val="DefaultParagraphFont"/>
    <w:uiPriority w:val="99"/>
    <w:unhideWhenUsed/>
    <w:qFormat/>
    <w:rsid w:val="003002C0"/>
    <w:rPr>
      <w:vertAlign w:val="superscript"/>
    </w:rPr>
  </w:style>
  <w:style w:type="paragraph" w:customStyle="1" w:styleId="GreyRoundBoxText">
    <w:name w:val="Grey Round Box Text"/>
    <w:basedOn w:val="Normal"/>
    <w:rsid w:val="000D66D6"/>
    <w:rPr>
      <w:b/>
      <w:caps/>
      <w:color w:val="FFFFFF" w:themeColor="background1"/>
      <w:sz w:val="18"/>
    </w:rPr>
  </w:style>
  <w:style w:type="character" w:customStyle="1" w:styleId="Green">
    <w:name w:val="Green"/>
    <w:basedOn w:val="DefaultParagraphFont"/>
    <w:uiPriority w:val="1"/>
    <w:rsid w:val="00B900C3"/>
    <w:rPr>
      <w:color w:val="ED7D31" w:themeColor="accent2"/>
    </w:rPr>
  </w:style>
  <w:style w:type="paragraph" w:customStyle="1" w:styleId="PhotoMargins">
    <w:name w:val="Photo Margins"/>
    <w:basedOn w:val="Normal"/>
    <w:rsid w:val="00992C76"/>
  </w:style>
  <w:style w:type="paragraph" w:customStyle="1" w:styleId="PhotoLeft">
    <w:name w:val="Photo Left"/>
    <w:basedOn w:val="PhotoMargins"/>
    <w:rsid w:val="00F82271"/>
    <w:pPr>
      <w:ind w:left="-851"/>
    </w:pPr>
  </w:style>
  <w:style w:type="paragraph" w:customStyle="1" w:styleId="PhotoRight">
    <w:name w:val="Photo Right"/>
    <w:basedOn w:val="PhotoMargins"/>
    <w:rsid w:val="00F82271"/>
    <w:pPr>
      <w:ind w:right="-851"/>
      <w:jc w:val="right"/>
    </w:pPr>
  </w:style>
  <w:style w:type="paragraph" w:customStyle="1" w:styleId="PhotoCaption">
    <w:name w:val="Photo Caption"/>
    <w:basedOn w:val="Normal"/>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4472C4" w:themeColor="accent1"/>
          <w:bottom w:val="single" w:sz="4" w:space="0" w:color="4472C4" w:themeColor="accent1"/>
          <w:insideH w:val="single" w:sz="4" w:space="0" w:color="4472C4" w:themeColor="accent1"/>
        </w:tcBorders>
        <w:shd w:val="clear" w:color="auto" w:fill="4472C4"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9E2F3" w:themeFill="accent1" w:themeFillTint="33"/>
      </w:tcPr>
    </w:tblStylePr>
    <w:tblStylePr w:type="band2Vert">
      <w:tblPr/>
      <w:tcPr>
        <w:shd w:val="clear" w:color="auto" w:fill="B4C6E7" w:themeFill="accent1" w:themeFillTint="66"/>
      </w:tcPr>
    </w:tblStylePr>
    <w:tblStylePr w:type="band1Horz">
      <w:tblPr/>
      <w:tcPr>
        <w:shd w:val="clear" w:color="auto" w:fill="D9E2F3" w:themeFill="accent1" w:themeFillTint="33"/>
      </w:tcPr>
    </w:tblStylePr>
    <w:tblStylePr w:type="band2Horz">
      <w:tblPr/>
      <w:tcPr>
        <w:shd w:val="clear" w:color="auto" w:fill="B4C6E7" w:themeFill="accent1" w:themeFillTint="66"/>
      </w:tcPr>
    </w:tblStylePr>
  </w:style>
  <w:style w:type="paragraph" w:customStyle="1" w:styleId="FootnoteSeparator">
    <w:name w:val="Footnote Separator"/>
    <w:basedOn w:val="Footer"/>
    <w:rsid w:val="00ED2831"/>
    <w:pPr>
      <w:pBdr>
        <w:top w:val="single" w:sz="4" w:space="1" w:color="44546A" w:themeColor="text2"/>
      </w:pBdr>
      <w:tabs>
        <w:tab w:val="right" w:pos="9356"/>
        <w:tab w:val="center" w:pos="10036"/>
      </w:tabs>
      <w:spacing w:line="220" w:lineRule="atLeast"/>
      <w:ind w:right="0"/>
    </w:pPr>
    <w:rPr>
      <w:color w:val="44546A" w:themeColor="text2"/>
      <w:sz w:val="14"/>
    </w:rPr>
  </w:style>
  <w:style w:type="paragraph" w:customStyle="1" w:styleId="Heading1smallspaceafter">
    <w:name w:val="Heading 1 small space after"/>
    <w:basedOn w:val="Heading1"/>
    <w:qFormat/>
    <w:rsid w:val="00F25A93"/>
    <w:pPr>
      <w:spacing w:after="600"/>
    </w:pPr>
  </w:style>
  <w:style w:type="paragraph" w:customStyle="1" w:styleId="TableBullet1">
    <w:name w:val="Table Bullet 1"/>
    <w:basedOn w:val="Bullet1"/>
    <w:rsid w:val="00ED2831"/>
    <w:pPr>
      <w:spacing w:before="60" w:line="220" w:lineRule="atLeast"/>
    </w:pPr>
    <w:rPr>
      <w:rFonts w:ascii="Calibri" w:hAnsi="Calibri"/>
      <w:sz w:val="18"/>
    </w:rPr>
  </w:style>
  <w:style w:type="paragraph" w:customStyle="1" w:styleId="TableBullet2">
    <w:name w:val="Table Bullet 2"/>
    <w:basedOn w:val="Bullet2"/>
    <w:rsid w:val="00ED2831"/>
    <w:pPr>
      <w:spacing w:before="60" w:line="220" w:lineRule="atLeast"/>
    </w:pPr>
    <w:rPr>
      <w:rFonts w:ascii="Calibri" w:hAnsi="Calibri"/>
      <w:sz w:val="18"/>
    </w:rPr>
  </w:style>
  <w:style w:type="paragraph" w:customStyle="1" w:styleId="TableBullet3">
    <w:name w:val="Table Bullet 3"/>
    <w:basedOn w:val="Bullet3"/>
    <w:rsid w:val="00ED2831"/>
    <w:pPr>
      <w:spacing w:before="60" w:line="220" w:lineRule="atLeast"/>
    </w:pPr>
    <w:rPr>
      <w:rFonts w:ascii="Calibri" w:hAnsi="Calibri"/>
      <w:sz w:val="18"/>
    </w:rPr>
  </w:style>
  <w:style w:type="paragraph" w:customStyle="1" w:styleId="TableHeaderRow">
    <w:name w:val="Table Header Row"/>
    <w:basedOn w:val="Normal"/>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rsid w:val="00ED2831"/>
    <w:pPr>
      <w:spacing w:before="60" w:line="220" w:lineRule="atLeast"/>
    </w:pPr>
    <w:rPr>
      <w:rFonts w:ascii="Calibri" w:hAnsi="Calibri"/>
      <w:sz w:val="18"/>
    </w:rPr>
  </w:style>
  <w:style w:type="paragraph" w:customStyle="1" w:styleId="TableNumberedList2">
    <w:name w:val="Table Numbered List 2"/>
    <w:basedOn w:val="NumberedList2"/>
    <w:rsid w:val="00ED2831"/>
    <w:pPr>
      <w:spacing w:before="60" w:line="220" w:lineRule="atLeast"/>
    </w:pPr>
    <w:rPr>
      <w:rFonts w:ascii="Calibri" w:hAnsi="Calibri"/>
      <w:sz w:val="18"/>
    </w:rPr>
  </w:style>
  <w:style w:type="paragraph" w:customStyle="1" w:styleId="TableNumberedList3">
    <w:name w:val="Table Numbered List 3"/>
    <w:basedOn w:val="NumberedList3"/>
    <w:rsid w:val="00ED2831"/>
    <w:pPr>
      <w:spacing w:before="60" w:line="220" w:lineRule="atLeast"/>
      <w:ind w:left="851"/>
    </w:pPr>
    <w:rPr>
      <w:rFonts w:ascii="Calibri" w:hAnsi="Calibri"/>
      <w:sz w:val="18"/>
    </w:rPr>
  </w:style>
  <w:style w:type="paragraph" w:customStyle="1" w:styleId="TableSourceNotes">
    <w:name w:val="Table Source Notes"/>
    <w:basedOn w:val="Normal"/>
    <w:rsid w:val="00ED2831"/>
    <w:pPr>
      <w:tabs>
        <w:tab w:val="left" w:pos="284"/>
      </w:tabs>
      <w:spacing w:line="160" w:lineRule="atLeast"/>
      <w:ind w:left="284" w:hanging="284"/>
      <w:contextualSpacing/>
    </w:pPr>
    <w:rPr>
      <w:sz w:val="12"/>
    </w:rPr>
  </w:style>
  <w:style w:type="paragraph" w:customStyle="1" w:styleId="TableTotalRow">
    <w:name w:val="Table Total Row"/>
    <w:basedOn w:val="Normal"/>
    <w:rsid w:val="00CF07BA"/>
    <w:pPr>
      <w:spacing w:before="60"/>
    </w:pPr>
    <w:rPr>
      <w:rFonts w:ascii="Calibri" w:hAnsi="Calibri"/>
      <w:b/>
      <w:color w:val="FFFFFF" w:themeColor="background1"/>
    </w:rPr>
  </w:style>
  <w:style w:type="paragraph" w:customStyle="1" w:styleId="BoxHeading">
    <w:name w:val="Box Heading"/>
    <w:basedOn w:val="Heading3"/>
    <w:locked/>
    <w:rsid w:val="00ED2831"/>
    <w:pPr>
      <w:spacing w:before="60"/>
    </w:pPr>
  </w:style>
  <w:style w:type="paragraph" w:customStyle="1" w:styleId="QuoteAuthor">
    <w:name w:val="Quote Author"/>
    <w:basedOn w:val="Quote"/>
    <w:rsid w:val="00D64BD1"/>
    <w:pPr>
      <w:spacing w:after="60" w:line="200" w:lineRule="atLeast"/>
    </w:pPr>
    <w:rPr>
      <w:sz w:val="16"/>
    </w:rPr>
  </w:style>
  <w:style w:type="paragraph" w:customStyle="1" w:styleId="TableText">
    <w:name w:val="Table Text"/>
    <w:basedOn w:val="Normal"/>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4546A" w:themeColor="text2"/>
      <w:sz w:val="16"/>
      <w:szCs w:val="16"/>
      <w:lang w:val="en-GB"/>
    </w:rPr>
  </w:style>
  <w:style w:type="paragraph" w:customStyle="1" w:styleId="SpacebeforeTitle">
    <w:name w:val="Space before Title"/>
    <w:basedOn w:val="Normal"/>
    <w:rsid w:val="00B33C0A"/>
    <w:pPr>
      <w:spacing w:after="900"/>
    </w:pPr>
  </w:style>
  <w:style w:type="paragraph" w:customStyle="1" w:styleId="Box1Text">
    <w:name w:val="Box 1 Text"/>
    <w:basedOn w:val="Normal"/>
    <w:rsid w:val="00E8296D"/>
    <w:pPr>
      <w:pBdr>
        <w:top w:val="single" w:sz="4" w:space="14" w:color="4472C4" w:themeColor="accent1"/>
        <w:left w:val="single" w:sz="4" w:space="14" w:color="4472C4" w:themeColor="accent1"/>
        <w:bottom w:val="single" w:sz="4" w:space="14" w:color="4472C4" w:themeColor="accent1"/>
        <w:right w:val="single" w:sz="4" w:space="14" w:color="4472C4" w:themeColor="accent1"/>
      </w:pBdr>
      <w:shd w:val="clear" w:color="auto" w:fill="FFFFFF" w:themeFill="background1"/>
      <w:spacing w:before="180" w:after="80" w:line="240" w:lineRule="atLeast"/>
      <w:ind w:left="284" w:right="284"/>
    </w:pPr>
    <w:rPr>
      <w:sz w:val="20"/>
    </w:rPr>
  </w:style>
  <w:style w:type="paragraph" w:customStyle="1" w:styleId="Box1Heading">
    <w:name w:val="Box 1 Heading"/>
    <w:basedOn w:val="Box1Text"/>
    <w:rsid w:val="00E8296D"/>
    <w:pPr>
      <w:keepNext/>
      <w:spacing w:line="300" w:lineRule="atLeast"/>
    </w:pPr>
    <w:rPr>
      <w:b/>
      <w:sz w:val="26"/>
    </w:rPr>
  </w:style>
  <w:style w:type="paragraph" w:customStyle="1" w:styleId="Box2Text">
    <w:name w:val="Box 2 Text"/>
    <w:basedOn w:val="Box1Text"/>
    <w:rsid w:val="00522396"/>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rsid w:val="00E8296D"/>
    <w:pPr>
      <w:keepNext/>
      <w:spacing w:line="300" w:lineRule="atLeast"/>
    </w:pPr>
    <w:rPr>
      <w:b/>
      <w:sz w:val="26"/>
    </w:rPr>
  </w:style>
  <w:style w:type="paragraph" w:customStyle="1" w:styleId="Box1Bullet">
    <w:name w:val="Box 1 Bullet"/>
    <w:basedOn w:val="Box1Text"/>
    <w:rsid w:val="00C42541"/>
    <w:pPr>
      <w:numPr>
        <w:numId w:val="10"/>
      </w:numPr>
      <w:ind w:left="454" w:hanging="170"/>
    </w:pPr>
  </w:style>
  <w:style w:type="paragraph" w:customStyle="1" w:styleId="Box2Bullet">
    <w:name w:val="Box 2 Bullet"/>
    <w:basedOn w:val="Box2Text"/>
    <w:rsid w:val="00C42541"/>
    <w:pPr>
      <w:numPr>
        <w:numId w:val="11"/>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4546A"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4546A"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4546A"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4546A"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4546A"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4546A" w:themeColor="text2"/>
      <w:lang w:val="en-GB"/>
    </w:rPr>
  </w:style>
  <w:style w:type="paragraph" w:styleId="BlockText">
    <w:name w:val="Block Text"/>
    <w:basedOn w:val="Normal"/>
    <w:uiPriority w:val="99"/>
    <w:unhideWhenUsed/>
    <w:locked/>
    <w:rsid w:val="00E8457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table" w:customStyle="1" w:styleId="DFATTable2">
    <w:name w:val="DFAT Table 2"/>
    <w:basedOn w:val="TableNormal"/>
    <w:uiPriority w:val="99"/>
    <w:rsid w:val="00482AE8"/>
    <w:pPr>
      <w:spacing w:after="0" w:line="260" w:lineRule="atLeast"/>
    </w:pPr>
    <w:rPr>
      <w:rFonts w:ascii="Calibri" w:hAnsi="Calibri"/>
      <w:color w:val="44546A"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4546A"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4546A" w:themeColor="text2"/>
      <w:sz w:val="20"/>
      <w:szCs w:val="20"/>
      <w:lang w:val="en-GB"/>
    </w:rPr>
  </w:style>
  <w:style w:type="character" w:customStyle="1" w:styleId="ColourAccent1">
    <w:name w:val="Colour Accent 1"/>
    <w:basedOn w:val="DefaultParagraphFont"/>
    <w:uiPriority w:val="1"/>
    <w:locked/>
    <w:rsid w:val="001214BE"/>
    <w:rPr>
      <w:color w:val="4472C4" w:themeColor="accent1"/>
    </w:rPr>
  </w:style>
  <w:style w:type="paragraph" w:styleId="ListBullet">
    <w:name w:val="List Bullet"/>
    <w:basedOn w:val="BodyText"/>
    <w:qFormat/>
    <w:locked/>
    <w:rsid w:val="00963C90"/>
    <w:pPr>
      <w:numPr>
        <w:numId w:val="13"/>
      </w:numPr>
      <w:tabs>
        <w:tab w:val="left" w:pos="284"/>
      </w:tabs>
      <w:spacing w:after="120" w:line="280" w:lineRule="exact"/>
    </w:pPr>
    <w:rPr>
      <w:rFonts w:ascii="Franklin Gothic Book" w:eastAsia="Times New Roman" w:hAnsi="Franklin Gothic Book" w:cs="Times New Roman"/>
      <w:sz w:val="21"/>
      <w:szCs w:val="24"/>
      <w:lang w:eastAsia="en-AU"/>
    </w:rPr>
  </w:style>
  <w:style w:type="paragraph" w:styleId="ListNumber2">
    <w:name w:val="List Number 2"/>
    <w:basedOn w:val="ListNumber"/>
    <w:locked/>
    <w:rsid w:val="00963C90"/>
    <w:pPr>
      <w:numPr>
        <w:numId w:val="12"/>
      </w:numPr>
      <w:tabs>
        <w:tab w:val="clear" w:pos="567"/>
        <w:tab w:val="left" w:pos="284"/>
        <w:tab w:val="num" w:pos="360"/>
      </w:tabs>
      <w:spacing w:after="120" w:line="280" w:lineRule="exact"/>
      <w:ind w:left="568" w:hanging="284"/>
      <w:contextualSpacing w:val="0"/>
    </w:pPr>
    <w:rPr>
      <w:rFonts w:ascii="Franklin Gothic Book" w:eastAsia="Times New Roman" w:hAnsi="Franklin Gothic Book" w:cs="Times New Roman"/>
      <w:sz w:val="21"/>
      <w:szCs w:val="24"/>
      <w:lang w:eastAsia="en-AU"/>
    </w:rPr>
  </w:style>
  <w:style w:type="character" w:customStyle="1" w:styleId="apple-converted-space">
    <w:name w:val="apple-converted-space"/>
    <w:basedOn w:val="DefaultParagraphFont"/>
    <w:rsid w:val="00963C90"/>
  </w:style>
  <w:style w:type="paragraph" w:styleId="ListNumber">
    <w:name w:val="List Number"/>
    <w:basedOn w:val="Normal"/>
    <w:uiPriority w:val="99"/>
    <w:semiHidden/>
    <w:unhideWhenUsed/>
    <w:locked/>
    <w:rsid w:val="00963C90"/>
    <w:pPr>
      <w:numPr>
        <w:numId w:val="6"/>
      </w:numPr>
      <w:contextualSpacing/>
    </w:pPr>
  </w:style>
  <w:style w:type="paragraph" w:customStyle="1" w:styleId="Default">
    <w:name w:val="Default"/>
    <w:rsid w:val="00077E89"/>
    <w:pPr>
      <w:autoSpaceDE w:val="0"/>
      <w:autoSpaceDN w:val="0"/>
      <w:adjustRightInd w:val="0"/>
      <w:spacing w:after="0" w:line="240" w:lineRule="auto"/>
    </w:pPr>
    <w:rPr>
      <w:rFonts w:ascii="Franklin Gothic Book" w:hAnsi="Franklin Gothic Book" w:cs="Franklin Gothic Book"/>
      <w:color w:val="000000"/>
      <w:sz w:val="24"/>
      <w:szCs w:val="24"/>
      <w:lang w:val="en-US"/>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DD1F35"/>
    <w:pPr>
      <w:ind w:left="720"/>
      <w:contextualSpacing/>
    </w:pPr>
  </w:style>
  <w:style w:type="character" w:customStyle="1" w:styleId="Mention1">
    <w:name w:val="Mention1"/>
    <w:basedOn w:val="DefaultParagraphFont"/>
    <w:uiPriority w:val="99"/>
    <w:semiHidden/>
    <w:unhideWhenUsed/>
    <w:rsid w:val="007B784F"/>
    <w:rPr>
      <w:color w:val="2B579A"/>
      <w:shd w:val="clear" w:color="auto" w:fill="E6E6E6"/>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761951"/>
  </w:style>
  <w:style w:type="paragraph" w:styleId="NormalWeb">
    <w:name w:val="Normal (Web)"/>
    <w:basedOn w:val="Normal"/>
    <w:rsid w:val="00851B0E"/>
    <w:pPr>
      <w:spacing w:before="61" w:after="68"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rsid w:val="00851B0E"/>
    <w:pPr>
      <w:spacing w:before="40" w:after="4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 Char Char Char, Char Char1,ft Char,single space Char,footnote text Char,fn Char,Footnote Text Char Char Char Char Char,Char Char Char,Char Char1,FOOTNOTES Char"/>
    <w:basedOn w:val="DefaultParagraphFont"/>
    <w:rsid w:val="00E17F23"/>
    <w:rPr>
      <w:lang w:eastAsia="en-US"/>
    </w:rPr>
  </w:style>
  <w:style w:type="character" w:customStyle="1" w:styleId="s2">
    <w:name w:val="s2"/>
    <w:basedOn w:val="DefaultParagraphFont"/>
    <w:rsid w:val="00F155AD"/>
    <w:rPr>
      <w:rFonts w:ascii="Times New Roman" w:hAnsi="Times New Roman" w:cs="Times New Roman" w:hint="default"/>
      <w:sz w:val="15"/>
      <w:szCs w:val="15"/>
    </w:rPr>
  </w:style>
  <w:style w:type="paragraph" w:styleId="Revision">
    <w:name w:val="Revision"/>
    <w:hidden/>
    <w:uiPriority w:val="99"/>
    <w:semiHidden/>
    <w:rsid w:val="00E0203A"/>
    <w:pPr>
      <w:spacing w:after="0" w:line="240" w:lineRule="auto"/>
    </w:pPr>
    <w:rPr>
      <w:color w:val="44546A" w:themeColor="text2"/>
      <w:lang w:val="en-GB"/>
    </w:rPr>
  </w:style>
  <w:style w:type="paragraph" w:styleId="NoSpacing">
    <w:name w:val="No Spacing"/>
    <w:uiPriority w:val="1"/>
    <w:qFormat/>
    <w:rsid w:val="00F81DB9"/>
    <w:pPr>
      <w:spacing w:after="0" w:line="240" w:lineRule="auto"/>
    </w:pPr>
  </w:style>
  <w:style w:type="paragraph" w:styleId="IntenseQuote">
    <w:name w:val="Intense Quote"/>
    <w:basedOn w:val="Normal"/>
    <w:next w:val="Normal"/>
    <w:link w:val="IntenseQuoteChar"/>
    <w:uiPriority w:val="30"/>
    <w:qFormat/>
    <w:locked/>
    <w:rsid w:val="00F81DB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81DB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locked/>
    <w:rsid w:val="00F81DB9"/>
    <w:rPr>
      <w:i/>
      <w:iCs/>
      <w:color w:val="595959" w:themeColor="text1" w:themeTint="A6"/>
    </w:rPr>
  </w:style>
  <w:style w:type="character" w:styleId="SubtleReference">
    <w:name w:val="Subtle Reference"/>
    <w:basedOn w:val="DefaultParagraphFont"/>
    <w:uiPriority w:val="31"/>
    <w:qFormat/>
    <w:locked/>
    <w:rsid w:val="00F81DB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locked/>
    <w:rsid w:val="00F81DB9"/>
    <w:rPr>
      <w:b/>
      <w:bCs/>
      <w:smallCaps/>
      <w:color w:val="44546A" w:themeColor="text2"/>
      <w:u w:val="single"/>
    </w:rPr>
  </w:style>
  <w:style w:type="character" w:styleId="BookTitle">
    <w:name w:val="Book Title"/>
    <w:basedOn w:val="DefaultParagraphFont"/>
    <w:uiPriority w:val="33"/>
    <w:qFormat/>
    <w:locked/>
    <w:rsid w:val="00F81DB9"/>
    <w:rPr>
      <w:b/>
      <w:bCs/>
      <w:smallCaps/>
      <w:spacing w:val="10"/>
    </w:rPr>
  </w:style>
  <w:style w:type="table" w:customStyle="1" w:styleId="GridTable3-Accent51">
    <w:name w:val="Grid Table 3 - Accent 51"/>
    <w:basedOn w:val="TableNormal"/>
    <w:uiPriority w:val="48"/>
    <w:rsid w:val="004659EA"/>
    <w:pPr>
      <w:spacing w:after="0" w:line="240" w:lineRule="auto"/>
    </w:pPr>
    <w:rPr>
      <w:rFonts w:ascii="Calibri" w:eastAsia="Times New Roman" w:hAnsi="Calibri" w:cs="Times New Roman"/>
      <w:sz w:val="20"/>
      <w:szCs w:val="20"/>
      <w:lang w:val="en-NZ" w:eastAsia="en-NZ"/>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customStyle="1" w:styleId="Mention2">
    <w:name w:val="Mention2"/>
    <w:basedOn w:val="DefaultParagraphFont"/>
    <w:uiPriority w:val="99"/>
    <w:semiHidden/>
    <w:unhideWhenUsed/>
    <w:rsid w:val="00F27A15"/>
    <w:rPr>
      <w:color w:val="2B579A"/>
      <w:shd w:val="clear" w:color="auto" w:fill="E6E6E6"/>
    </w:rPr>
  </w:style>
  <w:style w:type="paragraph" w:customStyle="1" w:styleId="BodyText1">
    <w:name w:val="Body Text 1"/>
    <w:basedOn w:val="Normal"/>
    <w:link w:val="BodyText1Char"/>
    <w:qFormat/>
    <w:rsid w:val="0000269C"/>
    <w:pPr>
      <w:widowControl w:val="0"/>
      <w:autoSpaceDE w:val="0"/>
      <w:autoSpaceDN w:val="0"/>
      <w:adjustRightInd w:val="0"/>
      <w:spacing w:before="60" w:after="60" w:line="276" w:lineRule="auto"/>
      <w:jc w:val="both"/>
    </w:pPr>
    <w:rPr>
      <w:rFonts w:ascii="Times New Roman" w:eastAsia="Cambria" w:hAnsi="Times New Roman" w:cs="ArialMT"/>
      <w:lang w:bidi="en-US"/>
    </w:rPr>
  </w:style>
  <w:style w:type="character" w:customStyle="1" w:styleId="BodyText1Char">
    <w:name w:val="Body Text 1 Char"/>
    <w:basedOn w:val="DefaultParagraphFont"/>
    <w:link w:val="BodyText1"/>
    <w:rsid w:val="0000269C"/>
    <w:rPr>
      <w:rFonts w:ascii="Times New Roman" w:eastAsia="Cambria" w:hAnsi="Times New Roman" w:cs="ArialMT"/>
      <w:lang w:bidi="en-US"/>
    </w:rPr>
  </w:style>
  <w:style w:type="table" w:customStyle="1" w:styleId="TableGrid11">
    <w:name w:val="Table Grid11"/>
    <w:basedOn w:val="TableNormal"/>
    <w:next w:val="TableGrid"/>
    <w:rsid w:val="00DA6A06"/>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ORTDOCSUB-NUMBERS">
    <w:name w:val="SHORT DOC SUB-NUMBERS"/>
    <w:basedOn w:val="Normal"/>
    <w:uiPriority w:val="99"/>
    <w:rsid w:val="00D46FB3"/>
    <w:pPr>
      <w:numPr>
        <w:numId w:val="51"/>
      </w:numPr>
      <w:tabs>
        <w:tab w:val="left" w:pos="1077"/>
      </w:tabs>
      <w:suppressAutoHyphens/>
      <w:autoSpaceDE w:val="0"/>
      <w:autoSpaceDN w:val="0"/>
      <w:adjustRightInd w:val="0"/>
      <w:spacing w:after="0" w:line="280" w:lineRule="atLeast"/>
      <w:ind w:left="811" w:hanging="357"/>
      <w:jc w:val="both"/>
      <w:textAlignment w:val="center"/>
    </w:pPr>
    <w:rPr>
      <w:rFonts w:ascii="HelveticaNeueLT Std" w:eastAsiaTheme="minorHAnsi" w:hAnsi="HelveticaNeueLT Std" w:cs="HelveticaNeueLT Std"/>
      <w:color w:val="414141"/>
      <w:lang w:val="en-US"/>
    </w:rPr>
  </w:style>
  <w:style w:type="character" w:customStyle="1" w:styleId="UnresolvedMention1">
    <w:name w:val="Unresolved Mention1"/>
    <w:basedOn w:val="DefaultParagraphFont"/>
    <w:uiPriority w:val="99"/>
    <w:semiHidden/>
    <w:unhideWhenUsed/>
    <w:rsid w:val="001670B6"/>
    <w:rPr>
      <w:color w:val="808080"/>
      <w:shd w:val="clear" w:color="auto" w:fill="E6E6E6"/>
    </w:rPr>
  </w:style>
  <w:style w:type="character" w:styleId="FollowedHyperlink">
    <w:name w:val="FollowedHyperlink"/>
    <w:basedOn w:val="DefaultParagraphFont"/>
    <w:uiPriority w:val="99"/>
    <w:semiHidden/>
    <w:unhideWhenUsed/>
    <w:rsid w:val="0081522A"/>
    <w:rPr>
      <w:color w:val="954F72" w:themeColor="followedHyperlink"/>
      <w:u w:val="single"/>
    </w:rPr>
  </w:style>
  <w:style w:type="numbering" w:customStyle="1" w:styleId="Numberedlist10">
    <w:name w:val="Numbered list1"/>
    <w:uiPriority w:val="99"/>
    <w:rsid w:val="005C22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491328">
      <w:bodyDiv w:val="1"/>
      <w:marLeft w:val="0"/>
      <w:marRight w:val="0"/>
      <w:marTop w:val="0"/>
      <w:marBottom w:val="0"/>
      <w:divBdr>
        <w:top w:val="none" w:sz="0" w:space="0" w:color="auto"/>
        <w:left w:val="none" w:sz="0" w:space="0" w:color="auto"/>
        <w:bottom w:val="none" w:sz="0" w:space="0" w:color="auto"/>
        <w:right w:val="none" w:sz="0" w:space="0" w:color="auto"/>
      </w:divBdr>
    </w:div>
    <w:div w:id="662588687">
      <w:bodyDiv w:val="1"/>
      <w:marLeft w:val="0"/>
      <w:marRight w:val="0"/>
      <w:marTop w:val="0"/>
      <w:marBottom w:val="0"/>
      <w:divBdr>
        <w:top w:val="none" w:sz="0" w:space="0" w:color="auto"/>
        <w:left w:val="none" w:sz="0" w:space="0" w:color="auto"/>
        <w:bottom w:val="none" w:sz="0" w:space="0" w:color="auto"/>
        <w:right w:val="none" w:sz="0" w:space="0" w:color="auto"/>
      </w:divBdr>
    </w:div>
    <w:div w:id="1131676721">
      <w:bodyDiv w:val="1"/>
      <w:marLeft w:val="0"/>
      <w:marRight w:val="0"/>
      <w:marTop w:val="0"/>
      <w:marBottom w:val="0"/>
      <w:divBdr>
        <w:top w:val="none" w:sz="0" w:space="0" w:color="auto"/>
        <w:left w:val="none" w:sz="0" w:space="0" w:color="auto"/>
        <w:bottom w:val="none" w:sz="0" w:space="0" w:color="auto"/>
        <w:right w:val="none" w:sz="0" w:space="0" w:color="auto"/>
      </w:divBdr>
    </w:div>
    <w:div w:id="1142621503">
      <w:bodyDiv w:val="1"/>
      <w:marLeft w:val="0"/>
      <w:marRight w:val="0"/>
      <w:marTop w:val="0"/>
      <w:marBottom w:val="0"/>
      <w:divBdr>
        <w:top w:val="none" w:sz="0" w:space="0" w:color="auto"/>
        <w:left w:val="none" w:sz="0" w:space="0" w:color="auto"/>
        <w:bottom w:val="none" w:sz="0" w:space="0" w:color="auto"/>
        <w:right w:val="none" w:sz="0" w:space="0" w:color="auto"/>
      </w:divBdr>
    </w:div>
    <w:div w:id="1234272233">
      <w:bodyDiv w:val="1"/>
      <w:marLeft w:val="0"/>
      <w:marRight w:val="0"/>
      <w:marTop w:val="0"/>
      <w:marBottom w:val="0"/>
      <w:divBdr>
        <w:top w:val="none" w:sz="0" w:space="0" w:color="auto"/>
        <w:left w:val="none" w:sz="0" w:space="0" w:color="auto"/>
        <w:bottom w:val="none" w:sz="0" w:space="0" w:color="auto"/>
        <w:right w:val="none" w:sz="0" w:space="0" w:color="auto"/>
      </w:divBdr>
    </w:div>
    <w:div w:id="1500120188">
      <w:bodyDiv w:val="1"/>
      <w:marLeft w:val="0"/>
      <w:marRight w:val="0"/>
      <w:marTop w:val="0"/>
      <w:marBottom w:val="0"/>
      <w:divBdr>
        <w:top w:val="none" w:sz="0" w:space="0" w:color="auto"/>
        <w:left w:val="none" w:sz="0" w:space="0" w:color="auto"/>
        <w:bottom w:val="none" w:sz="0" w:space="0" w:color="auto"/>
        <w:right w:val="none" w:sz="0" w:space="0" w:color="auto"/>
      </w:divBdr>
    </w:div>
    <w:div w:id="1602831931">
      <w:bodyDiv w:val="1"/>
      <w:marLeft w:val="0"/>
      <w:marRight w:val="0"/>
      <w:marTop w:val="0"/>
      <w:marBottom w:val="0"/>
      <w:divBdr>
        <w:top w:val="none" w:sz="0" w:space="0" w:color="auto"/>
        <w:left w:val="none" w:sz="0" w:space="0" w:color="auto"/>
        <w:bottom w:val="none" w:sz="0" w:space="0" w:color="auto"/>
        <w:right w:val="none" w:sz="0" w:space="0" w:color="auto"/>
      </w:divBdr>
    </w:div>
    <w:div w:id="193392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80.emf"/><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customXml" Target="ink/ink1.xml"/><Relationship Id="rId34" Type="http://schemas.openxmlformats.org/officeDocument/2006/relationships/footer" Target="footer2.xml"/><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7" Type="http://schemas.microsoft.com/office/2007/relationships/stylesWithEffects" Target="stylesWithEffects.xml"/><Relationship Id="rId12" Type="http://schemas.openxmlformats.org/officeDocument/2006/relationships/hyperlink" Target="http://www.dfat.gov.au" TargetMode="External"/><Relationship Id="rId17" Type="http://schemas.openxmlformats.org/officeDocument/2006/relationships/image" Target="media/image5.jpeg"/><Relationship Id="rId33" Type="http://schemas.openxmlformats.org/officeDocument/2006/relationships/header" Target="header3.xml"/><Relationship Id="rId38" Type="http://schemas.openxmlformats.org/officeDocument/2006/relationships/image" Target="media/image16.emf"/><Relationship Id="rId46" Type="http://schemas.openxmlformats.org/officeDocument/2006/relationships/image" Target="media/image21.png"/><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0.png"/><Relationship Id="rId41" Type="http://schemas.openxmlformats.org/officeDocument/2006/relationships/hyperlink" Target="http://en.wikipedia.org/wiki/File:Diffusion_of_ideas.sv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footer" Target="footer1.xml"/><Relationship Id="rId37" Type="http://schemas.openxmlformats.org/officeDocument/2006/relationships/image" Target="media/image15.png"/><Relationship Id="rId40" Type="http://schemas.openxmlformats.org/officeDocument/2006/relationships/package" Target="embeddings/Microsoft_Visio_Drawing1111111111.vsdx"/><Relationship Id="rId45" Type="http://schemas.openxmlformats.org/officeDocument/2006/relationships/image" Target="media/image20.png"/><Relationship Id="rId53" Type="http://schemas.openxmlformats.org/officeDocument/2006/relationships/fontTable" Target="fontTable.xml"/><Relationship Id="rId58"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4.emf"/><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package" Target="embeddings/Microsoft_Visio_Drawing2222222222.vsdx"/><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7" Type="http://schemas.openxmlformats.org/officeDocument/2006/relationships/customXml" Target="ink/ink2.xml"/><Relationship Id="rId30" Type="http://schemas.openxmlformats.org/officeDocument/2006/relationships/header" Target="header1.xml"/><Relationship Id="rId35" Type="http://schemas.openxmlformats.org/officeDocument/2006/relationships/image" Target="media/image13.emf"/><Relationship Id="rId43" Type="http://schemas.openxmlformats.org/officeDocument/2006/relationships/image" Target="media/image19.emf"/><Relationship Id="rId48"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pubdocs.worldbank.org/en/202891477357946101/IEQ-OCT-2016-ENG-web.pdf" TargetMode="External"/><Relationship Id="rId13" Type="http://schemas.openxmlformats.org/officeDocument/2006/relationships/hyperlink" Target="http://www.enterprise-development.org/measuring-results-the-dced-standard/" TargetMode="External"/><Relationship Id="rId18" Type="http://schemas.openxmlformats.org/officeDocument/2006/relationships/hyperlink" Target="http://dfat.gov.au/about-us/publications/Pages/environmental-policy.aspx" TargetMode="External"/><Relationship Id="rId26" Type="http://schemas.openxmlformats.org/officeDocument/2006/relationships/hyperlink" Target="http://aip-rural.or.id/uploads/publication_files/150810_Outreach_Cal_Module_NJF_ML1.pdf" TargetMode="External"/><Relationship Id="rId3" Type="http://schemas.openxmlformats.org/officeDocument/2006/relationships/hyperlink" Target="http://www.worldbank.org/en/news/feature/2015/04/23/the-double-burden-of-malnutrition-in-indonesia" TargetMode="External"/><Relationship Id="rId21" Type="http://schemas.openxmlformats.org/officeDocument/2006/relationships/hyperlink" Target="http://www.worldbank.org/en/country/indonesia/overview" TargetMode="External"/><Relationship Id="rId34" Type="http://schemas.openxmlformats.org/officeDocument/2006/relationships/hyperlink" Target="http://marketdevelopmentfacility.org/wp-content/uploads/2015/09/Womens-Economic-Empowerment.pdf" TargetMode="External"/><Relationship Id="rId7" Type="http://schemas.openxmlformats.org/officeDocument/2006/relationships/hyperlink" Target="https://data.worldbank.org/indicator/SL.AGR.EMPL.FE.ZS?locations=ID&amp;view=chart" TargetMode="External"/><Relationship Id="rId12" Type="http://schemas.openxmlformats.org/officeDocument/2006/relationships/hyperlink" Target="http://dfat.gov.au/aid/who-we-work-with/value-for-money-principles/Pages/value-for-money-principles.aspx" TargetMode="External"/><Relationship Id="rId17" Type="http://schemas.openxmlformats.org/officeDocument/2006/relationships/hyperlink" Target="http://www.springfieldcentre.com/wp-content/uploads/2012/11/M4P_WEE_Framework_Final.pdf" TargetMode="External"/><Relationship Id="rId25" Type="http://schemas.openxmlformats.org/officeDocument/2006/relationships/hyperlink" Target="http://aip-rural.or.id/index.php/media/detail/10" TargetMode="External"/><Relationship Id="rId33" Type="http://schemas.openxmlformats.org/officeDocument/2006/relationships/hyperlink" Target="http://www.springfieldcentre.com/wp-content/uploads/2012/11/M4P_WEE_Framework_Final.pdf" TargetMode="External"/><Relationship Id="rId2" Type="http://schemas.openxmlformats.org/officeDocument/2006/relationships/hyperlink" Target="http://www.worldbank.org/en/country/indonesia/overview" TargetMode="External"/><Relationship Id="rId16" Type="http://schemas.openxmlformats.org/officeDocument/2006/relationships/hyperlink" Target="https://dfat.gov.au/about-us/publications/Documents/operational-guidance-note-gender-equality-and-womens-economic-empowerment-in-agriculture.pdf" TargetMode="External"/><Relationship Id="rId20" Type="http://schemas.openxmlformats.org/officeDocument/2006/relationships/hyperlink" Target="http://databank.worldbank.org/data/reports.aspx?source=world-development-indicators" TargetMode="External"/><Relationship Id="rId29" Type="http://schemas.openxmlformats.org/officeDocument/2006/relationships/hyperlink" Target="https://dfat.gov.au/about-us/publications/Documents/operational-guidance-note-gender-equality-and-womens-economic-empowerment-in-agriculture.pdf" TargetMode="External"/><Relationship Id="rId1" Type="http://schemas.openxmlformats.org/officeDocument/2006/relationships/hyperlink" Target="http://databank.worldbank.org/data/reports.aspx?source=world-development-indicators" TargetMode="External"/><Relationship Id="rId6" Type="http://schemas.openxmlformats.org/officeDocument/2006/relationships/hyperlink" Target="http://documents.worldbank.org/curated/en/267671467991932516/pdf/106070-WP-PUBLIC-Indonesias-Rising-Divide-English.pdf" TargetMode="External"/><Relationship Id="rId11" Type="http://schemas.openxmlformats.org/officeDocument/2006/relationships/hyperlink" Target="http://dfat.gov.au/geo/indonesia/development-assistance/Pages/effective-economic-institutions-infrastructure-in-indonesia.aspx" TargetMode="External"/><Relationship Id="rId24" Type="http://schemas.openxmlformats.org/officeDocument/2006/relationships/hyperlink" Target="http://aip-rural.or.id/uploads/publication_files/PRISMA_Stft_Coffee_Government_the_Private_Sector_eng.pdf" TargetMode="External"/><Relationship Id="rId32" Type="http://schemas.openxmlformats.org/officeDocument/2006/relationships/hyperlink" Target="http://yfa.awid.org/wp-content/uploads/2010/03/life_after_mainstreaming.pdf" TargetMode="External"/><Relationship Id="rId37" Type="http://schemas.openxmlformats.org/officeDocument/2006/relationships/hyperlink" Target="https://beamexchange.org/uploads/filer_public/0d/50/0d5009be-faea-4b8c-b191-c40c6bde5394/weams_framework.pdf" TargetMode="External"/><Relationship Id="rId5" Type="http://schemas.openxmlformats.org/officeDocument/2006/relationships/hyperlink" Target="http://documents.worldbank.org/curated/en/267671467991932516/pdf/106070-WP-PUBLIC-Indonesias-Rising-Divide-English.pdf" TargetMode="External"/><Relationship Id="rId15" Type="http://schemas.openxmlformats.org/officeDocument/2006/relationships/hyperlink" Target="http://dfat.gov.au/about-us/publications/Pages/gender-equality-and-womens-empowerment-strategy.aspx" TargetMode="External"/><Relationship Id="rId23" Type="http://schemas.openxmlformats.org/officeDocument/2006/relationships/hyperlink" Target="http://dfat.gov.au/about-us/publications/Pages/indonesia-aid-program-performance-report-2016-17.aspx" TargetMode="External"/><Relationship Id="rId28" Type="http://schemas.openxmlformats.org/officeDocument/2006/relationships/hyperlink" Target="http://dfat.gov.au/about-us/publications/Pages/gender-equality-and-womens-empowerment-strategy.aspx" TargetMode="External"/><Relationship Id="rId36" Type="http://schemas.openxmlformats.org/officeDocument/2006/relationships/hyperlink" Target="http://www.icrw.org/files/publications/Understanding-measuring-womens-economic-empowerment.pdf" TargetMode="External"/><Relationship Id="rId10" Type="http://schemas.openxmlformats.org/officeDocument/2006/relationships/hyperlink" Target="http://www.springfieldcentre.com/wp-content/uploads/2014/09/2013-11-Who-wants-to-give-forever.pdf" TargetMode="External"/><Relationship Id="rId19" Type="http://schemas.openxmlformats.org/officeDocument/2006/relationships/hyperlink" Target="http://asean.org/storage/2012/05/ASEAN-GAHP-for-Animal-Welfare-and-Environmental-Sustainability-Module_final.pdf" TargetMode="External"/><Relationship Id="rId31" Type="http://schemas.openxmlformats.org/officeDocument/2006/relationships/hyperlink" Target="http://feedthefuture.gov/lp/womens-empowerment-agriculture-index" TargetMode="External"/><Relationship Id="rId4" Type="http://schemas.openxmlformats.org/officeDocument/2006/relationships/hyperlink" Target="http://data.worldbank.org/indicator/SL.UEM.TOTL.ZS?locations=ID" TargetMode="External"/><Relationship Id="rId9" Type="http://schemas.openxmlformats.org/officeDocument/2006/relationships/hyperlink" Target="https://beamexchange.org/guidance/m4pguide/" TargetMode="External"/><Relationship Id="rId14" Type="http://schemas.openxmlformats.org/officeDocument/2006/relationships/hyperlink" Target="http://dfat.gov.au/about-us/publications/Pages/indonesia-aid-program-performance-report-2016-17.aspx" TargetMode="External"/><Relationship Id="rId22" Type="http://schemas.openxmlformats.org/officeDocument/2006/relationships/hyperlink" Target="http://www.enterprise-development.org/measuring-results-the-dced-standard/" TargetMode="External"/><Relationship Id="rId27" Type="http://schemas.openxmlformats.org/officeDocument/2006/relationships/hyperlink" Target="https://dfat.gov.au/about-us/publications/Documents/monitoring-evaluation-standards.pdf" TargetMode="External"/><Relationship Id="rId30" Type="http://schemas.openxmlformats.org/officeDocument/2006/relationships/hyperlink" Target="http://www.springfieldcentre.com/wp-content/uploads/2012/11/M4P_WEE_Framework_Final.pdf" TargetMode="External"/><Relationship Id="rId35" Type="http://schemas.openxmlformats.org/officeDocument/2006/relationships/hyperlink" Target="http://dfat.gov.au/about-us/business-opportunities/tenders/Documents/gender-responsive-equitable-agriculture-and-tourism-program-vietnam-desig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0-03T10:05:04.547"/>
    </inkml:context>
    <inkml:brush xml:id="br0">
      <inkml:brushProperty name="width" value="0.02" units="cm"/>
      <inkml:brushProperty name="height" value="0.02" units="cm"/>
      <inkml:brushProperty name="color" value="#00B050"/>
      <inkml:brushProperty name="ignorePressure" value="1"/>
    </inkml:brush>
  </inkml:definitions>
  <inkml:trace contextRef="#ctx0" brushRef="#br0">16449 4411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10-03T10:05:04.548"/>
    </inkml:context>
    <inkml:brush xml:id="br0">
      <inkml:brushProperty name="width" value="0.02" units="cm"/>
      <inkml:brushProperty name="height" value="0.02" units="cm"/>
      <inkml:brushProperty name="color" value="#00B050"/>
      <inkml:brushProperty name="ignorePressure" value="1"/>
    </inkml:brush>
  </inkml:definitions>
  <inkml:trace contextRef="#ctx0" brushRef="#br0">16331 4366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ageKeywords xmlns="349e11ad-1311-4134-818c-bb844dbfed54"/>
    <ExpiryDate xmlns="349e11ad-1311-4134-818c-bb844dbfed54" xsi:nil="true"/>
    <OrganisationalUnit xmlns="349e11ad-1311-4134-818c-bb844dbfed54" xsi:nil="true"/>
    <PageDescription xmlns="349e11ad-1311-4134-818c-bb844dbfed54" xsi:nil="true"/>
    <PageAuthor xmlns="349e11ad-1311-4134-818c-bb844dbfed54">
      <UserInfo>
        <DisplayName/>
        <AccountId xsi:nil="true"/>
        <AccountType/>
      </UserInfo>
    </PageAuthor>
    <ReviewDate xmlns="349e11ad-1311-4134-818c-bb844dbfed54" xsi:nil="true"/>
    <TRIMReferenceNumber xmlns="349e11ad-1311-4134-818c-bb844dbfed54" xsi:nil="true"/>
    <ItemActive xmlns="23b8bd0e-8792-4ade-9a33-54492c012639">true</ItemActive>
  </documentManagement>
</p:properties>
</file>

<file path=customXml/item3.xml><?xml version="1.0" encoding="utf-8"?>
<ct:contentTypeSchema xmlns:ct="http://schemas.microsoft.com/office/2006/metadata/contentType" xmlns:ma="http://schemas.microsoft.com/office/2006/metadata/properties/metaAttributes" ct:_="" ma:_="" ma:contentTypeName="Intranet Document" ma:contentTypeID="0x01010068D47A3238F547F295FC4399B890905A000057D07EC2249C4CA112EDC6CF75835C" ma:contentTypeVersion="2" ma:contentTypeDescription="Intranet document content" ma:contentTypeScope="" ma:versionID="6c1b2bf41f1f98798367d2572a17bb79">
  <xsd:schema xmlns:xsd="http://www.w3.org/2001/XMLSchema" xmlns:xs="http://www.w3.org/2001/XMLSchema" xmlns:p="http://schemas.microsoft.com/office/2006/metadata/properties" xmlns:ns2="349e11ad-1311-4134-818c-bb844dbfed54" xmlns:ns3="23b8bd0e-8792-4ade-9a33-54492c012639" targetNamespace="http://schemas.microsoft.com/office/2006/metadata/properties" ma:root="true" ma:fieldsID="6d70b2d3ece71617e3d705845e75cdbe" ns2:_="" ns3:_="">
    <xsd:import namespace="349e11ad-1311-4134-818c-bb844dbfed54"/>
    <xsd:import namespace="23b8bd0e-8792-4ade-9a33-54492c012639"/>
    <xsd:element name="properties">
      <xsd:complexType>
        <xsd:sequence>
          <xsd:element name="documentManagement">
            <xsd:complexType>
              <xsd:all>
                <xsd:element ref="ns2:PageKeywords" minOccurs="0"/>
                <xsd:element ref="ns2:PageKeywordsID" minOccurs="0"/>
                <xsd:element ref="ns2:PageDescription" minOccurs="0"/>
                <xsd:element ref="ns3:ItemActive" minOccurs="0"/>
                <xsd:element ref="ns2:PageAuthor" minOccurs="0"/>
                <xsd:element ref="ns2:ReviewDate" minOccurs="0"/>
                <xsd:element ref="ns2:ExpiryDate" minOccurs="0"/>
                <xsd:element ref="ns2:TRIMReferenceNumber" minOccurs="0"/>
                <xsd:element ref="ns2:OrganisationalUnit" minOccurs="0"/>
                <xsd:element ref="ns2:OrgUnitAcronym" minOccurs="0"/>
                <xsd:element ref="ns2:OrgUnitHierarchy" minOccurs="0"/>
                <xsd:element ref="ns2:OrgUni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e11ad-1311-4134-818c-bb844dbfed54" elementFormDefault="qualified">
    <xsd:import namespace="http://schemas.microsoft.com/office/2006/documentManagement/types"/>
    <xsd:import namespace="http://schemas.microsoft.com/office/infopath/2007/PartnerControls"/>
    <xsd:element name="PageKeywords" ma:index="8" nillable="true" ma:displayName="Document Keywords" ma:description="A list of keywords that describe or categorise this content." ma:list="{eab2c9c2-b0b6-4ae5-8920-98e40a79bc84}" ma:internalName="PageKeywords" ma:showField="Title"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KeywordsID" ma:index="9" nillable="true" ma:displayName="Document Keywords ID" ma:hidden="true" ma:list="{9c550a34-8561-4159-9314-549d682ef06c}" ma:internalName="PageKeywordsID" ma:readOnly="true" ma:showField="ID"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Description" ma:index="10" nillable="true" ma:displayName="Document Description" ma:description="A description of the page content." ma:internalName="PageDescription">
      <xsd:simpleType>
        <xsd:restriction base="dms:Note">
          <xsd:maxLength value="255"/>
        </xsd:restriction>
      </xsd:simpleType>
    </xsd:element>
    <xsd:element name="PageAuthor" ma:index="12" nillable="true" ma:displayName="Document Author" ma:list="UserInfo" ma:SharePointGroup="0" ma:internalName="Page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13" nillable="true" ma:displayName="Review Date" ma:description="The date a content item is due to be reviewed." ma:format="DateOnly" ma:internalName="ReviewDate">
      <xsd:simpleType>
        <xsd:restriction base="dms:DateTime"/>
      </xsd:simpleType>
    </xsd:element>
    <xsd:element name="ExpiryDate" ma:index="14" nillable="true" ma:displayName="Expiry Date" ma:description="Identifies the date this content is due to expire." ma:format="DateOnly" ma:internalName="ExpiryDate">
      <xsd:simpleType>
        <xsd:restriction base="dms:DateTime"/>
      </xsd:simpleType>
    </xsd:element>
    <xsd:element name="TRIMReferenceNumber" ma:index="15" nillable="true" ma:displayName="TRIM Reference Number" ma:description="A TRIM document or container reference number." ma:internalName="TRIMReferenceNumber">
      <xsd:simpleType>
        <xsd:restriction base="dms:Text">
          <xsd:maxLength value="15"/>
        </xsd:restriction>
      </xsd:simpleType>
    </xsd:element>
    <xsd:element name="OrganisationalUnit" ma:index="16" nillable="true" ma:displayName="Organisational Unit" ma:description="Identifies the DFAT branch responsible for the associated content." ma:list="{1dbeb31a-adcd-4bd0-b7cd-7455aacb1af5}" ma:internalName="OrganisationalUnit" ma:showField="Title" ma:web="{349e11ad-1311-4134-818c-bb844dbfed54}">
      <xsd:simpleType>
        <xsd:restriction base="dms:Lookup"/>
      </xsd:simpleType>
    </xsd:element>
    <xsd:element name="OrgUnitAcronym" ma:index="17" nillable="true" ma:displayName="Organisational Unit:OrgUnitAcronym" ma:list="{473c9002-2f9a-44a9-9783-6a6e2cdff1ea}" ma:internalName="OrgUnitAcronym" ma:readOnly="true" ma:showField="DfatOrgUnitAcronym" ma:web="{349e11ad-1311-4134-818c-bb844dbfed54}">
      <xsd:simpleType>
        <xsd:restriction base="dms:Lookup"/>
      </xsd:simpleType>
    </xsd:element>
    <xsd:element name="OrgUnitHierarchy" ma:index="18" nillable="true" ma:displayName="Organisational Unit:OrgUnitHierarchy" ma:list="{473c9002-2f9a-44a9-9783-6a6e2cdff1ea}" ma:internalName="OrgUnitHierarchy" ma:readOnly="true" ma:showField="DfatOrgUnitHierarchy" ma:web="{349e11ad-1311-4134-818c-bb844dbfed54}">
      <xsd:simpleType>
        <xsd:restriction base="dms:Lookup"/>
      </xsd:simpleType>
    </xsd:element>
    <xsd:element name="OrgUnitType" ma:index="19" nillable="true" ma:displayName="Organisational Unit:OrgUnitType" ma:list="{473c9002-2f9a-44a9-9783-6a6e2cdff1ea}" ma:internalName="OrhUnitType" ma:readOnly="true" ma:showField="DfatOrgUnitType" ma:web="{349e11ad-1311-4134-818c-bb844dbfed5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3b8bd0e-8792-4ade-9a33-54492c012639" elementFormDefault="qualified">
    <xsd:import namespace="http://schemas.microsoft.com/office/2006/documentManagement/types"/>
    <xsd:import namespace="http://schemas.microsoft.com/office/infopath/2007/PartnerControls"/>
    <xsd:element name="ItemActive" ma:index="11" nillable="true" ma:displayName="Document Active" ma:default="1" ma:description="Identifies whether this value is currently used within the site." ma:internalName="ItemAct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5FEF3-636D-4AFE-BB07-37B6CE9B52EC}">
  <ds:schemaRefs>
    <ds:schemaRef ds:uri="http://schemas.microsoft.com/sharepoint/v3/contenttype/forms"/>
  </ds:schemaRefs>
</ds:datastoreItem>
</file>

<file path=customXml/itemProps2.xml><?xml version="1.0" encoding="utf-8"?>
<ds:datastoreItem xmlns:ds="http://schemas.openxmlformats.org/officeDocument/2006/customXml" ds:itemID="{C9A8F58C-A1DA-451C-AB0C-48E3DECE79D4}">
  <ds:schemaRefs>
    <ds:schemaRef ds:uri="http://schemas.microsoft.com/office/2006/documentManagement/types"/>
    <ds:schemaRef ds:uri="349e11ad-1311-4134-818c-bb844dbfed54"/>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infopath/2007/PartnerControls"/>
    <ds:schemaRef ds:uri="23b8bd0e-8792-4ade-9a33-54492c012639"/>
    <ds:schemaRef ds:uri="http://purl.org/dc/dcmitype/"/>
  </ds:schemaRefs>
</ds:datastoreItem>
</file>

<file path=customXml/itemProps3.xml><?xml version="1.0" encoding="utf-8"?>
<ds:datastoreItem xmlns:ds="http://schemas.openxmlformats.org/officeDocument/2006/customXml" ds:itemID="{579BE5CE-1DB2-4BC3-9F70-082EAD30C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e11ad-1311-4134-818c-bb844dbfed54"/>
    <ds:schemaRef ds:uri="23b8bd0e-8792-4ade-9a33-54492c012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C76524-F83B-4801-BB46-9EA51CF71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61B55ED4</Template>
  <TotalTime>282</TotalTime>
  <Pages>88</Pages>
  <Words>35541</Words>
  <Characters>202584</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Aid Fact Sheet - granite - single column</vt:lpstr>
    </vt:vector>
  </TitlesOfParts>
  <Company>Department of Foreign Affairs and Trade</Company>
  <LinksUpToDate>false</LinksUpToDate>
  <CharactersWithSpaces>237650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granite - single column</dc:title>
  <dc:creator>Ben</dc:creator>
  <cp:lastModifiedBy>Cook, Naomi</cp:lastModifiedBy>
  <cp:revision>21</cp:revision>
  <cp:lastPrinted>2017-11-24T08:04:00Z</cp:lastPrinted>
  <dcterms:created xsi:type="dcterms:W3CDTF">2017-11-16T06:11:00Z</dcterms:created>
  <dcterms:modified xsi:type="dcterms:W3CDTF">2017-11-24T08:05:00Z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35643721-da3a-4faf-a80b-d1bc31b28e32</vt:lpwstr>
  </property>
  <property fmtid="{D5CDD505-2E9C-101B-9397-08002B2CF9AE}" pid="3" name="ContentTypeId">
    <vt:lpwstr>0x01010068D47A3238F547F295FC4399B890905A000057D07EC2249C4CA112EDC6CF75835C</vt:lpwstr>
  </property>
  <property fmtid="{D5CDD505-2E9C-101B-9397-08002B2CF9AE}" pid="4" name="Alpha">
    <vt:lpwstr>Fact sheets - Aid</vt:lpwstr>
  </property>
  <property fmtid="{D5CDD505-2E9C-101B-9397-08002B2CF9AE}" pid="5" name="Order">
    <vt:r8>80000</vt:r8>
  </property>
  <property fmtid="{D5CDD505-2E9C-101B-9397-08002B2CF9AE}" pid="6" name="SEC">
    <vt:lpwstr>UNCLASSIFIED</vt:lpwstr>
  </property>
  <property fmtid="{D5CDD505-2E9C-101B-9397-08002B2CF9AE}" pid="7" name="DLM">
    <vt:lpwstr>No DLM</vt:lpwstr>
  </property>
</Properties>
</file>