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A09" w:rsidRPr="00EB4FEE" w:rsidRDefault="00794C57" w:rsidP="00BF6C52">
      <w:pPr>
        <w:spacing w:before="0" w:after="120" w:line="240" w:lineRule="auto"/>
        <w:jc w:val="center"/>
        <w:rPr>
          <w:rFonts w:asciiTheme="majorHAnsi" w:hAnsiTheme="majorHAnsi" w:cstheme="majorHAnsi"/>
          <w:b/>
          <w:color w:val="595959" w:themeColor="text1" w:themeTint="A6"/>
          <w:sz w:val="52"/>
          <w:szCs w:val="52"/>
        </w:rPr>
      </w:pPr>
      <w:bookmarkStart w:id="0" w:name="_Toc413078488"/>
      <w:r w:rsidRPr="00EB4FEE">
        <w:rPr>
          <w:rFonts w:asciiTheme="majorHAnsi" w:hAnsiTheme="majorHAnsi" w:cstheme="majorHAnsi"/>
          <w:b/>
          <w:color w:val="595959" w:themeColor="text1" w:themeTint="A6"/>
          <w:sz w:val="52"/>
          <w:szCs w:val="52"/>
        </w:rPr>
        <w:t>Investment Design</w:t>
      </w:r>
    </w:p>
    <w:p w:rsidR="00F6445A" w:rsidRPr="00EB4FEE" w:rsidRDefault="00F6445A" w:rsidP="00BF6C52">
      <w:pPr>
        <w:spacing w:before="0" w:after="120" w:line="240" w:lineRule="auto"/>
        <w:jc w:val="center"/>
        <w:rPr>
          <w:rFonts w:asciiTheme="majorHAnsi" w:hAnsiTheme="majorHAnsi" w:cstheme="majorHAnsi"/>
          <w:b/>
          <w:color w:val="595959" w:themeColor="text1" w:themeTint="A6"/>
          <w:sz w:val="52"/>
          <w:szCs w:val="52"/>
        </w:rPr>
      </w:pPr>
    </w:p>
    <w:p w:rsidR="00F6445A" w:rsidRPr="00EB4FEE" w:rsidRDefault="00F6445A" w:rsidP="00BF6C52">
      <w:pPr>
        <w:spacing w:before="0" w:after="120" w:line="240" w:lineRule="auto"/>
        <w:jc w:val="center"/>
        <w:rPr>
          <w:rFonts w:asciiTheme="majorHAnsi" w:hAnsiTheme="majorHAnsi" w:cstheme="majorHAnsi"/>
          <w:b/>
          <w:color w:val="595959" w:themeColor="text1" w:themeTint="A6"/>
          <w:sz w:val="52"/>
          <w:szCs w:val="52"/>
        </w:rPr>
      </w:pPr>
    </w:p>
    <w:p w:rsidR="00794C57" w:rsidRPr="00EB4FEE" w:rsidRDefault="004A4A09" w:rsidP="00BF6C52">
      <w:pPr>
        <w:spacing w:before="0" w:after="120" w:line="240" w:lineRule="auto"/>
        <w:jc w:val="center"/>
        <w:rPr>
          <w:rFonts w:asciiTheme="majorHAnsi" w:hAnsiTheme="majorHAnsi" w:cstheme="majorHAnsi"/>
          <w:b/>
          <w:color w:val="595959" w:themeColor="text1" w:themeTint="A6"/>
          <w:sz w:val="72"/>
          <w:szCs w:val="52"/>
        </w:rPr>
      </w:pPr>
      <w:r w:rsidRPr="00EB4FEE">
        <w:rPr>
          <w:rFonts w:asciiTheme="majorHAnsi" w:hAnsiTheme="majorHAnsi" w:cstheme="majorHAnsi"/>
          <w:b/>
          <w:color w:val="595959" w:themeColor="text1" w:themeTint="A6"/>
          <w:sz w:val="72"/>
          <w:szCs w:val="52"/>
        </w:rPr>
        <w:t>The Australia</w:t>
      </w:r>
      <w:r w:rsidR="00806CF3" w:rsidRPr="00EB4FEE">
        <w:rPr>
          <w:rFonts w:asciiTheme="majorHAnsi" w:hAnsiTheme="majorHAnsi" w:cstheme="majorHAnsi"/>
          <w:b/>
          <w:color w:val="595959" w:themeColor="text1" w:themeTint="A6"/>
          <w:sz w:val="72"/>
          <w:szCs w:val="52"/>
        </w:rPr>
        <w:t xml:space="preserve"> </w:t>
      </w:r>
      <w:r w:rsidRPr="00EB4FEE">
        <w:rPr>
          <w:rFonts w:asciiTheme="majorHAnsi" w:hAnsiTheme="majorHAnsi" w:cstheme="majorHAnsi"/>
          <w:b/>
          <w:color w:val="595959" w:themeColor="text1" w:themeTint="A6"/>
          <w:sz w:val="72"/>
          <w:szCs w:val="52"/>
        </w:rPr>
        <w:t>Indonesia Health Security Partnership (AIHSP)</w:t>
      </w:r>
      <w:bookmarkEnd w:id="0"/>
    </w:p>
    <w:p w:rsidR="004A4A09" w:rsidRPr="0043356C" w:rsidRDefault="004A4A09" w:rsidP="00BF6C52">
      <w:pPr>
        <w:pStyle w:val="BodyText"/>
        <w:spacing w:before="0" w:after="120" w:line="240" w:lineRule="auto"/>
        <w:rPr>
          <w:rFonts w:asciiTheme="majorHAnsi" w:hAnsiTheme="majorHAnsi" w:cstheme="majorHAnsi"/>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pPr>
    </w:p>
    <w:p w:rsidR="004A4A09" w:rsidRPr="0043356C" w:rsidRDefault="004A4A09" w:rsidP="00BF6C52">
      <w:pPr>
        <w:pStyle w:val="BodyText"/>
        <w:spacing w:before="0" w:after="120" w:line="240" w:lineRule="auto"/>
        <w:rPr>
          <w:rFonts w:asciiTheme="majorHAnsi" w:hAnsiTheme="majorHAnsi" w:cstheme="majorHAnsi"/>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pPr>
    </w:p>
    <w:p w:rsidR="00794C57" w:rsidRPr="0043356C" w:rsidRDefault="00794C57" w:rsidP="00BF6C52">
      <w:pPr>
        <w:pStyle w:val="BodyText"/>
        <w:spacing w:before="0" w:after="120" w:line="240" w:lineRule="auto"/>
        <w:rPr>
          <w:rFonts w:asciiTheme="majorHAnsi" w:hAnsiTheme="majorHAnsi" w:cstheme="majorHAnsi"/>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pPr>
    </w:p>
    <w:p w:rsidR="00F6445A" w:rsidRPr="0043356C" w:rsidRDefault="00F6445A" w:rsidP="00BF6C52">
      <w:pPr>
        <w:pStyle w:val="BodyText"/>
        <w:spacing w:before="0" w:after="120" w:line="240" w:lineRule="auto"/>
        <w:rPr>
          <w:rFonts w:asciiTheme="majorHAnsi" w:hAnsiTheme="majorHAnsi" w:cstheme="majorHAnsi"/>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pPr>
    </w:p>
    <w:p w:rsidR="00F6445A" w:rsidRPr="0043356C" w:rsidRDefault="00F6445A" w:rsidP="00BF6C52">
      <w:pPr>
        <w:pStyle w:val="BodyText"/>
        <w:spacing w:before="0" w:after="120" w:line="240" w:lineRule="auto"/>
        <w:rPr>
          <w:rFonts w:asciiTheme="majorHAnsi" w:hAnsiTheme="majorHAnsi" w:cstheme="majorHAnsi"/>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pPr>
    </w:p>
    <w:p w:rsidR="00F6445A" w:rsidRPr="0043356C" w:rsidRDefault="00F6445A" w:rsidP="00BF6C52">
      <w:pPr>
        <w:pStyle w:val="BodyText"/>
        <w:spacing w:before="0" w:after="120" w:line="240" w:lineRule="auto"/>
        <w:rPr>
          <w:rFonts w:asciiTheme="majorHAnsi" w:hAnsiTheme="majorHAnsi" w:cstheme="majorHAnsi"/>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pPr>
    </w:p>
    <w:p w:rsidR="00F6445A" w:rsidRPr="0043356C" w:rsidRDefault="00F6445A" w:rsidP="00BF6C52">
      <w:pPr>
        <w:pStyle w:val="BodyText"/>
        <w:spacing w:before="0" w:after="120" w:line="240" w:lineRule="auto"/>
        <w:rPr>
          <w:rFonts w:asciiTheme="majorHAnsi" w:hAnsiTheme="majorHAnsi" w:cstheme="majorHAnsi"/>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pPr>
    </w:p>
    <w:p w:rsidR="00F6445A" w:rsidRPr="0043356C" w:rsidRDefault="00F6445A" w:rsidP="00BF6C52">
      <w:pPr>
        <w:pStyle w:val="BodyText"/>
        <w:spacing w:before="0" w:after="120" w:line="240" w:lineRule="auto"/>
        <w:rPr>
          <w:rFonts w:asciiTheme="majorHAnsi" w:hAnsiTheme="majorHAnsi" w:cstheme="majorHAnsi"/>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pPr>
    </w:p>
    <w:p w:rsidR="00F6445A" w:rsidRPr="0043356C" w:rsidRDefault="00F6445A" w:rsidP="00BF6C52">
      <w:pPr>
        <w:pStyle w:val="BodyText"/>
        <w:spacing w:before="0" w:after="120" w:line="240" w:lineRule="auto"/>
        <w:rPr>
          <w:rFonts w:asciiTheme="majorHAnsi" w:hAnsiTheme="majorHAnsi" w:cstheme="majorHAnsi"/>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pPr>
    </w:p>
    <w:tbl>
      <w:tblPr>
        <w:tblpPr w:leftFromText="180" w:rightFromText="180" w:bottomFromText="160" w:vertAnchor="text" w:horzAnchor="margin" w:tblpXSpec="center" w:tblpY="225"/>
        <w:tblW w:w="983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9838"/>
      </w:tblGrid>
      <w:tr w:rsidR="00070E78" w:rsidRPr="0043356C" w:rsidTr="00070E78">
        <w:trPr>
          <w:cantSplit/>
          <w:trHeight w:val="289"/>
        </w:trPr>
        <w:tc>
          <w:tcPr>
            <w:tcW w:w="9838" w:type="dxa"/>
            <w:tcBorders>
              <w:top w:val="single" w:sz="4" w:space="0" w:color="808080"/>
              <w:left w:val="single" w:sz="4" w:space="0" w:color="808080"/>
              <w:bottom w:val="single" w:sz="4" w:space="0" w:color="808080"/>
              <w:right w:val="single" w:sz="4" w:space="0" w:color="808080"/>
            </w:tcBorders>
            <w:shd w:val="clear" w:color="auto" w:fill="C1E7E0" w:themeFill="accent1" w:themeFillTint="66"/>
            <w:hideMark/>
          </w:tcPr>
          <w:p w:rsidR="00070E78" w:rsidRPr="0043356C" w:rsidRDefault="00070E78" w:rsidP="00BF6C52">
            <w:pPr>
              <w:pStyle w:val="BodyText"/>
              <w:spacing w:before="0" w:after="120" w:line="240" w:lineRule="auto"/>
              <w:rPr>
                <w:rFonts w:asciiTheme="majorHAnsi" w:hAnsiTheme="majorHAnsi" w:cstheme="majorHAnsi"/>
                <w:b/>
                <w:i/>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pPr>
            <w:r w:rsidRPr="0043356C">
              <w:rPr>
                <w:rFonts w:asciiTheme="majorHAnsi" w:hAnsiTheme="majorHAnsi" w:cstheme="majorHAnsi"/>
                <w:b/>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Investment Design Title:</w:t>
            </w:r>
          </w:p>
        </w:tc>
      </w:tr>
      <w:tr w:rsidR="00070E78" w:rsidRPr="0043356C" w:rsidTr="00070E78">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E0F3EF" w:themeFill="accent1" w:themeFillTint="33"/>
            <w:tcMar>
              <w:top w:w="28" w:type="dxa"/>
              <w:left w:w="108" w:type="dxa"/>
              <w:bottom w:w="28" w:type="dxa"/>
              <w:right w:w="108" w:type="dxa"/>
            </w:tcMar>
            <w:hideMark/>
          </w:tcPr>
          <w:p w:rsidR="00070E78" w:rsidRPr="00CB527B" w:rsidRDefault="00070E78" w:rsidP="00BF6C52">
            <w:pPr>
              <w:pStyle w:val="BodyText"/>
              <w:spacing w:before="0" w:after="120" w:line="240" w:lineRule="auto"/>
              <w:rPr>
                <w:rFonts w:asciiTheme="majorHAnsi" w:hAnsiTheme="majorHAnsi" w:cstheme="majorHAnsi"/>
                <w:b/>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pPr>
            <w:r w:rsidRPr="00CB527B">
              <w:rPr>
                <w:rFonts w:asciiTheme="majorHAnsi" w:hAnsiTheme="majorHAnsi" w:cstheme="majorHAnsi"/>
                <w:b/>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Start date:</w:t>
            </w:r>
            <w:r w:rsidRPr="00CB527B">
              <w:rPr>
                <w:rFonts w:asciiTheme="majorHAnsi" w:hAnsiTheme="majorHAnsi" w:cstheme="majorHAnsi"/>
                <w:b/>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ab/>
            </w:r>
            <w:r w:rsidRPr="00CB527B">
              <w:rPr>
                <w:rFonts w:asciiTheme="majorHAnsi" w:hAnsiTheme="majorHAnsi" w:cstheme="majorHAnsi"/>
                <w:b/>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ab/>
              <w:t xml:space="preserve">End Date: </w:t>
            </w:r>
          </w:p>
        </w:tc>
      </w:tr>
      <w:tr w:rsidR="00070E78" w:rsidRPr="0043356C" w:rsidTr="00070E78">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E0F3EF" w:themeFill="accent1" w:themeFillTint="33"/>
            <w:tcMar>
              <w:top w:w="28" w:type="dxa"/>
              <w:left w:w="108" w:type="dxa"/>
              <w:bottom w:w="28" w:type="dxa"/>
              <w:right w:w="108" w:type="dxa"/>
            </w:tcMar>
            <w:hideMark/>
          </w:tcPr>
          <w:p w:rsidR="00070E78" w:rsidRPr="00597029" w:rsidRDefault="00070E78" w:rsidP="00BF6C52">
            <w:pPr>
              <w:pStyle w:val="BodyText"/>
              <w:spacing w:before="0" w:after="120" w:line="240" w:lineRule="auto"/>
              <w:rPr>
                <w:rFonts w:asciiTheme="majorHAnsi" w:hAnsiTheme="majorHAnsi" w:cstheme="majorHAnsi"/>
                <w:b/>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pPr>
            <w:r w:rsidRPr="00CB527B">
              <w:rPr>
                <w:rFonts w:asciiTheme="majorHAnsi" w:hAnsiTheme="majorHAnsi" w:cstheme="majorHAnsi"/>
                <w:b/>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 xml:space="preserve">Total proposed funding allocation: </w:t>
            </w:r>
            <w:r w:rsidRPr="00CB527B">
              <w:rPr>
                <w:rFonts w:asciiTheme="majorHAnsi" w:hAnsiTheme="majorHAnsi" w:cstheme="majorHAnsi"/>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 xml:space="preserve">$_______ </w:t>
            </w:r>
          </w:p>
        </w:tc>
      </w:tr>
      <w:tr w:rsidR="00070E78" w:rsidRPr="0043356C" w:rsidTr="00070E78">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E0F3EF" w:themeFill="accent1" w:themeFillTint="33"/>
            <w:tcMar>
              <w:top w:w="28" w:type="dxa"/>
              <w:left w:w="108" w:type="dxa"/>
              <w:bottom w:w="28" w:type="dxa"/>
              <w:right w:w="108" w:type="dxa"/>
            </w:tcMar>
            <w:hideMark/>
          </w:tcPr>
          <w:p w:rsidR="00070E78" w:rsidRPr="0043356C" w:rsidRDefault="00070E78" w:rsidP="00BF6C52">
            <w:pPr>
              <w:pStyle w:val="BodyText"/>
              <w:spacing w:before="0" w:after="120" w:line="240" w:lineRule="auto"/>
              <w:rPr>
                <w:rFonts w:asciiTheme="majorHAnsi" w:hAnsiTheme="majorHAnsi" w:cstheme="majorHAnsi"/>
                <w:b/>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pPr>
            <w:r w:rsidRPr="00CB527B">
              <w:rPr>
                <w:rFonts w:asciiTheme="majorHAnsi" w:hAnsiTheme="majorHAnsi" w:cstheme="majorHAnsi"/>
                <w:b/>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 xml:space="preserve">Investment Concept (IC) approved by: </w:t>
            </w:r>
            <w:r w:rsidRPr="00CB527B">
              <w:rPr>
                <w:rFonts w:asciiTheme="majorHAnsi" w:hAnsiTheme="majorHAnsi" w:cstheme="majorHAnsi"/>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&lt; Name&gt;</w:t>
            </w:r>
            <w:r w:rsidRPr="00597029">
              <w:rPr>
                <w:rFonts w:asciiTheme="majorHAnsi" w:hAnsiTheme="majorHAnsi" w:cstheme="majorHAnsi"/>
                <w:b/>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ab/>
              <w:t xml:space="preserve">                                       IC Endorsed by AIC: </w:t>
            </w:r>
            <w:r w:rsidRPr="0043356C">
              <w:rPr>
                <w:rFonts w:asciiTheme="majorHAnsi" w:hAnsiTheme="majorHAnsi" w:cstheme="majorHAnsi"/>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Yes/No/NA</w:t>
            </w:r>
          </w:p>
        </w:tc>
      </w:tr>
    </w:tbl>
    <w:tbl>
      <w:tblPr>
        <w:tblpPr w:leftFromText="180" w:rightFromText="180" w:vertAnchor="text" w:horzAnchor="margin" w:tblpXSpec="center" w:tblpY="225"/>
        <w:tblW w:w="983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9838"/>
      </w:tblGrid>
      <w:tr w:rsidR="00794C57" w:rsidRPr="0043356C" w:rsidTr="001B5632">
        <w:trPr>
          <w:cantSplit/>
          <w:trHeight w:val="289"/>
        </w:trPr>
        <w:tc>
          <w:tcPr>
            <w:tcW w:w="9838" w:type="dxa"/>
            <w:tcBorders>
              <w:bottom w:val="single" w:sz="4" w:space="0" w:color="808080"/>
            </w:tcBorders>
            <w:shd w:val="clear" w:color="auto" w:fill="C1E7E0" w:themeFill="accent1" w:themeFillTint="66"/>
          </w:tcPr>
          <w:p w:rsidR="00794C57" w:rsidRPr="00597029" w:rsidRDefault="0022191F" w:rsidP="001B2156">
            <w:pPr>
              <w:pStyle w:val="BodyText"/>
              <w:spacing w:before="0" w:after="120" w:line="240" w:lineRule="auto"/>
              <w:rPr>
                <w:rFonts w:asciiTheme="majorHAnsi" w:hAnsiTheme="majorHAnsi" w:cstheme="majorHAnsi"/>
                <w:b/>
                <w:i/>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pPr>
            <w:r w:rsidRPr="00CB527B">
              <w:rPr>
                <w:rFonts w:asciiTheme="majorHAnsi" w:hAnsiTheme="majorHAnsi" w:cstheme="majorHAnsi"/>
                <w:b/>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 xml:space="preserve">A: </w:t>
            </w:r>
            <w:r w:rsidR="00794C57" w:rsidRPr="00CB527B">
              <w:rPr>
                <w:rFonts w:asciiTheme="majorHAnsi" w:hAnsiTheme="majorHAnsi" w:cstheme="majorHAnsi"/>
                <w:b/>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 xml:space="preserve">Investment Design </w:t>
            </w:r>
            <w:r w:rsidR="004A4A09" w:rsidRPr="00597029">
              <w:rPr>
                <w:rFonts w:asciiTheme="majorHAnsi" w:hAnsiTheme="majorHAnsi" w:cstheme="majorHAnsi"/>
                <w:b/>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 xml:space="preserve">Title: </w:t>
            </w:r>
            <w:r w:rsidR="00320945" w:rsidRPr="00597029">
              <w:rPr>
                <w:rFonts w:asciiTheme="majorHAnsi" w:hAnsiTheme="majorHAnsi" w:cstheme="majorHAnsi"/>
                <w:b/>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The Australia</w:t>
            </w:r>
            <w:r w:rsidR="00806CF3">
              <w:rPr>
                <w:rFonts w:asciiTheme="majorHAnsi" w:hAnsiTheme="majorHAnsi" w:cstheme="majorHAnsi"/>
                <w:b/>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 xml:space="preserve"> </w:t>
            </w:r>
            <w:r w:rsidR="00320945" w:rsidRPr="00CB527B">
              <w:rPr>
                <w:rFonts w:asciiTheme="majorHAnsi" w:hAnsiTheme="majorHAnsi" w:cstheme="majorHAnsi"/>
                <w:b/>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Indonesia Health Security Partnership</w:t>
            </w:r>
            <w:r w:rsidR="00100146" w:rsidRPr="00597029">
              <w:rPr>
                <w:rFonts w:asciiTheme="majorHAnsi" w:hAnsiTheme="majorHAnsi" w:cstheme="majorHAnsi"/>
                <w:b/>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 xml:space="preserve"> (AIHSP)</w:t>
            </w:r>
          </w:p>
        </w:tc>
      </w:tr>
      <w:tr w:rsidR="00794C57" w:rsidRPr="0043356C" w:rsidTr="001B5632">
        <w:tblPrEx>
          <w:shd w:val="clear" w:color="auto" w:fill="FFFFFF"/>
          <w:tblCellMar>
            <w:top w:w="28" w:type="dxa"/>
            <w:bottom w:w="28" w:type="dxa"/>
          </w:tblCellMar>
        </w:tblPrEx>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E0F3EF" w:themeFill="accent1" w:themeFillTint="33"/>
          </w:tcPr>
          <w:p w:rsidR="00794C57" w:rsidRPr="0043356C" w:rsidRDefault="00320945" w:rsidP="006D5CB9">
            <w:pPr>
              <w:pStyle w:val="BodyText"/>
              <w:spacing w:before="0" w:after="120" w:line="240" w:lineRule="auto"/>
              <w:rPr>
                <w:rFonts w:asciiTheme="majorHAnsi" w:hAnsiTheme="majorHAnsi" w:cstheme="majorHAnsi"/>
                <w:b/>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pPr>
            <w:r w:rsidRPr="00CB527B">
              <w:rPr>
                <w:rFonts w:asciiTheme="majorHAnsi" w:hAnsiTheme="majorHAnsi" w:cstheme="majorHAnsi"/>
                <w:b/>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Proposed start date:</w:t>
            </w:r>
            <w:r w:rsidRPr="0043356C">
              <w:rPr>
                <w:rFonts w:asciiTheme="majorHAnsi" w:hAnsiTheme="majorHAnsi" w:cstheme="majorHAnsi"/>
                <w:b/>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ab/>
              <w:t xml:space="preserve">End Date: </w:t>
            </w:r>
          </w:p>
        </w:tc>
      </w:tr>
      <w:tr w:rsidR="00794C57" w:rsidRPr="0043356C" w:rsidTr="001B5632">
        <w:tblPrEx>
          <w:shd w:val="clear" w:color="auto" w:fill="FFFFFF"/>
          <w:tblCellMar>
            <w:top w:w="28" w:type="dxa"/>
            <w:bottom w:w="28" w:type="dxa"/>
          </w:tblCellMar>
        </w:tblPrEx>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E0F3EF" w:themeFill="accent1" w:themeFillTint="33"/>
          </w:tcPr>
          <w:p w:rsidR="00794C57" w:rsidRPr="0043356C" w:rsidRDefault="00794C57" w:rsidP="00BF6C52">
            <w:pPr>
              <w:pStyle w:val="BodyText"/>
              <w:spacing w:before="0" w:after="120" w:line="240" w:lineRule="auto"/>
              <w:rPr>
                <w:rFonts w:asciiTheme="majorHAnsi" w:hAnsiTheme="majorHAnsi" w:cstheme="majorHAnsi"/>
                <w:b/>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pPr>
            <w:r w:rsidRPr="00CB527B">
              <w:rPr>
                <w:rFonts w:asciiTheme="majorHAnsi" w:hAnsiTheme="majorHAnsi" w:cstheme="majorHAnsi"/>
                <w:b/>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 xml:space="preserve">Total proposed funding allocation: </w:t>
            </w:r>
            <w:r w:rsidR="00320945" w:rsidRPr="00EB4FEE">
              <w:rPr>
                <w:rFonts w:asciiTheme="majorHAnsi" w:hAnsiTheme="majorHAnsi" w:cstheme="majorHAnsi"/>
                <w:color w:val="595959" w:themeColor="text1" w:themeTint="A6"/>
              </w:rPr>
              <w:t>$</w:t>
            </w:r>
            <w:r w:rsidR="0046057C" w:rsidRPr="00EB4FEE">
              <w:rPr>
                <w:rFonts w:asciiTheme="majorHAnsi" w:hAnsiTheme="majorHAnsi" w:cstheme="majorHAnsi"/>
                <w:color w:val="595959" w:themeColor="text1" w:themeTint="A6"/>
              </w:rPr>
              <w:t>17.5</w:t>
            </w:r>
            <w:r w:rsidR="00320945" w:rsidRPr="00EB4FEE">
              <w:rPr>
                <w:rFonts w:asciiTheme="majorHAnsi" w:hAnsiTheme="majorHAnsi" w:cstheme="majorHAnsi"/>
                <w:color w:val="595959" w:themeColor="text1" w:themeTint="A6"/>
              </w:rPr>
              <w:t xml:space="preserve"> million over five years</w:t>
            </w:r>
          </w:p>
        </w:tc>
      </w:tr>
      <w:tr w:rsidR="00794C57" w:rsidRPr="0043356C" w:rsidTr="001B5632">
        <w:tblPrEx>
          <w:shd w:val="clear" w:color="auto" w:fill="FFFFFF"/>
          <w:tblCellMar>
            <w:top w:w="28" w:type="dxa"/>
            <w:bottom w:w="28" w:type="dxa"/>
          </w:tblCellMar>
        </w:tblPrEx>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E0F3EF" w:themeFill="accent1" w:themeFillTint="33"/>
          </w:tcPr>
          <w:p w:rsidR="00794C57" w:rsidRPr="0043356C" w:rsidRDefault="00794C57" w:rsidP="000975BE">
            <w:pPr>
              <w:pStyle w:val="BodyText"/>
              <w:spacing w:before="0" w:after="120" w:line="240" w:lineRule="auto"/>
              <w:rPr>
                <w:rFonts w:asciiTheme="majorHAnsi" w:hAnsiTheme="majorHAnsi" w:cstheme="majorHAnsi"/>
                <w:b/>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pPr>
            <w:r w:rsidRPr="00CB527B">
              <w:rPr>
                <w:rFonts w:asciiTheme="majorHAnsi" w:hAnsiTheme="majorHAnsi" w:cstheme="majorHAnsi"/>
                <w:b/>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 xml:space="preserve">Quality Assurance (QA) Completed: </w:t>
            </w:r>
            <w:r w:rsidR="0046057C" w:rsidRPr="00EB4FEE">
              <w:rPr>
                <w:rFonts w:asciiTheme="majorHAnsi" w:hAnsiTheme="majorHAnsi" w:cstheme="majorHAnsi"/>
                <w:color w:val="595959" w:themeColor="text1" w:themeTint="A6"/>
              </w:rPr>
              <w:t>Independent appraisal</w:t>
            </w:r>
            <w:r w:rsidR="00867A7B" w:rsidRPr="00EB4FEE">
              <w:rPr>
                <w:rFonts w:asciiTheme="majorHAnsi" w:hAnsiTheme="majorHAnsi" w:cstheme="majorHAnsi"/>
                <w:color w:val="595959" w:themeColor="text1" w:themeTint="A6"/>
              </w:rPr>
              <w:t xml:space="preserve"> (</w:t>
            </w:r>
            <w:r w:rsidR="000975BE" w:rsidRPr="00EB4FEE">
              <w:rPr>
                <w:rFonts w:asciiTheme="majorHAnsi" w:hAnsiTheme="majorHAnsi" w:cstheme="majorHAnsi"/>
                <w:color w:val="595959" w:themeColor="text1" w:themeTint="A6"/>
              </w:rPr>
              <w:t>completed</w:t>
            </w:r>
            <w:r w:rsidR="00867A7B" w:rsidRPr="00EB4FEE">
              <w:rPr>
                <w:rFonts w:asciiTheme="majorHAnsi" w:hAnsiTheme="majorHAnsi" w:cstheme="majorHAnsi"/>
                <w:color w:val="595959" w:themeColor="text1" w:themeTint="A6"/>
              </w:rPr>
              <w:t xml:space="preserve"> </w:t>
            </w:r>
            <w:r w:rsidR="000975BE" w:rsidRPr="00EB4FEE">
              <w:rPr>
                <w:rFonts w:asciiTheme="majorHAnsi" w:hAnsiTheme="majorHAnsi" w:cstheme="majorHAnsi"/>
                <w:color w:val="595959" w:themeColor="text1" w:themeTint="A6"/>
              </w:rPr>
              <w:t>26</w:t>
            </w:r>
            <w:r w:rsidR="00867A7B" w:rsidRPr="00EB4FEE">
              <w:rPr>
                <w:rFonts w:asciiTheme="majorHAnsi" w:hAnsiTheme="majorHAnsi" w:cstheme="majorHAnsi"/>
                <w:color w:val="595959" w:themeColor="text1" w:themeTint="A6"/>
              </w:rPr>
              <w:t xml:space="preserve"> Nov 2018)</w:t>
            </w:r>
          </w:p>
        </w:tc>
      </w:tr>
    </w:tbl>
    <w:p w:rsidR="004A4A09" w:rsidRPr="00CB527B" w:rsidRDefault="004A4A09">
      <w:pPr>
        <w:spacing w:before="0" w:after="120" w:line="240" w:lineRule="auto"/>
        <w:rPr>
          <w:rFonts w:asciiTheme="majorHAnsi" w:hAnsiTheme="majorHAnsi" w:cstheme="majorHAnsi"/>
          <w:color w:val="595959" w:themeColor="text1" w:themeTint="A6"/>
          <w:lang w:val="en-AU"/>
        </w:rPr>
      </w:pPr>
    </w:p>
    <w:p w:rsidR="004A4A09" w:rsidRPr="00CB527B" w:rsidRDefault="004A4A09" w:rsidP="00BF6C52">
      <w:pPr>
        <w:suppressAutoHyphens w:val="0"/>
        <w:spacing w:before="0" w:after="120" w:line="240" w:lineRule="auto"/>
        <w:rPr>
          <w:rFonts w:asciiTheme="majorHAnsi" w:hAnsiTheme="majorHAnsi" w:cstheme="majorHAnsi"/>
          <w:color w:val="595959" w:themeColor="text1" w:themeTint="A6"/>
          <w:lang w:val="en-AU"/>
        </w:rPr>
      </w:pPr>
      <w:r w:rsidRPr="00CB527B">
        <w:rPr>
          <w:rFonts w:asciiTheme="majorHAnsi" w:hAnsiTheme="majorHAnsi" w:cstheme="majorHAnsi"/>
          <w:color w:val="595959" w:themeColor="text1" w:themeTint="A6"/>
          <w:lang w:val="en-AU"/>
        </w:rPr>
        <w:br w:type="page"/>
      </w:r>
    </w:p>
    <w:p w:rsidR="00C51D70" w:rsidRDefault="00B11680">
      <w:pPr>
        <w:pStyle w:val="TOC1"/>
        <w:tabs>
          <w:tab w:val="right" w:leader="dot" w:pos="9016"/>
        </w:tabs>
        <w:rPr>
          <w:rFonts w:eastAsiaTheme="minorEastAsia" w:cstheme="minorBidi"/>
          <w:b w:val="0"/>
          <w:bCs w:val="0"/>
          <w:caps w:val="0"/>
          <w:noProof/>
          <w:color w:val="auto"/>
          <w:sz w:val="22"/>
          <w:szCs w:val="22"/>
          <w:lang w:val="en-AU" w:eastAsia="en-AU"/>
        </w:rPr>
      </w:pPr>
      <w:r w:rsidRPr="00CB527B">
        <w:rPr>
          <w:rFonts w:asciiTheme="majorHAnsi" w:hAnsiTheme="majorHAnsi" w:cstheme="majorHAnsi"/>
          <w:sz w:val="22"/>
          <w:szCs w:val="22"/>
        </w:rPr>
        <w:fldChar w:fldCharType="begin"/>
      </w:r>
      <w:r w:rsidRPr="0043356C">
        <w:rPr>
          <w:rFonts w:asciiTheme="majorHAnsi" w:hAnsiTheme="majorHAnsi" w:cstheme="majorHAnsi"/>
          <w:sz w:val="22"/>
          <w:szCs w:val="22"/>
        </w:rPr>
        <w:instrText xml:space="preserve"> TOC \o "1-3" \h \z \u </w:instrText>
      </w:r>
      <w:r w:rsidRPr="00CB527B">
        <w:rPr>
          <w:rFonts w:asciiTheme="majorHAnsi" w:hAnsiTheme="majorHAnsi" w:cstheme="majorHAnsi"/>
          <w:sz w:val="22"/>
          <w:szCs w:val="22"/>
        </w:rPr>
        <w:fldChar w:fldCharType="separate"/>
      </w:r>
      <w:hyperlink w:anchor="_Toc3296988" w:history="1">
        <w:r w:rsidR="00C51D70" w:rsidRPr="00BE77EE">
          <w:rPr>
            <w:rStyle w:val="Hyperlink"/>
            <w:rFonts w:cstheme="majorHAnsi"/>
            <w:noProof/>
          </w:rPr>
          <w:t>Abbreviations</w:t>
        </w:r>
        <w:r w:rsidR="00C51D70">
          <w:rPr>
            <w:noProof/>
            <w:webHidden/>
          </w:rPr>
          <w:tab/>
        </w:r>
        <w:r w:rsidR="00C51D70">
          <w:rPr>
            <w:noProof/>
            <w:webHidden/>
          </w:rPr>
          <w:fldChar w:fldCharType="begin"/>
        </w:r>
        <w:r w:rsidR="00C51D70">
          <w:rPr>
            <w:noProof/>
            <w:webHidden/>
          </w:rPr>
          <w:instrText xml:space="preserve"> PAGEREF _Toc3296988 \h </w:instrText>
        </w:r>
        <w:r w:rsidR="00C51D70">
          <w:rPr>
            <w:noProof/>
            <w:webHidden/>
          </w:rPr>
        </w:r>
        <w:r w:rsidR="00C51D70">
          <w:rPr>
            <w:noProof/>
            <w:webHidden/>
          </w:rPr>
          <w:fldChar w:fldCharType="separate"/>
        </w:r>
        <w:r w:rsidR="00C51D70">
          <w:rPr>
            <w:noProof/>
            <w:webHidden/>
          </w:rPr>
          <w:t>3</w:t>
        </w:r>
        <w:r w:rsidR="00C51D70">
          <w:rPr>
            <w:noProof/>
            <w:webHidden/>
          </w:rPr>
          <w:fldChar w:fldCharType="end"/>
        </w:r>
      </w:hyperlink>
    </w:p>
    <w:p w:rsidR="00C51D70" w:rsidRDefault="000345AB">
      <w:pPr>
        <w:pStyle w:val="TOC1"/>
        <w:tabs>
          <w:tab w:val="right" w:leader="dot" w:pos="9016"/>
        </w:tabs>
        <w:rPr>
          <w:rFonts w:eastAsiaTheme="minorEastAsia" w:cstheme="minorBidi"/>
          <w:b w:val="0"/>
          <w:bCs w:val="0"/>
          <w:caps w:val="0"/>
          <w:noProof/>
          <w:color w:val="auto"/>
          <w:sz w:val="22"/>
          <w:szCs w:val="22"/>
          <w:lang w:val="en-AU" w:eastAsia="en-AU"/>
        </w:rPr>
      </w:pPr>
      <w:hyperlink w:anchor="_Toc3296989" w:history="1">
        <w:r w:rsidR="00C51D70" w:rsidRPr="00BE77EE">
          <w:rPr>
            <w:rStyle w:val="Hyperlink"/>
            <w:rFonts w:cstheme="majorHAnsi"/>
            <w:noProof/>
          </w:rPr>
          <w:t>B: Executive Summary</w:t>
        </w:r>
        <w:r w:rsidR="00C51D70">
          <w:rPr>
            <w:noProof/>
            <w:webHidden/>
          </w:rPr>
          <w:tab/>
        </w:r>
        <w:r w:rsidR="00C51D70">
          <w:rPr>
            <w:noProof/>
            <w:webHidden/>
          </w:rPr>
          <w:fldChar w:fldCharType="begin"/>
        </w:r>
        <w:r w:rsidR="00C51D70">
          <w:rPr>
            <w:noProof/>
            <w:webHidden/>
          </w:rPr>
          <w:instrText xml:space="preserve"> PAGEREF _Toc3296989 \h </w:instrText>
        </w:r>
        <w:r w:rsidR="00C51D70">
          <w:rPr>
            <w:noProof/>
            <w:webHidden/>
          </w:rPr>
        </w:r>
        <w:r w:rsidR="00C51D70">
          <w:rPr>
            <w:noProof/>
            <w:webHidden/>
          </w:rPr>
          <w:fldChar w:fldCharType="separate"/>
        </w:r>
        <w:r w:rsidR="00C51D70">
          <w:rPr>
            <w:noProof/>
            <w:webHidden/>
          </w:rPr>
          <w:t>5</w:t>
        </w:r>
        <w:r w:rsidR="00C51D70">
          <w:rPr>
            <w:noProof/>
            <w:webHidden/>
          </w:rPr>
          <w:fldChar w:fldCharType="end"/>
        </w:r>
      </w:hyperlink>
    </w:p>
    <w:p w:rsidR="00C51D70" w:rsidRDefault="000345AB">
      <w:pPr>
        <w:pStyle w:val="TOC1"/>
        <w:tabs>
          <w:tab w:val="right" w:leader="dot" w:pos="9016"/>
        </w:tabs>
        <w:rPr>
          <w:rFonts w:eastAsiaTheme="minorEastAsia" w:cstheme="minorBidi"/>
          <w:b w:val="0"/>
          <w:bCs w:val="0"/>
          <w:caps w:val="0"/>
          <w:noProof/>
          <w:color w:val="auto"/>
          <w:sz w:val="22"/>
          <w:szCs w:val="22"/>
          <w:lang w:val="en-AU" w:eastAsia="en-AU"/>
        </w:rPr>
      </w:pPr>
      <w:hyperlink w:anchor="_Toc3296990" w:history="1">
        <w:r w:rsidR="00C51D70" w:rsidRPr="00BE77EE">
          <w:rPr>
            <w:rStyle w:val="Hyperlink"/>
            <w:rFonts w:cstheme="majorHAnsi"/>
            <w:noProof/>
          </w:rPr>
          <w:t>C: Analysis and Strategic Context</w:t>
        </w:r>
        <w:r w:rsidR="00C51D70">
          <w:rPr>
            <w:noProof/>
            <w:webHidden/>
          </w:rPr>
          <w:tab/>
        </w:r>
        <w:r w:rsidR="00C51D70">
          <w:rPr>
            <w:noProof/>
            <w:webHidden/>
          </w:rPr>
          <w:fldChar w:fldCharType="begin"/>
        </w:r>
        <w:r w:rsidR="00C51D70">
          <w:rPr>
            <w:noProof/>
            <w:webHidden/>
          </w:rPr>
          <w:instrText xml:space="preserve"> PAGEREF _Toc3296990 \h </w:instrText>
        </w:r>
        <w:r w:rsidR="00C51D70">
          <w:rPr>
            <w:noProof/>
            <w:webHidden/>
          </w:rPr>
        </w:r>
        <w:r w:rsidR="00C51D70">
          <w:rPr>
            <w:noProof/>
            <w:webHidden/>
          </w:rPr>
          <w:fldChar w:fldCharType="separate"/>
        </w:r>
        <w:r w:rsidR="00C51D70">
          <w:rPr>
            <w:noProof/>
            <w:webHidden/>
          </w:rPr>
          <w:t>6</w:t>
        </w:r>
        <w:r w:rsidR="00C51D70">
          <w:rPr>
            <w:noProof/>
            <w:webHidden/>
          </w:rPr>
          <w:fldChar w:fldCharType="end"/>
        </w:r>
      </w:hyperlink>
    </w:p>
    <w:p w:rsidR="00C51D70" w:rsidRDefault="000345AB">
      <w:pPr>
        <w:pStyle w:val="TOC2"/>
        <w:tabs>
          <w:tab w:val="right" w:leader="dot" w:pos="9016"/>
        </w:tabs>
        <w:rPr>
          <w:rFonts w:eastAsiaTheme="minorEastAsia" w:cstheme="minorBidi"/>
          <w:smallCaps w:val="0"/>
          <w:noProof/>
          <w:color w:val="auto"/>
          <w:sz w:val="22"/>
          <w:szCs w:val="22"/>
          <w:lang w:val="en-AU" w:eastAsia="en-AU"/>
        </w:rPr>
      </w:pPr>
      <w:hyperlink w:anchor="_Toc3296991" w:history="1">
        <w:r w:rsidR="00C51D70" w:rsidRPr="00BE77EE">
          <w:rPr>
            <w:rStyle w:val="Hyperlink"/>
            <w:rFonts w:cstheme="majorHAnsi"/>
            <w:noProof/>
            <w:lang w:val="en-US"/>
          </w:rPr>
          <w:t>Health security: a priority for the Australian Government</w:t>
        </w:r>
        <w:r w:rsidR="00C51D70">
          <w:rPr>
            <w:noProof/>
            <w:webHidden/>
          </w:rPr>
          <w:tab/>
        </w:r>
        <w:r w:rsidR="00C51D70">
          <w:rPr>
            <w:noProof/>
            <w:webHidden/>
          </w:rPr>
          <w:fldChar w:fldCharType="begin"/>
        </w:r>
        <w:r w:rsidR="00C51D70">
          <w:rPr>
            <w:noProof/>
            <w:webHidden/>
          </w:rPr>
          <w:instrText xml:space="preserve"> PAGEREF _Toc3296991 \h </w:instrText>
        </w:r>
        <w:r w:rsidR="00C51D70">
          <w:rPr>
            <w:noProof/>
            <w:webHidden/>
          </w:rPr>
        </w:r>
        <w:r w:rsidR="00C51D70">
          <w:rPr>
            <w:noProof/>
            <w:webHidden/>
          </w:rPr>
          <w:fldChar w:fldCharType="separate"/>
        </w:r>
        <w:r w:rsidR="00C51D70">
          <w:rPr>
            <w:noProof/>
            <w:webHidden/>
          </w:rPr>
          <w:t>7</w:t>
        </w:r>
        <w:r w:rsidR="00C51D70">
          <w:rPr>
            <w:noProof/>
            <w:webHidden/>
          </w:rPr>
          <w:fldChar w:fldCharType="end"/>
        </w:r>
      </w:hyperlink>
    </w:p>
    <w:p w:rsidR="00C51D70" w:rsidRDefault="000345AB">
      <w:pPr>
        <w:pStyle w:val="TOC2"/>
        <w:tabs>
          <w:tab w:val="right" w:leader="dot" w:pos="9016"/>
        </w:tabs>
        <w:rPr>
          <w:rFonts w:eastAsiaTheme="minorEastAsia" w:cstheme="minorBidi"/>
          <w:smallCaps w:val="0"/>
          <w:noProof/>
          <w:color w:val="auto"/>
          <w:sz w:val="22"/>
          <w:szCs w:val="22"/>
          <w:lang w:val="en-AU" w:eastAsia="en-AU"/>
        </w:rPr>
      </w:pPr>
      <w:hyperlink w:anchor="_Toc3296992" w:history="1">
        <w:r w:rsidR="00C51D70" w:rsidRPr="00BE77EE">
          <w:rPr>
            <w:rStyle w:val="Hyperlink"/>
            <w:rFonts w:cstheme="majorHAnsi"/>
            <w:noProof/>
            <w:lang w:val="en-US"/>
          </w:rPr>
          <w:t>Indonesia’s commitment to health security</w:t>
        </w:r>
        <w:r w:rsidR="00C51D70">
          <w:rPr>
            <w:noProof/>
            <w:webHidden/>
          </w:rPr>
          <w:tab/>
        </w:r>
        <w:r w:rsidR="00C51D70">
          <w:rPr>
            <w:noProof/>
            <w:webHidden/>
          </w:rPr>
          <w:fldChar w:fldCharType="begin"/>
        </w:r>
        <w:r w:rsidR="00C51D70">
          <w:rPr>
            <w:noProof/>
            <w:webHidden/>
          </w:rPr>
          <w:instrText xml:space="preserve"> PAGEREF _Toc3296992 \h </w:instrText>
        </w:r>
        <w:r w:rsidR="00C51D70">
          <w:rPr>
            <w:noProof/>
            <w:webHidden/>
          </w:rPr>
        </w:r>
        <w:r w:rsidR="00C51D70">
          <w:rPr>
            <w:noProof/>
            <w:webHidden/>
          </w:rPr>
          <w:fldChar w:fldCharType="separate"/>
        </w:r>
        <w:r w:rsidR="00C51D70">
          <w:rPr>
            <w:noProof/>
            <w:webHidden/>
          </w:rPr>
          <w:t>8</w:t>
        </w:r>
        <w:r w:rsidR="00C51D70">
          <w:rPr>
            <w:noProof/>
            <w:webHidden/>
          </w:rPr>
          <w:fldChar w:fldCharType="end"/>
        </w:r>
      </w:hyperlink>
    </w:p>
    <w:p w:rsidR="00C51D70" w:rsidRDefault="000345AB">
      <w:pPr>
        <w:pStyle w:val="TOC2"/>
        <w:tabs>
          <w:tab w:val="right" w:leader="dot" w:pos="9016"/>
        </w:tabs>
        <w:rPr>
          <w:rFonts w:eastAsiaTheme="minorEastAsia" w:cstheme="minorBidi"/>
          <w:smallCaps w:val="0"/>
          <w:noProof/>
          <w:color w:val="auto"/>
          <w:sz w:val="22"/>
          <w:szCs w:val="22"/>
          <w:lang w:val="en-AU" w:eastAsia="en-AU"/>
        </w:rPr>
      </w:pPr>
      <w:hyperlink w:anchor="_Toc3296993" w:history="1">
        <w:r w:rsidR="00C51D70" w:rsidRPr="00BE77EE">
          <w:rPr>
            <w:rStyle w:val="Hyperlink"/>
            <w:rFonts w:cstheme="majorHAnsi"/>
            <w:noProof/>
            <w:lang w:val="en-US"/>
          </w:rPr>
          <w:t>health security and universal health coverage</w:t>
        </w:r>
        <w:r w:rsidR="00C51D70">
          <w:rPr>
            <w:noProof/>
            <w:webHidden/>
          </w:rPr>
          <w:tab/>
        </w:r>
        <w:r w:rsidR="00C51D70">
          <w:rPr>
            <w:noProof/>
            <w:webHidden/>
          </w:rPr>
          <w:fldChar w:fldCharType="begin"/>
        </w:r>
        <w:r w:rsidR="00C51D70">
          <w:rPr>
            <w:noProof/>
            <w:webHidden/>
          </w:rPr>
          <w:instrText xml:space="preserve"> PAGEREF _Toc3296993 \h </w:instrText>
        </w:r>
        <w:r w:rsidR="00C51D70">
          <w:rPr>
            <w:noProof/>
            <w:webHidden/>
          </w:rPr>
        </w:r>
        <w:r w:rsidR="00C51D70">
          <w:rPr>
            <w:noProof/>
            <w:webHidden/>
          </w:rPr>
          <w:fldChar w:fldCharType="separate"/>
        </w:r>
        <w:r w:rsidR="00C51D70">
          <w:rPr>
            <w:noProof/>
            <w:webHidden/>
          </w:rPr>
          <w:t>10</w:t>
        </w:r>
        <w:r w:rsidR="00C51D70">
          <w:rPr>
            <w:noProof/>
            <w:webHidden/>
          </w:rPr>
          <w:fldChar w:fldCharType="end"/>
        </w:r>
      </w:hyperlink>
    </w:p>
    <w:p w:rsidR="00C51D70" w:rsidRDefault="000345AB">
      <w:pPr>
        <w:pStyle w:val="TOC2"/>
        <w:tabs>
          <w:tab w:val="right" w:leader="dot" w:pos="9016"/>
        </w:tabs>
        <w:rPr>
          <w:rFonts w:eastAsiaTheme="minorEastAsia" w:cstheme="minorBidi"/>
          <w:smallCaps w:val="0"/>
          <w:noProof/>
          <w:color w:val="auto"/>
          <w:sz w:val="22"/>
          <w:szCs w:val="22"/>
          <w:lang w:val="en-AU" w:eastAsia="en-AU"/>
        </w:rPr>
      </w:pPr>
      <w:hyperlink w:anchor="_Toc3296994" w:history="1">
        <w:r w:rsidR="00C51D70" w:rsidRPr="00BE77EE">
          <w:rPr>
            <w:rStyle w:val="Hyperlink"/>
            <w:rFonts w:cstheme="majorHAnsi"/>
            <w:noProof/>
            <w:lang w:val="en-US"/>
          </w:rPr>
          <w:t>Gender and disability inclusion in health security</w:t>
        </w:r>
        <w:r w:rsidR="00C51D70">
          <w:rPr>
            <w:noProof/>
            <w:webHidden/>
          </w:rPr>
          <w:tab/>
        </w:r>
        <w:r w:rsidR="00C51D70">
          <w:rPr>
            <w:noProof/>
            <w:webHidden/>
          </w:rPr>
          <w:fldChar w:fldCharType="begin"/>
        </w:r>
        <w:r w:rsidR="00C51D70">
          <w:rPr>
            <w:noProof/>
            <w:webHidden/>
          </w:rPr>
          <w:instrText xml:space="preserve"> PAGEREF _Toc3296994 \h </w:instrText>
        </w:r>
        <w:r w:rsidR="00C51D70">
          <w:rPr>
            <w:noProof/>
            <w:webHidden/>
          </w:rPr>
        </w:r>
        <w:r w:rsidR="00C51D70">
          <w:rPr>
            <w:noProof/>
            <w:webHidden/>
          </w:rPr>
          <w:fldChar w:fldCharType="separate"/>
        </w:r>
        <w:r w:rsidR="00C51D70">
          <w:rPr>
            <w:noProof/>
            <w:webHidden/>
          </w:rPr>
          <w:t>10</w:t>
        </w:r>
        <w:r w:rsidR="00C51D70">
          <w:rPr>
            <w:noProof/>
            <w:webHidden/>
          </w:rPr>
          <w:fldChar w:fldCharType="end"/>
        </w:r>
      </w:hyperlink>
    </w:p>
    <w:p w:rsidR="00C51D70" w:rsidRDefault="000345AB">
      <w:pPr>
        <w:pStyle w:val="TOC2"/>
        <w:tabs>
          <w:tab w:val="right" w:leader="dot" w:pos="9016"/>
        </w:tabs>
        <w:rPr>
          <w:rFonts w:eastAsiaTheme="minorEastAsia" w:cstheme="minorBidi"/>
          <w:smallCaps w:val="0"/>
          <w:noProof/>
          <w:color w:val="auto"/>
          <w:sz w:val="22"/>
          <w:szCs w:val="22"/>
          <w:lang w:val="en-AU" w:eastAsia="en-AU"/>
        </w:rPr>
      </w:pPr>
      <w:hyperlink w:anchor="_Toc3296995" w:history="1">
        <w:r w:rsidR="00C51D70" w:rsidRPr="00BE77EE">
          <w:rPr>
            <w:rStyle w:val="Hyperlink"/>
            <w:rFonts w:cstheme="majorHAnsi"/>
            <w:noProof/>
          </w:rPr>
          <w:t>Development Partners</w:t>
        </w:r>
        <w:r w:rsidR="00C51D70">
          <w:rPr>
            <w:noProof/>
            <w:webHidden/>
          </w:rPr>
          <w:tab/>
        </w:r>
        <w:r w:rsidR="00C51D70">
          <w:rPr>
            <w:noProof/>
            <w:webHidden/>
          </w:rPr>
          <w:fldChar w:fldCharType="begin"/>
        </w:r>
        <w:r w:rsidR="00C51D70">
          <w:rPr>
            <w:noProof/>
            <w:webHidden/>
          </w:rPr>
          <w:instrText xml:space="preserve"> PAGEREF _Toc3296995 \h </w:instrText>
        </w:r>
        <w:r w:rsidR="00C51D70">
          <w:rPr>
            <w:noProof/>
            <w:webHidden/>
          </w:rPr>
        </w:r>
        <w:r w:rsidR="00C51D70">
          <w:rPr>
            <w:noProof/>
            <w:webHidden/>
          </w:rPr>
          <w:fldChar w:fldCharType="separate"/>
        </w:r>
        <w:r w:rsidR="00C51D70">
          <w:rPr>
            <w:noProof/>
            <w:webHidden/>
          </w:rPr>
          <w:t>12</w:t>
        </w:r>
        <w:r w:rsidR="00C51D70">
          <w:rPr>
            <w:noProof/>
            <w:webHidden/>
          </w:rPr>
          <w:fldChar w:fldCharType="end"/>
        </w:r>
      </w:hyperlink>
    </w:p>
    <w:p w:rsidR="00C51D70" w:rsidRDefault="000345AB">
      <w:pPr>
        <w:pStyle w:val="TOC2"/>
        <w:tabs>
          <w:tab w:val="right" w:leader="dot" w:pos="9016"/>
        </w:tabs>
        <w:rPr>
          <w:rFonts w:eastAsiaTheme="minorEastAsia" w:cstheme="minorBidi"/>
          <w:smallCaps w:val="0"/>
          <w:noProof/>
          <w:color w:val="auto"/>
          <w:sz w:val="22"/>
          <w:szCs w:val="22"/>
          <w:lang w:val="en-AU" w:eastAsia="en-AU"/>
        </w:rPr>
      </w:pPr>
      <w:hyperlink w:anchor="_Toc3296996" w:history="1">
        <w:r w:rsidR="00C51D70" w:rsidRPr="00BE77EE">
          <w:rPr>
            <w:rStyle w:val="Hyperlink"/>
            <w:rFonts w:cstheme="majorHAnsi"/>
            <w:noProof/>
          </w:rPr>
          <w:t>Lessons Learned</w:t>
        </w:r>
        <w:r w:rsidR="00C51D70">
          <w:rPr>
            <w:noProof/>
            <w:webHidden/>
          </w:rPr>
          <w:tab/>
        </w:r>
        <w:r w:rsidR="00C51D70">
          <w:rPr>
            <w:noProof/>
            <w:webHidden/>
          </w:rPr>
          <w:fldChar w:fldCharType="begin"/>
        </w:r>
        <w:r w:rsidR="00C51D70">
          <w:rPr>
            <w:noProof/>
            <w:webHidden/>
          </w:rPr>
          <w:instrText xml:space="preserve"> PAGEREF _Toc3296996 \h </w:instrText>
        </w:r>
        <w:r w:rsidR="00C51D70">
          <w:rPr>
            <w:noProof/>
            <w:webHidden/>
          </w:rPr>
        </w:r>
        <w:r w:rsidR="00C51D70">
          <w:rPr>
            <w:noProof/>
            <w:webHidden/>
          </w:rPr>
          <w:fldChar w:fldCharType="separate"/>
        </w:r>
        <w:r w:rsidR="00C51D70">
          <w:rPr>
            <w:noProof/>
            <w:webHidden/>
          </w:rPr>
          <w:t>13</w:t>
        </w:r>
        <w:r w:rsidR="00C51D70">
          <w:rPr>
            <w:noProof/>
            <w:webHidden/>
          </w:rPr>
          <w:fldChar w:fldCharType="end"/>
        </w:r>
      </w:hyperlink>
    </w:p>
    <w:p w:rsidR="00C51D70" w:rsidRDefault="000345AB">
      <w:pPr>
        <w:pStyle w:val="TOC1"/>
        <w:tabs>
          <w:tab w:val="right" w:leader="dot" w:pos="9016"/>
        </w:tabs>
        <w:rPr>
          <w:rFonts w:eastAsiaTheme="minorEastAsia" w:cstheme="minorBidi"/>
          <w:b w:val="0"/>
          <w:bCs w:val="0"/>
          <w:caps w:val="0"/>
          <w:noProof/>
          <w:color w:val="auto"/>
          <w:sz w:val="22"/>
          <w:szCs w:val="22"/>
          <w:lang w:val="en-AU" w:eastAsia="en-AU"/>
        </w:rPr>
      </w:pPr>
      <w:hyperlink w:anchor="_Toc3296997" w:history="1">
        <w:r w:rsidR="00C51D70" w:rsidRPr="00BE77EE">
          <w:rPr>
            <w:rStyle w:val="Hyperlink"/>
            <w:rFonts w:cstheme="majorHAnsi"/>
            <w:noProof/>
          </w:rPr>
          <w:t>D: INVESTMENT DESCRIPTION</w:t>
        </w:r>
        <w:r w:rsidR="00C51D70">
          <w:rPr>
            <w:noProof/>
            <w:webHidden/>
          </w:rPr>
          <w:tab/>
        </w:r>
        <w:r w:rsidR="00C51D70">
          <w:rPr>
            <w:noProof/>
            <w:webHidden/>
          </w:rPr>
          <w:fldChar w:fldCharType="begin"/>
        </w:r>
        <w:r w:rsidR="00C51D70">
          <w:rPr>
            <w:noProof/>
            <w:webHidden/>
          </w:rPr>
          <w:instrText xml:space="preserve"> PAGEREF _Toc3296997 \h </w:instrText>
        </w:r>
        <w:r w:rsidR="00C51D70">
          <w:rPr>
            <w:noProof/>
            <w:webHidden/>
          </w:rPr>
        </w:r>
        <w:r w:rsidR="00C51D70">
          <w:rPr>
            <w:noProof/>
            <w:webHidden/>
          </w:rPr>
          <w:fldChar w:fldCharType="separate"/>
        </w:r>
        <w:r w:rsidR="00C51D70">
          <w:rPr>
            <w:noProof/>
            <w:webHidden/>
          </w:rPr>
          <w:t>16</w:t>
        </w:r>
        <w:r w:rsidR="00C51D70">
          <w:rPr>
            <w:noProof/>
            <w:webHidden/>
          </w:rPr>
          <w:fldChar w:fldCharType="end"/>
        </w:r>
      </w:hyperlink>
    </w:p>
    <w:p w:rsidR="00C51D70" w:rsidRDefault="000345AB">
      <w:pPr>
        <w:pStyle w:val="TOC2"/>
        <w:tabs>
          <w:tab w:val="right" w:leader="dot" w:pos="9016"/>
        </w:tabs>
        <w:rPr>
          <w:rFonts w:eastAsiaTheme="minorEastAsia" w:cstheme="minorBidi"/>
          <w:smallCaps w:val="0"/>
          <w:noProof/>
          <w:color w:val="auto"/>
          <w:sz w:val="22"/>
          <w:szCs w:val="22"/>
          <w:lang w:val="en-AU" w:eastAsia="en-AU"/>
        </w:rPr>
      </w:pPr>
      <w:hyperlink w:anchor="_Toc3296998" w:history="1">
        <w:r w:rsidR="00C51D70" w:rsidRPr="00BE77EE">
          <w:rPr>
            <w:rStyle w:val="Hyperlink"/>
            <w:rFonts w:cstheme="majorHAnsi"/>
            <w:noProof/>
          </w:rPr>
          <w:t>Logic and Expected Outcomes</w:t>
        </w:r>
        <w:r w:rsidR="00C51D70">
          <w:rPr>
            <w:noProof/>
            <w:webHidden/>
          </w:rPr>
          <w:tab/>
        </w:r>
        <w:r w:rsidR="00C51D70">
          <w:rPr>
            <w:noProof/>
            <w:webHidden/>
          </w:rPr>
          <w:fldChar w:fldCharType="begin"/>
        </w:r>
        <w:r w:rsidR="00C51D70">
          <w:rPr>
            <w:noProof/>
            <w:webHidden/>
          </w:rPr>
          <w:instrText xml:space="preserve"> PAGEREF _Toc3296998 \h </w:instrText>
        </w:r>
        <w:r w:rsidR="00C51D70">
          <w:rPr>
            <w:noProof/>
            <w:webHidden/>
          </w:rPr>
        </w:r>
        <w:r w:rsidR="00C51D70">
          <w:rPr>
            <w:noProof/>
            <w:webHidden/>
          </w:rPr>
          <w:fldChar w:fldCharType="separate"/>
        </w:r>
        <w:r w:rsidR="00C51D70">
          <w:rPr>
            <w:noProof/>
            <w:webHidden/>
          </w:rPr>
          <w:t>16</w:t>
        </w:r>
        <w:r w:rsidR="00C51D70">
          <w:rPr>
            <w:noProof/>
            <w:webHidden/>
          </w:rPr>
          <w:fldChar w:fldCharType="end"/>
        </w:r>
      </w:hyperlink>
    </w:p>
    <w:p w:rsidR="00C51D70" w:rsidRDefault="000345AB">
      <w:pPr>
        <w:pStyle w:val="TOC3"/>
        <w:tabs>
          <w:tab w:val="right" w:leader="dot" w:pos="9016"/>
        </w:tabs>
        <w:rPr>
          <w:rFonts w:eastAsiaTheme="minorEastAsia" w:cstheme="minorBidi"/>
          <w:i w:val="0"/>
          <w:iCs w:val="0"/>
          <w:noProof/>
          <w:color w:val="auto"/>
          <w:sz w:val="22"/>
          <w:szCs w:val="22"/>
          <w:lang w:val="en-AU" w:eastAsia="en-AU"/>
        </w:rPr>
      </w:pPr>
      <w:hyperlink w:anchor="_Toc3296999" w:history="1">
        <w:r w:rsidR="00C51D70" w:rsidRPr="00BE77EE">
          <w:rPr>
            <w:rStyle w:val="Hyperlink"/>
            <w:rFonts w:cstheme="majorHAnsi"/>
            <w:noProof/>
            <w:lang w:val="en-AU"/>
          </w:rPr>
          <w:t>Program Goal and End of Program Outcomes</w:t>
        </w:r>
        <w:r w:rsidR="00C51D70">
          <w:rPr>
            <w:noProof/>
            <w:webHidden/>
          </w:rPr>
          <w:tab/>
        </w:r>
        <w:r w:rsidR="00C51D70">
          <w:rPr>
            <w:noProof/>
            <w:webHidden/>
          </w:rPr>
          <w:fldChar w:fldCharType="begin"/>
        </w:r>
        <w:r w:rsidR="00C51D70">
          <w:rPr>
            <w:noProof/>
            <w:webHidden/>
          </w:rPr>
          <w:instrText xml:space="preserve"> PAGEREF _Toc3296999 \h </w:instrText>
        </w:r>
        <w:r w:rsidR="00C51D70">
          <w:rPr>
            <w:noProof/>
            <w:webHidden/>
          </w:rPr>
        </w:r>
        <w:r w:rsidR="00C51D70">
          <w:rPr>
            <w:noProof/>
            <w:webHidden/>
          </w:rPr>
          <w:fldChar w:fldCharType="separate"/>
        </w:r>
        <w:r w:rsidR="00C51D70">
          <w:rPr>
            <w:noProof/>
            <w:webHidden/>
          </w:rPr>
          <w:t>17</w:t>
        </w:r>
        <w:r w:rsidR="00C51D70">
          <w:rPr>
            <w:noProof/>
            <w:webHidden/>
          </w:rPr>
          <w:fldChar w:fldCharType="end"/>
        </w:r>
      </w:hyperlink>
    </w:p>
    <w:p w:rsidR="00C51D70" w:rsidRDefault="000345AB">
      <w:pPr>
        <w:pStyle w:val="TOC3"/>
        <w:tabs>
          <w:tab w:val="right" w:leader="dot" w:pos="9016"/>
        </w:tabs>
        <w:rPr>
          <w:rFonts w:eastAsiaTheme="minorEastAsia" w:cstheme="minorBidi"/>
          <w:i w:val="0"/>
          <w:iCs w:val="0"/>
          <w:noProof/>
          <w:color w:val="auto"/>
          <w:sz w:val="22"/>
          <w:szCs w:val="22"/>
          <w:lang w:val="en-AU" w:eastAsia="en-AU"/>
        </w:rPr>
      </w:pPr>
      <w:hyperlink w:anchor="_Toc3297000" w:history="1">
        <w:r w:rsidR="00C51D70" w:rsidRPr="00BE77EE">
          <w:rPr>
            <w:rStyle w:val="Hyperlink"/>
            <w:rFonts w:cstheme="majorHAnsi"/>
            <w:noProof/>
          </w:rPr>
          <w:t>Intermediate Outcomes</w:t>
        </w:r>
        <w:r w:rsidR="00C51D70">
          <w:rPr>
            <w:noProof/>
            <w:webHidden/>
          </w:rPr>
          <w:tab/>
        </w:r>
        <w:r w:rsidR="00C51D70">
          <w:rPr>
            <w:noProof/>
            <w:webHidden/>
          </w:rPr>
          <w:fldChar w:fldCharType="begin"/>
        </w:r>
        <w:r w:rsidR="00C51D70">
          <w:rPr>
            <w:noProof/>
            <w:webHidden/>
          </w:rPr>
          <w:instrText xml:space="preserve"> PAGEREF _Toc3297000 \h </w:instrText>
        </w:r>
        <w:r w:rsidR="00C51D70">
          <w:rPr>
            <w:noProof/>
            <w:webHidden/>
          </w:rPr>
        </w:r>
        <w:r w:rsidR="00C51D70">
          <w:rPr>
            <w:noProof/>
            <w:webHidden/>
          </w:rPr>
          <w:fldChar w:fldCharType="separate"/>
        </w:r>
        <w:r w:rsidR="00C51D70">
          <w:rPr>
            <w:noProof/>
            <w:webHidden/>
          </w:rPr>
          <w:t>17</w:t>
        </w:r>
        <w:r w:rsidR="00C51D70">
          <w:rPr>
            <w:noProof/>
            <w:webHidden/>
          </w:rPr>
          <w:fldChar w:fldCharType="end"/>
        </w:r>
      </w:hyperlink>
    </w:p>
    <w:p w:rsidR="00C51D70" w:rsidRDefault="000345AB">
      <w:pPr>
        <w:pStyle w:val="TOC3"/>
        <w:tabs>
          <w:tab w:val="right" w:leader="dot" w:pos="9016"/>
        </w:tabs>
        <w:rPr>
          <w:rFonts w:eastAsiaTheme="minorEastAsia" w:cstheme="minorBidi"/>
          <w:i w:val="0"/>
          <w:iCs w:val="0"/>
          <w:noProof/>
          <w:color w:val="auto"/>
          <w:sz w:val="22"/>
          <w:szCs w:val="22"/>
          <w:lang w:val="en-AU" w:eastAsia="en-AU"/>
        </w:rPr>
      </w:pPr>
      <w:hyperlink w:anchor="_Toc3297001" w:history="1">
        <w:r w:rsidR="00C51D70" w:rsidRPr="00BE77EE">
          <w:rPr>
            <w:rStyle w:val="Hyperlink"/>
            <w:rFonts w:eastAsia="Calibri" w:cstheme="majorHAnsi"/>
            <w:noProof/>
            <w:lang w:val="en-AU"/>
          </w:rPr>
          <w:t>Indicative Areas of Investment</w:t>
        </w:r>
        <w:r w:rsidR="00C51D70">
          <w:rPr>
            <w:noProof/>
            <w:webHidden/>
          </w:rPr>
          <w:tab/>
        </w:r>
        <w:r w:rsidR="00C51D70">
          <w:rPr>
            <w:noProof/>
            <w:webHidden/>
          </w:rPr>
          <w:fldChar w:fldCharType="begin"/>
        </w:r>
        <w:r w:rsidR="00C51D70">
          <w:rPr>
            <w:noProof/>
            <w:webHidden/>
          </w:rPr>
          <w:instrText xml:space="preserve"> PAGEREF _Toc3297001 \h </w:instrText>
        </w:r>
        <w:r w:rsidR="00C51D70">
          <w:rPr>
            <w:noProof/>
            <w:webHidden/>
          </w:rPr>
        </w:r>
        <w:r w:rsidR="00C51D70">
          <w:rPr>
            <w:noProof/>
            <w:webHidden/>
          </w:rPr>
          <w:fldChar w:fldCharType="separate"/>
        </w:r>
        <w:r w:rsidR="00C51D70">
          <w:rPr>
            <w:noProof/>
            <w:webHidden/>
          </w:rPr>
          <w:t>17</w:t>
        </w:r>
        <w:r w:rsidR="00C51D70">
          <w:rPr>
            <w:noProof/>
            <w:webHidden/>
          </w:rPr>
          <w:fldChar w:fldCharType="end"/>
        </w:r>
      </w:hyperlink>
    </w:p>
    <w:p w:rsidR="00C51D70" w:rsidRDefault="000345AB">
      <w:pPr>
        <w:pStyle w:val="TOC3"/>
        <w:tabs>
          <w:tab w:val="right" w:leader="dot" w:pos="9016"/>
        </w:tabs>
        <w:rPr>
          <w:rFonts w:eastAsiaTheme="minorEastAsia" w:cstheme="minorBidi"/>
          <w:i w:val="0"/>
          <w:iCs w:val="0"/>
          <w:noProof/>
          <w:color w:val="auto"/>
          <w:sz w:val="22"/>
          <w:szCs w:val="22"/>
          <w:lang w:val="en-AU" w:eastAsia="en-AU"/>
        </w:rPr>
      </w:pPr>
      <w:hyperlink w:anchor="_Toc3297002" w:history="1">
        <w:r w:rsidR="00C51D70" w:rsidRPr="00BE77EE">
          <w:rPr>
            <w:rStyle w:val="Hyperlink"/>
            <w:rFonts w:eastAsia="Calibri" w:cstheme="majorHAnsi"/>
            <w:noProof/>
            <w:lang w:val="en-AU"/>
          </w:rPr>
          <w:t>AIHSP First Year Activities</w:t>
        </w:r>
        <w:r w:rsidR="00C51D70">
          <w:rPr>
            <w:noProof/>
            <w:webHidden/>
          </w:rPr>
          <w:tab/>
        </w:r>
        <w:r w:rsidR="00C51D70">
          <w:rPr>
            <w:noProof/>
            <w:webHidden/>
          </w:rPr>
          <w:fldChar w:fldCharType="begin"/>
        </w:r>
        <w:r w:rsidR="00C51D70">
          <w:rPr>
            <w:noProof/>
            <w:webHidden/>
          </w:rPr>
          <w:instrText xml:space="preserve"> PAGEREF _Toc3297002 \h </w:instrText>
        </w:r>
        <w:r w:rsidR="00C51D70">
          <w:rPr>
            <w:noProof/>
            <w:webHidden/>
          </w:rPr>
        </w:r>
        <w:r w:rsidR="00C51D70">
          <w:rPr>
            <w:noProof/>
            <w:webHidden/>
          </w:rPr>
          <w:fldChar w:fldCharType="separate"/>
        </w:r>
        <w:r w:rsidR="00C51D70">
          <w:rPr>
            <w:noProof/>
            <w:webHidden/>
          </w:rPr>
          <w:t>21</w:t>
        </w:r>
        <w:r w:rsidR="00C51D70">
          <w:rPr>
            <w:noProof/>
            <w:webHidden/>
          </w:rPr>
          <w:fldChar w:fldCharType="end"/>
        </w:r>
      </w:hyperlink>
    </w:p>
    <w:p w:rsidR="00C51D70" w:rsidRDefault="000345AB">
      <w:pPr>
        <w:pStyle w:val="TOC3"/>
        <w:tabs>
          <w:tab w:val="right" w:leader="dot" w:pos="9016"/>
        </w:tabs>
        <w:rPr>
          <w:rFonts w:eastAsiaTheme="minorEastAsia" w:cstheme="minorBidi"/>
          <w:i w:val="0"/>
          <w:iCs w:val="0"/>
          <w:noProof/>
          <w:color w:val="auto"/>
          <w:sz w:val="22"/>
          <w:szCs w:val="22"/>
          <w:lang w:val="en-AU" w:eastAsia="en-AU"/>
        </w:rPr>
      </w:pPr>
      <w:hyperlink w:anchor="_Toc3297003" w:history="1">
        <w:r w:rsidR="00C51D70" w:rsidRPr="00BE77EE">
          <w:rPr>
            <w:rStyle w:val="Hyperlink"/>
            <w:rFonts w:eastAsia="Calibri" w:cstheme="majorHAnsi"/>
            <w:noProof/>
            <w:lang w:val="en-AU"/>
          </w:rPr>
          <w:t>Links/Complementary Activities with the IPCHS</w:t>
        </w:r>
        <w:r w:rsidR="00C51D70">
          <w:rPr>
            <w:noProof/>
            <w:webHidden/>
          </w:rPr>
          <w:tab/>
        </w:r>
        <w:r w:rsidR="00C51D70">
          <w:rPr>
            <w:noProof/>
            <w:webHidden/>
          </w:rPr>
          <w:fldChar w:fldCharType="begin"/>
        </w:r>
        <w:r w:rsidR="00C51D70">
          <w:rPr>
            <w:noProof/>
            <w:webHidden/>
          </w:rPr>
          <w:instrText xml:space="preserve"> PAGEREF _Toc3297003 \h </w:instrText>
        </w:r>
        <w:r w:rsidR="00C51D70">
          <w:rPr>
            <w:noProof/>
            <w:webHidden/>
          </w:rPr>
        </w:r>
        <w:r w:rsidR="00C51D70">
          <w:rPr>
            <w:noProof/>
            <w:webHidden/>
          </w:rPr>
          <w:fldChar w:fldCharType="separate"/>
        </w:r>
        <w:r w:rsidR="00C51D70">
          <w:rPr>
            <w:noProof/>
            <w:webHidden/>
          </w:rPr>
          <w:t>21</w:t>
        </w:r>
        <w:r w:rsidR="00C51D70">
          <w:rPr>
            <w:noProof/>
            <w:webHidden/>
          </w:rPr>
          <w:fldChar w:fldCharType="end"/>
        </w:r>
      </w:hyperlink>
    </w:p>
    <w:p w:rsidR="00C51D70" w:rsidRDefault="000345AB">
      <w:pPr>
        <w:pStyle w:val="TOC2"/>
        <w:tabs>
          <w:tab w:val="right" w:leader="dot" w:pos="9016"/>
        </w:tabs>
        <w:rPr>
          <w:rFonts w:eastAsiaTheme="minorEastAsia" w:cstheme="minorBidi"/>
          <w:smallCaps w:val="0"/>
          <w:noProof/>
          <w:color w:val="auto"/>
          <w:sz w:val="22"/>
          <w:szCs w:val="22"/>
          <w:lang w:val="en-AU" w:eastAsia="en-AU"/>
        </w:rPr>
      </w:pPr>
      <w:hyperlink w:anchor="_Toc3297004" w:history="1">
        <w:r w:rsidR="00C51D70" w:rsidRPr="00BE77EE">
          <w:rPr>
            <w:rStyle w:val="Hyperlink"/>
            <w:rFonts w:cstheme="majorHAnsi"/>
            <w:noProof/>
          </w:rPr>
          <w:t>Program Description</w:t>
        </w:r>
        <w:r w:rsidR="00C51D70">
          <w:rPr>
            <w:noProof/>
            <w:webHidden/>
          </w:rPr>
          <w:tab/>
        </w:r>
        <w:r w:rsidR="00C51D70">
          <w:rPr>
            <w:noProof/>
            <w:webHidden/>
          </w:rPr>
          <w:fldChar w:fldCharType="begin"/>
        </w:r>
        <w:r w:rsidR="00C51D70">
          <w:rPr>
            <w:noProof/>
            <w:webHidden/>
          </w:rPr>
          <w:instrText xml:space="preserve"> PAGEREF _Toc3297004 \h </w:instrText>
        </w:r>
        <w:r w:rsidR="00C51D70">
          <w:rPr>
            <w:noProof/>
            <w:webHidden/>
          </w:rPr>
        </w:r>
        <w:r w:rsidR="00C51D70">
          <w:rPr>
            <w:noProof/>
            <w:webHidden/>
          </w:rPr>
          <w:fldChar w:fldCharType="separate"/>
        </w:r>
        <w:r w:rsidR="00C51D70">
          <w:rPr>
            <w:noProof/>
            <w:webHidden/>
          </w:rPr>
          <w:t>22</w:t>
        </w:r>
        <w:r w:rsidR="00C51D70">
          <w:rPr>
            <w:noProof/>
            <w:webHidden/>
          </w:rPr>
          <w:fldChar w:fldCharType="end"/>
        </w:r>
      </w:hyperlink>
    </w:p>
    <w:p w:rsidR="00C51D70" w:rsidRDefault="000345AB">
      <w:pPr>
        <w:pStyle w:val="TOC2"/>
        <w:tabs>
          <w:tab w:val="right" w:leader="dot" w:pos="9016"/>
        </w:tabs>
        <w:rPr>
          <w:rFonts w:eastAsiaTheme="minorEastAsia" w:cstheme="minorBidi"/>
          <w:smallCaps w:val="0"/>
          <w:noProof/>
          <w:color w:val="auto"/>
          <w:sz w:val="22"/>
          <w:szCs w:val="22"/>
          <w:lang w:val="en-AU" w:eastAsia="en-AU"/>
        </w:rPr>
      </w:pPr>
      <w:hyperlink w:anchor="_Toc3297005" w:history="1">
        <w:r w:rsidR="00C51D70" w:rsidRPr="00BE77EE">
          <w:rPr>
            <w:rStyle w:val="Hyperlink"/>
            <w:rFonts w:eastAsia="Calibri" w:cstheme="majorHAnsi"/>
            <w:noProof/>
            <w:lang w:val="en-US"/>
          </w:rPr>
          <w:t>Delivery Approaches</w:t>
        </w:r>
        <w:r w:rsidR="00C51D70">
          <w:rPr>
            <w:noProof/>
            <w:webHidden/>
          </w:rPr>
          <w:tab/>
        </w:r>
        <w:r w:rsidR="00C51D70">
          <w:rPr>
            <w:noProof/>
            <w:webHidden/>
          </w:rPr>
          <w:fldChar w:fldCharType="begin"/>
        </w:r>
        <w:r w:rsidR="00C51D70">
          <w:rPr>
            <w:noProof/>
            <w:webHidden/>
          </w:rPr>
          <w:instrText xml:space="preserve"> PAGEREF _Toc3297005 \h </w:instrText>
        </w:r>
        <w:r w:rsidR="00C51D70">
          <w:rPr>
            <w:noProof/>
            <w:webHidden/>
          </w:rPr>
        </w:r>
        <w:r w:rsidR="00C51D70">
          <w:rPr>
            <w:noProof/>
            <w:webHidden/>
          </w:rPr>
          <w:fldChar w:fldCharType="separate"/>
        </w:r>
        <w:r w:rsidR="00C51D70">
          <w:rPr>
            <w:noProof/>
            <w:webHidden/>
          </w:rPr>
          <w:t>23</w:t>
        </w:r>
        <w:r w:rsidR="00C51D70">
          <w:rPr>
            <w:noProof/>
            <w:webHidden/>
          </w:rPr>
          <w:fldChar w:fldCharType="end"/>
        </w:r>
      </w:hyperlink>
    </w:p>
    <w:p w:rsidR="00C51D70" w:rsidRDefault="000345AB">
      <w:pPr>
        <w:pStyle w:val="TOC1"/>
        <w:tabs>
          <w:tab w:val="right" w:leader="dot" w:pos="9016"/>
        </w:tabs>
        <w:rPr>
          <w:rFonts w:eastAsiaTheme="minorEastAsia" w:cstheme="minorBidi"/>
          <w:b w:val="0"/>
          <w:bCs w:val="0"/>
          <w:caps w:val="0"/>
          <w:noProof/>
          <w:color w:val="auto"/>
          <w:sz w:val="22"/>
          <w:szCs w:val="22"/>
          <w:lang w:val="en-AU" w:eastAsia="en-AU"/>
        </w:rPr>
      </w:pPr>
      <w:hyperlink w:anchor="_Toc3297006" w:history="1">
        <w:r w:rsidR="00C51D70" w:rsidRPr="00BE77EE">
          <w:rPr>
            <w:rStyle w:val="Hyperlink"/>
            <w:rFonts w:cstheme="majorHAnsi"/>
            <w:noProof/>
          </w:rPr>
          <w:t>E: IMPLEMENTATION ARRANGEMENTS</w:t>
        </w:r>
        <w:r w:rsidR="00C51D70">
          <w:rPr>
            <w:noProof/>
            <w:webHidden/>
          </w:rPr>
          <w:tab/>
        </w:r>
        <w:r w:rsidR="00C51D70">
          <w:rPr>
            <w:noProof/>
            <w:webHidden/>
          </w:rPr>
          <w:fldChar w:fldCharType="begin"/>
        </w:r>
        <w:r w:rsidR="00C51D70">
          <w:rPr>
            <w:noProof/>
            <w:webHidden/>
          </w:rPr>
          <w:instrText xml:space="preserve"> PAGEREF _Toc3297006 \h </w:instrText>
        </w:r>
        <w:r w:rsidR="00C51D70">
          <w:rPr>
            <w:noProof/>
            <w:webHidden/>
          </w:rPr>
        </w:r>
        <w:r w:rsidR="00C51D70">
          <w:rPr>
            <w:noProof/>
            <w:webHidden/>
          </w:rPr>
          <w:fldChar w:fldCharType="separate"/>
        </w:r>
        <w:r w:rsidR="00C51D70">
          <w:rPr>
            <w:noProof/>
            <w:webHidden/>
          </w:rPr>
          <w:t>24</w:t>
        </w:r>
        <w:r w:rsidR="00C51D70">
          <w:rPr>
            <w:noProof/>
            <w:webHidden/>
          </w:rPr>
          <w:fldChar w:fldCharType="end"/>
        </w:r>
      </w:hyperlink>
    </w:p>
    <w:p w:rsidR="00C51D70" w:rsidRDefault="000345AB">
      <w:pPr>
        <w:pStyle w:val="TOC2"/>
        <w:tabs>
          <w:tab w:val="right" w:leader="dot" w:pos="9016"/>
        </w:tabs>
        <w:rPr>
          <w:rFonts w:eastAsiaTheme="minorEastAsia" w:cstheme="minorBidi"/>
          <w:smallCaps w:val="0"/>
          <w:noProof/>
          <w:color w:val="auto"/>
          <w:sz w:val="22"/>
          <w:szCs w:val="22"/>
          <w:lang w:val="en-AU" w:eastAsia="en-AU"/>
        </w:rPr>
      </w:pPr>
      <w:hyperlink w:anchor="_Toc3297007" w:history="1">
        <w:r w:rsidR="00C51D70" w:rsidRPr="00BE77EE">
          <w:rPr>
            <w:rStyle w:val="Hyperlink"/>
            <w:rFonts w:cstheme="majorHAnsi"/>
            <w:noProof/>
            <w:lang w:val="en-US"/>
          </w:rPr>
          <w:t>Governance and Implementation Arrangements</w:t>
        </w:r>
        <w:r w:rsidR="00C51D70">
          <w:rPr>
            <w:noProof/>
            <w:webHidden/>
          </w:rPr>
          <w:tab/>
        </w:r>
        <w:r w:rsidR="00C51D70">
          <w:rPr>
            <w:noProof/>
            <w:webHidden/>
          </w:rPr>
          <w:fldChar w:fldCharType="begin"/>
        </w:r>
        <w:r w:rsidR="00C51D70">
          <w:rPr>
            <w:noProof/>
            <w:webHidden/>
          </w:rPr>
          <w:instrText xml:space="preserve"> PAGEREF _Toc3297007 \h </w:instrText>
        </w:r>
        <w:r w:rsidR="00C51D70">
          <w:rPr>
            <w:noProof/>
            <w:webHidden/>
          </w:rPr>
        </w:r>
        <w:r w:rsidR="00C51D70">
          <w:rPr>
            <w:noProof/>
            <w:webHidden/>
          </w:rPr>
          <w:fldChar w:fldCharType="separate"/>
        </w:r>
        <w:r w:rsidR="00C51D70">
          <w:rPr>
            <w:noProof/>
            <w:webHidden/>
          </w:rPr>
          <w:t>24</w:t>
        </w:r>
        <w:r w:rsidR="00C51D70">
          <w:rPr>
            <w:noProof/>
            <w:webHidden/>
          </w:rPr>
          <w:fldChar w:fldCharType="end"/>
        </w:r>
      </w:hyperlink>
    </w:p>
    <w:p w:rsidR="00C51D70" w:rsidRDefault="000345AB">
      <w:pPr>
        <w:pStyle w:val="TOC2"/>
        <w:tabs>
          <w:tab w:val="right" w:leader="dot" w:pos="9016"/>
        </w:tabs>
        <w:rPr>
          <w:rFonts w:eastAsiaTheme="minorEastAsia" w:cstheme="minorBidi"/>
          <w:smallCaps w:val="0"/>
          <w:noProof/>
          <w:color w:val="auto"/>
          <w:sz w:val="22"/>
          <w:szCs w:val="22"/>
          <w:lang w:val="en-AU" w:eastAsia="en-AU"/>
        </w:rPr>
      </w:pPr>
      <w:hyperlink w:anchor="_Toc3297008" w:history="1">
        <w:r w:rsidR="00C51D70" w:rsidRPr="00BE77EE">
          <w:rPr>
            <w:rStyle w:val="Hyperlink"/>
            <w:rFonts w:eastAsia="Calibri" w:cstheme="majorHAnsi"/>
            <w:noProof/>
            <w:lang w:val="en-US"/>
          </w:rPr>
          <w:t>Budget</w:t>
        </w:r>
        <w:r w:rsidR="00C51D70">
          <w:rPr>
            <w:noProof/>
            <w:webHidden/>
          </w:rPr>
          <w:tab/>
        </w:r>
        <w:r w:rsidR="00C51D70">
          <w:rPr>
            <w:noProof/>
            <w:webHidden/>
          </w:rPr>
          <w:fldChar w:fldCharType="begin"/>
        </w:r>
        <w:r w:rsidR="00C51D70">
          <w:rPr>
            <w:noProof/>
            <w:webHidden/>
          </w:rPr>
          <w:instrText xml:space="preserve"> PAGEREF _Toc3297008 \h </w:instrText>
        </w:r>
        <w:r w:rsidR="00C51D70">
          <w:rPr>
            <w:noProof/>
            <w:webHidden/>
          </w:rPr>
        </w:r>
        <w:r w:rsidR="00C51D70">
          <w:rPr>
            <w:noProof/>
            <w:webHidden/>
          </w:rPr>
          <w:fldChar w:fldCharType="separate"/>
        </w:r>
        <w:r w:rsidR="00C51D70">
          <w:rPr>
            <w:noProof/>
            <w:webHidden/>
          </w:rPr>
          <w:t>28</w:t>
        </w:r>
        <w:r w:rsidR="00C51D70">
          <w:rPr>
            <w:noProof/>
            <w:webHidden/>
          </w:rPr>
          <w:fldChar w:fldCharType="end"/>
        </w:r>
      </w:hyperlink>
    </w:p>
    <w:p w:rsidR="00C51D70" w:rsidRDefault="000345AB">
      <w:pPr>
        <w:pStyle w:val="TOC2"/>
        <w:tabs>
          <w:tab w:val="right" w:leader="dot" w:pos="9016"/>
        </w:tabs>
        <w:rPr>
          <w:rFonts w:eastAsiaTheme="minorEastAsia" w:cstheme="minorBidi"/>
          <w:smallCaps w:val="0"/>
          <w:noProof/>
          <w:color w:val="auto"/>
          <w:sz w:val="22"/>
          <w:szCs w:val="22"/>
          <w:lang w:val="en-AU" w:eastAsia="en-AU"/>
        </w:rPr>
      </w:pPr>
      <w:hyperlink w:anchor="_Toc3297009" w:history="1">
        <w:r w:rsidR="00C51D70" w:rsidRPr="00BE77EE">
          <w:rPr>
            <w:rStyle w:val="Hyperlink"/>
            <w:rFonts w:eastAsia="Calibri" w:cstheme="majorHAnsi"/>
            <w:noProof/>
            <w:lang w:val="en-US"/>
          </w:rPr>
          <w:t>Management arrangements</w:t>
        </w:r>
        <w:r w:rsidR="00C51D70">
          <w:rPr>
            <w:noProof/>
            <w:webHidden/>
          </w:rPr>
          <w:tab/>
        </w:r>
        <w:r w:rsidR="00C51D70">
          <w:rPr>
            <w:noProof/>
            <w:webHidden/>
          </w:rPr>
          <w:fldChar w:fldCharType="begin"/>
        </w:r>
        <w:r w:rsidR="00C51D70">
          <w:rPr>
            <w:noProof/>
            <w:webHidden/>
          </w:rPr>
          <w:instrText xml:space="preserve"> PAGEREF _Toc3297009 \h </w:instrText>
        </w:r>
        <w:r w:rsidR="00C51D70">
          <w:rPr>
            <w:noProof/>
            <w:webHidden/>
          </w:rPr>
        </w:r>
        <w:r w:rsidR="00C51D70">
          <w:rPr>
            <w:noProof/>
            <w:webHidden/>
          </w:rPr>
          <w:fldChar w:fldCharType="separate"/>
        </w:r>
        <w:r w:rsidR="00C51D70">
          <w:rPr>
            <w:noProof/>
            <w:webHidden/>
          </w:rPr>
          <w:t>28</w:t>
        </w:r>
        <w:r w:rsidR="00C51D70">
          <w:rPr>
            <w:noProof/>
            <w:webHidden/>
          </w:rPr>
          <w:fldChar w:fldCharType="end"/>
        </w:r>
      </w:hyperlink>
    </w:p>
    <w:p w:rsidR="00C51D70" w:rsidRDefault="000345AB">
      <w:pPr>
        <w:pStyle w:val="TOC2"/>
        <w:tabs>
          <w:tab w:val="right" w:leader="dot" w:pos="9016"/>
        </w:tabs>
        <w:rPr>
          <w:rFonts w:eastAsiaTheme="minorEastAsia" w:cstheme="minorBidi"/>
          <w:smallCaps w:val="0"/>
          <w:noProof/>
          <w:color w:val="auto"/>
          <w:sz w:val="22"/>
          <w:szCs w:val="22"/>
          <w:lang w:val="en-AU" w:eastAsia="en-AU"/>
        </w:rPr>
      </w:pPr>
      <w:hyperlink w:anchor="_Toc3297010" w:history="1">
        <w:r w:rsidR="00C51D70" w:rsidRPr="00BE77EE">
          <w:rPr>
            <w:rStyle w:val="Hyperlink"/>
            <w:rFonts w:eastAsia="Calibri" w:cstheme="majorHAnsi"/>
            <w:noProof/>
            <w:lang w:val="en-US"/>
          </w:rPr>
          <w:t>Human Resources/Staffing</w:t>
        </w:r>
        <w:r w:rsidR="00C51D70">
          <w:rPr>
            <w:noProof/>
            <w:webHidden/>
          </w:rPr>
          <w:tab/>
        </w:r>
        <w:r w:rsidR="00C51D70">
          <w:rPr>
            <w:noProof/>
            <w:webHidden/>
          </w:rPr>
          <w:fldChar w:fldCharType="begin"/>
        </w:r>
        <w:r w:rsidR="00C51D70">
          <w:rPr>
            <w:noProof/>
            <w:webHidden/>
          </w:rPr>
          <w:instrText xml:space="preserve"> PAGEREF _Toc3297010 \h </w:instrText>
        </w:r>
        <w:r w:rsidR="00C51D70">
          <w:rPr>
            <w:noProof/>
            <w:webHidden/>
          </w:rPr>
        </w:r>
        <w:r w:rsidR="00C51D70">
          <w:rPr>
            <w:noProof/>
            <w:webHidden/>
          </w:rPr>
          <w:fldChar w:fldCharType="separate"/>
        </w:r>
        <w:r w:rsidR="00C51D70">
          <w:rPr>
            <w:noProof/>
            <w:webHidden/>
          </w:rPr>
          <w:t>29</w:t>
        </w:r>
        <w:r w:rsidR="00C51D70">
          <w:rPr>
            <w:noProof/>
            <w:webHidden/>
          </w:rPr>
          <w:fldChar w:fldCharType="end"/>
        </w:r>
      </w:hyperlink>
    </w:p>
    <w:p w:rsidR="00C51D70" w:rsidRDefault="000345AB">
      <w:pPr>
        <w:pStyle w:val="TOC2"/>
        <w:tabs>
          <w:tab w:val="right" w:leader="dot" w:pos="9016"/>
        </w:tabs>
        <w:rPr>
          <w:rFonts w:eastAsiaTheme="minorEastAsia" w:cstheme="minorBidi"/>
          <w:smallCaps w:val="0"/>
          <w:noProof/>
          <w:color w:val="auto"/>
          <w:sz w:val="22"/>
          <w:szCs w:val="22"/>
          <w:lang w:val="en-AU" w:eastAsia="en-AU"/>
        </w:rPr>
      </w:pPr>
      <w:hyperlink w:anchor="_Toc3297011" w:history="1">
        <w:r w:rsidR="00C51D70" w:rsidRPr="00BE77EE">
          <w:rPr>
            <w:rStyle w:val="Hyperlink"/>
            <w:rFonts w:eastAsia="Calibri" w:cstheme="majorHAnsi"/>
            <w:noProof/>
            <w:lang w:val="en-US"/>
          </w:rPr>
          <w:t>Communications and Reporting</w:t>
        </w:r>
        <w:r w:rsidR="00C51D70">
          <w:rPr>
            <w:noProof/>
            <w:webHidden/>
          </w:rPr>
          <w:tab/>
        </w:r>
        <w:r w:rsidR="00C51D70">
          <w:rPr>
            <w:noProof/>
            <w:webHidden/>
          </w:rPr>
          <w:fldChar w:fldCharType="begin"/>
        </w:r>
        <w:r w:rsidR="00C51D70">
          <w:rPr>
            <w:noProof/>
            <w:webHidden/>
          </w:rPr>
          <w:instrText xml:space="preserve"> PAGEREF _Toc3297011 \h </w:instrText>
        </w:r>
        <w:r w:rsidR="00C51D70">
          <w:rPr>
            <w:noProof/>
            <w:webHidden/>
          </w:rPr>
        </w:r>
        <w:r w:rsidR="00C51D70">
          <w:rPr>
            <w:noProof/>
            <w:webHidden/>
          </w:rPr>
          <w:fldChar w:fldCharType="separate"/>
        </w:r>
        <w:r w:rsidR="00C51D70">
          <w:rPr>
            <w:noProof/>
            <w:webHidden/>
          </w:rPr>
          <w:t>29</w:t>
        </w:r>
        <w:r w:rsidR="00C51D70">
          <w:rPr>
            <w:noProof/>
            <w:webHidden/>
          </w:rPr>
          <w:fldChar w:fldCharType="end"/>
        </w:r>
      </w:hyperlink>
    </w:p>
    <w:p w:rsidR="00C51D70" w:rsidRDefault="000345AB">
      <w:pPr>
        <w:pStyle w:val="TOC2"/>
        <w:tabs>
          <w:tab w:val="right" w:leader="dot" w:pos="9016"/>
        </w:tabs>
        <w:rPr>
          <w:rFonts w:eastAsiaTheme="minorEastAsia" w:cstheme="minorBidi"/>
          <w:smallCaps w:val="0"/>
          <w:noProof/>
          <w:color w:val="auto"/>
          <w:sz w:val="22"/>
          <w:szCs w:val="22"/>
          <w:lang w:val="en-AU" w:eastAsia="en-AU"/>
        </w:rPr>
      </w:pPr>
      <w:hyperlink w:anchor="_Toc3297012" w:history="1">
        <w:r w:rsidR="00C51D70" w:rsidRPr="00BE77EE">
          <w:rPr>
            <w:rStyle w:val="Hyperlink"/>
            <w:rFonts w:cstheme="majorHAnsi"/>
            <w:noProof/>
          </w:rPr>
          <w:t>Monitoring, Evaluation and Learning (MEL)</w:t>
        </w:r>
        <w:r w:rsidR="00C51D70">
          <w:rPr>
            <w:noProof/>
            <w:webHidden/>
          </w:rPr>
          <w:tab/>
        </w:r>
        <w:r w:rsidR="00C51D70">
          <w:rPr>
            <w:noProof/>
            <w:webHidden/>
          </w:rPr>
          <w:fldChar w:fldCharType="begin"/>
        </w:r>
        <w:r w:rsidR="00C51D70">
          <w:rPr>
            <w:noProof/>
            <w:webHidden/>
          </w:rPr>
          <w:instrText xml:space="preserve"> PAGEREF _Toc3297012 \h </w:instrText>
        </w:r>
        <w:r w:rsidR="00C51D70">
          <w:rPr>
            <w:noProof/>
            <w:webHidden/>
          </w:rPr>
        </w:r>
        <w:r w:rsidR="00C51D70">
          <w:rPr>
            <w:noProof/>
            <w:webHidden/>
          </w:rPr>
          <w:fldChar w:fldCharType="separate"/>
        </w:r>
        <w:r w:rsidR="00C51D70">
          <w:rPr>
            <w:noProof/>
            <w:webHidden/>
          </w:rPr>
          <w:t>29</w:t>
        </w:r>
        <w:r w:rsidR="00C51D70">
          <w:rPr>
            <w:noProof/>
            <w:webHidden/>
          </w:rPr>
          <w:fldChar w:fldCharType="end"/>
        </w:r>
      </w:hyperlink>
    </w:p>
    <w:p w:rsidR="00C51D70" w:rsidRDefault="000345AB">
      <w:pPr>
        <w:pStyle w:val="TOC2"/>
        <w:tabs>
          <w:tab w:val="right" w:leader="dot" w:pos="9016"/>
        </w:tabs>
        <w:rPr>
          <w:rFonts w:eastAsiaTheme="minorEastAsia" w:cstheme="minorBidi"/>
          <w:smallCaps w:val="0"/>
          <w:noProof/>
          <w:color w:val="auto"/>
          <w:sz w:val="22"/>
          <w:szCs w:val="22"/>
          <w:lang w:val="en-AU" w:eastAsia="en-AU"/>
        </w:rPr>
      </w:pPr>
      <w:hyperlink w:anchor="_Toc3297013" w:history="1">
        <w:r w:rsidR="00C51D70" w:rsidRPr="00BE77EE">
          <w:rPr>
            <w:rStyle w:val="Hyperlink"/>
            <w:rFonts w:cstheme="majorHAnsi"/>
            <w:noProof/>
          </w:rPr>
          <w:t>Sustainability</w:t>
        </w:r>
        <w:r w:rsidR="00C51D70">
          <w:rPr>
            <w:noProof/>
            <w:webHidden/>
          </w:rPr>
          <w:tab/>
        </w:r>
        <w:r w:rsidR="00C51D70">
          <w:rPr>
            <w:noProof/>
            <w:webHidden/>
          </w:rPr>
          <w:fldChar w:fldCharType="begin"/>
        </w:r>
        <w:r w:rsidR="00C51D70">
          <w:rPr>
            <w:noProof/>
            <w:webHidden/>
          </w:rPr>
          <w:instrText xml:space="preserve"> PAGEREF _Toc3297013 \h </w:instrText>
        </w:r>
        <w:r w:rsidR="00C51D70">
          <w:rPr>
            <w:noProof/>
            <w:webHidden/>
          </w:rPr>
        </w:r>
        <w:r w:rsidR="00C51D70">
          <w:rPr>
            <w:noProof/>
            <w:webHidden/>
          </w:rPr>
          <w:fldChar w:fldCharType="separate"/>
        </w:r>
        <w:r w:rsidR="00C51D70">
          <w:rPr>
            <w:noProof/>
            <w:webHidden/>
          </w:rPr>
          <w:t>31</w:t>
        </w:r>
        <w:r w:rsidR="00C51D70">
          <w:rPr>
            <w:noProof/>
            <w:webHidden/>
          </w:rPr>
          <w:fldChar w:fldCharType="end"/>
        </w:r>
      </w:hyperlink>
    </w:p>
    <w:p w:rsidR="00C51D70" w:rsidRDefault="000345AB">
      <w:pPr>
        <w:pStyle w:val="TOC2"/>
        <w:tabs>
          <w:tab w:val="right" w:leader="dot" w:pos="9016"/>
        </w:tabs>
        <w:rPr>
          <w:rFonts w:eastAsiaTheme="minorEastAsia" w:cstheme="minorBidi"/>
          <w:smallCaps w:val="0"/>
          <w:noProof/>
          <w:color w:val="auto"/>
          <w:sz w:val="22"/>
          <w:szCs w:val="22"/>
          <w:lang w:val="en-AU" w:eastAsia="en-AU"/>
        </w:rPr>
      </w:pPr>
      <w:hyperlink w:anchor="_Toc3297014" w:history="1">
        <w:r w:rsidR="00C51D70" w:rsidRPr="00BE77EE">
          <w:rPr>
            <w:rStyle w:val="Hyperlink"/>
            <w:rFonts w:cstheme="majorHAnsi"/>
            <w:noProof/>
          </w:rPr>
          <w:t>Gender Equality</w:t>
        </w:r>
        <w:r w:rsidR="00C51D70">
          <w:rPr>
            <w:noProof/>
            <w:webHidden/>
          </w:rPr>
          <w:tab/>
        </w:r>
        <w:r w:rsidR="00C51D70">
          <w:rPr>
            <w:noProof/>
            <w:webHidden/>
          </w:rPr>
          <w:fldChar w:fldCharType="begin"/>
        </w:r>
        <w:r w:rsidR="00C51D70">
          <w:rPr>
            <w:noProof/>
            <w:webHidden/>
          </w:rPr>
          <w:instrText xml:space="preserve"> PAGEREF _Toc3297014 \h </w:instrText>
        </w:r>
        <w:r w:rsidR="00C51D70">
          <w:rPr>
            <w:noProof/>
            <w:webHidden/>
          </w:rPr>
        </w:r>
        <w:r w:rsidR="00C51D70">
          <w:rPr>
            <w:noProof/>
            <w:webHidden/>
          </w:rPr>
          <w:fldChar w:fldCharType="separate"/>
        </w:r>
        <w:r w:rsidR="00C51D70">
          <w:rPr>
            <w:noProof/>
            <w:webHidden/>
          </w:rPr>
          <w:t>31</w:t>
        </w:r>
        <w:r w:rsidR="00C51D70">
          <w:rPr>
            <w:noProof/>
            <w:webHidden/>
          </w:rPr>
          <w:fldChar w:fldCharType="end"/>
        </w:r>
      </w:hyperlink>
    </w:p>
    <w:p w:rsidR="00C51D70" w:rsidRDefault="000345AB">
      <w:pPr>
        <w:pStyle w:val="TOC2"/>
        <w:tabs>
          <w:tab w:val="right" w:leader="dot" w:pos="9016"/>
        </w:tabs>
        <w:rPr>
          <w:rFonts w:eastAsiaTheme="minorEastAsia" w:cstheme="minorBidi"/>
          <w:smallCaps w:val="0"/>
          <w:noProof/>
          <w:color w:val="auto"/>
          <w:sz w:val="22"/>
          <w:szCs w:val="22"/>
          <w:lang w:val="en-AU" w:eastAsia="en-AU"/>
        </w:rPr>
      </w:pPr>
      <w:hyperlink w:anchor="_Toc3297015" w:history="1">
        <w:r w:rsidR="00C51D70" w:rsidRPr="00BE77EE">
          <w:rPr>
            <w:rStyle w:val="Hyperlink"/>
            <w:rFonts w:cstheme="majorHAnsi"/>
            <w:noProof/>
          </w:rPr>
          <w:t>Inclusion</w:t>
        </w:r>
        <w:r w:rsidR="00C51D70">
          <w:rPr>
            <w:noProof/>
            <w:webHidden/>
          </w:rPr>
          <w:tab/>
        </w:r>
        <w:r w:rsidR="00C51D70">
          <w:rPr>
            <w:noProof/>
            <w:webHidden/>
          </w:rPr>
          <w:fldChar w:fldCharType="begin"/>
        </w:r>
        <w:r w:rsidR="00C51D70">
          <w:rPr>
            <w:noProof/>
            <w:webHidden/>
          </w:rPr>
          <w:instrText xml:space="preserve"> PAGEREF _Toc3297015 \h </w:instrText>
        </w:r>
        <w:r w:rsidR="00C51D70">
          <w:rPr>
            <w:noProof/>
            <w:webHidden/>
          </w:rPr>
        </w:r>
        <w:r w:rsidR="00C51D70">
          <w:rPr>
            <w:noProof/>
            <w:webHidden/>
          </w:rPr>
          <w:fldChar w:fldCharType="separate"/>
        </w:r>
        <w:r w:rsidR="00C51D70">
          <w:rPr>
            <w:noProof/>
            <w:webHidden/>
          </w:rPr>
          <w:t>32</w:t>
        </w:r>
        <w:r w:rsidR="00C51D70">
          <w:rPr>
            <w:noProof/>
            <w:webHidden/>
          </w:rPr>
          <w:fldChar w:fldCharType="end"/>
        </w:r>
      </w:hyperlink>
    </w:p>
    <w:p w:rsidR="00C51D70" w:rsidRDefault="000345AB">
      <w:pPr>
        <w:pStyle w:val="TOC2"/>
        <w:tabs>
          <w:tab w:val="right" w:leader="dot" w:pos="9016"/>
        </w:tabs>
        <w:rPr>
          <w:rFonts w:eastAsiaTheme="minorEastAsia" w:cstheme="minorBidi"/>
          <w:smallCaps w:val="0"/>
          <w:noProof/>
          <w:color w:val="auto"/>
          <w:sz w:val="22"/>
          <w:szCs w:val="22"/>
          <w:lang w:val="en-AU" w:eastAsia="en-AU"/>
        </w:rPr>
      </w:pPr>
      <w:hyperlink w:anchor="_Toc3297016" w:history="1">
        <w:r w:rsidR="00C51D70" w:rsidRPr="00BE77EE">
          <w:rPr>
            <w:rStyle w:val="Hyperlink"/>
            <w:rFonts w:cstheme="majorHAnsi"/>
            <w:noProof/>
          </w:rPr>
          <w:t>Child Protection</w:t>
        </w:r>
        <w:r w:rsidR="00C51D70">
          <w:rPr>
            <w:noProof/>
            <w:webHidden/>
          </w:rPr>
          <w:tab/>
        </w:r>
        <w:r w:rsidR="00C51D70">
          <w:rPr>
            <w:noProof/>
            <w:webHidden/>
          </w:rPr>
          <w:fldChar w:fldCharType="begin"/>
        </w:r>
        <w:r w:rsidR="00C51D70">
          <w:rPr>
            <w:noProof/>
            <w:webHidden/>
          </w:rPr>
          <w:instrText xml:space="preserve"> PAGEREF _Toc3297016 \h </w:instrText>
        </w:r>
        <w:r w:rsidR="00C51D70">
          <w:rPr>
            <w:noProof/>
            <w:webHidden/>
          </w:rPr>
        </w:r>
        <w:r w:rsidR="00C51D70">
          <w:rPr>
            <w:noProof/>
            <w:webHidden/>
          </w:rPr>
          <w:fldChar w:fldCharType="separate"/>
        </w:r>
        <w:r w:rsidR="00C51D70">
          <w:rPr>
            <w:noProof/>
            <w:webHidden/>
          </w:rPr>
          <w:t>32</w:t>
        </w:r>
        <w:r w:rsidR="00C51D70">
          <w:rPr>
            <w:noProof/>
            <w:webHidden/>
          </w:rPr>
          <w:fldChar w:fldCharType="end"/>
        </w:r>
      </w:hyperlink>
    </w:p>
    <w:p w:rsidR="00C51D70" w:rsidRDefault="000345AB">
      <w:pPr>
        <w:pStyle w:val="TOC2"/>
        <w:tabs>
          <w:tab w:val="right" w:leader="dot" w:pos="9016"/>
        </w:tabs>
        <w:rPr>
          <w:rFonts w:eastAsiaTheme="minorEastAsia" w:cstheme="minorBidi"/>
          <w:smallCaps w:val="0"/>
          <w:noProof/>
          <w:color w:val="auto"/>
          <w:sz w:val="22"/>
          <w:szCs w:val="22"/>
          <w:lang w:val="en-AU" w:eastAsia="en-AU"/>
        </w:rPr>
      </w:pPr>
      <w:hyperlink w:anchor="_Toc3297017" w:history="1">
        <w:r w:rsidR="00C51D70" w:rsidRPr="00BE77EE">
          <w:rPr>
            <w:rStyle w:val="Hyperlink"/>
            <w:rFonts w:cstheme="majorHAnsi"/>
            <w:noProof/>
          </w:rPr>
          <w:t>Climate Change</w:t>
        </w:r>
        <w:r w:rsidR="00C51D70">
          <w:rPr>
            <w:noProof/>
            <w:webHidden/>
          </w:rPr>
          <w:tab/>
        </w:r>
        <w:r w:rsidR="00C51D70">
          <w:rPr>
            <w:noProof/>
            <w:webHidden/>
          </w:rPr>
          <w:fldChar w:fldCharType="begin"/>
        </w:r>
        <w:r w:rsidR="00C51D70">
          <w:rPr>
            <w:noProof/>
            <w:webHidden/>
          </w:rPr>
          <w:instrText xml:space="preserve"> PAGEREF _Toc3297017 \h </w:instrText>
        </w:r>
        <w:r w:rsidR="00C51D70">
          <w:rPr>
            <w:noProof/>
            <w:webHidden/>
          </w:rPr>
        </w:r>
        <w:r w:rsidR="00C51D70">
          <w:rPr>
            <w:noProof/>
            <w:webHidden/>
          </w:rPr>
          <w:fldChar w:fldCharType="separate"/>
        </w:r>
        <w:r w:rsidR="00C51D70">
          <w:rPr>
            <w:noProof/>
            <w:webHidden/>
          </w:rPr>
          <w:t>32</w:t>
        </w:r>
        <w:r w:rsidR="00C51D70">
          <w:rPr>
            <w:noProof/>
            <w:webHidden/>
          </w:rPr>
          <w:fldChar w:fldCharType="end"/>
        </w:r>
      </w:hyperlink>
    </w:p>
    <w:p w:rsidR="00C51D70" w:rsidRDefault="000345AB">
      <w:pPr>
        <w:pStyle w:val="TOC2"/>
        <w:tabs>
          <w:tab w:val="right" w:leader="dot" w:pos="9016"/>
        </w:tabs>
        <w:rPr>
          <w:rFonts w:eastAsiaTheme="minorEastAsia" w:cstheme="minorBidi"/>
          <w:smallCaps w:val="0"/>
          <w:noProof/>
          <w:color w:val="auto"/>
          <w:sz w:val="22"/>
          <w:szCs w:val="22"/>
          <w:lang w:val="en-AU" w:eastAsia="en-AU"/>
        </w:rPr>
      </w:pPr>
      <w:hyperlink w:anchor="_Toc3297018" w:history="1">
        <w:r w:rsidR="00C51D70" w:rsidRPr="00BE77EE">
          <w:rPr>
            <w:rStyle w:val="Hyperlink"/>
            <w:rFonts w:cstheme="majorHAnsi"/>
            <w:noProof/>
          </w:rPr>
          <w:t>Innovation and Private Sector Engagement</w:t>
        </w:r>
        <w:r w:rsidR="00C51D70">
          <w:rPr>
            <w:noProof/>
            <w:webHidden/>
          </w:rPr>
          <w:tab/>
        </w:r>
        <w:r w:rsidR="00C51D70">
          <w:rPr>
            <w:noProof/>
            <w:webHidden/>
          </w:rPr>
          <w:fldChar w:fldCharType="begin"/>
        </w:r>
        <w:r w:rsidR="00C51D70">
          <w:rPr>
            <w:noProof/>
            <w:webHidden/>
          </w:rPr>
          <w:instrText xml:space="preserve"> PAGEREF _Toc3297018 \h </w:instrText>
        </w:r>
        <w:r w:rsidR="00C51D70">
          <w:rPr>
            <w:noProof/>
            <w:webHidden/>
          </w:rPr>
        </w:r>
        <w:r w:rsidR="00C51D70">
          <w:rPr>
            <w:noProof/>
            <w:webHidden/>
          </w:rPr>
          <w:fldChar w:fldCharType="separate"/>
        </w:r>
        <w:r w:rsidR="00C51D70">
          <w:rPr>
            <w:noProof/>
            <w:webHidden/>
          </w:rPr>
          <w:t>33</w:t>
        </w:r>
        <w:r w:rsidR="00C51D70">
          <w:rPr>
            <w:noProof/>
            <w:webHidden/>
          </w:rPr>
          <w:fldChar w:fldCharType="end"/>
        </w:r>
      </w:hyperlink>
    </w:p>
    <w:p w:rsidR="00C51D70" w:rsidRDefault="000345AB">
      <w:pPr>
        <w:pStyle w:val="TOC2"/>
        <w:tabs>
          <w:tab w:val="right" w:leader="dot" w:pos="9016"/>
        </w:tabs>
        <w:rPr>
          <w:rFonts w:eastAsiaTheme="minorEastAsia" w:cstheme="minorBidi"/>
          <w:smallCaps w:val="0"/>
          <w:noProof/>
          <w:color w:val="auto"/>
          <w:sz w:val="22"/>
          <w:szCs w:val="22"/>
          <w:lang w:val="en-AU" w:eastAsia="en-AU"/>
        </w:rPr>
      </w:pPr>
      <w:hyperlink w:anchor="_Toc3297019" w:history="1">
        <w:r w:rsidR="00C51D70" w:rsidRPr="00BE77EE">
          <w:rPr>
            <w:rStyle w:val="Hyperlink"/>
            <w:rFonts w:eastAsia="MS Mincho" w:cstheme="majorHAnsi"/>
            <w:noProof/>
            <w:lang w:val="en-US"/>
          </w:rPr>
          <w:t>Risk assessment</w:t>
        </w:r>
        <w:r w:rsidR="00C51D70">
          <w:rPr>
            <w:noProof/>
            <w:webHidden/>
          </w:rPr>
          <w:tab/>
        </w:r>
        <w:r w:rsidR="00C51D70">
          <w:rPr>
            <w:noProof/>
            <w:webHidden/>
          </w:rPr>
          <w:fldChar w:fldCharType="begin"/>
        </w:r>
        <w:r w:rsidR="00C51D70">
          <w:rPr>
            <w:noProof/>
            <w:webHidden/>
          </w:rPr>
          <w:instrText xml:space="preserve"> PAGEREF _Toc3297019 \h </w:instrText>
        </w:r>
        <w:r w:rsidR="00C51D70">
          <w:rPr>
            <w:noProof/>
            <w:webHidden/>
          </w:rPr>
        </w:r>
        <w:r w:rsidR="00C51D70">
          <w:rPr>
            <w:noProof/>
            <w:webHidden/>
          </w:rPr>
          <w:fldChar w:fldCharType="separate"/>
        </w:r>
        <w:r w:rsidR="00C51D70">
          <w:rPr>
            <w:noProof/>
            <w:webHidden/>
          </w:rPr>
          <w:t>33</w:t>
        </w:r>
        <w:r w:rsidR="00C51D70">
          <w:rPr>
            <w:noProof/>
            <w:webHidden/>
          </w:rPr>
          <w:fldChar w:fldCharType="end"/>
        </w:r>
      </w:hyperlink>
    </w:p>
    <w:p w:rsidR="00C51D70" w:rsidRDefault="000345AB">
      <w:pPr>
        <w:pStyle w:val="TOC2"/>
        <w:tabs>
          <w:tab w:val="right" w:leader="dot" w:pos="9016"/>
        </w:tabs>
        <w:rPr>
          <w:rFonts w:eastAsiaTheme="minorEastAsia" w:cstheme="minorBidi"/>
          <w:smallCaps w:val="0"/>
          <w:noProof/>
          <w:color w:val="auto"/>
          <w:sz w:val="22"/>
          <w:szCs w:val="22"/>
          <w:lang w:val="en-AU" w:eastAsia="en-AU"/>
        </w:rPr>
      </w:pPr>
      <w:hyperlink w:anchor="_Toc3297020" w:history="1">
        <w:r w:rsidR="00C51D70" w:rsidRPr="00BE77EE">
          <w:rPr>
            <w:rStyle w:val="Hyperlink"/>
            <w:rFonts w:cstheme="majorHAnsi"/>
            <w:noProof/>
          </w:rPr>
          <w:t>Annex A: Monitoring, Evaluation &amp; Learning Framework (MELF) – Preliminary Description</w:t>
        </w:r>
        <w:r w:rsidR="00C51D70">
          <w:rPr>
            <w:noProof/>
            <w:webHidden/>
          </w:rPr>
          <w:tab/>
        </w:r>
        <w:r w:rsidR="00C51D70">
          <w:rPr>
            <w:noProof/>
            <w:webHidden/>
          </w:rPr>
          <w:fldChar w:fldCharType="begin"/>
        </w:r>
        <w:r w:rsidR="00C51D70">
          <w:rPr>
            <w:noProof/>
            <w:webHidden/>
          </w:rPr>
          <w:instrText xml:space="preserve"> PAGEREF _Toc3297020 \h </w:instrText>
        </w:r>
        <w:r w:rsidR="00C51D70">
          <w:rPr>
            <w:noProof/>
            <w:webHidden/>
          </w:rPr>
        </w:r>
        <w:r w:rsidR="00C51D70">
          <w:rPr>
            <w:noProof/>
            <w:webHidden/>
          </w:rPr>
          <w:fldChar w:fldCharType="separate"/>
        </w:r>
        <w:r w:rsidR="00C51D70">
          <w:rPr>
            <w:noProof/>
            <w:webHidden/>
          </w:rPr>
          <w:t>36</w:t>
        </w:r>
        <w:r w:rsidR="00C51D70">
          <w:rPr>
            <w:noProof/>
            <w:webHidden/>
          </w:rPr>
          <w:fldChar w:fldCharType="end"/>
        </w:r>
      </w:hyperlink>
    </w:p>
    <w:p w:rsidR="00C51D70" w:rsidRDefault="000345AB">
      <w:pPr>
        <w:pStyle w:val="TOC2"/>
        <w:tabs>
          <w:tab w:val="right" w:leader="dot" w:pos="9016"/>
        </w:tabs>
        <w:rPr>
          <w:rFonts w:eastAsiaTheme="minorEastAsia" w:cstheme="minorBidi"/>
          <w:smallCaps w:val="0"/>
          <w:noProof/>
          <w:color w:val="auto"/>
          <w:sz w:val="22"/>
          <w:szCs w:val="22"/>
          <w:lang w:val="en-AU" w:eastAsia="en-AU"/>
        </w:rPr>
      </w:pPr>
      <w:hyperlink w:anchor="_Toc3297021" w:history="1">
        <w:r w:rsidR="00C51D70" w:rsidRPr="00BE77EE">
          <w:rPr>
            <w:rStyle w:val="Hyperlink"/>
            <w:rFonts w:cstheme="majorHAnsi"/>
            <w:noProof/>
          </w:rPr>
          <w:t>Annex B: Risk Register</w:t>
        </w:r>
        <w:r w:rsidR="00C51D70">
          <w:rPr>
            <w:noProof/>
            <w:webHidden/>
          </w:rPr>
          <w:tab/>
        </w:r>
        <w:r w:rsidR="00C51D70">
          <w:rPr>
            <w:noProof/>
            <w:webHidden/>
          </w:rPr>
          <w:fldChar w:fldCharType="begin"/>
        </w:r>
        <w:r w:rsidR="00C51D70">
          <w:rPr>
            <w:noProof/>
            <w:webHidden/>
          </w:rPr>
          <w:instrText xml:space="preserve"> PAGEREF _Toc3297021 \h </w:instrText>
        </w:r>
        <w:r w:rsidR="00C51D70">
          <w:rPr>
            <w:noProof/>
            <w:webHidden/>
          </w:rPr>
        </w:r>
        <w:r w:rsidR="00C51D70">
          <w:rPr>
            <w:noProof/>
            <w:webHidden/>
          </w:rPr>
          <w:fldChar w:fldCharType="separate"/>
        </w:r>
        <w:r w:rsidR="00C51D70">
          <w:rPr>
            <w:noProof/>
            <w:webHidden/>
          </w:rPr>
          <w:t>40</w:t>
        </w:r>
        <w:r w:rsidR="00C51D70">
          <w:rPr>
            <w:noProof/>
            <w:webHidden/>
          </w:rPr>
          <w:fldChar w:fldCharType="end"/>
        </w:r>
      </w:hyperlink>
    </w:p>
    <w:p w:rsidR="00391012" w:rsidRPr="00CB527B" w:rsidRDefault="00B11680">
      <w:pPr>
        <w:suppressAutoHyphens w:val="0"/>
        <w:spacing w:before="0" w:after="120" w:line="440" w:lineRule="atLeast"/>
        <w:rPr>
          <w:rFonts w:asciiTheme="majorHAnsi" w:eastAsiaTheme="majorEastAsia" w:hAnsiTheme="majorHAnsi" w:cstheme="majorHAnsi"/>
          <w:b/>
          <w:bCs/>
          <w:caps/>
          <w:color w:val="auto"/>
        </w:rPr>
      </w:pPr>
      <w:r w:rsidRPr="00CB527B">
        <w:rPr>
          <w:rFonts w:asciiTheme="majorHAnsi" w:hAnsiTheme="majorHAnsi" w:cstheme="majorHAnsi"/>
        </w:rPr>
        <w:fldChar w:fldCharType="end"/>
      </w:r>
      <w:r w:rsidR="00391012" w:rsidRPr="00CB527B">
        <w:rPr>
          <w:rFonts w:asciiTheme="majorHAnsi" w:hAnsiTheme="majorHAnsi" w:cstheme="majorHAnsi"/>
        </w:rPr>
        <w:br w:type="page"/>
      </w:r>
    </w:p>
    <w:p w:rsidR="00BB2997" w:rsidRPr="0043356C" w:rsidRDefault="00BB2997" w:rsidP="00BF6C52">
      <w:pPr>
        <w:pStyle w:val="Heading1smallspaceafter"/>
        <w:spacing w:after="120" w:line="240" w:lineRule="auto"/>
        <w:rPr>
          <w:rFonts w:cstheme="majorHAnsi"/>
          <w:sz w:val="22"/>
          <w:szCs w:val="22"/>
        </w:rPr>
      </w:pPr>
      <w:bookmarkStart w:id="1" w:name="_Toc3296988"/>
      <w:r w:rsidRPr="0043356C">
        <w:rPr>
          <w:rFonts w:cstheme="majorHAnsi"/>
          <w:sz w:val="22"/>
          <w:szCs w:val="22"/>
        </w:rPr>
        <w:t>Abbreviation</w:t>
      </w:r>
      <w:r w:rsidR="00E37549" w:rsidRPr="0043356C">
        <w:rPr>
          <w:rFonts w:cstheme="majorHAnsi"/>
          <w:sz w:val="22"/>
          <w:szCs w:val="22"/>
        </w:rPr>
        <w:t>s</w:t>
      </w:r>
      <w:bookmarkEnd w:id="1"/>
    </w:p>
    <w:tbl>
      <w:tblPr>
        <w:tblStyle w:val="TableGrid10"/>
        <w:tblW w:w="0" w:type="auto"/>
        <w:tblInd w:w="-108" w:type="dxa"/>
        <w:tblCellMar>
          <w:top w:w="9" w:type="dxa"/>
          <w:left w:w="108" w:type="dxa"/>
          <w:right w:w="53" w:type="dxa"/>
        </w:tblCellMar>
        <w:tblLook w:val="04A0" w:firstRow="1" w:lastRow="0" w:firstColumn="1" w:lastColumn="0" w:noHBand="0" w:noVBand="1"/>
      </w:tblPr>
      <w:tblGrid>
        <w:gridCol w:w="1819"/>
        <w:gridCol w:w="6873"/>
      </w:tblGrid>
      <w:tr w:rsidR="00961765" w:rsidRPr="00A11F64" w:rsidTr="002167AE">
        <w:trPr>
          <w:trHeight w:val="232"/>
        </w:trPr>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AIHSP</w:t>
            </w:r>
          </w:p>
        </w:tc>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Australia Indonesia Health Security Partnership (the “Partnership”)</w:t>
            </w:r>
          </w:p>
        </w:tc>
      </w:tr>
      <w:tr w:rsidR="00961765" w:rsidRPr="00A11F64" w:rsidTr="002167AE">
        <w:trPr>
          <w:trHeight w:val="232"/>
        </w:trPr>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 xml:space="preserve">AIPEID </w:t>
            </w:r>
          </w:p>
        </w:tc>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 xml:space="preserve">Australia Indonesia Partnership for Emerging Infectious Diseases </w:t>
            </w:r>
          </w:p>
        </w:tc>
      </w:tr>
      <w:tr w:rsidR="00C60F38" w:rsidRPr="00A11F64" w:rsidTr="002167AE">
        <w:trPr>
          <w:trHeight w:val="232"/>
        </w:trPr>
        <w:tc>
          <w:tcPr>
            <w:tcW w:w="0" w:type="auto"/>
            <w:tcBorders>
              <w:top w:val="single" w:sz="4" w:space="0" w:color="000000"/>
              <w:left w:val="single" w:sz="4" w:space="0" w:color="000000"/>
              <w:bottom w:val="single" w:sz="4" w:space="0" w:color="000000"/>
              <w:right w:val="single" w:sz="4" w:space="0" w:color="000000"/>
            </w:tcBorders>
          </w:tcPr>
          <w:p w:rsidR="00C60F38" w:rsidRPr="00EB4FEE" w:rsidRDefault="00C60F38"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AIPH</w:t>
            </w:r>
          </w:p>
        </w:tc>
        <w:tc>
          <w:tcPr>
            <w:tcW w:w="0" w:type="auto"/>
            <w:tcBorders>
              <w:top w:val="single" w:sz="4" w:space="0" w:color="000000"/>
              <w:left w:val="single" w:sz="4" w:space="0" w:color="000000"/>
              <w:bottom w:val="single" w:sz="4" w:space="0" w:color="000000"/>
              <w:right w:val="single" w:sz="4" w:space="0" w:color="000000"/>
            </w:tcBorders>
          </w:tcPr>
          <w:p w:rsidR="00C60F38" w:rsidRPr="00EB4FEE" w:rsidRDefault="00C60F38"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Australia Indonesia Partnership</w:t>
            </w:r>
            <w:r w:rsidR="00806CF3" w:rsidRPr="00EB4FEE">
              <w:rPr>
                <w:rFonts w:asciiTheme="majorHAnsi" w:hAnsiTheme="majorHAnsi" w:cs="Calibri Light"/>
                <w:color w:val="595959" w:themeColor="text1" w:themeTint="A6"/>
              </w:rPr>
              <w:t xml:space="preserve"> for HIV</w:t>
            </w:r>
          </w:p>
        </w:tc>
      </w:tr>
      <w:tr w:rsidR="00961765" w:rsidRPr="00A11F64" w:rsidTr="002167AE">
        <w:trPr>
          <w:trHeight w:val="232"/>
        </w:trPr>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AIPHSS</w:t>
            </w:r>
          </w:p>
        </w:tc>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CB527B">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Australia</w:t>
            </w:r>
            <w:r w:rsidR="00C60F38" w:rsidRPr="00EB4FEE">
              <w:rPr>
                <w:rFonts w:asciiTheme="majorHAnsi" w:hAnsiTheme="majorHAnsi" w:cs="Calibri Light"/>
                <w:color w:val="595959" w:themeColor="text1" w:themeTint="A6"/>
              </w:rPr>
              <w:t xml:space="preserve"> </w:t>
            </w:r>
            <w:r w:rsidRPr="00EB4FEE">
              <w:rPr>
                <w:rFonts w:asciiTheme="majorHAnsi" w:hAnsiTheme="majorHAnsi" w:cs="Calibri Light"/>
                <w:color w:val="595959" w:themeColor="text1" w:themeTint="A6"/>
              </w:rPr>
              <w:t>Indonesia Partnership for Health Systems Strengthening</w:t>
            </w:r>
          </w:p>
        </w:tc>
      </w:tr>
      <w:tr w:rsidR="00961765" w:rsidRPr="00A11F64" w:rsidTr="002167AE">
        <w:trPr>
          <w:trHeight w:val="232"/>
        </w:trPr>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AIPMNH</w:t>
            </w:r>
          </w:p>
        </w:tc>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CB527B">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Australia</w:t>
            </w:r>
            <w:r w:rsidR="00806CF3" w:rsidRPr="00EB4FEE">
              <w:rPr>
                <w:rFonts w:asciiTheme="majorHAnsi" w:hAnsiTheme="majorHAnsi" w:cs="Calibri Light"/>
                <w:color w:val="595959" w:themeColor="text1" w:themeTint="A6"/>
              </w:rPr>
              <w:t xml:space="preserve"> </w:t>
            </w:r>
            <w:r w:rsidRPr="00EB4FEE">
              <w:rPr>
                <w:rFonts w:asciiTheme="majorHAnsi" w:hAnsiTheme="majorHAnsi" w:cs="Calibri Light"/>
                <w:color w:val="595959" w:themeColor="text1" w:themeTint="A6"/>
              </w:rPr>
              <w:t>Indonesia Partnership for Maternal and Neonatal Health</w:t>
            </w:r>
          </w:p>
        </w:tc>
      </w:tr>
      <w:tr w:rsidR="00961765" w:rsidRPr="00A11F64" w:rsidTr="002167AE">
        <w:trPr>
          <w:trHeight w:val="232"/>
        </w:trPr>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lang w:val="en-US"/>
              </w:rPr>
              <w:t>AMR</w:t>
            </w:r>
          </w:p>
        </w:tc>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lang w:val="en-US"/>
              </w:rPr>
              <w:t>Antimicrobial resistance</w:t>
            </w:r>
          </w:p>
        </w:tc>
      </w:tr>
      <w:tr w:rsidR="00961765" w:rsidRPr="00A11F64" w:rsidTr="002167AE">
        <w:trPr>
          <w:trHeight w:val="232"/>
        </w:trPr>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lang w:val="en-US"/>
              </w:rPr>
            </w:pPr>
            <w:r w:rsidRPr="00EB4FEE">
              <w:rPr>
                <w:rFonts w:asciiTheme="majorHAnsi" w:hAnsiTheme="majorHAnsi" w:cs="Calibri Light"/>
                <w:color w:val="595959" w:themeColor="text1" w:themeTint="A6"/>
                <w:lang w:val="en-US"/>
              </w:rPr>
              <w:t>APSED</w:t>
            </w:r>
          </w:p>
        </w:tc>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lang w:val="en-US"/>
              </w:rPr>
            </w:pPr>
            <w:r w:rsidRPr="00EB4FEE">
              <w:rPr>
                <w:rFonts w:asciiTheme="majorHAnsi" w:hAnsiTheme="majorHAnsi" w:cs="Calibri Light"/>
                <w:color w:val="595959" w:themeColor="text1" w:themeTint="A6"/>
                <w:lang w:val="en-US"/>
              </w:rPr>
              <w:t>Asia Pacific Strategy for Emerging Diseases</w:t>
            </w:r>
          </w:p>
        </w:tc>
      </w:tr>
      <w:tr w:rsidR="00412958" w:rsidRPr="00A11F64" w:rsidTr="002167AE">
        <w:trPr>
          <w:trHeight w:val="232"/>
        </w:trPr>
        <w:tc>
          <w:tcPr>
            <w:tcW w:w="0" w:type="auto"/>
            <w:tcBorders>
              <w:top w:val="single" w:sz="4" w:space="0" w:color="000000"/>
              <w:left w:val="single" w:sz="4" w:space="0" w:color="000000"/>
              <w:bottom w:val="single" w:sz="4" w:space="0" w:color="000000"/>
              <w:right w:val="single" w:sz="4" w:space="0" w:color="000000"/>
            </w:tcBorders>
          </w:tcPr>
          <w:p w:rsidR="00412958" w:rsidRPr="00EB4FEE" w:rsidRDefault="00412958" w:rsidP="00961765">
            <w:pPr>
              <w:spacing w:before="0" w:after="0" w:line="240" w:lineRule="auto"/>
              <w:rPr>
                <w:rFonts w:asciiTheme="majorHAnsi" w:hAnsiTheme="majorHAnsi" w:cs="Calibri Light"/>
                <w:color w:val="595959" w:themeColor="text1" w:themeTint="A6"/>
                <w:lang w:val="en-US"/>
              </w:rPr>
            </w:pPr>
            <w:r>
              <w:rPr>
                <w:rFonts w:asciiTheme="majorHAnsi" w:hAnsiTheme="majorHAnsi" w:cs="Calibri Light"/>
                <w:color w:val="595959" w:themeColor="text1" w:themeTint="A6"/>
                <w:lang w:val="en-US"/>
              </w:rPr>
              <w:t>ASEAN</w:t>
            </w:r>
          </w:p>
        </w:tc>
        <w:tc>
          <w:tcPr>
            <w:tcW w:w="0" w:type="auto"/>
            <w:tcBorders>
              <w:top w:val="single" w:sz="4" w:space="0" w:color="000000"/>
              <w:left w:val="single" w:sz="4" w:space="0" w:color="000000"/>
              <w:bottom w:val="single" w:sz="4" w:space="0" w:color="000000"/>
              <w:right w:val="single" w:sz="4" w:space="0" w:color="000000"/>
            </w:tcBorders>
          </w:tcPr>
          <w:p w:rsidR="00412958" w:rsidRPr="00EB4FEE" w:rsidRDefault="00412958" w:rsidP="00961765">
            <w:pPr>
              <w:spacing w:before="0" w:after="0" w:line="240" w:lineRule="auto"/>
              <w:rPr>
                <w:rFonts w:asciiTheme="majorHAnsi" w:hAnsiTheme="majorHAnsi" w:cs="Calibri Light"/>
                <w:color w:val="595959" w:themeColor="text1" w:themeTint="A6"/>
                <w:lang w:val="en-US"/>
              </w:rPr>
            </w:pPr>
            <w:r>
              <w:rPr>
                <w:rFonts w:asciiTheme="majorHAnsi" w:hAnsiTheme="majorHAnsi" w:cs="Calibri Light"/>
                <w:color w:val="595959" w:themeColor="text1" w:themeTint="A6"/>
                <w:lang w:val="en-US"/>
              </w:rPr>
              <w:t>Association of South East Asian Nations</w:t>
            </w:r>
          </w:p>
        </w:tc>
      </w:tr>
      <w:tr w:rsidR="00961765" w:rsidRPr="00A11F64" w:rsidTr="002167AE">
        <w:trPr>
          <w:trHeight w:val="232"/>
        </w:trPr>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lang w:val="en-US"/>
              </w:rPr>
              <w:t>BNPB</w:t>
            </w:r>
          </w:p>
        </w:tc>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lang w:val="en-US"/>
              </w:rPr>
              <w:t>National Disaster Agency</w:t>
            </w:r>
          </w:p>
        </w:tc>
      </w:tr>
      <w:tr w:rsidR="00961765" w:rsidRPr="00A11F64" w:rsidTr="002167AE">
        <w:trPr>
          <w:trHeight w:val="232"/>
        </w:trPr>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lang w:val="en-US"/>
              </w:rPr>
            </w:pPr>
            <w:r w:rsidRPr="00EB4FEE">
              <w:rPr>
                <w:rFonts w:asciiTheme="majorHAnsi" w:hAnsiTheme="majorHAnsi" w:cs="Calibri Light"/>
                <w:color w:val="595959" w:themeColor="text1" w:themeTint="A6"/>
              </w:rPr>
              <w:t xml:space="preserve">CDC </w:t>
            </w:r>
          </w:p>
        </w:tc>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lang w:val="en-US"/>
              </w:rPr>
            </w:pPr>
            <w:r w:rsidRPr="00EB4FEE">
              <w:rPr>
                <w:rFonts w:asciiTheme="majorHAnsi" w:hAnsiTheme="majorHAnsi" w:cs="Calibri Light"/>
                <w:color w:val="595959" w:themeColor="text1" w:themeTint="A6"/>
              </w:rPr>
              <w:t>Centers for Disease Control and Prevention (US Government)</w:t>
            </w:r>
          </w:p>
        </w:tc>
      </w:tr>
      <w:tr w:rsidR="00961765" w:rsidRPr="00A11F64" w:rsidTr="002167AE">
        <w:trPr>
          <w:trHeight w:val="232"/>
        </w:trPr>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DAWR</w:t>
            </w:r>
          </w:p>
        </w:tc>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Department of Agriculture and Water Resources (Government of Australia)</w:t>
            </w:r>
            <w:r w:rsidRPr="00EB4FEE" w:rsidDel="00624E73">
              <w:rPr>
                <w:rFonts w:asciiTheme="majorHAnsi" w:hAnsiTheme="majorHAnsi" w:cs="Calibri Light"/>
                <w:color w:val="595959" w:themeColor="text1" w:themeTint="A6"/>
              </w:rPr>
              <w:t xml:space="preserve"> </w:t>
            </w:r>
          </w:p>
        </w:tc>
      </w:tr>
      <w:tr w:rsidR="00961765" w:rsidRPr="00A11F64" w:rsidTr="002167AE">
        <w:trPr>
          <w:trHeight w:val="232"/>
        </w:trPr>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DFAT</w:t>
            </w:r>
          </w:p>
        </w:tc>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Department of Foreign Affairs and Trade (Government of Australia)</w:t>
            </w:r>
          </w:p>
        </w:tc>
      </w:tr>
      <w:tr w:rsidR="00961765" w:rsidRPr="00A11F64" w:rsidTr="002167AE">
        <w:trPr>
          <w:trHeight w:val="232"/>
        </w:trPr>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DoH</w:t>
            </w:r>
          </w:p>
        </w:tc>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Department of Health (Government of Australia)</w:t>
            </w:r>
          </w:p>
        </w:tc>
      </w:tr>
      <w:tr w:rsidR="00961765" w:rsidRPr="00A11F64" w:rsidTr="002167AE">
        <w:trPr>
          <w:trHeight w:val="232"/>
        </w:trPr>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EID</w:t>
            </w:r>
          </w:p>
        </w:tc>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Emerging infectious disease</w:t>
            </w:r>
          </w:p>
        </w:tc>
      </w:tr>
      <w:tr w:rsidR="00961765" w:rsidRPr="00A11F64" w:rsidTr="002167AE">
        <w:trPr>
          <w:trHeight w:val="232"/>
        </w:trPr>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EPT-2</w:t>
            </w:r>
          </w:p>
        </w:tc>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Emerging Pandemic Threats program, Phase 2</w:t>
            </w:r>
          </w:p>
        </w:tc>
      </w:tr>
      <w:tr w:rsidR="00961765" w:rsidRPr="00A11F64" w:rsidTr="002167AE">
        <w:trPr>
          <w:trHeight w:val="232"/>
        </w:trPr>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 xml:space="preserve">EWARS </w:t>
            </w:r>
          </w:p>
        </w:tc>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 xml:space="preserve">Early Warning Alert and Response System </w:t>
            </w:r>
          </w:p>
        </w:tc>
      </w:tr>
      <w:tr w:rsidR="00961765" w:rsidRPr="00A11F64" w:rsidTr="002167AE">
        <w:trPr>
          <w:trHeight w:val="232"/>
        </w:trPr>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FAO</w:t>
            </w:r>
          </w:p>
        </w:tc>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UN Food and Agriculture Organization</w:t>
            </w:r>
          </w:p>
        </w:tc>
      </w:tr>
      <w:tr w:rsidR="00961765" w:rsidRPr="00A11F64" w:rsidTr="002167AE">
        <w:trPr>
          <w:trHeight w:val="232"/>
        </w:trPr>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 xml:space="preserve">FETP(V) </w:t>
            </w:r>
          </w:p>
        </w:tc>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Field Epidemiology Training Program (for Veterinarians)</w:t>
            </w:r>
          </w:p>
        </w:tc>
      </w:tr>
      <w:tr w:rsidR="00961765" w:rsidRPr="00A11F64" w:rsidTr="002167AE">
        <w:trPr>
          <w:trHeight w:val="232"/>
        </w:trPr>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 xml:space="preserve">GHSA </w:t>
            </w:r>
          </w:p>
        </w:tc>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 xml:space="preserve">Global Health Security Agenda </w:t>
            </w:r>
          </w:p>
        </w:tc>
      </w:tr>
      <w:tr w:rsidR="00961765" w:rsidRPr="00A11F64" w:rsidTr="002167AE">
        <w:trPr>
          <w:trHeight w:val="232"/>
        </w:trPr>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GoA</w:t>
            </w:r>
          </w:p>
        </w:tc>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Government of Australia</w:t>
            </w:r>
          </w:p>
        </w:tc>
      </w:tr>
      <w:tr w:rsidR="00961765" w:rsidRPr="00A11F64" w:rsidTr="002167AE">
        <w:trPr>
          <w:trHeight w:val="232"/>
        </w:trPr>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GoI</w:t>
            </w:r>
          </w:p>
        </w:tc>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Government of Indonesia</w:t>
            </w:r>
          </w:p>
        </w:tc>
      </w:tr>
      <w:tr w:rsidR="00961765" w:rsidRPr="00A11F64" w:rsidTr="002167AE">
        <w:trPr>
          <w:trHeight w:val="232"/>
        </w:trPr>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HPAI</w:t>
            </w:r>
          </w:p>
        </w:tc>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Highly Pathogenic Avian Influenza</w:t>
            </w:r>
          </w:p>
        </w:tc>
      </w:tr>
      <w:tr w:rsidR="00961765" w:rsidRPr="00A11F64" w:rsidTr="002167AE">
        <w:trPr>
          <w:trHeight w:val="232"/>
        </w:trPr>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 xml:space="preserve">IHR </w:t>
            </w:r>
          </w:p>
        </w:tc>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 xml:space="preserve">International Health Regulations </w:t>
            </w:r>
          </w:p>
        </w:tc>
      </w:tr>
      <w:tr w:rsidR="00961765" w:rsidRPr="00A11F64" w:rsidTr="002167AE">
        <w:trPr>
          <w:trHeight w:val="232"/>
        </w:trPr>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INOVASI</w:t>
            </w:r>
          </w:p>
        </w:tc>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Innovation for Indonesia's School Children</w:t>
            </w:r>
          </w:p>
        </w:tc>
      </w:tr>
      <w:tr w:rsidR="00961765" w:rsidRPr="00A11F64" w:rsidTr="002167AE">
        <w:trPr>
          <w:trHeight w:val="232"/>
        </w:trPr>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Inpres</w:t>
            </w:r>
          </w:p>
        </w:tc>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Presidential Instruction</w:t>
            </w:r>
          </w:p>
        </w:tc>
      </w:tr>
      <w:tr w:rsidR="00961765" w:rsidRPr="00A11F64" w:rsidTr="002167AE">
        <w:trPr>
          <w:trHeight w:val="232"/>
        </w:trPr>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IPCHS</w:t>
            </w:r>
          </w:p>
        </w:tc>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Indo-Pacific Centre for Health Security (DFAT)</w:t>
            </w:r>
          </w:p>
        </w:tc>
      </w:tr>
      <w:tr w:rsidR="00961765" w:rsidRPr="00A11F64" w:rsidTr="002167AE">
        <w:trPr>
          <w:trHeight w:val="232"/>
        </w:trPr>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 xml:space="preserve">iSIKHNAS </w:t>
            </w:r>
          </w:p>
        </w:tc>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 xml:space="preserve">Integrated National Animal Health Information System </w:t>
            </w:r>
          </w:p>
        </w:tc>
      </w:tr>
      <w:tr w:rsidR="00961765" w:rsidRPr="00A11F64" w:rsidTr="002167AE">
        <w:trPr>
          <w:trHeight w:val="232"/>
        </w:trPr>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lang w:val="en-US"/>
              </w:rPr>
            </w:pPr>
            <w:r w:rsidRPr="00EB4FEE">
              <w:rPr>
                <w:rFonts w:asciiTheme="majorHAnsi" w:hAnsiTheme="majorHAnsi" w:cs="Calibri Light"/>
                <w:color w:val="595959" w:themeColor="text1" w:themeTint="A6"/>
                <w:lang w:val="en-US"/>
              </w:rPr>
              <w:t>JEE</w:t>
            </w:r>
          </w:p>
        </w:tc>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lang w:val="en-US"/>
              </w:rPr>
            </w:pPr>
            <w:r w:rsidRPr="00EB4FEE">
              <w:rPr>
                <w:rFonts w:asciiTheme="majorHAnsi" w:hAnsiTheme="majorHAnsi" w:cs="Calibri Light"/>
                <w:color w:val="595959" w:themeColor="text1" w:themeTint="A6"/>
                <w:lang w:val="en-US"/>
              </w:rPr>
              <w:t>Joint External Evaluation</w:t>
            </w:r>
          </w:p>
        </w:tc>
      </w:tr>
      <w:tr w:rsidR="00961765" w:rsidRPr="00A11F64" w:rsidTr="002167AE">
        <w:trPr>
          <w:trHeight w:val="232"/>
        </w:trPr>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lang w:val="en-US"/>
              </w:rPr>
              <w:t>Kemenko PMK</w:t>
            </w:r>
          </w:p>
        </w:tc>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lang w:val="en-US"/>
              </w:rPr>
              <w:t>Coordinating Ministry for Human Development and Cultural Affairs</w:t>
            </w:r>
          </w:p>
        </w:tc>
      </w:tr>
      <w:tr w:rsidR="00961765" w:rsidRPr="00A11F64" w:rsidTr="002167AE">
        <w:trPr>
          <w:trHeight w:val="232"/>
        </w:trPr>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 xml:space="preserve">KOMNAS Zoonosis </w:t>
            </w:r>
          </w:p>
        </w:tc>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 xml:space="preserve">National Commission for Zoonotic Disease Control </w:t>
            </w:r>
          </w:p>
        </w:tc>
      </w:tr>
      <w:tr w:rsidR="00C36348" w:rsidRPr="00A11F64" w:rsidTr="002167AE">
        <w:trPr>
          <w:trHeight w:val="232"/>
        </w:trPr>
        <w:tc>
          <w:tcPr>
            <w:tcW w:w="0" w:type="auto"/>
            <w:tcBorders>
              <w:top w:val="single" w:sz="4" w:space="0" w:color="000000"/>
              <w:left w:val="single" w:sz="4" w:space="0" w:color="000000"/>
              <w:bottom w:val="single" w:sz="4" w:space="0" w:color="000000"/>
              <w:right w:val="single" w:sz="4" w:space="0" w:color="000000"/>
            </w:tcBorders>
          </w:tcPr>
          <w:p w:rsidR="00C36348" w:rsidRPr="00EB4FEE" w:rsidRDefault="00C36348"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KOMPAK</w:t>
            </w:r>
          </w:p>
        </w:tc>
        <w:tc>
          <w:tcPr>
            <w:tcW w:w="0" w:type="auto"/>
            <w:tcBorders>
              <w:top w:val="single" w:sz="4" w:space="0" w:color="000000"/>
              <w:left w:val="single" w:sz="4" w:space="0" w:color="000000"/>
              <w:bottom w:val="single" w:sz="4" w:space="0" w:color="000000"/>
              <w:right w:val="single" w:sz="4" w:space="0" w:color="000000"/>
            </w:tcBorders>
          </w:tcPr>
          <w:p w:rsidR="00C36348" w:rsidRPr="00EB4FEE" w:rsidRDefault="00C36348" w:rsidP="007500AC">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Governance for Growth program</w:t>
            </w:r>
          </w:p>
        </w:tc>
      </w:tr>
      <w:tr w:rsidR="00961765" w:rsidRPr="00A11F64" w:rsidTr="002167AE">
        <w:trPr>
          <w:trHeight w:val="232"/>
        </w:trPr>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lang w:val="en-US"/>
              </w:rPr>
              <w:t>KPI</w:t>
            </w:r>
          </w:p>
        </w:tc>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eastAsia="Arial" w:hAnsiTheme="majorHAnsi" w:cs="Calibri Light"/>
                <w:color w:val="595959" w:themeColor="text1" w:themeTint="A6"/>
                <w:lang w:val="en-US"/>
              </w:rPr>
              <w:t>Key performance indicator</w:t>
            </w:r>
          </w:p>
        </w:tc>
      </w:tr>
      <w:tr w:rsidR="00961765" w:rsidRPr="00A11F64" w:rsidTr="002167AE">
        <w:trPr>
          <w:trHeight w:val="232"/>
        </w:trPr>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KSI</w:t>
            </w:r>
          </w:p>
        </w:tc>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Knowledge Sector Initiative</w:t>
            </w:r>
          </w:p>
        </w:tc>
      </w:tr>
      <w:tr w:rsidR="00961765" w:rsidRPr="00A11F64" w:rsidTr="002167AE">
        <w:trPr>
          <w:trHeight w:val="232"/>
        </w:trPr>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LOGICA</w:t>
            </w:r>
          </w:p>
        </w:tc>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Local Governance Innovations for Communities in Aceh</w:t>
            </w:r>
          </w:p>
        </w:tc>
      </w:tr>
      <w:tr w:rsidR="00961765" w:rsidRPr="00A11F64" w:rsidTr="002167AE">
        <w:trPr>
          <w:trHeight w:val="232"/>
        </w:trPr>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MAHKOTA</w:t>
            </w:r>
          </w:p>
        </w:tc>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Towards a Strong and Prosperous Indonesian Society</w:t>
            </w:r>
          </w:p>
        </w:tc>
      </w:tr>
      <w:tr w:rsidR="00961765" w:rsidRPr="00A11F64" w:rsidTr="002167AE">
        <w:trPr>
          <w:trHeight w:val="232"/>
        </w:trPr>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M&amp;E</w:t>
            </w:r>
          </w:p>
        </w:tc>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Monitoring and evaluation</w:t>
            </w:r>
          </w:p>
        </w:tc>
      </w:tr>
      <w:tr w:rsidR="00934426" w:rsidRPr="00A11F64" w:rsidTr="002167AE">
        <w:trPr>
          <w:trHeight w:val="232"/>
        </w:trPr>
        <w:tc>
          <w:tcPr>
            <w:tcW w:w="0" w:type="auto"/>
            <w:tcBorders>
              <w:top w:val="single" w:sz="4" w:space="0" w:color="000000"/>
              <w:left w:val="single" w:sz="4" w:space="0" w:color="000000"/>
              <w:bottom w:val="single" w:sz="4" w:space="0" w:color="000000"/>
              <w:right w:val="single" w:sz="4" w:space="0" w:color="000000"/>
            </w:tcBorders>
          </w:tcPr>
          <w:p w:rsidR="00934426" w:rsidRPr="00EB4FEE" w:rsidRDefault="00934426" w:rsidP="00961765">
            <w:pPr>
              <w:spacing w:before="0" w:after="0" w:line="240" w:lineRule="auto"/>
              <w:rPr>
                <w:rFonts w:asciiTheme="majorHAnsi" w:hAnsiTheme="majorHAnsi" w:cs="Calibri Light"/>
                <w:color w:val="595959" w:themeColor="text1" w:themeTint="A6"/>
              </w:rPr>
            </w:pPr>
            <w:r>
              <w:rPr>
                <w:rFonts w:asciiTheme="majorHAnsi" w:hAnsiTheme="majorHAnsi" w:cs="Calibri Light"/>
                <w:color w:val="595959" w:themeColor="text1" w:themeTint="A6"/>
              </w:rPr>
              <w:t>MEL</w:t>
            </w:r>
          </w:p>
        </w:tc>
        <w:tc>
          <w:tcPr>
            <w:tcW w:w="0" w:type="auto"/>
            <w:tcBorders>
              <w:top w:val="single" w:sz="4" w:space="0" w:color="000000"/>
              <w:left w:val="single" w:sz="4" w:space="0" w:color="000000"/>
              <w:bottom w:val="single" w:sz="4" w:space="0" w:color="000000"/>
              <w:right w:val="single" w:sz="4" w:space="0" w:color="000000"/>
            </w:tcBorders>
          </w:tcPr>
          <w:p w:rsidR="00934426" w:rsidRPr="00EB4FEE" w:rsidRDefault="00934426" w:rsidP="00961765">
            <w:pPr>
              <w:spacing w:before="0" w:after="0" w:line="240" w:lineRule="auto"/>
              <w:rPr>
                <w:rFonts w:asciiTheme="majorHAnsi" w:hAnsiTheme="majorHAnsi" w:cs="Calibri Light"/>
                <w:color w:val="595959" w:themeColor="text1" w:themeTint="A6"/>
              </w:rPr>
            </w:pPr>
            <w:r>
              <w:rPr>
                <w:rFonts w:asciiTheme="majorHAnsi" w:hAnsiTheme="majorHAnsi" w:cs="Calibri Light"/>
                <w:color w:val="595959" w:themeColor="text1" w:themeTint="A6"/>
              </w:rPr>
              <w:t>Monitoring, evaluation and learning</w:t>
            </w:r>
          </w:p>
        </w:tc>
      </w:tr>
      <w:tr w:rsidR="00961765" w:rsidRPr="00A11F64" w:rsidTr="002167AE">
        <w:trPr>
          <w:trHeight w:val="232"/>
        </w:trPr>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ME</w:t>
            </w:r>
            <w:r w:rsidR="00934426">
              <w:rPr>
                <w:rFonts w:asciiTheme="majorHAnsi" w:hAnsiTheme="majorHAnsi" w:cs="Calibri Light"/>
                <w:color w:val="595959" w:themeColor="text1" w:themeTint="A6"/>
              </w:rPr>
              <w:t>L</w:t>
            </w:r>
            <w:r w:rsidRPr="00EB4FEE">
              <w:rPr>
                <w:rFonts w:asciiTheme="majorHAnsi" w:hAnsiTheme="majorHAnsi" w:cs="Calibri Light"/>
                <w:color w:val="595959" w:themeColor="text1" w:themeTint="A6"/>
              </w:rPr>
              <w:t>F</w:t>
            </w:r>
          </w:p>
        </w:tc>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Monitoring</w:t>
            </w:r>
            <w:r w:rsidR="00934426">
              <w:rPr>
                <w:rFonts w:asciiTheme="majorHAnsi" w:hAnsiTheme="majorHAnsi" w:cs="Calibri Light"/>
                <w:color w:val="595959" w:themeColor="text1" w:themeTint="A6"/>
              </w:rPr>
              <w:t>,</w:t>
            </w:r>
            <w:r w:rsidRPr="00EB4FEE">
              <w:rPr>
                <w:rFonts w:asciiTheme="majorHAnsi" w:hAnsiTheme="majorHAnsi" w:cs="Calibri Light"/>
                <w:color w:val="595959" w:themeColor="text1" w:themeTint="A6"/>
              </w:rPr>
              <w:t xml:space="preserve"> Evaluation </w:t>
            </w:r>
            <w:r w:rsidR="00934426">
              <w:rPr>
                <w:rFonts w:asciiTheme="majorHAnsi" w:hAnsiTheme="majorHAnsi" w:cs="Calibri Light"/>
                <w:color w:val="595959" w:themeColor="text1" w:themeTint="A6"/>
              </w:rPr>
              <w:t xml:space="preserve">and Learning </w:t>
            </w:r>
            <w:r w:rsidRPr="00EB4FEE">
              <w:rPr>
                <w:rFonts w:asciiTheme="majorHAnsi" w:hAnsiTheme="majorHAnsi" w:cs="Calibri Light"/>
                <w:color w:val="595959" w:themeColor="text1" w:themeTint="A6"/>
              </w:rPr>
              <w:t>Framework</w:t>
            </w:r>
          </w:p>
        </w:tc>
      </w:tr>
      <w:tr w:rsidR="00961765" w:rsidRPr="00A11F64" w:rsidTr="002167AE">
        <w:trPr>
          <w:trHeight w:val="232"/>
        </w:trPr>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MoA</w:t>
            </w:r>
          </w:p>
        </w:tc>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Ministry of Agriculture (Government of Indonesia)</w:t>
            </w:r>
          </w:p>
        </w:tc>
      </w:tr>
      <w:tr w:rsidR="00961765" w:rsidRPr="00A11F64" w:rsidTr="002167AE">
        <w:trPr>
          <w:trHeight w:val="232"/>
        </w:trPr>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 xml:space="preserve">MoH </w:t>
            </w:r>
          </w:p>
        </w:tc>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Ministry of Health (Government of Indonesia)</w:t>
            </w:r>
          </w:p>
        </w:tc>
      </w:tr>
      <w:tr w:rsidR="00961765" w:rsidRPr="00A11F64" w:rsidTr="002167AE">
        <w:trPr>
          <w:trHeight w:val="232"/>
        </w:trPr>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NAPHS</w:t>
            </w:r>
          </w:p>
        </w:tc>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National Action Plan for Health Security</w:t>
            </w:r>
          </w:p>
        </w:tc>
      </w:tr>
      <w:tr w:rsidR="00961765" w:rsidRPr="00A11F64" w:rsidTr="002167AE">
        <w:trPr>
          <w:trHeight w:val="232"/>
        </w:trPr>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 xml:space="preserve">OIE </w:t>
            </w:r>
          </w:p>
        </w:tc>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 xml:space="preserve">World Organisation for Animal Health </w:t>
            </w:r>
          </w:p>
        </w:tc>
      </w:tr>
      <w:tr w:rsidR="00961765" w:rsidRPr="00A11F64" w:rsidTr="002167AE">
        <w:trPr>
          <w:trHeight w:val="232"/>
        </w:trPr>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 xml:space="preserve">PCC </w:t>
            </w:r>
          </w:p>
        </w:tc>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 xml:space="preserve">Program Coordinating Committee </w:t>
            </w:r>
          </w:p>
        </w:tc>
      </w:tr>
      <w:tr w:rsidR="00961765" w:rsidRPr="00A11F64" w:rsidTr="002167AE">
        <w:trPr>
          <w:trHeight w:val="232"/>
        </w:trPr>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PHEOC</w:t>
            </w:r>
          </w:p>
        </w:tc>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Public Health Emergency Operations Centre</w:t>
            </w:r>
          </w:p>
        </w:tc>
      </w:tr>
      <w:tr w:rsidR="00961765" w:rsidRPr="00A11F64" w:rsidTr="002167AE">
        <w:trPr>
          <w:trHeight w:val="232"/>
        </w:trPr>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PNPM</w:t>
            </w:r>
          </w:p>
        </w:tc>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Indonesia's National Program for Community Empowerment</w:t>
            </w:r>
          </w:p>
        </w:tc>
      </w:tr>
      <w:tr w:rsidR="00961765" w:rsidRPr="00A11F64" w:rsidTr="002167AE">
        <w:trPr>
          <w:trHeight w:val="232"/>
        </w:trPr>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P&amp;R</w:t>
            </w:r>
          </w:p>
        </w:tc>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Preparedness and response</w:t>
            </w:r>
          </w:p>
        </w:tc>
      </w:tr>
      <w:tr w:rsidR="00961765" w:rsidRPr="00A11F64" w:rsidTr="002167AE">
        <w:trPr>
          <w:trHeight w:val="232"/>
        </w:trPr>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PSC</w:t>
            </w:r>
          </w:p>
        </w:tc>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Program Steering Committee</w:t>
            </w:r>
          </w:p>
        </w:tc>
      </w:tr>
      <w:tr w:rsidR="00961765" w:rsidRPr="00A11F64" w:rsidTr="002167AE">
        <w:trPr>
          <w:trHeight w:val="232"/>
        </w:trPr>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 xml:space="preserve">PVS </w:t>
            </w:r>
          </w:p>
        </w:tc>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 xml:space="preserve">Performance of Veterinary Services </w:t>
            </w:r>
          </w:p>
        </w:tc>
      </w:tr>
      <w:tr w:rsidR="00961765" w:rsidRPr="00A11F64" w:rsidTr="002167AE">
        <w:trPr>
          <w:trHeight w:val="232"/>
        </w:trPr>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lang w:val="en-US"/>
              </w:rPr>
              <w:t>RPJMN</w:t>
            </w:r>
          </w:p>
        </w:tc>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b/>
                <w:color w:val="595959" w:themeColor="text1" w:themeTint="A6"/>
              </w:rPr>
            </w:pPr>
            <w:r w:rsidRPr="00EB4FEE">
              <w:rPr>
                <w:rFonts w:asciiTheme="majorHAnsi" w:hAnsiTheme="majorHAnsi" w:cs="Calibri Light"/>
                <w:color w:val="595959" w:themeColor="text1" w:themeTint="A6"/>
                <w:lang w:val="en-US"/>
              </w:rPr>
              <w:t>Indonesia’s National Medium Term Strategic Plan</w:t>
            </w:r>
          </w:p>
        </w:tc>
      </w:tr>
      <w:tr w:rsidR="00961765" w:rsidRPr="00A11F64" w:rsidTr="002167AE">
        <w:trPr>
          <w:trHeight w:val="232"/>
        </w:trPr>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SEDIA</w:t>
            </w:r>
          </w:p>
        </w:tc>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lang w:val="en"/>
              </w:rPr>
            </w:pPr>
            <w:r w:rsidRPr="00EB4FEE">
              <w:rPr>
                <w:rFonts w:asciiTheme="majorHAnsi" w:hAnsiTheme="majorHAnsi" w:cs="Calibri Light"/>
                <w:color w:val="595959" w:themeColor="text1" w:themeTint="A6"/>
                <w:lang w:val="en"/>
              </w:rPr>
              <w:t>Support for Education Sector Development in Aceh 2009-2013</w:t>
            </w:r>
          </w:p>
        </w:tc>
      </w:tr>
      <w:tr w:rsidR="00961765" w:rsidRPr="00A11F64" w:rsidTr="002167AE">
        <w:trPr>
          <w:trHeight w:val="232"/>
        </w:trPr>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SehatSatli</w:t>
            </w:r>
          </w:p>
        </w:tc>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lang w:val="en-AU"/>
              </w:rPr>
            </w:pPr>
            <w:r w:rsidRPr="00EB4FEE">
              <w:rPr>
                <w:rFonts w:asciiTheme="majorHAnsi" w:hAnsiTheme="majorHAnsi" w:cs="Calibri Light"/>
                <w:color w:val="595959" w:themeColor="text1" w:themeTint="A6"/>
                <w:lang w:val="en"/>
              </w:rPr>
              <w:t>Wildlife health information system</w:t>
            </w:r>
          </w:p>
        </w:tc>
      </w:tr>
      <w:tr w:rsidR="00961765" w:rsidRPr="00A11F64" w:rsidTr="002167AE">
        <w:trPr>
          <w:trHeight w:val="232"/>
        </w:trPr>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SIZE</w:t>
            </w:r>
          </w:p>
        </w:tc>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Zoonosis and EID information system</w:t>
            </w:r>
          </w:p>
        </w:tc>
      </w:tr>
      <w:tr w:rsidR="00961765" w:rsidRPr="00A11F64" w:rsidTr="002167AE">
        <w:trPr>
          <w:trHeight w:val="232"/>
        </w:trPr>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TAG</w:t>
            </w:r>
          </w:p>
        </w:tc>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keepNext/>
              <w:spacing w:before="0" w:after="0" w:line="240" w:lineRule="auto"/>
              <w:ind w:left="10" w:hanging="10"/>
              <w:rPr>
                <w:rFonts w:asciiTheme="majorHAnsi" w:hAnsiTheme="majorHAnsi" w:cs="Calibri Light"/>
                <w:color w:val="595959" w:themeColor="text1" w:themeTint="A6"/>
              </w:rPr>
            </w:pPr>
            <w:r w:rsidRPr="00EB4FEE">
              <w:rPr>
                <w:rFonts w:asciiTheme="majorHAnsi" w:eastAsia="Arial" w:hAnsiTheme="majorHAnsi" w:cs="Calibri Light"/>
                <w:color w:val="595959" w:themeColor="text1" w:themeTint="A6"/>
              </w:rPr>
              <w:t>Technical Advisory Group</w:t>
            </w:r>
          </w:p>
        </w:tc>
      </w:tr>
      <w:tr w:rsidR="00806CF3" w:rsidRPr="00A11F64" w:rsidTr="002167AE">
        <w:trPr>
          <w:trHeight w:val="232"/>
        </w:trPr>
        <w:tc>
          <w:tcPr>
            <w:tcW w:w="0" w:type="auto"/>
            <w:tcBorders>
              <w:top w:val="single" w:sz="4" w:space="0" w:color="000000"/>
              <w:left w:val="single" w:sz="4" w:space="0" w:color="000000"/>
              <w:bottom w:val="single" w:sz="4" w:space="0" w:color="000000"/>
              <w:right w:val="single" w:sz="4" w:space="0" w:color="000000"/>
            </w:tcBorders>
          </w:tcPr>
          <w:p w:rsidR="00806CF3" w:rsidRPr="00EB4FEE" w:rsidRDefault="00806CF3"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TASS</w:t>
            </w:r>
          </w:p>
        </w:tc>
        <w:tc>
          <w:tcPr>
            <w:tcW w:w="0" w:type="auto"/>
            <w:tcBorders>
              <w:top w:val="single" w:sz="4" w:space="0" w:color="000000"/>
              <w:left w:val="single" w:sz="4" w:space="0" w:color="000000"/>
              <w:bottom w:val="single" w:sz="4" w:space="0" w:color="000000"/>
              <w:right w:val="single" w:sz="4" w:space="0" w:color="000000"/>
            </w:tcBorders>
          </w:tcPr>
          <w:p w:rsidR="00806CF3" w:rsidRPr="00EB4FEE" w:rsidRDefault="00806CF3" w:rsidP="00961765">
            <w:pPr>
              <w:keepNext/>
              <w:spacing w:before="0" w:after="0" w:line="240" w:lineRule="auto"/>
              <w:ind w:left="10" w:hanging="10"/>
              <w:rPr>
                <w:rFonts w:asciiTheme="majorHAnsi" w:eastAsia="Arial" w:hAnsiTheme="majorHAnsi" w:cs="Calibri Light"/>
                <w:color w:val="595959" w:themeColor="text1" w:themeTint="A6"/>
              </w:rPr>
            </w:pPr>
            <w:r w:rsidRPr="00EB4FEE">
              <w:rPr>
                <w:rFonts w:asciiTheme="majorHAnsi" w:eastAsia="Arial" w:hAnsiTheme="majorHAnsi" w:cs="Calibri Light"/>
                <w:color w:val="595959" w:themeColor="text1" w:themeTint="A6"/>
              </w:rPr>
              <w:t>Technical Assistance for Education Systems Strengthening</w:t>
            </w:r>
          </w:p>
        </w:tc>
      </w:tr>
      <w:tr w:rsidR="00961765" w:rsidRPr="00A11F64" w:rsidTr="002167AE">
        <w:trPr>
          <w:trHeight w:val="232"/>
        </w:trPr>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TB</w:t>
            </w:r>
          </w:p>
        </w:tc>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keepNext/>
              <w:spacing w:before="0" w:after="0" w:line="240" w:lineRule="auto"/>
              <w:ind w:left="10" w:hanging="10"/>
              <w:rPr>
                <w:rFonts w:asciiTheme="majorHAnsi" w:eastAsia="Arial" w:hAnsiTheme="majorHAnsi" w:cs="Calibri Light"/>
                <w:color w:val="595959" w:themeColor="text1" w:themeTint="A6"/>
              </w:rPr>
            </w:pPr>
            <w:r w:rsidRPr="00EB4FEE">
              <w:rPr>
                <w:rFonts w:asciiTheme="majorHAnsi" w:eastAsia="Arial" w:hAnsiTheme="majorHAnsi" w:cs="Calibri Light"/>
                <w:color w:val="595959" w:themeColor="text1" w:themeTint="A6"/>
              </w:rPr>
              <w:t>Tuberculosis</w:t>
            </w:r>
          </w:p>
        </w:tc>
      </w:tr>
      <w:tr w:rsidR="00961765" w:rsidRPr="00A11F64" w:rsidTr="002167AE">
        <w:trPr>
          <w:trHeight w:val="232"/>
        </w:trPr>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UHC</w:t>
            </w:r>
          </w:p>
        </w:tc>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keepNext/>
              <w:spacing w:before="0" w:after="0" w:line="240" w:lineRule="auto"/>
              <w:ind w:left="10" w:hanging="10"/>
              <w:rPr>
                <w:rFonts w:asciiTheme="majorHAnsi" w:eastAsia="Arial" w:hAnsiTheme="majorHAnsi" w:cs="Calibri Light"/>
                <w:color w:val="595959" w:themeColor="text1" w:themeTint="A6"/>
              </w:rPr>
            </w:pPr>
            <w:r w:rsidRPr="00EB4FEE">
              <w:rPr>
                <w:rFonts w:asciiTheme="majorHAnsi" w:eastAsia="Arial" w:hAnsiTheme="majorHAnsi" w:cs="Calibri Light"/>
                <w:color w:val="595959" w:themeColor="text1" w:themeTint="A6"/>
              </w:rPr>
              <w:t>Universal Health Coverage</w:t>
            </w:r>
          </w:p>
        </w:tc>
      </w:tr>
      <w:tr w:rsidR="00961765" w:rsidRPr="00A11F64" w:rsidTr="002167AE">
        <w:trPr>
          <w:trHeight w:val="232"/>
        </w:trPr>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USAID</w:t>
            </w:r>
          </w:p>
        </w:tc>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United States Assistance for International Development</w:t>
            </w:r>
          </w:p>
        </w:tc>
      </w:tr>
      <w:tr w:rsidR="00961765" w:rsidRPr="00A11F64" w:rsidTr="002167AE">
        <w:trPr>
          <w:trHeight w:val="232"/>
        </w:trPr>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WHO</w:t>
            </w:r>
          </w:p>
        </w:tc>
        <w:tc>
          <w:tcPr>
            <w:tcW w:w="0" w:type="auto"/>
            <w:tcBorders>
              <w:top w:val="single" w:sz="4" w:space="0" w:color="000000"/>
              <w:left w:val="single" w:sz="4" w:space="0" w:color="000000"/>
              <w:bottom w:val="single" w:sz="4" w:space="0" w:color="000000"/>
              <w:right w:val="single" w:sz="4" w:space="0" w:color="000000"/>
            </w:tcBorders>
          </w:tcPr>
          <w:p w:rsidR="00961765" w:rsidRPr="00EB4FEE" w:rsidRDefault="00961765" w:rsidP="00961765">
            <w:pPr>
              <w:spacing w:before="0" w:after="0" w:line="240" w:lineRule="auto"/>
              <w:rPr>
                <w:rFonts w:asciiTheme="majorHAnsi" w:hAnsiTheme="majorHAnsi" w:cs="Calibri Light"/>
                <w:color w:val="595959" w:themeColor="text1" w:themeTint="A6"/>
              </w:rPr>
            </w:pPr>
            <w:r w:rsidRPr="00EB4FEE">
              <w:rPr>
                <w:rFonts w:asciiTheme="majorHAnsi" w:hAnsiTheme="majorHAnsi" w:cs="Calibri Light"/>
                <w:color w:val="595959" w:themeColor="text1" w:themeTint="A6"/>
              </w:rPr>
              <w:t>World Health Organization</w:t>
            </w:r>
          </w:p>
        </w:tc>
      </w:tr>
    </w:tbl>
    <w:p w:rsidR="00E37549" w:rsidRPr="00CB527B" w:rsidRDefault="00E37549" w:rsidP="00BF6C52">
      <w:pPr>
        <w:pStyle w:val="Heading1smallspaceafter"/>
        <w:spacing w:after="120" w:line="240" w:lineRule="auto"/>
        <w:rPr>
          <w:rFonts w:cstheme="majorHAnsi"/>
          <w:sz w:val="22"/>
          <w:szCs w:val="22"/>
        </w:rPr>
      </w:pPr>
    </w:p>
    <w:p w:rsidR="00806CF3" w:rsidRDefault="00806CF3">
      <w:r>
        <w:rPr>
          <w:b/>
          <w:bCs/>
          <w:caps/>
        </w:rPr>
        <w:br w:type="page"/>
      </w:r>
    </w:p>
    <w:tbl>
      <w:tblPr>
        <w:tblpPr w:leftFromText="180" w:rightFromText="180" w:vertAnchor="text" w:tblpY="321"/>
        <w:tblW w:w="983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9838"/>
      </w:tblGrid>
      <w:tr w:rsidR="00A83F84" w:rsidRPr="0043356C" w:rsidTr="00A83F84">
        <w:trPr>
          <w:cantSplit/>
          <w:trHeight w:val="360"/>
        </w:trPr>
        <w:tc>
          <w:tcPr>
            <w:tcW w:w="9838" w:type="dxa"/>
            <w:shd w:val="clear" w:color="auto" w:fill="C1E7E0" w:themeFill="accent1" w:themeFillTint="66"/>
          </w:tcPr>
          <w:p w:rsidR="00A83F84" w:rsidRPr="0043356C" w:rsidRDefault="00A83F84" w:rsidP="00A83F84">
            <w:pPr>
              <w:pStyle w:val="Heading1"/>
              <w:spacing w:after="120" w:line="240" w:lineRule="auto"/>
              <w:contextualSpacing w:val="0"/>
              <w:rPr>
                <w:rFonts w:cstheme="majorHAnsi"/>
                <w:sz w:val="22"/>
                <w:szCs w:val="22"/>
              </w:rPr>
            </w:pPr>
            <w:r w:rsidRPr="0043356C">
              <w:rPr>
                <w:rFonts w:cstheme="majorHAnsi"/>
                <w:sz w:val="22"/>
                <w:szCs w:val="22"/>
              </w:rPr>
              <w:br w:type="page"/>
            </w:r>
            <w:bookmarkStart w:id="2" w:name="_Toc3296989"/>
            <w:r w:rsidRPr="0043356C">
              <w:rPr>
                <w:rFonts w:cstheme="majorHAnsi"/>
                <w:sz w:val="22"/>
                <w:szCs w:val="22"/>
              </w:rPr>
              <w:t>B: Executive Summary</w:t>
            </w:r>
            <w:bookmarkEnd w:id="2"/>
            <w:r w:rsidRPr="0043356C">
              <w:rPr>
                <w:rFonts w:cstheme="majorHAnsi"/>
                <w:sz w:val="22"/>
                <w:szCs w:val="22"/>
              </w:rPr>
              <w:t xml:space="preserve"> </w:t>
            </w:r>
          </w:p>
        </w:tc>
      </w:tr>
    </w:tbl>
    <w:p w:rsidR="00D2648E" w:rsidRPr="00CB527B" w:rsidRDefault="00D2648E">
      <w:pPr>
        <w:suppressAutoHyphens w:val="0"/>
        <w:spacing w:before="0" w:after="120" w:line="440" w:lineRule="atLeast"/>
        <w:rPr>
          <w:rFonts w:asciiTheme="majorHAnsi" w:hAnsiTheme="majorHAnsi" w:cstheme="majorHAnsi"/>
          <w:color w:val="595959" w:themeColor="text1" w:themeTint="A6"/>
          <w:lang w:val="en-AU"/>
        </w:rPr>
      </w:pPr>
    </w:p>
    <w:p w:rsidR="00D2648E" w:rsidRPr="00A11F64" w:rsidRDefault="00D2648E" w:rsidP="00D2648E">
      <w:pPr>
        <w:spacing w:before="0" w:after="120" w:line="240" w:lineRule="auto"/>
        <w:rPr>
          <w:rFonts w:asciiTheme="majorHAnsi" w:hAnsiTheme="majorHAnsi" w:cstheme="majorHAnsi"/>
          <w:color w:val="595959" w:themeColor="text1" w:themeTint="A6"/>
          <w:lang w:val="en-AU"/>
        </w:rPr>
      </w:pPr>
      <w:r w:rsidRPr="00A11F64">
        <w:rPr>
          <w:rFonts w:asciiTheme="majorHAnsi" w:hAnsiTheme="majorHAnsi" w:cstheme="majorHAnsi"/>
          <w:color w:val="595959" w:themeColor="text1" w:themeTint="A6"/>
          <w:lang w:val="en-AU"/>
        </w:rPr>
        <w:t xml:space="preserve">Health security threats </w:t>
      </w:r>
      <w:r w:rsidR="00972397">
        <w:rPr>
          <w:rFonts w:asciiTheme="majorHAnsi" w:hAnsiTheme="majorHAnsi" w:cstheme="majorHAnsi"/>
          <w:color w:val="595959" w:themeColor="text1" w:themeTint="A6"/>
          <w:lang w:val="en-AU"/>
        </w:rPr>
        <w:t>remain a major concern</w:t>
      </w:r>
      <w:r w:rsidRPr="00A11F64">
        <w:rPr>
          <w:rFonts w:asciiTheme="majorHAnsi" w:hAnsiTheme="majorHAnsi" w:cstheme="majorHAnsi"/>
          <w:color w:val="595959" w:themeColor="text1" w:themeTint="A6"/>
          <w:lang w:val="en-AU"/>
        </w:rPr>
        <w:t xml:space="preserve"> around the world</w:t>
      </w:r>
      <w:r w:rsidR="00C84CB8">
        <w:rPr>
          <w:rFonts w:asciiTheme="majorHAnsi" w:hAnsiTheme="majorHAnsi" w:cstheme="majorHAnsi"/>
          <w:color w:val="595959" w:themeColor="text1" w:themeTint="A6"/>
          <w:lang w:val="en-AU"/>
        </w:rPr>
        <w:t>.</w:t>
      </w:r>
      <w:r w:rsidR="00C83B0C" w:rsidRPr="00A11F64">
        <w:rPr>
          <w:rFonts w:asciiTheme="majorHAnsi" w:hAnsiTheme="majorHAnsi" w:cstheme="majorHAnsi"/>
          <w:color w:val="595959" w:themeColor="text1" w:themeTint="A6"/>
          <w:lang w:val="en-AU"/>
        </w:rPr>
        <w:t xml:space="preserve"> </w:t>
      </w:r>
      <w:r w:rsidRPr="00A11F64">
        <w:rPr>
          <w:rFonts w:asciiTheme="majorHAnsi" w:hAnsiTheme="majorHAnsi" w:cstheme="majorHAnsi"/>
          <w:color w:val="595959" w:themeColor="text1" w:themeTint="A6"/>
          <w:lang w:val="en-AU"/>
        </w:rPr>
        <w:t xml:space="preserve">Zika, Ebola, Middle Eastern Respiratory Syndrome and highly pathogenic avian influenza are just some examples of diseases that have emerged </w:t>
      </w:r>
      <w:r w:rsidR="00972397">
        <w:rPr>
          <w:rFonts w:asciiTheme="majorHAnsi" w:hAnsiTheme="majorHAnsi" w:cstheme="majorHAnsi"/>
          <w:color w:val="595959" w:themeColor="text1" w:themeTint="A6"/>
          <w:lang w:val="en-AU"/>
        </w:rPr>
        <w:t xml:space="preserve">as health crises </w:t>
      </w:r>
      <w:r w:rsidRPr="00A11F64">
        <w:rPr>
          <w:rFonts w:asciiTheme="majorHAnsi" w:hAnsiTheme="majorHAnsi" w:cstheme="majorHAnsi"/>
          <w:color w:val="595959" w:themeColor="text1" w:themeTint="A6"/>
          <w:lang w:val="en-AU"/>
        </w:rPr>
        <w:t>over the last decade</w:t>
      </w:r>
      <w:r w:rsidR="00C84CB8">
        <w:rPr>
          <w:rFonts w:asciiTheme="majorHAnsi" w:hAnsiTheme="majorHAnsi" w:cstheme="majorHAnsi"/>
          <w:color w:val="595959" w:themeColor="text1" w:themeTint="A6"/>
          <w:lang w:val="en-AU"/>
        </w:rPr>
        <w:t xml:space="preserve">. </w:t>
      </w:r>
      <w:r w:rsidRPr="00A11F64">
        <w:rPr>
          <w:rFonts w:asciiTheme="majorHAnsi" w:hAnsiTheme="majorHAnsi" w:cstheme="majorHAnsi"/>
          <w:color w:val="595959" w:themeColor="text1" w:themeTint="A6"/>
          <w:lang w:val="en-AU"/>
        </w:rPr>
        <w:t xml:space="preserve">These diseases have left health systems and governments of the affected countries and the international health community scrambling to </w:t>
      </w:r>
      <w:r w:rsidR="00972397">
        <w:rPr>
          <w:rFonts w:asciiTheme="majorHAnsi" w:hAnsiTheme="majorHAnsi" w:cstheme="majorHAnsi"/>
          <w:color w:val="595959" w:themeColor="text1" w:themeTint="A6"/>
          <w:lang w:val="en-AU"/>
        </w:rPr>
        <w:t>respond</w:t>
      </w:r>
      <w:r w:rsidRPr="00A11F64">
        <w:rPr>
          <w:rFonts w:asciiTheme="majorHAnsi" w:hAnsiTheme="majorHAnsi" w:cstheme="majorHAnsi"/>
          <w:color w:val="595959" w:themeColor="text1" w:themeTint="A6"/>
          <w:lang w:val="en-AU"/>
        </w:rPr>
        <w:t xml:space="preserve"> and mitigate their social and economic effects</w:t>
      </w:r>
      <w:r w:rsidR="00C84CB8">
        <w:rPr>
          <w:rFonts w:asciiTheme="majorHAnsi" w:hAnsiTheme="majorHAnsi" w:cstheme="majorHAnsi"/>
          <w:color w:val="595959" w:themeColor="text1" w:themeTint="A6"/>
          <w:lang w:val="en-AU"/>
        </w:rPr>
        <w:t>.</w:t>
      </w:r>
    </w:p>
    <w:p w:rsidR="00077AAB" w:rsidRPr="00A11F64" w:rsidRDefault="00077AAB">
      <w:pPr>
        <w:spacing w:before="0" w:after="120" w:line="240" w:lineRule="auto"/>
        <w:rPr>
          <w:rFonts w:asciiTheme="majorHAnsi" w:hAnsiTheme="majorHAnsi" w:cstheme="majorHAnsi"/>
          <w:color w:val="595959" w:themeColor="text1" w:themeTint="A6"/>
          <w:lang w:val="en-AU"/>
        </w:rPr>
      </w:pPr>
      <w:r w:rsidRPr="00A11F64">
        <w:rPr>
          <w:rFonts w:asciiTheme="majorHAnsi" w:hAnsiTheme="majorHAnsi" w:cstheme="majorHAnsi"/>
          <w:color w:val="595959" w:themeColor="text1" w:themeTint="A6"/>
          <w:lang w:val="en-AU"/>
        </w:rPr>
        <w:t xml:space="preserve">Many of the drivers of disease emergence and rapid spread are </w:t>
      </w:r>
      <w:r w:rsidR="00830850" w:rsidRPr="00A11F64">
        <w:rPr>
          <w:rFonts w:asciiTheme="majorHAnsi" w:hAnsiTheme="majorHAnsi" w:cstheme="majorHAnsi"/>
          <w:color w:val="595959" w:themeColor="text1" w:themeTint="A6"/>
          <w:lang w:val="en-AU"/>
        </w:rPr>
        <w:t xml:space="preserve">present </w:t>
      </w:r>
      <w:r w:rsidRPr="00A11F64">
        <w:rPr>
          <w:rFonts w:asciiTheme="majorHAnsi" w:hAnsiTheme="majorHAnsi" w:cstheme="majorHAnsi"/>
          <w:color w:val="595959" w:themeColor="text1" w:themeTint="A6"/>
          <w:lang w:val="en-AU"/>
        </w:rPr>
        <w:t>in Indonesia, which is considered among the world’s ‘hot spots’ for emerging infectious diseases (EIDs)</w:t>
      </w:r>
      <w:r w:rsidR="00C84CB8">
        <w:rPr>
          <w:rFonts w:asciiTheme="majorHAnsi" w:hAnsiTheme="majorHAnsi" w:cstheme="majorHAnsi"/>
          <w:color w:val="595959" w:themeColor="text1" w:themeTint="A6"/>
          <w:lang w:val="en-AU"/>
        </w:rPr>
        <w:t>.</w:t>
      </w:r>
      <w:r w:rsidR="00C83B0C" w:rsidRPr="00A11F64">
        <w:rPr>
          <w:rFonts w:asciiTheme="majorHAnsi" w:hAnsiTheme="majorHAnsi" w:cstheme="majorHAnsi"/>
          <w:color w:val="595959" w:themeColor="text1" w:themeTint="A6"/>
          <w:lang w:val="en-AU"/>
        </w:rPr>
        <w:t xml:space="preserve"> </w:t>
      </w:r>
      <w:r w:rsidRPr="00A11F64">
        <w:rPr>
          <w:rFonts w:asciiTheme="majorHAnsi" w:hAnsiTheme="majorHAnsi" w:cstheme="majorHAnsi"/>
          <w:color w:val="595959" w:themeColor="text1" w:themeTint="A6"/>
          <w:lang w:val="en-AU"/>
        </w:rPr>
        <w:t>Over seventy five percent of EIDs are zoonoses</w:t>
      </w:r>
      <w:r w:rsidR="00B07696" w:rsidRPr="00A11F64">
        <w:rPr>
          <w:rFonts w:asciiTheme="majorHAnsi" w:hAnsiTheme="majorHAnsi" w:cstheme="majorHAnsi"/>
          <w:color w:val="595959" w:themeColor="text1" w:themeTint="A6"/>
          <w:lang w:val="en-AU"/>
        </w:rPr>
        <w:t xml:space="preserve"> – </w:t>
      </w:r>
      <w:r w:rsidRPr="00A11F64">
        <w:rPr>
          <w:rFonts w:asciiTheme="majorHAnsi" w:hAnsiTheme="majorHAnsi" w:cstheme="majorHAnsi"/>
          <w:color w:val="595959" w:themeColor="text1" w:themeTint="A6"/>
          <w:lang w:val="en-AU"/>
        </w:rPr>
        <w:t>animal d</w:t>
      </w:r>
      <w:r w:rsidR="00BA0E34" w:rsidRPr="00A11F64">
        <w:rPr>
          <w:rFonts w:asciiTheme="majorHAnsi" w:hAnsiTheme="majorHAnsi" w:cstheme="majorHAnsi"/>
          <w:color w:val="595959" w:themeColor="text1" w:themeTint="A6"/>
          <w:lang w:val="en-AU"/>
        </w:rPr>
        <w:t xml:space="preserve">iseases that can </w:t>
      </w:r>
      <w:r w:rsidR="00830850" w:rsidRPr="00A11F64">
        <w:rPr>
          <w:rFonts w:asciiTheme="majorHAnsi" w:hAnsiTheme="majorHAnsi" w:cstheme="majorHAnsi"/>
          <w:color w:val="595959" w:themeColor="text1" w:themeTint="A6"/>
          <w:lang w:val="en-AU"/>
        </w:rPr>
        <w:t xml:space="preserve">be transmitted to </w:t>
      </w:r>
      <w:r w:rsidR="00BA0E34" w:rsidRPr="00A11F64">
        <w:rPr>
          <w:rFonts w:asciiTheme="majorHAnsi" w:hAnsiTheme="majorHAnsi" w:cstheme="majorHAnsi"/>
          <w:color w:val="595959" w:themeColor="text1" w:themeTint="A6"/>
          <w:lang w:val="en-AU"/>
        </w:rPr>
        <w:t>humans</w:t>
      </w:r>
      <w:r w:rsidR="00C84CB8">
        <w:rPr>
          <w:rFonts w:asciiTheme="majorHAnsi" w:hAnsiTheme="majorHAnsi" w:cstheme="majorHAnsi"/>
          <w:color w:val="595959" w:themeColor="text1" w:themeTint="A6"/>
          <w:lang w:val="en-AU"/>
        </w:rPr>
        <w:t xml:space="preserve">. </w:t>
      </w:r>
      <w:r w:rsidR="009D76B8" w:rsidRPr="00A11F64">
        <w:rPr>
          <w:rFonts w:asciiTheme="majorHAnsi" w:hAnsiTheme="majorHAnsi" w:cstheme="majorHAnsi"/>
          <w:color w:val="595959" w:themeColor="text1" w:themeTint="A6"/>
          <w:lang w:val="en-AU"/>
        </w:rPr>
        <w:t xml:space="preserve">EIDs, as well as </w:t>
      </w:r>
      <w:r w:rsidRPr="00A11F64">
        <w:rPr>
          <w:rFonts w:asciiTheme="majorHAnsi" w:hAnsiTheme="majorHAnsi" w:cstheme="majorHAnsi"/>
          <w:color w:val="595959" w:themeColor="text1" w:themeTint="A6"/>
          <w:lang w:val="en-AU"/>
        </w:rPr>
        <w:t>re-emerging infectious diseases</w:t>
      </w:r>
      <w:r w:rsidR="009D76B8" w:rsidRPr="00A11F64">
        <w:rPr>
          <w:rFonts w:asciiTheme="majorHAnsi" w:hAnsiTheme="majorHAnsi" w:cstheme="majorHAnsi"/>
          <w:color w:val="595959" w:themeColor="text1" w:themeTint="A6"/>
          <w:lang w:val="en-AU"/>
        </w:rPr>
        <w:t xml:space="preserve">, antimicrobial resistance (AMR) and vector-borne diseases, </w:t>
      </w:r>
      <w:r w:rsidRPr="00A11F64">
        <w:rPr>
          <w:rFonts w:asciiTheme="majorHAnsi" w:hAnsiTheme="majorHAnsi" w:cstheme="majorHAnsi"/>
          <w:color w:val="595959" w:themeColor="text1" w:themeTint="A6"/>
          <w:lang w:val="en-AU"/>
        </w:rPr>
        <w:t>have the potential to exact a heavy economic and social toll on communities and countries where they take hold</w:t>
      </w:r>
      <w:r w:rsidR="00C84CB8">
        <w:rPr>
          <w:rFonts w:asciiTheme="majorHAnsi" w:hAnsiTheme="majorHAnsi" w:cstheme="majorHAnsi"/>
          <w:color w:val="595959" w:themeColor="text1" w:themeTint="A6"/>
          <w:lang w:val="en-AU"/>
        </w:rPr>
        <w:t>.</w:t>
      </w:r>
      <w:r w:rsidR="00C83B0C" w:rsidRPr="00A11F64">
        <w:rPr>
          <w:rFonts w:asciiTheme="majorHAnsi" w:hAnsiTheme="majorHAnsi" w:cstheme="majorHAnsi"/>
          <w:color w:val="595959" w:themeColor="text1" w:themeTint="A6"/>
          <w:lang w:val="en-AU"/>
        </w:rPr>
        <w:t xml:space="preserve"> </w:t>
      </w:r>
      <w:r w:rsidRPr="00A11F64">
        <w:rPr>
          <w:rFonts w:asciiTheme="majorHAnsi" w:hAnsiTheme="majorHAnsi" w:cstheme="majorHAnsi"/>
          <w:color w:val="595959" w:themeColor="text1" w:themeTint="A6"/>
          <w:lang w:val="en-AU"/>
        </w:rPr>
        <w:t xml:space="preserve">The massive scale of international travel and trade means </w:t>
      </w:r>
      <w:r w:rsidR="009D76B8" w:rsidRPr="00A11F64">
        <w:rPr>
          <w:rFonts w:asciiTheme="majorHAnsi" w:hAnsiTheme="majorHAnsi" w:cstheme="majorHAnsi"/>
          <w:color w:val="595959" w:themeColor="text1" w:themeTint="A6"/>
          <w:lang w:val="en-AU"/>
        </w:rPr>
        <w:t>infectious diseases</w:t>
      </w:r>
      <w:r w:rsidRPr="00A11F64">
        <w:rPr>
          <w:rFonts w:asciiTheme="majorHAnsi" w:hAnsiTheme="majorHAnsi" w:cstheme="majorHAnsi"/>
          <w:color w:val="595959" w:themeColor="text1" w:themeTint="A6"/>
          <w:lang w:val="en-AU"/>
        </w:rPr>
        <w:t xml:space="preserve"> in Indonesia pose a real threat </w:t>
      </w:r>
      <w:r w:rsidR="00830850" w:rsidRPr="00A11F64">
        <w:rPr>
          <w:rFonts w:asciiTheme="majorHAnsi" w:hAnsiTheme="majorHAnsi" w:cstheme="majorHAnsi"/>
          <w:color w:val="595959" w:themeColor="text1" w:themeTint="A6"/>
          <w:lang w:val="en-AU"/>
        </w:rPr>
        <w:t xml:space="preserve">to </w:t>
      </w:r>
      <w:r w:rsidRPr="00A11F64">
        <w:rPr>
          <w:rFonts w:asciiTheme="majorHAnsi" w:hAnsiTheme="majorHAnsi" w:cstheme="majorHAnsi"/>
          <w:color w:val="595959" w:themeColor="text1" w:themeTint="A6"/>
          <w:lang w:val="en-AU"/>
        </w:rPr>
        <w:t>other countries in the Asia-Pacific region, including Australia.</w:t>
      </w:r>
    </w:p>
    <w:p w:rsidR="00077AAB" w:rsidRPr="00A11F64" w:rsidRDefault="00077AAB">
      <w:pPr>
        <w:spacing w:before="0" w:after="120" w:line="240" w:lineRule="auto"/>
        <w:rPr>
          <w:rFonts w:asciiTheme="majorHAnsi" w:hAnsiTheme="majorHAnsi" w:cstheme="majorHAnsi"/>
          <w:color w:val="595959" w:themeColor="text1" w:themeTint="A6"/>
          <w:lang w:val="en-AU"/>
        </w:rPr>
      </w:pPr>
      <w:r w:rsidRPr="00A11F64">
        <w:rPr>
          <w:rFonts w:asciiTheme="majorHAnsi" w:hAnsiTheme="majorHAnsi" w:cstheme="majorHAnsi"/>
          <w:color w:val="595959" w:themeColor="text1" w:themeTint="A6"/>
          <w:lang w:val="en-AU"/>
        </w:rPr>
        <w:t xml:space="preserve">The </w:t>
      </w:r>
      <w:r w:rsidR="00F522BF" w:rsidRPr="00A11F64">
        <w:rPr>
          <w:rFonts w:asciiTheme="majorHAnsi" w:hAnsiTheme="majorHAnsi" w:cstheme="majorHAnsi"/>
          <w:color w:val="595959" w:themeColor="text1" w:themeTint="A6"/>
          <w:lang w:val="en-AU"/>
        </w:rPr>
        <w:t>World Health Organiz</w:t>
      </w:r>
      <w:r w:rsidRPr="00A11F64">
        <w:rPr>
          <w:rFonts w:asciiTheme="majorHAnsi" w:hAnsiTheme="majorHAnsi" w:cstheme="majorHAnsi"/>
          <w:color w:val="595959" w:themeColor="text1" w:themeTint="A6"/>
          <w:lang w:val="en-AU"/>
        </w:rPr>
        <w:t>ation (WHO) manage</w:t>
      </w:r>
      <w:r w:rsidR="00972397">
        <w:rPr>
          <w:rFonts w:asciiTheme="majorHAnsi" w:hAnsiTheme="majorHAnsi" w:cstheme="majorHAnsi"/>
          <w:color w:val="595959" w:themeColor="text1" w:themeTint="A6"/>
          <w:lang w:val="en-AU"/>
        </w:rPr>
        <w:t>s</w:t>
      </w:r>
      <w:r w:rsidRPr="00A11F64">
        <w:rPr>
          <w:rFonts w:asciiTheme="majorHAnsi" w:hAnsiTheme="majorHAnsi" w:cstheme="majorHAnsi"/>
          <w:color w:val="595959" w:themeColor="text1" w:themeTint="A6"/>
          <w:lang w:val="en-AU"/>
        </w:rPr>
        <w:t xml:space="preserve"> the global regime for controlling the international spread of infectious diseases</w:t>
      </w:r>
      <w:r w:rsidR="00C84CB8">
        <w:rPr>
          <w:rFonts w:asciiTheme="majorHAnsi" w:hAnsiTheme="majorHAnsi" w:cstheme="majorHAnsi"/>
          <w:color w:val="595959" w:themeColor="text1" w:themeTint="A6"/>
          <w:lang w:val="en-AU"/>
        </w:rPr>
        <w:t xml:space="preserve">. </w:t>
      </w:r>
      <w:r w:rsidRPr="00A11F64">
        <w:rPr>
          <w:rFonts w:asciiTheme="majorHAnsi" w:hAnsiTheme="majorHAnsi" w:cstheme="majorHAnsi"/>
          <w:color w:val="595959" w:themeColor="text1" w:themeTint="A6"/>
          <w:lang w:val="en-AU"/>
        </w:rPr>
        <w:t>The International Health Regulations (IHR), administered by WHO, provide the legal instrument for doing so</w:t>
      </w:r>
      <w:r w:rsidR="00C84CB8">
        <w:rPr>
          <w:rFonts w:asciiTheme="majorHAnsi" w:hAnsiTheme="majorHAnsi" w:cstheme="majorHAnsi"/>
          <w:color w:val="595959" w:themeColor="text1" w:themeTint="A6"/>
          <w:lang w:val="en-AU"/>
        </w:rPr>
        <w:t xml:space="preserve">. </w:t>
      </w:r>
      <w:r w:rsidRPr="00A11F64">
        <w:rPr>
          <w:rFonts w:asciiTheme="majorHAnsi" w:hAnsiTheme="majorHAnsi" w:cstheme="majorHAnsi"/>
          <w:color w:val="595959" w:themeColor="text1" w:themeTint="A6"/>
          <w:lang w:val="en-AU"/>
        </w:rPr>
        <w:t>These regulations are the only internationally-agreed set of rules governing the timely and effective response to outbreaks and other health emergencies that may spread beyond the borders of an affected country</w:t>
      </w:r>
      <w:r w:rsidR="00C84CB8">
        <w:rPr>
          <w:rFonts w:asciiTheme="majorHAnsi" w:hAnsiTheme="majorHAnsi" w:cstheme="majorHAnsi"/>
          <w:color w:val="595959" w:themeColor="text1" w:themeTint="A6"/>
          <w:lang w:val="en-AU"/>
        </w:rPr>
        <w:t xml:space="preserve">. </w:t>
      </w:r>
      <w:r w:rsidR="00830850" w:rsidRPr="00A11F64">
        <w:rPr>
          <w:rFonts w:asciiTheme="majorHAnsi" w:hAnsiTheme="majorHAnsi" w:cstheme="majorHAnsi"/>
          <w:color w:val="595959" w:themeColor="text1" w:themeTint="A6"/>
          <w:lang w:val="en-AU"/>
        </w:rPr>
        <w:t>However,</w:t>
      </w:r>
      <w:r w:rsidRPr="00A11F64">
        <w:rPr>
          <w:rFonts w:asciiTheme="majorHAnsi" w:hAnsiTheme="majorHAnsi" w:cstheme="majorHAnsi"/>
          <w:color w:val="595959" w:themeColor="text1" w:themeTint="A6"/>
          <w:lang w:val="en-AU"/>
        </w:rPr>
        <w:t xml:space="preserve"> less than a third of WHO Member States</w:t>
      </w:r>
      <w:r w:rsidR="00830850" w:rsidRPr="00A11F64">
        <w:rPr>
          <w:rFonts w:asciiTheme="majorHAnsi" w:hAnsiTheme="majorHAnsi" w:cstheme="majorHAnsi"/>
          <w:color w:val="595959" w:themeColor="text1" w:themeTint="A6"/>
          <w:lang w:val="en-AU"/>
        </w:rPr>
        <w:t xml:space="preserve"> currently</w:t>
      </w:r>
      <w:r w:rsidRPr="00A11F64">
        <w:rPr>
          <w:rFonts w:asciiTheme="majorHAnsi" w:hAnsiTheme="majorHAnsi" w:cstheme="majorHAnsi"/>
          <w:color w:val="595959" w:themeColor="text1" w:themeTint="A6"/>
          <w:lang w:val="en-AU"/>
        </w:rPr>
        <w:t xml:space="preserve"> meet the minimum requirements for core capacities needed to implement the IHR</w:t>
      </w:r>
      <w:r w:rsidR="00C84CB8">
        <w:rPr>
          <w:rFonts w:asciiTheme="majorHAnsi" w:hAnsiTheme="majorHAnsi" w:cstheme="majorHAnsi"/>
          <w:color w:val="595959" w:themeColor="text1" w:themeTint="A6"/>
          <w:lang w:val="en-AU"/>
        </w:rPr>
        <w:t>.</w:t>
      </w:r>
    </w:p>
    <w:p w:rsidR="00077AAB" w:rsidRPr="00A11F64" w:rsidRDefault="00077AAB">
      <w:pPr>
        <w:spacing w:before="0" w:after="120" w:line="240" w:lineRule="auto"/>
        <w:rPr>
          <w:rFonts w:asciiTheme="majorHAnsi" w:hAnsiTheme="majorHAnsi" w:cstheme="majorHAnsi"/>
          <w:color w:val="595959" w:themeColor="text1" w:themeTint="A6"/>
          <w:lang w:val="en-AU"/>
        </w:rPr>
      </w:pPr>
      <w:r w:rsidRPr="00A11F64">
        <w:rPr>
          <w:rFonts w:asciiTheme="majorHAnsi" w:hAnsiTheme="majorHAnsi" w:cstheme="majorHAnsi"/>
          <w:color w:val="595959" w:themeColor="text1" w:themeTint="A6"/>
          <w:lang w:val="en-AU"/>
        </w:rPr>
        <w:t>Similarly, the World Organisation for Animal Health (OIE) manages the global effort to fight animal diseases</w:t>
      </w:r>
      <w:r w:rsidR="00C83B0C" w:rsidRPr="00A11F64">
        <w:rPr>
          <w:rFonts w:asciiTheme="majorHAnsi" w:hAnsiTheme="majorHAnsi" w:cstheme="majorHAnsi"/>
          <w:color w:val="595959" w:themeColor="text1" w:themeTint="A6"/>
          <w:lang w:val="en-AU"/>
        </w:rPr>
        <w:t xml:space="preserve">. </w:t>
      </w:r>
      <w:r w:rsidR="004709D9" w:rsidRPr="00A11F64">
        <w:rPr>
          <w:rFonts w:asciiTheme="majorHAnsi" w:hAnsiTheme="majorHAnsi" w:cstheme="majorHAnsi"/>
          <w:color w:val="595959" w:themeColor="text1" w:themeTint="A6"/>
          <w:lang w:val="en-AU"/>
        </w:rPr>
        <w:t>OIE has developed</w:t>
      </w:r>
      <w:r w:rsidR="00C83B0C" w:rsidRPr="00A11F64">
        <w:rPr>
          <w:rFonts w:asciiTheme="majorHAnsi" w:hAnsiTheme="majorHAnsi" w:cstheme="majorHAnsi"/>
          <w:color w:val="595959" w:themeColor="text1" w:themeTint="A6"/>
          <w:lang w:val="en-AU"/>
        </w:rPr>
        <w:t xml:space="preserve"> </w:t>
      </w:r>
      <w:r w:rsidR="004709D9" w:rsidRPr="00A11F64">
        <w:rPr>
          <w:rFonts w:asciiTheme="majorHAnsi" w:hAnsiTheme="majorHAnsi" w:cstheme="majorHAnsi"/>
          <w:color w:val="595959" w:themeColor="text1" w:themeTint="A6"/>
          <w:lang w:val="en-AU"/>
        </w:rPr>
        <w:t xml:space="preserve">the Performance </w:t>
      </w:r>
      <w:r w:rsidRPr="00A11F64">
        <w:rPr>
          <w:rFonts w:asciiTheme="majorHAnsi" w:hAnsiTheme="majorHAnsi" w:cstheme="majorHAnsi"/>
          <w:color w:val="595959" w:themeColor="text1" w:themeTint="A6"/>
          <w:lang w:val="en-AU"/>
        </w:rPr>
        <w:t xml:space="preserve">of Veterinary Services (PVS) tool to assist countries </w:t>
      </w:r>
      <w:r w:rsidR="006D1B16" w:rsidRPr="00A11F64">
        <w:rPr>
          <w:rFonts w:asciiTheme="majorHAnsi" w:hAnsiTheme="majorHAnsi" w:cstheme="majorHAnsi"/>
          <w:color w:val="595959" w:themeColor="text1" w:themeTint="A6"/>
          <w:lang w:val="en-AU"/>
        </w:rPr>
        <w:t xml:space="preserve">to </w:t>
      </w:r>
      <w:r w:rsidR="00E538E0">
        <w:rPr>
          <w:rFonts w:asciiTheme="majorHAnsi" w:hAnsiTheme="majorHAnsi" w:cstheme="majorHAnsi"/>
          <w:color w:val="595959" w:themeColor="text1" w:themeTint="A6"/>
          <w:lang w:val="en-AU"/>
        </w:rPr>
        <w:t>assess</w:t>
      </w:r>
      <w:r w:rsidRPr="00A11F64">
        <w:rPr>
          <w:rFonts w:asciiTheme="majorHAnsi" w:hAnsiTheme="majorHAnsi" w:cstheme="majorHAnsi"/>
          <w:color w:val="595959" w:themeColor="text1" w:themeTint="A6"/>
          <w:lang w:val="en-AU"/>
        </w:rPr>
        <w:t xml:space="preserve"> their current level of veterinary service performance</w:t>
      </w:r>
      <w:r w:rsidR="004709D9" w:rsidRPr="00A11F64">
        <w:rPr>
          <w:rFonts w:asciiTheme="majorHAnsi" w:hAnsiTheme="majorHAnsi" w:cstheme="majorHAnsi"/>
          <w:color w:val="595959" w:themeColor="text1" w:themeTint="A6"/>
          <w:lang w:val="en-AU"/>
        </w:rPr>
        <w:t xml:space="preserve"> and</w:t>
      </w:r>
      <w:r w:rsidRPr="00A11F64">
        <w:rPr>
          <w:rFonts w:asciiTheme="majorHAnsi" w:hAnsiTheme="majorHAnsi" w:cstheme="majorHAnsi"/>
          <w:color w:val="595959" w:themeColor="text1" w:themeTint="A6"/>
          <w:lang w:val="en-AU"/>
        </w:rPr>
        <w:t xml:space="preserve"> to identify gaps and weaknesses in their ability to comply with OIE international standards, establishing priorities for improvement</w:t>
      </w:r>
      <w:r w:rsidR="00C84CB8">
        <w:rPr>
          <w:rFonts w:asciiTheme="majorHAnsi" w:hAnsiTheme="majorHAnsi" w:cstheme="majorHAnsi"/>
          <w:color w:val="595959" w:themeColor="text1" w:themeTint="A6"/>
          <w:lang w:val="en-AU"/>
        </w:rPr>
        <w:t>.</w:t>
      </w:r>
      <w:r w:rsidR="00C83B0C" w:rsidRPr="00A11F64">
        <w:rPr>
          <w:rFonts w:asciiTheme="majorHAnsi" w:hAnsiTheme="majorHAnsi" w:cstheme="majorHAnsi"/>
          <w:color w:val="595959" w:themeColor="text1" w:themeTint="A6"/>
          <w:lang w:val="en-AU"/>
        </w:rPr>
        <w:t xml:space="preserve"> </w:t>
      </w:r>
      <w:r w:rsidRPr="00A11F64">
        <w:rPr>
          <w:rFonts w:asciiTheme="majorHAnsi" w:hAnsiTheme="majorHAnsi" w:cstheme="majorHAnsi"/>
          <w:color w:val="595959" w:themeColor="text1" w:themeTint="A6"/>
          <w:lang w:val="en-AU"/>
        </w:rPr>
        <w:t xml:space="preserve">The last PVS </w:t>
      </w:r>
      <w:r w:rsidR="00972397" w:rsidRPr="00A11F64">
        <w:rPr>
          <w:rFonts w:asciiTheme="majorHAnsi" w:hAnsiTheme="majorHAnsi" w:cstheme="majorHAnsi"/>
          <w:color w:val="595959" w:themeColor="text1" w:themeTint="A6"/>
          <w:lang w:val="en-AU"/>
        </w:rPr>
        <w:t xml:space="preserve">in Indonesia </w:t>
      </w:r>
      <w:r w:rsidRPr="00A11F64">
        <w:rPr>
          <w:rFonts w:asciiTheme="majorHAnsi" w:hAnsiTheme="majorHAnsi" w:cstheme="majorHAnsi"/>
          <w:color w:val="595959" w:themeColor="text1" w:themeTint="A6"/>
          <w:lang w:val="en-AU"/>
        </w:rPr>
        <w:t>was carried out in 2011.</w:t>
      </w:r>
    </w:p>
    <w:p w:rsidR="00077AAB" w:rsidRPr="00A11F64" w:rsidRDefault="00077AAB">
      <w:pPr>
        <w:spacing w:before="0" w:after="120" w:line="240" w:lineRule="auto"/>
        <w:rPr>
          <w:rFonts w:asciiTheme="majorHAnsi" w:hAnsiTheme="majorHAnsi" w:cstheme="majorHAnsi"/>
          <w:color w:val="595959" w:themeColor="text1" w:themeTint="A6"/>
          <w:lang w:val="en-AU"/>
        </w:rPr>
      </w:pPr>
      <w:r w:rsidRPr="00A11F64">
        <w:rPr>
          <w:rFonts w:asciiTheme="majorHAnsi" w:hAnsiTheme="majorHAnsi" w:cstheme="majorHAnsi"/>
          <w:color w:val="595959" w:themeColor="text1" w:themeTint="A6"/>
          <w:lang w:val="en-AU"/>
        </w:rPr>
        <w:t xml:space="preserve">The factors that govern global health security extend well beyond the mandate </w:t>
      </w:r>
      <w:r w:rsidR="004709D9" w:rsidRPr="00A11F64">
        <w:rPr>
          <w:rFonts w:asciiTheme="majorHAnsi" w:hAnsiTheme="majorHAnsi" w:cstheme="majorHAnsi"/>
          <w:color w:val="595959" w:themeColor="text1" w:themeTint="A6"/>
          <w:lang w:val="en-AU"/>
        </w:rPr>
        <w:t xml:space="preserve">and capacity </w:t>
      </w:r>
      <w:r w:rsidRPr="00A11F64">
        <w:rPr>
          <w:rFonts w:asciiTheme="majorHAnsi" w:hAnsiTheme="majorHAnsi" w:cstheme="majorHAnsi"/>
          <w:color w:val="595959" w:themeColor="text1" w:themeTint="A6"/>
          <w:lang w:val="en-AU"/>
        </w:rPr>
        <w:t>of WHO and OIE</w:t>
      </w:r>
      <w:r w:rsidR="00972397">
        <w:rPr>
          <w:rFonts w:asciiTheme="majorHAnsi" w:hAnsiTheme="majorHAnsi" w:cstheme="majorHAnsi"/>
          <w:color w:val="595959" w:themeColor="text1" w:themeTint="A6"/>
          <w:lang w:val="en-AU"/>
        </w:rPr>
        <w:t>;</w:t>
      </w:r>
      <w:r w:rsidR="00C83B0C" w:rsidRPr="00A11F64">
        <w:rPr>
          <w:rFonts w:asciiTheme="majorHAnsi" w:hAnsiTheme="majorHAnsi" w:cstheme="majorHAnsi"/>
          <w:color w:val="595959" w:themeColor="text1" w:themeTint="A6"/>
          <w:lang w:val="en-AU"/>
        </w:rPr>
        <w:t xml:space="preserve"> </w:t>
      </w:r>
      <w:r w:rsidR="00972397">
        <w:rPr>
          <w:rFonts w:asciiTheme="majorHAnsi" w:hAnsiTheme="majorHAnsi" w:cstheme="majorHAnsi"/>
          <w:color w:val="595959" w:themeColor="text1" w:themeTint="A6"/>
          <w:lang w:val="en-AU"/>
        </w:rPr>
        <w:t>m</w:t>
      </w:r>
      <w:r w:rsidR="004709D9" w:rsidRPr="00A11F64">
        <w:rPr>
          <w:rFonts w:asciiTheme="majorHAnsi" w:hAnsiTheme="majorHAnsi" w:cstheme="majorHAnsi"/>
          <w:color w:val="595959" w:themeColor="text1" w:themeTint="A6"/>
          <w:lang w:val="en-AU"/>
        </w:rPr>
        <w:t xml:space="preserve">ost of the </w:t>
      </w:r>
      <w:r w:rsidRPr="00A11F64">
        <w:rPr>
          <w:rFonts w:asciiTheme="majorHAnsi" w:hAnsiTheme="majorHAnsi" w:cstheme="majorHAnsi"/>
          <w:color w:val="595959" w:themeColor="text1" w:themeTint="A6"/>
          <w:lang w:val="en-AU"/>
        </w:rPr>
        <w:t xml:space="preserve">responsibility </w:t>
      </w:r>
      <w:r w:rsidR="00972397">
        <w:rPr>
          <w:rFonts w:asciiTheme="majorHAnsi" w:hAnsiTheme="majorHAnsi" w:cstheme="majorHAnsi"/>
          <w:color w:val="595959" w:themeColor="text1" w:themeTint="A6"/>
          <w:lang w:val="en-AU"/>
        </w:rPr>
        <w:t xml:space="preserve">for response </w:t>
      </w:r>
      <w:r w:rsidR="004709D9" w:rsidRPr="00A11F64">
        <w:rPr>
          <w:rFonts w:asciiTheme="majorHAnsi" w:hAnsiTheme="majorHAnsi" w:cstheme="majorHAnsi"/>
          <w:color w:val="595959" w:themeColor="text1" w:themeTint="A6"/>
          <w:lang w:val="en-AU"/>
        </w:rPr>
        <w:t>rests with</w:t>
      </w:r>
      <w:r w:rsidRPr="00A11F64">
        <w:rPr>
          <w:rFonts w:asciiTheme="majorHAnsi" w:hAnsiTheme="majorHAnsi" w:cstheme="majorHAnsi"/>
          <w:color w:val="595959" w:themeColor="text1" w:themeTint="A6"/>
          <w:lang w:val="en-AU"/>
        </w:rPr>
        <w:t xml:space="preserve"> countries</w:t>
      </w:r>
      <w:r w:rsidR="00DE15A7">
        <w:rPr>
          <w:rFonts w:asciiTheme="majorHAnsi" w:hAnsiTheme="majorHAnsi" w:cstheme="majorHAnsi"/>
          <w:color w:val="595959" w:themeColor="text1" w:themeTint="A6"/>
          <w:lang w:val="en-AU"/>
        </w:rPr>
        <w:t xml:space="preserve"> themselves</w:t>
      </w:r>
      <w:r w:rsidR="00C83B0C" w:rsidRPr="00A11F64">
        <w:rPr>
          <w:rFonts w:asciiTheme="majorHAnsi" w:hAnsiTheme="majorHAnsi" w:cstheme="majorHAnsi"/>
          <w:color w:val="595959" w:themeColor="text1" w:themeTint="A6"/>
          <w:lang w:val="en-AU"/>
        </w:rPr>
        <w:t xml:space="preserve">. </w:t>
      </w:r>
      <w:r w:rsidRPr="00A11F64">
        <w:rPr>
          <w:rFonts w:asciiTheme="majorHAnsi" w:hAnsiTheme="majorHAnsi" w:cstheme="majorHAnsi"/>
          <w:color w:val="595959" w:themeColor="text1" w:themeTint="A6"/>
          <w:lang w:val="en-AU"/>
        </w:rPr>
        <w:t>Indonesia undertook the WHO-supported Joint External Evaluation (JEE) of their capacity to implement the IHR in 2017</w:t>
      </w:r>
      <w:r w:rsidR="00C84CB8">
        <w:rPr>
          <w:rFonts w:asciiTheme="majorHAnsi" w:hAnsiTheme="majorHAnsi" w:cstheme="majorHAnsi"/>
          <w:color w:val="595959" w:themeColor="text1" w:themeTint="A6"/>
          <w:lang w:val="en-AU"/>
        </w:rPr>
        <w:t xml:space="preserve">. </w:t>
      </w:r>
      <w:r w:rsidRPr="00A11F64">
        <w:rPr>
          <w:rFonts w:asciiTheme="majorHAnsi" w:hAnsiTheme="majorHAnsi" w:cstheme="majorHAnsi"/>
          <w:color w:val="595959" w:themeColor="text1" w:themeTint="A6"/>
          <w:lang w:val="en-AU"/>
        </w:rPr>
        <w:t xml:space="preserve">As a follow up to this, the Indonesian Government is now putting together a National Action Plan for Health Security (NAPHS) to guide interventions to fill gaps which </w:t>
      </w:r>
      <w:r w:rsidR="00972397">
        <w:rPr>
          <w:rFonts w:asciiTheme="majorHAnsi" w:hAnsiTheme="majorHAnsi" w:cstheme="majorHAnsi"/>
          <w:color w:val="595959" w:themeColor="text1" w:themeTint="A6"/>
          <w:lang w:val="en-AU"/>
        </w:rPr>
        <w:t>were identified by</w:t>
      </w:r>
      <w:r w:rsidRPr="00A11F64">
        <w:rPr>
          <w:rFonts w:asciiTheme="majorHAnsi" w:hAnsiTheme="majorHAnsi" w:cstheme="majorHAnsi"/>
          <w:color w:val="595959" w:themeColor="text1" w:themeTint="A6"/>
          <w:lang w:val="en-AU"/>
        </w:rPr>
        <w:t xml:space="preserve"> the review</w:t>
      </w:r>
      <w:r w:rsidR="00C84CB8">
        <w:rPr>
          <w:rFonts w:asciiTheme="majorHAnsi" w:hAnsiTheme="majorHAnsi" w:cstheme="majorHAnsi"/>
          <w:color w:val="595959" w:themeColor="text1" w:themeTint="A6"/>
          <w:lang w:val="en-AU"/>
        </w:rPr>
        <w:t>.</w:t>
      </w:r>
    </w:p>
    <w:p w:rsidR="00077AAB" w:rsidRPr="00A11F64" w:rsidRDefault="00077AAB">
      <w:pPr>
        <w:spacing w:before="0" w:after="120" w:line="240" w:lineRule="auto"/>
        <w:rPr>
          <w:rFonts w:asciiTheme="majorHAnsi" w:hAnsiTheme="majorHAnsi" w:cstheme="majorHAnsi"/>
          <w:color w:val="595959" w:themeColor="text1" w:themeTint="A6"/>
          <w:lang w:val="en-AU"/>
        </w:rPr>
      </w:pPr>
      <w:r w:rsidRPr="00A11F64">
        <w:rPr>
          <w:rFonts w:asciiTheme="majorHAnsi" w:hAnsiTheme="majorHAnsi" w:cstheme="majorHAnsi"/>
          <w:color w:val="595959" w:themeColor="text1" w:themeTint="A6"/>
          <w:lang w:val="en-AU"/>
        </w:rPr>
        <w:t xml:space="preserve">Through the </w:t>
      </w:r>
      <w:r w:rsidR="004709D9" w:rsidRPr="00A11F64">
        <w:rPr>
          <w:rFonts w:asciiTheme="majorHAnsi" w:hAnsiTheme="majorHAnsi" w:cstheme="majorHAnsi"/>
          <w:color w:val="595959" w:themeColor="text1" w:themeTint="A6"/>
          <w:lang w:val="en-AU"/>
        </w:rPr>
        <w:t xml:space="preserve">AIHSP </w:t>
      </w:r>
      <w:r w:rsidRPr="00A11F64">
        <w:rPr>
          <w:rFonts w:asciiTheme="majorHAnsi" w:hAnsiTheme="majorHAnsi" w:cstheme="majorHAnsi"/>
          <w:color w:val="595959" w:themeColor="text1" w:themeTint="A6"/>
          <w:lang w:val="en-AU"/>
        </w:rPr>
        <w:t>design</w:t>
      </w:r>
      <w:r w:rsidR="00972397">
        <w:rPr>
          <w:rFonts w:asciiTheme="majorHAnsi" w:hAnsiTheme="majorHAnsi" w:cstheme="majorHAnsi"/>
          <w:color w:val="595959" w:themeColor="text1" w:themeTint="A6"/>
          <w:lang w:val="en-AU"/>
        </w:rPr>
        <w:t xml:space="preserve"> process</w:t>
      </w:r>
      <w:r w:rsidRPr="00A11F64">
        <w:rPr>
          <w:rFonts w:asciiTheme="majorHAnsi" w:hAnsiTheme="majorHAnsi" w:cstheme="majorHAnsi"/>
          <w:color w:val="595959" w:themeColor="text1" w:themeTint="A6"/>
          <w:lang w:val="en-AU"/>
        </w:rPr>
        <w:t>, Australian officials have consult</w:t>
      </w:r>
      <w:r w:rsidR="004709D9" w:rsidRPr="00A11F64">
        <w:rPr>
          <w:rFonts w:asciiTheme="majorHAnsi" w:hAnsiTheme="majorHAnsi" w:cstheme="majorHAnsi"/>
          <w:color w:val="595959" w:themeColor="text1" w:themeTint="A6"/>
          <w:lang w:val="en-AU"/>
        </w:rPr>
        <w:t>ed</w:t>
      </w:r>
      <w:r w:rsidRPr="00A11F64">
        <w:rPr>
          <w:rFonts w:asciiTheme="majorHAnsi" w:hAnsiTheme="majorHAnsi" w:cstheme="majorHAnsi"/>
          <w:color w:val="595959" w:themeColor="text1" w:themeTint="A6"/>
          <w:lang w:val="en-AU"/>
        </w:rPr>
        <w:t xml:space="preserve"> with Indonesian Government officials from relevant Ministries to develop a program of support to </w:t>
      </w:r>
      <w:r w:rsidR="004709D9" w:rsidRPr="00A11F64">
        <w:rPr>
          <w:rFonts w:asciiTheme="majorHAnsi" w:hAnsiTheme="majorHAnsi" w:cstheme="majorHAnsi"/>
          <w:color w:val="595959" w:themeColor="text1" w:themeTint="A6"/>
          <w:lang w:val="en-AU"/>
        </w:rPr>
        <w:t>health security</w:t>
      </w:r>
      <w:r w:rsidR="00B81E5A" w:rsidRPr="00A11F64">
        <w:rPr>
          <w:rFonts w:asciiTheme="majorHAnsi" w:hAnsiTheme="majorHAnsi" w:cstheme="majorHAnsi"/>
          <w:color w:val="595959" w:themeColor="text1" w:themeTint="A6"/>
          <w:lang w:val="en-AU"/>
        </w:rPr>
        <w:t xml:space="preserve"> and build shared commitment to policy dialogue and effective and sustained program implementation</w:t>
      </w:r>
      <w:r w:rsidR="00C84CB8">
        <w:rPr>
          <w:rFonts w:asciiTheme="majorHAnsi" w:hAnsiTheme="majorHAnsi" w:cstheme="majorHAnsi"/>
          <w:color w:val="595959" w:themeColor="text1" w:themeTint="A6"/>
          <w:lang w:val="en-AU"/>
        </w:rPr>
        <w:t xml:space="preserve">. </w:t>
      </w:r>
      <w:r w:rsidRPr="00A11F64">
        <w:rPr>
          <w:rFonts w:asciiTheme="majorHAnsi" w:hAnsiTheme="majorHAnsi" w:cstheme="majorHAnsi"/>
          <w:color w:val="595959" w:themeColor="text1" w:themeTint="A6"/>
          <w:lang w:val="en-AU"/>
        </w:rPr>
        <w:t>Both governments recognize the role this program can play</w:t>
      </w:r>
      <w:r w:rsidR="00972397">
        <w:rPr>
          <w:rFonts w:asciiTheme="majorHAnsi" w:hAnsiTheme="majorHAnsi" w:cstheme="majorHAnsi"/>
          <w:color w:val="595959" w:themeColor="text1" w:themeTint="A6"/>
          <w:lang w:val="en-AU"/>
        </w:rPr>
        <w:t>,</w:t>
      </w:r>
      <w:r w:rsidRPr="00A11F64">
        <w:rPr>
          <w:rFonts w:asciiTheme="majorHAnsi" w:hAnsiTheme="majorHAnsi" w:cstheme="majorHAnsi"/>
          <w:color w:val="595959" w:themeColor="text1" w:themeTint="A6"/>
          <w:lang w:val="en-AU"/>
        </w:rPr>
        <w:t xml:space="preserve"> building on the successes of Australia’s previous support </w:t>
      </w:r>
      <w:r w:rsidR="004709D9" w:rsidRPr="00A11F64">
        <w:rPr>
          <w:rFonts w:asciiTheme="majorHAnsi" w:hAnsiTheme="majorHAnsi" w:cstheme="majorHAnsi"/>
          <w:color w:val="595959" w:themeColor="text1" w:themeTint="A6"/>
          <w:lang w:val="en-AU"/>
        </w:rPr>
        <w:t>to the</w:t>
      </w:r>
      <w:r w:rsidRPr="00A11F64">
        <w:rPr>
          <w:rFonts w:asciiTheme="majorHAnsi" w:hAnsiTheme="majorHAnsi" w:cstheme="majorHAnsi"/>
          <w:color w:val="595959" w:themeColor="text1" w:themeTint="A6"/>
          <w:lang w:val="en-AU"/>
        </w:rPr>
        <w:t xml:space="preserve"> </w:t>
      </w:r>
      <w:r w:rsidR="004709D9" w:rsidRPr="00A11F64">
        <w:rPr>
          <w:rFonts w:asciiTheme="majorHAnsi" w:hAnsiTheme="majorHAnsi" w:cstheme="majorHAnsi"/>
          <w:color w:val="595959" w:themeColor="text1" w:themeTint="A6"/>
          <w:lang w:val="en-AU"/>
        </w:rPr>
        <w:t xml:space="preserve">response to </w:t>
      </w:r>
      <w:r w:rsidR="006F29F9" w:rsidRPr="00A11F64">
        <w:rPr>
          <w:rFonts w:asciiTheme="majorHAnsi" w:hAnsiTheme="majorHAnsi" w:cstheme="majorHAnsi"/>
          <w:color w:val="595959" w:themeColor="text1" w:themeTint="A6"/>
          <w:lang w:val="en-AU"/>
        </w:rPr>
        <w:t>EIDs</w:t>
      </w:r>
      <w:r w:rsidR="000D47FF" w:rsidRPr="00A11F64">
        <w:rPr>
          <w:rFonts w:asciiTheme="majorHAnsi" w:hAnsiTheme="majorHAnsi" w:cstheme="majorHAnsi"/>
          <w:color w:val="595959" w:themeColor="text1" w:themeTint="A6"/>
          <w:lang w:val="en-AU"/>
        </w:rPr>
        <w:t xml:space="preserve"> </w:t>
      </w:r>
      <w:r w:rsidRPr="00A11F64">
        <w:rPr>
          <w:rFonts w:asciiTheme="majorHAnsi" w:hAnsiTheme="majorHAnsi" w:cstheme="majorHAnsi"/>
          <w:color w:val="595959" w:themeColor="text1" w:themeTint="A6"/>
          <w:lang w:val="en-AU"/>
        </w:rPr>
        <w:t>in Indonesia</w:t>
      </w:r>
      <w:r w:rsidR="006F29F9" w:rsidRPr="00A11F64">
        <w:rPr>
          <w:rFonts w:asciiTheme="majorHAnsi" w:hAnsiTheme="majorHAnsi" w:cstheme="majorHAnsi"/>
          <w:color w:val="595959" w:themeColor="text1" w:themeTint="A6"/>
          <w:lang w:val="en-AU"/>
        </w:rPr>
        <w:t>,</w:t>
      </w:r>
      <w:r w:rsidRPr="00A11F64">
        <w:rPr>
          <w:rFonts w:asciiTheme="majorHAnsi" w:hAnsiTheme="majorHAnsi" w:cstheme="majorHAnsi"/>
          <w:color w:val="595959" w:themeColor="text1" w:themeTint="A6"/>
          <w:lang w:val="en-AU"/>
        </w:rPr>
        <w:t xml:space="preserve"> </w:t>
      </w:r>
      <w:r w:rsidR="00972397">
        <w:rPr>
          <w:rFonts w:asciiTheme="majorHAnsi" w:hAnsiTheme="majorHAnsi" w:cstheme="majorHAnsi"/>
          <w:color w:val="595959" w:themeColor="text1" w:themeTint="A6"/>
          <w:lang w:val="en-AU"/>
        </w:rPr>
        <w:t>including through</w:t>
      </w:r>
      <w:r w:rsidRPr="00A11F64">
        <w:rPr>
          <w:rFonts w:asciiTheme="majorHAnsi" w:hAnsiTheme="majorHAnsi" w:cstheme="majorHAnsi"/>
          <w:color w:val="595959" w:themeColor="text1" w:themeTint="A6"/>
          <w:lang w:val="en-AU"/>
        </w:rPr>
        <w:t xml:space="preserve"> support to </w:t>
      </w:r>
      <w:r w:rsidR="004709D9" w:rsidRPr="00A11F64">
        <w:rPr>
          <w:rFonts w:asciiTheme="majorHAnsi" w:hAnsiTheme="majorHAnsi" w:cstheme="majorHAnsi"/>
          <w:color w:val="595959" w:themeColor="text1" w:themeTint="A6"/>
          <w:lang w:val="en-AU"/>
        </w:rPr>
        <w:t>address</w:t>
      </w:r>
      <w:r w:rsidRPr="00A11F64">
        <w:rPr>
          <w:rFonts w:asciiTheme="majorHAnsi" w:hAnsiTheme="majorHAnsi" w:cstheme="majorHAnsi"/>
          <w:color w:val="595959" w:themeColor="text1" w:themeTint="A6"/>
          <w:lang w:val="en-AU"/>
        </w:rPr>
        <w:t xml:space="preserve"> the recommendations of the JEE and PVS</w:t>
      </w:r>
      <w:r w:rsidR="00C84CB8">
        <w:rPr>
          <w:rFonts w:asciiTheme="majorHAnsi" w:hAnsiTheme="majorHAnsi" w:cstheme="majorHAnsi"/>
          <w:color w:val="595959" w:themeColor="text1" w:themeTint="A6"/>
          <w:lang w:val="en-AU"/>
        </w:rPr>
        <w:t xml:space="preserve">. </w:t>
      </w:r>
      <w:r w:rsidR="006D1B16" w:rsidRPr="00A11F64">
        <w:rPr>
          <w:rFonts w:asciiTheme="majorHAnsi" w:hAnsiTheme="majorHAnsi" w:cstheme="majorHAnsi"/>
          <w:color w:val="595959" w:themeColor="text1" w:themeTint="A6"/>
          <w:lang w:val="en-AU"/>
        </w:rPr>
        <w:t xml:space="preserve">The </w:t>
      </w:r>
      <w:r w:rsidR="004709D9" w:rsidRPr="00A11F64">
        <w:rPr>
          <w:rFonts w:asciiTheme="majorHAnsi" w:hAnsiTheme="majorHAnsi" w:cstheme="majorHAnsi"/>
          <w:color w:val="595959" w:themeColor="text1" w:themeTint="A6"/>
          <w:lang w:val="en-AU"/>
        </w:rPr>
        <w:t xml:space="preserve">AIHSP </w:t>
      </w:r>
      <w:r w:rsidRPr="00A11F64">
        <w:rPr>
          <w:rFonts w:asciiTheme="majorHAnsi" w:hAnsiTheme="majorHAnsi" w:cstheme="majorHAnsi"/>
          <w:color w:val="595959" w:themeColor="text1" w:themeTint="A6"/>
          <w:lang w:val="en-AU"/>
        </w:rPr>
        <w:t xml:space="preserve">design </w:t>
      </w:r>
      <w:r w:rsidR="004709D9" w:rsidRPr="00A11F64">
        <w:rPr>
          <w:rFonts w:asciiTheme="majorHAnsi" w:hAnsiTheme="majorHAnsi" w:cstheme="majorHAnsi"/>
          <w:color w:val="595959" w:themeColor="text1" w:themeTint="A6"/>
          <w:lang w:val="en-AU"/>
        </w:rPr>
        <w:t>reflects</w:t>
      </w:r>
      <w:r w:rsidRPr="00A11F64">
        <w:rPr>
          <w:rFonts w:asciiTheme="majorHAnsi" w:hAnsiTheme="majorHAnsi" w:cstheme="majorHAnsi"/>
          <w:color w:val="595959" w:themeColor="text1" w:themeTint="A6"/>
          <w:lang w:val="en-AU"/>
        </w:rPr>
        <w:t xml:space="preserve"> these key </w:t>
      </w:r>
      <w:r w:rsidR="00BA0E34" w:rsidRPr="00A11F64">
        <w:rPr>
          <w:rFonts w:asciiTheme="majorHAnsi" w:hAnsiTheme="majorHAnsi" w:cstheme="majorHAnsi"/>
          <w:color w:val="595959" w:themeColor="text1" w:themeTint="A6"/>
          <w:lang w:val="en-AU"/>
        </w:rPr>
        <w:t>policy documents.</w:t>
      </w:r>
    </w:p>
    <w:p w:rsidR="00077AAB" w:rsidRPr="00A11F64" w:rsidRDefault="00077AAB">
      <w:pPr>
        <w:spacing w:before="0" w:after="120" w:line="240" w:lineRule="auto"/>
        <w:rPr>
          <w:rFonts w:asciiTheme="majorHAnsi" w:hAnsiTheme="majorHAnsi" w:cstheme="majorHAnsi"/>
          <w:color w:val="595959" w:themeColor="text1" w:themeTint="A6"/>
          <w:lang w:val="en-AU"/>
        </w:rPr>
      </w:pPr>
      <w:r w:rsidRPr="00A11F64">
        <w:rPr>
          <w:rFonts w:asciiTheme="majorHAnsi" w:hAnsiTheme="majorHAnsi" w:cstheme="majorHAnsi"/>
          <w:color w:val="595959" w:themeColor="text1" w:themeTint="A6"/>
          <w:lang w:val="en-AU"/>
        </w:rPr>
        <w:t>The goal of the program is</w:t>
      </w:r>
      <w:r w:rsidR="001C4257" w:rsidRPr="00A11F64">
        <w:rPr>
          <w:rFonts w:asciiTheme="majorHAnsi" w:hAnsiTheme="majorHAnsi" w:cstheme="majorHAnsi"/>
          <w:color w:val="595959" w:themeColor="text1" w:themeTint="A6"/>
          <w:lang w:val="en-AU"/>
        </w:rPr>
        <w:t xml:space="preserve"> to increase national health security in Indonesia </w:t>
      </w:r>
      <w:r w:rsidR="00972397">
        <w:rPr>
          <w:rFonts w:asciiTheme="majorHAnsi" w:hAnsiTheme="majorHAnsi" w:cstheme="majorHAnsi"/>
          <w:color w:val="595959" w:themeColor="text1" w:themeTint="A6"/>
          <w:lang w:val="en-AU"/>
        </w:rPr>
        <w:t>so that</w:t>
      </w:r>
      <w:r w:rsidR="00972397" w:rsidRPr="00A11F64">
        <w:rPr>
          <w:rFonts w:asciiTheme="majorHAnsi" w:hAnsiTheme="majorHAnsi" w:cstheme="majorHAnsi"/>
          <w:color w:val="595959" w:themeColor="text1" w:themeTint="A6"/>
          <w:lang w:val="en-AU"/>
        </w:rPr>
        <w:t xml:space="preserve"> </w:t>
      </w:r>
      <w:r w:rsidR="001C4257" w:rsidRPr="00A11F64">
        <w:rPr>
          <w:rFonts w:asciiTheme="majorHAnsi" w:hAnsiTheme="majorHAnsi" w:cstheme="majorHAnsi"/>
          <w:color w:val="595959" w:themeColor="text1" w:themeTint="A6"/>
          <w:lang w:val="en-AU"/>
        </w:rPr>
        <w:t>women, men and communities are less at risk from EIDs/zoonos</w:t>
      </w:r>
      <w:r w:rsidR="006F29F9" w:rsidRPr="00A11F64">
        <w:rPr>
          <w:rFonts w:asciiTheme="majorHAnsi" w:hAnsiTheme="majorHAnsi" w:cstheme="majorHAnsi"/>
          <w:color w:val="595959" w:themeColor="text1" w:themeTint="A6"/>
          <w:lang w:val="en-AU"/>
        </w:rPr>
        <w:t>e</w:t>
      </w:r>
      <w:r w:rsidR="001C4257" w:rsidRPr="00A11F64">
        <w:rPr>
          <w:rFonts w:asciiTheme="majorHAnsi" w:hAnsiTheme="majorHAnsi" w:cstheme="majorHAnsi"/>
          <w:color w:val="595959" w:themeColor="text1" w:themeTint="A6"/>
          <w:lang w:val="en-AU"/>
        </w:rPr>
        <w:t xml:space="preserve">s, thereby contributing to Australian, regional and global health security, as well as supporting sustainable </w:t>
      </w:r>
      <w:r w:rsidR="005274B3">
        <w:rPr>
          <w:rFonts w:asciiTheme="majorHAnsi" w:hAnsiTheme="majorHAnsi" w:cstheme="majorHAnsi"/>
          <w:color w:val="595959" w:themeColor="text1" w:themeTint="A6"/>
          <w:lang w:val="en-AU"/>
        </w:rPr>
        <w:t xml:space="preserve">economic </w:t>
      </w:r>
      <w:r w:rsidR="001C4257" w:rsidRPr="00A11F64">
        <w:rPr>
          <w:rFonts w:asciiTheme="majorHAnsi" w:hAnsiTheme="majorHAnsi" w:cstheme="majorHAnsi"/>
          <w:color w:val="595959" w:themeColor="text1" w:themeTint="A6"/>
          <w:lang w:val="en-AU"/>
        </w:rPr>
        <w:t>development and food security in Indonesia</w:t>
      </w:r>
      <w:r w:rsidRPr="00A11F64">
        <w:rPr>
          <w:rFonts w:asciiTheme="majorHAnsi" w:hAnsiTheme="majorHAnsi" w:cstheme="majorHAnsi"/>
          <w:color w:val="595959" w:themeColor="text1" w:themeTint="A6"/>
          <w:lang w:val="en-AU"/>
        </w:rPr>
        <w:t>.</w:t>
      </w:r>
    </w:p>
    <w:p w:rsidR="00077AAB" w:rsidRPr="00A11F64" w:rsidRDefault="00077AAB">
      <w:pPr>
        <w:spacing w:before="0" w:after="120" w:line="240" w:lineRule="auto"/>
        <w:rPr>
          <w:rFonts w:asciiTheme="majorHAnsi" w:hAnsiTheme="majorHAnsi" w:cstheme="majorHAnsi"/>
          <w:color w:val="595959" w:themeColor="text1" w:themeTint="A6"/>
          <w:lang w:val="en-AU"/>
        </w:rPr>
      </w:pPr>
      <w:r w:rsidRPr="00A11F64">
        <w:rPr>
          <w:rFonts w:asciiTheme="majorHAnsi" w:hAnsiTheme="majorHAnsi" w:cstheme="majorHAnsi"/>
          <w:color w:val="595959" w:themeColor="text1" w:themeTint="A6"/>
          <w:lang w:val="en-AU"/>
        </w:rPr>
        <w:t xml:space="preserve">The AIHSP will </w:t>
      </w:r>
      <w:r w:rsidR="004709D9" w:rsidRPr="00A11F64">
        <w:rPr>
          <w:rFonts w:asciiTheme="majorHAnsi" w:hAnsiTheme="majorHAnsi" w:cstheme="majorHAnsi"/>
          <w:color w:val="595959" w:themeColor="text1" w:themeTint="A6"/>
          <w:lang w:val="en-AU"/>
        </w:rPr>
        <w:t>be</w:t>
      </w:r>
      <w:r w:rsidRPr="00A11F64">
        <w:rPr>
          <w:rFonts w:asciiTheme="majorHAnsi" w:hAnsiTheme="majorHAnsi" w:cstheme="majorHAnsi"/>
          <w:color w:val="595959" w:themeColor="text1" w:themeTint="A6"/>
          <w:lang w:val="en-AU"/>
        </w:rPr>
        <w:t xml:space="preserve"> a flexible program, under which a range of activities will be supported</w:t>
      </w:r>
      <w:r w:rsidR="00B81E5A" w:rsidRPr="00A11F64">
        <w:rPr>
          <w:rFonts w:asciiTheme="majorHAnsi" w:hAnsiTheme="majorHAnsi" w:cstheme="majorHAnsi"/>
          <w:color w:val="595959" w:themeColor="text1" w:themeTint="A6"/>
          <w:lang w:val="en-AU"/>
        </w:rPr>
        <w:t xml:space="preserve"> and regularly updated</w:t>
      </w:r>
      <w:r w:rsidR="00C37680">
        <w:rPr>
          <w:rFonts w:asciiTheme="majorHAnsi" w:hAnsiTheme="majorHAnsi" w:cstheme="majorHAnsi"/>
          <w:color w:val="595959" w:themeColor="text1" w:themeTint="A6"/>
          <w:lang w:val="en-AU"/>
        </w:rPr>
        <w:t xml:space="preserve"> based on emerging issues and experience</w:t>
      </w:r>
      <w:r w:rsidRPr="00A11F64">
        <w:rPr>
          <w:rFonts w:asciiTheme="majorHAnsi" w:hAnsiTheme="majorHAnsi" w:cstheme="majorHAnsi"/>
          <w:color w:val="595959" w:themeColor="text1" w:themeTint="A6"/>
          <w:lang w:val="en-AU"/>
        </w:rPr>
        <w:t xml:space="preserve"> </w:t>
      </w:r>
      <w:r w:rsidR="008563D9">
        <w:rPr>
          <w:rFonts w:asciiTheme="majorHAnsi" w:hAnsiTheme="majorHAnsi" w:cstheme="majorHAnsi"/>
          <w:color w:val="595959" w:themeColor="text1" w:themeTint="A6"/>
          <w:lang w:val="en-AU"/>
        </w:rPr>
        <w:t xml:space="preserve">to support a) the GoI to build stronger systems to prevent, detect and respond to public health and animal emergencies from EIDs/zoonoses, and b) stronger national coordination of responses to national, regional and global health threats. </w:t>
      </w:r>
      <w:r w:rsidR="00704061" w:rsidRPr="00A11F64">
        <w:rPr>
          <w:rFonts w:asciiTheme="majorHAnsi" w:hAnsiTheme="majorHAnsi" w:cstheme="majorHAnsi"/>
          <w:color w:val="595959" w:themeColor="text1" w:themeTint="A6"/>
          <w:lang w:val="en-AU"/>
        </w:rPr>
        <w:t>A</w:t>
      </w:r>
      <w:r w:rsidRPr="00A11F64">
        <w:rPr>
          <w:rFonts w:asciiTheme="majorHAnsi" w:hAnsiTheme="majorHAnsi" w:cstheme="majorHAnsi"/>
          <w:color w:val="595959" w:themeColor="text1" w:themeTint="A6"/>
          <w:lang w:val="en-AU"/>
        </w:rPr>
        <w:t xml:space="preserve"> managing contractor will </w:t>
      </w:r>
      <w:r w:rsidR="00704061" w:rsidRPr="00A11F64">
        <w:rPr>
          <w:rFonts w:asciiTheme="majorHAnsi" w:hAnsiTheme="majorHAnsi" w:cstheme="majorHAnsi"/>
          <w:color w:val="595959" w:themeColor="text1" w:themeTint="A6"/>
          <w:lang w:val="en-AU"/>
        </w:rPr>
        <w:t xml:space="preserve">work with </w:t>
      </w:r>
      <w:r w:rsidR="004709D9" w:rsidRPr="00A11F64">
        <w:rPr>
          <w:rFonts w:asciiTheme="majorHAnsi" w:hAnsiTheme="majorHAnsi" w:cstheme="majorHAnsi"/>
          <w:color w:val="595959" w:themeColor="text1" w:themeTint="A6"/>
          <w:lang w:val="en-AU"/>
        </w:rPr>
        <w:t>GoI counterparts</w:t>
      </w:r>
      <w:r w:rsidR="00704061" w:rsidRPr="00A11F64">
        <w:rPr>
          <w:rFonts w:asciiTheme="majorHAnsi" w:hAnsiTheme="majorHAnsi" w:cstheme="majorHAnsi"/>
          <w:color w:val="595959" w:themeColor="text1" w:themeTint="A6"/>
          <w:lang w:val="en-AU"/>
        </w:rPr>
        <w:t xml:space="preserve"> to</w:t>
      </w:r>
      <w:r w:rsidR="004709D9" w:rsidRPr="00A11F64">
        <w:rPr>
          <w:rFonts w:asciiTheme="majorHAnsi" w:hAnsiTheme="majorHAnsi" w:cstheme="majorHAnsi"/>
          <w:color w:val="595959" w:themeColor="text1" w:themeTint="A6"/>
          <w:lang w:val="en-AU"/>
        </w:rPr>
        <w:t xml:space="preserve"> </w:t>
      </w:r>
      <w:r w:rsidRPr="00A11F64">
        <w:rPr>
          <w:rFonts w:asciiTheme="majorHAnsi" w:hAnsiTheme="majorHAnsi" w:cstheme="majorHAnsi"/>
          <w:color w:val="595959" w:themeColor="text1" w:themeTint="A6"/>
          <w:lang w:val="en-AU"/>
        </w:rPr>
        <w:t>identify</w:t>
      </w:r>
      <w:r w:rsidR="00704061" w:rsidRPr="00A11F64">
        <w:rPr>
          <w:rFonts w:asciiTheme="majorHAnsi" w:hAnsiTheme="majorHAnsi" w:cstheme="majorHAnsi"/>
          <w:color w:val="595959" w:themeColor="text1" w:themeTint="A6"/>
          <w:lang w:val="en-AU"/>
        </w:rPr>
        <w:t xml:space="preserve"> and </w:t>
      </w:r>
      <w:r w:rsidRPr="00A11F64">
        <w:rPr>
          <w:rFonts w:asciiTheme="majorHAnsi" w:hAnsiTheme="majorHAnsi" w:cstheme="majorHAnsi"/>
          <w:color w:val="595959" w:themeColor="text1" w:themeTint="A6"/>
          <w:lang w:val="en-AU"/>
        </w:rPr>
        <w:t>develop</w:t>
      </w:r>
      <w:r w:rsidR="00704061" w:rsidRPr="00A11F64">
        <w:rPr>
          <w:rFonts w:asciiTheme="majorHAnsi" w:hAnsiTheme="majorHAnsi" w:cstheme="majorHAnsi"/>
          <w:color w:val="595959" w:themeColor="text1" w:themeTint="A6"/>
          <w:lang w:val="en-AU"/>
        </w:rPr>
        <w:t xml:space="preserve"> a set of</w:t>
      </w:r>
      <w:r w:rsidRPr="00A11F64">
        <w:rPr>
          <w:rFonts w:asciiTheme="majorHAnsi" w:hAnsiTheme="majorHAnsi" w:cstheme="majorHAnsi"/>
          <w:color w:val="595959" w:themeColor="text1" w:themeTint="A6"/>
          <w:lang w:val="en-AU"/>
        </w:rPr>
        <w:t xml:space="preserve"> activities </w:t>
      </w:r>
      <w:r w:rsidR="00704061" w:rsidRPr="00A11F64">
        <w:rPr>
          <w:rFonts w:asciiTheme="majorHAnsi" w:hAnsiTheme="majorHAnsi" w:cstheme="majorHAnsi"/>
          <w:color w:val="595959" w:themeColor="text1" w:themeTint="A6"/>
          <w:lang w:val="en-AU"/>
        </w:rPr>
        <w:t xml:space="preserve">to be presented as </w:t>
      </w:r>
      <w:r w:rsidRPr="00A11F64">
        <w:rPr>
          <w:rFonts w:asciiTheme="majorHAnsi" w:hAnsiTheme="majorHAnsi" w:cstheme="majorHAnsi"/>
          <w:color w:val="595959" w:themeColor="text1" w:themeTint="A6"/>
          <w:lang w:val="en-AU"/>
        </w:rPr>
        <w:t>an annual work plan for approval by a Program Coordinating Committee</w:t>
      </w:r>
      <w:r w:rsidR="00C21F0B" w:rsidRPr="00A11F64">
        <w:rPr>
          <w:rFonts w:asciiTheme="majorHAnsi" w:hAnsiTheme="majorHAnsi" w:cstheme="majorHAnsi"/>
          <w:color w:val="595959" w:themeColor="text1" w:themeTint="A6"/>
          <w:lang w:val="en-AU"/>
        </w:rPr>
        <w:t xml:space="preserve"> (PCC)</w:t>
      </w:r>
      <w:r w:rsidRPr="00A11F64">
        <w:rPr>
          <w:rFonts w:asciiTheme="majorHAnsi" w:hAnsiTheme="majorHAnsi" w:cstheme="majorHAnsi"/>
          <w:color w:val="595959" w:themeColor="text1" w:themeTint="A6"/>
          <w:lang w:val="en-AU"/>
        </w:rPr>
        <w:t>, made up of Australian and Indonesian government officials</w:t>
      </w:r>
      <w:r w:rsidR="00C84CB8">
        <w:rPr>
          <w:rFonts w:asciiTheme="majorHAnsi" w:hAnsiTheme="majorHAnsi" w:cstheme="majorHAnsi"/>
          <w:color w:val="595959" w:themeColor="text1" w:themeTint="A6"/>
          <w:lang w:val="en-AU"/>
        </w:rPr>
        <w:t xml:space="preserve">. </w:t>
      </w:r>
      <w:r w:rsidRPr="00A11F64">
        <w:rPr>
          <w:rFonts w:asciiTheme="majorHAnsi" w:hAnsiTheme="majorHAnsi" w:cstheme="majorHAnsi"/>
          <w:color w:val="595959" w:themeColor="text1" w:themeTint="A6"/>
          <w:lang w:val="en-AU"/>
        </w:rPr>
        <w:t>Guiding principles/Investment criteria (parameters) have been developed to guide the choice of activities for support</w:t>
      </w:r>
      <w:r w:rsidR="00C84CB8">
        <w:rPr>
          <w:rFonts w:asciiTheme="majorHAnsi" w:hAnsiTheme="majorHAnsi" w:cstheme="majorHAnsi"/>
          <w:color w:val="595959" w:themeColor="text1" w:themeTint="A6"/>
          <w:lang w:val="en-AU"/>
        </w:rPr>
        <w:t xml:space="preserve">. </w:t>
      </w:r>
      <w:r w:rsidRPr="00A11F64">
        <w:rPr>
          <w:rFonts w:asciiTheme="majorHAnsi" w:hAnsiTheme="majorHAnsi" w:cstheme="majorHAnsi"/>
          <w:color w:val="595959" w:themeColor="text1" w:themeTint="A6"/>
          <w:lang w:val="en-AU"/>
        </w:rPr>
        <w:t>The AIHSP will continue to adopt a ‘One Health’ approach by working synergistically in the animal health and human health sectors</w:t>
      </w:r>
      <w:r w:rsidR="00C84CB8">
        <w:rPr>
          <w:rFonts w:asciiTheme="majorHAnsi" w:hAnsiTheme="majorHAnsi" w:cstheme="majorHAnsi"/>
          <w:color w:val="595959" w:themeColor="text1" w:themeTint="A6"/>
          <w:lang w:val="en-AU"/>
        </w:rPr>
        <w:t xml:space="preserve">. </w:t>
      </w:r>
      <w:r w:rsidRPr="00A11F64">
        <w:rPr>
          <w:rFonts w:asciiTheme="majorHAnsi" w:hAnsiTheme="majorHAnsi" w:cstheme="majorHAnsi"/>
          <w:color w:val="595959" w:themeColor="text1" w:themeTint="A6"/>
          <w:lang w:val="en-AU"/>
        </w:rPr>
        <w:t>The program will build on existing collaborations between the Australian Department of Agriculture</w:t>
      </w:r>
      <w:r w:rsidR="006B19D8" w:rsidRPr="00A11F64">
        <w:rPr>
          <w:rFonts w:asciiTheme="majorHAnsi" w:hAnsiTheme="majorHAnsi" w:cstheme="majorHAnsi"/>
          <w:color w:val="595959" w:themeColor="text1" w:themeTint="A6"/>
          <w:lang w:val="en-AU"/>
        </w:rPr>
        <w:t xml:space="preserve"> and Water Resources</w:t>
      </w:r>
      <w:r w:rsidRPr="00A11F64">
        <w:rPr>
          <w:rFonts w:asciiTheme="majorHAnsi" w:hAnsiTheme="majorHAnsi" w:cstheme="majorHAnsi"/>
          <w:color w:val="595959" w:themeColor="text1" w:themeTint="A6"/>
          <w:lang w:val="en-AU"/>
        </w:rPr>
        <w:t xml:space="preserve"> (DA</w:t>
      </w:r>
      <w:r w:rsidR="006B19D8" w:rsidRPr="00A11F64">
        <w:rPr>
          <w:rFonts w:asciiTheme="majorHAnsi" w:hAnsiTheme="majorHAnsi" w:cstheme="majorHAnsi"/>
          <w:color w:val="595959" w:themeColor="text1" w:themeTint="A6"/>
          <w:lang w:val="en-AU"/>
        </w:rPr>
        <w:t>WR</w:t>
      </w:r>
      <w:r w:rsidR="00F522BF" w:rsidRPr="00A11F64">
        <w:rPr>
          <w:rFonts w:asciiTheme="majorHAnsi" w:hAnsiTheme="majorHAnsi" w:cstheme="majorHAnsi"/>
          <w:color w:val="595959" w:themeColor="text1" w:themeTint="A6"/>
          <w:lang w:val="en-AU"/>
        </w:rPr>
        <w:t>)</w:t>
      </w:r>
      <w:r w:rsidR="00704061" w:rsidRPr="00A11F64">
        <w:rPr>
          <w:rFonts w:asciiTheme="majorHAnsi" w:hAnsiTheme="majorHAnsi" w:cstheme="majorHAnsi"/>
          <w:color w:val="595959" w:themeColor="text1" w:themeTint="A6"/>
          <w:lang w:val="en-AU"/>
        </w:rPr>
        <w:t xml:space="preserve"> and </w:t>
      </w:r>
      <w:r w:rsidR="00F522BF" w:rsidRPr="00A11F64">
        <w:rPr>
          <w:rFonts w:asciiTheme="majorHAnsi" w:hAnsiTheme="majorHAnsi" w:cstheme="majorHAnsi"/>
          <w:color w:val="595959" w:themeColor="text1" w:themeTint="A6"/>
          <w:lang w:val="en-AU"/>
        </w:rPr>
        <w:t>WHO</w:t>
      </w:r>
      <w:r w:rsidRPr="00A11F64">
        <w:rPr>
          <w:rFonts w:asciiTheme="majorHAnsi" w:hAnsiTheme="majorHAnsi" w:cstheme="majorHAnsi"/>
          <w:color w:val="595959" w:themeColor="text1" w:themeTint="A6"/>
          <w:lang w:val="en-AU"/>
        </w:rPr>
        <w:t xml:space="preserve"> and their Indonesian counterpart agencies</w:t>
      </w:r>
      <w:r w:rsidR="00C84CB8">
        <w:rPr>
          <w:rFonts w:asciiTheme="majorHAnsi" w:hAnsiTheme="majorHAnsi" w:cstheme="majorHAnsi"/>
          <w:color w:val="595959" w:themeColor="text1" w:themeTint="A6"/>
          <w:lang w:val="en-AU"/>
        </w:rPr>
        <w:t>.</w:t>
      </w:r>
      <w:r w:rsidR="00C83B0C" w:rsidRPr="00A11F64">
        <w:rPr>
          <w:rFonts w:asciiTheme="majorHAnsi" w:hAnsiTheme="majorHAnsi" w:cstheme="majorHAnsi"/>
          <w:color w:val="595959" w:themeColor="text1" w:themeTint="A6"/>
          <w:lang w:val="en-AU"/>
        </w:rPr>
        <w:t xml:space="preserve"> </w:t>
      </w:r>
      <w:r w:rsidRPr="00A11F64">
        <w:rPr>
          <w:rFonts w:asciiTheme="majorHAnsi" w:hAnsiTheme="majorHAnsi" w:cstheme="majorHAnsi"/>
          <w:color w:val="595959" w:themeColor="text1" w:themeTint="A6"/>
          <w:lang w:val="en-AU"/>
        </w:rPr>
        <w:t>Activities will be coordinated with other key development partners working on health security in Indonesia</w:t>
      </w:r>
      <w:r w:rsidR="00C84CB8">
        <w:rPr>
          <w:rFonts w:asciiTheme="majorHAnsi" w:hAnsiTheme="majorHAnsi" w:cstheme="majorHAnsi"/>
          <w:color w:val="595959" w:themeColor="text1" w:themeTint="A6"/>
          <w:lang w:val="en-AU"/>
        </w:rPr>
        <w:t>.</w:t>
      </w:r>
    </w:p>
    <w:p w:rsidR="00077AAB" w:rsidRPr="00A11F64" w:rsidRDefault="00077AAB">
      <w:pPr>
        <w:spacing w:before="0" w:after="120" w:line="240" w:lineRule="auto"/>
        <w:rPr>
          <w:rFonts w:asciiTheme="majorHAnsi" w:hAnsiTheme="majorHAnsi" w:cstheme="majorHAnsi"/>
          <w:color w:val="595959" w:themeColor="text1" w:themeTint="A6"/>
        </w:rPr>
      </w:pPr>
      <w:r w:rsidRPr="00A11F64">
        <w:rPr>
          <w:rFonts w:asciiTheme="majorHAnsi" w:hAnsiTheme="majorHAnsi" w:cstheme="majorHAnsi"/>
          <w:color w:val="595959" w:themeColor="text1" w:themeTint="A6"/>
          <w:lang w:val="en-AU"/>
        </w:rPr>
        <w:t>The program will commence in July 2019 and will continue for five years</w:t>
      </w:r>
      <w:r w:rsidR="00C84CB8">
        <w:rPr>
          <w:rFonts w:asciiTheme="majorHAnsi" w:hAnsiTheme="majorHAnsi" w:cstheme="majorHAnsi"/>
          <w:color w:val="595959" w:themeColor="text1" w:themeTint="A6"/>
          <w:lang w:val="en-AU"/>
        </w:rPr>
        <w:t xml:space="preserve">. </w:t>
      </w:r>
      <w:r w:rsidRPr="00A11F64">
        <w:rPr>
          <w:rFonts w:asciiTheme="majorHAnsi" w:hAnsiTheme="majorHAnsi" w:cstheme="majorHAnsi"/>
          <w:color w:val="595959" w:themeColor="text1" w:themeTint="A6"/>
          <w:lang w:val="en-AU"/>
        </w:rPr>
        <w:t xml:space="preserve">The AIHSP has a total budget of </w:t>
      </w:r>
      <w:r w:rsidR="00C37680">
        <w:rPr>
          <w:rFonts w:asciiTheme="majorHAnsi" w:hAnsiTheme="majorHAnsi" w:cstheme="majorHAnsi"/>
          <w:color w:val="595959" w:themeColor="text1" w:themeTint="A6"/>
          <w:lang w:val="en-AU"/>
        </w:rPr>
        <w:t xml:space="preserve">up to </w:t>
      </w:r>
      <w:r w:rsidRPr="00A11F64">
        <w:rPr>
          <w:rFonts w:asciiTheme="majorHAnsi" w:hAnsiTheme="majorHAnsi" w:cstheme="majorHAnsi"/>
          <w:color w:val="595959" w:themeColor="text1" w:themeTint="A6"/>
          <w:lang w:val="en-AU"/>
        </w:rPr>
        <w:t xml:space="preserve">$17.5 million dollars over </w:t>
      </w:r>
      <w:r w:rsidR="00305395">
        <w:rPr>
          <w:rFonts w:asciiTheme="majorHAnsi" w:hAnsiTheme="majorHAnsi" w:cstheme="majorHAnsi"/>
          <w:color w:val="595959" w:themeColor="text1" w:themeTint="A6"/>
          <w:lang w:val="en-AU"/>
        </w:rPr>
        <w:t>the five year period</w:t>
      </w:r>
      <w:r w:rsidR="00C37680">
        <w:rPr>
          <w:rFonts w:asciiTheme="majorHAnsi" w:hAnsiTheme="majorHAnsi" w:cstheme="majorHAnsi"/>
          <w:color w:val="595959" w:themeColor="text1" w:themeTint="A6"/>
          <w:lang w:val="en-AU"/>
        </w:rPr>
        <w:t>, including $500,000 for</w:t>
      </w:r>
      <w:r w:rsidR="00E538E0">
        <w:rPr>
          <w:rFonts w:asciiTheme="majorHAnsi" w:hAnsiTheme="majorHAnsi" w:cstheme="majorHAnsi"/>
          <w:color w:val="595959" w:themeColor="text1" w:themeTint="A6"/>
          <w:lang w:val="en-AU"/>
        </w:rPr>
        <w:t xml:space="preserve"> DFAT’s</w:t>
      </w:r>
      <w:r w:rsidR="00C37680">
        <w:rPr>
          <w:rFonts w:asciiTheme="majorHAnsi" w:hAnsiTheme="majorHAnsi" w:cstheme="majorHAnsi"/>
          <w:color w:val="595959" w:themeColor="text1" w:themeTint="A6"/>
          <w:lang w:val="en-AU"/>
        </w:rPr>
        <w:t xml:space="preserve"> internal reviews, monitoring and administration</w:t>
      </w:r>
      <w:r w:rsidR="005B43D1">
        <w:rPr>
          <w:rFonts w:asciiTheme="majorHAnsi" w:hAnsiTheme="majorHAnsi" w:cstheme="majorHAnsi"/>
          <w:color w:val="595959" w:themeColor="text1" w:themeTint="A6"/>
          <w:lang w:val="en-AU"/>
        </w:rPr>
        <w:t xml:space="preserve">. </w:t>
      </w:r>
      <w:r w:rsidRPr="00A11F64">
        <w:rPr>
          <w:rFonts w:asciiTheme="majorHAnsi" w:hAnsiTheme="majorHAnsi" w:cstheme="majorHAnsi"/>
          <w:color w:val="595959" w:themeColor="text1" w:themeTint="A6"/>
          <w:lang w:val="en-AU"/>
        </w:rPr>
        <w:t xml:space="preserve">DFAT </w:t>
      </w:r>
      <w:r w:rsidR="00C37680">
        <w:rPr>
          <w:rFonts w:asciiTheme="majorHAnsi" w:hAnsiTheme="majorHAnsi" w:cstheme="majorHAnsi"/>
          <w:color w:val="595959" w:themeColor="text1" w:themeTint="A6"/>
          <w:lang w:val="en-AU"/>
        </w:rPr>
        <w:t>expects to enter into a grant arrangement</w:t>
      </w:r>
      <w:r w:rsidRPr="00A11F64">
        <w:rPr>
          <w:rFonts w:asciiTheme="majorHAnsi" w:hAnsiTheme="majorHAnsi" w:cstheme="majorHAnsi"/>
          <w:color w:val="595959" w:themeColor="text1" w:themeTint="A6"/>
          <w:lang w:val="en-AU"/>
        </w:rPr>
        <w:t xml:space="preserve"> with WHO </w:t>
      </w:r>
      <w:r w:rsidR="00C37680">
        <w:rPr>
          <w:rFonts w:asciiTheme="majorHAnsi" w:hAnsiTheme="majorHAnsi" w:cstheme="majorHAnsi"/>
          <w:color w:val="595959" w:themeColor="text1" w:themeTint="A6"/>
          <w:lang w:val="en-AU"/>
        </w:rPr>
        <w:t>and potentially other international organisations, and may provide funding to DAWR for specific short-term assignments/activities. This</w:t>
      </w:r>
      <w:r w:rsidRPr="00A11F64">
        <w:rPr>
          <w:rFonts w:asciiTheme="majorHAnsi" w:hAnsiTheme="majorHAnsi" w:cstheme="majorHAnsi"/>
          <w:color w:val="595959" w:themeColor="text1" w:themeTint="A6"/>
          <w:lang w:val="en-AU"/>
        </w:rPr>
        <w:t xml:space="preserve"> leaves a</w:t>
      </w:r>
      <w:r w:rsidR="005B43D1">
        <w:rPr>
          <w:rFonts w:asciiTheme="majorHAnsi" w:hAnsiTheme="majorHAnsi" w:cstheme="majorHAnsi"/>
          <w:color w:val="595959" w:themeColor="text1" w:themeTint="A6"/>
          <w:lang w:val="en-AU"/>
        </w:rPr>
        <w:t>n approximate budget of</w:t>
      </w:r>
      <w:r w:rsidRPr="00A11F64">
        <w:rPr>
          <w:rFonts w:asciiTheme="majorHAnsi" w:hAnsiTheme="majorHAnsi" w:cstheme="majorHAnsi"/>
          <w:color w:val="595959" w:themeColor="text1" w:themeTint="A6"/>
          <w:lang w:val="en-AU"/>
        </w:rPr>
        <w:t xml:space="preserve"> </w:t>
      </w:r>
      <w:r w:rsidR="00C37680">
        <w:rPr>
          <w:rFonts w:asciiTheme="majorHAnsi" w:hAnsiTheme="majorHAnsi" w:cstheme="majorHAnsi"/>
          <w:color w:val="595959" w:themeColor="text1" w:themeTint="A6"/>
          <w:lang w:val="en-AU"/>
        </w:rPr>
        <w:t xml:space="preserve">up to </w:t>
      </w:r>
      <w:r w:rsidRPr="00A11F64">
        <w:rPr>
          <w:rFonts w:asciiTheme="majorHAnsi" w:hAnsiTheme="majorHAnsi" w:cstheme="majorHAnsi"/>
          <w:color w:val="595959" w:themeColor="text1" w:themeTint="A6"/>
          <w:lang w:val="en-AU"/>
        </w:rPr>
        <w:t>$1</w:t>
      </w:r>
      <w:r w:rsidR="000125A1" w:rsidRPr="00A11F64">
        <w:rPr>
          <w:rFonts w:asciiTheme="majorHAnsi" w:hAnsiTheme="majorHAnsi" w:cstheme="majorHAnsi"/>
          <w:color w:val="595959" w:themeColor="text1" w:themeTint="A6"/>
          <w:lang w:val="en-AU"/>
        </w:rPr>
        <w:t>4</w:t>
      </w:r>
      <w:r w:rsidRPr="00A11F64">
        <w:rPr>
          <w:rFonts w:asciiTheme="majorHAnsi" w:hAnsiTheme="majorHAnsi" w:cstheme="majorHAnsi"/>
          <w:color w:val="595959" w:themeColor="text1" w:themeTint="A6"/>
          <w:lang w:val="en-AU"/>
        </w:rPr>
        <w:t xml:space="preserve"> million</w:t>
      </w:r>
      <w:r w:rsidR="00303134">
        <w:rPr>
          <w:rFonts w:asciiTheme="majorHAnsi" w:hAnsiTheme="majorHAnsi" w:cstheme="majorHAnsi"/>
          <w:color w:val="595959" w:themeColor="text1" w:themeTint="A6"/>
          <w:lang w:val="en-AU"/>
        </w:rPr>
        <w:t xml:space="preserve"> available</w:t>
      </w:r>
      <w:r w:rsidRPr="00A11F64">
        <w:rPr>
          <w:rFonts w:asciiTheme="majorHAnsi" w:hAnsiTheme="majorHAnsi" w:cstheme="majorHAnsi"/>
          <w:color w:val="595959" w:themeColor="text1" w:themeTint="A6"/>
          <w:lang w:val="en-AU"/>
        </w:rPr>
        <w:t xml:space="preserve"> for program implementation and management costs</w:t>
      </w:r>
      <w:r w:rsidR="00303134">
        <w:rPr>
          <w:rFonts w:asciiTheme="majorHAnsi" w:hAnsiTheme="majorHAnsi" w:cstheme="majorHAnsi"/>
          <w:color w:val="595959" w:themeColor="text1" w:themeTint="A6"/>
          <w:lang w:val="en-AU"/>
        </w:rPr>
        <w:t>, to</w:t>
      </w:r>
      <w:r w:rsidRPr="00A11F64">
        <w:rPr>
          <w:rFonts w:asciiTheme="majorHAnsi" w:hAnsiTheme="majorHAnsi" w:cstheme="majorHAnsi"/>
          <w:color w:val="595959" w:themeColor="text1" w:themeTint="A6"/>
          <w:lang w:val="en-AU"/>
        </w:rPr>
        <w:t xml:space="preserve"> go out for tender</w:t>
      </w:r>
      <w:r w:rsidR="00C83B0C" w:rsidRPr="00A11F64">
        <w:rPr>
          <w:rFonts w:asciiTheme="majorHAnsi" w:hAnsiTheme="majorHAnsi" w:cstheme="majorHAnsi"/>
          <w:color w:val="595959" w:themeColor="text1" w:themeTint="A6"/>
          <w:lang w:val="en-AU"/>
        </w:rPr>
        <w:t>.</w:t>
      </w:r>
    </w:p>
    <w:p w:rsidR="00794C57" w:rsidRPr="00EB4FEE" w:rsidRDefault="00794C57">
      <w:pPr>
        <w:pStyle w:val="BodyText"/>
        <w:spacing w:before="0" w:after="120" w:line="240" w:lineRule="auto"/>
        <w:rPr>
          <w:rFonts w:asciiTheme="majorHAnsi" w:hAnsiTheme="majorHAnsi" w:cstheme="majorHAnsi"/>
          <w:b/>
          <w:color w:val="595959" w:themeColor="text1" w:themeTint="A6"/>
        </w:rPr>
      </w:pPr>
    </w:p>
    <w:tbl>
      <w:tblPr>
        <w:tblW w:w="973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9738"/>
      </w:tblGrid>
      <w:tr w:rsidR="004A4A09" w:rsidRPr="0043356C" w:rsidTr="006D510C">
        <w:trPr>
          <w:trHeight w:val="360"/>
          <w:tblHeader/>
          <w:jc w:val="center"/>
        </w:trPr>
        <w:tc>
          <w:tcPr>
            <w:tcW w:w="9738" w:type="dxa"/>
            <w:shd w:val="clear" w:color="auto" w:fill="C1E7E0" w:themeFill="accent1" w:themeFillTint="66"/>
          </w:tcPr>
          <w:p w:rsidR="00794C57" w:rsidRPr="0043356C" w:rsidRDefault="00794C57" w:rsidP="00BF6C52">
            <w:pPr>
              <w:pStyle w:val="Heading1"/>
              <w:spacing w:after="120" w:line="240" w:lineRule="auto"/>
              <w:contextualSpacing w:val="0"/>
              <w:rPr>
                <w:rFonts w:cstheme="majorHAnsi"/>
                <w:sz w:val="22"/>
                <w:szCs w:val="22"/>
              </w:rPr>
            </w:pPr>
            <w:bookmarkStart w:id="3" w:name="_Toc3296990"/>
            <w:bookmarkStart w:id="4" w:name="_Hlk531273449"/>
            <w:r w:rsidRPr="0043356C">
              <w:rPr>
                <w:rFonts w:cstheme="majorHAnsi"/>
                <w:sz w:val="22"/>
                <w:szCs w:val="22"/>
              </w:rPr>
              <w:t>C:</w:t>
            </w:r>
            <w:r w:rsidR="00F6445A" w:rsidRPr="0043356C">
              <w:rPr>
                <w:rFonts w:cstheme="majorHAnsi"/>
                <w:sz w:val="22"/>
                <w:szCs w:val="22"/>
              </w:rPr>
              <w:t xml:space="preserve"> </w:t>
            </w:r>
            <w:r w:rsidRPr="0043356C">
              <w:rPr>
                <w:rFonts w:cstheme="majorHAnsi"/>
                <w:sz w:val="22"/>
                <w:szCs w:val="22"/>
              </w:rPr>
              <w:t>Analysis and Strategic Context</w:t>
            </w:r>
            <w:bookmarkEnd w:id="3"/>
          </w:p>
        </w:tc>
      </w:tr>
      <w:bookmarkEnd w:id="4"/>
    </w:tbl>
    <w:p w:rsidR="00D2648E" w:rsidRPr="00CB527B" w:rsidRDefault="00D2648E">
      <w:pPr>
        <w:suppressAutoHyphens w:val="0"/>
        <w:spacing w:before="0" w:after="120" w:line="240" w:lineRule="auto"/>
        <w:rPr>
          <w:rFonts w:asciiTheme="majorHAnsi" w:hAnsiTheme="majorHAnsi" w:cstheme="majorHAnsi"/>
          <w:color w:val="595959" w:themeColor="text1" w:themeTint="A6"/>
          <w:lang w:val="en-AU"/>
        </w:rPr>
      </w:pPr>
    </w:p>
    <w:p w:rsidR="00981913" w:rsidRPr="00A11F64" w:rsidRDefault="00981913">
      <w:pPr>
        <w:suppressAutoHyphens w:val="0"/>
        <w:spacing w:before="0" w:after="120" w:line="240" w:lineRule="auto"/>
        <w:rPr>
          <w:rFonts w:asciiTheme="majorHAnsi" w:hAnsiTheme="majorHAnsi" w:cstheme="majorHAnsi"/>
          <w:color w:val="595959" w:themeColor="text1" w:themeTint="A6"/>
          <w:lang w:val="en-US"/>
        </w:rPr>
      </w:pPr>
      <w:r w:rsidRPr="00A11F64">
        <w:rPr>
          <w:rFonts w:asciiTheme="majorHAnsi" w:hAnsiTheme="majorHAnsi" w:cstheme="majorHAnsi"/>
          <w:color w:val="595959" w:themeColor="text1" w:themeTint="A6"/>
          <w:lang w:val="en-AU"/>
        </w:rPr>
        <w:t xml:space="preserve">The threat of current and emerging infectious diseases remains high in Indonesia, posing risks for Australia and the </w:t>
      </w:r>
      <w:r w:rsidR="00B620BD" w:rsidRPr="00A11F64">
        <w:rPr>
          <w:rFonts w:asciiTheme="majorHAnsi" w:hAnsiTheme="majorHAnsi" w:cstheme="majorHAnsi"/>
          <w:color w:val="595959" w:themeColor="text1" w:themeTint="A6"/>
          <w:lang w:val="en-US"/>
        </w:rPr>
        <w:t xml:space="preserve">Indo-Pacific </w:t>
      </w:r>
      <w:r w:rsidRPr="00A11F64">
        <w:rPr>
          <w:rFonts w:asciiTheme="majorHAnsi" w:hAnsiTheme="majorHAnsi" w:cstheme="majorHAnsi"/>
          <w:color w:val="595959" w:themeColor="text1" w:themeTint="A6"/>
          <w:lang w:val="en-AU"/>
        </w:rPr>
        <w:t>region</w:t>
      </w:r>
      <w:r w:rsidR="00C84CB8">
        <w:rPr>
          <w:rFonts w:asciiTheme="majorHAnsi" w:hAnsiTheme="majorHAnsi" w:cstheme="majorHAnsi"/>
          <w:color w:val="595959" w:themeColor="text1" w:themeTint="A6"/>
          <w:lang w:val="en-AU"/>
        </w:rPr>
        <w:t xml:space="preserve">. </w:t>
      </w:r>
      <w:r w:rsidRPr="00A11F64">
        <w:rPr>
          <w:rFonts w:asciiTheme="majorHAnsi" w:hAnsiTheme="majorHAnsi" w:cstheme="majorHAnsi"/>
          <w:color w:val="595959" w:themeColor="text1" w:themeTint="A6"/>
          <w:lang w:val="en-US"/>
        </w:rPr>
        <w:t xml:space="preserve">Many of the drivers for the emergence </w:t>
      </w:r>
      <w:r w:rsidR="00B4045A" w:rsidRPr="00A11F64">
        <w:rPr>
          <w:rFonts w:asciiTheme="majorHAnsi" w:hAnsiTheme="majorHAnsi" w:cstheme="majorHAnsi"/>
          <w:color w:val="595959" w:themeColor="text1" w:themeTint="A6"/>
          <w:lang w:val="en-US"/>
        </w:rPr>
        <w:t xml:space="preserve">and rapid spread </w:t>
      </w:r>
      <w:r w:rsidRPr="00A11F64">
        <w:rPr>
          <w:rFonts w:asciiTheme="majorHAnsi" w:hAnsiTheme="majorHAnsi" w:cstheme="majorHAnsi"/>
          <w:color w:val="595959" w:themeColor="text1" w:themeTint="A6"/>
          <w:lang w:val="en-US"/>
        </w:rPr>
        <w:t xml:space="preserve">of </w:t>
      </w:r>
      <w:r w:rsidR="00B4045A" w:rsidRPr="00A11F64">
        <w:rPr>
          <w:rFonts w:asciiTheme="majorHAnsi" w:hAnsiTheme="majorHAnsi" w:cstheme="majorHAnsi"/>
          <w:color w:val="595959" w:themeColor="text1" w:themeTint="A6"/>
          <w:lang w:val="en-US"/>
        </w:rPr>
        <w:t xml:space="preserve">infectious </w:t>
      </w:r>
      <w:r w:rsidRPr="00A11F64">
        <w:rPr>
          <w:rFonts w:asciiTheme="majorHAnsi" w:hAnsiTheme="majorHAnsi" w:cstheme="majorHAnsi"/>
          <w:color w:val="595959" w:themeColor="text1" w:themeTint="A6"/>
          <w:lang w:val="en-US"/>
        </w:rPr>
        <w:t>disease</w:t>
      </w:r>
      <w:r w:rsidR="00B4045A" w:rsidRPr="00A11F64">
        <w:rPr>
          <w:rFonts w:asciiTheme="majorHAnsi" w:hAnsiTheme="majorHAnsi" w:cstheme="majorHAnsi"/>
          <w:color w:val="595959" w:themeColor="text1" w:themeTint="A6"/>
          <w:lang w:val="en-US"/>
        </w:rPr>
        <w:t>s</w:t>
      </w:r>
      <w:r w:rsidRPr="00A11F64">
        <w:rPr>
          <w:rFonts w:asciiTheme="majorHAnsi" w:hAnsiTheme="majorHAnsi" w:cstheme="majorHAnsi"/>
          <w:color w:val="595959" w:themeColor="text1" w:themeTint="A6"/>
          <w:lang w:val="en-US"/>
        </w:rPr>
        <w:t xml:space="preserve"> are </w:t>
      </w:r>
      <w:r w:rsidR="00B620BD" w:rsidRPr="00A11F64">
        <w:rPr>
          <w:rFonts w:asciiTheme="majorHAnsi" w:hAnsiTheme="majorHAnsi" w:cstheme="majorHAnsi"/>
          <w:color w:val="595959" w:themeColor="text1" w:themeTint="A6"/>
          <w:lang w:val="en-US"/>
        </w:rPr>
        <w:t xml:space="preserve">present </w:t>
      </w:r>
      <w:r w:rsidRPr="00A11F64">
        <w:rPr>
          <w:rFonts w:asciiTheme="majorHAnsi" w:hAnsiTheme="majorHAnsi" w:cstheme="majorHAnsi"/>
          <w:color w:val="595959" w:themeColor="text1" w:themeTint="A6"/>
          <w:lang w:val="en-US"/>
        </w:rPr>
        <w:t xml:space="preserve">in Indonesia, making </w:t>
      </w:r>
      <w:r w:rsidR="00B4045A" w:rsidRPr="00A11F64">
        <w:rPr>
          <w:rFonts w:asciiTheme="majorHAnsi" w:hAnsiTheme="majorHAnsi" w:cstheme="majorHAnsi"/>
          <w:color w:val="595959" w:themeColor="text1" w:themeTint="A6"/>
          <w:lang w:val="en-US"/>
        </w:rPr>
        <w:t>this issue</w:t>
      </w:r>
      <w:r w:rsidRPr="00A11F64">
        <w:rPr>
          <w:rFonts w:asciiTheme="majorHAnsi" w:hAnsiTheme="majorHAnsi" w:cstheme="majorHAnsi"/>
          <w:color w:val="595959" w:themeColor="text1" w:themeTint="A6"/>
          <w:lang w:val="en-US"/>
        </w:rPr>
        <w:t xml:space="preserve"> an ongoing focus of Australia’s health security efforts</w:t>
      </w:r>
      <w:r w:rsidR="00C84CB8">
        <w:rPr>
          <w:rFonts w:asciiTheme="majorHAnsi" w:hAnsiTheme="majorHAnsi" w:cstheme="majorHAnsi"/>
          <w:color w:val="595959" w:themeColor="text1" w:themeTint="A6"/>
          <w:lang w:val="en-US"/>
        </w:rPr>
        <w:t xml:space="preserve">. </w:t>
      </w:r>
      <w:r w:rsidRPr="00A11F64">
        <w:rPr>
          <w:rFonts w:asciiTheme="majorHAnsi" w:hAnsiTheme="majorHAnsi" w:cstheme="majorHAnsi"/>
          <w:color w:val="595959" w:themeColor="text1" w:themeTint="A6"/>
          <w:lang w:val="en-US"/>
        </w:rPr>
        <w:t xml:space="preserve">A major disease outbreak in Indonesia, and the </w:t>
      </w:r>
      <w:r w:rsidR="00B4045A" w:rsidRPr="00A11F64">
        <w:rPr>
          <w:rFonts w:asciiTheme="majorHAnsi" w:hAnsiTheme="majorHAnsi" w:cstheme="majorHAnsi"/>
          <w:color w:val="595959" w:themeColor="text1" w:themeTint="A6"/>
          <w:lang w:val="en-US"/>
        </w:rPr>
        <w:t>region</w:t>
      </w:r>
      <w:r w:rsidRPr="00A11F64">
        <w:rPr>
          <w:rFonts w:asciiTheme="majorHAnsi" w:hAnsiTheme="majorHAnsi" w:cstheme="majorHAnsi"/>
          <w:color w:val="595959" w:themeColor="text1" w:themeTint="A6"/>
          <w:lang w:val="en-US"/>
        </w:rPr>
        <w:t>, would have severe health and economic implications</w:t>
      </w:r>
      <w:r w:rsidR="00B4045A" w:rsidRPr="00A11F64">
        <w:rPr>
          <w:rFonts w:asciiTheme="majorHAnsi" w:hAnsiTheme="majorHAnsi" w:cstheme="majorHAnsi"/>
          <w:color w:val="595959" w:themeColor="text1" w:themeTint="A6"/>
          <w:lang w:val="en-US"/>
        </w:rPr>
        <w:t xml:space="preserve"> </w:t>
      </w:r>
      <w:r w:rsidRPr="00A11F64">
        <w:rPr>
          <w:rFonts w:asciiTheme="majorHAnsi" w:hAnsiTheme="majorHAnsi" w:cstheme="majorHAnsi"/>
          <w:color w:val="595959" w:themeColor="text1" w:themeTint="A6"/>
          <w:lang w:val="en-US"/>
        </w:rPr>
        <w:t>– costing lives</w:t>
      </w:r>
      <w:r w:rsidR="00B4045A" w:rsidRPr="00A11F64">
        <w:rPr>
          <w:rFonts w:asciiTheme="majorHAnsi" w:hAnsiTheme="majorHAnsi" w:cstheme="majorHAnsi"/>
          <w:color w:val="595959" w:themeColor="text1" w:themeTint="A6"/>
          <w:lang w:val="en-US"/>
        </w:rPr>
        <w:t xml:space="preserve"> and </w:t>
      </w:r>
      <w:r w:rsidRPr="00A11F64">
        <w:rPr>
          <w:rFonts w:asciiTheme="majorHAnsi" w:hAnsiTheme="majorHAnsi" w:cstheme="majorHAnsi"/>
          <w:color w:val="595959" w:themeColor="text1" w:themeTint="A6"/>
          <w:lang w:val="en-US"/>
        </w:rPr>
        <w:t>disrupting trade, investment and</w:t>
      </w:r>
      <w:r w:rsidR="00B4045A" w:rsidRPr="00A11F64">
        <w:rPr>
          <w:rFonts w:asciiTheme="majorHAnsi" w:hAnsiTheme="majorHAnsi" w:cstheme="majorHAnsi"/>
          <w:color w:val="595959" w:themeColor="text1" w:themeTint="A6"/>
          <w:lang w:val="en-US"/>
        </w:rPr>
        <w:t xml:space="preserve"> the movement of</w:t>
      </w:r>
      <w:r w:rsidRPr="00A11F64">
        <w:rPr>
          <w:rFonts w:asciiTheme="majorHAnsi" w:hAnsiTheme="majorHAnsi" w:cstheme="majorHAnsi"/>
          <w:color w:val="595959" w:themeColor="text1" w:themeTint="A6"/>
          <w:lang w:val="en-US"/>
        </w:rPr>
        <w:t xml:space="preserve"> people</w:t>
      </w:r>
      <w:r w:rsidR="00C84CB8">
        <w:rPr>
          <w:rFonts w:asciiTheme="majorHAnsi" w:hAnsiTheme="majorHAnsi" w:cstheme="majorHAnsi"/>
          <w:color w:val="595959" w:themeColor="text1" w:themeTint="A6"/>
          <w:lang w:val="en-US"/>
        </w:rPr>
        <w:t>.</w:t>
      </w:r>
    </w:p>
    <w:p w:rsidR="00981913" w:rsidRPr="00A11F64" w:rsidRDefault="00981913">
      <w:pPr>
        <w:suppressAutoHyphens w:val="0"/>
        <w:spacing w:before="0" w:after="120" w:line="240" w:lineRule="auto"/>
        <w:rPr>
          <w:rFonts w:asciiTheme="majorHAnsi" w:hAnsiTheme="majorHAnsi" w:cstheme="majorHAnsi"/>
          <w:color w:val="595959" w:themeColor="text1" w:themeTint="A6"/>
          <w:lang w:val="en-US"/>
        </w:rPr>
      </w:pPr>
      <w:r w:rsidRPr="00A11F64">
        <w:rPr>
          <w:rFonts w:asciiTheme="majorHAnsi" w:hAnsiTheme="majorHAnsi" w:cstheme="majorHAnsi"/>
          <w:color w:val="595959" w:themeColor="text1" w:themeTint="A6"/>
          <w:lang w:val="en-US"/>
        </w:rPr>
        <w:t xml:space="preserve">Indonesia is a ‘hot spot’ for EIDs due to the close proximity between humans and animals through poultry and livestock management practices, </w:t>
      </w:r>
      <w:r w:rsidR="00B620BD" w:rsidRPr="00A11F64">
        <w:rPr>
          <w:rFonts w:asciiTheme="majorHAnsi" w:hAnsiTheme="majorHAnsi" w:cstheme="majorHAnsi"/>
          <w:color w:val="595959" w:themeColor="text1" w:themeTint="A6"/>
          <w:lang w:val="en-US"/>
        </w:rPr>
        <w:t xml:space="preserve">high levels of </w:t>
      </w:r>
      <w:r w:rsidRPr="00A11F64">
        <w:rPr>
          <w:rFonts w:asciiTheme="majorHAnsi" w:hAnsiTheme="majorHAnsi" w:cstheme="majorHAnsi"/>
          <w:color w:val="595959" w:themeColor="text1" w:themeTint="A6"/>
          <w:lang w:val="en-US"/>
        </w:rPr>
        <w:t>cross-border travel and trade, and weak human and animal health systems</w:t>
      </w:r>
      <w:r w:rsidR="00C84CB8">
        <w:rPr>
          <w:rFonts w:asciiTheme="majorHAnsi" w:hAnsiTheme="majorHAnsi" w:cstheme="majorHAnsi"/>
          <w:color w:val="595959" w:themeColor="text1" w:themeTint="A6"/>
          <w:lang w:val="en-US"/>
        </w:rPr>
        <w:t xml:space="preserve">. </w:t>
      </w:r>
      <w:r w:rsidRPr="00A11F64">
        <w:rPr>
          <w:rFonts w:asciiTheme="majorHAnsi" w:hAnsiTheme="majorHAnsi" w:cstheme="majorHAnsi"/>
          <w:color w:val="595959" w:themeColor="text1" w:themeTint="A6"/>
          <w:lang w:val="en-US"/>
        </w:rPr>
        <w:t>The majority (75 per cent) of EIDs are zoonoses</w:t>
      </w:r>
      <w:r w:rsidR="00BD5FF2" w:rsidRPr="00A11F64">
        <w:rPr>
          <w:rFonts w:asciiTheme="majorHAnsi" w:hAnsiTheme="majorHAnsi" w:cstheme="majorHAnsi"/>
          <w:color w:val="595959" w:themeColor="text1" w:themeTint="A6"/>
          <w:lang w:val="en-US"/>
        </w:rPr>
        <w:t xml:space="preserve"> –</w:t>
      </w:r>
      <w:r w:rsidR="00B07696" w:rsidRPr="00A11F64">
        <w:rPr>
          <w:rFonts w:asciiTheme="majorHAnsi" w:hAnsiTheme="majorHAnsi" w:cstheme="majorHAnsi"/>
          <w:color w:val="595959" w:themeColor="text1" w:themeTint="A6"/>
          <w:lang w:val="en-US"/>
        </w:rPr>
        <w:t xml:space="preserve"> </w:t>
      </w:r>
      <w:r w:rsidRPr="00A11F64">
        <w:rPr>
          <w:rFonts w:asciiTheme="majorHAnsi" w:hAnsiTheme="majorHAnsi" w:cstheme="majorHAnsi"/>
          <w:color w:val="595959" w:themeColor="text1" w:themeTint="A6"/>
          <w:lang w:val="en-US"/>
        </w:rPr>
        <w:t xml:space="preserve">diseases that can </w:t>
      </w:r>
      <w:r w:rsidR="00B620BD" w:rsidRPr="00A11F64">
        <w:rPr>
          <w:rFonts w:asciiTheme="majorHAnsi" w:hAnsiTheme="majorHAnsi" w:cstheme="majorHAnsi"/>
          <w:color w:val="595959" w:themeColor="text1" w:themeTint="A6"/>
          <w:lang w:val="en-US"/>
        </w:rPr>
        <w:t xml:space="preserve">be transmitted to </w:t>
      </w:r>
      <w:r w:rsidRPr="00A11F64">
        <w:rPr>
          <w:rFonts w:asciiTheme="majorHAnsi" w:hAnsiTheme="majorHAnsi" w:cstheme="majorHAnsi"/>
          <w:color w:val="595959" w:themeColor="text1" w:themeTint="A6"/>
          <w:lang w:val="en-US"/>
        </w:rPr>
        <w:t>humans</w:t>
      </w:r>
      <w:r w:rsidR="00B620BD" w:rsidRPr="00A11F64">
        <w:rPr>
          <w:rFonts w:asciiTheme="majorHAnsi" w:hAnsiTheme="majorHAnsi" w:cstheme="majorHAnsi"/>
          <w:color w:val="595959" w:themeColor="text1" w:themeTint="A6"/>
          <w:lang w:val="en-US"/>
        </w:rPr>
        <w:t xml:space="preserve"> from animals</w:t>
      </w:r>
      <w:r w:rsidR="00C84CB8">
        <w:rPr>
          <w:rFonts w:asciiTheme="majorHAnsi" w:hAnsiTheme="majorHAnsi" w:cstheme="majorHAnsi"/>
          <w:color w:val="595959" w:themeColor="text1" w:themeTint="A6"/>
          <w:lang w:val="en-US"/>
        </w:rPr>
        <w:t>.</w:t>
      </w:r>
      <w:r w:rsidR="00C83B0C" w:rsidRPr="00A11F64">
        <w:rPr>
          <w:rFonts w:asciiTheme="majorHAnsi" w:hAnsiTheme="majorHAnsi" w:cstheme="majorHAnsi"/>
          <w:color w:val="595959" w:themeColor="text1" w:themeTint="A6"/>
          <w:lang w:val="en-US"/>
        </w:rPr>
        <w:t xml:space="preserve"> </w:t>
      </w:r>
      <w:r w:rsidRPr="00A11F64">
        <w:rPr>
          <w:rFonts w:asciiTheme="majorHAnsi" w:hAnsiTheme="majorHAnsi" w:cstheme="majorHAnsi"/>
          <w:color w:val="595959" w:themeColor="text1" w:themeTint="A6"/>
          <w:lang w:val="en-US"/>
        </w:rPr>
        <w:t xml:space="preserve">The main zoonoses continuing to occur in Indonesia are </w:t>
      </w:r>
      <w:r w:rsidR="00B620BD" w:rsidRPr="00A11F64">
        <w:rPr>
          <w:rFonts w:asciiTheme="majorHAnsi" w:hAnsiTheme="majorHAnsi" w:cstheme="majorHAnsi"/>
          <w:color w:val="595959" w:themeColor="text1" w:themeTint="A6"/>
          <w:lang w:val="en-US"/>
        </w:rPr>
        <w:t xml:space="preserve">highly pathogenic </w:t>
      </w:r>
      <w:r w:rsidRPr="00A11F64">
        <w:rPr>
          <w:rFonts w:asciiTheme="majorHAnsi" w:hAnsiTheme="majorHAnsi" w:cstheme="majorHAnsi"/>
          <w:color w:val="595959" w:themeColor="text1" w:themeTint="A6"/>
          <w:lang w:val="en-US"/>
        </w:rPr>
        <w:t>avian influenza</w:t>
      </w:r>
      <w:r w:rsidR="00B620BD" w:rsidRPr="00A11F64">
        <w:rPr>
          <w:rFonts w:asciiTheme="majorHAnsi" w:hAnsiTheme="majorHAnsi" w:cstheme="majorHAnsi"/>
          <w:color w:val="595959" w:themeColor="text1" w:themeTint="A6"/>
          <w:lang w:val="en-US"/>
        </w:rPr>
        <w:t xml:space="preserve"> (HPAI)</w:t>
      </w:r>
      <w:r w:rsidRPr="00A11F64">
        <w:rPr>
          <w:rFonts w:asciiTheme="majorHAnsi" w:hAnsiTheme="majorHAnsi" w:cstheme="majorHAnsi"/>
          <w:color w:val="595959" w:themeColor="text1" w:themeTint="A6"/>
          <w:lang w:val="en-US"/>
        </w:rPr>
        <w:t>, rabies, leptospirosis and anthrax</w:t>
      </w:r>
      <w:r w:rsidR="00BD5FF2" w:rsidRPr="00A11F64">
        <w:rPr>
          <w:rFonts w:asciiTheme="majorHAnsi" w:hAnsiTheme="majorHAnsi" w:cstheme="majorHAnsi"/>
          <w:color w:val="595959" w:themeColor="text1" w:themeTint="A6"/>
          <w:lang w:val="en-US"/>
        </w:rPr>
        <w:t>.</w:t>
      </w:r>
      <w:r w:rsidRPr="00A11F64">
        <w:rPr>
          <w:rStyle w:val="FootnoteReference"/>
          <w:rFonts w:asciiTheme="majorHAnsi" w:hAnsiTheme="majorHAnsi" w:cstheme="majorHAnsi"/>
          <w:color w:val="595959" w:themeColor="text1" w:themeTint="A6"/>
          <w:lang w:val="en-US"/>
        </w:rPr>
        <w:footnoteReference w:id="1"/>
      </w:r>
      <w:r w:rsidRPr="00A11F64">
        <w:rPr>
          <w:rFonts w:asciiTheme="majorHAnsi" w:hAnsiTheme="majorHAnsi" w:cstheme="majorHAnsi"/>
          <w:color w:val="595959" w:themeColor="text1" w:themeTint="A6"/>
          <w:lang w:val="en-US"/>
        </w:rPr>
        <w:t xml:space="preserve"> </w:t>
      </w:r>
      <w:r w:rsidR="00B620BD" w:rsidRPr="00A11F64">
        <w:rPr>
          <w:rFonts w:asciiTheme="majorHAnsi" w:hAnsiTheme="majorHAnsi" w:cstheme="majorHAnsi"/>
          <w:color w:val="595959" w:themeColor="text1" w:themeTint="A6"/>
          <w:lang w:val="en-US"/>
        </w:rPr>
        <w:t>HPAI</w:t>
      </w:r>
      <w:r w:rsidRPr="00A11F64">
        <w:rPr>
          <w:rFonts w:asciiTheme="majorHAnsi" w:hAnsiTheme="majorHAnsi" w:cstheme="majorHAnsi"/>
          <w:color w:val="595959" w:themeColor="text1" w:themeTint="A6"/>
          <w:lang w:val="en-US"/>
        </w:rPr>
        <w:t xml:space="preserve"> is endemic in poultry in Indonesia</w:t>
      </w:r>
      <w:r w:rsidR="00C84CB8">
        <w:rPr>
          <w:rFonts w:asciiTheme="majorHAnsi" w:hAnsiTheme="majorHAnsi" w:cstheme="majorHAnsi"/>
          <w:color w:val="595959" w:themeColor="text1" w:themeTint="A6"/>
          <w:lang w:val="en-US"/>
        </w:rPr>
        <w:t>.</w:t>
      </w:r>
      <w:r w:rsidR="00C83B0C" w:rsidRPr="00A11F64">
        <w:rPr>
          <w:rFonts w:asciiTheme="majorHAnsi" w:hAnsiTheme="majorHAnsi" w:cstheme="majorHAnsi"/>
          <w:color w:val="595959" w:themeColor="text1" w:themeTint="A6"/>
          <w:lang w:val="en-US"/>
        </w:rPr>
        <w:t xml:space="preserve"> </w:t>
      </w:r>
      <w:r w:rsidRPr="00A11F64">
        <w:rPr>
          <w:rFonts w:asciiTheme="majorHAnsi" w:hAnsiTheme="majorHAnsi" w:cstheme="majorHAnsi"/>
          <w:color w:val="595959" w:themeColor="text1" w:themeTint="A6"/>
          <w:lang w:val="en-US"/>
        </w:rPr>
        <w:t xml:space="preserve">Backyard poultry </w:t>
      </w:r>
      <w:r w:rsidR="00BD5FF2" w:rsidRPr="00A11F64">
        <w:rPr>
          <w:rFonts w:asciiTheme="majorHAnsi" w:hAnsiTheme="majorHAnsi" w:cstheme="majorHAnsi"/>
          <w:color w:val="595959" w:themeColor="text1" w:themeTint="A6"/>
          <w:lang w:val="en-US"/>
        </w:rPr>
        <w:t>raising</w:t>
      </w:r>
      <w:r w:rsidRPr="00A11F64">
        <w:rPr>
          <w:rFonts w:asciiTheme="majorHAnsi" w:hAnsiTheme="majorHAnsi" w:cstheme="majorHAnsi"/>
          <w:color w:val="595959" w:themeColor="text1" w:themeTint="A6"/>
          <w:lang w:val="en-US"/>
        </w:rPr>
        <w:t xml:space="preserve"> and contaminated </w:t>
      </w:r>
      <w:r w:rsidR="00BD5FF2" w:rsidRPr="00A11F64">
        <w:rPr>
          <w:rFonts w:asciiTheme="majorHAnsi" w:hAnsiTheme="majorHAnsi" w:cstheme="majorHAnsi"/>
          <w:color w:val="595959" w:themeColor="text1" w:themeTint="A6"/>
          <w:lang w:val="en-US"/>
        </w:rPr>
        <w:t>l</w:t>
      </w:r>
      <w:r w:rsidRPr="00A11F64">
        <w:rPr>
          <w:rFonts w:asciiTheme="majorHAnsi" w:hAnsiTheme="majorHAnsi" w:cstheme="majorHAnsi"/>
          <w:color w:val="595959" w:themeColor="text1" w:themeTint="A6"/>
          <w:lang w:val="en-US"/>
        </w:rPr>
        <w:t xml:space="preserve">ive </w:t>
      </w:r>
      <w:r w:rsidR="00BD5FF2" w:rsidRPr="00A11F64">
        <w:rPr>
          <w:rFonts w:asciiTheme="majorHAnsi" w:hAnsiTheme="majorHAnsi" w:cstheme="majorHAnsi"/>
          <w:color w:val="595959" w:themeColor="text1" w:themeTint="A6"/>
          <w:lang w:val="en-US"/>
        </w:rPr>
        <w:t>b</w:t>
      </w:r>
      <w:r w:rsidRPr="00A11F64">
        <w:rPr>
          <w:rFonts w:asciiTheme="majorHAnsi" w:hAnsiTheme="majorHAnsi" w:cstheme="majorHAnsi"/>
          <w:color w:val="595959" w:themeColor="text1" w:themeTint="A6"/>
          <w:lang w:val="en-US"/>
        </w:rPr>
        <w:t xml:space="preserve">ird </w:t>
      </w:r>
      <w:r w:rsidR="00BD5FF2" w:rsidRPr="00A11F64">
        <w:rPr>
          <w:rFonts w:asciiTheme="majorHAnsi" w:hAnsiTheme="majorHAnsi" w:cstheme="majorHAnsi"/>
          <w:color w:val="595959" w:themeColor="text1" w:themeTint="A6"/>
          <w:lang w:val="en-US"/>
        </w:rPr>
        <w:t>m</w:t>
      </w:r>
      <w:r w:rsidRPr="00A11F64">
        <w:rPr>
          <w:rFonts w:asciiTheme="majorHAnsi" w:hAnsiTheme="majorHAnsi" w:cstheme="majorHAnsi"/>
          <w:color w:val="595959" w:themeColor="text1" w:themeTint="A6"/>
          <w:lang w:val="en-US"/>
        </w:rPr>
        <w:t xml:space="preserve">arkets are risk factors for transmission of </w:t>
      </w:r>
      <w:r w:rsidR="00B620BD" w:rsidRPr="00A11F64">
        <w:rPr>
          <w:rFonts w:asciiTheme="majorHAnsi" w:hAnsiTheme="majorHAnsi" w:cstheme="majorHAnsi"/>
          <w:color w:val="595959" w:themeColor="text1" w:themeTint="A6"/>
          <w:lang w:val="en-US"/>
        </w:rPr>
        <w:t>HPAI</w:t>
      </w:r>
      <w:r w:rsidRPr="00A11F64">
        <w:rPr>
          <w:rFonts w:asciiTheme="majorHAnsi" w:hAnsiTheme="majorHAnsi" w:cstheme="majorHAnsi"/>
          <w:color w:val="595959" w:themeColor="text1" w:themeTint="A6"/>
          <w:lang w:val="en-US"/>
        </w:rPr>
        <w:t xml:space="preserve"> from poultry to humans</w:t>
      </w:r>
      <w:r w:rsidR="00C84CB8">
        <w:rPr>
          <w:rFonts w:asciiTheme="majorHAnsi" w:hAnsiTheme="majorHAnsi" w:cstheme="majorHAnsi"/>
          <w:color w:val="595959" w:themeColor="text1" w:themeTint="A6"/>
          <w:lang w:val="en-US"/>
        </w:rPr>
        <w:t xml:space="preserve">. </w:t>
      </w:r>
      <w:r w:rsidRPr="00A11F64">
        <w:rPr>
          <w:rFonts w:asciiTheme="majorHAnsi" w:hAnsiTheme="majorHAnsi" w:cstheme="majorHAnsi"/>
          <w:color w:val="595959" w:themeColor="text1" w:themeTint="A6"/>
          <w:lang w:val="en-US"/>
        </w:rPr>
        <w:t>To date, 200 human cases with an 84% fatality rate have been reported from 15</w:t>
      </w:r>
      <w:r w:rsidR="0012213F" w:rsidRPr="00A11F64">
        <w:rPr>
          <w:rFonts w:asciiTheme="majorHAnsi" w:hAnsiTheme="majorHAnsi" w:cstheme="majorHAnsi"/>
          <w:color w:val="595959" w:themeColor="text1" w:themeTint="A6"/>
          <w:lang w:val="en-US"/>
        </w:rPr>
        <w:t xml:space="preserve"> of 34</w:t>
      </w:r>
      <w:r w:rsidRPr="00A11F64">
        <w:rPr>
          <w:rFonts w:asciiTheme="majorHAnsi" w:hAnsiTheme="majorHAnsi" w:cstheme="majorHAnsi"/>
          <w:color w:val="595959" w:themeColor="text1" w:themeTint="A6"/>
          <w:lang w:val="en-US"/>
        </w:rPr>
        <w:t xml:space="preserve"> provinces in Indonesia</w:t>
      </w:r>
      <w:r w:rsidR="00C83B0C" w:rsidRPr="00A11F64">
        <w:rPr>
          <w:rFonts w:asciiTheme="majorHAnsi" w:hAnsiTheme="majorHAnsi" w:cstheme="majorHAnsi"/>
          <w:color w:val="595959" w:themeColor="text1" w:themeTint="A6"/>
          <w:lang w:val="en-US"/>
        </w:rPr>
        <w:t xml:space="preserve">. </w:t>
      </w:r>
      <w:r w:rsidRPr="00A11F64">
        <w:rPr>
          <w:rFonts w:asciiTheme="majorHAnsi" w:hAnsiTheme="majorHAnsi" w:cstheme="majorHAnsi"/>
          <w:color w:val="595959" w:themeColor="text1" w:themeTint="A6"/>
          <w:lang w:val="en-US"/>
        </w:rPr>
        <w:t>Indonesia is also at risk of Middle East Respiratory Syndrome transmission (</w:t>
      </w:r>
      <w:r w:rsidR="00524B7A" w:rsidRPr="00A11F64">
        <w:rPr>
          <w:rFonts w:asciiTheme="majorHAnsi" w:hAnsiTheme="majorHAnsi" w:cstheme="majorHAnsi"/>
          <w:color w:val="595959" w:themeColor="text1" w:themeTint="A6"/>
          <w:lang w:val="en-US"/>
        </w:rPr>
        <w:t xml:space="preserve">a </w:t>
      </w:r>
      <w:r w:rsidRPr="00A11F64">
        <w:rPr>
          <w:rFonts w:asciiTheme="majorHAnsi" w:hAnsiTheme="majorHAnsi" w:cstheme="majorHAnsi"/>
          <w:color w:val="595959" w:themeColor="text1" w:themeTint="A6"/>
          <w:lang w:val="en-US"/>
        </w:rPr>
        <w:t>zoono</w:t>
      </w:r>
      <w:r w:rsidR="00524B7A" w:rsidRPr="00A11F64">
        <w:rPr>
          <w:rFonts w:asciiTheme="majorHAnsi" w:hAnsiTheme="majorHAnsi" w:cstheme="majorHAnsi"/>
          <w:color w:val="595959" w:themeColor="text1" w:themeTint="A6"/>
          <w:lang w:val="en-US"/>
        </w:rPr>
        <w:t>sis transmitted from</w:t>
      </w:r>
      <w:r w:rsidR="0012213F" w:rsidRPr="00A11F64">
        <w:rPr>
          <w:rFonts w:asciiTheme="majorHAnsi" w:hAnsiTheme="majorHAnsi" w:cstheme="majorHAnsi"/>
          <w:color w:val="595959" w:themeColor="text1" w:themeTint="A6"/>
          <w:lang w:val="en-US"/>
        </w:rPr>
        <w:t xml:space="preserve"> camels</w:t>
      </w:r>
      <w:r w:rsidRPr="00A11F64">
        <w:rPr>
          <w:rFonts w:asciiTheme="majorHAnsi" w:hAnsiTheme="majorHAnsi" w:cstheme="majorHAnsi"/>
          <w:color w:val="595959" w:themeColor="text1" w:themeTint="A6"/>
          <w:lang w:val="en-US"/>
        </w:rPr>
        <w:t xml:space="preserve">) due to a high number of hajj and umrah pilgrims </w:t>
      </w:r>
      <w:r w:rsidR="00B620BD" w:rsidRPr="00A11F64">
        <w:rPr>
          <w:rFonts w:asciiTheme="majorHAnsi" w:hAnsiTheme="majorHAnsi" w:cstheme="majorHAnsi"/>
          <w:color w:val="595959" w:themeColor="text1" w:themeTint="A6"/>
          <w:lang w:val="en-US"/>
        </w:rPr>
        <w:t xml:space="preserve">returning to </w:t>
      </w:r>
      <w:r w:rsidRPr="00A11F64">
        <w:rPr>
          <w:rFonts w:asciiTheme="majorHAnsi" w:hAnsiTheme="majorHAnsi" w:cstheme="majorHAnsi"/>
          <w:color w:val="595959" w:themeColor="text1" w:themeTint="A6"/>
          <w:lang w:val="en-US"/>
        </w:rPr>
        <w:t xml:space="preserve">Indonesia </w:t>
      </w:r>
      <w:r w:rsidR="00B620BD" w:rsidRPr="00A11F64">
        <w:rPr>
          <w:rFonts w:asciiTheme="majorHAnsi" w:hAnsiTheme="majorHAnsi" w:cstheme="majorHAnsi"/>
          <w:color w:val="595959" w:themeColor="text1" w:themeTint="A6"/>
          <w:lang w:val="en-US"/>
        </w:rPr>
        <w:t xml:space="preserve">from </w:t>
      </w:r>
      <w:r w:rsidRPr="00A11F64">
        <w:rPr>
          <w:rFonts w:asciiTheme="majorHAnsi" w:hAnsiTheme="majorHAnsi" w:cstheme="majorHAnsi"/>
          <w:color w:val="595959" w:themeColor="text1" w:themeTint="A6"/>
          <w:lang w:val="en-US"/>
        </w:rPr>
        <w:t>the Middle East</w:t>
      </w:r>
      <w:r w:rsidR="00C84CB8">
        <w:rPr>
          <w:rFonts w:asciiTheme="majorHAnsi" w:hAnsiTheme="majorHAnsi" w:cstheme="majorHAnsi"/>
          <w:color w:val="595959" w:themeColor="text1" w:themeTint="A6"/>
          <w:lang w:val="en-US"/>
        </w:rPr>
        <w:t>.</w:t>
      </w:r>
    </w:p>
    <w:p w:rsidR="00274574" w:rsidRPr="00A11F64" w:rsidRDefault="009D76B8">
      <w:pPr>
        <w:suppressAutoHyphens w:val="0"/>
        <w:spacing w:before="0" w:after="120" w:line="240" w:lineRule="auto"/>
        <w:rPr>
          <w:rFonts w:asciiTheme="majorHAnsi" w:hAnsiTheme="majorHAnsi" w:cstheme="majorHAnsi"/>
          <w:color w:val="595959" w:themeColor="text1" w:themeTint="A6"/>
          <w:lang w:val="en-US"/>
        </w:rPr>
      </w:pPr>
      <w:r w:rsidRPr="00A11F64">
        <w:rPr>
          <w:rFonts w:asciiTheme="majorHAnsi" w:hAnsiTheme="majorHAnsi" w:cstheme="majorHAnsi"/>
          <w:color w:val="595959" w:themeColor="text1" w:themeTint="A6"/>
          <w:lang w:val="en-US"/>
        </w:rPr>
        <w:t>Other infectious diseases continue to contribute significantly to morbidity and premature mortality in Indonesia</w:t>
      </w:r>
      <w:r w:rsidR="00C84CB8">
        <w:rPr>
          <w:rFonts w:asciiTheme="majorHAnsi" w:hAnsiTheme="majorHAnsi" w:cstheme="majorHAnsi"/>
          <w:color w:val="595959" w:themeColor="text1" w:themeTint="A6"/>
          <w:lang w:val="en-US"/>
        </w:rPr>
        <w:t xml:space="preserve">. </w:t>
      </w:r>
      <w:r w:rsidR="00274574" w:rsidRPr="00A11F64">
        <w:rPr>
          <w:rFonts w:asciiTheme="majorHAnsi" w:hAnsiTheme="majorHAnsi" w:cstheme="majorHAnsi"/>
          <w:color w:val="595959" w:themeColor="text1" w:themeTint="A6"/>
          <w:lang w:val="en-US"/>
        </w:rPr>
        <w:t>Vaccine preventable infections and outbreaks continue to be reported</w:t>
      </w:r>
      <w:r w:rsidR="00350C73" w:rsidRPr="00A11F64">
        <w:rPr>
          <w:rFonts w:asciiTheme="majorHAnsi" w:hAnsiTheme="majorHAnsi" w:cstheme="majorHAnsi"/>
          <w:color w:val="595959" w:themeColor="text1" w:themeTint="A6"/>
          <w:lang w:val="en-US"/>
        </w:rPr>
        <w:t xml:space="preserve"> in Indonesia and </w:t>
      </w:r>
      <w:r w:rsidR="00350C73" w:rsidRPr="00A11F64">
        <w:rPr>
          <w:rFonts w:asciiTheme="majorHAnsi" w:hAnsiTheme="majorHAnsi" w:cstheme="majorHAnsi"/>
          <w:color w:val="595959" w:themeColor="text1" w:themeTint="A6"/>
        </w:rPr>
        <w:t>neighbouring</w:t>
      </w:r>
      <w:r w:rsidR="00350C73" w:rsidRPr="00A11F64">
        <w:rPr>
          <w:rFonts w:asciiTheme="majorHAnsi" w:hAnsiTheme="majorHAnsi" w:cstheme="majorHAnsi"/>
          <w:color w:val="595959" w:themeColor="text1" w:themeTint="A6"/>
          <w:lang w:val="en-US"/>
        </w:rPr>
        <w:t xml:space="preserve"> countries</w:t>
      </w:r>
      <w:r w:rsidR="00274574" w:rsidRPr="00A11F64">
        <w:rPr>
          <w:rFonts w:asciiTheme="majorHAnsi" w:hAnsiTheme="majorHAnsi" w:cstheme="majorHAnsi"/>
          <w:color w:val="595959" w:themeColor="text1" w:themeTint="A6"/>
          <w:lang w:val="en-US"/>
        </w:rPr>
        <w:t>, including re-emerging infectious diseases such as measles</w:t>
      </w:r>
      <w:r w:rsidR="00B620BD" w:rsidRPr="00A11F64">
        <w:rPr>
          <w:rFonts w:asciiTheme="majorHAnsi" w:hAnsiTheme="majorHAnsi" w:cstheme="majorHAnsi"/>
          <w:color w:val="595959" w:themeColor="text1" w:themeTint="A6"/>
          <w:lang w:val="en-US"/>
        </w:rPr>
        <w:t xml:space="preserve"> and diphtheria</w:t>
      </w:r>
      <w:r w:rsidR="00274574" w:rsidRPr="00A11F64">
        <w:rPr>
          <w:rFonts w:asciiTheme="majorHAnsi" w:hAnsiTheme="majorHAnsi" w:cstheme="majorHAnsi"/>
          <w:color w:val="595959" w:themeColor="text1" w:themeTint="A6"/>
          <w:lang w:val="en-US"/>
        </w:rPr>
        <w:t xml:space="preserve">, </w:t>
      </w:r>
      <w:r w:rsidR="00B620BD" w:rsidRPr="00A11F64">
        <w:rPr>
          <w:rFonts w:asciiTheme="majorHAnsi" w:hAnsiTheme="majorHAnsi" w:cstheme="majorHAnsi"/>
          <w:color w:val="595959" w:themeColor="text1" w:themeTint="A6"/>
          <w:lang w:val="en-US"/>
        </w:rPr>
        <w:t xml:space="preserve">and the threat of the </w:t>
      </w:r>
      <w:r w:rsidR="00BC556E" w:rsidRPr="00A11F64">
        <w:rPr>
          <w:rFonts w:asciiTheme="majorHAnsi" w:hAnsiTheme="majorHAnsi" w:cstheme="majorHAnsi"/>
          <w:color w:val="595959" w:themeColor="text1" w:themeTint="A6"/>
          <w:lang w:val="en-US"/>
        </w:rPr>
        <w:t>reintroduction</w:t>
      </w:r>
      <w:r w:rsidR="00B620BD" w:rsidRPr="00A11F64">
        <w:rPr>
          <w:rFonts w:asciiTheme="majorHAnsi" w:hAnsiTheme="majorHAnsi" w:cstheme="majorHAnsi"/>
          <w:color w:val="595959" w:themeColor="text1" w:themeTint="A6"/>
          <w:lang w:val="en-US"/>
        </w:rPr>
        <w:t xml:space="preserve"> of </w:t>
      </w:r>
      <w:r w:rsidR="00274574" w:rsidRPr="00A11F64">
        <w:rPr>
          <w:rFonts w:asciiTheme="majorHAnsi" w:hAnsiTheme="majorHAnsi" w:cstheme="majorHAnsi"/>
          <w:color w:val="595959" w:themeColor="text1" w:themeTint="A6"/>
          <w:lang w:val="en-US"/>
        </w:rPr>
        <w:t>polio</w:t>
      </w:r>
      <w:r w:rsidR="00B07696" w:rsidRPr="00A11F64">
        <w:rPr>
          <w:rFonts w:asciiTheme="majorHAnsi" w:hAnsiTheme="majorHAnsi" w:cstheme="majorHAnsi"/>
          <w:color w:val="595959" w:themeColor="text1" w:themeTint="A6"/>
          <w:lang w:val="en-US"/>
        </w:rPr>
        <w:t>.</w:t>
      </w:r>
      <w:r w:rsidR="00274574" w:rsidRPr="00A11F64">
        <w:rPr>
          <w:rStyle w:val="FootnoteReference"/>
          <w:rFonts w:asciiTheme="majorHAnsi" w:hAnsiTheme="majorHAnsi" w:cstheme="majorHAnsi"/>
          <w:color w:val="595959" w:themeColor="text1" w:themeTint="A6"/>
          <w:lang w:val="en-US"/>
        </w:rPr>
        <w:footnoteReference w:id="2"/>
      </w:r>
      <w:r w:rsidR="00B620BD" w:rsidRPr="00A11F64">
        <w:rPr>
          <w:rFonts w:asciiTheme="majorHAnsi" w:hAnsiTheme="majorHAnsi" w:cstheme="majorHAnsi"/>
          <w:color w:val="595959" w:themeColor="text1" w:themeTint="A6"/>
          <w:lang w:val="en-US"/>
        </w:rPr>
        <w:t xml:space="preserve"> There are continuing high levels of </w:t>
      </w:r>
      <w:r w:rsidR="00274574" w:rsidRPr="00A11F64">
        <w:rPr>
          <w:rFonts w:asciiTheme="majorHAnsi" w:hAnsiTheme="majorHAnsi" w:cstheme="majorHAnsi"/>
          <w:color w:val="595959" w:themeColor="text1" w:themeTint="A6"/>
          <w:lang w:val="en-US"/>
        </w:rPr>
        <w:t>tuberculosis (TB)</w:t>
      </w:r>
      <w:r w:rsidR="00C84CB8">
        <w:rPr>
          <w:rFonts w:asciiTheme="majorHAnsi" w:hAnsiTheme="majorHAnsi" w:cstheme="majorHAnsi"/>
          <w:color w:val="595959" w:themeColor="text1" w:themeTint="A6"/>
          <w:lang w:val="en-US"/>
        </w:rPr>
        <w:t>.</w:t>
      </w:r>
      <w:r w:rsidR="00C83B0C" w:rsidRPr="00A11F64">
        <w:rPr>
          <w:rFonts w:asciiTheme="majorHAnsi" w:hAnsiTheme="majorHAnsi" w:cstheme="majorHAnsi"/>
          <w:color w:val="595959" w:themeColor="text1" w:themeTint="A6"/>
          <w:lang w:val="en-US"/>
        </w:rPr>
        <w:t xml:space="preserve"> </w:t>
      </w:r>
      <w:r w:rsidRPr="00A11F64">
        <w:rPr>
          <w:rFonts w:asciiTheme="majorHAnsi" w:hAnsiTheme="majorHAnsi" w:cstheme="majorHAnsi"/>
          <w:color w:val="595959" w:themeColor="text1" w:themeTint="A6"/>
          <w:lang w:val="en-US"/>
        </w:rPr>
        <w:t>Indonesia has the second highest TB burden in the world (1.</w:t>
      </w:r>
      <w:r w:rsidR="00350C73" w:rsidRPr="00A11F64">
        <w:rPr>
          <w:rFonts w:asciiTheme="majorHAnsi" w:hAnsiTheme="majorHAnsi" w:cstheme="majorHAnsi"/>
          <w:color w:val="595959" w:themeColor="text1" w:themeTint="A6"/>
          <w:lang w:val="en-US"/>
        </w:rPr>
        <w:t>6 million cases in 2016) and</w:t>
      </w:r>
      <w:r w:rsidRPr="00A11F64">
        <w:rPr>
          <w:rFonts w:asciiTheme="majorHAnsi" w:hAnsiTheme="majorHAnsi" w:cstheme="majorHAnsi"/>
          <w:color w:val="595959" w:themeColor="text1" w:themeTint="A6"/>
          <w:lang w:val="en-US"/>
        </w:rPr>
        <w:t xml:space="preserve"> one of the highest burdens of multidrug-resistant (MDR) TB</w:t>
      </w:r>
      <w:r w:rsidR="00C84CB8">
        <w:rPr>
          <w:rFonts w:asciiTheme="majorHAnsi" w:hAnsiTheme="majorHAnsi" w:cstheme="majorHAnsi"/>
          <w:color w:val="595959" w:themeColor="text1" w:themeTint="A6"/>
          <w:lang w:val="en-US"/>
        </w:rPr>
        <w:t xml:space="preserve">. </w:t>
      </w:r>
      <w:r w:rsidRPr="00A11F64">
        <w:rPr>
          <w:rFonts w:asciiTheme="majorHAnsi" w:hAnsiTheme="majorHAnsi" w:cstheme="majorHAnsi"/>
          <w:color w:val="595959" w:themeColor="text1" w:themeTint="A6"/>
          <w:lang w:val="en-US"/>
        </w:rPr>
        <w:t>MDR-TB is one example of AMR,</w:t>
      </w:r>
      <w:r w:rsidR="00350C73" w:rsidRPr="00A11F64">
        <w:rPr>
          <w:rFonts w:asciiTheme="majorHAnsi" w:hAnsiTheme="majorHAnsi" w:cstheme="majorHAnsi"/>
          <w:color w:val="595959" w:themeColor="text1" w:themeTint="A6"/>
          <w:lang w:val="en-US"/>
        </w:rPr>
        <w:t xml:space="preserve"> a growing challenge to global health,</w:t>
      </w:r>
      <w:r w:rsidRPr="00A11F64">
        <w:rPr>
          <w:rFonts w:asciiTheme="majorHAnsi" w:hAnsiTheme="majorHAnsi" w:cstheme="majorHAnsi"/>
          <w:color w:val="595959" w:themeColor="text1" w:themeTint="A6"/>
          <w:lang w:val="en-US"/>
        </w:rPr>
        <w:t xml:space="preserve"> which develops when </w:t>
      </w:r>
      <w:r w:rsidR="00E37549" w:rsidRPr="00A11F64">
        <w:rPr>
          <w:rFonts w:asciiTheme="majorHAnsi" w:hAnsiTheme="majorHAnsi" w:cstheme="majorHAnsi"/>
          <w:color w:val="595959" w:themeColor="text1" w:themeTint="A6"/>
          <w:lang w:val="en-US"/>
        </w:rPr>
        <w:t xml:space="preserve">pathogenic </w:t>
      </w:r>
      <w:r w:rsidRPr="00A11F64">
        <w:rPr>
          <w:rFonts w:asciiTheme="majorHAnsi" w:hAnsiTheme="majorHAnsi" w:cstheme="majorHAnsi"/>
          <w:color w:val="595959" w:themeColor="text1" w:themeTint="A6"/>
          <w:lang w:val="en-US"/>
        </w:rPr>
        <w:t>micro-organisms – bacteria, parasites</w:t>
      </w:r>
      <w:r w:rsidR="00B07696" w:rsidRPr="00A11F64">
        <w:rPr>
          <w:rFonts w:asciiTheme="majorHAnsi" w:hAnsiTheme="majorHAnsi" w:cstheme="majorHAnsi"/>
          <w:color w:val="595959" w:themeColor="text1" w:themeTint="A6"/>
          <w:lang w:val="en-US"/>
        </w:rPr>
        <w:t>,</w:t>
      </w:r>
      <w:r w:rsidRPr="00A11F64">
        <w:rPr>
          <w:rFonts w:asciiTheme="majorHAnsi" w:hAnsiTheme="majorHAnsi" w:cstheme="majorHAnsi"/>
          <w:color w:val="595959" w:themeColor="text1" w:themeTint="A6"/>
          <w:lang w:val="en-US"/>
        </w:rPr>
        <w:t xml:space="preserve"> viruses</w:t>
      </w:r>
      <w:r w:rsidR="00B07696" w:rsidRPr="00A11F64">
        <w:rPr>
          <w:rFonts w:asciiTheme="majorHAnsi" w:hAnsiTheme="majorHAnsi" w:cstheme="majorHAnsi"/>
          <w:color w:val="595959" w:themeColor="text1" w:themeTint="A6"/>
          <w:lang w:val="en-US"/>
        </w:rPr>
        <w:t xml:space="preserve"> or fungi</w:t>
      </w:r>
      <w:r w:rsidRPr="00A11F64">
        <w:rPr>
          <w:rFonts w:asciiTheme="majorHAnsi" w:hAnsiTheme="majorHAnsi" w:cstheme="majorHAnsi"/>
          <w:color w:val="595959" w:themeColor="text1" w:themeTint="A6"/>
          <w:lang w:val="en-US"/>
        </w:rPr>
        <w:t xml:space="preserve"> – </w:t>
      </w:r>
      <w:r w:rsidR="00E37549" w:rsidRPr="00A11F64">
        <w:rPr>
          <w:rFonts w:asciiTheme="majorHAnsi" w:hAnsiTheme="majorHAnsi" w:cstheme="majorHAnsi"/>
          <w:color w:val="595959" w:themeColor="text1" w:themeTint="A6"/>
          <w:lang w:val="en-US"/>
        </w:rPr>
        <w:t>continue to grow in the presence of a drug that would normally kill them or limit their growth, making it harder to treat infections as existing drugs become less effective</w:t>
      </w:r>
      <w:r w:rsidR="00C84CB8">
        <w:rPr>
          <w:rFonts w:asciiTheme="majorHAnsi" w:hAnsiTheme="majorHAnsi" w:cstheme="majorHAnsi"/>
          <w:color w:val="595959" w:themeColor="text1" w:themeTint="A6"/>
          <w:lang w:val="en-US"/>
        </w:rPr>
        <w:t xml:space="preserve">. </w:t>
      </w:r>
      <w:r w:rsidR="00E37549" w:rsidRPr="00A11F64">
        <w:rPr>
          <w:rFonts w:asciiTheme="majorHAnsi" w:hAnsiTheme="majorHAnsi" w:cstheme="majorHAnsi"/>
          <w:color w:val="595959" w:themeColor="text1" w:themeTint="A6"/>
          <w:lang w:val="en-US"/>
        </w:rPr>
        <w:t>V</w:t>
      </w:r>
      <w:r w:rsidRPr="00A11F64">
        <w:rPr>
          <w:rFonts w:asciiTheme="majorHAnsi" w:hAnsiTheme="majorHAnsi" w:cstheme="majorHAnsi"/>
          <w:color w:val="595959" w:themeColor="text1" w:themeTint="A6"/>
          <w:lang w:val="en-US"/>
        </w:rPr>
        <w:t>ector-borne diseases, particularly mosquito-borne infections, continue to be a key challenge in Indonesia, with an increase in reported cases of dengue (130,000 in 2015) and around 152 million people living in malaria transmission areas</w:t>
      </w:r>
      <w:r w:rsidR="00C84CB8">
        <w:rPr>
          <w:rFonts w:asciiTheme="majorHAnsi" w:hAnsiTheme="majorHAnsi" w:cstheme="majorHAnsi"/>
          <w:color w:val="595959" w:themeColor="text1" w:themeTint="A6"/>
          <w:lang w:val="en-US"/>
        </w:rPr>
        <w:t>.</w:t>
      </w:r>
    </w:p>
    <w:p w:rsidR="00981913" w:rsidRPr="00A11F64" w:rsidRDefault="00981913">
      <w:pPr>
        <w:suppressAutoHyphens w:val="0"/>
        <w:spacing w:before="0" w:after="120" w:line="240" w:lineRule="auto"/>
        <w:rPr>
          <w:rFonts w:asciiTheme="majorHAnsi" w:hAnsiTheme="majorHAnsi" w:cstheme="majorHAnsi"/>
          <w:color w:val="595959" w:themeColor="text1" w:themeTint="A6"/>
          <w:lang w:val="en-US"/>
        </w:rPr>
      </w:pPr>
      <w:r w:rsidRPr="00A11F64">
        <w:rPr>
          <w:rFonts w:asciiTheme="majorHAnsi" w:hAnsiTheme="majorHAnsi" w:cstheme="majorHAnsi"/>
          <w:color w:val="595959" w:themeColor="text1" w:themeTint="A6"/>
          <w:lang w:val="en-US"/>
        </w:rPr>
        <w:t xml:space="preserve">Progress has been made in building Indonesia’s </w:t>
      </w:r>
      <w:r w:rsidR="0012213F" w:rsidRPr="00A11F64">
        <w:rPr>
          <w:rFonts w:asciiTheme="majorHAnsi" w:hAnsiTheme="majorHAnsi" w:cstheme="majorHAnsi"/>
          <w:color w:val="595959" w:themeColor="text1" w:themeTint="A6"/>
          <w:lang w:val="en-US"/>
        </w:rPr>
        <w:t>EID</w:t>
      </w:r>
      <w:r w:rsidR="00350C73" w:rsidRPr="00A11F64">
        <w:rPr>
          <w:rFonts w:asciiTheme="majorHAnsi" w:hAnsiTheme="majorHAnsi" w:cstheme="majorHAnsi"/>
          <w:color w:val="595959" w:themeColor="text1" w:themeTint="A6"/>
          <w:lang w:val="en-US"/>
        </w:rPr>
        <w:t xml:space="preserve"> and other infectious disease</w:t>
      </w:r>
      <w:r w:rsidRPr="00A11F64">
        <w:rPr>
          <w:rFonts w:asciiTheme="majorHAnsi" w:hAnsiTheme="majorHAnsi" w:cstheme="majorHAnsi"/>
          <w:color w:val="595959" w:themeColor="text1" w:themeTint="A6"/>
          <w:lang w:val="en-US"/>
        </w:rPr>
        <w:t xml:space="preserve"> preparedness, detection and response capacities, but many challenges remain</w:t>
      </w:r>
      <w:r w:rsidR="00C84CB8">
        <w:rPr>
          <w:rFonts w:asciiTheme="majorHAnsi" w:hAnsiTheme="majorHAnsi" w:cstheme="majorHAnsi"/>
          <w:color w:val="595959" w:themeColor="text1" w:themeTint="A6"/>
          <w:lang w:val="en-US"/>
        </w:rPr>
        <w:t xml:space="preserve">. </w:t>
      </w:r>
      <w:r w:rsidRPr="00A11F64">
        <w:rPr>
          <w:rFonts w:asciiTheme="majorHAnsi" w:hAnsiTheme="majorHAnsi" w:cstheme="majorHAnsi"/>
          <w:color w:val="595959" w:themeColor="text1" w:themeTint="A6"/>
          <w:lang w:val="en-US"/>
        </w:rPr>
        <w:t>These include limited human</w:t>
      </w:r>
      <w:r w:rsidR="0012213F" w:rsidRPr="00A11F64">
        <w:rPr>
          <w:rFonts w:asciiTheme="majorHAnsi" w:hAnsiTheme="majorHAnsi" w:cstheme="majorHAnsi"/>
          <w:color w:val="595959" w:themeColor="text1" w:themeTint="A6"/>
          <w:lang w:val="en-US"/>
        </w:rPr>
        <w:t xml:space="preserve"> and operational</w:t>
      </w:r>
      <w:r w:rsidRPr="00A11F64">
        <w:rPr>
          <w:rFonts w:asciiTheme="majorHAnsi" w:hAnsiTheme="majorHAnsi" w:cstheme="majorHAnsi"/>
          <w:color w:val="595959" w:themeColor="text1" w:themeTint="A6"/>
          <w:lang w:val="en-US"/>
        </w:rPr>
        <w:t xml:space="preserve"> resources</w:t>
      </w:r>
      <w:r w:rsidR="00E37549" w:rsidRPr="00A11F64">
        <w:rPr>
          <w:rFonts w:asciiTheme="majorHAnsi" w:hAnsiTheme="majorHAnsi" w:cstheme="majorHAnsi"/>
          <w:color w:val="595959" w:themeColor="text1" w:themeTint="A6"/>
          <w:lang w:val="en-US"/>
        </w:rPr>
        <w:t>,</w:t>
      </w:r>
      <w:r w:rsidR="0012213F" w:rsidRPr="00A11F64">
        <w:rPr>
          <w:rFonts w:asciiTheme="majorHAnsi" w:hAnsiTheme="majorHAnsi" w:cstheme="majorHAnsi"/>
          <w:color w:val="595959" w:themeColor="text1" w:themeTint="A6"/>
          <w:lang w:val="en-US"/>
        </w:rPr>
        <w:t xml:space="preserve"> </w:t>
      </w:r>
      <w:r w:rsidR="00E37549" w:rsidRPr="00A11F64">
        <w:rPr>
          <w:rFonts w:asciiTheme="majorHAnsi" w:hAnsiTheme="majorHAnsi" w:cstheme="majorHAnsi"/>
          <w:color w:val="595959" w:themeColor="text1" w:themeTint="A6"/>
          <w:lang w:val="en-US"/>
        </w:rPr>
        <w:t xml:space="preserve">insufficient </w:t>
      </w:r>
      <w:r w:rsidR="0012213F" w:rsidRPr="00A11F64">
        <w:rPr>
          <w:rFonts w:asciiTheme="majorHAnsi" w:hAnsiTheme="majorHAnsi" w:cstheme="majorHAnsi"/>
          <w:color w:val="595959" w:themeColor="text1" w:themeTint="A6"/>
          <w:lang w:val="en-US"/>
        </w:rPr>
        <w:t>infrastructure</w:t>
      </w:r>
      <w:r w:rsidRPr="00A11F64">
        <w:rPr>
          <w:rFonts w:asciiTheme="majorHAnsi" w:hAnsiTheme="majorHAnsi" w:cstheme="majorHAnsi"/>
          <w:color w:val="595959" w:themeColor="text1" w:themeTint="A6"/>
          <w:lang w:val="en-US"/>
        </w:rPr>
        <w:t xml:space="preserve">, </w:t>
      </w:r>
      <w:r w:rsidR="00D52609" w:rsidRPr="00A11F64">
        <w:rPr>
          <w:rFonts w:asciiTheme="majorHAnsi" w:hAnsiTheme="majorHAnsi" w:cstheme="majorHAnsi"/>
          <w:color w:val="595959" w:themeColor="text1" w:themeTint="A6"/>
          <w:lang w:val="en-US"/>
        </w:rPr>
        <w:t xml:space="preserve">numerous and </w:t>
      </w:r>
      <w:r w:rsidRPr="00A11F64">
        <w:rPr>
          <w:rFonts w:asciiTheme="majorHAnsi" w:hAnsiTheme="majorHAnsi" w:cstheme="majorHAnsi"/>
          <w:color w:val="595959" w:themeColor="text1" w:themeTint="A6"/>
          <w:lang w:val="en-US"/>
        </w:rPr>
        <w:t>unclear policies</w:t>
      </w:r>
      <w:r w:rsidR="00D52609" w:rsidRPr="00A11F64">
        <w:rPr>
          <w:rFonts w:asciiTheme="majorHAnsi" w:hAnsiTheme="majorHAnsi" w:cstheme="majorHAnsi"/>
          <w:color w:val="595959" w:themeColor="text1" w:themeTint="A6"/>
          <w:lang w:val="en-US"/>
        </w:rPr>
        <w:t xml:space="preserve"> and coordinating mechanisms,</w:t>
      </w:r>
      <w:r w:rsidR="0012213F" w:rsidRPr="00A11F64">
        <w:rPr>
          <w:rFonts w:asciiTheme="majorHAnsi" w:hAnsiTheme="majorHAnsi" w:cstheme="majorHAnsi"/>
          <w:color w:val="595959" w:themeColor="text1" w:themeTint="A6"/>
          <w:lang w:val="en-US"/>
        </w:rPr>
        <w:t xml:space="preserve"> and </w:t>
      </w:r>
      <w:r w:rsidRPr="00A11F64">
        <w:rPr>
          <w:rFonts w:asciiTheme="majorHAnsi" w:hAnsiTheme="majorHAnsi" w:cstheme="majorHAnsi"/>
          <w:color w:val="595959" w:themeColor="text1" w:themeTint="A6"/>
          <w:lang w:val="en-US"/>
        </w:rPr>
        <w:t>governance constraints</w:t>
      </w:r>
      <w:r w:rsidR="00C84CB8">
        <w:rPr>
          <w:rFonts w:asciiTheme="majorHAnsi" w:hAnsiTheme="majorHAnsi" w:cstheme="majorHAnsi"/>
          <w:color w:val="595959" w:themeColor="text1" w:themeTint="A6"/>
          <w:lang w:val="en-US"/>
        </w:rPr>
        <w:t xml:space="preserve">. </w:t>
      </w:r>
      <w:r w:rsidRPr="00A11F64">
        <w:rPr>
          <w:rFonts w:asciiTheme="majorHAnsi" w:hAnsiTheme="majorHAnsi" w:cstheme="majorHAnsi"/>
          <w:color w:val="595959" w:themeColor="text1" w:themeTint="A6"/>
          <w:lang w:val="en-US"/>
        </w:rPr>
        <w:t>Moreover, since the majority of EIDs are of animal origin,</w:t>
      </w:r>
      <w:r w:rsidR="00D52609" w:rsidRPr="00A11F64">
        <w:rPr>
          <w:rFonts w:asciiTheme="majorHAnsi" w:hAnsiTheme="majorHAnsi" w:cstheme="majorHAnsi"/>
          <w:color w:val="595959" w:themeColor="text1" w:themeTint="A6"/>
          <w:lang w:val="en-US"/>
        </w:rPr>
        <w:t xml:space="preserve"> it is necessary to</w:t>
      </w:r>
      <w:r w:rsidRPr="00A11F64">
        <w:rPr>
          <w:rFonts w:asciiTheme="majorHAnsi" w:hAnsiTheme="majorHAnsi" w:cstheme="majorHAnsi"/>
          <w:color w:val="595959" w:themeColor="text1" w:themeTint="A6"/>
          <w:lang w:val="en-US"/>
        </w:rPr>
        <w:t xml:space="preserve"> increase attention to the animal-human interface and strengthen the cross-cutting capacities of line and coordinating ministries to deal with zoonotic diseases</w:t>
      </w:r>
      <w:r w:rsidR="00C84CB8">
        <w:rPr>
          <w:rFonts w:asciiTheme="majorHAnsi" w:hAnsiTheme="majorHAnsi" w:cstheme="majorHAnsi"/>
          <w:color w:val="595959" w:themeColor="text1" w:themeTint="A6"/>
          <w:lang w:val="en-US"/>
        </w:rPr>
        <w:t xml:space="preserve">. </w:t>
      </w:r>
      <w:r w:rsidRPr="00A11F64">
        <w:rPr>
          <w:rFonts w:asciiTheme="majorHAnsi" w:hAnsiTheme="majorHAnsi" w:cstheme="majorHAnsi"/>
          <w:color w:val="595959" w:themeColor="text1" w:themeTint="A6"/>
          <w:lang w:val="en-US"/>
        </w:rPr>
        <w:t xml:space="preserve">This aligns with the globally supported One Health approach that encourages </w:t>
      </w:r>
      <w:r w:rsidR="00D52609" w:rsidRPr="00A11F64">
        <w:rPr>
          <w:rFonts w:asciiTheme="majorHAnsi" w:hAnsiTheme="majorHAnsi" w:cstheme="majorHAnsi"/>
          <w:color w:val="595959" w:themeColor="text1" w:themeTint="A6"/>
          <w:lang w:val="en-US"/>
        </w:rPr>
        <w:t xml:space="preserve">coordinated </w:t>
      </w:r>
      <w:r w:rsidRPr="00A11F64">
        <w:rPr>
          <w:rFonts w:asciiTheme="majorHAnsi" w:hAnsiTheme="majorHAnsi" w:cstheme="majorHAnsi"/>
          <w:color w:val="595959" w:themeColor="text1" w:themeTint="A6"/>
          <w:lang w:val="en-US"/>
        </w:rPr>
        <w:t>multi-sectoral approaches to address zoonotic diseases</w:t>
      </w:r>
      <w:r w:rsidR="00C84CB8">
        <w:rPr>
          <w:rFonts w:asciiTheme="majorHAnsi" w:hAnsiTheme="majorHAnsi" w:cstheme="majorHAnsi"/>
          <w:color w:val="595959" w:themeColor="text1" w:themeTint="A6"/>
          <w:lang w:val="en-US"/>
        </w:rPr>
        <w:t>.</w:t>
      </w:r>
      <w:r w:rsidR="00C83B0C" w:rsidRPr="00A11F64">
        <w:rPr>
          <w:rFonts w:asciiTheme="majorHAnsi" w:hAnsiTheme="majorHAnsi" w:cstheme="majorHAnsi"/>
          <w:color w:val="595959" w:themeColor="text1" w:themeTint="A6"/>
          <w:lang w:val="en-US"/>
        </w:rPr>
        <w:t xml:space="preserve"> </w:t>
      </w:r>
    </w:p>
    <w:p w:rsidR="00981913" w:rsidRPr="00A11F64" w:rsidRDefault="00981913">
      <w:pPr>
        <w:suppressAutoHyphens w:val="0"/>
        <w:spacing w:before="0" w:after="120" w:line="240" w:lineRule="auto"/>
        <w:rPr>
          <w:rFonts w:asciiTheme="majorHAnsi" w:hAnsiTheme="majorHAnsi" w:cstheme="majorHAnsi"/>
          <w:color w:val="595959" w:themeColor="text1" w:themeTint="A6"/>
        </w:rPr>
      </w:pPr>
      <w:r w:rsidRPr="00A11F64">
        <w:rPr>
          <w:rFonts w:asciiTheme="majorHAnsi" w:hAnsiTheme="majorHAnsi" w:cstheme="majorHAnsi"/>
          <w:color w:val="595959" w:themeColor="text1" w:themeTint="A6"/>
          <w:lang w:val="en-US"/>
        </w:rPr>
        <w:t xml:space="preserve">Indonesia’s decentralised system of government has devolved responsibility for the management </w:t>
      </w:r>
      <w:r w:rsidR="00D52609" w:rsidRPr="00A11F64">
        <w:rPr>
          <w:rFonts w:asciiTheme="majorHAnsi" w:hAnsiTheme="majorHAnsi" w:cstheme="majorHAnsi"/>
          <w:color w:val="595959" w:themeColor="text1" w:themeTint="A6"/>
          <w:lang w:val="en-US"/>
        </w:rPr>
        <w:t xml:space="preserve">of </w:t>
      </w:r>
      <w:r w:rsidRPr="00A11F64">
        <w:rPr>
          <w:rFonts w:asciiTheme="majorHAnsi" w:hAnsiTheme="majorHAnsi" w:cstheme="majorHAnsi"/>
          <w:color w:val="595959" w:themeColor="text1" w:themeTint="A6"/>
          <w:lang w:val="en-US"/>
        </w:rPr>
        <w:t>and response to animal and human infectious disease to the subnational level (district and provincial governments), with the central government’s role limited to oversight, support and management only in the case of national-level outbreaks</w:t>
      </w:r>
      <w:r w:rsidR="00C84CB8">
        <w:rPr>
          <w:rFonts w:asciiTheme="majorHAnsi" w:hAnsiTheme="majorHAnsi" w:cstheme="majorHAnsi"/>
          <w:color w:val="595959" w:themeColor="text1" w:themeTint="A6"/>
          <w:lang w:val="en-US"/>
        </w:rPr>
        <w:t xml:space="preserve">. </w:t>
      </w:r>
      <w:r w:rsidRPr="00A11F64">
        <w:rPr>
          <w:rFonts w:asciiTheme="majorHAnsi" w:hAnsiTheme="majorHAnsi" w:cstheme="majorHAnsi"/>
          <w:color w:val="595959" w:themeColor="text1" w:themeTint="A6"/>
          <w:lang w:val="en-US"/>
        </w:rPr>
        <w:t xml:space="preserve">While Indonesia has developed </w:t>
      </w:r>
      <w:r w:rsidR="00E37549" w:rsidRPr="00A11F64">
        <w:rPr>
          <w:rFonts w:asciiTheme="majorHAnsi" w:hAnsiTheme="majorHAnsi" w:cstheme="majorHAnsi"/>
          <w:color w:val="595959" w:themeColor="text1" w:themeTint="A6"/>
          <w:lang w:val="en-US"/>
        </w:rPr>
        <w:t xml:space="preserve">a </w:t>
      </w:r>
      <w:r w:rsidRPr="00A11F64">
        <w:rPr>
          <w:rFonts w:asciiTheme="majorHAnsi" w:hAnsiTheme="majorHAnsi" w:cstheme="majorHAnsi"/>
          <w:color w:val="595959" w:themeColor="text1" w:themeTint="A6"/>
          <w:lang w:val="en-US"/>
        </w:rPr>
        <w:t xml:space="preserve">basic legal and policy framework which provides the basis for effective programs, the division of responsibilities between central and local levels, the </w:t>
      </w:r>
      <w:r w:rsidR="00E37549" w:rsidRPr="00A11F64">
        <w:rPr>
          <w:rFonts w:asciiTheme="majorHAnsi" w:hAnsiTheme="majorHAnsi" w:cstheme="majorHAnsi"/>
          <w:color w:val="595959" w:themeColor="text1" w:themeTint="A6"/>
          <w:lang w:val="en-US"/>
        </w:rPr>
        <w:t xml:space="preserve">large </w:t>
      </w:r>
      <w:r w:rsidRPr="00A11F64">
        <w:rPr>
          <w:rFonts w:asciiTheme="majorHAnsi" w:hAnsiTheme="majorHAnsi" w:cstheme="majorHAnsi"/>
          <w:color w:val="595959" w:themeColor="text1" w:themeTint="A6"/>
          <w:lang w:val="en-US"/>
        </w:rPr>
        <w:t xml:space="preserve">number of institutions involved, and the varying capacity </w:t>
      </w:r>
      <w:r w:rsidR="00E37549" w:rsidRPr="00A11F64">
        <w:rPr>
          <w:rFonts w:asciiTheme="majorHAnsi" w:hAnsiTheme="majorHAnsi" w:cstheme="majorHAnsi"/>
          <w:color w:val="595959" w:themeColor="text1" w:themeTint="A6"/>
          <w:lang w:val="en-US"/>
        </w:rPr>
        <w:t xml:space="preserve">of different </w:t>
      </w:r>
      <w:r w:rsidRPr="00A11F64">
        <w:rPr>
          <w:rFonts w:asciiTheme="majorHAnsi" w:hAnsiTheme="majorHAnsi" w:cstheme="majorHAnsi"/>
          <w:color w:val="595959" w:themeColor="text1" w:themeTint="A6"/>
          <w:lang w:val="en-US"/>
        </w:rPr>
        <w:t>levels of government, present major challenges</w:t>
      </w:r>
      <w:r w:rsidR="00C84CB8">
        <w:rPr>
          <w:rFonts w:asciiTheme="majorHAnsi" w:hAnsiTheme="majorHAnsi" w:cstheme="majorHAnsi"/>
          <w:color w:val="595959" w:themeColor="text1" w:themeTint="A6"/>
          <w:lang w:val="en-US"/>
        </w:rPr>
        <w:t xml:space="preserve">. </w:t>
      </w:r>
      <w:r w:rsidRPr="00A11F64">
        <w:rPr>
          <w:rFonts w:asciiTheme="majorHAnsi" w:hAnsiTheme="majorHAnsi" w:cstheme="majorHAnsi"/>
          <w:color w:val="595959" w:themeColor="text1" w:themeTint="A6"/>
        </w:rPr>
        <w:t xml:space="preserve">There is a need to improve decision making structures, </w:t>
      </w:r>
      <w:r w:rsidR="00E37549" w:rsidRPr="00A11F64">
        <w:rPr>
          <w:rFonts w:asciiTheme="majorHAnsi" w:hAnsiTheme="majorHAnsi" w:cstheme="majorHAnsi"/>
          <w:color w:val="595959" w:themeColor="text1" w:themeTint="A6"/>
          <w:lang w:val="en-US"/>
        </w:rPr>
        <w:t xml:space="preserve">and delegation of authority and responsibility to act, </w:t>
      </w:r>
      <w:r w:rsidRPr="00A11F64">
        <w:rPr>
          <w:rFonts w:asciiTheme="majorHAnsi" w:hAnsiTheme="majorHAnsi" w:cstheme="majorHAnsi"/>
          <w:color w:val="595959" w:themeColor="text1" w:themeTint="A6"/>
        </w:rPr>
        <w:t>not only between the national and sub-national levels, but also at the national level.</w:t>
      </w:r>
    </w:p>
    <w:p w:rsidR="009D029C" w:rsidRPr="0043356C" w:rsidRDefault="009D029C" w:rsidP="00BF6C52">
      <w:pPr>
        <w:pStyle w:val="Heading2"/>
        <w:spacing w:after="120" w:line="240" w:lineRule="auto"/>
        <w:contextualSpacing w:val="0"/>
        <w:rPr>
          <w:rFonts w:cstheme="majorHAnsi"/>
          <w:sz w:val="22"/>
          <w:szCs w:val="22"/>
          <w:lang w:val="en-US"/>
        </w:rPr>
      </w:pPr>
      <w:bookmarkStart w:id="5" w:name="_Toc3296991"/>
      <w:r w:rsidRPr="0043356C">
        <w:rPr>
          <w:rFonts w:cstheme="majorHAnsi"/>
          <w:sz w:val="22"/>
          <w:szCs w:val="22"/>
          <w:lang w:val="en-US"/>
        </w:rPr>
        <w:t xml:space="preserve">Health </w:t>
      </w:r>
      <w:r w:rsidR="009D3DAD" w:rsidRPr="0043356C">
        <w:rPr>
          <w:rFonts w:cstheme="majorHAnsi"/>
          <w:sz w:val="22"/>
          <w:szCs w:val="22"/>
          <w:lang w:val="en-US"/>
        </w:rPr>
        <w:t>s</w:t>
      </w:r>
      <w:r w:rsidRPr="0043356C">
        <w:rPr>
          <w:rFonts w:cstheme="majorHAnsi"/>
          <w:sz w:val="22"/>
          <w:szCs w:val="22"/>
          <w:lang w:val="en-US"/>
        </w:rPr>
        <w:t xml:space="preserve">ecurity: </w:t>
      </w:r>
      <w:r w:rsidR="009D3DAD" w:rsidRPr="0043356C">
        <w:rPr>
          <w:rFonts w:cstheme="majorHAnsi"/>
          <w:sz w:val="22"/>
          <w:szCs w:val="22"/>
          <w:lang w:val="en-US"/>
        </w:rPr>
        <w:t>a</w:t>
      </w:r>
      <w:r w:rsidRPr="0043356C">
        <w:rPr>
          <w:rFonts w:cstheme="majorHAnsi"/>
          <w:sz w:val="22"/>
          <w:szCs w:val="22"/>
          <w:lang w:val="en-US"/>
        </w:rPr>
        <w:t xml:space="preserve"> priority for the Australian Government</w:t>
      </w:r>
      <w:bookmarkEnd w:id="5"/>
    </w:p>
    <w:p w:rsidR="009D029C" w:rsidRPr="00A11F64" w:rsidRDefault="009D029C">
      <w:pPr>
        <w:suppressAutoHyphens w:val="0"/>
        <w:spacing w:before="0" w:after="120" w:line="240" w:lineRule="auto"/>
        <w:rPr>
          <w:rFonts w:asciiTheme="majorHAnsi" w:hAnsiTheme="majorHAnsi" w:cstheme="majorHAnsi"/>
          <w:color w:val="595959" w:themeColor="text1" w:themeTint="A6"/>
          <w:lang w:val="en-US"/>
        </w:rPr>
      </w:pPr>
      <w:r w:rsidRPr="00A11F64">
        <w:rPr>
          <w:rFonts w:asciiTheme="majorHAnsi" w:hAnsiTheme="majorHAnsi" w:cstheme="majorHAnsi"/>
          <w:color w:val="595959" w:themeColor="text1" w:themeTint="A6"/>
          <w:lang w:val="en-US"/>
        </w:rPr>
        <w:t>Building regional preparedness and capacity to respond to emerging health threats is one of the two strategic priorities of DFAT’s Health for Development Strategy 2015-2020, along with building country-level health systems that are responsive to people’s needs</w:t>
      </w:r>
      <w:r w:rsidR="00C84CB8">
        <w:rPr>
          <w:rFonts w:asciiTheme="majorHAnsi" w:hAnsiTheme="majorHAnsi" w:cstheme="majorHAnsi"/>
          <w:color w:val="595959" w:themeColor="text1" w:themeTint="A6"/>
          <w:lang w:val="en-US"/>
        </w:rPr>
        <w:t xml:space="preserve">. </w:t>
      </w:r>
      <w:r w:rsidRPr="00A11F64">
        <w:rPr>
          <w:rFonts w:asciiTheme="majorHAnsi" w:hAnsiTheme="majorHAnsi" w:cstheme="majorHAnsi"/>
          <w:color w:val="595959" w:themeColor="text1" w:themeTint="A6"/>
          <w:lang w:val="en-US"/>
        </w:rPr>
        <w:t xml:space="preserve">In June 2016, the </w:t>
      </w:r>
      <w:r w:rsidR="00001D46">
        <w:rPr>
          <w:rFonts w:asciiTheme="majorHAnsi" w:hAnsiTheme="majorHAnsi" w:cstheme="majorHAnsi"/>
          <w:color w:val="595959" w:themeColor="text1" w:themeTint="A6"/>
          <w:lang w:val="en-US"/>
        </w:rPr>
        <w:t xml:space="preserve">Government of Australia (GoA) </w:t>
      </w:r>
      <w:r w:rsidRPr="00A11F64">
        <w:rPr>
          <w:rFonts w:asciiTheme="majorHAnsi" w:hAnsiTheme="majorHAnsi" w:cstheme="majorHAnsi"/>
          <w:color w:val="595959" w:themeColor="text1" w:themeTint="A6"/>
          <w:lang w:val="en-US"/>
        </w:rPr>
        <w:t>made a pre-election</w:t>
      </w:r>
      <w:r w:rsidR="00A31519" w:rsidRPr="00A11F64">
        <w:rPr>
          <w:rFonts w:asciiTheme="majorHAnsi" w:hAnsiTheme="majorHAnsi" w:cstheme="majorHAnsi"/>
          <w:color w:val="595959" w:themeColor="text1" w:themeTint="A6"/>
          <w:lang w:val="en-US"/>
        </w:rPr>
        <w:t xml:space="preserve"> commitment</w:t>
      </w:r>
      <w:r w:rsidRPr="00A11F64">
        <w:rPr>
          <w:rFonts w:asciiTheme="majorHAnsi" w:hAnsiTheme="majorHAnsi" w:cstheme="majorHAnsi"/>
          <w:color w:val="595959" w:themeColor="text1" w:themeTint="A6"/>
          <w:lang w:val="en-US"/>
        </w:rPr>
        <w:t xml:space="preserve"> to invest in regional health security</w:t>
      </w:r>
      <w:r w:rsidR="0000321E" w:rsidRPr="00A11F64">
        <w:rPr>
          <w:rFonts w:asciiTheme="majorHAnsi" w:hAnsiTheme="majorHAnsi" w:cstheme="majorHAnsi"/>
          <w:color w:val="595959" w:themeColor="text1" w:themeTint="A6"/>
          <w:lang w:val="en-US"/>
        </w:rPr>
        <w:t>.</w:t>
      </w:r>
      <w:r w:rsidR="000F6754" w:rsidRPr="00A11F64">
        <w:rPr>
          <w:rStyle w:val="FootnoteReference"/>
          <w:rFonts w:asciiTheme="majorHAnsi" w:hAnsiTheme="majorHAnsi" w:cstheme="majorHAnsi"/>
          <w:color w:val="595959" w:themeColor="text1" w:themeTint="A6"/>
          <w:lang w:val="en-US"/>
        </w:rPr>
        <w:footnoteReference w:id="3"/>
      </w:r>
      <w:r w:rsidR="00C84CB8">
        <w:rPr>
          <w:rFonts w:asciiTheme="majorHAnsi" w:hAnsiTheme="majorHAnsi" w:cstheme="majorHAnsi"/>
          <w:color w:val="595959" w:themeColor="text1" w:themeTint="A6"/>
          <w:lang w:val="en-US"/>
        </w:rPr>
        <w:t xml:space="preserve"> </w:t>
      </w:r>
      <w:r w:rsidR="00867A7B" w:rsidRPr="00A11F64">
        <w:rPr>
          <w:rFonts w:asciiTheme="majorHAnsi" w:hAnsiTheme="majorHAnsi" w:cstheme="majorHAnsi"/>
          <w:color w:val="595959" w:themeColor="text1" w:themeTint="A6"/>
          <w:lang w:val="en-US"/>
        </w:rPr>
        <w:t>The foreign minister</w:t>
      </w:r>
      <w:r w:rsidRPr="00A11F64">
        <w:rPr>
          <w:rFonts w:asciiTheme="majorHAnsi" w:hAnsiTheme="majorHAnsi" w:cstheme="majorHAnsi"/>
          <w:color w:val="595959" w:themeColor="text1" w:themeTint="A6"/>
          <w:lang w:val="en-US"/>
        </w:rPr>
        <w:t xml:space="preserve"> subsequently launched the Australian Government’s $300 million Indo-Pacific</w:t>
      </w:r>
      <w:r w:rsidR="00867A7B" w:rsidRPr="00A11F64">
        <w:rPr>
          <w:rFonts w:asciiTheme="majorHAnsi" w:hAnsiTheme="majorHAnsi" w:cstheme="majorHAnsi"/>
          <w:color w:val="595959" w:themeColor="text1" w:themeTint="A6"/>
          <w:lang w:val="en-US"/>
        </w:rPr>
        <w:t xml:space="preserve"> Health Security Initiative in</w:t>
      </w:r>
      <w:r w:rsidRPr="00A11F64">
        <w:rPr>
          <w:rFonts w:asciiTheme="majorHAnsi" w:hAnsiTheme="majorHAnsi" w:cstheme="majorHAnsi"/>
          <w:color w:val="595959" w:themeColor="text1" w:themeTint="A6"/>
          <w:lang w:val="en-US"/>
        </w:rPr>
        <w:t xml:space="preserve"> October 2017 to help combat the challenges of existing and </w:t>
      </w:r>
      <w:r w:rsidR="009D3DAD" w:rsidRPr="00A11F64">
        <w:rPr>
          <w:rFonts w:asciiTheme="majorHAnsi" w:hAnsiTheme="majorHAnsi" w:cstheme="majorHAnsi"/>
          <w:color w:val="595959" w:themeColor="text1" w:themeTint="A6"/>
          <w:lang w:val="en-US"/>
        </w:rPr>
        <w:t>EIDs</w:t>
      </w:r>
      <w:r w:rsidRPr="00A11F64">
        <w:rPr>
          <w:rFonts w:asciiTheme="majorHAnsi" w:hAnsiTheme="majorHAnsi" w:cstheme="majorHAnsi"/>
          <w:color w:val="595959" w:themeColor="text1" w:themeTint="A6"/>
          <w:lang w:val="en-US"/>
        </w:rPr>
        <w:t xml:space="preserve"> </w:t>
      </w:r>
      <w:r w:rsidR="000F6754" w:rsidRPr="00A11F64">
        <w:rPr>
          <w:rFonts w:asciiTheme="majorHAnsi" w:hAnsiTheme="majorHAnsi" w:cstheme="majorHAnsi"/>
          <w:color w:val="595959" w:themeColor="text1" w:themeTint="A6"/>
          <w:lang w:val="en-US"/>
        </w:rPr>
        <w:t xml:space="preserve">in the </w:t>
      </w:r>
      <w:r w:rsidRPr="00A11F64">
        <w:rPr>
          <w:rFonts w:asciiTheme="majorHAnsi" w:hAnsiTheme="majorHAnsi" w:cstheme="majorHAnsi"/>
          <w:color w:val="595959" w:themeColor="text1" w:themeTint="A6"/>
          <w:lang w:val="en-US"/>
        </w:rPr>
        <w:t>region</w:t>
      </w:r>
      <w:r w:rsidR="00C84CB8">
        <w:rPr>
          <w:rFonts w:asciiTheme="majorHAnsi" w:hAnsiTheme="majorHAnsi" w:cstheme="majorHAnsi"/>
          <w:color w:val="595959" w:themeColor="text1" w:themeTint="A6"/>
          <w:lang w:val="en-US"/>
        </w:rPr>
        <w:t xml:space="preserve">. </w:t>
      </w:r>
      <w:r w:rsidRPr="00A11F64">
        <w:rPr>
          <w:rFonts w:asciiTheme="majorHAnsi" w:hAnsiTheme="majorHAnsi" w:cstheme="majorHAnsi"/>
          <w:color w:val="595959" w:themeColor="text1" w:themeTint="A6"/>
          <w:lang w:val="en-US"/>
        </w:rPr>
        <w:t xml:space="preserve">The initiative recognises that Australia’s health security is closely linked to the health security of countries in </w:t>
      </w:r>
      <w:r w:rsidR="000F6754" w:rsidRPr="00A11F64">
        <w:rPr>
          <w:rFonts w:asciiTheme="majorHAnsi" w:hAnsiTheme="majorHAnsi" w:cstheme="majorHAnsi"/>
          <w:color w:val="595959" w:themeColor="text1" w:themeTint="A6"/>
          <w:lang w:val="en-US"/>
        </w:rPr>
        <w:t xml:space="preserve">the </w:t>
      </w:r>
      <w:r w:rsidRPr="00A11F64">
        <w:rPr>
          <w:rFonts w:asciiTheme="majorHAnsi" w:hAnsiTheme="majorHAnsi" w:cstheme="majorHAnsi"/>
          <w:color w:val="595959" w:themeColor="text1" w:themeTint="A6"/>
          <w:lang w:val="en-US"/>
        </w:rPr>
        <w:t>region, and that strengthening health systems and investing in research and partnerships can help mitigate the social and economic risks of a major disease outbreak</w:t>
      </w:r>
      <w:r w:rsidR="00C84CB8">
        <w:rPr>
          <w:rFonts w:asciiTheme="majorHAnsi" w:hAnsiTheme="majorHAnsi" w:cstheme="majorHAnsi"/>
          <w:color w:val="595959" w:themeColor="text1" w:themeTint="A6"/>
          <w:lang w:val="en-US"/>
        </w:rPr>
        <w:t>.</w:t>
      </w:r>
      <w:r w:rsidR="00C83B0C" w:rsidRPr="00A11F64">
        <w:rPr>
          <w:rFonts w:asciiTheme="majorHAnsi" w:hAnsiTheme="majorHAnsi" w:cstheme="majorHAnsi"/>
          <w:color w:val="595959" w:themeColor="text1" w:themeTint="A6"/>
          <w:lang w:val="en-US"/>
        </w:rPr>
        <w:t xml:space="preserve"> </w:t>
      </w:r>
      <w:r w:rsidRPr="00A11F64">
        <w:rPr>
          <w:rFonts w:asciiTheme="majorHAnsi" w:hAnsiTheme="majorHAnsi" w:cstheme="majorHAnsi"/>
          <w:color w:val="595959" w:themeColor="text1" w:themeTint="A6"/>
          <w:lang w:val="en-US"/>
        </w:rPr>
        <w:t xml:space="preserve">The importance of managing health security risks was also reflected in the Foreign Policy White Paper released </w:t>
      </w:r>
      <w:r w:rsidR="00BD52B5" w:rsidRPr="00A11F64">
        <w:rPr>
          <w:rFonts w:asciiTheme="majorHAnsi" w:hAnsiTheme="majorHAnsi" w:cstheme="majorHAnsi"/>
          <w:color w:val="595959" w:themeColor="text1" w:themeTint="A6"/>
          <w:lang w:val="en-US"/>
        </w:rPr>
        <w:t>in</w:t>
      </w:r>
      <w:r w:rsidRPr="00A11F64">
        <w:rPr>
          <w:rFonts w:asciiTheme="majorHAnsi" w:hAnsiTheme="majorHAnsi" w:cstheme="majorHAnsi"/>
          <w:color w:val="595959" w:themeColor="text1" w:themeTint="A6"/>
          <w:lang w:val="en-US"/>
        </w:rPr>
        <w:t xml:space="preserve"> November 2017</w:t>
      </w:r>
      <w:r w:rsidR="00C84CB8">
        <w:rPr>
          <w:rFonts w:asciiTheme="majorHAnsi" w:hAnsiTheme="majorHAnsi" w:cstheme="majorHAnsi"/>
          <w:color w:val="595959" w:themeColor="text1" w:themeTint="A6"/>
          <w:lang w:val="en-US"/>
        </w:rPr>
        <w:t>.</w:t>
      </w:r>
    </w:p>
    <w:p w:rsidR="009D029C" w:rsidRPr="00A11F64" w:rsidRDefault="009D029C">
      <w:pPr>
        <w:suppressAutoHyphens w:val="0"/>
        <w:spacing w:before="0" w:after="120" w:line="240" w:lineRule="auto"/>
        <w:rPr>
          <w:rFonts w:asciiTheme="majorHAnsi" w:hAnsiTheme="majorHAnsi" w:cstheme="majorHAnsi"/>
          <w:color w:val="595959" w:themeColor="text1" w:themeTint="A6"/>
          <w:lang w:val="en-US"/>
        </w:rPr>
      </w:pPr>
      <w:r w:rsidRPr="00A11F64">
        <w:rPr>
          <w:rFonts w:asciiTheme="majorHAnsi" w:hAnsiTheme="majorHAnsi" w:cstheme="majorHAnsi"/>
          <w:color w:val="595959" w:themeColor="text1" w:themeTint="A6"/>
          <w:lang w:val="en-US"/>
        </w:rPr>
        <w:t>Health security is a key priority area for Australia’s ongoing health program and</w:t>
      </w:r>
      <w:r w:rsidR="00550469" w:rsidRPr="00A11F64">
        <w:rPr>
          <w:rFonts w:asciiTheme="majorHAnsi" w:hAnsiTheme="majorHAnsi" w:cstheme="majorHAnsi"/>
          <w:color w:val="595959" w:themeColor="text1" w:themeTint="A6"/>
          <w:lang w:val="en-US"/>
        </w:rPr>
        <w:t xml:space="preserve"> policy engagement in Indonesia</w:t>
      </w:r>
      <w:r w:rsidR="00C84CB8">
        <w:rPr>
          <w:rFonts w:asciiTheme="majorHAnsi" w:hAnsiTheme="majorHAnsi" w:cstheme="majorHAnsi"/>
          <w:color w:val="595959" w:themeColor="text1" w:themeTint="A6"/>
          <w:lang w:val="en-US"/>
        </w:rPr>
        <w:t xml:space="preserve">. </w:t>
      </w:r>
      <w:r w:rsidRPr="00A11F64">
        <w:rPr>
          <w:rFonts w:asciiTheme="majorHAnsi" w:hAnsiTheme="majorHAnsi" w:cstheme="majorHAnsi"/>
          <w:color w:val="595959" w:themeColor="text1" w:themeTint="A6"/>
          <w:lang w:val="en-US"/>
        </w:rPr>
        <w:t>Australia has provided long-standing support to Indonesia on health security, including under the current Australia Indonesia Partnership for Emerging Infectious Diseases (AIPEID), which commen</w:t>
      </w:r>
      <w:r w:rsidR="00BD52B5" w:rsidRPr="00A11F64">
        <w:rPr>
          <w:rFonts w:asciiTheme="majorHAnsi" w:hAnsiTheme="majorHAnsi" w:cstheme="majorHAnsi"/>
          <w:color w:val="595959" w:themeColor="text1" w:themeTint="A6"/>
          <w:lang w:val="en-US"/>
        </w:rPr>
        <w:t>ced in 2010</w:t>
      </w:r>
      <w:r w:rsidR="000B1F0C" w:rsidRPr="00A11F64">
        <w:rPr>
          <w:rFonts w:asciiTheme="majorHAnsi" w:hAnsiTheme="majorHAnsi" w:cstheme="majorHAnsi"/>
          <w:color w:val="595959" w:themeColor="text1" w:themeTint="A6"/>
          <w:lang w:val="en-US"/>
        </w:rPr>
        <w:t xml:space="preserve"> and will end in 2019</w:t>
      </w:r>
      <w:r w:rsidR="00C84CB8">
        <w:rPr>
          <w:rFonts w:asciiTheme="majorHAnsi" w:hAnsiTheme="majorHAnsi" w:cstheme="majorHAnsi"/>
          <w:color w:val="595959" w:themeColor="text1" w:themeTint="A6"/>
          <w:lang w:val="en-US"/>
        </w:rPr>
        <w:t xml:space="preserve">. </w:t>
      </w:r>
      <w:r w:rsidR="00BD52B5" w:rsidRPr="00A11F64">
        <w:rPr>
          <w:rFonts w:asciiTheme="majorHAnsi" w:hAnsiTheme="majorHAnsi" w:cstheme="majorHAnsi"/>
          <w:color w:val="595959" w:themeColor="text1" w:themeTint="A6"/>
          <w:lang w:val="en-US"/>
        </w:rPr>
        <w:t xml:space="preserve">AIPEID </w:t>
      </w:r>
      <w:r w:rsidR="000F6754" w:rsidRPr="00A11F64">
        <w:rPr>
          <w:rFonts w:asciiTheme="majorHAnsi" w:hAnsiTheme="majorHAnsi" w:cstheme="majorHAnsi"/>
          <w:color w:val="595959" w:themeColor="text1" w:themeTint="A6"/>
          <w:lang w:val="en-US"/>
        </w:rPr>
        <w:t xml:space="preserve">has </w:t>
      </w:r>
      <w:r w:rsidR="00BD52B5" w:rsidRPr="00A11F64">
        <w:rPr>
          <w:rFonts w:asciiTheme="majorHAnsi" w:hAnsiTheme="majorHAnsi" w:cstheme="majorHAnsi"/>
          <w:color w:val="595959" w:themeColor="text1" w:themeTint="A6"/>
          <w:lang w:val="en-US"/>
        </w:rPr>
        <w:t>supported</w:t>
      </w:r>
      <w:r w:rsidRPr="00A11F64">
        <w:rPr>
          <w:rFonts w:asciiTheme="majorHAnsi" w:hAnsiTheme="majorHAnsi" w:cstheme="majorHAnsi"/>
          <w:color w:val="595959" w:themeColor="text1" w:themeTint="A6"/>
          <w:lang w:val="en-US"/>
        </w:rPr>
        <w:t xml:space="preserve"> WHO to work with the Indonesian Ministry of Health (MoH) to improve public health emergency preparedness and risk management</w:t>
      </w:r>
      <w:r w:rsidR="00C84CB8">
        <w:rPr>
          <w:rFonts w:asciiTheme="majorHAnsi" w:hAnsiTheme="majorHAnsi" w:cstheme="majorHAnsi"/>
          <w:color w:val="595959" w:themeColor="text1" w:themeTint="A6"/>
          <w:lang w:val="en-US"/>
        </w:rPr>
        <w:t>.</w:t>
      </w:r>
      <w:r w:rsidR="00C83B0C" w:rsidRPr="00A11F64">
        <w:rPr>
          <w:rFonts w:asciiTheme="majorHAnsi" w:hAnsiTheme="majorHAnsi" w:cstheme="majorHAnsi"/>
          <w:color w:val="595959" w:themeColor="text1" w:themeTint="A6"/>
          <w:lang w:val="en-US"/>
        </w:rPr>
        <w:t xml:space="preserve"> </w:t>
      </w:r>
      <w:r w:rsidRPr="00A11F64">
        <w:rPr>
          <w:rFonts w:asciiTheme="majorHAnsi" w:hAnsiTheme="majorHAnsi" w:cstheme="majorHAnsi"/>
          <w:color w:val="595959" w:themeColor="text1" w:themeTint="A6"/>
          <w:lang w:val="en-US"/>
        </w:rPr>
        <w:t xml:space="preserve">In addition, the Australian </w:t>
      </w:r>
      <w:r w:rsidR="00BD52B5" w:rsidRPr="00A11F64">
        <w:rPr>
          <w:rFonts w:asciiTheme="majorHAnsi" w:hAnsiTheme="majorHAnsi" w:cstheme="majorHAnsi"/>
          <w:color w:val="595959" w:themeColor="text1" w:themeTint="A6"/>
          <w:lang w:val="en-US"/>
        </w:rPr>
        <w:t xml:space="preserve">DAWR </w:t>
      </w:r>
      <w:r w:rsidR="000F6754" w:rsidRPr="00A11F64">
        <w:rPr>
          <w:rFonts w:asciiTheme="majorHAnsi" w:hAnsiTheme="majorHAnsi" w:cstheme="majorHAnsi"/>
          <w:color w:val="595959" w:themeColor="text1" w:themeTint="A6"/>
          <w:lang w:val="en-US"/>
        </w:rPr>
        <w:t xml:space="preserve">has </w:t>
      </w:r>
      <w:r w:rsidR="00BD52B5" w:rsidRPr="00A11F64">
        <w:rPr>
          <w:rFonts w:asciiTheme="majorHAnsi" w:hAnsiTheme="majorHAnsi" w:cstheme="majorHAnsi"/>
          <w:color w:val="595959" w:themeColor="text1" w:themeTint="A6"/>
          <w:lang w:val="en-US"/>
        </w:rPr>
        <w:t>worked</w:t>
      </w:r>
      <w:r w:rsidRPr="00A11F64">
        <w:rPr>
          <w:rFonts w:asciiTheme="majorHAnsi" w:hAnsiTheme="majorHAnsi" w:cstheme="majorHAnsi"/>
          <w:color w:val="595959" w:themeColor="text1" w:themeTint="A6"/>
          <w:lang w:val="en-US"/>
        </w:rPr>
        <w:t xml:space="preserve"> with the Indonesian Ministry of Agriculture (MoA) to strengthen emergency management systems and veterinary leadership, </w:t>
      </w:r>
      <w:r w:rsidR="00F10420" w:rsidRPr="00A11F64">
        <w:rPr>
          <w:rFonts w:asciiTheme="majorHAnsi" w:hAnsiTheme="majorHAnsi" w:cstheme="majorHAnsi"/>
          <w:color w:val="595959" w:themeColor="text1" w:themeTint="A6"/>
          <w:lang w:val="en-US"/>
        </w:rPr>
        <w:t>and</w:t>
      </w:r>
      <w:r w:rsidRPr="00A11F64">
        <w:rPr>
          <w:rFonts w:asciiTheme="majorHAnsi" w:hAnsiTheme="majorHAnsi" w:cstheme="majorHAnsi"/>
          <w:color w:val="595959" w:themeColor="text1" w:themeTint="A6"/>
          <w:lang w:val="en-US"/>
        </w:rPr>
        <w:t xml:space="preserve"> enhance Indonesia's animal health information systems</w:t>
      </w:r>
      <w:r w:rsidR="00C84CB8">
        <w:rPr>
          <w:rFonts w:asciiTheme="majorHAnsi" w:hAnsiTheme="majorHAnsi" w:cstheme="majorHAnsi"/>
          <w:color w:val="595959" w:themeColor="text1" w:themeTint="A6"/>
          <w:lang w:val="en-US"/>
        </w:rPr>
        <w:t xml:space="preserve">. </w:t>
      </w:r>
      <w:r w:rsidRPr="00A11F64">
        <w:rPr>
          <w:rFonts w:asciiTheme="majorHAnsi" w:hAnsiTheme="majorHAnsi" w:cstheme="majorHAnsi"/>
          <w:color w:val="595959" w:themeColor="text1" w:themeTint="A6"/>
          <w:lang w:val="en-US"/>
        </w:rPr>
        <w:t>The seco</w:t>
      </w:r>
      <w:r w:rsidR="00BD52B5" w:rsidRPr="00A11F64">
        <w:rPr>
          <w:rFonts w:asciiTheme="majorHAnsi" w:hAnsiTheme="majorHAnsi" w:cstheme="majorHAnsi"/>
          <w:color w:val="595959" w:themeColor="text1" w:themeTint="A6"/>
          <w:lang w:val="en-US"/>
        </w:rPr>
        <w:t>nd phase of AIPEID</w:t>
      </w:r>
      <w:r w:rsidR="00F10420" w:rsidRPr="00A11F64">
        <w:rPr>
          <w:rFonts w:asciiTheme="majorHAnsi" w:hAnsiTheme="majorHAnsi" w:cstheme="majorHAnsi"/>
          <w:color w:val="595959" w:themeColor="text1" w:themeTint="A6"/>
          <w:lang w:val="en-US"/>
        </w:rPr>
        <w:t>,</w:t>
      </w:r>
      <w:r w:rsidRPr="00A11F64">
        <w:rPr>
          <w:rFonts w:asciiTheme="majorHAnsi" w:hAnsiTheme="majorHAnsi" w:cstheme="majorHAnsi"/>
          <w:color w:val="595959" w:themeColor="text1" w:themeTint="A6"/>
          <w:lang w:val="en-US"/>
        </w:rPr>
        <w:t xml:space="preserve"> which commenced in 2015, work</w:t>
      </w:r>
      <w:r w:rsidR="00EA08E0" w:rsidRPr="00A11F64">
        <w:rPr>
          <w:rFonts w:asciiTheme="majorHAnsi" w:hAnsiTheme="majorHAnsi" w:cstheme="majorHAnsi"/>
          <w:color w:val="595959" w:themeColor="text1" w:themeTint="A6"/>
          <w:lang w:val="en-US"/>
        </w:rPr>
        <w:t>s</w:t>
      </w:r>
      <w:r w:rsidRPr="00A11F64">
        <w:rPr>
          <w:rFonts w:asciiTheme="majorHAnsi" w:hAnsiTheme="majorHAnsi" w:cstheme="majorHAnsi"/>
          <w:color w:val="595959" w:themeColor="text1" w:themeTint="A6"/>
          <w:lang w:val="en-US"/>
        </w:rPr>
        <w:t xml:space="preserve"> synergistically in both animal health and human health sectors</w:t>
      </w:r>
      <w:r w:rsidR="00C84CB8">
        <w:rPr>
          <w:rFonts w:asciiTheme="majorHAnsi" w:hAnsiTheme="majorHAnsi" w:cstheme="majorHAnsi"/>
          <w:color w:val="595959" w:themeColor="text1" w:themeTint="A6"/>
          <w:lang w:val="en-US"/>
        </w:rPr>
        <w:t>.</w:t>
      </w:r>
      <w:r w:rsidR="00BC556E" w:rsidRPr="00A11F64">
        <w:rPr>
          <w:rFonts w:asciiTheme="majorHAnsi" w:hAnsiTheme="majorHAnsi" w:cstheme="majorHAnsi"/>
          <w:color w:val="595959" w:themeColor="text1" w:themeTint="A6"/>
          <w:lang w:val="en-US"/>
        </w:rPr>
        <w:t xml:space="preserve"> </w:t>
      </w:r>
      <w:r w:rsidR="00EA08E0" w:rsidRPr="00A11F64">
        <w:rPr>
          <w:rFonts w:asciiTheme="majorHAnsi" w:hAnsiTheme="majorHAnsi" w:cstheme="majorHAnsi"/>
          <w:color w:val="595959" w:themeColor="text1" w:themeTint="A6"/>
          <w:lang w:val="en-US"/>
        </w:rPr>
        <w:t>This</w:t>
      </w:r>
      <w:r w:rsidRPr="00A11F64">
        <w:rPr>
          <w:rFonts w:asciiTheme="majorHAnsi" w:hAnsiTheme="majorHAnsi" w:cstheme="majorHAnsi"/>
          <w:color w:val="595959" w:themeColor="text1" w:themeTint="A6"/>
          <w:lang w:val="en-US"/>
        </w:rPr>
        <w:t xml:space="preserve"> </w:t>
      </w:r>
      <w:r w:rsidR="00F10420" w:rsidRPr="00A11F64">
        <w:rPr>
          <w:rFonts w:asciiTheme="majorHAnsi" w:hAnsiTheme="majorHAnsi" w:cstheme="majorHAnsi"/>
          <w:color w:val="595959" w:themeColor="text1" w:themeTint="A6"/>
          <w:lang w:val="en-US"/>
        </w:rPr>
        <w:t>assistance</w:t>
      </w:r>
      <w:r w:rsidRPr="00A11F64">
        <w:rPr>
          <w:rFonts w:asciiTheme="majorHAnsi" w:hAnsiTheme="majorHAnsi" w:cstheme="majorHAnsi"/>
          <w:color w:val="595959" w:themeColor="text1" w:themeTint="A6"/>
          <w:lang w:val="en-US"/>
        </w:rPr>
        <w:t xml:space="preserve"> has been well received by the </w:t>
      </w:r>
      <w:r w:rsidR="00666EFD" w:rsidRPr="00A11F64">
        <w:rPr>
          <w:rFonts w:asciiTheme="majorHAnsi" w:hAnsiTheme="majorHAnsi" w:cstheme="majorHAnsi"/>
          <w:color w:val="595959" w:themeColor="text1" w:themeTint="A6"/>
          <w:lang w:val="en-US"/>
        </w:rPr>
        <w:t>GoI</w:t>
      </w:r>
      <w:r w:rsidR="00C84CB8">
        <w:rPr>
          <w:rFonts w:asciiTheme="majorHAnsi" w:hAnsiTheme="majorHAnsi" w:cstheme="majorHAnsi"/>
          <w:color w:val="595959" w:themeColor="text1" w:themeTint="A6"/>
          <w:lang w:val="en-US"/>
        </w:rPr>
        <w:t>.</w:t>
      </w:r>
      <w:r w:rsidR="00C83B0C" w:rsidRPr="00A11F64">
        <w:rPr>
          <w:rFonts w:asciiTheme="majorHAnsi" w:hAnsiTheme="majorHAnsi" w:cstheme="majorHAnsi"/>
          <w:color w:val="595959" w:themeColor="text1" w:themeTint="A6"/>
          <w:lang w:val="en-US"/>
        </w:rPr>
        <w:t xml:space="preserve"> </w:t>
      </w:r>
      <w:r w:rsidRPr="00A11F64">
        <w:rPr>
          <w:rFonts w:asciiTheme="majorHAnsi" w:hAnsiTheme="majorHAnsi" w:cstheme="majorHAnsi"/>
          <w:color w:val="595959" w:themeColor="text1" w:themeTint="A6"/>
          <w:lang w:val="en-US"/>
        </w:rPr>
        <w:t xml:space="preserve">It has supported Indonesia to </w:t>
      </w:r>
      <w:r w:rsidR="00EA08E0" w:rsidRPr="00A11F64">
        <w:rPr>
          <w:rFonts w:asciiTheme="majorHAnsi" w:hAnsiTheme="majorHAnsi" w:cstheme="majorHAnsi"/>
          <w:color w:val="595959" w:themeColor="text1" w:themeTint="A6"/>
          <w:lang w:val="en-US"/>
        </w:rPr>
        <w:t xml:space="preserve">increase its capacity to </w:t>
      </w:r>
      <w:r w:rsidRPr="00A11F64">
        <w:rPr>
          <w:rFonts w:asciiTheme="majorHAnsi" w:hAnsiTheme="majorHAnsi" w:cstheme="majorHAnsi"/>
          <w:color w:val="595959" w:themeColor="text1" w:themeTint="A6"/>
          <w:lang w:val="en-US"/>
        </w:rPr>
        <w:t xml:space="preserve">comply with international obligations under </w:t>
      </w:r>
      <w:r w:rsidR="009E6C14" w:rsidRPr="00A11F64">
        <w:rPr>
          <w:rFonts w:asciiTheme="majorHAnsi" w:hAnsiTheme="majorHAnsi" w:cstheme="majorHAnsi"/>
          <w:color w:val="595959" w:themeColor="text1" w:themeTint="A6"/>
          <w:lang w:val="en-US"/>
        </w:rPr>
        <w:t xml:space="preserve">the </w:t>
      </w:r>
      <w:r w:rsidRPr="00A11F64">
        <w:rPr>
          <w:rFonts w:asciiTheme="majorHAnsi" w:hAnsiTheme="majorHAnsi" w:cstheme="majorHAnsi"/>
          <w:color w:val="595959" w:themeColor="text1" w:themeTint="A6"/>
          <w:lang w:val="en-US"/>
        </w:rPr>
        <w:t xml:space="preserve">IHR </w:t>
      </w:r>
      <w:r w:rsidR="00BC556E" w:rsidRPr="00A11F64">
        <w:rPr>
          <w:rFonts w:asciiTheme="majorHAnsi" w:hAnsiTheme="majorHAnsi" w:cstheme="majorHAnsi"/>
          <w:color w:val="595959" w:themeColor="text1" w:themeTint="A6"/>
          <w:lang w:val="en-US"/>
        </w:rPr>
        <w:t>and</w:t>
      </w:r>
      <w:r w:rsidR="00EA08E0" w:rsidRPr="00A11F64">
        <w:rPr>
          <w:rFonts w:asciiTheme="majorHAnsi" w:hAnsiTheme="majorHAnsi" w:cstheme="majorHAnsi"/>
          <w:color w:val="595959" w:themeColor="text1" w:themeTint="A6"/>
          <w:lang w:val="en-US"/>
        </w:rPr>
        <w:t xml:space="preserve"> to</w:t>
      </w:r>
      <w:r w:rsidRPr="00A11F64">
        <w:rPr>
          <w:rFonts w:asciiTheme="majorHAnsi" w:hAnsiTheme="majorHAnsi" w:cstheme="majorHAnsi"/>
          <w:color w:val="595959" w:themeColor="text1" w:themeTint="A6"/>
          <w:lang w:val="en-US"/>
        </w:rPr>
        <w:t xml:space="preserve"> build national human and animal disease surveillance systems and eme</w:t>
      </w:r>
      <w:r w:rsidR="00550469" w:rsidRPr="00A11F64">
        <w:rPr>
          <w:rFonts w:asciiTheme="majorHAnsi" w:hAnsiTheme="majorHAnsi" w:cstheme="majorHAnsi"/>
          <w:color w:val="595959" w:themeColor="text1" w:themeTint="A6"/>
          <w:lang w:val="en-US"/>
        </w:rPr>
        <w:t>rgency response mechanisms</w:t>
      </w:r>
      <w:r w:rsidR="00C84CB8">
        <w:rPr>
          <w:rFonts w:asciiTheme="majorHAnsi" w:hAnsiTheme="majorHAnsi" w:cstheme="majorHAnsi"/>
          <w:color w:val="595959" w:themeColor="text1" w:themeTint="A6"/>
          <w:lang w:val="en-US"/>
        </w:rPr>
        <w:t xml:space="preserve">. </w:t>
      </w:r>
      <w:r w:rsidR="00550469" w:rsidRPr="00A11F64">
        <w:rPr>
          <w:rFonts w:asciiTheme="majorHAnsi" w:hAnsiTheme="majorHAnsi" w:cstheme="majorHAnsi"/>
          <w:color w:val="595959" w:themeColor="text1" w:themeTint="A6"/>
          <w:lang w:val="en-US"/>
        </w:rPr>
        <w:t xml:space="preserve">A large proportion of this program </w:t>
      </w:r>
      <w:r w:rsidR="00393B74">
        <w:rPr>
          <w:rFonts w:asciiTheme="majorHAnsi" w:hAnsiTheme="majorHAnsi" w:cstheme="majorHAnsi"/>
          <w:color w:val="595959" w:themeColor="text1" w:themeTint="A6"/>
          <w:lang w:val="en-US"/>
        </w:rPr>
        <w:t>ended</w:t>
      </w:r>
      <w:r w:rsidRPr="00A11F64">
        <w:rPr>
          <w:rFonts w:asciiTheme="majorHAnsi" w:hAnsiTheme="majorHAnsi" w:cstheme="majorHAnsi"/>
          <w:color w:val="595959" w:themeColor="text1" w:themeTint="A6"/>
          <w:lang w:val="en-US"/>
        </w:rPr>
        <w:t xml:space="preserve"> in December 2018</w:t>
      </w:r>
      <w:r w:rsidR="00550469" w:rsidRPr="00A11F64">
        <w:rPr>
          <w:rFonts w:asciiTheme="majorHAnsi" w:hAnsiTheme="majorHAnsi" w:cstheme="majorHAnsi"/>
          <w:color w:val="595959" w:themeColor="text1" w:themeTint="A6"/>
          <w:lang w:val="en-US"/>
        </w:rPr>
        <w:t>, with some small transitional activities continuing in 2019</w:t>
      </w:r>
      <w:r w:rsidRPr="00A11F64">
        <w:rPr>
          <w:rFonts w:asciiTheme="majorHAnsi" w:hAnsiTheme="majorHAnsi" w:cstheme="majorHAnsi"/>
          <w:color w:val="595959" w:themeColor="text1" w:themeTint="A6"/>
          <w:lang w:val="en-US"/>
        </w:rPr>
        <w:t>.</w:t>
      </w:r>
    </w:p>
    <w:p w:rsidR="009D029C" w:rsidRPr="00A11F64" w:rsidRDefault="00F10420">
      <w:pPr>
        <w:suppressAutoHyphens w:val="0"/>
        <w:spacing w:before="0" w:after="120" w:line="240" w:lineRule="auto"/>
        <w:rPr>
          <w:rFonts w:asciiTheme="majorHAnsi" w:hAnsiTheme="majorHAnsi" w:cstheme="majorHAnsi"/>
          <w:color w:val="595959" w:themeColor="text1" w:themeTint="A6"/>
          <w:lang w:val="en-US"/>
        </w:rPr>
      </w:pPr>
      <w:r w:rsidRPr="00A11F64">
        <w:rPr>
          <w:rFonts w:asciiTheme="majorHAnsi" w:hAnsiTheme="majorHAnsi" w:cstheme="majorHAnsi"/>
          <w:color w:val="595959" w:themeColor="text1" w:themeTint="A6"/>
          <w:lang w:val="en-US"/>
        </w:rPr>
        <w:t>In this context, t</w:t>
      </w:r>
      <w:r w:rsidR="009D029C" w:rsidRPr="00A11F64">
        <w:rPr>
          <w:rFonts w:asciiTheme="majorHAnsi" w:hAnsiTheme="majorHAnsi" w:cstheme="majorHAnsi"/>
          <w:color w:val="595959" w:themeColor="text1" w:themeTint="A6"/>
          <w:lang w:val="en-US"/>
        </w:rPr>
        <w:t xml:space="preserve">he </w:t>
      </w:r>
      <w:r w:rsidRPr="00A11F64">
        <w:rPr>
          <w:rFonts w:asciiTheme="majorHAnsi" w:hAnsiTheme="majorHAnsi" w:cstheme="majorHAnsi"/>
          <w:color w:val="595959" w:themeColor="text1" w:themeTint="A6"/>
          <w:lang w:val="en-US"/>
        </w:rPr>
        <w:t xml:space="preserve">new </w:t>
      </w:r>
      <w:r w:rsidR="009D029C" w:rsidRPr="00A11F64">
        <w:rPr>
          <w:rFonts w:asciiTheme="majorHAnsi" w:hAnsiTheme="majorHAnsi" w:cstheme="majorHAnsi"/>
          <w:color w:val="595959" w:themeColor="text1" w:themeTint="A6"/>
          <w:lang w:val="en-US"/>
        </w:rPr>
        <w:t xml:space="preserve">AIHSP will continue to help strengthen Indonesia’s ability to mitigate, detect and respond to health emergencies and reduce the threat posed by </w:t>
      </w:r>
      <w:r w:rsidRPr="00A11F64">
        <w:rPr>
          <w:rFonts w:asciiTheme="majorHAnsi" w:hAnsiTheme="majorHAnsi" w:cstheme="majorHAnsi"/>
          <w:color w:val="595959" w:themeColor="text1" w:themeTint="A6"/>
          <w:lang w:val="en-US"/>
        </w:rPr>
        <w:t>EIDs</w:t>
      </w:r>
      <w:r w:rsidR="00C84CB8">
        <w:rPr>
          <w:rFonts w:asciiTheme="majorHAnsi" w:hAnsiTheme="majorHAnsi" w:cstheme="majorHAnsi"/>
          <w:color w:val="595959" w:themeColor="text1" w:themeTint="A6"/>
          <w:lang w:val="en-US"/>
        </w:rPr>
        <w:t>.</w:t>
      </w:r>
      <w:r w:rsidR="00C83B0C" w:rsidRPr="00A11F64">
        <w:rPr>
          <w:rFonts w:asciiTheme="majorHAnsi" w:hAnsiTheme="majorHAnsi" w:cstheme="majorHAnsi"/>
          <w:color w:val="595959" w:themeColor="text1" w:themeTint="A6"/>
          <w:lang w:val="en-US"/>
        </w:rPr>
        <w:t xml:space="preserve"> </w:t>
      </w:r>
      <w:r w:rsidR="009D029C" w:rsidRPr="00A11F64">
        <w:rPr>
          <w:rFonts w:asciiTheme="majorHAnsi" w:hAnsiTheme="majorHAnsi" w:cstheme="majorHAnsi"/>
          <w:color w:val="595959" w:themeColor="text1" w:themeTint="A6"/>
          <w:lang w:val="en-US"/>
        </w:rPr>
        <w:t>The new program will help curb potential threats to Australia and beyond</w:t>
      </w:r>
      <w:r w:rsidR="00C84CB8">
        <w:rPr>
          <w:rFonts w:asciiTheme="majorHAnsi" w:hAnsiTheme="majorHAnsi" w:cstheme="majorHAnsi"/>
          <w:color w:val="595959" w:themeColor="text1" w:themeTint="A6"/>
          <w:lang w:val="en-US"/>
        </w:rPr>
        <w:t>.</w:t>
      </w:r>
      <w:r w:rsidR="00C83B0C" w:rsidRPr="00A11F64">
        <w:rPr>
          <w:rFonts w:asciiTheme="majorHAnsi" w:hAnsiTheme="majorHAnsi" w:cstheme="majorHAnsi"/>
          <w:color w:val="595959" w:themeColor="text1" w:themeTint="A6"/>
          <w:lang w:val="en-US"/>
        </w:rPr>
        <w:t xml:space="preserve"> </w:t>
      </w:r>
      <w:r w:rsidR="009D029C" w:rsidRPr="00A11F64">
        <w:rPr>
          <w:rFonts w:asciiTheme="majorHAnsi" w:hAnsiTheme="majorHAnsi" w:cstheme="majorHAnsi"/>
          <w:color w:val="595959" w:themeColor="text1" w:themeTint="A6"/>
          <w:lang w:val="en-US"/>
        </w:rPr>
        <w:t xml:space="preserve">It will facilitate better access to senior levels within Indonesian government agencies, particularly in the event of an </w:t>
      </w:r>
      <w:r w:rsidRPr="00A11F64">
        <w:rPr>
          <w:rFonts w:asciiTheme="majorHAnsi" w:hAnsiTheme="majorHAnsi" w:cstheme="majorHAnsi"/>
          <w:color w:val="595959" w:themeColor="text1" w:themeTint="A6"/>
          <w:lang w:val="en-US"/>
        </w:rPr>
        <w:t>EID</w:t>
      </w:r>
      <w:r w:rsidR="009D029C" w:rsidRPr="00A11F64">
        <w:rPr>
          <w:rFonts w:asciiTheme="majorHAnsi" w:hAnsiTheme="majorHAnsi" w:cstheme="majorHAnsi"/>
          <w:color w:val="595959" w:themeColor="text1" w:themeTint="A6"/>
          <w:lang w:val="en-US"/>
        </w:rPr>
        <w:t xml:space="preserve"> threat</w:t>
      </w:r>
      <w:r w:rsidR="00C84CB8">
        <w:rPr>
          <w:rFonts w:asciiTheme="majorHAnsi" w:hAnsiTheme="majorHAnsi" w:cstheme="majorHAnsi"/>
          <w:color w:val="595959" w:themeColor="text1" w:themeTint="A6"/>
          <w:lang w:val="en-US"/>
        </w:rPr>
        <w:t>.</w:t>
      </w:r>
      <w:r w:rsidR="00C83B0C" w:rsidRPr="00A11F64">
        <w:rPr>
          <w:rFonts w:asciiTheme="majorHAnsi" w:hAnsiTheme="majorHAnsi" w:cstheme="majorHAnsi"/>
          <w:color w:val="595959" w:themeColor="text1" w:themeTint="A6"/>
          <w:lang w:val="en-US"/>
        </w:rPr>
        <w:t xml:space="preserve"> </w:t>
      </w:r>
      <w:r w:rsidR="009D029C" w:rsidRPr="00A11F64">
        <w:rPr>
          <w:rFonts w:asciiTheme="majorHAnsi" w:hAnsiTheme="majorHAnsi" w:cstheme="majorHAnsi"/>
          <w:color w:val="595959" w:themeColor="text1" w:themeTint="A6"/>
          <w:lang w:val="en-US"/>
        </w:rPr>
        <w:t>It will support Indonesia to better equip itself to detect and control pandemic threats to the region.</w:t>
      </w:r>
    </w:p>
    <w:p w:rsidR="009D029C" w:rsidRPr="00A11F64" w:rsidRDefault="009D029C">
      <w:pPr>
        <w:suppressAutoHyphens w:val="0"/>
        <w:spacing w:before="0" w:after="120" w:line="240" w:lineRule="auto"/>
        <w:rPr>
          <w:rFonts w:asciiTheme="majorHAnsi" w:hAnsiTheme="majorHAnsi" w:cstheme="majorHAnsi"/>
          <w:color w:val="595959" w:themeColor="text1" w:themeTint="A6"/>
          <w:lang w:val="en-US"/>
        </w:rPr>
      </w:pPr>
      <w:r w:rsidRPr="00A11F64">
        <w:rPr>
          <w:rFonts w:asciiTheme="majorHAnsi" w:hAnsiTheme="majorHAnsi" w:cstheme="majorHAnsi"/>
          <w:color w:val="595959" w:themeColor="text1" w:themeTint="A6"/>
          <w:lang w:val="en-US"/>
        </w:rPr>
        <w:t>The new partnership will build on lessons from the two phases of the AIPEID program, including th</w:t>
      </w:r>
      <w:r w:rsidR="007F62DF" w:rsidRPr="00A11F64">
        <w:rPr>
          <w:rFonts w:asciiTheme="majorHAnsi" w:hAnsiTheme="majorHAnsi" w:cstheme="majorHAnsi"/>
          <w:color w:val="595959" w:themeColor="text1" w:themeTint="A6"/>
          <w:lang w:val="en-US"/>
        </w:rPr>
        <w:t>os</w:t>
      </w:r>
      <w:r w:rsidRPr="00A11F64">
        <w:rPr>
          <w:rFonts w:asciiTheme="majorHAnsi" w:hAnsiTheme="majorHAnsi" w:cstheme="majorHAnsi"/>
          <w:color w:val="595959" w:themeColor="text1" w:themeTint="A6"/>
          <w:lang w:val="en-US"/>
        </w:rPr>
        <w:t xml:space="preserve">e </w:t>
      </w:r>
      <w:r w:rsidR="007F62DF" w:rsidRPr="00A11F64">
        <w:rPr>
          <w:rFonts w:asciiTheme="majorHAnsi" w:hAnsiTheme="majorHAnsi" w:cstheme="majorHAnsi"/>
          <w:color w:val="595959" w:themeColor="text1" w:themeTint="A6"/>
          <w:lang w:val="en-US"/>
        </w:rPr>
        <w:t xml:space="preserve">identified in the June 2017 </w:t>
      </w:r>
      <w:r w:rsidRPr="00A11F64">
        <w:rPr>
          <w:rFonts w:asciiTheme="majorHAnsi" w:hAnsiTheme="majorHAnsi" w:cstheme="majorHAnsi"/>
          <w:color w:val="595959" w:themeColor="text1" w:themeTint="A6"/>
          <w:lang w:val="en-US"/>
        </w:rPr>
        <w:t>program review</w:t>
      </w:r>
      <w:r w:rsidR="007F62DF" w:rsidRPr="00A11F64">
        <w:rPr>
          <w:rFonts w:asciiTheme="majorHAnsi" w:hAnsiTheme="majorHAnsi" w:cstheme="majorHAnsi"/>
          <w:color w:val="595959" w:themeColor="text1" w:themeTint="A6"/>
          <w:lang w:val="en-US"/>
        </w:rPr>
        <w:t>.</w:t>
      </w:r>
      <w:r w:rsidR="00550469" w:rsidRPr="00A11F64">
        <w:rPr>
          <w:rStyle w:val="FootnoteReference"/>
          <w:rFonts w:asciiTheme="majorHAnsi" w:hAnsiTheme="majorHAnsi" w:cstheme="majorHAnsi"/>
          <w:color w:val="595959" w:themeColor="text1" w:themeTint="A6"/>
          <w:lang w:val="en-US"/>
        </w:rPr>
        <w:footnoteReference w:id="4"/>
      </w:r>
      <w:r w:rsidR="007F62DF" w:rsidRPr="00A11F64">
        <w:rPr>
          <w:rFonts w:asciiTheme="majorHAnsi" w:hAnsiTheme="majorHAnsi" w:cstheme="majorHAnsi"/>
          <w:color w:val="595959" w:themeColor="text1" w:themeTint="A6"/>
          <w:lang w:val="en-US"/>
        </w:rPr>
        <w:t xml:space="preserve"> </w:t>
      </w:r>
      <w:r w:rsidRPr="00A11F64">
        <w:rPr>
          <w:rFonts w:asciiTheme="majorHAnsi" w:hAnsiTheme="majorHAnsi" w:cstheme="majorHAnsi"/>
          <w:color w:val="595959" w:themeColor="text1" w:themeTint="A6"/>
          <w:lang w:val="en-US"/>
        </w:rPr>
        <w:t xml:space="preserve">The primary purpose of the review was </w:t>
      </w:r>
      <w:r w:rsidR="0012387C" w:rsidRPr="00A11F64">
        <w:rPr>
          <w:rFonts w:asciiTheme="majorHAnsi" w:hAnsiTheme="majorHAnsi" w:cstheme="majorHAnsi"/>
          <w:color w:val="595959" w:themeColor="text1" w:themeTint="A6"/>
          <w:lang w:val="en-US"/>
        </w:rPr>
        <w:t xml:space="preserve">to </w:t>
      </w:r>
      <w:r w:rsidRPr="00A11F64">
        <w:rPr>
          <w:rFonts w:asciiTheme="majorHAnsi" w:hAnsiTheme="majorHAnsi" w:cstheme="majorHAnsi"/>
          <w:color w:val="595959" w:themeColor="text1" w:themeTint="A6"/>
          <w:lang w:val="en-US"/>
        </w:rPr>
        <w:t>recommend options for Australia’s future bilateral program support in the area of health security beyond 2018</w:t>
      </w:r>
      <w:r w:rsidR="00C84CB8">
        <w:rPr>
          <w:rFonts w:asciiTheme="majorHAnsi" w:hAnsiTheme="majorHAnsi" w:cstheme="majorHAnsi"/>
          <w:color w:val="595959" w:themeColor="text1" w:themeTint="A6"/>
          <w:lang w:val="en-US"/>
        </w:rPr>
        <w:t xml:space="preserve">. </w:t>
      </w:r>
      <w:r w:rsidRPr="00A11F64">
        <w:rPr>
          <w:rFonts w:asciiTheme="majorHAnsi" w:hAnsiTheme="majorHAnsi" w:cstheme="majorHAnsi"/>
          <w:color w:val="595959" w:themeColor="text1" w:themeTint="A6"/>
          <w:lang w:val="en-US"/>
        </w:rPr>
        <w:t>Extensive consultation was undertaken by the review team – including whole-of-government partners (DFAT, DAWR and the Department of Health</w:t>
      </w:r>
      <w:r w:rsidR="000E543B" w:rsidRPr="00A11F64">
        <w:rPr>
          <w:rFonts w:asciiTheme="majorHAnsi" w:hAnsiTheme="majorHAnsi" w:cstheme="majorHAnsi"/>
          <w:color w:val="595959" w:themeColor="text1" w:themeTint="A6"/>
          <w:lang w:val="en-US"/>
        </w:rPr>
        <w:t xml:space="preserve"> [DoH]</w:t>
      </w:r>
      <w:r w:rsidRPr="00A11F64">
        <w:rPr>
          <w:rFonts w:asciiTheme="majorHAnsi" w:hAnsiTheme="majorHAnsi" w:cstheme="majorHAnsi"/>
          <w:color w:val="595959" w:themeColor="text1" w:themeTint="A6"/>
          <w:lang w:val="en-US"/>
        </w:rPr>
        <w:t>), Indonesian Ministries of Health and Agriculture and other key stakeholders in Indonesia</w:t>
      </w:r>
      <w:r w:rsidR="00C84CB8">
        <w:rPr>
          <w:rFonts w:asciiTheme="majorHAnsi" w:hAnsiTheme="majorHAnsi" w:cstheme="majorHAnsi"/>
          <w:color w:val="595959" w:themeColor="text1" w:themeTint="A6"/>
          <w:lang w:val="en-US"/>
        </w:rPr>
        <w:t xml:space="preserve">. </w:t>
      </w:r>
      <w:r w:rsidRPr="00A11F64">
        <w:rPr>
          <w:rFonts w:asciiTheme="majorHAnsi" w:hAnsiTheme="majorHAnsi" w:cstheme="majorHAnsi"/>
          <w:color w:val="595959" w:themeColor="text1" w:themeTint="A6"/>
          <w:lang w:val="en-US"/>
        </w:rPr>
        <w:t>The review strongly recommended th</w:t>
      </w:r>
      <w:r w:rsidR="00120A8C" w:rsidRPr="00A11F64">
        <w:rPr>
          <w:rFonts w:asciiTheme="majorHAnsi" w:hAnsiTheme="majorHAnsi" w:cstheme="majorHAnsi"/>
          <w:color w:val="595959" w:themeColor="text1" w:themeTint="A6"/>
          <w:lang w:val="en-US"/>
        </w:rPr>
        <w:t>at DFAT</w:t>
      </w:r>
      <w:r w:rsidRPr="00A11F64">
        <w:rPr>
          <w:rFonts w:asciiTheme="majorHAnsi" w:hAnsiTheme="majorHAnsi" w:cstheme="majorHAnsi"/>
          <w:color w:val="595959" w:themeColor="text1" w:themeTint="A6"/>
          <w:lang w:val="en-US"/>
        </w:rPr>
        <w:t xml:space="preserve"> continue to </w:t>
      </w:r>
      <w:r w:rsidR="00120A8C" w:rsidRPr="00A11F64">
        <w:rPr>
          <w:rFonts w:asciiTheme="majorHAnsi" w:hAnsiTheme="majorHAnsi" w:cstheme="majorHAnsi"/>
          <w:color w:val="595959" w:themeColor="text1" w:themeTint="A6"/>
          <w:lang w:val="en-US"/>
        </w:rPr>
        <w:t xml:space="preserve">assist </w:t>
      </w:r>
      <w:r w:rsidRPr="00A11F64">
        <w:rPr>
          <w:rFonts w:asciiTheme="majorHAnsi" w:hAnsiTheme="majorHAnsi" w:cstheme="majorHAnsi"/>
          <w:color w:val="595959" w:themeColor="text1" w:themeTint="A6"/>
          <w:lang w:val="en-US"/>
        </w:rPr>
        <w:t xml:space="preserve">Indonesia </w:t>
      </w:r>
      <w:r w:rsidR="00120A8C" w:rsidRPr="00A11F64">
        <w:rPr>
          <w:rFonts w:asciiTheme="majorHAnsi" w:hAnsiTheme="majorHAnsi" w:cstheme="majorHAnsi"/>
          <w:color w:val="595959" w:themeColor="text1" w:themeTint="A6"/>
          <w:lang w:val="en-US"/>
        </w:rPr>
        <w:t>to</w:t>
      </w:r>
      <w:r w:rsidRPr="00A11F64">
        <w:rPr>
          <w:rFonts w:asciiTheme="majorHAnsi" w:hAnsiTheme="majorHAnsi" w:cstheme="majorHAnsi"/>
          <w:color w:val="595959" w:themeColor="text1" w:themeTint="A6"/>
          <w:lang w:val="en-US"/>
        </w:rPr>
        <w:t xml:space="preserve"> detect and </w:t>
      </w:r>
      <w:r w:rsidR="00120A8C" w:rsidRPr="00A11F64">
        <w:rPr>
          <w:rFonts w:asciiTheme="majorHAnsi" w:hAnsiTheme="majorHAnsi" w:cstheme="majorHAnsi"/>
          <w:color w:val="595959" w:themeColor="text1" w:themeTint="A6"/>
          <w:lang w:val="en-US"/>
        </w:rPr>
        <w:t xml:space="preserve">respond </w:t>
      </w:r>
      <w:r w:rsidRPr="00A11F64">
        <w:rPr>
          <w:rFonts w:asciiTheme="majorHAnsi" w:hAnsiTheme="majorHAnsi" w:cstheme="majorHAnsi"/>
          <w:color w:val="595959" w:themeColor="text1" w:themeTint="A6"/>
          <w:lang w:val="en-US"/>
        </w:rPr>
        <w:t xml:space="preserve">to </w:t>
      </w:r>
      <w:r w:rsidR="00F10420" w:rsidRPr="00A11F64">
        <w:rPr>
          <w:rFonts w:asciiTheme="majorHAnsi" w:hAnsiTheme="majorHAnsi" w:cstheme="majorHAnsi"/>
          <w:color w:val="595959" w:themeColor="text1" w:themeTint="A6"/>
          <w:lang w:val="en-US"/>
        </w:rPr>
        <w:t>EIDs</w:t>
      </w:r>
      <w:r w:rsidR="00C84CB8">
        <w:rPr>
          <w:rFonts w:asciiTheme="majorHAnsi" w:hAnsiTheme="majorHAnsi" w:cstheme="majorHAnsi"/>
          <w:color w:val="595959" w:themeColor="text1" w:themeTint="A6"/>
          <w:lang w:val="en-US"/>
        </w:rPr>
        <w:t>.</w:t>
      </w:r>
      <w:r w:rsidR="00C83B0C" w:rsidRPr="00A11F64">
        <w:rPr>
          <w:rFonts w:asciiTheme="majorHAnsi" w:hAnsiTheme="majorHAnsi" w:cstheme="majorHAnsi"/>
          <w:color w:val="595959" w:themeColor="text1" w:themeTint="A6"/>
          <w:lang w:val="en-US"/>
        </w:rPr>
        <w:t xml:space="preserve"> </w:t>
      </w:r>
      <w:r w:rsidRPr="00A11F64">
        <w:rPr>
          <w:rFonts w:asciiTheme="majorHAnsi" w:hAnsiTheme="majorHAnsi" w:cstheme="majorHAnsi"/>
          <w:color w:val="595959" w:themeColor="text1" w:themeTint="A6"/>
          <w:lang w:val="en-US"/>
        </w:rPr>
        <w:t xml:space="preserve">It urged DFAT to maintain </w:t>
      </w:r>
      <w:r w:rsidR="00120A8C" w:rsidRPr="00A11F64">
        <w:rPr>
          <w:rFonts w:asciiTheme="majorHAnsi" w:hAnsiTheme="majorHAnsi" w:cstheme="majorHAnsi"/>
          <w:color w:val="595959" w:themeColor="text1" w:themeTint="A6"/>
          <w:lang w:val="en-US"/>
        </w:rPr>
        <w:t xml:space="preserve">key </w:t>
      </w:r>
      <w:r w:rsidRPr="00A11F64">
        <w:rPr>
          <w:rFonts w:asciiTheme="majorHAnsi" w:hAnsiTheme="majorHAnsi" w:cstheme="majorHAnsi"/>
          <w:color w:val="595959" w:themeColor="text1" w:themeTint="A6"/>
          <w:lang w:val="en-US"/>
        </w:rPr>
        <w:t xml:space="preserve">elements of the existing program (particularly in relation to surveillance systems), to strengthen strategic high-level engagement with the Indonesian Government, and to increase </w:t>
      </w:r>
      <w:r w:rsidR="009D3DAD" w:rsidRPr="00A11F64">
        <w:rPr>
          <w:rFonts w:asciiTheme="majorHAnsi" w:hAnsiTheme="majorHAnsi" w:cstheme="majorHAnsi"/>
          <w:color w:val="595959" w:themeColor="text1" w:themeTint="A6"/>
          <w:lang w:val="en-US"/>
        </w:rPr>
        <w:t>O</w:t>
      </w:r>
      <w:r w:rsidRPr="00A11F64">
        <w:rPr>
          <w:rFonts w:asciiTheme="majorHAnsi" w:hAnsiTheme="majorHAnsi" w:cstheme="majorHAnsi"/>
          <w:color w:val="595959" w:themeColor="text1" w:themeTint="A6"/>
          <w:lang w:val="en-US"/>
        </w:rPr>
        <w:t>ne</w:t>
      </w:r>
      <w:r w:rsidR="009D3DAD" w:rsidRPr="00A11F64">
        <w:rPr>
          <w:rFonts w:asciiTheme="majorHAnsi" w:hAnsiTheme="majorHAnsi" w:cstheme="majorHAnsi"/>
          <w:color w:val="595959" w:themeColor="text1" w:themeTint="A6"/>
          <w:lang w:val="en-US"/>
        </w:rPr>
        <w:t xml:space="preserve"> H</w:t>
      </w:r>
      <w:r w:rsidRPr="00A11F64">
        <w:rPr>
          <w:rFonts w:asciiTheme="majorHAnsi" w:hAnsiTheme="majorHAnsi" w:cstheme="majorHAnsi"/>
          <w:color w:val="595959" w:themeColor="text1" w:themeTint="A6"/>
          <w:lang w:val="en-US"/>
        </w:rPr>
        <w:t>ealth efforts under a new program</w:t>
      </w:r>
      <w:r w:rsidR="00C84CB8">
        <w:rPr>
          <w:rFonts w:asciiTheme="majorHAnsi" w:hAnsiTheme="majorHAnsi" w:cstheme="majorHAnsi"/>
          <w:color w:val="595959" w:themeColor="text1" w:themeTint="A6"/>
          <w:lang w:val="en-US"/>
        </w:rPr>
        <w:t>.</w:t>
      </w:r>
    </w:p>
    <w:p w:rsidR="009D029C" w:rsidRPr="00A11F64" w:rsidRDefault="009D029C">
      <w:pPr>
        <w:suppressAutoHyphens w:val="0"/>
        <w:spacing w:before="0" w:after="120" w:line="240" w:lineRule="auto"/>
        <w:rPr>
          <w:rFonts w:asciiTheme="majorHAnsi" w:hAnsiTheme="majorHAnsi" w:cstheme="majorHAnsi"/>
          <w:color w:val="595959" w:themeColor="text1" w:themeTint="A6"/>
          <w:lang w:val="en-US"/>
        </w:rPr>
      </w:pPr>
      <w:r w:rsidRPr="00A11F64">
        <w:rPr>
          <w:rFonts w:asciiTheme="majorHAnsi" w:hAnsiTheme="majorHAnsi" w:cstheme="majorHAnsi"/>
          <w:color w:val="595959" w:themeColor="text1" w:themeTint="A6"/>
          <w:lang w:val="en-US"/>
        </w:rPr>
        <w:t xml:space="preserve">As highlighted in </w:t>
      </w:r>
      <w:r w:rsidR="00393B74">
        <w:rPr>
          <w:rFonts w:asciiTheme="majorHAnsi" w:hAnsiTheme="majorHAnsi" w:cstheme="majorHAnsi"/>
          <w:color w:val="595959" w:themeColor="text1" w:themeTint="A6"/>
          <w:lang w:val="en-US"/>
        </w:rPr>
        <w:t>DFAT’s</w:t>
      </w:r>
      <w:r w:rsidRPr="00A11F64">
        <w:rPr>
          <w:rFonts w:asciiTheme="majorHAnsi" w:hAnsiTheme="majorHAnsi" w:cstheme="majorHAnsi"/>
          <w:color w:val="595959" w:themeColor="text1" w:themeTint="A6"/>
          <w:lang w:val="en-US"/>
        </w:rPr>
        <w:t xml:space="preserve"> </w:t>
      </w:r>
      <w:r w:rsidR="002A3C75">
        <w:rPr>
          <w:rFonts w:asciiTheme="majorHAnsi" w:hAnsiTheme="majorHAnsi" w:cstheme="majorHAnsi"/>
          <w:color w:val="595959" w:themeColor="text1" w:themeTint="A6"/>
          <w:lang w:val="en-US"/>
        </w:rPr>
        <w:t>Indo Pacific</w:t>
      </w:r>
      <w:r w:rsidRPr="00A11F64">
        <w:rPr>
          <w:rFonts w:asciiTheme="majorHAnsi" w:hAnsiTheme="majorHAnsi" w:cstheme="majorHAnsi"/>
          <w:color w:val="595959" w:themeColor="text1" w:themeTint="A6"/>
          <w:lang w:val="en-US"/>
        </w:rPr>
        <w:t xml:space="preserve"> Health Security Initiative Design Concept</w:t>
      </w:r>
      <w:r w:rsidR="00550469" w:rsidRPr="00A11F64">
        <w:rPr>
          <w:rStyle w:val="FootnoteReference"/>
          <w:rFonts w:asciiTheme="majorHAnsi" w:hAnsiTheme="majorHAnsi" w:cstheme="majorHAnsi"/>
          <w:color w:val="595959" w:themeColor="text1" w:themeTint="A6"/>
          <w:lang w:val="en-US"/>
        </w:rPr>
        <w:footnoteReference w:id="5"/>
      </w:r>
      <w:r w:rsidR="005571A6">
        <w:rPr>
          <w:rFonts w:asciiTheme="majorHAnsi" w:hAnsiTheme="majorHAnsi" w:cstheme="majorHAnsi"/>
          <w:color w:val="595959" w:themeColor="text1" w:themeTint="A6"/>
          <w:lang w:val="en-US"/>
        </w:rPr>
        <w:t>,</w:t>
      </w:r>
      <w:r w:rsidRPr="00A11F64">
        <w:rPr>
          <w:rFonts w:asciiTheme="majorHAnsi" w:hAnsiTheme="majorHAnsi" w:cstheme="majorHAnsi"/>
          <w:color w:val="595959" w:themeColor="text1" w:themeTint="A6"/>
          <w:lang w:val="en-US"/>
        </w:rPr>
        <w:t xml:space="preserve"> there are challenges to regional collaboration on health security</w:t>
      </w:r>
      <w:r w:rsidR="00C84CB8">
        <w:rPr>
          <w:rFonts w:asciiTheme="majorHAnsi" w:hAnsiTheme="majorHAnsi" w:cstheme="majorHAnsi"/>
          <w:color w:val="595959" w:themeColor="text1" w:themeTint="A6"/>
          <w:lang w:val="en-US"/>
        </w:rPr>
        <w:t>.</w:t>
      </w:r>
      <w:r w:rsidR="00C83B0C" w:rsidRPr="00A11F64">
        <w:rPr>
          <w:rFonts w:asciiTheme="majorHAnsi" w:hAnsiTheme="majorHAnsi" w:cstheme="majorHAnsi"/>
          <w:color w:val="595959" w:themeColor="text1" w:themeTint="A6"/>
          <w:lang w:val="en-US"/>
        </w:rPr>
        <w:t xml:space="preserve"> </w:t>
      </w:r>
      <w:r w:rsidRPr="00A11F64">
        <w:rPr>
          <w:rFonts w:asciiTheme="majorHAnsi" w:hAnsiTheme="majorHAnsi" w:cstheme="majorHAnsi"/>
          <w:color w:val="595959" w:themeColor="text1" w:themeTint="A6"/>
          <w:lang w:val="en-US"/>
        </w:rPr>
        <w:t>Th</w:t>
      </w:r>
      <w:r w:rsidR="00120A8C" w:rsidRPr="00A11F64">
        <w:rPr>
          <w:rFonts w:asciiTheme="majorHAnsi" w:hAnsiTheme="majorHAnsi" w:cstheme="majorHAnsi"/>
          <w:color w:val="595959" w:themeColor="text1" w:themeTint="A6"/>
          <w:lang w:val="en-US"/>
        </w:rPr>
        <w:t>is proposed program</w:t>
      </w:r>
      <w:r w:rsidRPr="00A11F64">
        <w:rPr>
          <w:rFonts w:asciiTheme="majorHAnsi" w:hAnsiTheme="majorHAnsi" w:cstheme="majorHAnsi"/>
          <w:color w:val="595959" w:themeColor="text1" w:themeTint="A6"/>
          <w:lang w:val="en-US"/>
        </w:rPr>
        <w:t xml:space="preserve"> will help </w:t>
      </w:r>
      <w:r w:rsidR="00120A8C" w:rsidRPr="00A11F64">
        <w:rPr>
          <w:rFonts w:asciiTheme="majorHAnsi" w:hAnsiTheme="majorHAnsi" w:cstheme="majorHAnsi"/>
          <w:color w:val="595959" w:themeColor="text1" w:themeTint="A6"/>
          <w:lang w:val="en-US"/>
        </w:rPr>
        <w:t xml:space="preserve">to </w:t>
      </w:r>
      <w:r w:rsidRPr="00A11F64">
        <w:rPr>
          <w:rFonts w:asciiTheme="majorHAnsi" w:hAnsiTheme="majorHAnsi" w:cstheme="majorHAnsi"/>
          <w:color w:val="595959" w:themeColor="text1" w:themeTint="A6"/>
          <w:lang w:val="en-US"/>
        </w:rPr>
        <w:t xml:space="preserve">address some of </w:t>
      </w:r>
      <w:r w:rsidR="00120A8C" w:rsidRPr="00A11F64">
        <w:rPr>
          <w:rFonts w:asciiTheme="majorHAnsi" w:hAnsiTheme="majorHAnsi" w:cstheme="majorHAnsi"/>
          <w:color w:val="595959" w:themeColor="text1" w:themeTint="A6"/>
          <w:lang w:val="en-US"/>
        </w:rPr>
        <w:t xml:space="preserve">these </w:t>
      </w:r>
      <w:r w:rsidRPr="00A11F64">
        <w:rPr>
          <w:rFonts w:asciiTheme="majorHAnsi" w:hAnsiTheme="majorHAnsi" w:cstheme="majorHAnsi"/>
          <w:color w:val="595959" w:themeColor="text1" w:themeTint="A6"/>
          <w:lang w:val="en-US"/>
        </w:rPr>
        <w:t xml:space="preserve">challenges </w:t>
      </w:r>
      <w:r w:rsidR="00120A8C" w:rsidRPr="00A11F64">
        <w:rPr>
          <w:rFonts w:asciiTheme="majorHAnsi" w:hAnsiTheme="majorHAnsi" w:cstheme="majorHAnsi"/>
          <w:color w:val="595959" w:themeColor="text1" w:themeTint="A6"/>
          <w:lang w:val="en-US"/>
        </w:rPr>
        <w:t>in</w:t>
      </w:r>
      <w:r w:rsidRPr="00A11F64">
        <w:rPr>
          <w:rFonts w:asciiTheme="majorHAnsi" w:hAnsiTheme="majorHAnsi" w:cstheme="majorHAnsi"/>
          <w:color w:val="595959" w:themeColor="text1" w:themeTint="A6"/>
          <w:lang w:val="en-US"/>
        </w:rPr>
        <w:t xml:space="preserve"> Indonesia</w:t>
      </w:r>
      <w:r w:rsidR="00BC556E" w:rsidRPr="00A11F64">
        <w:rPr>
          <w:rFonts w:asciiTheme="majorHAnsi" w:hAnsiTheme="majorHAnsi" w:cstheme="majorHAnsi"/>
          <w:color w:val="595959" w:themeColor="text1" w:themeTint="A6"/>
          <w:lang w:val="en-US"/>
        </w:rPr>
        <w:t xml:space="preserve"> </w:t>
      </w:r>
      <w:r w:rsidR="00120A8C" w:rsidRPr="00A11F64">
        <w:rPr>
          <w:rFonts w:asciiTheme="majorHAnsi" w:hAnsiTheme="majorHAnsi" w:cstheme="majorHAnsi"/>
          <w:color w:val="595959" w:themeColor="text1" w:themeTint="A6"/>
          <w:lang w:val="en-US"/>
        </w:rPr>
        <w:t>particularly by</w:t>
      </w:r>
      <w:r w:rsidRPr="00A11F64">
        <w:rPr>
          <w:rFonts w:asciiTheme="majorHAnsi" w:hAnsiTheme="majorHAnsi" w:cstheme="majorHAnsi"/>
          <w:color w:val="595959" w:themeColor="text1" w:themeTint="A6"/>
          <w:lang w:val="en-US"/>
        </w:rPr>
        <w:t xml:space="preserve"> </w:t>
      </w:r>
      <w:r w:rsidR="00120A8C" w:rsidRPr="00A11F64">
        <w:rPr>
          <w:rFonts w:asciiTheme="majorHAnsi" w:hAnsiTheme="majorHAnsi" w:cstheme="majorHAnsi"/>
          <w:color w:val="595959" w:themeColor="text1" w:themeTint="A6"/>
          <w:lang w:val="en-US"/>
        </w:rPr>
        <w:t>ensuring senior levels of Government buy-in to</w:t>
      </w:r>
      <w:r w:rsidR="0012387C" w:rsidRPr="00A11F64">
        <w:rPr>
          <w:rFonts w:asciiTheme="majorHAnsi" w:hAnsiTheme="majorHAnsi" w:cstheme="majorHAnsi"/>
          <w:color w:val="595959" w:themeColor="text1" w:themeTint="A6"/>
          <w:lang w:val="en-US"/>
        </w:rPr>
        <w:t>,</w:t>
      </w:r>
      <w:r w:rsidR="00120A8C" w:rsidRPr="00A11F64">
        <w:rPr>
          <w:rFonts w:asciiTheme="majorHAnsi" w:hAnsiTheme="majorHAnsi" w:cstheme="majorHAnsi"/>
          <w:color w:val="595959" w:themeColor="text1" w:themeTint="A6"/>
          <w:lang w:val="en-US"/>
        </w:rPr>
        <w:t xml:space="preserve"> and </w:t>
      </w:r>
      <w:r w:rsidRPr="00A11F64">
        <w:rPr>
          <w:rFonts w:asciiTheme="majorHAnsi" w:hAnsiTheme="majorHAnsi" w:cstheme="majorHAnsi"/>
          <w:color w:val="595959" w:themeColor="text1" w:themeTint="A6"/>
          <w:lang w:val="en-US"/>
        </w:rPr>
        <w:t xml:space="preserve">oversight </w:t>
      </w:r>
      <w:r w:rsidR="00120A8C" w:rsidRPr="00A11F64">
        <w:rPr>
          <w:rFonts w:asciiTheme="majorHAnsi" w:hAnsiTheme="majorHAnsi" w:cstheme="majorHAnsi"/>
          <w:color w:val="595959" w:themeColor="text1" w:themeTint="A6"/>
          <w:lang w:val="en-US"/>
        </w:rPr>
        <w:t>of</w:t>
      </w:r>
      <w:r w:rsidR="0012387C" w:rsidRPr="00A11F64">
        <w:rPr>
          <w:rFonts w:asciiTheme="majorHAnsi" w:hAnsiTheme="majorHAnsi" w:cstheme="majorHAnsi"/>
          <w:color w:val="595959" w:themeColor="text1" w:themeTint="A6"/>
          <w:lang w:val="en-US"/>
        </w:rPr>
        <w:t>,</w:t>
      </w:r>
      <w:r w:rsidRPr="00A11F64">
        <w:rPr>
          <w:rFonts w:asciiTheme="majorHAnsi" w:hAnsiTheme="majorHAnsi" w:cstheme="majorHAnsi"/>
          <w:color w:val="595959" w:themeColor="text1" w:themeTint="A6"/>
          <w:lang w:val="en-US"/>
        </w:rPr>
        <w:t xml:space="preserve"> </w:t>
      </w:r>
      <w:r w:rsidR="00120A8C" w:rsidRPr="00A11F64">
        <w:rPr>
          <w:rFonts w:asciiTheme="majorHAnsi" w:hAnsiTheme="majorHAnsi" w:cstheme="majorHAnsi"/>
          <w:color w:val="595959" w:themeColor="text1" w:themeTint="A6"/>
          <w:lang w:val="en-US"/>
        </w:rPr>
        <w:t xml:space="preserve">regionally funded </w:t>
      </w:r>
      <w:r w:rsidRPr="00A11F64">
        <w:rPr>
          <w:rFonts w:asciiTheme="majorHAnsi" w:hAnsiTheme="majorHAnsi" w:cstheme="majorHAnsi"/>
          <w:color w:val="595959" w:themeColor="text1" w:themeTint="A6"/>
          <w:lang w:val="en-US"/>
        </w:rPr>
        <w:t>initiatives and activities</w:t>
      </w:r>
      <w:r w:rsidR="00C83B0C" w:rsidRPr="00A11F64">
        <w:rPr>
          <w:rFonts w:asciiTheme="majorHAnsi" w:hAnsiTheme="majorHAnsi" w:cstheme="majorHAnsi"/>
          <w:color w:val="595959" w:themeColor="text1" w:themeTint="A6"/>
          <w:lang w:val="en-US"/>
        </w:rPr>
        <w:t xml:space="preserve">. </w:t>
      </w:r>
      <w:r w:rsidRPr="00A11F64">
        <w:rPr>
          <w:rFonts w:asciiTheme="majorHAnsi" w:hAnsiTheme="majorHAnsi" w:cstheme="majorHAnsi"/>
          <w:color w:val="595959" w:themeColor="text1" w:themeTint="A6"/>
          <w:lang w:val="en-US"/>
        </w:rPr>
        <w:t>An effective bilateral program is integral to the success of any regional initiative that seeks to establish partnerships and build health system capacity to respond to health security threats</w:t>
      </w:r>
      <w:r w:rsidR="00C84CB8">
        <w:rPr>
          <w:rFonts w:asciiTheme="majorHAnsi" w:hAnsiTheme="majorHAnsi" w:cstheme="majorHAnsi"/>
          <w:color w:val="595959" w:themeColor="text1" w:themeTint="A6"/>
          <w:lang w:val="en-US"/>
        </w:rPr>
        <w:t>.</w:t>
      </w:r>
    </w:p>
    <w:p w:rsidR="009D029C" w:rsidRPr="00A11F64" w:rsidRDefault="009D029C">
      <w:pPr>
        <w:suppressAutoHyphens w:val="0"/>
        <w:spacing w:before="0" w:after="120" w:line="240" w:lineRule="auto"/>
        <w:rPr>
          <w:rFonts w:asciiTheme="majorHAnsi" w:hAnsiTheme="majorHAnsi" w:cstheme="majorHAnsi"/>
          <w:color w:val="595959" w:themeColor="text1" w:themeTint="A6"/>
          <w:lang w:val="en-US"/>
        </w:rPr>
      </w:pPr>
      <w:r w:rsidRPr="00A11F64">
        <w:rPr>
          <w:rFonts w:asciiTheme="majorHAnsi" w:hAnsiTheme="majorHAnsi" w:cstheme="majorHAnsi"/>
          <w:color w:val="595959" w:themeColor="text1" w:themeTint="A6"/>
          <w:lang w:val="en-US"/>
        </w:rPr>
        <w:t>The new program will also help</w:t>
      </w:r>
      <w:r w:rsidR="00120A8C" w:rsidRPr="00A11F64">
        <w:rPr>
          <w:rFonts w:asciiTheme="majorHAnsi" w:hAnsiTheme="majorHAnsi" w:cstheme="majorHAnsi"/>
          <w:color w:val="595959" w:themeColor="text1" w:themeTint="A6"/>
          <w:lang w:val="en-US"/>
        </w:rPr>
        <w:t xml:space="preserve"> to meet</w:t>
      </w:r>
      <w:r w:rsidRPr="00A11F64">
        <w:rPr>
          <w:rFonts w:asciiTheme="majorHAnsi" w:hAnsiTheme="majorHAnsi" w:cstheme="majorHAnsi"/>
          <w:color w:val="595959" w:themeColor="text1" w:themeTint="A6"/>
          <w:lang w:val="en-US"/>
        </w:rPr>
        <w:t xml:space="preserve"> the Australian Government’s broader interests in protecting Australian livestock from infectious diseases that might enter Australia through Indonesia, </w:t>
      </w:r>
      <w:r w:rsidR="00120A8C" w:rsidRPr="00A11F64">
        <w:rPr>
          <w:rFonts w:asciiTheme="majorHAnsi" w:hAnsiTheme="majorHAnsi" w:cstheme="majorHAnsi"/>
          <w:color w:val="595959" w:themeColor="text1" w:themeTint="A6"/>
          <w:lang w:val="en-US"/>
        </w:rPr>
        <w:t>and will</w:t>
      </w:r>
      <w:r w:rsidRPr="00A11F64">
        <w:rPr>
          <w:rFonts w:asciiTheme="majorHAnsi" w:hAnsiTheme="majorHAnsi" w:cstheme="majorHAnsi"/>
          <w:color w:val="595959" w:themeColor="text1" w:themeTint="A6"/>
          <w:lang w:val="en-US"/>
        </w:rPr>
        <w:t xml:space="preserve"> keep communication channels open for trade dialogue.</w:t>
      </w:r>
    </w:p>
    <w:p w:rsidR="005E4BB0" w:rsidRPr="0043356C" w:rsidRDefault="009D029C" w:rsidP="00BF6C52">
      <w:pPr>
        <w:pStyle w:val="Heading2"/>
        <w:spacing w:after="120" w:line="240" w:lineRule="auto"/>
        <w:contextualSpacing w:val="0"/>
        <w:rPr>
          <w:rFonts w:cstheme="majorHAnsi"/>
          <w:sz w:val="22"/>
          <w:szCs w:val="22"/>
          <w:lang w:val="en-US"/>
        </w:rPr>
      </w:pPr>
      <w:bookmarkStart w:id="6" w:name="_Toc3296992"/>
      <w:r w:rsidRPr="0043356C">
        <w:rPr>
          <w:rFonts w:cstheme="majorHAnsi"/>
          <w:sz w:val="22"/>
          <w:szCs w:val="22"/>
          <w:lang w:val="en-US"/>
        </w:rPr>
        <w:t xml:space="preserve">Indonesia’s commitment to </w:t>
      </w:r>
      <w:r w:rsidR="009D3DAD" w:rsidRPr="0043356C">
        <w:rPr>
          <w:rFonts w:cstheme="majorHAnsi"/>
          <w:sz w:val="22"/>
          <w:szCs w:val="22"/>
          <w:lang w:val="en-US"/>
        </w:rPr>
        <w:t>h</w:t>
      </w:r>
      <w:r w:rsidRPr="0043356C">
        <w:rPr>
          <w:rFonts w:cstheme="majorHAnsi"/>
          <w:sz w:val="22"/>
          <w:szCs w:val="22"/>
          <w:lang w:val="en-US"/>
        </w:rPr>
        <w:t xml:space="preserve">ealth </w:t>
      </w:r>
      <w:r w:rsidR="009D3DAD" w:rsidRPr="0043356C">
        <w:rPr>
          <w:rFonts w:cstheme="majorHAnsi"/>
          <w:sz w:val="22"/>
          <w:szCs w:val="22"/>
          <w:lang w:val="en-US"/>
        </w:rPr>
        <w:t>s</w:t>
      </w:r>
      <w:r w:rsidRPr="0043356C">
        <w:rPr>
          <w:rFonts w:cstheme="majorHAnsi"/>
          <w:sz w:val="22"/>
          <w:szCs w:val="22"/>
          <w:lang w:val="en-US"/>
        </w:rPr>
        <w:t>ecurity</w:t>
      </w:r>
      <w:bookmarkEnd w:id="6"/>
    </w:p>
    <w:p w:rsidR="004F774C" w:rsidRPr="00A11F64" w:rsidRDefault="009D029C">
      <w:pPr>
        <w:suppressAutoHyphens w:val="0"/>
        <w:spacing w:before="0" w:after="120" w:line="240" w:lineRule="auto"/>
        <w:rPr>
          <w:rFonts w:asciiTheme="majorHAnsi" w:hAnsiTheme="majorHAnsi" w:cstheme="majorHAnsi"/>
          <w:color w:val="595959" w:themeColor="text1" w:themeTint="A6"/>
          <w:lang w:val="en-US"/>
        </w:rPr>
      </w:pPr>
      <w:r w:rsidRPr="00A11F64">
        <w:rPr>
          <w:rFonts w:asciiTheme="majorHAnsi" w:hAnsiTheme="majorHAnsi" w:cstheme="majorHAnsi"/>
          <w:color w:val="595959" w:themeColor="text1" w:themeTint="A6"/>
          <w:lang w:val="en-US"/>
        </w:rPr>
        <w:t xml:space="preserve">The 2003 avian influenza outbreak experience, along with </w:t>
      </w:r>
      <w:r w:rsidR="004F774C" w:rsidRPr="00A11F64">
        <w:rPr>
          <w:rFonts w:asciiTheme="majorHAnsi" w:hAnsiTheme="majorHAnsi" w:cstheme="majorHAnsi"/>
          <w:color w:val="595959" w:themeColor="text1" w:themeTint="A6"/>
          <w:lang w:val="en-US"/>
        </w:rPr>
        <w:t xml:space="preserve">more recent </w:t>
      </w:r>
      <w:r w:rsidRPr="00A11F64">
        <w:rPr>
          <w:rFonts w:asciiTheme="majorHAnsi" w:hAnsiTheme="majorHAnsi" w:cstheme="majorHAnsi"/>
          <w:color w:val="595959" w:themeColor="text1" w:themeTint="A6"/>
          <w:lang w:val="en-US"/>
        </w:rPr>
        <w:t>infectious disease alerts such as</w:t>
      </w:r>
      <w:r w:rsidR="004F774C" w:rsidRPr="00A11F64">
        <w:rPr>
          <w:rFonts w:asciiTheme="majorHAnsi" w:hAnsiTheme="majorHAnsi" w:cstheme="majorHAnsi"/>
          <w:color w:val="595959" w:themeColor="text1" w:themeTint="A6"/>
          <w:lang w:val="en-US"/>
        </w:rPr>
        <w:t xml:space="preserve"> the</w:t>
      </w:r>
      <w:r w:rsidRPr="00A11F64">
        <w:rPr>
          <w:rFonts w:asciiTheme="majorHAnsi" w:hAnsiTheme="majorHAnsi" w:cstheme="majorHAnsi"/>
          <w:color w:val="595959" w:themeColor="text1" w:themeTint="A6"/>
          <w:lang w:val="en-US"/>
        </w:rPr>
        <w:t xml:space="preserve"> Zika</w:t>
      </w:r>
      <w:r w:rsidR="004F774C" w:rsidRPr="00A11F64">
        <w:rPr>
          <w:rFonts w:asciiTheme="majorHAnsi" w:hAnsiTheme="majorHAnsi" w:cstheme="majorHAnsi"/>
          <w:color w:val="595959" w:themeColor="text1" w:themeTint="A6"/>
          <w:lang w:val="en-US"/>
        </w:rPr>
        <w:t xml:space="preserve"> virus outbreak</w:t>
      </w:r>
      <w:r w:rsidRPr="00A11F64">
        <w:rPr>
          <w:rFonts w:asciiTheme="majorHAnsi" w:hAnsiTheme="majorHAnsi" w:cstheme="majorHAnsi"/>
          <w:color w:val="595959" w:themeColor="text1" w:themeTint="A6"/>
          <w:lang w:val="en-US"/>
        </w:rPr>
        <w:t xml:space="preserve">, has </w:t>
      </w:r>
      <w:r w:rsidR="004F774C" w:rsidRPr="00A11F64">
        <w:rPr>
          <w:rFonts w:asciiTheme="majorHAnsi" w:hAnsiTheme="majorHAnsi" w:cstheme="majorHAnsi"/>
          <w:color w:val="595959" w:themeColor="text1" w:themeTint="A6"/>
          <w:lang w:val="en-US"/>
        </w:rPr>
        <w:t>kept</w:t>
      </w:r>
      <w:r w:rsidRPr="00A11F64">
        <w:rPr>
          <w:rFonts w:asciiTheme="majorHAnsi" w:hAnsiTheme="majorHAnsi" w:cstheme="majorHAnsi"/>
          <w:color w:val="595959" w:themeColor="text1" w:themeTint="A6"/>
          <w:lang w:val="en-US"/>
        </w:rPr>
        <w:t xml:space="preserve"> health security on Indonesia’s political agenda</w:t>
      </w:r>
      <w:r w:rsidR="00C84CB8">
        <w:rPr>
          <w:rFonts w:asciiTheme="majorHAnsi" w:hAnsiTheme="majorHAnsi" w:cstheme="majorHAnsi"/>
          <w:color w:val="595959" w:themeColor="text1" w:themeTint="A6"/>
          <w:lang w:val="en-US"/>
        </w:rPr>
        <w:t>.</w:t>
      </w:r>
      <w:r w:rsidR="00C83B0C" w:rsidRPr="00A11F64">
        <w:rPr>
          <w:rFonts w:asciiTheme="majorHAnsi" w:hAnsiTheme="majorHAnsi" w:cstheme="majorHAnsi"/>
          <w:color w:val="595959" w:themeColor="text1" w:themeTint="A6"/>
          <w:lang w:val="en-US"/>
        </w:rPr>
        <w:t xml:space="preserve"> </w:t>
      </w:r>
      <w:r w:rsidRPr="00A11F64">
        <w:rPr>
          <w:rFonts w:asciiTheme="majorHAnsi" w:hAnsiTheme="majorHAnsi" w:cstheme="majorHAnsi"/>
          <w:color w:val="595959" w:themeColor="text1" w:themeTint="A6"/>
          <w:lang w:val="en-US"/>
        </w:rPr>
        <w:t xml:space="preserve">In recent years, Indonesia has demonstrated its preparedness to take an active </w:t>
      </w:r>
      <w:r w:rsidR="004F774C" w:rsidRPr="00A11F64">
        <w:rPr>
          <w:rFonts w:asciiTheme="majorHAnsi" w:hAnsiTheme="majorHAnsi" w:cstheme="majorHAnsi"/>
          <w:color w:val="595959" w:themeColor="text1" w:themeTint="A6"/>
          <w:lang w:val="en-US"/>
        </w:rPr>
        <w:t xml:space="preserve">global </w:t>
      </w:r>
      <w:r w:rsidRPr="00A11F64">
        <w:rPr>
          <w:rFonts w:asciiTheme="majorHAnsi" w:hAnsiTheme="majorHAnsi" w:cstheme="majorHAnsi"/>
          <w:color w:val="595959" w:themeColor="text1" w:themeTint="A6"/>
          <w:lang w:val="en-US"/>
        </w:rPr>
        <w:t>role on the issue</w:t>
      </w:r>
      <w:r w:rsidR="00C84CB8">
        <w:rPr>
          <w:rFonts w:asciiTheme="majorHAnsi" w:hAnsiTheme="majorHAnsi" w:cstheme="majorHAnsi"/>
          <w:color w:val="595959" w:themeColor="text1" w:themeTint="A6"/>
          <w:lang w:val="en-US"/>
        </w:rPr>
        <w:t>.</w:t>
      </w:r>
    </w:p>
    <w:p w:rsidR="009D029C" w:rsidRPr="00A11F64" w:rsidRDefault="004F774C">
      <w:pPr>
        <w:suppressAutoHyphens w:val="0"/>
        <w:spacing w:before="0" w:after="120" w:line="240" w:lineRule="auto"/>
        <w:rPr>
          <w:rFonts w:asciiTheme="majorHAnsi" w:hAnsiTheme="majorHAnsi" w:cstheme="majorHAnsi"/>
          <w:color w:val="595959" w:themeColor="text1" w:themeTint="A6"/>
        </w:rPr>
      </w:pPr>
      <w:r w:rsidRPr="00A11F64">
        <w:rPr>
          <w:rFonts w:asciiTheme="majorHAnsi" w:hAnsiTheme="majorHAnsi" w:cstheme="majorHAnsi"/>
          <w:color w:val="595959" w:themeColor="text1" w:themeTint="A6"/>
        </w:rPr>
        <w:t>I</w:t>
      </w:r>
      <w:r w:rsidR="0000321E" w:rsidRPr="00A11F64">
        <w:rPr>
          <w:rFonts w:asciiTheme="majorHAnsi" w:hAnsiTheme="majorHAnsi" w:cstheme="majorHAnsi"/>
          <w:color w:val="595959" w:themeColor="text1" w:themeTint="A6"/>
        </w:rPr>
        <w:t>ndonesia</w:t>
      </w:r>
      <w:r w:rsidRPr="00A11F64">
        <w:rPr>
          <w:rFonts w:asciiTheme="majorHAnsi" w:hAnsiTheme="majorHAnsi" w:cstheme="majorHAnsi"/>
          <w:color w:val="595959" w:themeColor="text1" w:themeTint="A6"/>
        </w:rPr>
        <w:t xml:space="preserve"> </w:t>
      </w:r>
      <w:r w:rsidR="009D029C" w:rsidRPr="00A11F64">
        <w:rPr>
          <w:rFonts w:asciiTheme="majorHAnsi" w:hAnsiTheme="majorHAnsi" w:cstheme="majorHAnsi"/>
          <w:color w:val="595959" w:themeColor="text1" w:themeTint="A6"/>
        </w:rPr>
        <w:t xml:space="preserve">is closely engaged </w:t>
      </w:r>
      <w:r w:rsidRPr="00A11F64">
        <w:rPr>
          <w:rFonts w:asciiTheme="majorHAnsi" w:hAnsiTheme="majorHAnsi" w:cstheme="majorHAnsi"/>
          <w:color w:val="595959" w:themeColor="text1" w:themeTint="A6"/>
        </w:rPr>
        <w:t xml:space="preserve">in </w:t>
      </w:r>
      <w:r w:rsidR="009D029C" w:rsidRPr="00A11F64">
        <w:rPr>
          <w:rFonts w:asciiTheme="majorHAnsi" w:hAnsiTheme="majorHAnsi" w:cstheme="majorHAnsi"/>
          <w:color w:val="595959" w:themeColor="text1" w:themeTint="A6"/>
        </w:rPr>
        <w:t>the Global Health Security Agenda (GHSA)</w:t>
      </w:r>
      <w:r w:rsidR="009D3DAD" w:rsidRPr="00A11F64">
        <w:rPr>
          <w:rFonts w:asciiTheme="majorHAnsi" w:hAnsiTheme="majorHAnsi" w:cstheme="majorHAnsi"/>
          <w:color w:val="595959" w:themeColor="text1" w:themeTint="A6"/>
        </w:rPr>
        <w:t>,</w:t>
      </w:r>
      <w:r w:rsidR="009D029C" w:rsidRPr="00A11F64">
        <w:rPr>
          <w:rFonts w:asciiTheme="majorHAnsi" w:hAnsiTheme="majorHAnsi" w:cstheme="majorHAnsi"/>
          <w:color w:val="595959" w:themeColor="text1" w:themeTint="A6"/>
        </w:rPr>
        <w:t xml:space="preserve"> having served as Steering Committee Chair in 2016, and </w:t>
      </w:r>
      <w:r w:rsidR="009D029C" w:rsidRPr="00A11F64">
        <w:rPr>
          <w:rFonts w:asciiTheme="majorHAnsi" w:hAnsiTheme="majorHAnsi" w:cstheme="majorHAnsi"/>
          <w:color w:val="595959" w:themeColor="text1" w:themeTint="A6"/>
          <w:lang w:val="en-US"/>
        </w:rPr>
        <w:t>is leading on the GHSA Action Package 2</w:t>
      </w:r>
      <w:r w:rsidR="00C5794B">
        <w:rPr>
          <w:rFonts w:asciiTheme="majorHAnsi" w:hAnsiTheme="majorHAnsi" w:cstheme="majorHAnsi"/>
          <w:color w:val="595959" w:themeColor="text1" w:themeTint="A6"/>
          <w:lang w:val="en-US"/>
        </w:rPr>
        <w:t xml:space="preserve"> on</w:t>
      </w:r>
      <w:r w:rsidR="009D029C" w:rsidRPr="00A11F64">
        <w:rPr>
          <w:rFonts w:asciiTheme="majorHAnsi" w:hAnsiTheme="majorHAnsi" w:cstheme="majorHAnsi"/>
          <w:color w:val="595959" w:themeColor="text1" w:themeTint="A6"/>
          <w:lang w:val="en-US"/>
        </w:rPr>
        <w:t xml:space="preserve"> Zoonotic Disease</w:t>
      </w:r>
      <w:r w:rsidR="00C5794B">
        <w:rPr>
          <w:rFonts w:asciiTheme="majorHAnsi" w:hAnsiTheme="majorHAnsi" w:cstheme="majorHAnsi"/>
          <w:color w:val="595959" w:themeColor="text1" w:themeTint="A6"/>
          <w:lang w:val="en-US"/>
        </w:rPr>
        <w:t>s</w:t>
      </w:r>
      <w:r w:rsidR="00C84CB8">
        <w:rPr>
          <w:rFonts w:asciiTheme="majorHAnsi" w:hAnsiTheme="majorHAnsi" w:cstheme="majorHAnsi"/>
          <w:color w:val="595959" w:themeColor="text1" w:themeTint="A6"/>
          <w:lang w:val="en-US"/>
        </w:rPr>
        <w:t xml:space="preserve">. </w:t>
      </w:r>
      <w:r w:rsidR="009D029C" w:rsidRPr="00A11F64">
        <w:rPr>
          <w:rFonts w:asciiTheme="majorHAnsi" w:hAnsiTheme="majorHAnsi" w:cstheme="majorHAnsi"/>
          <w:color w:val="595959" w:themeColor="text1" w:themeTint="A6"/>
          <w:lang w:val="en-US"/>
        </w:rPr>
        <w:t>Domestically, it has also established working groups to address each GHSA action package</w:t>
      </w:r>
      <w:r w:rsidR="00C84CB8">
        <w:rPr>
          <w:rFonts w:asciiTheme="majorHAnsi" w:hAnsiTheme="majorHAnsi" w:cstheme="majorHAnsi"/>
          <w:color w:val="595959" w:themeColor="text1" w:themeTint="A6"/>
          <w:lang w:val="en-US"/>
        </w:rPr>
        <w:t>.</w:t>
      </w:r>
      <w:r w:rsidR="00C83B0C" w:rsidRPr="00A11F64">
        <w:rPr>
          <w:rFonts w:asciiTheme="majorHAnsi" w:hAnsiTheme="majorHAnsi" w:cstheme="majorHAnsi"/>
          <w:color w:val="595959" w:themeColor="text1" w:themeTint="A6"/>
          <w:lang w:val="en-US"/>
        </w:rPr>
        <w:t xml:space="preserve"> </w:t>
      </w:r>
      <w:r w:rsidR="009D029C" w:rsidRPr="00A11F64">
        <w:rPr>
          <w:rFonts w:asciiTheme="majorHAnsi" w:hAnsiTheme="majorHAnsi" w:cstheme="majorHAnsi"/>
          <w:color w:val="595959" w:themeColor="text1" w:themeTint="A6"/>
          <w:lang w:val="en-US"/>
        </w:rPr>
        <w:t xml:space="preserve">Indonesia </w:t>
      </w:r>
      <w:r w:rsidR="009D3DAD" w:rsidRPr="00A11F64">
        <w:rPr>
          <w:rFonts w:asciiTheme="majorHAnsi" w:hAnsiTheme="majorHAnsi" w:cstheme="majorHAnsi"/>
          <w:color w:val="595959" w:themeColor="text1" w:themeTint="A6"/>
          <w:lang w:val="en-US"/>
        </w:rPr>
        <w:t>hosted</w:t>
      </w:r>
      <w:r w:rsidR="009D029C" w:rsidRPr="00A11F64">
        <w:rPr>
          <w:rFonts w:asciiTheme="majorHAnsi" w:hAnsiTheme="majorHAnsi" w:cstheme="majorHAnsi"/>
          <w:color w:val="595959" w:themeColor="text1" w:themeTint="A6"/>
          <w:lang w:val="en-US"/>
        </w:rPr>
        <w:t xml:space="preserve"> the </w:t>
      </w:r>
      <w:r w:rsidR="009D3DAD" w:rsidRPr="00A11F64">
        <w:rPr>
          <w:rFonts w:asciiTheme="majorHAnsi" w:hAnsiTheme="majorHAnsi" w:cstheme="majorHAnsi"/>
          <w:color w:val="595959" w:themeColor="text1" w:themeTint="A6"/>
          <w:lang w:val="en-US"/>
        </w:rPr>
        <w:t>most recent</w:t>
      </w:r>
      <w:r w:rsidR="009D029C" w:rsidRPr="00A11F64">
        <w:rPr>
          <w:rFonts w:asciiTheme="majorHAnsi" w:hAnsiTheme="majorHAnsi" w:cstheme="majorHAnsi"/>
          <w:color w:val="595959" w:themeColor="text1" w:themeTint="A6"/>
          <w:lang w:val="en-US"/>
        </w:rPr>
        <w:t xml:space="preserve"> GHSA Ministerial Meeting in November 2018 in Bali</w:t>
      </w:r>
      <w:r w:rsidR="00C84CB8">
        <w:rPr>
          <w:rFonts w:asciiTheme="majorHAnsi" w:hAnsiTheme="majorHAnsi" w:cstheme="majorHAnsi"/>
          <w:color w:val="595959" w:themeColor="text1" w:themeTint="A6"/>
          <w:lang w:val="en-US"/>
        </w:rPr>
        <w:t>.</w:t>
      </w:r>
      <w:r w:rsidR="00C83B0C" w:rsidRPr="00A11F64">
        <w:rPr>
          <w:rFonts w:asciiTheme="majorHAnsi" w:hAnsiTheme="majorHAnsi" w:cstheme="majorHAnsi"/>
          <w:color w:val="595959" w:themeColor="text1" w:themeTint="A6"/>
          <w:lang w:val="en-US"/>
        </w:rPr>
        <w:t xml:space="preserve"> </w:t>
      </w:r>
      <w:r w:rsidRPr="00A11F64">
        <w:rPr>
          <w:rFonts w:asciiTheme="majorHAnsi" w:hAnsiTheme="majorHAnsi" w:cstheme="majorHAnsi"/>
          <w:color w:val="595959" w:themeColor="text1" w:themeTint="A6"/>
        </w:rPr>
        <w:t xml:space="preserve">It </w:t>
      </w:r>
      <w:r w:rsidR="009D029C" w:rsidRPr="00A11F64">
        <w:rPr>
          <w:rFonts w:asciiTheme="majorHAnsi" w:hAnsiTheme="majorHAnsi" w:cstheme="majorHAnsi"/>
          <w:color w:val="595959" w:themeColor="text1" w:themeTint="A6"/>
        </w:rPr>
        <w:t>is also a member of the JEE Alliance for Country Assessment (which Australia currently co-chairs) and leads the JEE Alliance’s subgroup for ‘Harnessing Regional Capacity’</w:t>
      </w:r>
      <w:r w:rsidR="00C84CB8">
        <w:rPr>
          <w:rFonts w:asciiTheme="majorHAnsi" w:hAnsiTheme="majorHAnsi" w:cstheme="majorHAnsi"/>
          <w:color w:val="595959" w:themeColor="text1" w:themeTint="A6"/>
        </w:rPr>
        <w:t xml:space="preserve">. </w:t>
      </w:r>
      <w:r w:rsidR="009D029C" w:rsidRPr="00A11F64">
        <w:rPr>
          <w:rFonts w:asciiTheme="majorHAnsi" w:hAnsiTheme="majorHAnsi" w:cstheme="majorHAnsi"/>
          <w:color w:val="595959" w:themeColor="text1" w:themeTint="A6"/>
        </w:rPr>
        <w:t xml:space="preserve">As Chair of the International Committee of Military Medicine, Indonesia </w:t>
      </w:r>
      <w:r w:rsidRPr="00A11F64">
        <w:rPr>
          <w:rFonts w:asciiTheme="majorHAnsi" w:hAnsiTheme="majorHAnsi" w:cstheme="majorHAnsi"/>
          <w:color w:val="595959" w:themeColor="text1" w:themeTint="A6"/>
        </w:rPr>
        <w:t xml:space="preserve">and WHO </w:t>
      </w:r>
      <w:r w:rsidR="009D029C" w:rsidRPr="00A11F64">
        <w:rPr>
          <w:rFonts w:asciiTheme="majorHAnsi" w:hAnsiTheme="majorHAnsi" w:cstheme="majorHAnsi"/>
          <w:color w:val="595959" w:themeColor="text1" w:themeTint="A6"/>
        </w:rPr>
        <w:t xml:space="preserve">co-hosted a </w:t>
      </w:r>
      <w:r w:rsidR="00A2103D" w:rsidRPr="00A11F64">
        <w:rPr>
          <w:rFonts w:asciiTheme="majorHAnsi" w:hAnsiTheme="majorHAnsi" w:cstheme="majorHAnsi"/>
          <w:color w:val="595959" w:themeColor="text1" w:themeTint="A6"/>
        </w:rPr>
        <w:t>‘</w:t>
      </w:r>
      <w:r w:rsidR="009D029C" w:rsidRPr="00A11F64">
        <w:rPr>
          <w:rFonts w:asciiTheme="majorHAnsi" w:hAnsiTheme="majorHAnsi" w:cstheme="majorHAnsi"/>
          <w:color w:val="595959" w:themeColor="text1" w:themeTint="A6"/>
        </w:rPr>
        <w:t>Managing Future Global Health Risks</w:t>
      </w:r>
      <w:r w:rsidR="00A2103D" w:rsidRPr="00A11F64">
        <w:rPr>
          <w:rFonts w:asciiTheme="majorHAnsi" w:hAnsiTheme="majorHAnsi" w:cstheme="majorHAnsi"/>
          <w:color w:val="595959" w:themeColor="text1" w:themeTint="A6"/>
        </w:rPr>
        <w:t>’</w:t>
      </w:r>
      <w:r w:rsidR="009D029C" w:rsidRPr="00A11F64">
        <w:rPr>
          <w:rFonts w:asciiTheme="majorHAnsi" w:hAnsiTheme="majorHAnsi" w:cstheme="majorHAnsi"/>
          <w:color w:val="595959" w:themeColor="text1" w:themeTint="A6"/>
        </w:rPr>
        <w:t xml:space="preserve"> conference from 24-26 October 2017 in Jakarta</w:t>
      </w:r>
      <w:r w:rsidR="00C84CB8">
        <w:rPr>
          <w:rFonts w:asciiTheme="majorHAnsi" w:hAnsiTheme="majorHAnsi" w:cstheme="majorHAnsi"/>
          <w:color w:val="595959" w:themeColor="text1" w:themeTint="A6"/>
        </w:rPr>
        <w:t xml:space="preserve">. </w:t>
      </w:r>
      <w:r w:rsidR="009D029C" w:rsidRPr="00A11F64">
        <w:rPr>
          <w:rFonts w:asciiTheme="majorHAnsi" w:hAnsiTheme="majorHAnsi" w:cstheme="majorHAnsi"/>
          <w:color w:val="595959" w:themeColor="text1" w:themeTint="A6"/>
        </w:rPr>
        <w:t>This conference was opened by President Widodo at the state palace</w:t>
      </w:r>
      <w:r w:rsidR="00C84CB8">
        <w:rPr>
          <w:rFonts w:asciiTheme="majorHAnsi" w:hAnsiTheme="majorHAnsi" w:cstheme="majorHAnsi"/>
          <w:color w:val="595959" w:themeColor="text1" w:themeTint="A6"/>
        </w:rPr>
        <w:t>.</w:t>
      </w:r>
    </w:p>
    <w:p w:rsidR="009D029C" w:rsidRPr="00A11F64" w:rsidRDefault="00B948E8">
      <w:pPr>
        <w:suppressAutoHyphens w:val="0"/>
        <w:spacing w:before="0" w:after="120" w:line="240" w:lineRule="auto"/>
        <w:rPr>
          <w:rFonts w:asciiTheme="majorHAnsi" w:hAnsiTheme="majorHAnsi" w:cstheme="majorHAnsi"/>
          <w:color w:val="595959" w:themeColor="text1" w:themeTint="A6"/>
        </w:rPr>
      </w:pPr>
      <w:r w:rsidRPr="00A11F64">
        <w:rPr>
          <w:rFonts w:asciiTheme="majorHAnsi" w:hAnsiTheme="majorHAnsi" w:cstheme="majorHAnsi"/>
          <w:color w:val="595959" w:themeColor="text1" w:themeTint="A6"/>
        </w:rPr>
        <w:t xml:space="preserve">WHO South-East Asia Region (including Indonesia) and Western Pacific Region </w:t>
      </w:r>
      <w:r w:rsidR="009D029C" w:rsidRPr="00A11F64">
        <w:rPr>
          <w:rFonts w:asciiTheme="majorHAnsi" w:hAnsiTheme="majorHAnsi" w:cstheme="majorHAnsi"/>
          <w:color w:val="595959" w:themeColor="text1" w:themeTint="A6"/>
        </w:rPr>
        <w:t>countries developed the Asia Pacific Strategy for Emerging Diseases (APSED) in 2005</w:t>
      </w:r>
      <w:r w:rsidR="00C84CB8">
        <w:rPr>
          <w:rFonts w:asciiTheme="majorHAnsi" w:hAnsiTheme="majorHAnsi" w:cstheme="majorHAnsi"/>
          <w:color w:val="595959" w:themeColor="text1" w:themeTint="A6"/>
        </w:rPr>
        <w:t>.</w:t>
      </w:r>
      <w:r w:rsidR="00C83B0C" w:rsidRPr="00A11F64">
        <w:rPr>
          <w:rFonts w:asciiTheme="majorHAnsi" w:hAnsiTheme="majorHAnsi" w:cstheme="majorHAnsi"/>
          <w:color w:val="595959" w:themeColor="text1" w:themeTint="A6"/>
        </w:rPr>
        <w:t xml:space="preserve"> </w:t>
      </w:r>
      <w:r w:rsidR="009D029C" w:rsidRPr="00A11F64">
        <w:rPr>
          <w:rFonts w:asciiTheme="majorHAnsi" w:hAnsiTheme="majorHAnsi" w:cstheme="majorHAnsi"/>
          <w:color w:val="595959" w:themeColor="text1" w:themeTint="A6"/>
        </w:rPr>
        <w:t xml:space="preserve">Indonesia and countries across </w:t>
      </w:r>
      <w:r w:rsidR="004F774C" w:rsidRPr="00A11F64">
        <w:rPr>
          <w:rFonts w:asciiTheme="majorHAnsi" w:hAnsiTheme="majorHAnsi" w:cstheme="majorHAnsi"/>
          <w:color w:val="595959" w:themeColor="text1" w:themeTint="A6"/>
        </w:rPr>
        <w:t xml:space="preserve">the Indo-Pacific </w:t>
      </w:r>
      <w:r w:rsidR="009D029C" w:rsidRPr="00A11F64">
        <w:rPr>
          <w:rFonts w:asciiTheme="majorHAnsi" w:hAnsiTheme="majorHAnsi" w:cstheme="majorHAnsi"/>
          <w:color w:val="595959" w:themeColor="text1" w:themeTint="A6"/>
        </w:rPr>
        <w:t>region are using</w:t>
      </w:r>
      <w:r w:rsidR="004F2553" w:rsidRPr="00A11F64">
        <w:rPr>
          <w:rFonts w:asciiTheme="majorHAnsi" w:hAnsiTheme="majorHAnsi" w:cstheme="majorHAnsi"/>
          <w:color w:val="595959" w:themeColor="text1" w:themeTint="A6"/>
        </w:rPr>
        <w:t xml:space="preserve"> the 2017 Asia Pacific Strategy for Emerging Diseases and Public Health Emergencies</w:t>
      </w:r>
      <w:r w:rsidR="009D029C" w:rsidRPr="00A11F64">
        <w:rPr>
          <w:rFonts w:asciiTheme="majorHAnsi" w:hAnsiTheme="majorHAnsi" w:cstheme="majorHAnsi"/>
          <w:color w:val="595959" w:themeColor="text1" w:themeTint="A6"/>
        </w:rPr>
        <w:t xml:space="preserve"> </w:t>
      </w:r>
      <w:r w:rsidR="004F2553" w:rsidRPr="00A11F64">
        <w:rPr>
          <w:rFonts w:asciiTheme="majorHAnsi" w:hAnsiTheme="majorHAnsi" w:cstheme="majorHAnsi"/>
          <w:color w:val="595959" w:themeColor="text1" w:themeTint="A6"/>
        </w:rPr>
        <w:t>(</w:t>
      </w:r>
      <w:r w:rsidR="009D029C" w:rsidRPr="00A11F64">
        <w:rPr>
          <w:rFonts w:asciiTheme="majorHAnsi" w:hAnsiTheme="majorHAnsi" w:cstheme="majorHAnsi"/>
          <w:color w:val="595959" w:themeColor="text1" w:themeTint="A6"/>
        </w:rPr>
        <w:t>APSED III</w:t>
      </w:r>
      <w:r w:rsidR="004F2553" w:rsidRPr="00A11F64">
        <w:rPr>
          <w:rFonts w:asciiTheme="majorHAnsi" w:hAnsiTheme="majorHAnsi" w:cstheme="majorHAnsi"/>
          <w:color w:val="595959" w:themeColor="text1" w:themeTint="A6"/>
        </w:rPr>
        <w:t>)</w:t>
      </w:r>
      <w:r w:rsidR="009D029C" w:rsidRPr="00A11F64">
        <w:rPr>
          <w:rFonts w:asciiTheme="majorHAnsi" w:hAnsiTheme="majorHAnsi" w:cstheme="majorHAnsi"/>
          <w:color w:val="595959" w:themeColor="text1" w:themeTint="A6"/>
        </w:rPr>
        <w:t xml:space="preserve"> as the framework of action for working towards the IHR core capacities</w:t>
      </w:r>
      <w:r w:rsidRPr="00A11F64">
        <w:rPr>
          <w:rFonts w:asciiTheme="majorHAnsi" w:hAnsiTheme="majorHAnsi" w:cstheme="majorHAnsi"/>
          <w:color w:val="595959" w:themeColor="text1" w:themeTint="A6"/>
        </w:rPr>
        <w:t>:</w:t>
      </w:r>
      <w:r w:rsidR="009D029C" w:rsidRPr="00A11F64">
        <w:rPr>
          <w:rFonts w:asciiTheme="majorHAnsi" w:hAnsiTheme="majorHAnsi" w:cstheme="majorHAnsi"/>
          <w:color w:val="595959" w:themeColor="text1" w:themeTint="A6"/>
        </w:rPr>
        <w:t xml:space="preserve"> building national capacity to prevent, detect, respond to and mitigate health security threats through an all-hazards approach</w:t>
      </w:r>
      <w:r w:rsidR="00C84CB8">
        <w:rPr>
          <w:rFonts w:asciiTheme="majorHAnsi" w:hAnsiTheme="majorHAnsi" w:cstheme="majorHAnsi"/>
          <w:color w:val="595959" w:themeColor="text1" w:themeTint="A6"/>
        </w:rPr>
        <w:t>.</w:t>
      </w:r>
      <w:r w:rsidR="00C83B0C" w:rsidRPr="00A11F64">
        <w:rPr>
          <w:rFonts w:asciiTheme="majorHAnsi" w:hAnsiTheme="majorHAnsi" w:cstheme="majorHAnsi"/>
          <w:color w:val="595959" w:themeColor="text1" w:themeTint="A6"/>
        </w:rPr>
        <w:t xml:space="preserve"> </w:t>
      </w:r>
      <w:r w:rsidR="004F2553" w:rsidRPr="00A11F64">
        <w:rPr>
          <w:rFonts w:asciiTheme="majorHAnsi" w:hAnsiTheme="majorHAnsi" w:cstheme="majorHAnsi"/>
          <w:color w:val="595959" w:themeColor="text1" w:themeTint="A6"/>
        </w:rPr>
        <w:t xml:space="preserve">The </w:t>
      </w:r>
      <w:r w:rsidR="00571C46" w:rsidRPr="00A11F64">
        <w:rPr>
          <w:rFonts w:asciiTheme="majorHAnsi" w:hAnsiTheme="majorHAnsi" w:cstheme="majorHAnsi"/>
          <w:color w:val="595959" w:themeColor="text1" w:themeTint="A6"/>
        </w:rPr>
        <w:t xml:space="preserve">latest </w:t>
      </w:r>
      <w:r w:rsidR="004F2553" w:rsidRPr="00A11F64">
        <w:rPr>
          <w:rFonts w:asciiTheme="majorHAnsi" w:hAnsiTheme="majorHAnsi" w:cstheme="majorHAnsi"/>
          <w:color w:val="595959" w:themeColor="text1" w:themeTint="A6"/>
        </w:rPr>
        <w:t xml:space="preserve">strategy addresses eight focus areas: </w:t>
      </w:r>
      <w:r w:rsidR="00571C46" w:rsidRPr="00A11F64">
        <w:rPr>
          <w:rFonts w:asciiTheme="majorHAnsi" w:hAnsiTheme="majorHAnsi" w:cstheme="majorHAnsi"/>
          <w:color w:val="595959" w:themeColor="text1" w:themeTint="A6"/>
        </w:rPr>
        <w:t xml:space="preserve">public health emergency preparedness; </w:t>
      </w:r>
      <w:r w:rsidR="004F2553" w:rsidRPr="00A11F64">
        <w:rPr>
          <w:rFonts w:asciiTheme="majorHAnsi" w:hAnsiTheme="majorHAnsi" w:cstheme="majorHAnsi"/>
          <w:color w:val="595959" w:themeColor="text1" w:themeTint="A6"/>
        </w:rPr>
        <w:t xml:space="preserve">surveillance, risk assessment and response; laboratories; zoonoses; prevention </w:t>
      </w:r>
      <w:r w:rsidR="00571C46" w:rsidRPr="00A11F64">
        <w:rPr>
          <w:rFonts w:asciiTheme="majorHAnsi" w:hAnsiTheme="majorHAnsi" w:cstheme="majorHAnsi"/>
          <w:color w:val="595959" w:themeColor="text1" w:themeTint="A6"/>
        </w:rPr>
        <w:t>through health care</w:t>
      </w:r>
      <w:r w:rsidR="004F2553" w:rsidRPr="00A11F64">
        <w:rPr>
          <w:rFonts w:asciiTheme="majorHAnsi" w:hAnsiTheme="majorHAnsi" w:cstheme="majorHAnsi"/>
          <w:color w:val="595959" w:themeColor="text1" w:themeTint="A6"/>
        </w:rPr>
        <w:t>; risk communication; regional preparedness</w:t>
      </w:r>
      <w:r w:rsidR="00571C46" w:rsidRPr="00A11F64">
        <w:rPr>
          <w:rFonts w:asciiTheme="majorHAnsi" w:hAnsiTheme="majorHAnsi" w:cstheme="majorHAnsi"/>
          <w:color w:val="595959" w:themeColor="text1" w:themeTint="A6"/>
        </w:rPr>
        <w:t>, alert and response</w:t>
      </w:r>
      <w:r w:rsidR="004F2553" w:rsidRPr="00A11F64">
        <w:rPr>
          <w:rFonts w:asciiTheme="majorHAnsi" w:hAnsiTheme="majorHAnsi" w:cstheme="majorHAnsi"/>
          <w:color w:val="595959" w:themeColor="text1" w:themeTint="A6"/>
        </w:rPr>
        <w:t>; and monitoring and evaluation</w:t>
      </w:r>
      <w:r w:rsidR="00051312" w:rsidRPr="00A11F64">
        <w:rPr>
          <w:rFonts w:asciiTheme="majorHAnsi" w:hAnsiTheme="majorHAnsi" w:cstheme="majorHAnsi"/>
          <w:color w:val="595959" w:themeColor="text1" w:themeTint="A6"/>
        </w:rPr>
        <w:t xml:space="preserve"> (M&amp;E)</w:t>
      </w:r>
      <w:r w:rsidR="004F2553" w:rsidRPr="00A11F64">
        <w:rPr>
          <w:rFonts w:asciiTheme="majorHAnsi" w:hAnsiTheme="majorHAnsi" w:cstheme="majorHAnsi"/>
          <w:color w:val="595959" w:themeColor="text1" w:themeTint="A6"/>
        </w:rPr>
        <w:t>.</w:t>
      </w:r>
    </w:p>
    <w:p w:rsidR="009D029C" w:rsidRPr="00A11F64" w:rsidRDefault="009D029C">
      <w:pPr>
        <w:suppressAutoHyphens w:val="0"/>
        <w:spacing w:before="0" w:after="120" w:line="240" w:lineRule="auto"/>
        <w:rPr>
          <w:rFonts w:asciiTheme="majorHAnsi" w:hAnsiTheme="majorHAnsi" w:cstheme="majorHAnsi"/>
          <w:color w:val="595959" w:themeColor="text1" w:themeTint="A6"/>
          <w:lang w:val="en-AU"/>
        </w:rPr>
      </w:pPr>
      <w:r w:rsidRPr="00A11F64">
        <w:rPr>
          <w:rFonts w:asciiTheme="majorHAnsi" w:hAnsiTheme="majorHAnsi" w:cstheme="majorHAnsi"/>
          <w:color w:val="595959" w:themeColor="text1" w:themeTint="A6"/>
          <w:lang w:val="en-AU"/>
        </w:rPr>
        <w:t xml:space="preserve">Indonesia undertook </w:t>
      </w:r>
      <w:r w:rsidR="007455A9" w:rsidRPr="00A11F64">
        <w:rPr>
          <w:rFonts w:asciiTheme="majorHAnsi" w:hAnsiTheme="majorHAnsi" w:cstheme="majorHAnsi"/>
          <w:color w:val="595959" w:themeColor="text1" w:themeTint="A6"/>
          <w:lang w:val="en-AU"/>
        </w:rPr>
        <w:t xml:space="preserve">a </w:t>
      </w:r>
      <w:r w:rsidRPr="00A11F64">
        <w:rPr>
          <w:rFonts w:asciiTheme="majorHAnsi" w:hAnsiTheme="majorHAnsi" w:cstheme="majorHAnsi"/>
          <w:color w:val="595959" w:themeColor="text1" w:themeTint="A6"/>
          <w:lang w:val="en-AU"/>
        </w:rPr>
        <w:t xml:space="preserve">WHO-supported JEE </w:t>
      </w:r>
      <w:r w:rsidR="007455A9" w:rsidRPr="00A11F64">
        <w:rPr>
          <w:rFonts w:asciiTheme="majorHAnsi" w:hAnsiTheme="majorHAnsi" w:cstheme="majorHAnsi"/>
          <w:color w:val="595959" w:themeColor="text1" w:themeTint="A6"/>
          <w:lang w:val="en-AU"/>
        </w:rPr>
        <w:t>in</w:t>
      </w:r>
      <w:r w:rsidRPr="00A11F64">
        <w:rPr>
          <w:rFonts w:asciiTheme="majorHAnsi" w:hAnsiTheme="majorHAnsi" w:cstheme="majorHAnsi"/>
          <w:color w:val="595959" w:themeColor="text1" w:themeTint="A6"/>
          <w:lang w:val="en-AU"/>
        </w:rPr>
        <w:t xml:space="preserve"> November 2017 to assess its health security capacity including gaps </w:t>
      </w:r>
      <w:r w:rsidR="001620C9" w:rsidRPr="00A11F64">
        <w:rPr>
          <w:rFonts w:asciiTheme="majorHAnsi" w:hAnsiTheme="majorHAnsi" w:cstheme="majorHAnsi"/>
          <w:color w:val="595959" w:themeColor="text1" w:themeTint="A6"/>
          <w:lang w:val="en-AU"/>
        </w:rPr>
        <w:t xml:space="preserve">in </w:t>
      </w:r>
      <w:r w:rsidRPr="00A11F64">
        <w:rPr>
          <w:rFonts w:asciiTheme="majorHAnsi" w:hAnsiTheme="majorHAnsi" w:cstheme="majorHAnsi"/>
          <w:color w:val="595959" w:themeColor="text1" w:themeTint="A6"/>
          <w:lang w:val="en-US"/>
        </w:rPr>
        <w:t>preparedness, detection and response systems</w:t>
      </w:r>
      <w:r w:rsidR="00C84CB8">
        <w:rPr>
          <w:rFonts w:asciiTheme="majorHAnsi" w:hAnsiTheme="majorHAnsi" w:cstheme="majorHAnsi"/>
          <w:color w:val="595959" w:themeColor="text1" w:themeTint="A6"/>
          <w:lang w:val="en-US"/>
        </w:rPr>
        <w:t xml:space="preserve">. </w:t>
      </w:r>
      <w:r w:rsidRPr="00A11F64">
        <w:rPr>
          <w:rFonts w:asciiTheme="majorHAnsi" w:hAnsiTheme="majorHAnsi" w:cstheme="majorHAnsi"/>
          <w:color w:val="595959" w:themeColor="text1" w:themeTint="A6"/>
          <w:lang w:val="en-US"/>
        </w:rPr>
        <w:t>The</w:t>
      </w:r>
      <w:r w:rsidR="007455A9" w:rsidRPr="00A11F64">
        <w:rPr>
          <w:rFonts w:asciiTheme="majorHAnsi" w:hAnsiTheme="majorHAnsi" w:cstheme="majorHAnsi"/>
          <w:color w:val="595959" w:themeColor="text1" w:themeTint="A6"/>
          <w:lang w:val="en-AU"/>
        </w:rPr>
        <w:t xml:space="preserve"> review team</w:t>
      </w:r>
      <w:r w:rsidR="007455A9" w:rsidRPr="00A11F64">
        <w:rPr>
          <w:rFonts w:asciiTheme="majorHAnsi" w:hAnsiTheme="majorHAnsi" w:cstheme="majorHAnsi"/>
          <w:color w:val="595959" w:themeColor="text1" w:themeTint="A6"/>
          <w:lang w:val="en-US"/>
        </w:rPr>
        <w:t xml:space="preserve"> found it </w:t>
      </w:r>
      <w:r w:rsidRPr="00A11F64">
        <w:rPr>
          <w:rFonts w:asciiTheme="majorHAnsi" w:hAnsiTheme="majorHAnsi" w:cstheme="majorHAnsi"/>
          <w:color w:val="595959" w:themeColor="text1" w:themeTint="A6"/>
          <w:lang w:val="en-US"/>
        </w:rPr>
        <w:t xml:space="preserve">to have </w:t>
      </w:r>
      <w:r w:rsidR="007455A9" w:rsidRPr="00A11F64">
        <w:rPr>
          <w:rFonts w:asciiTheme="majorHAnsi" w:hAnsiTheme="majorHAnsi" w:cstheme="majorHAnsi"/>
          <w:color w:val="595959" w:themeColor="text1" w:themeTint="A6"/>
          <w:lang w:val="en-US"/>
        </w:rPr>
        <w:t xml:space="preserve">insufficient </w:t>
      </w:r>
      <w:r w:rsidRPr="00A11F64">
        <w:rPr>
          <w:rFonts w:asciiTheme="majorHAnsi" w:hAnsiTheme="majorHAnsi" w:cstheme="majorHAnsi"/>
          <w:color w:val="595959" w:themeColor="text1" w:themeTint="A6"/>
          <w:lang w:val="en-US"/>
        </w:rPr>
        <w:t xml:space="preserve">capacity </w:t>
      </w:r>
      <w:r w:rsidR="007455A9" w:rsidRPr="00A11F64">
        <w:rPr>
          <w:rFonts w:asciiTheme="majorHAnsi" w:hAnsiTheme="majorHAnsi" w:cstheme="majorHAnsi"/>
          <w:color w:val="595959" w:themeColor="text1" w:themeTint="A6"/>
          <w:lang w:val="en-US"/>
        </w:rPr>
        <w:t>in a number of areas</w:t>
      </w:r>
      <w:r w:rsidRPr="00A11F64">
        <w:rPr>
          <w:rFonts w:asciiTheme="majorHAnsi" w:hAnsiTheme="majorHAnsi" w:cstheme="majorHAnsi"/>
          <w:color w:val="595959" w:themeColor="text1" w:themeTint="A6"/>
          <w:lang w:val="en-AU"/>
        </w:rPr>
        <w:t>, including “established and functional mechanisms for responding to infectious diseases”</w:t>
      </w:r>
      <w:r w:rsidR="007455A9" w:rsidRPr="00A11F64">
        <w:rPr>
          <w:rFonts w:asciiTheme="majorHAnsi" w:hAnsiTheme="majorHAnsi" w:cstheme="majorHAnsi"/>
          <w:color w:val="595959" w:themeColor="text1" w:themeTint="A6"/>
          <w:lang w:val="en-AU"/>
        </w:rPr>
        <w:t>,</w:t>
      </w:r>
      <w:r w:rsidRPr="00A11F64">
        <w:rPr>
          <w:rFonts w:asciiTheme="majorHAnsi" w:hAnsiTheme="majorHAnsi" w:cstheme="majorHAnsi"/>
          <w:color w:val="595959" w:themeColor="text1" w:themeTint="A6"/>
          <w:lang w:val="en-AU"/>
        </w:rPr>
        <w:t xml:space="preserve"> and “integration and analysis of surveillance data”</w:t>
      </w:r>
      <w:r w:rsidR="00C84CB8">
        <w:rPr>
          <w:rFonts w:asciiTheme="majorHAnsi" w:hAnsiTheme="majorHAnsi" w:cstheme="majorHAnsi"/>
          <w:color w:val="595959" w:themeColor="text1" w:themeTint="A6"/>
          <w:lang w:val="en-AU"/>
        </w:rPr>
        <w:t xml:space="preserve">. </w:t>
      </w:r>
      <w:r w:rsidRPr="00A11F64">
        <w:rPr>
          <w:rFonts w:asciiTheme="majorHAnsi" w:hAnsiTheme="majorHAnsi" w:cstheme="majorHAnsi"/>
          <w:color w:val="595959" w:themeColor="text1" w:themeTint="A6"/>
          <w:lang w:val="en-AU"/>
        </w:rPr>
        <w:t>The JEE provided recommendations to enhance information sharing between human and animal health</w:t>
      </w:r>
      <w:r w:rsidR="0064162B" w:rsidRPr="00A11F64">
        <w:rPr>
          <w:rFonts w:asciiTheme="majorHAnsi" w:hAnsiTheme="majorHAnsi" w:cstheme="majorHAnsi"/>
          <w:color w:val="595959" w:themeColor="text1" w:themeTint="A6"/>
          <w:lang w:val="en-AU"/>
        </w:rPr>
        <w:t xml:space="preserve"> stakeholders</w:t>
      </w:r>
      <w:r w:rsidRPr="00A11F64">
        <w:rPr>
          <w:rFonts w:asciiTheme="majorHAnsi" w:hAnsiTheme="majorHAnsi" w:cstheme="majorHAnsi"/>
          <w:color w:val="595959" w:themeColor="text1" w:themeTint="A6"/>
          <w:lang w:val="en-AU"/>
        </w:rPr>
        <w:t xml:space="preserve"> at all levels, and </w:t>
      </w:r>
      <w:r w:rsidR="007455A9" w:rsidRPr="00A11F64">
        <w:rPr>
          <w:rFonts w:asciiTheme="majorHAnsi" w:hAnsiTheme="majorHAnsi" w:cstheme="majorHAnsi"/>
          <w:color w:val="595959" w:themeColor="text1" w:themeTint="A6"/>
          <w:lang w:val="en-AU"/>
        </w:rPr>
        <w:t xml:space="preserve">to </w:t>
      </w:r>
      <w:r w:rsidRPr="00A11F64">
        <w:rPr>
          <w:rFonts w:asciiTheme="majorHAnsi" w:hAnsiTheme="majorHAnsi" w:cstheme="majorHAnsi"/>
          <w:color w:val="595959" w:themeColor="text1" w:themeTint="A6"/>
          <w:lang w:val="en-AU"/>
        </w:rPr>
        <w:t>strengthen event-based surveillance and risk assessment</w:t>
      </w:r>
      <w:r w:rsidR="00C84CB8">
        <w:rPr>
          <w:rFonts w:asciiTheme="majorHAnsi" w:hAnsiTheme="majorHAnsi" w:cstheme="majorHAnsi"/>
          <w:color w:val="595959" w:themeColor="text1" w:themeTint="A6"/>
          <w:lang w:val="en-AU"/>
        </w:rPr>
        <w:t xml:space="preserve">. </w:t>
      </w:r>
      <w:r w:rsidRPr="00A11F64">
        <w:rPr>
          <w:rFonts w:asciiTheme="majorHAnsi" w:hAnsiTheme="majorHAnsi" w:cstheme="majorHAnsi"/>
          <w:color w:val="595959" w:themeColor="text1" w:themeTint="A6"/>
          <w:lang w:val="en-AU"/>
        </w:rPr>
        <w:t>The team also recommended capacity building through training including for surveillance, laborator</w:t>
      </w:r>
      <w:r w:rsidR="00D047EC" w:rsidRPr="00A11F64">
        <w:rPr>
          <w:rFonts w:asciiTheme="majorHAnsi" w:hAnsiTheme="majorHAnsi" w:cstheme="majorHAnsi"/>
          <w:color w:val="595959" w:themeColor="text1" w:themeTint="A6"/>
          <w:lang w:val="en-AU"/>
        </w:rPr>
        <w:t>ies</w:t>
      </w:r>
      <w:r w:rsidRPr="00A11F64">
        <w:rPr>
          <w:rFonts w:asciiTheme="majorHAnsi" w:hAnsiTheme="majorHAnsi" w:cstheme="majorHAnsi"/>
          <w:color w:val="595959" w:themeColor="text1" w:themeTint="A6"/>
          <w:lang w:val="en-AU"/>
        </w:rPr>
        <w:t>, case management, infection control, and risk communication</w:t>
      </w:r>
      <w:r w:rsidR="00C84CB8">
        <w:rPr>
          <w:rFonts w:asciiTheme="majorHAnsi" w:hAnsiTheme="majorHAnsi" w:cstheme="majorHAnsi"/>
          <w:color w:val="595959" w:themeColor="text1" w:themeTint="A6"/>
          <w:lang w:val="en-AU"/>
        </w:rPr>
        <w:t>.</w:t>
      </w:r>
    </w:p>
    <w:p w:rsidR="00550469" w:rsidRPr="00A11F64" w:rsidRDefault="009D029C">
      <w:pPr>
        <w:suppressAutoHyphens w:val="0"/>
        <w:spacing w:before="0" w:after="120" w:line="240" w:lineRule="auto"/>
        <w:rPr>
          <w:rFonts w:asciiTheme="majorHAnsi" w:hAnsiTheme="majorHAnsi" w:cstheme="majorHAnsi"/>
          <w:color w:val="595959" w:themeColor="text1" w:themeTint="A6"/>
        </w:rPr>
      </w:pPr>
      <w:r w:rsidRPr="00A11F64">
        <w:rPr>
          <w:rFonts w:asciiTheme="majorHAnsi" w:hAnsiTheme="majorHAnsi" w:cstheme="majorHAnsi"/>
          <w:color w:val="595959" w:themeColor="text1" w:themeTint="A6"/>
        </w:rPr>
        <w:t>The JEE’s overarching recommendations, however, related to issues of governance and coordination</w:t>
      </w:r>
      <w:r w:rsidR="00C84CB8">
        <w:rPr>
          <w:rFonts w:asciiTheme="majorHAnsi" w:hAnsiTheme="majorHAnsi" w:cstheme="majorHAnsi"/>
          <w:color w:val="595959" w:themeColor="text1" w:themeTint="A6"/>
        </w:rPr>
        <w:t>.</w:t>
      </w:r>
      <w:r w:rsidR="00C83B0C" w:rsidRPr="00A11F64">
        <w:rPr>
          <w:rFonts w:asciiTheme="majorHAnsi" w:hAnsiTheme="majorHAnsi" w:cstheme="majorHAnsi"/>
          <w:color w:val="595959" w:themeColor="text1" w:themeTint="A6"/>
        </w:rPr>
        <w:t xml:space="preserve"> </w:t>
      </w:r>
      <w:r w:rsidRPr="00A11F64">
        <w:rPr>
          <w:rFonts w:asciiTheme="majorHAnsi" w:hAnsiTheme="majorHAnsi" w:cstheme="majorHAnsi"/>
          <w:color w:val="595959" w:themeColor="text1" w:themeTint="A6"/>
        </w:rPr>
        <w:t>These were</w:t>
      </w:r>
      <w:r w:rsidR="00AE7259" w:rsidRPr="00A11F64">
        <w:rPr>
          <w:rFonts w:asciiTheme="majorHAnsi" w:hAnsiTheme="majorHAnsi" w:cstheme="majorHAnsi"/>
          <w:color w:val="595959" w:themeColor="text1" w:themeTint="A6"/>
        </w:rPr>
        <w:t xml:space="preserve"> to</w:t>
      </w:r>
      <w:r w:rsidR="00D047EC" w:rsidRPr="00A11F64">
        <w:rPr>
          <w:rFonts w:asciiTheme="majorHAnsi" w:hAnsiTheme="majorHAnsi" w:cstheme="majorHAnsi"/>
          <w:color w:val="595959" w:themeColor="text1" w:themeTint="A6"/>
        </w:rPr>
        <w:t>:</w:t>
      </w:r>
      <w:r w:rsidRPr="00A11F64">
        <w:rPr>
          <w:rFonts w:asciiTheme="majorHAnsi" w:hAnsiTheme="majorHAnsi" w:cstheme="majorHAnsi"/>
          <w:color w:val="595959" w:themeColor="text1" w:themeTint="A6"/>
        </w:rPr>
        <w:t xml:space="preserve"> (1) </w:t>
      </w:r>
      <w:r w:rsidR="00AE7259" w:rsidRPr="00A11F64">
        <w:rPr>
          <w:rFonts w:asciiTheme="majorHAnsi" w:hAnsiTheme="majorHAnsi" w:cstheme="majorHAnsi"/>
          <w:color w:val="595959" w:themeColor="text1" w:themeTint="A6"/>
        </w:rPr>
        <w:t xml:space="preserve">develop </w:t>
      </w:r>
      <w:r w:rsidRPr="00A11F64">
        <w:rPr>
          <w:rFonts w:asciiTheme="majorHAnsi" w:hAnsiTheme="majorHAnsi" w:cstheme="majorHAnsi"/>
          <w:color w:val="595959" w:themeColor="text1" w:themeTint="A6"/>
        </w:rPr>
        <w:t xml:space="preserve">and implement a fully integrated, multi-sectoral National Action Plan, facilitated by a presidential level decree; (2) </w:t>
      </w:r>
      <w:r w:rsidR="00AE7259" w:rsidRPr="00A11F64">
        <w:rPr>
          <w:rFonts w:asciiTheme="majorHAnsi" w:hAnsiTheme="majorHAnsi" w:cstheme="majorHAnsi"/>
          <w:color w:val="595959" w:themeColor="text1" w:themeTint="A6"/>
        </w:rPr>
        <w:t xml:space="preserve">establish </w:t>
      </w:r>
      <w:r w:rsidRPr="00A11F64">
        <w:rPr>
          <w:rFonts w:asciiTheme="majorHAnsi" w:hAnsiTheme="majorHAnsi" w:cstheme="majorHAnsi"/>
          <w:color w:val="595959" w:themeColor="text1" w:themeTint="A6"/>
        </w:rPr>
        <w:t xml:space="preserve">a mechanism to coordinate the IHR and global health security work of all relevant ministries, agencies and institutions; and (3) </w:t>
      </w:r>
      <w:r w:rsidR="00AE7259" w:rsidRPr="00A11F64">
        <w:rPr>
          <w:rFonts w:asciiTheme="majorHAnsi" w:hAnsiTheme="majorHAnsi" w:cstheme="majorHAnsi"/>
          <w:color w:val="595959" w:themeColor="text1" w:themeTint="A6"/>
        </w:rPr>
        <w:t>e</w:t>
      </w:r>
      <w:r w:rsidRPr="00A11F64">
        <w:rPr>
          <w:rFonts w:asciiTheme="majorHAnsi" w:hAnsiTheme="majorHAnsi" w:cstheme="majorHAnsi"/>
          <w:color w:val="595959" w:themeColor="text1" w:themeTint="A6"/>
        </w:rPr>
        <w:t>valuate and improve decision-making structures and delegation of authority and responsibility to act, not only between the national and sub-national levels, but also at the national level.</w:t>
      </w:r>
      <w:r w:rsidR="00C84CB8">
        <w:rPr>
          <w:rFonts w:asciiTheme="majorHAnsi" w:hAnsiTheme="majorHAnsi" w:cstheme="majorHAnsi"/>
          <w:color w:val="595959" w:themeColor="text1" w:themeTint="A6"/>
        </w:rPr>
        <w:t xml:space="preserve"> </w:t>
      </w:r>
      <w:r w:rsidR="00550469" w:rsidRPr="00A11F64">
        <w:rPr>
          <w:rFonts w:asciiTheme="majorHAnsi" w:hAnsiTheme="majorHAnsi" w:cstheme="majorHAnsi"/>
          <w:color w:val="595959" w:themeColor="text1" w:themeTint="A6"/>
        </w:rPr>
        <w:t xml:space="preserve">The Indonesian Government is currently </w:t>
      </w:r>
      <w:r w:rsidR="00D047EC" w:rsidRPr="00A11F64">
        <w:rPr>
          <w:rFonts w:asciiTheme="majorHAnsi" w:hAnsiTheme="majorHAnsi" w:cstheme="majorHAnsi"/>
          <w:color w:val="595959" w:themeColor="text1" w:themeTint="A6"/>
        </w:rPr>
        <w:t>developing</w:t>
      </w:r>
      <w:r w:rsidR="00550469" w:rsidRPr="00A11F64">
        <w:rPr>
          <w:rFonts w:asciiTheme="majorHAnsi" w:hAnsiTheme="majorHAnsi" w:cstheme="majorHAnsi"/>
          <w:color w:val="595959" w:themeColor="text1" w:themeTint="A6"/>
        </w:rPr>
        <w:t xml:space="preserve"> a </w:t>
      </w:r>
      <w:r w:rsidR="00EE2E62" w:rsidRPr="00A11F64">
        <w:rPr>
          <w:rFonts w:asciiTheme="majorHAnsi" w:hAnsiTheme="majorHAnsi" w:cstheme="majorHAnsi"/>
          <w:color w:val="595959" w:themeColor="text1" w:themeTint="A6"/>
        </w:rPr>
        <w:t>NAPHS</w:t>
      </w:r>
      <w:r w:rsidR="00394517" w:rsidRPr="00A11F64">
        <w:rPr>
          <w:rFonts w:asciiTheme="majorHAnsi" w:hAnsiTheme="majorHAnsi" w:cstheme="majorHAnsi"/>
          <w:color w:val="595959" w:themeColor="text1" w:themeTint="A6"/>
        </w:rPr>
        <w:t xml:space="preserve"> to guide interventions </w:t>
      </w:r>
      <w:r w:rsidR="00BA0D4E" w:rsidRPr="00A11F64">
        <w:rPr>
          <w:rFonts w:asciiTheme="majorHAnsi" w:hAnsiTheme="majorHAnsi" w:cstheme="majorHAnsi"/>
          <w:color w:val="595959" w:themeColor="text1" w:themeTint="A6"/>
        </w:rPr>
        <w:t>in line with these</w:t>
      </w:r>
      <w:r w:rsidR="00394517" w:rsidRPr="00A11F64">
        <w:rPr>
          <w:rFonts w:asciiTheme="majorHAnsi" w:hAnsiTheme="majorHAnsi" w:cstheme="majorHAnsi"/>
          <w:color w:val="595959" w:themeColor="text1" w:themeTint="A6"/>
        </w:rPr>
        <w:t xml:space="preserve"> recommendations</w:t>
      </w:r>
      <w:r w:rsidR="00352A08">
        <w:rPr>
          <w:rFonts w:asciiTheme="majorHAnsi" w:hAnsiTheme="majorHAnsi" w:cstheme="majorHAnsi"/>
          <w:color w:val="595959" w:themeColor="text1" w:themeTint="A6"/>
        </w:rPr>
        <w:t>.</w:t>
      </w:r>
    </w:p>
    <w:p w:rsidR="009D029C" w:rsidRPr="00A11F64" w:rsidRDefault="009D029C">
      <w:pPr>
        <w:suppressAutoHyphens w:val="0"/>
        <w:spacing w:before="0" w:after="120" w:line="240" w:lineRule="auto"/>
        <w:rPr>
          <w:rFonts w:asciiTheme="majorHAnsi" w:hAnsiTheme="majorHAnsi" w:cstheme="majorHAnsi"/>
          <w:color w:val="595959" w:themeColor="text1" w:themeTint="A6"/>
          <w:lang w:val="en-US"/>
        </w:rPr>
      </w:pPr>
      <w:r w:rsidRPr="00A11F64">
        <w:rPr>
          <w:rFonts w:asciiTheme="majorHAnsi" w:hAnsiTheme="majorHAnsi" w:cstheme="majorHAnsi"/>
          <w:color w:val="595959" w:themeColor="text1" w:themeTint="A6"/>
          <w:lang w:val="en-US"/>
        </w:rPr>
        <w:t>Responsibility for disease control in</w:t>
      </w:r>
      <w:r w:rsidR="00BA0D4E" w:rsidRPr="00A11F64">
        <w:rPr>
          <w:rFonts w:asciiTheme="majorHAnsi" w:hAnsiTheme="majorHAnsi" w:cstheme="majorHAnsi"/>
          <w:color w:val="595959" w:themeColor="text1" w:themeTint="A6"/>
          <w:lang w:val="en-US"/>
        </w:rPr>
        <w:t xml:space="preserve"> (human)</w:t>
      </w:r>
      <w:r w:rsidRPr="00A11F64">
        <w:rPr>
          <w:rFonts w:asciiTheme="majorHAnsi" w:hAnsiTheme="majorHAnsi" w:cstheme="majorHAnsi"/>
          <w:color w:val="595959" w:themeColor="text1" w:themeTint="A6"/>
          <w:lang w:val="en-US"/>
        </w:rPr>
        <w:t xml:space="preserve"> public health lies with the Directorate-General</w:t>
      </w:r>
      <w:r w:rsidR="00D047EC" w:rsidRPr="00A11F64">
        <w:rPr>
          <w:rFonts w:asciiTheme="majorHAnsi" w:hAnsiTheme="majorHAnsi" w:cstheme="majorHAnsi"/>
          <w:color w:val="595959" w:themeColor="text1" w:themeTint="A6"/>
          <w:lang w:val="en-US"/>
        </w:rPr>
        <w:t xml:space="preserve"> </w:t>
      </w:r>
      <w:r w:rsidRPr="00A11F64">
        <w:rPr>
          <w:rFonts w:asciiTheme="majorHAnsi" w:hAnsiTheme="majorHAnsi" w:cstheme="majorHAnsi"/>
          <w:color w:val="595959" w:themeColor="text1" w:themeTint="A6"/>
          <w:lang w:val="en-US"/>
        </w:rPr>
        <w:t xml:space="preserve">of Disease </w:t>
      </w:r>
      <w:r w:rsidR="000465C2" w:rsidRPr="00A11F64">
        <w:rPr>
          <w:rFonts w:asciiTheme="majorHAnsi" w:hAnsiTheme="majorHAnsi" w:cstheme="majorHAnsi"/>
          <w:color w:val="595959" w:themeColor="text1" w:themeTint="A6"/>
          <w:lang w:val="en-US"/>
        </w:rPr>
        <w:t xml:space="preserve">Prevention and </w:t>
      </w:r>
      <w:r w:rsidRPr="00A11F64">
        <w:rPr>
          <w:rFonts w:asciiTheme="majorHAnsi" w:hAnsiTheme="majorHAnsi" w:cstheme="majorHAnsi"/>
          <w:color w:val="595959" w:themeColor="text1" w:themeTint="A6"/>
          <w:lang w:val="en-US"/>
        </w:rPr>
        <w:t>Control</w:t>
      </w:r>
      <w:r w:rsidR="00BA0D4E" w:rsidRPr="00A11F64">
        <w:rPr>
          <w:rFonts w:asciiTheme="majorHAnsi" w:hAnsiTheme="majorHAnsi" w:cstheme="majorHAnsi"/>
          <w:color w:val="595959" w:themeColor="text1" w:themeTint="A6"/>
          <w:lang w:val="en-US"/>
        </w:rPr>
        <w:t xml:space="preserve"> in the MoH, </w:t>
      </w:r>
      <w:r w:rsidRPr="00A11F64">
        <w:rPr>
          <w:rFonts w:asciiTheme="majorHAnsi" w:hAnsiTheme="majorHAnsi" w:cstheme="majorHAnsi"/>
          <w:color w:val="595959" w:themeColor="text1" w:themeTint="A6"/>
          <w:lang w:val="en-US"/>
        </w:rPr>
        <w:t>and the provincial and district health offices</w:t>
      </w:r>
      <w:r w:rsidR="00C84CB8">
        <w:rPr>
          <w:rFonts w:asciiTheme="majorHAnsi" w:hAnsiTheme="majorHAnsi" w:cstheme="majorHAnsi"/>
          <w:color w:val="595959" w:themeColor="text1" w:themeTint="A6"/>
          <w:lang w:val="en-US"/>
        </w:rPr>
        <w:t xml:space="preserve">. </w:t>
      </w:r>
      <w:r w:rsidRPr="00A11F64">
        <w:rPr>
          <w:rFonts w:asciiTheme="majorHAnsi" w:hAnsiTheme="majorHAnsi" w:cstheme="majorHAnsi"/>
          <w:color w:val="595959" w:themeColor="text1" w:themeTint="A6"/>
          <w:lang w:val="en-US"/>
        </w:rPr>
        <w:t xml:space="preserve">The </w:t>
      </w:r>
      <w:r w:rsidR="000465C2" w:rsidRPr="00A11F64">
        <w:rPr>
          <w:rFonts w:asciiTheme="majorHAnsi" w:hAnsiTheme="majorHAnsi" w:cstheme="majorHAnsi"/>
          <w:color w:val="595959" w:themeColor="text1" w:themeTint="A6"/>
          <w:lang w:val="en-US"/>
        </w:rPr>
        <w:t>Directorate-General</w:t>
      </w:r>
      <w:r w:rsidRPr="00A11F64">
        <w:rPr>
          <w:rFonts w:asciiTheme="majorHAnsi" w:hAnsiTheme="majorHAnsi" w:cstheme="majorHAnsi"/>
          <w:color w:val="595959" w:themeColor="text1" w:themeTint="A6"/>
          <w:lang w:val="en-US"/>
        </w:rPr>
        <w:t xml:space="preserve"> of Disease </w:t>
      </w:r>
      <w:r w:rsidR="000465C2" w:rsidRPr="00A11F64">
        <w:rPr>
          <w:rFonts w:asciiTheme="majorHAnsi" w:hAnsiTheme="majorHAnsi" w:cstheme="majorHAnsi"/>
          <w:color w:val="595959" w:themeColor="text1" w:themeTint="A6"/>
          <w:lang w:val="en-US"/>
        </w:rPr>
        <w:t xml:space="preserve">Prevention and </w:t>
      </w:r>
      <w:r w:rsidRPr="00A11F64">
        <w:rPr>
          <w:rFonts w:asciiTheme="majorHAnsi" w:hAnsiTheme="majorHAnsi" w:cstheme="majorHAnsi"/>
          <w:color w:val="595959" w:themeColor="text1" w:themeTint="A6"/>
          <w:lang w:val="en-US"/>
        </w:rPr>
        <w:t>Control has been appointed as the IHR National Focal Point for Indonesia</w:t>
      </w:r>
      <w:r w:rsidR="00C84CB8">
        <w:rPr>
          <w:rFonts w:asciiTheme="majorHAnsi" w:hAnsiTheme="majorHAnsi" w:cstheme="majorHAnsi"/>
          <w:color w:val="595959" w:themeColor="text1" w:themeTint="A6"/>
          <w:lang w:val="en-US"/>
        </w:rPr>
        <w:t xml:space="preserve">. </w:t>
      </w:r>
      <w:r w:rsidRPr="00A11F64">
        <w:rPr>
          <w:rFonts w:asciiTheme="majorHAnsi" w:hAnsiTheme="majorHAnsi" w:cstheme="majorHAnsi"/>
          <w:color w:val="595959" w:themeColor="text1" w:themeTint="A6"/>
          <w:lang w:val="en-AU"/>
        </w:rPr>
        <w:t xml:space="preserve">In 2016, the </w:t>
      </w:r>
      <w:r w:rsidR="00D047EC" w:rsidRPr="00A11F64">
        <w:rPr>
          <w:rFonts w:asciiTheme="majorHAnsi" w:hAnsiTheme="majorHAnsi" w:cstheme="majorHAnsi"/>
          <w:color w:val="595959" w:themeColor="text1" w:themeTint="A6"/>
          <w:lang w:val="en-AU"/>
        </w:rPr>
        <w:t>MoH</w:t>
      </w:r>
      <w:r w:rsidRPr="00A11F64">
        <w:rPr>
          <w:rFonts w:asciiTheme="majorHAnsi" w:hAnsiTheme="majorHAnsi" w:cstheme="majorHAnsi"/>
          <w:color w:val="595959" w:themeColor="text1" w:themeTint="A6"/>
          <w:lang w:val="en-AU"/>
        </w:rPr>
        <w:t xml:space="preserve"> established an EID sub-directorate and a Public Health Emergency Operations Centre (PHEOC)</w:t>
      </w:r>
      <w:r w:rsidR="00BA0D4E" w:rsidRPr="00A11F64">
        <w:rPr>
          <w:rFonts w:asciiTheme="majorHAnsi" w:hAnsiTheme="majorHAnsi" w:cstheme="majorHAnsi"/>
          <w:color w:val="595959" w:themeColor="text1" w:themeTint="A6"/>
          <w:lang w:val="en-AU"/>
        </w:rPr>
        <w:t xml:space="preserve">, </w:t>
      </w:r>
      <w:r w:rsidRPr="00A11F64">
        <w:rPr>
          <w:rFonts w:asciiTheme="majorHAnsi" w:hAnsiTheme="majorHAnsi" w:cstheme="majorHAnsi"/>
          <w:color w:val="595959" w:themeColor="text1" w:themeTint="A6"/>
          <w:lang w:val="en-AU"/>
        </w:rPr>
        <w:t>under the Directorate of Surveillance and Health Quarantine (</w:t>
      </w:r>
      <w:r w:rsidR="00BA0D4E" w:rsidRPr="00A11F64">
        <w:rPr>
          <w:rFonts w:asciiTheme="majorHAnsi" w:hAnsiTheme="majorHAnsi" w:cstheme="majorHAnsi"/>
          <w:color w:val="595959" w:themeColor="text1" w:themeTint="A6"/>
          <w:lang w:val="en-AU"/>
        </w:rPr>
        <w:t xml:space="preserve">a part of </w:t>
      </w:r>
      <w:r w:rsidRPr="00A11F64">
        <w:rPr>
          <w:rFonts w:asciiTheme="majorHAnsi" w:hAnsiTheme="majorHAnsi" w:cstheme="majorHAnsi"/>
          <w:color w:val="595959" w:themeColor="text1" w:themeTint="A6"/>
          <w:lang w:val="en-AU"/>
        </w:rPr>
        <w:t>the Directorate</w:t>
      </w:r>
      <w:r w:rsidR="000465C2" w:rsidRPr="00A11F64">
        <w:rPr>
          <w:rFonts w:asciiTheme="majorHAnsi" w:hAnsiTheme="majorHAnsi" w:cstheme="majorHAnsi"/>
          <w:color w:val="595959" w:themeColor="text1" w:themeTint="A6"/>
          <w:lang w:val="en-AU"/>
        </w:rPr>
        <w:t>-</w:t>
      </w:r>
      <w:r w:rsidRPr="00A11F64">
        <w:rPr>
          <w:rFonts w:asciiTheme="majorHAnsi" w:hAnsiTheme="majorHAnsi" w:cstheme="majorHAnsi"/>
          <w:color w:val="595959" w:themeColor="text1" w:themeTint="A6"/>
          <w:lang w:val="en-AU"/>
        </w:rPr>
        <w:t>General of Disease Prevention and Control)</w:t>
      </w:r>
      <w:r w:rsidR="00C84CB8">
        <w:rPr>
          <w:rFonts w:asciiTheme="majorHAnsi" w:hAnsiTheme="majorHAnsi" w:cstheme="majorHAnsi"/>
          <w:color w:val="595959" w:themeColor="text1" w:themeTint="A6"/>
          <w:lang w:val="en-AU"/>
        </w:rPr>
        <w:t xml:space="preserve">. </w:t>
      </w:r>
      <w:r w:rsidRPr="00A11F64">
        <w:rPr>
          <w:rFonts w:asciiTheme="majorHAnsi" w:hAnsiTheme="majorHAnsi" w:cstheme="majorHAnsi"/>
          <w:color w:val="595959" w:themeColor="text1" w:themeTint="A6"/>
          <w:lang w:val="en-US"/>
        </w:rPr>
        <w:t xml:space="preserve">Responsibility for animal health lies with the </w:t>
      </w:r>
      <w:r w:rsidR="000465C2" w:rsidRPr="00A11F64">
        <w:rPr>
          <w:rFonts w:asciiTheme="majorHAnsi" w:hAnsiTheme="majorHAnsi" w:cstheme="majorHAnsi"/>
          <w:color w:val="595959" w:themeColor="text1" w:themeTint="A6"/>
          <w:lang w:val="en-US"/>
        </w:rPr>
        <w:t>MoA</w:t>
      </w:r>
      <w:r w:rsidRPr="00A11F64">
        <w:rPr>
          <w:rFonts w:asciiTheme="majorHAnsi" w:hAnsiTheme="majorHAnsi" w:cstheme="majorHAnsi"/>
          <w:color w:val="595959" w:themeColor="text1" w:themeTint="A6"/>
          <w:lang w:val="en-US"/>
        </w:rPr>
        <w:t>, Directorate-General of Livestock and Animal Health Services</w:t>
      </w:r>
      <w:r w:rsidR="00352A08">
        <w:rPr>
          <w:rFonts w:asciiTheme="majorHAnsi" w:hAnsiTheme="majorHAnsi" w:cstheme="majorHAnsi"/>
          <w:color w:val="595959" w:themeColor="text1" w:themeTint="A6"/>
          <w:lang w:val="en-US"/>
        </w:rPr>
        <w:t>.</w:t>
      </w:r>
    </w:p>
    <w:p w:rsidR="009D029C" w:rsidRPr="00A11F64" w:rsidRDefault="009D029C">
      <w:pPr>
        <w:suppressAutoHyphens w:val="0"/>
        <w:spacing w:before="0" w:after="120" w:line="240" w:lineRule="auto"/>
        <w:rPr>
          <w:rFonts w:asciiTheme="majorHAnsi" w:hAnsiTheme="majorHAnsi" w:cstheme="majorHAnsi"/>
          <w:color w:val="595959" w:themeColor="text1" w:themeTint="A6"/>
          <w:lang w:val="en-US"/>
        </w:rPr>
      </w:pPr>
      <w:r w:rsidRPr="00A11F64">
        <w:rPr>
          <w:rFonts w:asciiTheme="majorHAnsi" w:hAnsiTheme="majorHAnsi" w:cstheme="majorHAnsi"/>
          <w:color w:val="595959" w:themeColor="text1" w:themeTint="A6"/>
          <w:lang w:val="en-US"/>
        </w:rPr>
        <w:t>Since November 2016, the Coordinating Ministry for Human Development and Cultural Affairs (</w:t>
      </w:r>
      <w:r w:rsidR="005D6787" w:rsidRPr="00A11F64">
        <w:rPr>
          <w:rFonts w:asciiTheme="majorHAnsi" w:hAnsiTheme="majorHAnsi" w:cstheme="majorHAnsi"/>
          <w:color w:val="595959" w:themeColor="text1" w:themeTint="A6"/>
          <w:lang w:val="en-US"/>
        </w:rPr>
        <w:t xml:space="preserve">Kemenko </w:t>
      </w:r>
      <w:r w:rsidRPr="00A11F64">
        <w:rPr>
          <w:rFonts w:asciiTheme="majorHAnsi" w:hAnsiTheme="majorHAnsi" w:cstheme="majorHAnsi"/>
          <w:color w:val="595959" w:themeColor="text1" w:themeTint="A6"/>
          <w:lang w:val="en-US"/>
        </w:rPr>
        <w:t xml:space="preserve">PMK) took over the national coordination function in relation to zoonoses (previously managed by </w:t>
      </w:r>
      <w:r w:rsidR="00A2103D" w:rsidRPr="00A11F64">
        <w:rPr>
          <w:rFonts w:asciiTheme="majorHAnsi" w:hAnsiTheme="majorHAnsi" w:cstheme="majorHAnsi"/>
          <w:color w:val="595959" w:themeColor="text1" w:themeTint="A6"/>
          <w:lang w:val="en-US"/>
        </w:rPr>
        <w:t>the</w:t>
      </w:r>
      <w:r w:rsidR="005D6787" w:rsidRPr="00A11F64">
        <w:rPr>
          <w:rFonts w:asciiTheme="majorHAnsi" w:hAnsiTheme="majorHAnsi" w:cstheme="majorHAnsi"/>
          <w:color w:val="595959" w:themeColor="text1" w:themeTint="A6"/>
          <w:lang w:val="en-US"/>
        </w:rPr>
        <w:t xml:space="preserve"> </w:t>
      </w:r>
      <w:r w:rsidR="0043356C" w:rsidRPr="00A11F64">
        <w:rPr>
          <w:rFonts w:asciiTheme="majorHAnsi" w:hAnsiTheme="majorHAnsi" w:cstheme="majorHAnsi"/>
          <w:color w:val="595959" w:themeColor="text1" w:themeTint="A6"/>
          <w:lang w:val="en-US"/>
        </w:rPr>
        <w:t xml:space="preserve">now-disbanded </w:t>
      </w:r>
      <w:r w:rsidR="005D6787" w:rsidRPr="00A11F64">
        <w:rPr>
          <w:rFonts w:asciiTheme="majorHAnsi" w:hAnsiTheme="majorHAnsi" w:cstheme="majorHAnsi"/>
          <w:color w:val="595959" w:themeColor="text1" w:themeTint="A6"/>
          <w:lang w:val="en-US"/>
        </w:rPr>
        <w:t xml:space="preserve">National Commission </w:t>
      </w:r>
      <w:r w:rsidR="00CD472B" w:rsidRPr="00A11F64">
        <w:rPr>
          <w:rFonts w:asciiTheme="majorHAnsi" w:hAnsiTheme="majorHAnsi" w:cstheme="majorHAnsi"/>
          <w:color w:val="595959" w:themeColor="text1" w:themeTint="A6"/>
          <w:lang w:val="en-US"/>
        </w:rPr>
        <w:t>for Zoonotic Disease</w:t>
      </w:r>
      <w:r w:rsidR="00A2103D" w:rsidRPr="00A11F64">
        <w:rPr>
          <w:rFonts w:asciiTheme="majorHAnsi" w:hAnsiTheme="majorHAnsi" w:cstheme="majorHAnsi"/>
          <w:color w:val="595959" w:themeColor="text1" w:themeTint="A6"/>
          <w:lang w:val="en-US"/>
        </w:rPr>
        <w:t xml:space="preserve"> Control</w:t>
      </w:r>
      <w:r w:rsidR="005D6787" w:rsidRPr="00A11F64">
        <w:rPr>
          <w:rFonts w:asciiTheme="majorHAnsi" w:hAnsiTheme="majorHAnsi" w:cstheme="majorHAnsi"/>
          <w:color w:val="595959" w:themeColor="text1" w:themeTint="A6"/>
          <w:lang w:val="en-US"/>
        </w:rPr>
        <w:t>, KOMNAS Zoonosis</w:t>
      </w:r>
      <w:r w:rsidRPr="00A11F64">
        <w:rPr>
          <w:rFonts w:asciiTheme="majorHAnsi" w:hAnsiTheme="majorHAnsi" w:cstheme="majorHAnsi"/>
          <w:color w:val="595959" w:themeColor="text1" w:themeTint="A6"/>
          <w:lang w:val="en-US"/>
        </w:rPr>
        <w:t>)</w:t>
      </w:r>
      <w:r w:rsidR="00C83B0C" w:rsidRPr="00A11F64">
        <w:rPr>
          <w:rFonts w:asciiTheme="majorHAnsi" w:hAnsiTheme="majorHAnsi" w:cstheme="majorHAnsi"/>
          <w:color w:val="595959" w:themeColor="text1" w:themeTint="A6"/>
          <w:lang w:val="en-US"/>
        </w:rPr>
        <w:t>.</w:t>
      </w:r>
      <w:r w:rsidR="00C84CB8">
        <w:rPr>
          <w:rFonts w:asciiTheme="majorHAnsi" w:hAnsiTheme="majorHAnsi" w:cstheme="majorHAnsi"/>
          <w:color w:val="595959" w:themeColor="text1" w:themeTint="A6"/>
          <w:lang w:val="en-US"/>
        </w:rPr>
        <w:t xml:space="preserve"> </w:t>
      </w:r>
      <w:r w:rsidR="005D6787" w:rsidRPr="00A11F64">
        <w:rPr>
          <w:rFonts w:asciiTheme="majorHAnsi" w:hAnsiTheme="majorHAnsi" w:cstheme="majorHAnsi"/>
          <w:color w:val="595959" w:themeColor="text1" w:themeTint="A6"/>
          <w:lang w:val="en-US"/>
        </w:rPr>
        <w:t xml:space="preserve">Kemenko </w:t>
      </w:r>
      <w:r w:rsidRPr="00A11F64">
        <w:rPr>
          <w:rFonts w:asciiTheme="majorHAnsi" w:hAnsiTheme="majorHAnsi" w:cstheme="majorHAnsi"/>
          <w:color w:val="595959" w:themeColor="text1" w:themeTint="A6"/>
          <w:lang w:val="en-US"/>
        </w:rPr>
        <w:t xml:space="preserve">PMK’s role includes </w:t>
      </w:r>
      <w:r w:rsidR="00591997" w:rsidRPr="00A11F64">
        <w:rPr>
          <w:rFonts w:asciiTheme="majorHAnsi" w:hAnsiTheme="majorHAnsi" w:cstheme="majorHAnsi"/>
          <w:color w:val="595959" w:themeColor="text1" w:themeTint="A6"/>
          <w:lang w:val="en-US"/>
        </w:rPr>
        <w:t xml:space="preserve">preparation of </w:t>
      </w:r>
      <w:r w:rsidRPr="00A11F64">
        <w:rPr>
          <w:rFonts w:asciiTheme="majorHAnsi" w:hAnsiTheme="majorHAnsi" w:cstheme="majorHAnsi"/>
          <w:color w:val="595959" w:themeColor="text1" w:themeTint="A6"/>
          <w:lang w:val="en-US"/>
        </w:rPr>
        <w:t>a health security action plan (includ</w:t>
      </w:r>
      <w:r w:rsidR="00591997" w:rsidRPr="00A11F64">
        <w:rPr>
          <w:rFonts w:asciiTheme="majorHAnsi" w:hAnsiTheme="majorHAnsi" w:cstheme="majorHAnsi"/>
          <w:color w:val="595959" w:themeColor="text1" w:themeTint="A6"/>
          <w:lang w:val="en-US"/>
        </w:rPr>
        <w:t>ing</w:t>
      </w:r>
      <w:r w:rsidRPr="00A11F64">
        <w:rPr>
          <w:rFonts w:asciiTheme="majorHAnsi" w:hAnsiTheme="majorHAnsi" w:cstheme="majorHAnsi"/>
          <w:color w:val="595959" w:themeColor="text1" w:themeTint="A6"/>
          <w:lang w:val="en-US"/>
        </w:rPr>
        <w:t xml:space="preserve"> a non-natural disaster risk map</w:t>
      </w:r>
      <w:r w:rsidR="00346390" w:rsidRPr="00A11F64">
        <w:rPr>
          <w:rStyle w:val="FootnoteReference"/>
          <w:rFonts w:asciiTheme="majorHAnsi" w:hAnsiTheme="majorHAnsi" w:cstheme="majorHAnsi"/>
          <w:color w:val="595959" w:themeColor="text1" w:themeTint="A6"/>
          <w:lang w:val="en-US"/>
        </w:rPr>
        <w:footnoteReference w:id="6"/>
      </w:r>
      <w:r w:rsidRPr="00A11F64">
        <w:rPr>
          <w:rFonts w:asciiTheme="majorHAnsi" w:hAnsiTheme="majorHAnsi" w:cstheme="majorHAnsi"/>
          <w:color w:val="595959" w:themeColor="text1" w:themeTint="A6"/>
          <w:lang w:val="en-US"/>
        </w:rPr>
        <w:t>), continu</w:t>
      </w:r>
      <w:r w:rsidR="00591997" w:rsidRPr="00A11F64">
        <w:rPr>
          <w:rFonts w:asciiTheme="majorHAnsi" w:hAnsiTheme="majorHAnsi" w:cstheme="majorHAnsi"/>
          <w:color w:val="595959" w:themeColor="text1" w:themeTint="A6"/>
          <w:lang w:val="en-US"/>
        </w:rPr>
        <w:t>ed</w:t>
      </w:r>
      <w:r w:rsidRPr="00A11F64">
        <w:rPr>
          <w:rFonts w:asciiTheme="majorHAnsi" w:hAnsiTheme="majorHAnsi" w:cstheme="majorHAnsi"/>
          <w:color w:val="595959" w:themeColor="text1" w:themeTint="A6"/>
          <w:lang w:val="en-US"/>
        </w:rPr>
        <w:t xml:space="preserve"> development of</w:t>
      </w:r>
      <w:r w:rsidR="00523C42" w:rsidRPr="00A11F64">
        <w:rPr>
          <w:rFonts w:asciiTheme="majorHAnsi" w:hAnsiTheme="majorHAnsi" w:cstheme="majorHAnsi"/>
          <w:color w:val="595959" w:themeColor="text1" w:themeTint="A6"/>
          <w:lang w:val="en-US"/>
        </w:rPr>
        <w:t xml:space="preserve"> an integrated </w:t>
      </w:r>
      <w:r w:rsidR="0000321E" w:rsidRPr="00A11F64">
        <w:rPr>
          <w:rFonts w:asciiTheme="majorHAnsi" w:hAnsiTheme="majorHAnsi" w:cstheme="majorHAnsi"/>
          <w:color w:val="595959" w:themeColor="text1" w:themeTint="A6"/>
          <w:lang w:val="en-US"/>
        </w:rPr>
        <w:t>z</w:t>
      </w:r>
      <w:r w:rsidR="00523C42" w:rsidRPr="00A11F64">
        <w:rPr>
          <w:rFonts w:asciiTheme="majorHAnsi" w:hAnsiTheme="majorHAnsi" w:cstheme="majorHAnsi"/>
          <w:color w:val="595959" w:themeColor="text1" w:themeTint="A6"/>
          <w:lang w:val="en-US"/>
        </w:rPr>
        <w:t>oonosis and EID information system</w:t>
      </w:r>
      <w:r w:rsidR="00591997" w:rsidRPr="00A11F64">
        <w:rPr>
          <w:rFonts w:asciiTheme="majorHAnsi" w:hAnsiTheme="majorHAnsi" w:cstheme="majorHAnsi"/>
          <w:color w:val="595959" w:themeColor="text1" w:themeTint="A6"/>
          <w:lang w:val="en-US"/>
        </w:rPr>
        <w:t>,</w:t>
      </w:r>
      <w:r w:rsidR="00A2103D" w:rsidRPr="00A11F64">
        <w:rPr>
          <w:rFonts w:asciiTheme="majorHAnsi" w:hAnsiTheme="majorHAnsi" w:cstheme="majorHAnsi"/>
          <w:color w:val="595959" w:themeColor="text1" w:themeTint="A6"/>
          <w:lang w:val="en-US"/>
        </w:rPr>
        <w:t xml:space="preserve"> SIZE</w:t>
      </w:r>
      <w:r w:rsidR="00591997" w:rsidRPr="00A11F64">
        <w:rPr>
          <w:rFonts w:asciiTheme="majorHAnsi" w:hAnsiTheme="majorHAnsi" w:cstheme="majorHAnsi"/>
          <w:color w:val="595959" w:themeColor="text1" w:themeTint="A6"/>
          <w:lang w:val="en-US"/>
        </w:rPr>
        <w:t>,</w:t>
      </w:r>
      <w:r w:rsidRPr="00A11F64">
        <w:rPr>
          <w:rFonts w:asciiTheme="majorHAnsi" w:hAnsiTheme="majorHAnsi" w:cstheme="majorHAnsi"/>
          <w:color w:val="595959" w:themeColor="text1" w:themeTint="A6"/>
          <w:lang w:val="en-US"/>
        </w:rPr>
        <w:t xml:space="preserve"> which draws information from both animal and human health information systems (iSIKHNAS and EWARS respectively), </w:t>
      </w:r>
      <w:r w:rsidR="00591997" w:rsidRPr="00A11F64">
        <w:rPr>
          <w:rFonts w:asciiTheme="majorHAnsi" w:hAnsiTheme="majorHAnsi" w:cstheme="majorHAnsi"/>
          <w:color w:val="595959" w:themeColor="text1" w:themeTint="A6"/>
          <w:lang w:val="en-US"/>
        </w:rPr>
        <w:t>and</w:t>
      </w:r>
      <w:r w:rsidRPr="00A11F64">
        <w:rPr>
          <w:rFonts w:asciiTheme="majorHAnsi" w:hAnsiTheme="majorHAnsi" w:cstheme="majorHAnsi"/>
          <w:color w:val="595959" w:themeColor="text1" w:themeTint="A6"/>
          <w:lang w:val="en-US"/>
        </w:rPr>
        <w:t xml:space="preserve"> development of joint protocols with Indonesia’s National Disaster Management Agency (BNPB)</w:t>
      </w:r>
      <w:r w:rsidR="00C84CB8">
        <w:rPr>
          <w:rFonts w:asciiTheme="majorHAnsi" w:hAnsiTheme="majorHAnsi" w:cstheme="majorHAnsi"/>
          <w:color w:val="595959" w:themeColor="text1" w:themeTint="A6"/>
          <w:lang w:val="en-US"/>
        </w:rPr>
        <w:t xml:space="preserve">. </w:t>
      </w:r>
      <w:r w:rsidRPr="00A11F64">
        <w:rPr>
          <w:rFonts w:asciiTheme="majorHAnsi" w:hAnsiTheme="majorHAnsi" w:cstheme="majorHAnsi"/>
          <w:color w:val="595959" w:themeColor="text1" w:themeTint="A6"/>
          <w:lang w:val="en-US"/>
        </w:rPr>
        <w:t xml:space="preserve">Further work is needed for national and district levels of BNPB to fulfil their role </w:t>
      </w:r>
      <w:r w:rsidR="00591997" w:rsidRPr="00A11F64">
        <w:rPr>
          <w:rFonts w:asciiTheme="majorHAnsi" w:hAnsiTheme="majorHAnsi" w:cstheme="majorHAnsi"/>
          <w:color w:val="595959" w:themeColor="text1" w:themeTint="A6"/>
          <w:lang w:val="en-US"/>
        </w:rPr>
        <w:t>in</w:t>
      </w:r>
      <w:r w:rsidRPr="00A11F64">
        <w:rPr>
          <w:rFonts w:asciiTheme="majorHAnsi" w:hAnsiTheme="majorHAnsi" w:cstheme="majorHAnsi"/>
          <w:color w:val="595959" w:themeColor="text1" w:themeTint="A6"/>
          <w:lang w:val="en-US"/>
        </w:rPr>
        <w:t xml:space="preserve"> responding to an outbreak if declared a disaster</w:t>
      </w:r>
      <w:r w:rsidR="00C84CB8">
        <w:rPr>
          <w:rFonts w:asciiTheme="majorHAnsi" w:hAnsiTheme="majorHAnsi" w:cstheme="majorHAnsi"/>
          <w:color w:val="595959" w:themeColor="text1" w:themeTint="A6"/>
          <w:lang w:val="en-US"/>
        </w:rPr>
        <w:t>.</w:t>
      </w:r>
    </w:p>
    <w:p w:rsidR="00703BC6" w:rsidRPr="00A11F64" w:rsidRDefault="009D029C">
      <w:pPr>
        <w:suppressAutoHyphens w:val="0"/>
        <w:spacing w:before="0" w:after="120" w:line="240" w:lineRule="auto"/>
        <w:rPr>
          <w:rFonts w:asciiTheme="majorHAnsi" w:hAnsiTheme="majorHAnsi" w:cstheme="majorHAnsi"/>
          <w:color w:val="595959" w:themeColor="text1" w:themeTint="A6"/>
          <w:lang w:val="en-US"/>
        </w:rPr>
      </w:pPr>
      <w:r w:rsidRPr="00A11F64">
        <w:rPr>
          <w:rFonts w:asciiTheme="majorHAnsi" w:hAnsiTheme="majorHAnsi" w:cstheme="majorHAnsi"/>
          <w:color w:val="595959" w:themeColor="text1" w:themeTint="A6"/>
          <w:lang w:val="en-US"/>
        </w:rPr>
        <w:t>Indonesia’s national medium term strategic plan (RPJMN) sets national priorities and targets for all ministries and levels of government</w:t>
      </w:r>
      <w:r w:rsidR="00C83B0C" w:rsidRPr="00A11F64">
        <w:rPr>
          <w:rFonts w:asciiTheme="majorHAnsi" w:hAnsiTheme="majorHAnsi" w:cstheme="majorHAnsi"/>
          <w:color w:val="595959" w:themeColor="text1" w:themeTint="A6"/>
          <w:lang w:val="en-US"/>
        </w:rPr>
        <w:t xml:space="preserve">. </w:t>
      </w:r>
      <w:r w:rsidRPr="00A11F64">
        <w:rPr>
          <w:rFonts w:asciiTheme="majorHAnsi" w:hAnsiTheme="majorHAnsi" w:cstheme="majorHAnsi"/>
          <w:color w:val="595959" w:themeColor="text1" w:themeTint="A6"/>
          <w:lang w:val="en-US"/>
        </w:rPr>
        <w:t xml:space="preserve">The current RPJMN (2015-2019) identifies </w:t>
      </w:r>
      <w:r w:rsidR="00346390" w:rsidRPr="00A11F64">
        <w:rPr>
          <w:rFonts w:asciiTheme="majorHAnsi" w:hAnsiTheme="majorHAnsi" w:cstheme="majorHAnsi"/>
          <w:color w:val="595959" w:themeColor="text1" w:themeTint="A6"/>
          <w:lang w:val="en-US"/>
        </w:rPr>
        <w:t>“</w:t>
      </w:r>
      <w:r w:rsidRPr="00A11F64">
        <w:rPr>
          <w:rFonts w:asciiTheme="majorHAnsi" w:hAnsiTheme="majorHAnsi" w:cstheme="majorHAnsi"/>
          <w:color w:val="595959" w:themeColor="text1" w:themeTint="A6"/>
          <w:lang w:val="en-US"/>
        </w:rPr>
        <w:t>improving the availability and coverage of basic services for poor communities</w:t>
      </w:r>
      <w:r w:rsidR="00346390" w:rsidRPr="00A11F64">
        <w:rPr>
          <w:rFonts w:asciiTheme="majorHAnsi" w:hAnsiTheme="majorHAnsi" w:cstheme="majorHAnsi"/>
          <w:color w:val="595959" w:themeColor="text1" w:themeTint="A6"/>
          <w:lang w:val="en-US"/>
        </w:rPr>
        <w:t>”</w:t>
      </w:r>
      <w:r w:rsidRPr="00A11F64">
        <w:rPr>
          <w:rFonts w:asciiTheme="majorHAnsi" w:hAnsiTheme="majorHAnsi" w:cstheme="majorHAnsi"/>
          <w:color w:val="595959" w:themeColor="text1" w:themeTint="A6"/>
          <w:lang w:val="en-US"/>
        </w:rPr>
        <w:t xml:space="preserve"> as </w:t>
      </w:r>
      <w:r w:rsidR="00523C42" w:rsidRPr="00A11F64">
        <w:rPr>
          <w:rFonts w:asciiTheme="majorHAnsi" w:hAnsiTheme="majorHAnsi" w:cstheme="majorHAnsi"/>
          <w:color w:val="595959" w:themeColor="text1" w:themeTint="A6"/>
          <w:lang w:val="en-US"/>
        </w:rPr>
        <w:t xml:space="preserve">a </w:t>
      </w:r>
      <w:r w:rsidRPr="00A11F64">
        <w:rPr>
          <w:rFonts w:asciiTheme="majorHAnsi" w:hAnsiTheme="majorHAnsi" w:cstheme="majorHAnsi"/>
          <w:color w:val="595959" w:themeColor="text1" w:themeTint="A6"/>
          <w:lang w:val="en-US"/>
        </w:rPr>
        <w:t>priority</w:t>
      </w:r>
      <w:r w:rsidR="00C84CB8">
        <w:rPr>
          <w:rFonts w:asciiTheme="majorHAnsi" w:hAnsiTheme="majorHAnsi" w:cstheme="majorHAnsi"/>
          <w:color w:val="595959" w:themeColor="text1" w:themeTint="A6"/>
          <w:lang w:val="en-US"/>
        </w:rPr>
        <w:t xml:space="preserve">. </w:t>
      </w:r>
      <w:r w:rsidRPr="00A11F64">
        <w:rPr>
          <w:rFonts w:asciiTheme="majorHAnsi" w:hAnsiTheme="majorHAnsi" w:cstheme="majorHAnsi"/>
          <w:color w:val="595959" w:themeColor="text1" w:themeTint="A6"/>
          <w:lang w:val="en-US"/>
        </w:rPr>
        <w:t>In the health sector, priority continues to be given to maternal and child health, and nutrition, as well as to the implementation and expansion of the national health insurance program</w:t>
      </w:r>
      <w:r w:rsidR="00C84CB8">
        <w:rPr>
          <w:rFonts w:asciiTheme="majorHAnsi" w:hAnsiTheme="majorHAnsi" w:cstheme="majorHAnsi"/>
          <w:color w:val="595959" w:themeColor="text1" w:themeTint="A6"/>
          <w:lang w:val="en-US"/>
        </w:rPr>
        <w:t xml:space="preserve">. </w:t>
      </w:r>
      <w:r w:rsidRPr="00A11F64">
        <w:rPr>
          <w:rFonts w:asciiTheme="majorHAnsi" w:hAnsiTheme="majorHAnsi" w:cstheme="majorHAnsi"/>
          <w:color w:val="595959" w:themeColor="text1" w:themeTint="A6"/>
          <w:lang w:val="en-US"/>
        </w:rPr>
        <w:t>In the livestock/animal health sector, priority is given to food security, increasing production and protecting the livelihoods of farmers</w:t>
      </w:r>
      <w:r w:rsidR="00C84CB8">
        <w:rPr>
          <w:rFonts w:asciiTheme="majorHAnsi" w:hAnsiTheme="majorHAnsi" w:cstheme="majorHAnsi"/>
          <w:color w:val="595959" w:themeColor="text1" w:themeTint="A6"/>
          <w:lang w:val="en-US"/>
        </w:rPr>
        <w:t xml:space="preserve">. </w:t>
      </w:r>
      <w:r w:rsidRPr="00A11F64">
        <w:rPr>
          <w:rFonts w:asciiTheme="majorHAnsi" w:hAnsiTheme="majorHAnsi" w:cstheme="majorHAnsi"/>
          <w:color w:val="595959" w:themeColor="text1" w:themeTint="A6"/>
          <w:lang w:val="en-US"/>
        </w:rPr>
        <w:t>DFAT is supporting the Indonesian government to undertake its 2018 Health Sector Review which will serve as an input to the new RPJMN (2020-2024) and will work to elevate issues pertaining to health security</w:t>
      </w:r>
      <w:r w:rsidR="00C84CB8">
        <w:rPr>
          <w:rFonts w:asciiTheme="majorHAnsi" w:hAnsiTheme="majorHAnsi" w:cstheme="majorHAnsi"/>
          <w:color w:val="595959" w:themeColor="text1" w:themeTint="A6"/>
          <w:lang w:val="en-US"/>
        </w:rPr>
        <w:t>.</w:t>
      </w:r>
      <w:r w:rsidR="00C83B0C" w:rsidRPr="00A11F64">
        <w:rPr>
          <w:rFonts w:asciiTheme="majorHAnsi" w:hAnsiTheme="majorHAnsi" w:cstheme="majorHAnsi"/>
          <w:color w:val="595959" w:themeColor="text1" w:themeTint="A6"/>
          <w:lang w:val="en-US"/>
        </w:rPr>
        <w:t xml:space="preserve"> </w:t>
      </w:r>
      <w:r w:rsidR="002039FA">
        <w:rPr>
          <w:rFonts w:asciiTheme="majorHAnsi" w:hAnsiTheme="majorHAnsi" w:cstheme="majorHAnsi"/>
          <w:color w:val="595959" w:themeColor="text1" w:themeTint="A6"/>
          <w:lang w:val="en-US"/>
        </w:rPr>
        <w:t>Indonesia is committed to achieving the Sustainable Development Goals</w:t>
      </w:r>
      <w:r w:rsidR="007E7336">
        <w:rPr>
          <w:rFonts w:asciiTheme="majorHAnsi" w:hAnsiTheme="majorHAnsi" w:cstheme="majorHAnsi"/>
          <w:color w:val="595959" w:themeColor="text1" w:themeTint="A6"/>
          <w:lang w:val="en-US"/>
        </w:rPr>
        <w:t>:</w:t>
      </w:r>
      <w:r w:rsidR="002039FA">
        <w:rPr>
          <w:rFonts w:asciiTheme="majorHAnsi" w:hAnsiTheme="majorHAnsi" w:cstheme="majorHAnsi"/>
          <w:color w:val="595959" w:themeColor="text1" w:themeTint="A6"/>
          <w:lang w:val="en-US"/>
        </w:rPr>
        <w:t xml:space="preserve"> </w:t>
      </w:r>
      <w:r w:rsidR="002039FA" w:rsidRPr="002039FA">
        <w:rPr>
          <w:rFonts w:asciiTheme="majorHAnsi" w:hAnsiTheme="majorHAnsi" w:cstheme="majorHAnsi"/>
          <w:color w:val="595959" w:themeColor="text1" w:themeTint="A6"/>
          <w:lang w:val="en-US"/>
        </w:rPr>
        <w:t>a universal call to action to end poverty, protect the planet and ensure that all people enjoy peace and prosperity</w:t>
      </w:r>
      <w:r w:rsidR="007E7336">
        <w:rPr>
          <w:rFonts w:asciiTheme="majorHAnsi" w:hAnsiTheme="majorHAnsi" w:cstheme="majorHAnsi"/>
          <w:color w:val="595959" w:themeColor="text1" w:themeTint="A6"/>
          <w:lang w:val="en-US"/>
        </w:rPr>
        <w:t>. Particularly relevant to the AIHSP are</w:t>
      </w:r>
      <w:r w:rsidR="002039FA">
        <w:rPr>
          <w:rFonts w:asciiTheme="majorHAnsi" w:hAnsiTheme="majorHAnsi" w:cstheme="majorHAnsi"/>
          <w:color w:val="595959" w:themeColor="text1" w:themeTint="A6"/>
          <w:lang w:val="en-US"/>
        </w:rPr>
        <w:t xml:space="preserve"> Goal 3 (Good health and well-being) and Goal 17 (Partnerships for the goals).</w:t>
      </w:r>
    </w:p>
    <w:p w:rsidR="00F07ABF" w:rsidRPr="0043356C" w:rsidRDefault="00F07ABF" w:rsidP="00F07ABF">
      <w:pPr>
        <w:pStyle w:val="Heading2"/>
        <w:spacing w:after="120" w:line="240" w:lineRule="auto"/>
        <w:contextualSpacing w:val="0"/>
        <w:rPr>
          <w:rFonts w:cstheme="majorHAnsi"/>
          <w:sz w:val="22"/>
          <w:szCs w:val="22"/>
          <w:lang w:val="en-US"/>
        </w:rPr>
      </w:pPr>
      <w:bookmarkStart w:id="7" w:name="_Toc3296993"/>
      <w:r w:rsidRPr="0043356C">
        <w:rPr>
          <w:rFonts w:cstheme="majorHAnsi"/>
          <w:sz w:val="22"/>
          <w:szCs w:val="22"/>
          <w:lang w:val="en-US"/>
        </w:rPr>
        <w:t>health security</w:t>
      </w:r>
      <w:r w:rsidR="00C23857" w:rsidRPr="0043356C">
        <w:rPr>
          <w:rFonts w:cstheme="majorHAnsi"/>
          <w:sz w:val="22"/>
          <w:szCs w:val="22"/>
          <w:lang w:val="en-US"/>
        </w:rPr>
        <w:t xml:space="preserve"> and universal health coverage</w:t>
      </w:r>
      <w:bookmarkEnd w:id="7"/>
    </w:p>
    <w:p w:rsidR="00F07ABF" w:rsidRPr="00A11F64" w:rsidRDefault="00C23857" w:rsidP="00A338B5">
      <w:pPr>
        <w:suppressAutoHyphens w:val="0"/>
        <w:spacing w:before="0" w:after="120" w:line="240" w:lineRule="auto"/>
        <w:rPr>
          <w:rFonts w:asciiTheme="majorHAnsi" w:hAnsiTheme="majorHAnsi" w:cstheme="majorHAnsi"/>
          <w:color w:val="595959" w:themeColor="text1" w:themeTint="A6"/>
          <w:lang w:val="en-US"/>
        </w:rPr>
      </w:pPr>
      <w:r w:rsidRPr="00EB4FEE">
        <w:rPr>
          <w:rFonts w:asciiTheme="majorHAnsi" w:hAnsiTheme="majorHAnsi" w:cstheme="majorHAnsi"/>
          <w:color w:val="595959" w:themeColor="text1" w:themeTint="A6"/>
        </w:rPr>
        <w:t>The GoI is committed to achieving universal health coverage</w:t>
      </w:r>
      <w:r w:rsidR="00346390" w:rsidRPr="00EB4FEE">
        <w:rPr>
          <w:rFonts w:asciiTheme="majorHAnsi" w:hAnsiTheme="majorHAnsi" w:cstheme="majorHAnsi"/>
          <w:color w:val="595959" w:themeColor="text1" w:themeTint="A6"/>
        </w:rPr>
        <w:t xml:space="preserve"> (UHC)</w:t>
      </w:r>
      <w:r w:rsidR="00C84CB8">
        <w:rPr>
          <w:rFonts w:asciiTheme="majorHAnsi" w:hAnsiTheme="majorHAnsi" w:cstheme="majorHAnsi"/>
          <w:color w:val="595959" w:themeColor="text1" w:themeTint="A6"/>
        </w:rPr>
        <w:t xml:space="preserve">. </w:t>
      </w:r>
      <w:r w:rsidRPr="00EB4FEE">
        <w:rPr>
          <w:rFonts w:asciiTheme="majorHAnsi" w:hAnsiTheme="majorHAnsi" w:cstheme="majorHAnsi"/>
          <w:color w:val="595959" w:themeColor="text1" w:themeTint="A6"/>
        </w:rPr>
        <w:t xml:space="preserve">In addition to the continued roll out of its national insurance program, Jaminan Kesehatan Nasional, health system strengthening is vital to GoI achieving </w:t>
      </w:r>
      <w:r w:rsidR="00045309" w:rsidRPr="00EB4FEE">
        <w:rPr>
          <w:rFonts w:asciiTheme="majorHAnsi" w:hAnsiTheme="majorHAnsi" w:cstheme="majorHAnsi"/>
          <w:color w:val="595959" w:themeColor="text1" w:themeTint="A6"/>
        </w:rPr>
        <w:t xml:space="preserve">the </w:t>
      </w:r>
      <w:r w:rsidRPr="00EB4FEE">
        <w:rPr>
          <w:rFonts w:asciiTheme="majorHAnsi" w:hAnsiTheme="majorHAnsi" w:cstheme="majorHAnsi"/>
          <w:color w:val="595959" w:themeColor="text1" w:themeTint="A6"/>
        </w:rPr>
        <w:t>goal</w:t>
      </w:r>
      <w:r w:rsidR="00044F37" w:rsidRPr="00EB4FEE">
        <w:rPr>
          <w:rFonts w:asciiTheme="majorHAnsi" w:hAnsiTheme="majorHAnsi" w:cstheme="majorHAnsi"/>
          <w:color w:val="595959" w:themeColor="text1" w:themeTint="A6"/>
        </w:rPr>
        <w:t xml:space="preserve"> of UHC</w:t>
      </w:r>
      <w:r w:rsidR="00C84CB8">
        <w:rPr>
          <w:rFonts w:asciiTheme="majorHAnsi" w:hAnsiTheme="majorHAnsi" w:cstheme="majorHAnsi"/>
          <w:color w:val="595959" w:themeColor="text1" w:themeTint="A6"/>
        </w:rPr>
        <w:t xml:space="preserve">. </w:t>
      </w:r>
      <w:r w:rsidRPr="00EB4FEE">
        <w:rPr>
          <w:rFonts w:asciiTheme="majorHAnsi" w:hAnsiTheme="majorHAnsi" w:cstheme="majorHAnsi"/>
          <w:color w:val="595959" w:themeColor="text1" w:themeTint="A6"/>
        </w:rPr>
        <w:t>Health system strengthening is also necessary for Indonesia to</w:t>
      </w:r>
      <w:r w:rsidR="00A338B5" w:rsidRPr="00EB4FEE">
        <w:rPr>
          <w:rFonts w:asciiTheme="majorHAnsi" w:hAnsiTheme="majorHAnsi" w:cstheme="majorHAnsi"/>
          <w:color w:val="595959" w:themeColor="text1" w:themeTint="A6"/>
        </w:rPr>
        <w:t xml:space="preserve"> improve its health security capacities and</w:t>
      </w:r>
      <w:r w:rsidRPr="00EB4FEE">
        <w:rPr>
          <w:rFonts w:asciiTheme="majorHAnsi" w:hAnsiTheme="majorHAnsi" w:cstheme="majorHAnsi"/>
          <w:color w:val="595959" w:themeColor="text1" w:themeTint="A6"/>
        </w:rPr>
        <w:t xml:space="preserve"> </w:t>
      </w:r>
      <w:r w:rsidR="00A338B5" w:rsidRPr="00A11F64">
        <w:rPr>
          <w:rFonts w:asciiTheme="majorHAnsi" w:hAnsiTheme="majorHAnsi" w:cstheme="majorHAnsi"/>
          <w:color w:val="595959" w:themeColor="text1" w:themeTint="A6"/>
          <w:lang w:val="en-US"/>
        </w:rPr>
        <w:t>comply with its international obligations under the IHR</w:t>
      </w:r>
      <w:r w:rsidR="00C84CB8">
        <w:rPr>
          <w:rFonts w:asciiTheme="majorHAnsi" w:hAnsiTheme="majorHAnsi" w:cstheme="majorHAnsi"/>
          <w:color w:val="595959" w:themeColor="text1" w:themeTint="A6"/>
          <w:lang w:val="en-US"/>
        </w:rPr>
        <w:t>.</w:t>
      </w:r>
      <w:r w:rsidR="00C83B0C" w:rsidRPr="00A11F64">
        <w:rPr>
          <w:rFonts w:asciiTheme="majorHAnsi" w:hAnsiTheme="majorHAnsi" w:cstheme="majorHAnsi"/>
          <w:color w:val="595959" w:themeColor="text1" w:themeTint="A6"/>
          <w:lang w:val="en-US"/>
        </w:rPr>
        <w:t xml:space="preserve"> </w:t>
      </w:r>
      <w:r w:rsidR="001E4070" w:rsidRPr="00A11F64">
        <w:rPr>
          <w:rFonts w:asciiTheme="majorHAnsi" w:hAnsiTheme="majorHAnsi" w:cstheme="majorHAnsi"/>
          <w:color w:val="595959" w:themeColor="text1" w:themeTint="A6"/>
          <w:lang w:val="en-US"/>
        </w:rPr>
        <w:t xml:space="preserve">Strong health systems are the best </w:t>
      </w:r>
      <w:r w:rsidR="00523C42" w:rsidRPr="00A11F64">
        <w:rPr>
          <w:rFonts w:asciiTheme="majorHAnsi" w:hAnsiTheme="majorHAnsi" w:cstheme="majorHAnsi"/>
          <w:color w:val="595959" w:themeColor="text1" w:themeTint="A6"/>
          <w:lang w:val="en-US"/>
        </w:rPr>
        <w:t>way to stop</w:t>
      </w:r>
      <w:r w:rsidR="001E4070" w:rsidRPr="00A11F64">
        <w:rPr>
          <w:rFonts w:asciiTheme="majorHAnsi" w:hAnsiTheme="majorHAnsi" w:cstheme="majorHAnsi"/>
          <w:color w:val="595959" w:themeColor="text1" w:themeTint="A6"/>
          <w:lang w:val="en-US"/>
        </w:rPr>
        <w:t xml:space="preserve"> infectious disease outbreaks developing into epidemics</w:t>
      </w:r>
      <w:r w:rsidR="001E4070" w:rsidRPr="00A11F64">
        <w:rPr>
          <w:rStyle w:val="FootnoteReference"/>
          <w:rFonts w:asciiTheme="majorHAnsi" w:hAnsiTheme="majorHAnsi" w:cstheme="majorHAnsi"/>
          <w:color w:val="595959" w:themeColor="text1" w:themeTint="A6"/>
          <w:lang w:val="en-US"/>
        </w:rPr>
        <w:footnoteReference w:id="7"/>
      </w:r>
      <w:r w:rsidR="001E4070" w:rsidRPr="00A11F64">
        <w:rPr>
          <w:rFonts w:asciiTheme="majorHAnsi" w:hAnsiTheme="majorHAnsi" w:cstheme="majorHAnsi"/>
          <w:color w:val="595959" w:themeColor="text1" w:themeTint="A6"/>
          <w:lang w:val="en-US"/>
        </w:rPr>
        <w:t xml:space="preserve">; </w:t>
      </w:r>
      <w:r w:rsidR="00523C42" w:rsidRPr="00A11F64">
        <w:rPr>
          <w:rFonts w:asciiTheme="majorHAnsi" w:hAnsiTheme="majorHAnsi" w:cstheme="majorHAnsi"/>
          <w:color w:val="595959" w:themeColor="text1" w:themeTint="A6"/>
          <w:lang w:val="en-US"/>
        </w:rPr>
        <w:t>U</w:t>
      </w:r>
      <w:r w:rsidR="00346390" w:rsidRPr="00A11F64">
        <w:rPr>
          <w:rFonts w:asciiTheme="majorHAnsi" w:hAnsiTheme="majorHAnsi" w:cstheme="majorHAnsi"/>
          <w:color w:val="595959" w:themeColor="text1" w:themeTint="A6"/>
          <w:lang w:val="en-US"/>
        </w:rPr>
        <w:t>H</w:t>
      </w:r>
      <w:r w:rsidR="00523C42" w:rsidRPr="00A11F64">
        <w:rPr>
          <w:rFonts w:asciiTheme="majorHAnsi" w:hAnsiTheme="majorHAnsi" w:cstheme="majorHAnsi"/>
          <w:color w:val="595959" w:themeColor="text1" w:themeTint="A6"/>
          <w:lang w:val="en-US"/>
        </w:rPr>
        <w:t>C</w:t>
      </w:r>
      <w:r w:rsidR="00A338B5" w:rsidRPr="00A11F64">
        <w:rPr>
          <w:rFonts w:asciiTheme="majorHAnsi" w:hAnsiTheme="majorHAnsi" w:cstheme="majorHAnsi"/>
          <w:color w:val="595959" w:themeColor="text1" w:themeTint="A6"/>
          <w:lang w:val="en-US"/>
        </w:rPr>
        <w:t xml:space="preserve"> and improved global health security </w:t>
      </w:r>
      <w:r w:rsidR="001E4070" w:rsidRPr="00A11F64">
        <w:rPr>
          <w:rFonts w:asciiTheme="majorHAnsi" w:hAnsiTheme="majorHAnsi" w:cstheme="majorHAnsi"/>
          <w:color w:val="595959" w:themeColor="text1" w:themeTint="A6"/>
          <w:lang w:val="en-US"/>
        </w:rPr>
        <w:t xml:space="preserve">are </w:t>
      </w:r>
      <w:r w:rsidR="00A338B5" w:rsidRPr="00A11F64">
        <w:rPr>
          <w:rFonts w:asciiTheme="majorHAnsi" w:hAnsiTheme="majorHAnsi" w:cstheme="majorHAnsi"/>
          <w:color w:val="595959" w:themeColor="text1" w:themeTint="A6"/>
          <w:lang w:val="en-US"/>
        </w:rPr>
        <w:t>therefore mutually reinforcing goals</w:t>
      </w:r>
      <w:r w:rsidR="00A338B5" w:rsidRPr="00A11F64">
        <w:rPr>
          <w:rStyle w:val="FootnoteReference"/>
          <w:rFonts w:asciiTheme="majorHAnsi" w:hAnsiTheme="majorHAnsi" w:cstheme="majorHAnsi"/>
          <w:color w:val="595959" w:themeColor="text1" w:themeTint="A6"/>
          <w:lang w:val="en-US"/>
        </w:rPr>
        <w:footnoteReference w:id="8"/>
      </w:r>
      <w:r w:rsidR="002B343A" w:rsidRPr="00A11F64">
        <w:rPr>
          <w:rFonts w:asciiTheme="majorHAnsi" w:hAnsiTheme="majorHAnsi" w:cstheme="majorHAnsi"/>
          <w:color w:val="595959" w:themeColor="text1" w:themeTint="A6"/>
          <w:lang w:val="en-US"/>
        </w:rPr>
        <w:t xml:space="preserve">, </w:t>
      </w:r>
      <w:r w:rsidR="00346390" w:rsidRPr="00A11F64">
        <w:rPr>
          <w:rFonts w:asciiTheme="majorHAnsi" w:hAnsiTheme="majorHAnsi" w:cstheme="majorHAnsi"/>
          <w:color w:val="595959" w:themeColor="text1" w:themeTint="A6"/>
          <w:lang w:val="en-US"/>
        </w:rPr>
        <w:t xml:space="preserve">and </w:t>
      </w:r>
      <w:r w:rsidR="002B343A" w:rsidRPr="00A11F64">
        <w:rPr>
          <w:rFonts w:asciiTheme="majorHAnsi" w:hAnsiTheme="majorHAnsi" w:cstheme="majorHAnsi"/>
          <w:color w:val="595959" w:themeColor="text1" w:themeTint="A6"/>
          <w:lang w:val="en-US"/>
        </w:rPr>
        <w:t>it is important to avoid a vertical or “siloed” approach to health security.</w:t>
      </w:r>
      <w:r w:rsidR="00E3704F" w:rsidRPr="00A11F64">
        <w:rPr>
          <w:rStyle w:val="FootnoteReference"/>
          <w:rFonts w:asciiTheme="majorHAnsi" w:hAnsiTheme="majorHAnsi" w:cstheme="majorHAnsi"/>
          <w:color w:val="595959" w:themeColor="text1" w:themeTint="A6"/>
          <w:lang w:val="en-US"/>
        </w:rPr>
        <w:footnoteReference w:id="9"/>
      </w:r>
      <w:r w:rsidR="00340266" w:rsidRPr="00A11F64">
        <w:rPr>
          <w:rFonts w:asciiTheme="majorHAnsi" w:hAnsiTheme="majorHAnsi" w:cstheme="majorHAnsi"/>
          <w:color w:val="595959" w:themeColor="text1" w:themeTint="A6"/>
          <w:lang w:val="en-US"/>
        </w:rPr>
        <w:t xml:space="preserve"> Australia’s efforts in the health sector will also be supported through the </w:t>
      </w:r>
      <w:r w:rsidR="00C36348" w:rsidRPr="00A11F64">
        <w:rPr>
          <w:rFonts w:asciiTheme="majorHAnsi" w:hAnsiTheme="majorHAnsi" w:cstheme="majorHAnsi"/>
          <w:color w:val="595959" w:themeColor="text1" w:themeTint="A6"/>
          <w:lang w:val="en-US"/>
        </w:rPr>
        <w:t>Governance for Growth (</w:t>
      </w:r>
      <w:r w:rsidR="00340266" w:rsidRPr="00A11F64">
        <w:rPr>
          <w:rFonts w:asciiTheme="majorHAnsi" w:hAnsiTheme="majorHAnsi" w:cstheme="majorHAnsi"/>
          <w:color w:val="595959" w:themeColor="text1" w:themeTint="A6"/>
          <w:lang w:val="en-US"/>
        </w:rPr>
        <w:t>KOMPAK</w:t>
      </w:r>
      <w:r w:rsidR="00C36348" w:rsidRPr="00A11F64">
        <w:rPr>
          <w:rFonts w:asciiTheme="majorHAnsi" w:hAnsiTheme="majorHAnsi" w:cstheme="majorHAnsi"/>
          <w:color w:val="595959" w:themeColor="text1" w:themeTint="A6"/>
          <w:lang w:val="en-US"/>
        </w:rPr>
        <w:t>)</w:t>
      </w:r>
      <w:r w:rsidR="00340266" w:rsidRPr="00A11F64">
        <w:rPr>
          <w:rFonts w:asciiTheme="majorHAnsi" w:hAnsiTheme="majorHAnsi" w:cstheme="majorHAnsi"/>
          <w:color w:val="595959" w:themeColor="text1" w:themeTint="A6"/>
          <w:lang w:val="en-US"/>
        </w:rPr>
        <w:t xml:space="preserve"> program. This program works at the subnational level to support basic service delivery using a health systems strengthening approach.</w:t>
      </w:r>
    </w:p>
    <w:p w:rsidR="00A338B5" w:rsidRPr="00A11F64" w:rsidRDefault="00170CC8" w:rsidP="00A338B5">
      <w:pPr>
        <w:suppressAutoHyphens w:val="0"/>
        <w:spacing w:before="0" w:after="120" w:line="240" w:lineRule="auto"/>
        <w:rPr>
          <w:rFonts w:asciiTheme="majorHAnsi" w:hAnsiTheme="majorHAnsi" w:cstheme="majorHAnsi"/>
          <w:color w:val="595959" w:themeColor="text1" w:themeTint="A6"/>
          <w:lang w:val="en-US"/>
        </w:rPr>
      </w:pPr>
      <w:r w:rsidRPr="00A11F64">
        <w:rPr>
          <w:rFonts w:asciiTheme="majorHAnsi" w:hAnsiTheme="majorHAnsi" w:cstheme="majorHAnsi"/>
          <w:color w:val="595959" w:themeColor="text1" w:themeTint="A6"/>
          <w:lang w:val="en-US"/>
        </w:rPr>
        <w:t>While G</w:t>
      </w:r>
      <w:r w:rsidR="00EF10AB" w:rsidRPr="00A11F64">
        <w:rPr>
          <w:rFonts w:asciiTheme="majorHAnsi" w:hAnsiTheme="majorHAnsi" w:cstheme="majorHAnsi"/>
          <w:color w:val="595959" w:themeColor="text1" w:themeTint="A6"/>
          <w:lang w:val="en-US"/>
        </w:rPr>
        <w:t>o</w:t>
      </w:r>
      <w:r w:rsidRPr="00A11F64">
        <w:rPr>
          <w:rFonts w:asciiTheme="majorHAnsi" w:hAnsiTheme="majorHAnsi" w:cstheme="majorHAnsi"/>
          <w:color w:val="595959" w:themeColor="text1" w:themeTint="A6"/>
          <w:lang w:val="en-US"/>
        </w:rPr>
        <w:t xml:space="preserve">I is shifting focus to </w:t>
      </w:r>
      <w:r w:rsidR="008322CC" w:rsidRPr="00A11F64">
        <w:rPr>
          <w:rFonts w:asciiTheme="majorHAnsi" w:hAnsiTheme="majorHAnsi" w:cstheme="majorHAnsi"/>
          <w:color w:val="595959" w:themeColor="text1" w:themeTint="A6"/>
          <w:lang w:val="en-US"/>
        </w:rPr>
        <w:t xml:space="preserve">a </w:t>
      </w:r>
      <w:r w:rsidRPr="00A11F64">
        <w:rPr>
          <w:rFonts w:asciiTheme="majorHAnsi" w:hAnsiTheme="majorHAnsi" w:cstheme="majorHAnsi"/>
          <w:color w:val="595959" w:themeColor="text1" w:themeTint="A6"/>
          <w:lang w:val="en-US"/>
        </w:rPr>
        <w:t>more evidence</w:t>
      </w:r>
      <w:r w:rsidR="00044F37" w:rsidRPr="00A11F64">
        <w:rPr>
          <w:rFonts w:asciiTheme="majorHAnsi" w:hAnsiTheme="majorHAnsi" w:cstheme="majorHAnsi"/>
          <w:color w:val="595959" w:themeColor="text1" w:themeTint="A6"/>
          <w:lang w:val="en-US"/>
        </w:rPr>
        <w:t>-</w:t>
      </w:r>
      <w:r w:rsidRPr="00A11F64">
        <w:rPr>
          <w:rFonts w:asciiTheme="majorHAnsi" w:hAnsiTheme="majorHAnsi" w:cstheme="majorHAnsi"/>
          <w:color w:val="595959" w:themeColor="text1" w:themeTint="A6"/>
          <w:lang w:val="en-US"/>
        </w:rPr>
        <w:t>based</w:t>
      </w:r>
      <w:r w:rsidR="008552E8" w:rsidRPr="00A11F64">
        <w:rPr>
          <w:rFonts w:asciiTheme="majorHAnsi" w:hAnsiTheme="majorHAnsi" w:cstheme="majorHAnsi"/>
          <w:color w:val="595959" w:themeColor="text1" w:themeTint="A6"/>
          <w:lang w:val="en-US"/>
        </w:rPr>
        <w:t xml:space="preserve"> approach to policy making there are challenges to </w:t>
      </w:r>
      <w:r w:rsidR="00EB788B" w:rsidRPr="00A11F64">
        <w:rPr>
          <w:rFonts w:asciiTheme="majorHAnsi" w:hAnsiTheme="majorHAnsi" w:cstheme="majorHAnsi"/>
          <w:color w:val="595959" w:themeColor="text1" w:themeTint="A6"/>
          <w:lang w:val="en-US"/>
        </w:rPr>
        <w:t>operationalising</w:t>
      </w:r>
      <w:r w:rsidR="008552E8" w:rsidRPr="00A11F64">
        <w:rPr>
          <w:rFonts w:asciiTheme="majorHAnsi" w:hAnsiTheme="majorHAnsi" w:cstheme="majorHAnsi"/>
          <w:color w:val="595959" w:themeColor="text1" w:themeTint="A6"/>
          <w:lang w:val="en-US"/>
        </w:rPr>
        <w:t xml:space="preserve"> this commitment</w:t>
      </w:r>
      <w:r w:rsidR="00C84CB8">
        <w:rPr>
          <w:rFonts w:asciiTheme="majorHAnsi" w:hAnsiTheme="majorHAnsi" w:cstheme="majorHAnsi"/>
          <w:color w:val="595959" w:themeColor="text1" w:themeTint="A6"/>
          <w:lang w:val="en-US"/>
        </w:rPr>
        <w:t>.</w:t>
      </w:r>
      <w:r w:rsidR="00C83B0C" w:rsidRPr="00A11F64">
        <w:rPr>
          <w:rFonts w:asciiTheme="majorHAnsi" w:hAnsiTheme="majorHAnsi" w:cstheme="majorHAnsi"/>
          <w:color w:val="595959" w:themeColor="text1" w:themeTint="A6"/>
          <w:lang w:val="en-US"/>
        </w:rPr>
        <w:t xml:space="preserve"> </w:t>
      </w:r>
      <w:r w:rsidR="008552E8" w:rsidRPr="00A11F64">
        <w:rPr>
          <w:rFonts w:asciiTheme="majorHAnsi" w:hAnsiTheme="majorHAnsi" w:cstheme="majorHAnsi"/>
          <w:color w:val="595959" w:themeColor="text1" w:themeTint="A6"/>
          <w:lang w:val="en-US"/>
        </w:rPr>
        <w:t>The JEE recommended Indonesia conduct a policy analysis to evaluate</w:t>
      </w:r>
      <w:r w:rsidR="00EB788B" w:rsidRPr="00A11F64">
        <w:rPr>
          <w:rFonts w:asciiTheme="majorHAnsi" w:hAnsiTheme="majorHAnsi" w:cstheme="majorHAnsi"/>
          <w:color w:val="595959" w:themeColor="text1" w:themeTint="A6"/>
          <w:lang w:val="en-US"/>
        </w:rPr>
        <w:t xml:space="preserve"> the need for new policies acro</w:t>
      </w:r>
      <w:r w:rsidR="008552E8" w:rsidRPr="00A11F64">
        <w:rPr>
          <w:rFonts w:asciiTheme="majorHAnsi" w:hAnsiTheme="majorHAnsi" w:cstheme="majorHAnsi"/>
          <w:color w:val="595959" w:themeColor="text1" w:themeTint="A6"/>
          <w:lang w:val="en-US"/>
        </w:rPr>
        <w:t xml:space="preserve">ss line </w:t>
      </w:r>
      <w:r w:rsidR="00EB788B" w:rsidRPr="00A11F64">
        <w:rPr>
          <w:rFonts w:asciiTheme="majorHAnsi" w:hAnsiTheme="majorHAnsi" w:cstheme="majorHAnsi"/>
          <w:color w:val="595959" w:themeColor="text1" w:themeTint="A6"/>
          <w:lang w:val="en-US"/>
        </w:rPr>
        <w:t>ministries</w:t>
      </w:r>
      <w:r w:rsidR="008552E8" w:rsidRPr="00A11F64">
        <w:rPr>
          <w:rFonts w:asciiTheme="majorHAnsi" w:hAnsiTheme="majorHAnsi" w:cstheme="majorHAnsi"/>
          <w:color w:val="595959" w:themeColor="text1" w:themeTint="A6"/>
          <w:lang w:val="en-US"/>
        </w:rPr>
        <w:t xml:space="preserve"> and administrative levels</w:t>
      </w:r>
      <w:r w:rsidR="00C84CB8">
        <w:rPr>
          <w:rFonts w:asciiTheme="majorHAnsi" w:hAnsiTheme="majorHAnsi" w:cstheme="majorHAnsi"/>
          <w:color w:val="595959" w:themeColor="text1" w:themeTint="A6"/>
          <w:lang w:val="en-US"/>
        </w:rPr>
        <w:t>.</w:t>
      </w:r>
      <w:r w:rsidR="00C83B0C" w:rsidRPr="00A11F64">
        <w:rPr>
          <w:rFonts w:asciiTheme="majorHAnsi" w:hAnsiTheme="majorHAnsi" w:cstheme="majorHAnsi"/>
          <w:color w:val="595959" w:themeColor="text1" w:themeTint="A6"/>
          <w:lang w:val="en-US"/>
        </w:rPr>
        <w:t xml:space="preserve"> </w:t>
      </w:r>
      <w:r w:rsidR="008552E8" w:rsidRPr="00A11F64">
        <w:rPr>
          <w:rFonts w:asciiTheme="majorHAnsi" w:hAnsiTheme="majorHAnsi" w:cstheme="majorHAnsi"/>
          <w:color w:val="595959" w:themeColor="text1" w:themeTint="A6"/>
          <w:lang w:val="en-US"/>
        </w:rPr>
        <w:t xml:space="preserve">Previously the </w:t>
      </w:r>
      <w:r w:rsidR="00A338B5" w:rsidRPr="00A11F64">
        <w:rPr>
          <w:rFonts w:asciiTheme="majorHAnsi" w:hAnsiTheme="majorHAnsi" w:cstheme="majorHAnsi"/>
          <w:color w:val="595959" w:themeColor="text1" w:themeTint="A6"/>
          <w:lang w:val="en-US"/>
        </w:rPr>
        <w:t>Australia</w:t>
      </w:r>
      <w:r w:rsidR="00806CF3" w:rsidRPr="00A11F64">
        <w:rPr>
          <w:rFonts w:asciiTheme="majorHAnsi" w:hAnsiTheme="majorHAnsi" w:cstheme="majorHAnsi"/>
          <w:color w:val="595959" w:themeColor="text1" w:themeTint="A6"/>
          <w:lang w:val="en-US"/>
        </w:rPr>
        <w:t xml:space="preserve"> </w:t>
      </w:r>
      <w:r w:rsidR="00A338B5" w:rsidRPr="00A11F64">
        <w:rPr>
          <w:rFonts w:asciiTheme="majorHAnsi" w:hAnsiTheme="majorHAnsi" w:cstheme="majorHAnsi"/>
          <w:color w:val="595959" w:themeColor="text1" w:themeTint="A6"/>
          <w:lang w:val="en-US"/>
        </w:rPr>
        <w:t xml:space="preserve">Indonesia Partnership for Health Systems Strengthening </w:t>
      </w:r>
      <w:r w:rsidR="00D46198" w:rsidRPr="00A11F64">
        <w:rPr>
          <w:rFonts w:asciiTheme="majorHAnsi" w:hAnsiTheme="majorHAnsi" w:cstheme="majorHAnsi"/>
          <w:color w:val="595959" w:themeColor="text1" w:themeTint="A6"/>
          <w:lang w:val="en-US"/>
        </w:rPr>
        <w:t xml:space="preserve">(AIPHSS) </w:t>
      </w:r>
      <w:r w:rsidR="00A338B5" w:rsidRPr="00A11F64">
        <w:rPr>
          <w:rFonts w:asciiTheme="majorHAnsi" w:hAnsiTheme="majorHAnsi" w:cstheme="majorHAnsi"/>
          <w:color w:val="595959" w:themeColor="text1" w:themeTint="A6"/>
          <w:lang w:val="en-US"/>
        </w:rPr>
        <w:t>(2011-2016) and the Australia</w:t>
      </w:r>
      <w:r w:rsidR="00806CF3" w:rsidRPr="00A11F64">
        <w:rPr>
          <w:rFonts w:asciiTheme="majorHAnsi" w:hAnsiTheme="majorHAnsi" w:cstheme="majorHAnsi"/>
          <w:color w:val="595959" w:themeColor="text1" w:themeTint="A6"/>
          <w:lang w:val="en-US"/>
        </w:rPr>
        <w:t xml:space="preserve"> </w:t>
      </w:r>
      <w:r w:rsidR="00A338B5" w:rsidRPr="00A11F64">
        <w:rPr>
          <w:rFonts w:asciiTheme="majorHAnsi" w:hAnsiTheme="majorHAnsi" w:cstheme="majorHAnsi"/>
          <w:color w:val="595959" w:themeColor="text1" w:themeTint="A6"/>
          <w:lang w:val="en-US"/>
        </w:rPr>
        <w:t>Indonesia Partnership for Pro-poor Policy: The Knowledge Sector Initiative (KSI) (2012-ongoing)</w:t>
      </w:r>
      <w:r w:rsidR="001E4070" w:rsidRPr="00A11F64">
        <w:rPr>
          <w:rFonts w:asciiTheme="majorHAnsi" w:hAnsiTheme="majorHAnsi" w:cstheme="majorHAnsi"/>
          <w:color w:val="595959" w:themeColor="text1" w:themeTint="A6"/>
          <w:lang w:val="en-US"/>
        </w:rPr>
        <w:t xml:space="preserve"> </w:t>
      </w:r>
      <w:r w:rsidR="008552E8" w:rsidRPr="00A11F64">
        <w:rPr>
          <w:rFonts w:asciiTheme="majorHAnsi" w:hAnsiTheme="majorHAnsi" w:cstheme="majorHAnsi"/>
          <w:color w:val="595959" w:themeColor="text1" w:themeTint="A6"/>
          <w:lang w:val="en-US"/>
        </w:rPr>
        <w:t xml:space="preserve">worked together </w:t>
      </w:r>
      <w:r w:rsidR="00EB788B" w:rsidRPr="00A11F64">
        <w:rPr>
          <w:rFonts w:asciiTheme="majorHAnsi" w:hAnsiTheme="majorHAnsi" w:cstheme="majorHAnsi"/>
          <w:color w:val="595959" w:themeColor="text1" w:themeTint="A6"/>
          <w:lang w:val="en-US"/>
        </w:rPr>
        <w:t>to support</w:t>
      </w:r>
      <w:r w:rsidR="008552E8" w:rsidRPr="00A11F64">
        <w:rPr>
          <w:rFonts w:asciiTheme="majorHAnsi" w:hAnsiTheme="majorHAnsi" w:cstheme="majorHAnsi"/>
          <w:color w:val="595959" w:themeColor="text1" w:themeTint="A6"/>
          <w:lang w:val="en-US"/>
        </w:rPr>
        <w:t xml:space="preserve"> the health sector in this approach</w:t>
      </w:r>
      <w:r w:rsidR="00C84CB8">
        <w:rPr>
          <w:rFonts w:asciiTheme="majorHAnsi" w:hAnsiTheme="majorHAnsi" w:cstheme="majorHAnsi"/>
          <w:color w:val="595959" w:themeColor="text1" w:themeTint="A6"/>
          <w:lang w:val="en-US"/>
        </w:rPr>
        <w:t>.</w:t>
      </w:r>
      <w:r w:rsidR="00C83B0C" w:rsidRPr="00A11F64">
        <w:rPr>
          <w:rFonts w:asciiTheme="majorHAnsi" w:hAnsiTheme="majorHAnsi" w:cstheme="majorHAnsi"/>
          <w:color w:val="595959" w:themeColor="text1" w:themeTint="A6"/>
          <w:lang w:val="en-US"/>
        </w:rPr>
        <w:t xml:space="preserve"> </w:t>
      </w:r>
      <w:r w:rsidR="008552E8" w:rsidRPr="00A11F64">
        <w:rPr>
          <w:rFonts w:asciiTheme="majorHAnsi" w:hAnsiTheme="majorHAnsi" w:cstheme="majorHAnsi"/>
          <w:color w:val="595959" w:themeColor="text1" w:themeTint="A6"/>
          <w:lang w:val="en-US"/>
        </w:rPr>
        <w:t>While the AIPHSS program completed in 2016, the KSI program has</w:t>
      </w:r>
      <w:r w:rsidR="00765ACD" w:rsidRPr="00A11F64">
        <w:rPr>
          <w:rFonts w:asciiTheme="majorHAnsi" w:hAnsiTheme="majorHAnsi" w:cstheme="majorHAnsi"/>
          <w:color w:val="595959" w:themeColor="text1" w:themeTint="A6"/>
          <w:lang w:val="en-US"/>
        </w:rPr>
        <w:t xml:space="preserve"> continued</w:t>
      </w:r>
      <w:r w:rsidR="00C84CB8">
        <w:rPr>
          <w:rFonts w:asciiTheme="majorHAnsi" w:hAnsiTheme="majorHAnsi" w:cstheme="majorHAnsi"/>
          <w:color w:val="595959" w:themeColor="text1" w:themeTint="A6"/>
          <w:lang w:val="en-US"/>
        </w:rPr>
        <w:t>.</w:t>
      </w:r>
      <w:r w:rsidR="00C83B0C" w:rsidRPr="00A11F64">
        <w:rPr>
          <w:rFonts w:asciiTheme="majorHAnsi" w:hAnsiTheme="majorHAnsi" w:cstheme="majorHAnsi"/>
          <w:color w:val="595959" w:themeColor="text1" w:themeTint="A6"/>
          <w:lang w:val="en-US"/>
        </w:rPr>
        <w:t xml:space="preserve"> </w:t>
      </w:r>
      <w:r w:rsidR="00765ACD" w:rsidRPr="00A11F64">
        <w:rPr>
          <w:rFonts w:asciiTheme="majorHAnsi" w:hAnsiTheme="majorHAnsi" w:cstheme="majorHAnsi"/>
          <w:color w:val="595959" w:themeColor="text1" w:themeTint="A6"/>
          <w:lang w:val="en-US"/>
        </w:rPr>
        <w:t>Although KSI</w:t>
      </w:r>
      <w:r w:rsidR="008552E8" w:rsidRPr="00A11F64">
        <w:rPr>
          <w:rFonts w:asciiTheme="majorHAnsi" w:hAnsiTheme="majorHAnsi" w:cstheme="majorHAnsi"/>
          <w:color w:val="595959" w:themeColor="text1" w:themeTint="A6"/>
          <w:lang w:val="en-US"/>
        </w:rPr>
        <w:t xml:space="preserve"> </w:t>
      </w:r>
      <w:r w:rsidR="00EB788B" w:rsidRPr="00A11F64">
        <w:rPr>
          <w:rFonts w:asciiTheme="majorHAnsi" w:hAnsiTheme="majorHAnsi" w:cstheme="majorHAnsi"/>
          <w:color w:val="595959" w:themeColor="text1" w:themeTint="A6"/>
          <w:lang w:val="en-US"/>
        </w:rPr>
        <w:t xml:space="preserve">has </w:t>
      </w:r>
      <w:r w:rsidR="008552E8" w:rsidRPr="00A11F64">
        <w:rPr>
          <w:rFonts w:asciiTheme="majorHAnsi" w:hAnsiTheme="majorHAnsi" w:cstheme="majorHAnsi"/>
          <w:color w:val="595959" w:themeColor="text1" w:themeTint="A6"/>
          <w:lang w:val="en-US"/>
        </w:rPr>
        <w:t>broaden</w:t>
      </w:r>
      <w:r w:rsidR="00EB788B" w:rsidRPr="00A11F64">
        <w:rPr>
          <w:rFonts w:asciiTheme="majorHAnsi" w:hAnsiTheme="majorHAnsi" w:cstheme="majorHAnsi"/>
          <w:color w:val="595959" w:themeColor="text1" w:themeTint="A6"/>
          <w:lang w:val="en-US"/>
        </w:rPr>
        <w:t>ed</w:t>
      </w:r>
      <w:r w:rsidR="008552E8" w:rsidRPr="00A11F64">
        <w:rPr>
          <w:rFonts w:asciiTheme="majorHAnsi" w:hAnsiTheme="majorHAnsi" w:cstheme="majorHAnsi"/>
          <w:color w:val="595959" w:themeColor="text1" w:themeTint="A6"/>
          <w:lang w:val="en-US"/>
        </w:rPr>
        <w:t xml:space="preserve"> </w:t>
      </w:r>
      <w:r w:rsidR="00765ACD" w:rsidRPr="00A11F64">
        <w:rPr>
          <w:rFonts w:asciiTheme="majorHAnsi" w:hAnsiTheme="majorHAnsi" w:cstheme="majorHAnsi"/>
          <w:color w:val="595959" w:themeColor="text1" w:themeTint="A6"/>
          <w:lang w:val="en-US"/>
        </w:rPr>
        <w:t xml:space="preserve">its focus </w:t>
      </w:r>
      <w:r w:rsidR="008552E8" w:rsidRPr="00A11F64">
        <w:rPr>
          <w:rFonts w:asciiTheme="majorHAnsi" w:hAnsiTheme="majorHAnsi" w:cstheme="majorHAnsi"/>
          <w:color w:val="595959" w:themeColor="text1" w:themeTint="A6"/>
          <w:lang w:val="en-US"/>
        </w:rPr>
        <w:t xml:space="preserve">across </w:t>
      </w:r>
      <w:r w:rsidR="00EB788B" w:rsidRPr="00A11F64">
        <w:rPr>
          <w:rFonts w:asciiTheme="majorHAnsi" w:hAnsiTheme="majorHAnsi" w:cstheme="majorHAnsi"/>
          <w:color w:val="595959" w:themeColor="text1" w:themeTint="A6"/>
          <w:lang w:val="en-US"/>
        </w:rPr>
        <w:t>multiple sectors, it is</w:t>
      </w:r>
      <w:r w:rsidR="008552E8" w:rsidRPr="00A11F64">
        <w:rPr>
          <w:rFonts w:asciiTheme="majorHAnsi" w:hAnsiTheme="majorHAnsi" w:cstheme="majorHAnsi"/>
          <w:color w:val="595959" w:themeColor="text1" w:themeTint="A6"/>
          <w:lang w:val="en-US"/>
        </w:rPr>
        <w:t xml:space="preserve"> currently supporting </w:t>
      </w:r>
      <w:r w:rsidR="00346390" w:rsidRPr="00A11F64">
        <w:rPr>
          <w:rFonts w:asciiTheme="majorHAnsi" w:hAnsiTheme="majorHAnsi" w:cstheme="majorHAnsi"/>
          <w:color w:val="595959" w:themeColor="text1" w:themeTint="A6"/>
          <w:lang w:val="en-US"/>
        </w:rPr>
        <w:t>UHC</w:t>
      </w:r>
      <w:r w:rsidR="008552E8" w:rsidRPr="00A11F64">
        <w:rPr>
          <w:rFonts w:asciiTheme="majorHAnsi" w:hAnsiTheme="majorHAnsi" w:cstheme="majorHAnsi"/>
          <w:color w:val="595959" w:themeColor="text1" w:themeTint="A6"/>
          <w:lang w:val="en-US"/>
        </w:rPr>
        <w:t xml:space="preserve"> through the </w:t>
      </w:r>
      <w:r w:rsidR="00A0248C" w:rsidRPr="00A11F64">
        <w:rPr>
          <w:rFonts w:asciiTheme="majorHAnsi" w:hAnsiTheme="majorHAnsi" w:cstheme="majorHAnsi"/>
          <w:color w:val="595959" w:themeColor="text1" w:themeTint="A6"/>
          <w:lang w:val="en-US"/>
        </w:rPr>
        <w:t>Centre for Public Health Management (</w:t>
      </w:r>
      <w:r w:rsidR="00044F37" w:rsidRPr="00A11F64">
        <w:rPr>
          <w:rFonts w:asciiTheme="majorHAnsi" w:hAnsiTheme="majorHAnsi" w:cstheme="majorHAnsi"/>
          <w:color w:val="595959" w:themeColor="text1" w:themeTint="A6"/>
          <w:lang w:val="en-US"/>
        </w:rPr>
        <w:t xml:space="preserve">a </w:t>
      </w:r>
      <w:r w:rsidR="00A0248C" w:rsidRPr="00A11F64">
        <w:rPr>
          <w:rFonts w:asciiTheme="majorHAnsi" w:hAnsiTheme="majorHAnsi" w:cstheme="majorHAnsi"/>
          <w:color w:val="595959" w:themeColor="text1" w:themeTint="A6"/>
          <w:lang w:val="en-US"/>
        </w:rPr>
        <w:t>health sector t</w:t>
      </w:r>
      <w:r w:rsidR="008552E8" w:rsidRPr="00A11F64">
        <w:rPr>
          <w:rFonts w:asciiTheme="majorHAnsi" w:hAnsiTheme="majorHAnsi" w:cstheme="majorHAnsi"/>
          <w:color w:val="595959" w:themeColor="text1" w:themeTint="A6"/>
          <w:lang w:val="en-US"/>
        </w:rPr>
        <w:t>hink tank</w:t>
      </w:r>
      <w:r w:rsidR="00A0248C" w:rsidRPr="00A11F64">
        <w:rPr>
          <w:rFonts w:asciiTheme="majorHAnsi" w:hAnsiTheme="majorHAnsi" w:cstheme="majorHAnsi"/>
          <w:color w:val="595959" w:themeColor="text1" w:themeTint="A6"/>
          <w:lang w:val="en-US"/>
        </w:rPr>
        <w:t>)</w:t>
      </w:r>
      <w:r w:rsidR="008552E8" w:rsidRPr="00A11F64">
        <w:rPr>
          <w:rFonts w:asciiTheme="majorHAnsi" w:hAnsiTheme="majorHAnsi" w:cstheme="majorHAnsi"/>
          <w:color w:val="595959" w:themeColor="text1" w:themeTint="A6"/>
          <w:lang w:val="en-US"/>
        </w:rPr>
        <w:t xml:space="preserve"> </w:t>
      </w:r>
      <w:r w:rsidR="00A0248C" w:rsidRPr="00A11F64">
        <w:rPr>
          <w:rFonts w:asciiTheme="majorHAnsi" w:hAnsiTheme="majorHAnsi" w:cstheme="majorHAnsi"/>
          <w:color w:val="595959" w:themeColor="text1" w:themeTint="A6"/>
          <w:lang w:val="en-US"/>
        </w:rPr>
        <w:t xml:space="preserve">based </w:t>
      </w:r>
      <w:r w:rsidR="008552E8" w:rsidRPr="00A11F64">
        <w:rPr>
          <w:rFonts w:asciiTheme="majorHAnsi" w:hAnsiTheme="majorHAnsi" w:cstheme="majorHAnsi"/>
          <w:color w:val="595959" w:themeColor="text1" w:themeTint="A6"/>
          <w:lang w:val="en-US"/>
        </w:rPr>
        <w:t xml:space="preserve">at </w:t>
      </w:r>
      <w:r w:rsidR="00045DC0" w:rsidRPr="00A11F64">
        <w:rPr>
          <w:rFonts w:asciiTheme="majorHAnsi" w:hAnsiTheme="majorHAnsi" w:cstheme="majorHAnsi"/>
          <w:color w:val="595959" w:themeColor="text1" w:themeTint="A6"/>
          <w:lang w:val="en-US"/>
        </w:rPr>
        <w:t>Gadjah Mada University</w:t>
      </w:r>
      <w:r w:rsidR="00C83B0C" w:rsidRPr="00A11F64">
        <w:rPr>
          <w:rFonts w:asciiTheme="majorHAnsi" w:hAnsiTheme="majorHAnsi" w:cstheme="majorHAnsi"/>
          <w:color w:val="595959" w:themeColor="text1" w:themeTint="A6"/>
          <w:lang w:val="en-US"/>
        </w:rPr>
        <w:t xml:space="preserve">. </w:t>
      </w:r>
      <w:r w:rsidR="008552E8" w:rsidRPr="00A11F64">
        <w:rPr>
          <w:rFonts w:asciiTheme="majorHAnsi" w:hAnsiTheme="majorHAnsi" w:cstheme="majorHAnsi"/>
          <w:color w:val="595959" w:themeColor="text1" w:themeTint="A6"/>
          <w:lang w:val="en-US"/>
        </w:rPr>
        <w:t xml:space="preserve">Both programs </w:t>
      </w:r>
      <w:r w:rsidR="00346390" w:rsidRPr="00A11F64">
        <w:rPr>
          <w:rFonts w:asciiTheme="majorHAnsi" w:hAnsiTheme="majorHAnsi" w:cstheme="majorHAnsi"/>
          <w:color w:val="595959" w:themeColor="text1" w:themeTint="A6"/>
          <w:lang w:val="en-US"/>
        </w:rPr>
        <w:t xml:space="preserve">have </w:t>
      </w:r>
      <w:r w:rsidR="008552E8" w:rsidRPr="00A11F64">
        <w:rPr>
          <w:rFonts w:asciiTheme="majorHAnsi" w:hAnsiTheme="majorHAnsi" w:cstheme="majorHAnsi"/>
          <w:color w:val="595959" w:themeColor="text1" w:themeTint="A6"/>
          <w:lang w:val="en-US"/>
        </w:rPr>
        <w:t>provide</w:t>
      </w:r>
      <w:r w:rsidR="00346390" w:rsidRPr="00A11F64">
        <w:rPr>
          <w:rFonts w:asciiTheme="majorHAnsi" w:hAnsiTheme="majorHAnsi" w:cstheme="majorHAnsi"/>
          <w:color w:val="595959" w:themeColor="text1" w:themeTint="A6"/>
          <w:lang w:val="en-US"/>
        </w:rPr>
        <w:t>d</w:t>
      </w:r>
      <w:r w:rsidR="008552E8" w:rsidRPr="00A11F64">
        <w:rPr>
          <w:rFonts w:asciiTheme="majorHAnsi" w:hAnsiTheme="majorHAnsi" w:cstheme="majorHAnsi"/>
          <w:color w:val="595959" w:themeColor="text1" w:themeTint="A6"/>
          <w:lang w:val="en-US"/>
        </w:rPr>
        <w:t xml:space="preserve"> valuable lessons and potential linkages to allow AIHSP to support evidence</w:t>
      </w:r>
      <w:r w:rsidR="00044F37" w:rsidRPr="00A11F64">
        <w:rPr>
          <w:rFonts w:asciiTheme="majorHAnsi" w:hAnsiTheme="majorHAnsi" w:cstheme="majorHAnsi"/>
          <w:color w:val="595959" w:themeColor="text1" w:themeTint="A6"/>
          <w:lang w:val="en-US"/>
        </w:rPr>
        <w:t xml:space="preserve">-based </w:t>
      </w:r>
      <w:r w:rsidR="008552E8" w:rsidRPr="00A11F64">
        <w:rPr>
          <w:rFonts w:asciiTheme="majorHAnsi" w:hAnsiTheme="majorHAnsi" w:cstheme="majorHAnsi"/>
          <w:color w:val="595959" w:themeColor="text1" w:themeTint="A6"/>
          <w:lang w:val="en-US"/>
        </w:rPr>
        <w:t>policy development in the field of health security</w:t>
      </w:r>
      <w:r w:rsidR="00C84CB8">
        <w:rPr>
          <w:rFonts w:asciiTheme="majorHAnsi" w:hAnsiTheme="majorHAnsi" w:cstheme="majorHAnsi"/>
          <w:color w:val="595959" w:themeColor="text1" w:themeTint="A6"/>
          <w:lang w:val="en-US"/>
        </w:rPr>
        <w:t>.</w:t>
      </w:r>
    </w:p>
    <w:p w:rsidR="00703BC6" w:rsidRPr="0043356C" w:rsidRDefault="00703BC6" w:rsidP="00BF6C52">
      <w:pPr>
        <w:pStyle w:val="Heading2"/>
        <w:spacing w:after="120" w:line="240" w:lineRule="auto"/>
        <w:contextualSpacing w:val="0"/>
        <w:rPr>
          <w:rFonts w:cstheme="majorHAnsi"/>
          <w:sz w:val="22"/>
          <w:szCs w:val="22"/>
          <w:lang w:val="en-US"/>
        </w:rPr>
      </w:pPr>
      <w:bookmarkStart w:id="8" w:name="_Toc3296994"/>
      <w:r w:rsidRPr="0043356C">
        <w:rPr>
          <w:rFonts w:cstheme="majorHAnsi"/>
          <w:sz w:val="22"/>
          <w:szCs w:val="22"/>
          <w:lang w:val="en-US"/>
        </w:rPr>
        <w:t>Gender and disability inclusion in health security</w:t>
      </w:r>
      <w:bookmarkEnd w:id="8"/>
    </w:p>
    <w:p w:rsidR="00762452" w:rsidRPr="00EB4FEE" w:rsidRDefault="00346390" w:rsidP="001E3C42">
      <w:pPr>
        <w:suppressAutoHyphens w:val="0"/>
        <w:spacing w:before="0" w:after="120" w:line="240" w:lineRule="auto"/>
        <w:rPr>
          <w:rFonts w:asciiTheme="majorHAnsi" w:hAnsiTheme="majorHAnsi" w:cstheme="majorHAnsi"/>
          <w:color w:val="595959" w:themeColor="text1" w:themeTint="A6"/>
          <w:lang w:val="en-US"/>
        </w:rPr>
      </w:pPr>
      <w:r w:rsidRPr="00EB4FEE">
        <w:rPr>
          <w:rFonts w:asciiTheme="majorHAnsi" w:hAnsiTheme="majorHAnsi" w:cstheme="majorHAnsi"/>
          <w:color w:val="595959" w:themeColor="text1" w:themeTint="A6"/>
        </w:rPr>
        <w:t xml:space="preserve">An analysis of links between gender and EIDs carried out by the </w:t>
      </w:r>
      <w:r w:rsidR="009336CF" w:rsidRPr="00EB4FEE">
        <w:rPr>
          <w:rFonts w:asciiTheme="majorHAnsi" w:hAnsiTheme="majorHAnsi" w:cstheme="majorHAnsi"/>
          <w:color w:val="595959" w:themeColor="text1" w:themeTint="A6"/>
        </w:rPr>
        <w:t>Indo-Pacific Centre for Health Security (</w:t>
      </w:r>
      <w:r w:rsidR="000125A1" w:rsidRPr="00EB4FEE">
        <w:rPr>
          <w:rFonts w:asciiTheme="majorHAnsi" w:hAnsiTheme="majorHAnsi" w:cstheme="majorHAnsi"/>
          <w:color w:val="595959" w:themeColor="text1" w:themeTint="A6"/>
          <w:lang w:val="en-US"/>
        </w:rPr>
        <w:t>IPCHS</w:t>
      </w:r>
      <w:r w:rsidR="009336CF" w:rsidRPr="00EB4FEE">
        <w:rPr>
          <w:rFonts w:asciiTheme="majorHAnsi" w:hAnsiTheme="majorHAnsi" w:cstheme="majorHAnsi"/>
          <w:color w:val="595959" w:themeColor="text1" w:themeTint="A6"/>
          <w:lang w:val="en-US"/>
        </w:rPr>
        <w:t>)</w:t>
      </w:r>
      <w:r w:rsidR="000125A1" w:rsidRPr="00EB4FEE">
        <w:rPr>
          <w:rFonts w:asciiTheme="majorHAnsi" w:hAnsiTheme="majorHAnsi" w:cstheme="majorHAnsi"/>
          <w:color w:val="595959" w:themeColor="text1" w:themeTint="A6"/>
          <w:lang w:val="en-US"/>
        </w:rPr>
        <w:t xml:space="preserve"> </w:t>
      </w:r>
      <w:r w:rsidRPr="00EB4FEE">
        <w:rPr>
          <w:rFonts w:asciiTheme="majorHAnsi" w:hAnsiTheme="majorHAnsi" w:cstheme="majorHAnsi"/>
          <w:color w:val="595959" w:themeColor="text1" w:themeTint="A6"/>
          <w:lang w:val="en-US"/>
        </w:rPr>
        <w:t>has shown</w:t>
      </w:r>
      <w:r w:rsidR="000125A1" w:rsidRPr="00EB4FEE">
        <w:rPr>
          <w:rFonts w:asciiTheme="majorHAnsi" w:hAnsiTheme="majorHAnsi" w:cstheme="majorHAnsi"/>
          <w:color w:val="595959" w:themeColor="text1" w:themeTint="A6"/>
          <w:lang w:val="en-US"/>
        </w:rPr>
        <w:t xml:space="preserve"> that g</w:t>
      </w:r>
      <w:r w:rsidR="000F2F58" w:rsidRPr="00EB4FEE">
        <w:rPr>
          <w:rFonts w:asciiTheme="majorHAnsi" w:hAnsiTheme="majorHAnsi" w:cstheme="majorHAnsi"/>
          <w:color w:val="595959" w:themeColor="text1" w:themeTint="A6"/>
          <w:lang w:val="en-US"/>
        </w:rPr>
        <w:t xml:space="preserve">ender differences in behaviours, activities, and access to resources and decision-making affect disease transmission and outcomes for many different </w:t>
      </w:r>
      <w:r w:rsidR="006F29F9" w:rsidRPr="00EB4FEE">
        <w:rPr>
          <w:rFonts w:asciiTheme="majorHAnsi" w:hAnsiTheme="majorHAnsi" w:cstheme="majorHAnsi"/>
          <w:color w:val="595959" w:themeColor="text1" w:themeTint="A6"/>
          <w:lang w:val="en-US"/>
        </w:rPr>
        <w:t>EIDs</w:t>
      </w:r>
      <w:r w:rsidR="000F2F58" w:rsidRPr="00EB4FEE">
        <w:rPr>
          <w:rFonts w:asciiTheme="majorHAnsi" w:hAnsiTheme="majorHAnsi" w:cstheme="majorHAnsi"/>
          <w:color w:val="595959" w:themeColor="text1" w:themeTint="A6"/>
          <w:lang w:val="en-US"/>
        </w:rPr>
        <w:t>.</w:t>
      </w:r>
      <w:r w:rsidR="009336CF" w:rsidRPr="00EB4FEE">
        <w:rPr>
          <w:rStyle w:val="FootnoteReference"/>
          <w:rFonts w:asciiTheme="majorHAnsi" w:hAnsiTheme="majorHAnsi" w:cstheme="majorHAnsi"/>
          <w:color w:val="595959" w:themeColor="text1" w:themeTint="A6"/>
          <w:lang w:val="en-US"/>
        </w:rPr>
        <w:footnoteReference w:id="10"/>
      </w:r>
      <w:r w:rsidRPr="00EB4FEE">
        <w:rPr>
          <w:rFonts w:asciiTheme="majorHAnsi" w:hAnsiTheme="majorHAnsi" w:cstheme="majorHAnsi"/>
          <w:color w:val="595959" w:themeColor="text1" w:themeTint="A6"/>
          <w:lang w:val="en-US"/>
        </w:rPr>
        <w:t xml:space="preserve"> I</w:t>
      </w:r>
      <w:r w:rsidR="00951309" w:rsidRPr="00EB4FEE">
        <w:rPr>
          <w:rFonts w:asciiTheme="majorHAnsi" w:hAnsiTheme="majorHAnsi" w:cstheme="majorHAnsi"/>
          <w:color w:val="595959" w:themeColor="text1" w:themeTint="A6"/>
          <w:lang w:val="en-US"/>
        </w:rPr>
        <w:t>nteraction</w:t>
      </w:r>
      <w:r w:rsidRPr="00EB4FEE">
        <w:rPr>
          <w:rFonts w:asciiTheme="majorHAnsi" w:hAnsiTheme="majorHAnsi" w:cstheme="majorHAnsi"/>
          <w:color w:val="595959" w:themeColor="text1" w:themeTint="A6"/>
          <w:lang w:val="en-US"/>
        </w:rPr>
        <w:t>s</w:t>
      </w:r>
      <w:r w:rsidR="00951309" w:rsidRPr="00EB4FEE">
        <w:rPr>
          <w:rFonts w:asciiTheme="majorHAnsi" w:hAnsiTheme="majorHAnsi" w:cstheme="majorHAnsi"/>
          <w:color w:val="595959" w:themeColor="text1" w:themeTint="A6"/>
          <w:lang w:val="en-US"/>
        </w:rPr>
        <w:t xml:space="preserve"> between gender roles, disease transmission, and socio-economic stability</w:t>
      </w:r>
      <w:r w:rsidRPr="00EB4FEE">
        <w:rPr>
          <w:rFonts w:asciiTheme="majorHAnsi" w:hAnsiTheme="majorHAnsi" w:cstheme="majorHAnsi"/>
          <w:color w:val="595959" w:themeColor="text1" w:themeTint="A6"/>
          <w:lang w:val="en-US"/>
        </w:rPr>
        <w:t xml:space="preserve"> can</w:t>
      </w:r>
      <w:r w:rsidR="00951309" w:rsidRPr="00EB4FEE">
        <w:rPr>
          <w:rFonts w:asciiTheme="majorHAnsi" w:hAnsiTheme="majorHAnsi" w:cstheme="majorHAnsi"/>
          <w:color w:val="595959" w:themeColor="text1" w:themeTint="A6"/>
          <w:lang w:val="en-US"/>
        </w:rPr>
        <w:t xml:space="preserve"> reach a tipping point in epidemics</w:t>
      </w:r>
      <w:r w:rsidR="00044F37" w:rsidRPr="00EB4FEE">
        <w:rPr>
          <w:rFonts w:asciiTheme="majorHAnsi" w:hAnsiTheme="majorHAnsi" w:cstheme="majorHAnsi"/>
          <w:color w:val="595959" w:themeColor="text1" w:themeTint="A6"/>
          <w:lang w:val="en-US"/>
        </w:rPr>
        <w:t>,</w:t>
      </w:r>
      <w:r w:rsidR="00951309" w:rsidRPr="00EB4FEE">
        <w:rPr>
          <w:rFonts w:asciiTheme="majorHAnsi" w:hAnsiTheme="majorHAnsi" w:cstheme="majorHAnsi"/>
          <w:color w:val="595959" w:themeColor="text1" w:themeTint="A6"/>
          <w:lang w:val="en-US"/>
        </w:rPr>
        <w:t xml:space="preserve"> threatening setbacks for women’s health and development gains.</w:t>
      </w:r>
    </w:p>
    <w:p w:rsidR="00762452" w:rsidRPr="00EB4FEE" w:rsidRDefault="00951309" w:rsidP="00AE1048">
      <w:pPr>
        <w:suppressAutoHyphens w:val="0"/>
        <w:spacing w:before="0" w:after="120" w:line="240" w:lineRule="auto"/>
        <w:rPr>
          <w:rFonts w:asciiTheme="majorHAnsi" w:hAnsiTheme="majorHAnsi" w:cstheme="majorHAnsi"/>
          <w:color w:val="595959" w:themeColor="text1" w:themeTint="A6"/>
          <w:lang w:val="en-US"/>
        </w:rPr>
      </w:pPr>
      <w:r w:rsidRPr="00EB4FEE">
        <w:rPr>
          <w:rFonts w:asciiTheme="majorHAnsi" w:hAnsiTheme="majorHAnsi" w:cstheme="majorHAnsi"/>
          <w:color w:val="595959" w:themeColor="text1" w:themeTint="A6"/>
          <w:lang w:val="en-US"/>
        </w:rPr>
        <w:t>Gender norms and roles influence the risks of women and girls in acquiring infectious diseases because:</w:t>
      </w:r>
    </w:p>
    <w:p w:rsidR="00762452" w:rsidRPr="00EB4FEE" w:rsidRDefault="00951309" w:rsidP="00B54437">
      <w:pPr>
        <w:pStyle w:val="ListParagraph"/>
        <w:numPr>
          <w:ilvl w:val="0"/>
          <w:numId w:val="84"/>
        </w:numPr>
        <w:spacing w:after="120" w:line="240" w:lineRule="auto"/>
        <w:contextualSpacing w:val="0"/>
        <w:jc w:val="left"/>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 xml:space="preserve">Women </w:t>
      </w:r>
      <w:r w:rsidR="00346390" w:rsidRPr="00EB4FEE">
        <w:rPr>
          <w:rFonts w:asciiTheme="majorHAnsi" w:hAnsiTheme="majorHAnsi" w:cstheme="majorHAnsi"/>
          <w:color w:val="595959" w:themeColor="text1" w:themeTint="A6"/>
        </w:rPr>
        <w:t>are at increased risk of exposure to disease</w:t>
      </w:r>
      <w:r w:rsidR="001E3C42" w:rsidRPr="00EB4FEE">
        <w:rPr>
          <w:rFonts w:asciiTheme="majorHAnsi" w:hAnsiTheme="majorHAnsi" w:cstheme="majorHAnsi"/>
          <w:color w:val="595959" w:themeColor="text1" w:themeTint="A6"/>
        </w:rPr>
        <w:t xml:space="preserve"> when carrying out common activities such as </w:t>
      </w:r>
      <w:r w:rsidRPr="00EB4FEE">
        <w:rPr>
          <w:rFonts w:asciiTheme="majorHAnsi" w:hAnsiTheme="majorHAnsi" w:cstheme="majorHAnsi"/>
          <w:color w:val="595959" w:themeColor="text1" w:themeTint="A6"/>
        </w:rPr>
        <w:t>water and firewood</w:t>
      </w:r>
      <w:r w:rsidR="001E3C42" w:rsidRPr="00EB4FEE">
        <w:rPr>
          <w:rFonts w:asciiTheme="majorHAnsi" w:hAnsiTheme="majorHAnsi" w:cstheme="majorHAnsi"/>
          <w:color w:val="595959" w:themeColor="text1" w:themeTint="A6"/>
        </w:rPr>
        <w:t xml:space="preserve"> collection</w:t>
      </w:r>
      <w:r w:rsidRPr="00EB4FEE">
        <w:rPr>
          <w:rFonts w:asciiTheme="majorHAnsi" w:hAnsiTheme="majorHAnsi" w:cstheme="majorHAnsi"/>
          <w:color w:val="595959" w:themeColor="text1" w:themeTint="A6"/>
        </w:rPr>
        <w:t xml:space="preserve">, </w:t>
      </w:r>
      <w:r w:rsidR="001E3C42" w:rsidRPr="00EB4FEE">
        <w:rPr>
          <w:rFonts w:asciiTheme="majorHAnsi" w:hAnsiTheme="majorHAnsi" w:cstheme="majorHAnsi"/>
          <w:color w:val="595959" w:themeColor="text1" w:themeTint="A6"/>
        </w:rPr>
        <w:t xml:space="preserve">or </w:t>
      </w:r>
      <w:r w:rsidRPr="00EB4FEE">
        <w:rPr>
          <w:rFonts w:asciiTheme="majorHAnsi" w:hAnsiTheme="majorHAnsi" w:cstheme="majorHAnsi"/>
          <w:color w:val="595959" w:themeColor="text1" w:themeTint="A6"/>
        </w:rPr>
        <w:t>do</w:t>
      </w:r>
      <w:r w:rsidR="001E3C42" w:rsidRPr="00EB4FEE">
        <w:rPr>
          <w:rFonts w:asciiTheme="majorHAnsi" w:hAnsiTheme="majorHAnsi" w:cstheme="majorHAnsi"/>
          <w:color w:val="595959" w:themeColor="text1" w:themeTint="A6"/>
        </w:rPr>
        <w:t>ing</w:t>
      </w:r>
      <w:r w:rsidRPr="00EB4FEE">
        <w:rPr>
          <w:rFonts w:asciiTheme="majorHAnsi" w:hAnsiTheme="majorHAnsi" w:cstheme="majorHAnsi"/>
          <w:color w:val="595959" w:themeColor="text1" w:themeTint="A6"/>
        </w:rPr>
        <w:t xml:space="preserve"> laundry </w:t>
      </w:r>
      <w:r w:rsidR="001E3C42" w:rsidRPr="00EB4FEE">
        <w:rPr>
          <w:rFonts w:asciiTheme="majorHAnsi" w:hAnsiTheme="majorHAnsi" w:cstheme="majorHAnsi"/>
          <w:color w:val="595959" w:themeColor="text1" w:themeTint="A6"/>
        </w:rPr>
        <w:t xml:space="preserve">when </w:t>
      </w:r>
      <w:r w:rsidRPr="00EB4FEE">
        <w:rPr>
          <w:rFonts w:asciiTheme="majorHAnsi" w:hAnsiTheme="majorHAnsi" w:cstheme="majorHAnsi"/>
          <w:color w:val="595959" w:themeColor="text1" w:themeTint="A6"/>
        </w:rPr>
        <w:t>standing in polluted water</w:t>
      </w:r>
      <w:r w:rsidR="001E3C42" w:rsidRPr="00EB4FEE">
        <w:rPr>
          <w:rFonts w:asciiTheme="majorHAnsi" w:hAnsiTheme="majorHAnsi" w:cstheme="majorHAnsi"/>
          <w:color w:val="595959" w:themeColor="text1" w:themeTint="A6"/>
        </w:rPr>
        <w:t>;</w:t>
      </w:r>
    </w:p>
    <w:p w:rsidR="00762452" w:rsidRPr="00EB4FEE" w:rsidRDefault="00951309" w:rsidP="00B54437">
      <w:pPr>
        <w:pStyle w:val="ListParagraph"/>
        <w:numPr>
          <w:ilvl w:val="0"/>
          <w:numId w:val="84"/>
        </w:numPr>
        <w:spacing w:after="120" w:line="240" w:lineRule="auto"/>
        <w:contextualSpacing w:val="0"/>
        <w:jc w:val="left"/>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Women usually take care of poultry in backyard farms and transport animals to wet markets</w:t>
      </w:r>
      <w:r w:rsidR="009547F8" w:rsidRPr="00EB4FEE">
        <w:rPr>
          <w:rFonts w:asciiTheme="majorHAnsi" w:hAnsiTheme="majorHAnsi" w:cstheme="majorHAnsi"/>
          <w:color w:val="595959" w:themeColor="text1" w:themeTint="A6"/>
        </w:rPr>
        <w:t xml:space="preserve">, </w:t>
      </w:r>
      <w:r w:rsidRPr="00EB4FEE">
        <w:rPr>
          <w:rFonts w:asciiTheme="majorHAnsi" w:hAnsiTheme="majorHAnsi" w:cstheme="majorHAnsi"/>
          <w:color w:val="595959" w:themeColor="text1" w:themeTint="A6"/>
        </w:rPr>
        <w:t xml:space="preserve">practices that </w:t>
      </w:r>
      <w:r w:rsidR="009A03F0" w:rsidRPr="00EB4FEE">
        <w:rPr>
          <w:rFonts w:asciiTheme="majorHAnsi" w:hAnsiTheme="majorHAnsi" w:cstheme="majorHAnsi"/>
          <w:color w:val="595959" w:themeColor="text1" w:themeTint="A6"/>
        </w:rPr>
        <w:t>increase the</w:t>
      </w:r>
      <w:r w:rsidRPr="00EB4FEE">
        <w:rPr>
          <w:rFonts w:asciiTheme="majorHAnsi" w:hAnsiTheme="majorHAnsi" w:cstheme="majorHAnsi"/>
          <w:color w:val="595959" w:themeColor="text1" w:themeTint="A6"/>
        </w:rPr>
        <w:t xml:space="preserve"> risk of </w:t>
      </w:r>
      <w:r w:rsidR="009A03F0" w:rsidRPr="00EB4FEE">
        <w:rPr>
          <w:rFonts w:asciiTheme="majorHAnsi" w:hAnsiTheme="majorHAnsi" w:cstheme="majorHAnsi"/>
          <w:color w:val="595959" w:themeColor="text1" w:themeTint="A6"/>
        </w:rPr>
        <w:t xml:space="preserve">exposure to </w:t>
      </w:r>
      <w:r w:rsidRPr="00EB4FEE">
        <w:rPr>
          <w:rFonts w:asciiTheme="majorHAnsi" w:hAnsiTheme="majorHAnsi" w:cstheme="majorHAnsi"/>
          <w:color w:val="595959" w:themeColor="text1" w:themeTint="A6"/>
        </w:rPr>
        <w:t>avian influenza</w:t>
      </w:r>
      <w:r w:rsidR="009547F8" w:rsidRPr="00A11F64">
        <w:rPr>
          <w:rFonts w:asciiTheme="majorHAnsi" w:hAnsiTheme="majorHAnsi" w:cstheme="majorHAnsi"/>
          <w:color w:val="595959" w:themeColor="text1" w:themeTint="A6"/>
        </w:rPr>
        <w:t>;</w:t>
      </w:r>
    </w:p>
    <w:p w:rsidR="00762452" w:rsidRPr="00EB4FEE" w:rsidRDefault="00951309" w:rsidP="00B54437">
      <w:pPr>
        <w:pStyle w:val="ListParagraph"/>
        <w:numPr>
          <w:ilvl w:val="0"/>
          <w:numId w:val="84"/>
        </w:numPr>
        <w:spacing w:after="120" w:line="240" w:lineRule="auto"/>
        <w:contextualSpacing w:val="0"/>
        <w:jc w:val="left"/>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Women typically care for sick family members at home and are exposed to pathogens that spread from person-to-person</w:t>
      </w:r>
      <w:r w:rsidR="00C84CB8">
        <w:rPr>
          <w:rFonts w:asciiTheme="majorHAnsi" w:hAnsiTheme="majorHAnsi" w:cstheme="majorHAnsi"/>
          <w:color w:val="595959" w:themeColor="text1" w:themeTint="A6"/>
        </w:rPr>
        <w:t>;</w:t>
      </w:r>
    </w:p>
    <w:p w:rsidR="00762452" w:rsidRPr="00EB4FEE" w:rsidRDefault="00951309" w:rsidP="00B54437">
      <w:pPr>
        <w:pStyle w:val="ListParagraph"/>
        <w:numPr>
          <w:ilvl w:val="0"/>
          <w:numId w:val="84"/>
        </w:numPr>
        <w:spacing w:after="120" w:line="240" w:lineRule="auto"/>
        <w:contextualSpacing w:val="0"/>
        <w:jc w:val="left"/>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 xml:space="preserve">Women and girls, </w:t>
      </w:r>
      <w:r w:rsidR="00BF2A8C" w:rsidRPr="00EB4FEE">
        <w:rPr>
          <w:rFonts w:asciiTheme="majorHAnsi" w:hAnsiTheme="majorHAnsi" w:cstheme="majorHAnsi"/>
          <w:color w:val="595959" w:themeColor="text1" w:themeTint="A6"/>
        </w:rPr>
        <w:t xml:space="preserve">usually </w:t>
      </w:r>
      <w:r w:rsidRPr="00EB4FEE">
        <w:rPr>
          <w:rFonts w:asciiTheme="majorHAnsi" w:hAnsiTheme="majorHAnsi" w:cstheme="majorHAnsi"/>
          <w:color w:val="595959" w:themeColor="text1" w:themeTint="A6"/>
        </w:rPr>
        <w:t>responsible for childcare, touch and embrace small children who have little immunity from past illnesses and easily pass along infections</w:t>
      </w:r>
      <w:r w:rsidR="00C84CB8">
        <w:rPr>
          <w:rFonts w:asciiTheme="majorHAnsi" w:hAnsiTheme="majorHAnsi" w:cstheme="majorHAnsi"/>
          <w:color w:val="595959" w:themeColor="text1" w:themeTint="A6"/>
        </w:rPr>
        <w:t>.</w:t>
      </w:r>
      <w:r w:rsidRPr="00A11F64">
        <w:rPr>
          <w:rFonts w:asciiTheme="majorHAnsi" w:hAnsiTheme="majorHAnsi" w:cstheme="majorHAnsi"/>
          <w:color w:val="595959" w:themeColor="text1" w:themeTint="A6"/>
        </w:rPr>
        <w:t xml:space="preserve"> </w:t>
      </w:r>
      <w:r w:rsidRPr="00EB4FEE">
        <w:rPr>
          <w:rFonts w:asciiTheme="majorHAnsi" w:hAnsiTheme="majorHAnsi" w:cstheme="majorHAnsi"/>
          <w:color w:val="595959" w:themeColor="text1" w:themeTint="A6"/>
        </w:rPr>
        <w:t>Severe acute respiratory syndrome, Ebola, avian influenza, and Nipah viruses have forged deadly routes via caregiving</w:t>
      </w:r>
      <w:r w:rsidR="00C84CB8">
        <w:rPr>
          <w:rFonts w:asciiTheme="majorHAnsi" w:hAnsiTheme="majorHAnsi" w:cstheme="majorHAnsi"/>
          <w:color w:val="595959" w:themeColor="text1" w:themeTint="A6"/>
        </w:rPr>
        <w:t>;</w:t>
      </w:r>
    </w:p>
    <w:p w:rsidR="00762452" w:rsidRPr="00846950" w:rsidRDefault="00951309" w:rsidP="00B54437">
      <w:pPr>
        <w:pStyle w:val="ListParagraph"/>
        <w:numPr>
          <w:ilvl w:val="0"/>
          <w:numId w:val="84"/>
        </w:numPr>
        <w:spacing w:after="120" w:line="240" w:lineRule="auto"/>
        <w:contextualSpacing w:val="0"/>
        <w:jc w:val="left"/>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In most countries, the vast majority of healthcare workers, particularly nurses and midwives, are women, working on the frontlines of disease outbreaks.</w:t>
      </w:r>
    </w:p>
    <w:p w:rsidR="007E7336" w:rsidRPr="00EB4FEE" w:rsidRDefault="00846950" w:rsidP="00EB4FEE">
      <w:pPr>
        <w:spacing w:after="120" w:line="240" w:lineRule="auto"/>
        <w:ind w:left="405"/>
        <w:rPr>
          <w:rFonts w:asciiTheme="majorHAnsi" w:hAnsiTheme="majorHAnsi" w:cstheme="majorHAnsi"/>
          <w:color w:val="595959" w:themeColor="text1" w:themeTint="A6"/>
        </w:rPr>
      </w:pPr>
      <w:r w:rsidRPr="00975F2E">
        <w:rPr>
          <w:rFonts w:asciiTheme="majorHAnsi" w:hAnsiTheme="majorHAnsi" w:cstheme="majorHAnsi"/>
          <w:color w:val="595959" w:themeColor="text1" w:themeTint="A6"/>
        </w:rPr>
        <w:t>Further, g</w:t>
      </w:r>
      <w:r w:rsidR="007E7336" w:rsidRPr="00EB4FEE">
        <w:rPr>
          <w:rFonts w:asciiTheme="majorHAnsi" w:hAnsiTheme="majorHAnsi" w:cstheme="majorHAnsi"/>
          <w:color w:val="595959" w:themeColor="text1" w:themeTint="A6"/>
        </w:rPr>
        <w:t>ender</w:t>
      </w:r>
      <w:r w:rsidRPr="00975F2E">
        <w:rPr>
          <w:rFonts w:asciiTheme="majorHAnsi" w:hAnsiTheme="majorHAnsi" w:cstheme="majorHAnsi"/>
          <w:color w:val="595959" w:themeColor="text1" w:themeTint="A6"/>
        </w:rPr>
        <w:t xml:space="preserve"> can also differentially</w:t>
      </w:r>
      <w:r w:rsidRPr="00EB4FEE">
        <w:rPr>
          <w:rFonts w:asciiTheme="majorHAnsi" w:hAnsiTheme="majorHAnsi" w:cstheme="majorHAnsi"/>
          <w:color w:val="595959" w:themeColor="text1" w:themeTint="A6"/>
        </w:rPr>
        <w:t xml:space="preserve"> affect the impact of and responses to infectious disease outbreaks, and these differences must be t</w:t>
      </w:r>
      <w:r w:rsidR="00C84CB8">
        <w:rPr>
          <w:rFonts w:asciiTheme="majorHAnsi" w:hAnsiTheme="majorHAnsi" w:cstheme="majorHAnsi"/>
          <w:color w:val="595959" w:themeColor="text1" w:themeTint="A6"/>
        </w:rPr>
        <w:t>aken into account. For example:</w:t>
      </w:r>
    </w:p>
    <w:p w:rsidR="00846950" w:rsidRPr="00EB4FEE" w:rsidRDefault="00846950" w:rsidP="00EB4FEE">
      <w:pPr>
        <w:pStyle w:val="ListParagraph"/>
        <w:numPr>
          <w:ilvl w:val="0"/>
          <w:numId w:val="84"/>
        </w:numPr>
        <w:spacing w:after="120" w:line="240" w:lineRule="auto"/>
        <w:contextualSpacing w:val="0"/>
        <w:jc w:val="left"/>
        <w:rPr>
          <w:color w:val="595959" w:themeColor="text1" w:themeTint="A6"/>
        </w:rPr>
      </w:pPr>
      <w:r w:rsidRPr="00EB4FEE">
        <w:rPr>
          <w:color w:val="595959" w:themeColor="text1" w:themeTint="A6"/>
        </w:rPr>
        <w:t>T</w:t>
      </w:r>
      <w:r w:rsidR="00A64D3D" w:rsidRPr="00EB4FEE">
        <w:rPr>
          <w:color w:val="595959" w:themeColor="text1" w:themeTint="A6"/>
        </w:rPr>
        <w:t>here are gendered differences in how public health messages are communicated and followed</w:t>
      </w:r>
      <w:r w:rsidRPr="00EB4FEE">
        <w:rPr>
          <w:color w:val="595959" w:themeColor="text1" w:themeTint="A6"/>
        </w:rPr>
        <w:t>;</w:t>
      </w:r>
    </w:p>
    <w:p w:rsidR="00846950" w:rsidRPr="00EB4FEE" w:rsidRDefault="00846950" w:rsidP="00EB4FEE">
      <w:pPr>
        <w:pStyle w:val="ListParagraph"/>
        <w:numPr>
          <w:ilvl w:val="0"/>
          <w:numId w:val="84"/>
        </w:numPr>
        <w:spacing w:after="120" w:line="240" w:lineRule="auto"/>
        <w:contextualSpacing w:val="0"/>
        <w:jc w:val="left"/>
        <w:rPr>
          <w:color w:val="595959" w:themeColor="text1" w:themeTint="A6"/>
        </w:rPr>
      </w:pPr>
      <w:r w:rsidRPr="00EB4FEE">
        <w:rPr>
          <w:color w:val="595959" w:themeColor="text1" w:themeTint="A6"/>
        </w:rPr>
        <w:t xml:space="preserve">More or less research funding and policy attention may be given to diseases depending on their gendered impacts, reflecting </w:t>
      </w:r>
      <w:r w:rsidR="00A64D3D" w:rsidRPr="00EB4FEE">
        <w:rPr>
          <w:color w:val="595959" w:themeColor="text1" w:themeTint="A6"/>
        </w:rPr>
        <w:t xml:space="preserve">gender disparities in </w:t>
      </w:r>
      <w:r w:rsidRPr="00EB4FEE">
        <w:rPr>
          <w:color w:val="595959" w:themeColor="text1" w:themeTint="A6"/>
        </w:rPr>
        <w:t>the broader health workforce</w:t>
      </w:r>
      <w:r w:rsidR="00A64D3D" w:rsidRPr="00EB4FEE">
        <w:rPr>
          <w:color w:val="595959" w:themeColor="text1" w:themeTint="A6"/>
        </w:rPr>
        <w:t xml:space="preserve"> (beyond nurses</w:t>
      </w:r>
      <w:r w:rsidRPr="00EB4FEE">
        <w:rPr>
          <w:color w:val="595959" w:themeColor="text1" w:themeTint="A6"/>
        </w:rPr>
        <w:t xml:space="preserve"> and </w:t>
      </w:r>
      <w:r w:rsidR="00A64D3D" w:rsidRPr="00EB4FEE">
        <w:rPr>
          <w:color w:val="595959" w:themeColor="text1" w:themeTint="A6"/>
        </w:rPr>
        <w:t>midwives) and governance structures</w:t>
      </w:r>
      <w:r w:rsidRPr="00EB4FEE">
        <w:rPr>
          <w:color w:val="595959" w:themeColor="text1" w:themeTint="A6"/>
        </w:rPr>
        <w:t>.</w:t>
      </w:r>
    </w:p>
    <w:p w:rsidR="00846950" w:rsidRPr="00EB4FEE" w:rsidRDefault="00846950" w:rsidP="00EB4FEE">
      <w:pPr>
        <w:pStyle w:val="ListParagraph"/>
        <w:numPr>
          <w:ilvl w:val="0"/>
          <w:numId w:val="84"/>
        </w:numPr>
        <w:spacing w:after="120" w:line="240" w:lineRule="auto"/>
        <w:contextualSpacing w:val="0"/>
        <w:jc w:val="left"/>
        <w:rPr>
          <w:color w:val="595959" w:themeColor="text1" w:themeTint="A6"/>
        </w:rPr>
      </w:pPr>
      <w:r w:rsidRPr="00EB4FEE">
        <w:rPr>
          <w:color w:val="595959" w:themeColor="text1" w:themeTint="A6"/>
        </w:rPr>
        <w:t xml:space="preserve">Infectious disease outbreaks may impact sexual and reproductive health rights, for example </w:t>
      </w:r>
      <w:r w:rsidR="009F360A" w:rsidRPr="00EB4FEE">
        <w:rPr>
          <w:color w:val="595959" w:themeColor="text1" w:themeTint="A6"/>
        </w:rPr>
        <w:t xml:space="preserve">by limiting </w:t>
      </w:r>
      <w:r w:rsidRPr="00EB4FEE">
        <w:rPr>
          <w:color w:val="595959" w:themeColor="text1" w:themeTint="A6"/>
        </w:rPr>
        <w:t xml:space="preserve">access to </w:t>
      </w:r>
      <w:r w:rsidR="00A64D3D" w:rsidRPr="00EB4FEE">
        <w:rPr>
          <w:color w:val="595959" w:themeColor="text1" w:themeTint="A6"/>
        </w:rPr>
        <w:t>family planning</w:t>
      </w:r>
      <w:r w:rsidRPr="00EB4FEE">
        <w:rPr>
          <w:color w:val="595959" w:themeColor="text1" w:themeTint="A6"/>
        </w:rPr>
        <w:t xml:space="preserve"> </w:t>
      </w:r>
      <w:r w:rsidR="009F360A" w:rsidRPr="00EB4FEE">
        <w:rPr>
          <w:color w:val="595959" w:themeColor="text1" w:themeTint="A6"/>
        </w:rPr>
        <w:t>services</w:t>
      </w:r>
      <w:r w:rsidRPr="00EB4FEE">
        <w:rPr>
          <w:color w:val="595959" w:themeColor="text1" w:themeTint="A6"/>
        </w:rPr>
        <w:t xml:space="preserve">. Cultural, social and religious norms can </w:t>
      </w:r>
      <w:r w:rsidR="009F360A" w:rsidRPr="009F360A">
        <w:rPr>
          <w:color w:val="595959" w:themeColor="text1" w:themeTint="A6"/>
        </w:rPr>
        <w:t>affect responses to</w:t>
      </w:r>
      <w:r w:rsidRPr="00EB4FEE">
        <w:rPr>
          <w:color w:val="595959" w:themeColor="text1" w:themeTint="A6"/>
        </w:rPr>
        <w:t xml:space="preserve"> infectious disease outbreak protection measures</w:t>
      </w:r>
      <w:r w:rsidR="009F360A" w:rsidRPr="00EB4FEE">
        <w:rPr>
          <w:color w:val="595959" w:themeColor="text1" w:themeTint="A6"/>
        </w:rPr>
        <w:t xml:space="preserve">, particularly in the context of growing </w:t>
      </w:r>
      <w:r w:rsidRPr="00EB4FEE">
        <w:rPr>
          <w:color w:val="595959" w:themeColor="text1" w:themeTint="A6"/>
        </w:rPr>
        <w:t>social and political conservatism</w:t>
      </w:r>
      <w:r w:rsidR="009F360A" w:rsidRPr="00EB4FEE">
        <w:rPr>
          <w:color w:val="595959" w:themeColor="text1" w:themeTint="A6"/>
        </w:rPr>
        <w:t xml:space="preserve"> in some parts of Indonesia</w:t>
      </w:r>
      <w:r w:rsidRPr="00EB4FEE">
        <w:rPr>
          <w:color w:val="595959" w:themeColor="text1" w:themeTint="A6"/>
        </w:rPr>
        <w:t>.</w:t>
      </w:r>
    </w:p>
    <w:p w:rsidR="00846950" w:rsidRPr="00EB4FEE" w:rsidRDefault="009F360A" w:rsidP="00EB4FEE">
      <w:pPr>
        <w:pStyle w:val="ListParagraph"/>
        <w:numPr>
          <w:ilvl w:val="0"/>
          <w:numId w:val="84"/>
        </w:numPr>
        <w:spacing w:after="120" w:line="240" w:lineRule="auto"/>
        <w:contextualSpacing w:val="0"/>
        <w:jc w:val="left"/>
        <w:rPr>
          <w:color w:val="595959" w:themeColor="text1" w:themeTint="A6"/>
        </w:rPr>
      </w:pPr>
      <w:r w:rsidRPr="00EB4FEE">
        <w:rPr>
          <w:color w:val="595959" w:themeColor="text1" w:themeTint="A6"/>
        </w:rPr>
        <w:t>M</w:t>
      </w:r>
      <w:r w:rsidR="00A64D3D" w:rsidRPr="00EB4FEE">
        <w:rPr>
          <w:color w:val="595959" w:themeColor="text1" w:themeTint="A6"/>
        </w:rPr>
        <w:t xml:space="preserve">en and women will </w:t>
      </w:r>
      <w:r w:rsidRPr="00EB4FEE">
        <w:rPr>
          <w:color w:val="595959" w:themeColor="text1" w:themeTint="A6"/>
        </w:rPr>
        <w:t xml:space="preserve">likely </w:t>
      </w:r>
      <w:r w:rsidR="00A64D3D" w:rsidRPr="00EB4FEE">
        <w:rPr>
          <w:color w:val="595959" w:themeColor="text1" w:themeTint="A6"/>
        </w:rPr>
        <w:t>experience the economic impact of disease outbreaks differently</w:t>
      </w:r>
      <w:r w:rsidRPr="00EB4FEE">
        <w:rPr>
          <w:color w:val="595959" w:themeColor="text1" w:themeTint="A6"/>
        </w:rPr>
        <w:t>. W</w:t>
      </w:r>
      <w:r w:rsidR="00A64D3D" w:rsidRPr="00EB4FEE">
        <w:rPr>
          <w:color w:val="595959" w:themeColor="text1" w:themeTint="A6"/>
        </w:rPr>
        <w:t>omen, for instance</w:t>
      </w:r>
      <w:r w:rsidRPr="00EB4FEE">
        <w:rPr>
          <w:color w:val="595959" w:themeColor="text1" w:themeTint="A6"/>
        </w:rPr>
        <w:t>,</w:t>
      </w:r>
      <w:r w:rsidR="00A64D3D" w:rsidRPr="00EB4FEE">
        <w:rPr>
          <w:color w:val="595959" w:themeColor="text1" w:themeTint="A6"/>
        </w:rPr>
        <w:t xml:space="preserve"> are likely to see their unpaid care burden increase, which could </w:t>
      </w:r>
      <w:r w:rsidRPr="00EB4FEE">
        <w:rPr>
          <w:color w:val="595959" w:themeColor="text1" w:themeTint="A6"/>
        </w:rPr>
        <w:t>result in them reducing</w:t>
      </w:r>
      <w:r w:rsidR="00A64D3D" w:rsidRPr="00EB4FEE">
        <w:rPr>
          <w:color w:val="595959" w:themeColor="text1" w:themeTint="A6"/>
        </w:rPr>
        <w:t xml:space="preserve"> their connection </w:t>
      </w:r>
      <w:r w:rsidRPr="00EB4FEE">
        <w:rPr>
          <w:color w:val="595959" w:themeColor="text1" w:themeTint="A6"/>
        </w:rPr>
        <w:t>to the formal economy, or reducing</w:t>
      </w:r>
      <w:r w:rsidR="00A64D3D" w:rsidRPr="00EB4FEE">
        <w:rPr>
          <w:color w:val="595959" w:themeColor="text1" w:themeTint="A6"/>
        </w:rPr>
        <w:t xml:space="preserve"> their output through the informal economy</w:t>
      </w:r>
      <w:r w:rsidRPr="00EB4FEE">
        <w:rPr>
          <w:color w:val="595959" w:themeColor="text1" w:themeTint="A6"/>
        </w:rPr>
        <w:t>. These factors should be taken into account when estimating disease burdens and economic impacts.</w:t>
      </w:r>
      <w:r w:rsidR="00A64D3D" w:rsidRPr="00EB4FEE">
        <w:rPr>
          <w:color w:val="595959" w:themeColor="text1" w:themeTint="A6"/>
        </w:rPr>
        <w:t xml:space="preserve"> </w:t>
      </w:r>
    </w:p>
    <w:p w:rsidR="00A64D3D" w:rsidRPr="00EB4FEE" w:rsidRDefault="009F360A" w:rsidP="00EB4FEE">
      <w:pPr>
        <w:pStyle w:val="ListParagraph"/>
        <w:numPr>
          <w:ilvl w:val="0"/>
          <w:numId w:val="84"/>
        </w:numPr>
        <w:spacing w:after="120" w:line="240" w:lineRule="auto"/>
        <w:contextualSpacing w:val="0"/>
        <w:jc w:val="left"/>
        <w:rPr>
          <w:color w:val="595959" w:themeColor="text1" w:themeTint="A6"/>
        </w:rPr>
      </w:pPr>
      <w:r w:rsidRPr="00EB4FEE">
        <w:rPr>
          <w:color w:val="595959" w:themeColor="text1" w:themeTint="A6"/>
        </w:rPr>
        <w:t xml:space="preserve">Due to Indonesia’s high level of diversity and </w:t>
      </w:r>
      <w:r w:rsidR="00A64D3D" w:rsidRPr="00EB4FEE">
        <w:rPr>
          <w:color w:val="595959" w:themeColor="text1" w:themeTint="A6"/>
        </w:rPr>
        <w:t xml:space="preserve">sub-national </w:t>
      </w:r>
      <w:r w:rsidRPr="00EB4FEE">
        <w:rPr>
          <w:color w:val="595959" w:themeColor="text1" w:themeTint="A6"/>
        </w:rPr>
        <w:t>health care delivery</w:t>
      </w:r>
      <w:r w:rsidR="00A64D3D" w:rsidRPr="00EB4FEE">
        <w:rPr>
          <w:color w:val="595959" w:themeColor="text1" w:themeTint="A6"/>
        </w:rPr>
        <w:t xml:space="preserve"> model, women in different provinces, of different religion</w:t>
      </w:r>
      <w:r w:rsidRPr="00EB4FEE">
        <w:rPr>
          <w:color w:val="595959" w:themeColor="text1" w:themeTint="A6"/>
        </w:rPr>
        <w:t>s</w:t>
      </w:r>
      <w:r w:rsidR="00A64D3D" w:rsidRPr="00EB4FEE">
        <w:rPr>
          <w:color w:val="595959" w:themeColor="text1" w:themeTint="A6"/>
        </w:rPr>
        <w:t xml:space="preserve"> and ethnic background</w:t>
      </w:r>
      <w:r w:rsidRPr="00EB4FEE">
        <w:rPr>
          <w:color w:val="595959" w:themeColor="text1" w:themeTint="A6"/>
        </w:rPr>
        <w:t>s</w:t>
      </w:r>
      <w:r w:rsidR="00A64D3D" w:rsidRPr="00EB4FEE">
        <w:rPr>
          <w:color w:val="595959" w:themeColor="text1" w:themeTint="A6"/>
        </w:rPr>
        <w:t>, and of different classes</w:t>
      </w:r>
      <w:r w:rsidRPr="00EB4FEE">
        <w:rPr>
          <w:color w:val="595959" w:themeColor="text1" w:themeTint="A6"/>
        </w:rPr>
        <w:t xml:space="preserve"> and </w:t>
      </w:r>
      <w:r w:rsidR="00A64D3D" w:rsidRPr="00EB4FEE">
        <w:rPr>
          <w:color w:val="595959" w:themeColor="text1" w:themeTint="A6"/>
        </w:rPr>
        <w:t>education levels will have different levels of risk (</w:t>
      </w:r>
      <w:r w:rsidRPr="00EB4FEE">
        <w:rPr>
          <w:color w:val="595959" w:themeColor="text1" w:themeTint="A6"/>
        </w:rPr>
        <w:t xml:space="preserve">in terms of disease transmission and </w:t>
      </w:r>
      <w:r w:rsidR="00A64D3D" w:rsidRPr="00EB4FEE">
        <w:rPr>
          <w:color w:val="595959" w:themeColor="text1" w:themeTint="A6"/>
        </w:rPr>
        <w:t>economic impact) and</w:t>
      </w:r>
      <w:r w:rsidRPr="00EB4FEE">
        <w:rPr>
          <w:color w:val="595959" w:themeColor="text1" w:themeTint="A6"/>
        </w:rPr>
        <w:t xml:space="preserve"> also</w:t>
      </w:r>
      <w:r w:rsidR="00A64D3D" w:rsidRPr="00EB4FEE">
        <w:rPr>
          <w:color w:val="595959" w:themeColor="text1" w:themeTint="A6"/>
        </w:rPr>
        <w:t xml:space="preserve"> influence (</w:t>
      </w:r>
      <w:r w:rsidRPr="00EB4FEE">
        <w:rPr>
          <w:color w:val="595959" w:themeColor="text1" w:themeTint="A6"/>
        </w:rPr>
        <w:t xml:space="preserve">regarding </w:t>
      </w:r>
      <w:r w:rsidR="00A64D3D" w:rsidRPr="00EB4FEE">
        <w:rPr>
          <w:color w:val="595959" w:themeColor="text1" w:themeTint="A6"/>
        </w:rPr>
        <w:t>prevention, surveillance and recovery</w:t>
      </w:r>
      <w:r w:rsidRPr="00EB4FEE">
        <w:rPr>
          <w:color w:val="595959" w:themeColor="text1" w:themeTint="A6"/>
        </w:rPr>
        <w:t xml:space="preserve"> efforts</w:t>
      </w:r>
      <w:r w:rsidR="00A64D3D" w:rsidRPr="00EB4FEE">
        <w:rPr>
          <w:color w:val="595959" w:themeColor="text1" w:themeTint="A6"/>
        </w:rPr>
        <w:t>)</w:t>
      </w:r>
      <w:r w:rsidRPr="00EB4FEE">
        <w:rPr>
          <w:color w:val="595959" w:themeColor="text1" w:themeTint="A6"/>
        </w:rPr>
        <w:t>.</w:t>
      </w:r>
    </w:p>
    <w:p w:rsidR="00762452" w:rsidRPr="00EB4FEE" w:rsidRDefault="00951309" w:rsidP="001E3C42">
      <w:pPr>
        <w:suppressAutoHyphens w:val="0"/>
        <w:spacing w:before="0" w:after="120" w:line="240" w:lineRule="auto"/>
        <w:rPr>
          <w:rFonts w:asciiTheme="majorHAnsi" w:hAnsiTheme="majorHAnsi" w:cstheme="majorHAnsi"/>
          <w:color w:val="595959" w:themeColor="text1" w:themeTint="A6"/>
          <w:lang w:val="en-US"/>
        </w:rPr>
      </w:pPr>
      <w:r w:rsidRPr="00EB4FEE">
        <w:rPr>
          <w:rFonts w:asciiTheme="majorHAnsi" w:hAnsiTheme="majorHAnsi" w:cstheme="majorHAnsi"/>
          <w:color w:val="595959" w:themeColor="text1" w:themeTint="A6"/>
          <w:lang w:val="en-US"/>
        </w:rPr>
        <w:t>Surveillance systems typically collect data on epidemiological variables such as incidence, prevalence, severity, and deaths, as well as clinical data on typical signs and symptoms of disease</w:t>
      </w:r>
      <w:r w:rsidR="00C84CB8">
        <w:rPr>
          <w:rFonts w:asciiTheme="majorHAnsi" w:hAnsiTheme="majorHAnsi" w:cstheme="majorHAnsi"/>
          <w:color w:val="595959" w:themeColor="text1" w:themeTint="A6"/>
          <w:lang w:val="en-US"/>
        </w:rPr>
        <w:t>.</w:t>
      </w:r>
      <w:r w:rsidRPr="009B5EAF">
        <w:rPr>
          <w:rFonts w:asciiTheme="majorHAnsi" w:hAnsiTheme="majorHAnsi" w:cstheme="majorHAnsi"/>
          <w:color w:val="595959" w:themeColor="text1" w:themeTint="A6"/>
          <w:lang w:val="en-US"/>
        </w:rPr>
        <w:t xml:space="preserve"> </w:t>
      </w:r>
      <w:r w:rsidRPr="00EB4FEE">
        <w:rPr>
          <w:rFonts w:asciiTheme="majorHAnsi" w:hAnsiTheme="majorHAnsi" w:cstheme="majorHAnsi"/>
          <w:color w:val="595959" w:themeColor="text1" w:themeTint="A6"/>
          <w:lang w:val="en-US"/>
        </w:rPr>
        <w:t>While sex disaggregated data is recorded on health facility records, separate tallies for men and women are not often included in reports.</w:t>
      </w:r>
      <w:r w:rsidRPr="00EB4FEE">
        <w:rPr>
          <w:rFonts w:asciiTheme="majorHAnsi" w:hAnsiTheme="majorHAnsi" w:cstheme="majorHAnsi"/>
          <w:color w:val="595959" w:themeColor="text1" w:themeTint="A6"/>
          <w:vertAlign w:val="superscript"/>
          <w:lang w:val="en-US"/>
        </w:rPr>
        <w:footnoteReference w:id="11"/>
      </w:r>
    </w:p>
    <w:p w:rsidR="008768BA" w:rsidRPr="00EB4FEE" w:rsidRDefault="009547F8" w:rsidP="00B54437">
      <w:pPr>
        <w:suppressAutoHyphens w:val="0"/>
        <w:spacing w:before="0" w:after="120" w:line="240" w:lineRule="auto"/>
        <w:rPr>
          <w:rFonts w:asciiTheme="majorHAnsi" w:hAnsiTheme="majorHAnsi" w:cstheme="majorHAnsi"/>
          <w:color w:val="595959" w:themeColor="text1" w:themeTint="A6"/>
          <w:lang w:val="en-US"/>
        </w:rPr>
      </w:pPr>
      <w:r w:rsidRPr="00EB4FEE">
        <w:rPr>
          <w:rFonts w:asciiTheme="majorHAnsi" w:hAnsiTheme="majorHAnsi" w:cstheme="majorHAnsi"/>
          <w:color w:val="595959" w:themeColor="text1" w:themeTint="A6"/>
          <w:lang w:val="en-US"/>
        </w:rPr>
        <w:t>Pregnant women are particularly vulnerable d</w:t>
      </w:r>
      <w:r w:rsidR="008768BA" w:rsidRPr="00EB4FEE">
        <w:rPr>
          <w:rFonts w:asciiTheme="majorHAnsi" w:hAnsiTheme="majorHAnsi" w:cstheme="majorHAnsi"/>
          <w:color w:val="595959" w:themeColor="text1" w:themeTint="A6"/>
          <w:lang w:val="en-US"/>
        </w:rPr>
        <w:t xml:space="preserve">uring an infectious disease </w:t>
      </w:r>
      <w:r w:rsidRPr="00EB4FEE">
        <w:rPr>
          <w:rFonts w:asciiTheme="majorHAnsi" w:hAnsiTheme="majorHAnsi" w:cstheme="majorHAnsi"/>
          <w:color w:val="595959" w:themeColor="text1" w:themeTint="A6"/>
          <w:lang w:val="en-US"/>
        </w:rPr>
        <w:t>outbreak</w:t>
      </w:r>
      <w:r w:rsidR="00C84CB8">
        <w:rPr>
          <w:rFonts w:asciiTheme="majorHAnsi" w:hAnsiTheme="majorHAnsi" w:cstheme="majorHAnsi"/>
          <w:color w:val="595959" w:themeColor="text1" w:themeTint="A6"/>
          <w:lang w:val="en-US"/>
        </w:rPr>
        <w:t>.</w:t>
      </w:r>
      <w:r w:rsidR="008768BA" w:rsidRPr="00EB4FEE">
        <w:rPr>
          <w:rFonts w:asciiTheme="majorHAnsi" w:hAnsiTheme="majorHAnsi" w:cstheme="majorHAnsi"/>
          <w:color w:val="595959" w:themeColor="text1" w:themeTint="A6"/>
          <w:lang w:val="en-US"/>
        </w:rPr>
        <w:t xml:space="preserve"> </w:t>
      </w:r>
      <w:r w:rsidRPr="00EB4FEE">
        <w:rPr>
          <w:rFonts w:asciiTheme="majorHAnsi" w:hAnsiTheme="majorHAnsi" w:cstheme="majorHAnsi"/>
          <w:color w:val="595959" w:themeColor="text1" w:themeTint="A6"/>
          <w:lang w:val="en-US"/>
        </w:rPr>
        <w:t xml:space="preserve">Maternity </w:t>
      </w:r>
      <w:r w:rsidR="008768BA" w:rsidRPr="00EB4FEE">
        <w:rPr>
          <w:rFonts w:asciiTheme="majorHAnsi" w:hAnsiTheme="majorHAnsi" w:cstheme="majorHAnsi"/>
          <w:color w:val="595959" w:themeColor="text1" w:themeTint="A6"/>
          <w:lang w:val="en-US"/>
        </w:rPr>
        <w:t xml:space="preserve">services are often disrupted and those that are operating </w:t>
      </w:r>
      <w:r w:rsidR="00951309" w:rsidRPr="00EB4FEE">
        <w:rPr>
          <w:rFonts w:asciiTheme="majorHAnsi" w:hAnsiTheme="majorHAnsi" w:cstheme="majorHAnsi"/>
          <w:color w:val="595959" w:themeColor="text1" w:themeTint="A6"/>
          <w:lang w:val="en-US"/>
        </w:rPr>
        <w:t xml:space="preserve">may </w:t>
      </w:r>
      <w:r w:rsidR="00C84CB8">
        <w:rPr>
          <w:rFonts w:asciiTheme="majorHAnsi" w:hAnsiTheme="majorHAnsi" w:cstheme="majorHAnsi"/>
          <w:color w:val="595959" w:themeColor="text1" w:themeTint="A6"/>
          <w:lang w:val="en-US"/>
        </w:rPr>
        <w:t xml:space="preserve">do so unsafely. </w:t>
      </w:r>
      <w:r w:rsidR="008768BA" w:rsidRPr="00EB4FEE">
        <w:rPr>
          <w:rFonts w:asciiTheme="majorHAnsi" w:hAnsiTheme="majorHAnsi" w:cstheme="majorHAnsi"/>
          <w:color w:val="595959" w:themeColor="text1" w:themeTint="A6"/>
          <w:lang w:val="en-US"/>
        </w:rPr>
        <w:t>Some diseases can cause pregnancy-related complications and miscarriage</w:t>
      </w:r>
      <w:r w:rsidR="00951309" w:rsidRPr="00EB4FEE">
        <w:rPr>
          <w:rFonts w:asciiTheme="majorHAnsi" w:hAnsiTheme="majorHAnsi" w:cstheme="majorHAnsi"/>
          <w:color w:val="595959" w:themeColor="text1" w:themeTint="A6"/>
          <w:lang w:val="en-US"/>
        </w:rPr>
        <w:t xml:space="preserve"> or other harm to the foetus</w:t>
      </w:r>
      <w:r w:rsidR="008768BA" w:rsidRPr="00EB4FEE">
        <w:rPr>
          <w:rFonts w:asciiTheme="majorHAnsi" w:hAnsiTheme="majorHAnsi" w:cstheme="majorHAnsi"/>
          <w:color w:val="595959" w:themeColor="text1" w:themeTint="A6"/>
          <w:lang w:val="en-US"/>
        </w:rPr>
        <w:t>, and obstetric procedures</w:t>
      </w:r>
      <w:r w:rsidR="00C84CB8">
        <w:rPr>
          <w:rFonts w:asciiTheme="majorHAnsi" w:hAnsiTheme="majorHAnsi" w:cstheme="majorHAnsi"/>
          <w:color w:val="595959" w:themeColor="text1" w:themeTint="A6"/>
          <w:lang w:val="en-US"/>
        </w:rPr>
        <w:t xml:space="preserve"> may further spread pathogens. </w:t>
      </w:r>
      <w:r w:rsidR="00951309" w:rsidRPr="00EB4FEE">
        <w:rPr>
          <w:rFonts w:asciiTheme="majorHAnsi" w:hAnsiTheme="majorHAnsi" w:cstheme="majorHAnsi"/>
          <w:color w:val="595959" w:themeColor="text1" w:themeTint="A6"/>
          <w:lang w:val="en-US"/>
        </w:rPr>
        <w:t>Influenza has a more severe course during pregnancy.</w:t>
      </w:r>
    </w:p>
    <w:p w:rsidR="008768BA" w:rsidRPr="00EB4FEE" w:rsidRDefault="00951309" w:rsidP="00B54437">
      <w:pPr>
        <w:suppressAutoHyphens w:val="0"/>
        <w:spacing w:before="0" w:after="120" w:line="240" w:lineRule="auto"/>
        <w:rPr>
          <w:rFonts w:asciiTheme="majorHAnsi" w:hAnsiTheme="majorHAnsi"/>
          <w:color w:val="595959" w:themeColor="text1" w:themeTint="A6"/>
        </w:rPr>
      </w:pPr>
      <w:r w:rsidRPr="00EB4FEE">
        <w:rPr>
          <w:rFonts w:asciiTheme="majorHAnsi" w:hAnsiTheme="majorHAnsi" w:cstheme="majorHAnsi"/>
          <w:color w:val="595959" w:themeColor="text1" w:themeTint="A6"/>
          <w:lang w:val="en-US"/>
        </w:rPr>
        <w:t xml:space="preserve">While higher rates of infectious disease </w:t>
      </w:r>
      <w:r w:rsidR="00597029" w:rsidRPr="00EB4FEE">
        <w:rPr>
          <w:rFonts w:asciiTheme="majorHAnsi" w:hAnsiTheme="majorHAnsi" w:cstheme="majorHAnsi"/>
          <w:color w:val="595959" w:themeColor="text1" w:themeTint="A6"/>
          <w:lang w:val="en-US"/>
        </w:rPr>
        <w:t>among people with disabilities</w:t>
      </w:r>
      <w:r w:rsidRPr="00EB4FEE">
        <w:rPr>
          <w:rFonts w:asciiTheme="majorHAnsi" w:hAnsiTheme="majorHAnsi" w:cstheme="majorHAnsi"/>
          <w:color w:val="595959" w:themeColor="text1" w:themeTint="A6"/>
          <w:lang w:val="en-US"/>
        </w:rPr>
        <w:t xml:space="preserve"> are not well documented, people with disabilities are particularly vulnerable to deficiencies in health care services</w:t>
      </w:r>
      <w:r w:rsidR="00597029" w:rsidRPr="00EB4FEE">
        <w:rPr>
          <w:rFonts w:asciiTheme="majorHAnsi" w:hAnsiTheme="majorHAnsi" w:cstheme="majorHAnsi"/>
          <w:color w:val="595959" w:themeColor="text1" w:themeTint="A6"/>
          <w:lang w:val="en-US"/>
        </w:rPr>
        <w:t xml:space="preserve"> and are therefore also likely to be more vulnerable in an infectious disease outbreak</w:t>
      </w:r>
      <w:r w:rsidR="00C84CB8">
        <w:rPr>
          <w:rFonts w:asciiTheme="majorHAnsi" w:hAnsiTheme="majorHAnsi" w:cstheme="majorHAnsi"/>
          <w:color w:val="595959" w:themeColor="text1" w:themeTint="A6"/>
          <w:lang w:val="en-US"/>
        </w:rPr>
        <w:t>.</w:t>
      </w:r>
      <w:r w:rsidR="008768BA" w:rsidRPr="009B5EAF">
        <w:rPr>
          <w:rFonts w:asciiTheme="majorHAnsi" w:hAnsiTheme="majorHAnsi" w:cstheme="majorHAnsi"/>
          <w:color w:val="595959" w:themeColor="text1" w:themeTint="A6"/>
          <w:lang w:val="en-US"/>
        </w:rPr>
        <w:t xml:space="preserve"> </w:t>
      </w:r>
      <w:r w:rsidRPr="00EB4FEE">
        <w:rPr>
          <w:rFonts w:asciiTheme="majorHAnsi" w:hAnsiTheme="majorHAnsi" w:cstheme="majorHAnsi"/>
          <w:color w:val="595959" w:themeColor="text1" w:themeTint="A6"/>
          <w:lang w:val="en-US"/>
        </w:rPr>
        <w:t>WHO highlights the need to integrate disability education into undergraduate and continuing education for all health-care professionals and train community workers so that they can play a role in preventive health care services.</w:t>
      </w:r>
      <w:r w:rsidR="008768BA" w:rsidRPr="00EB4FEE">
        <w:rPr>
          <w:rFonts w:asciiTheme="majorHAnsi" w:hAnsiTheme="majorHAnsi"/>
          <w:color w:val="595959" w:themeColor="text1" w:themeTint="A6"/>
          <w:vertAlign w:val="superscript"/>
        </w:rPr>
        <w:footnoteReference w:id="12"/>
      </w:r>
      <w:r w:rsidRPr="00EB4FEE">
        <w:rPr>
          <w:rFonts w:asciiTheme="majorHAnsi" w:hAnsiTheme="majorHAnsi" w:cstheme="majorHAnsi"/>
          <w:color w:val="595959" w:themeColor="text1" w:themeTint="A6"/>
          <w:lang w:val="en-US"/>
        </w:rPr>
        <w:t xml:space="preserve"> WHO also recommends that people with disabilities should be included in health care surveillance and that more research </w:t>
      </w:r>
      <w:r w:rsidR="009547F8" w:rsidRPr="00EB4FEE">
        <w:rPr>
          <w:rFonts w:asciiTheme="majorHAnsi" w:hAnsiTheme="majorHAnsi" w:cstheme="majorHAnsi"/>
          <w:color w:val="595959" w:themeColor="text1" w:themeTint="A6"/>
          <w:lang w:val="en-US"/>
        </w:rPr>
        <w:t xml:space="preserve">should </w:t>
      </w:r>
      <w:r w:rsidRPr="00EB4FEE">
        <w:rPr>
          <w:rFonts w:asciiTheme="majorHAnsi" w:hAnsiTheme="majorHAnsi" w:cstheme="majorHAnsi"/>
          <w:color w:val="595959" w:themeColor="text1" w:themeTint="A6"/>
          <w:lang w:val="en-US"/>
        </w:rPr>
        <w:t xml:space="preserve">be conducted on needs, barriers and health outcomes for people with </w:t>
      </w:r>
      <w:r w:rsidR="008768BA" w:rsidRPr="009B5EAF">
        <w:rPr>
          <w:rFonts w:asciiTheme="majorHAnsi" w:hAnsiTheme="majorHAnsi" w:cstheme="majorHAnsi"/>
          <w:color w:val="595959" w:themeColor="text1" w:themeTint="A6"/>
          <w:lang w:val="en-US"/>
        </w:rPr>
        <w:t>disabilities.</w:t>
      </w:r>
    </w:p>
    <w:p w:rsidR="0050392A" w:rsidRPr="00CB527B" w:rsidRDefault="00BD52B5" w:rsidP="00B54437">
      <w:pPr>
        <w:pStyle w:val="Heading2"/>
        <w:spacing w:after="120" w:line="240" w:lineRule="auto"/>
        <w:contextualSpacing w:val="0"/>
        <w:rPr>
          <w:rFonts w:eastAsia="MS Mincho" w:cstheme="majorHAnsi"/>
          <w:color w:val="595959"/>
          <w:sz w:val="22"/>
          <w:szCs w:val="22"/>
          <w:lang w:val="en-US"/>
        </w:rPr>
      </w:pPr>
      <w:bookmarkStart w:id="9" w:name="_Toc3296995"/>
      <w:r w:rsidRPr="00CB527B">
        <w:rPr>
          <w:rFonts w:cstheme="majorHAnsi"/>
          <w:sz w:val="22"/>
          <w:szCs w:val="22"/>
        </w:rPr>
        <w:t>Development Partners</w:t>
      </w:r>
      <w:bookmarkEnd w:id="9"/>
    </w:p>
    <w:p w:rsidR="00762452" w:rsidRPr="00EB4FEE" w:rsidRDefault="00951309" w:rsidP="00B54437">
      <w:pPr>
        <w:spacing w:before="0" w:after="12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A select number of development partners are supporting health security-related activities in Indonesia</w:t>
      </w:r>
      <w:r w:rsidR="00C84CB8">
        <w:rPr>
          <w:rFonts w:asciiTheme="majorHAnsi" w:hAnsiTheme="majorHAnsi"/>
          <w:color w:val="595959" w:themeColor="text1" w:themeTint="A6"/>
        </w:rPr>
        <w:t xml:space="preserve">. </w:t>
      </w:r>
      <w:r w:rsidRPr="00EB4FEE">
        <w:rPr>
          <w:rFonts w:asciiTheme="majorHAnsi" w:hAnsiTheme="majorHAnsi" w:cstheme="majorHAnsi"/>
          <w:color w:val="595959" w:themeColor="text1" w:themeTint="A6"/>
        </w:rPr>
        <w:t>These include:</w:t>
      </w:r>
    </w:p>
    <w:p w:rsidR="00762452" w:rsidRPr="00EB4FEE" w:rsidRDefault="00951309" w:rsidP="00B54437">
      <w:pPr>
        <w:spacing w:before="0" w:after="120" w:line="240" w:lineRule="auto"/>
        <w:rPr>
          <w:rFonts w:asciiTheme="majorHAnsi" w:hAnsiTheme="majorHAnsi"/>
          <w:color w:val="595959" w:themeColor="text1" w:themeTint="A6"/>
          <w:u w:val="single"/>
        </w:rPr>
      </w:pPr>
      <w:r w:rsidRPr="00EB4FEE">
        <w:rPr>
          <w:rFonts w:asciiTheme="majorHAnsi" w:hAnsiTheme="majorHAnsi" w:cstheme="majorHAnsi"/>
          <w:color w:val="595959" w:themeColor="text1" w:themeTint="A6"/>
          <w:u w:val="single"/>
        </w:rPr>
        <w:t>The World Health Organi</w:t>
      </w:r>
      <w:r w:rsidR="008768BA" w:rsidRPr="00EB4FEE">
        <w:rPr>
          <w:rFonts w:asciiTheme="majorHAnsi" w:hAnsiTheme="majorHAnsi"/>
          <w:color w:val="595959" w:themeColor="text1" w:themeTint="A6"/>
          <w:u w:val="single"/>
        </w:rPr>
        <w:t>z</w:t>
      </w:r>
      <w:r w:rsidRPr="00EB4FEE">
        <w:rPr>
          <w:rFonts w:asciiTheme="majorHAnsi" w:hAnsiTheme="majorHAnsi" w:cstheme="majorHAnsi"/>
          <w:color w:val="595959" w:themeColor="text1" w:themeTint="A6"/>
          <w:u w:val="single"/>
        </w:rPr>
        <w:t>ation (WHO)</w:t>
      </w:r>
    </w:p>
    <w:p w:rsidR="00762452" w:rsidRPr="00EB4FEE" w:rsidRDefault="00951309" w:rsidP="00B54437">
      <w:pPr>
        <w:spacing w:before="0" w:after="120" w:line="240" w:lineRule="auto"/>
        <w:rPr>
          <w:rFonts w:asciiTheme="majorHAnsi" w:hAnsiTheme="majorHAnsi" w:cstheme="majorHAnsi"/>
          <w:color w:val="595959" w:themeColor="text1" w:themeTint="A6"/>
        </w:rPr>
      </w:pPr>
      <w:r w:rsidRPr="00EB4FEE">
        <w:rPr>
          <w:rFonts w:asciiTheme="majorHAnsi" w:hAnsiTheme="majorHAnsi"/>
          <w:color w:val="595959" w:themeColor="text1" w:themeTint="A6"/>
        </w:rPr>
        <w:t xml:space="preserve">The WHO Indonesia country program </w:t>
      </w:r>
      <w:r w:rsidRPr="00EB4FEE">
        <w:rPr>
          <w:rFonts w:asciiTheme="majorHAnsi" w:hAnsiTheme="majorHAnsi" w:cstheme="majorHAnsi"/>
          <w:color w:val="595959" w:themeColor="text1" w:themeTint="A6"/>
        </w:rPr>
        <w:t xml:space="preserve">supports the MoH </w:t>
      </w:r>
      <w:r w:rsidR="007111EC" w:rsidRPr="00EB4FEE">
        <w:rPr>
          <w:rFonts w:asciiTheme="majorHAnsi" w:hAnsiTheme="majorHAnsi" w:cstheme="majorHAnsi"/>
          <w:color w:val="595959" w:themeColor="text1" w:themeTint="A6"/>
        </w:rPr>
        <w:t>to meet</w:t>
      </w:r>
      <w:r w:rsidRPr="00EB4FEE">
        <w:rPr>
          <w:rFonts w:asciiTheme="majorHAnsi" w:hAnsiTheme="majorHAnsi" w:cstheme="majorHAnsi"/>
          <w:color w:val="595959" w:themeColor="text1" w:themeTint="A6"/>
        </w:rPr>
        <w:t xml:space="preserve"> </w:t>
      </w:r>
      <w:r w:rsidR="007111EC" w:rsidRPr="00EB4FEE">
        <w:rPr>
          <w:rFonts w:asciiTheme="majorHAnsi" w:hAnsiTheme="majorHAnsi" w:cstheme="majorHAnsi"/>
          <w:color w:val="595959" w:themeColor="text1" w:themeTint="A6"/>
        </w:rPr>
        <w:t xml:space="preserve">IHR </w:t>
      </w:r>
      <w:r w:rsidRPr="00EB4FEE">
        <w:rPr>
          <w:rFonts w:asciiTheme="majorHAnsi" w:hAnsiTheme="majorHAnsi" w:cstheme="majorHAnsi"/>
          <w:color w:val="595959" w:themeColor="text1" w:themeTint="A6"/>
        </w:rPr>
        <w:t>requirements</w:t>
      </w:r>
      <w:r w:rsidR="00C84CB8">
        <w:rPr>
          <w:rFonts w:asciiTheme="majorHAnsi" w:hAnsiTheme="majorHAnsi"/>
          <w:color w:val="595959" w:themeColor="text1" w:themeTint="A6"/>
        </w:rPr>
        <w:t>.</w:t>
      </w:r>
      <w:r w:rsidR="008768BA" w:rsidRPr="00EB4FEE">
        <w:rPr>
          <w:rFonts w:asciiTheme="majorHAnsi" w:hAnsiTheme="majorHAnsi"/>
          <w:color w:val="595959" w:themeColor="text1" w:themeTint="A6"/>
        </w:rPr>
        <w:t xml:space="preserve"> </w:t>
      </w:r>
      <w:r w:rsidRPr="00EB4FEE">
        <w:rPr>
          <w:rFonts w:asciiTheme="majorHAnsi" w:hAnsiTheme="majorHAnsi" w:cstheme="majorHAnsi"/>
          <w:color w:val="595959" w:themeColor="text1" w:themeTint="A6"/>
        </w:rPr>
        <w:t>It uses the APSED framework and has a central role in facilitating the JEE in Indonesia</w:t>
      </w:r>
      <w:r w:rsidR="00C84CB8">
        <w:rPr>
          <w:rFonts w:asciiTheme="majorHAnsi" w:hAnsiTheme="majorHAnsi"/>
          <w:color w:val="595959" w:themeColor="text1" w:themeTint="A6"/>
        </w:rPr>
        <w:t xml:space="preserve">. </w:t>
      </w:r>
      <w:r w:rsidRPr="00EB4FEE">
        <w:rPr>
          <w:rFonts w:asciiTheme="majorHAnsi" w:hAnsiTheme="majorHAnsi" w:cstheme="majorHAnsi"/>
          <w:color w:val="595959" w:themeColor="text1" w:themeTint="A6"/>
        </w:rPr>
        <w:t xml:space="preserve">The current biennial work-plan for Indonesia is financed from </w:t>
      </w:r>
      <w:r w:rsidR="007111EC" w:rsidRPr="00EB4FEE">
        <w:rPr>
          <w:rFonts w:asciiTheme="majorHAnsi" w:hAnsiTheme="majorHAnsi" w:cstheme="majorHAnsi"/>
          <w:color w:val="595959" w:themeColor="text1" w:themeTint="A6"/>
        </w:rPr>
        <w:t>the</w:t>
      </w:r>
      <w:r w:rsidRPr="00EB4FEE">
        <w:rPr>
          <w:rFonts w:asciiTheme="majorHAnsi" w:hAnsiTheme="majorHAnsi" w:cstheme="majorHAnsi"/>
          <w:color w:val="595959" w:themeColor="text1" w:themeTint="A6"/>
        </w:rPr>
        <w:t xml:space="preserve"> regular budget and </w:t>
      </w:r>
      <w:r w:rsidR="007111EC" w:rsidRPr="00EB4FEE">
        <w:rPr>
          <w:rFonts w:asciiTheme="majorHAnsi" w:hAnsiTheme="majorHAnsi" w:cstheme="majorHAnsi"/>
          <w:color w:val="595959" w:themeColor="text1" w:themeTint="A6"/>
        </w:rPr>
        <w:t>contributions from Australia and the US</w:t>
      </w:r>
      <w:r w:rsidR="00C84CB8">
        <w:rPr>
          <w:rFonts w:asciiTheme="majorHAnsi" w:hAnsiTheme="majorHAnsi"/>
          <w:color w:val="595959" w:themeColor="text1" w:themeTint="A6"/>
        </w:rPr>
        <w:t>.</w:t>
      </w:r>
    </w:p>
    <w:p w:rsidR="008768BA" w:rsidRPr="00EB4FEE" w:rsidRDefault="00951309" w:rsidP="00B54437">
      <w:pPr>
        <w:spacing w:before="0" w:after="120" w:line="240" w:lineRule="auto"/>
        <w:rPr>
          <w:rFonts w:asciiTheme="majorHAnsi" w:hAnsiTheme="majorHAnsi"/>
          <w:color w:val="595959" w:themeColor="text1" w:themeTint="A6"/>
        </w:rPr>
      </w:pPr>
      <w:r w:rsidRPr="00EB4FEE">
        <w:rPr>
          <w:rFonts w:asciiTheme="majorHAnsi" w:hAnsiTheme="majorHAnsi" w:cstheme="majorHAnsi"/>
          <w:color w:val="595959" w:themeColor="text1" w:themeTint="A6"/>
        </w:rPr>
        <w:t>During the 2017 AIPEID review, the WHO country team identified the following priorities for further assistance: laboratory capacity building, developing the PHEOC, introducing an all-hazards approach, and expanding One Health to include wildlife and environment</w:t>
      </w:r>
      <w:r w:rsidR="00EB029C">
        <w:rPr>
          <w:rFonts w:asciiTheme="majorHAnsi" w:hAnsiTheme="majorHAnsi"/>
          <w:color w:val="595959" w:themeColor="text1" w:themeTint="A6"/>
        </w:rPr>
        <w:t>.</w:t>
      </w:r>
    </w:p>
    <w:p w:rsidR="00762452" w:rsidRPr="00EB4FEE" w:rsidRDefault="00951309" w:rsidP="00B54437">
      <w:pPr>
        <w:spacing w:before="0" w:after="120" w:line="240" w:lineRule="auto"/>
        <w:rPr>
          <w:rFonts w:asciiTheme="majorHAnsi" w:hAnsiTheme="majorHAnsi"/>
          <w:color w:val="595959" w:themeColor="text1" w:themeTint="A6"/>
          <w:u w:val="single"/>
        </w:rPr>
      </w:pPr>
      <w:r w:rsidRPr="00EB4FEE">
        <w:rPr>
          <w:rFonts w:asciiTheme="majorHAnsi" w:hAnsiTheme="majorHAnsi" w:cstheme="majorHAnsi"/>
          <w:color w:val="595959" w:themeColor="text1" w:themeTint="A6"/>
          <w:u w:val="single"/>
        </w:rPr>
        <w:t>USAID</w:t>
      </w:r>
    </w:p>
    <w:p w:rsidR="009B56BF" w:rsidRPr="00EB4FEE" w:rsidRDefault="001E6519" w:rsidP="009B56BF">
      <w:pPr>
        <w:spacing w:before="0" w:after="120" w:line="240" w:lineRule="auto"/>
        <w:rPr>
          <w:rFonts w:asciiTheme="majorHAnsi" w:hAnsiTheme="majorHAnsi"/>
          <w:color w:val="595959" w:themeColor="text1" w:themeTint="A6"/>
        </w:rPr>
      </w:pPr>
      <w:r w:rsidRPr="00EB4FEE">
        <w:rPr>
          <w:rFonts w:asciiTheme="majorHAnsi" w:hAnsiTheme="majorHAnsi"/>
          <w:color w:val="595959" w:themeColor="text1" w:themeTint="A6"/>
        </w:rPr>
        <w:t xml:space="preserve">USAID support is </w:t>
      </w:r>
      <w:r w:rsidR="0043356C" w:rsidRPr="00EB4FEE">
        <w:rPr>
          <w:rFonts w:asciiTheme="majorHAnsi" w:hAnsiTheme="majorHAnsi"/>
          <w:color w:val="595959" w:themeColor="text1" w:themeTint="A6"/>
        </w:rPr>
        <w:t xml:space="preserve">provided </w:t>
      </w:r>
      <w:r w:rsidRPr="00EB4FEE">
        <w:rPr>
          <w:rFonts w:asciiTheme="majorHAnsi" w:hAnsiTheme="majorHAnsi"/>
          <w:color w:val="595959" w:themeColor="text1" w:themeTint="A6"/>
        </w:rPr>
        <w:t>through</w:t>
      </w:r>
      <w:r w:rsidR="0043356C" w:rsidRPr="00EB4FEE">
        <w:rPr>
          <w:rFonts w:asciiTheme="majorHAnsi" w:hAnsiTheme="majorHAnsi"/>
          <w:color w:val="595959" w:themeColor="text1" w:themeTint="A6"/>
        </w:rPr>
        <w:t xml:space="preserve"> </w:t>
      </w:r>
      <w:r w:rsidR="0043356C" w:rsidRPr="00EB4FEE">
        <w:rPr>
          <w:rFonts w:asciiTheme="majorHAnsi" w:hAnsiTheme="majorHAnsi" w:cstheme="majorHAnsi"/>
          <w:color w:val="595959" w:themeColor="text1" w:themeTint="A6"/>
        </w:rPr>
        <w:t>the Emerging Pandemic Threats program, Phase 2 (EPT</w:t>
      </w:r>
      <w:r w:rsidR="0043356C" w:rsidRPr="00EB4FEE">
        <w:rPr>
          <w:rFonts w:asciiTheme="majorHAnsi" w:hAnsiTheme="majorHAnsi"/>
          <w:color w:val="595959" w:themeColor="text1" w:themeTint="A6"/>
        </w:rPr>
        <w:t>-</w:t>
      </w:r>
      <w:r w:rsidR="0043356C" w:rsidRPr="00EB4FEE">
        <w:rPr>
          <w:rFonts w:asciiTheme="majorHAnsi" w:hAnsiTheme="majorHAnsi" w:cstheme="majorHAnsi"/>
          <w:color w:val="595959" w:themeColor="text1" w:themeTint="A6"/>
        </w:rPr>
        <w:t>2)</w:t>
      </w:r>
      <w:r w:rsidR="009B56BF" w:rsidRPr="00EB4FEE">
        <w:rPr>
          <w:rFonts w:asciiTheme="majorHAnsi" w:hAnsiTheme="majorHAnsi"/>
          <w:color w:val="595959" w:themeColor="text1" w:themeTint="A6"/>
        </w:rPr>
        <w:t>, a global program</w:t>
      </w:r>
      <w:r w:rsidR="00951309" w:rsidRPr="00EB4FEE">
        <w:rPr>
          <w:rFonts w:asciiTheme="majorHAnsi" w:hAnsiTheme="majorHAnsi"/>
          <w:color w:val="595959" w:themeColor="text1" w:themeTint="A6"/>
        </w:rPr>
        <w:t xml:space="preserve"> </w:t>
      </w:r>
      <w:r w:rsidR="009B56BF" w:rsidRPr="00EB4FEE">
        <w:rPr>
          <w:rFonts w:asciiTheme="majorHAnsi" w:hAnsiTheme="majorHAnsi"/>
          <w:color w:val="595959" w:themeColor="text1" w:themeTint="A6"/>
        </w:rPr>
        <w:t xml:space="preserve">which </w:t>
      </w:r>
      <w:r w:rsidR="008768BA" w:rsidRPr="00EB4FEE">
        <w:rPr>
          <w:rFonts w:asciiTheme="majorHAnsi" w:hAnsiTheme="majorHAnsi"/>
          <w:color w:val="595959" w:themeColor="text1" w:themeTint="A6"/>
        </w:rPr>
        <w:t>is closely linked to the GHSA</w:t>
      </w:r>
      <w:r w:rsidR="009B56BF" w:rsidRPr="00EB4FEE">
        <w:rPr>
          <w:rFonts w:asciiTheme="majorHAnsi" w:hAnsiTheme="majorHAnsi"/>
          <w:color w:val="595959" w:themeColor="text1" w:themeTint="A6"/>
        </w:rPr>
        <w:t xml:space="preserve"> and</w:t>
      </w:r>
      <w:r w:rsidR="008768BA" w:rsidRPr="00EB4FEE">
        <w:rPr>
          <w:rFonts w:asciiTheme="majorHAnsi" w:hAnsiTheme="majorHAnsi"/>
          <w:color w:val="595959" w:themeColor="text1" w:themeTint="A6"/>
        </w:rPr>
        <w:t xml:space="preserve"> </w:t>
      </w:r>
      <w:r w:rsidR="00951309" w:rsidRPr="00EB4FEE">
        <w:rPr>
          <w:rFonts w:asciiTheme="majorHAnsi" w:hAnsiTheme="majorHAnsi"/>
          <w:color w:val="595959" w:themeColor="text1" w:themeTint="A6"/>
        </w:rPr>
        <w:t xml:space="preserve">focuses on </w:t>
      </w:r>
      <w:r w:rsidR="008768BA" w:rsidRPr="00EB4FEE">
        <w:rPr>
          <w:rFonts w:asciiTheme="majorHAnsi" w:hAnsiTheme="majorHAnsi"/>
          <w:color w:val="595959" w:themeColor="text1" w:themeTint="A6"/>
        </w:rPr>
        <w:t>zoonos</w:t>
      </w:r>
      <w:r w:rsidR="00951309" w:rsidRPr="00EB4FEE">
        <w:rPr>
          <w:rFonts w:asciiTheme="majorHAnsi" w:hAnsiTheme="majorHAnsi"/>
          <w:color w:val="595959" w:themeColor="text1" w:themeTint="A6"/>
        </w:rPr>
        <w:t>e</w:t>
      </w:r>
      <w:r w:rsidR="008768BA" w:rsidRPr="00EB4FEE">
        <w:rPr>
          <w:rFonts w:asciiTheme="majorHAnsi" w:hAnsiTheme="majorHAnsi"/>
          <w:color w:val="595959" w:themeColor="text1" w:themeTint="A6"/>
        </w:rPr>
        <w:t>s</w:t>
      </w:r>
      <w:r w:rsidR="00951309" w:rsidRPr="00EB4FEE">
        <w:rPr>
          <w:rFonts w:asciiTheme="majorHAnsi" w:hAnsiTheme="majorHAnsi"/>
          <w:color w:val="595959" w:themeColor="text1" w:themeTint="A6"/>
        </w:rPr>
        <w:t xml:space="preserve"> and EIDs</w:t>
      </w:r>
      <w:r w:rsidR="00C84CB8">
        <w:rPr>
          <w:rFonts w:asciiTheme="majorHAnsi" w:hAnsiTheme="majorHAnsi"/>
          <w:color w:val="595959" w:themeColor="text1" w:themeTint="A6"/>
        </w:rPr>
        <w:t>.</w:t>
      </w:r>
      <w:r w:rsidR="009B56BF" w:rsidRPr="00EB4FEE">
        <w:rPr>
          <w:rFonts w:asciiTheme="majorHAnsi" w:hAnsiTheme="majorHAnsi"/>
          <w:color w:val="595959" w:themeColor="text1" w:themeTint="A6"/>
        </w:rPr>
        <w:t xml:space="preserve"> It</w:t>
      </w:r>
      <w:r w:rsidR="00951309" w:rsidRPr="00EB4FEE">
        <w:rPr>
          <w:rFonts w:asciiTheme="majorHAnsi" w:hAnsiTheme="majorHAnsi"/>
          <w:color w:val="595959" w:themeColor="text1" w:themeTint="A6"/>
        </w:rPr>
        <w:t xml:space="preserve"> is managed by USAID with technical collaboration from the</w:t>
      </w:r>
      <w:r w:rsidR="008768BA" w:rsidRPr="00EB4FEE">
        <w:rPr>
          <w:rFonts w:asciiTheme="majorHAnsi" w:hAnsiTheme="majorHAnsi"/>
          <w:color w:val="595959" w:themeColor="text1" w:themeTint="A6"/>
        </w:rPr>
        <w:t xml:space="preserve"> CDC</w:t>
      </w:r>
      <w:r w:rsidR="00951309" w:rsidRPr="00EB4FEE">
        <w:rPr>
          <w:rFonts w:asciiTheme="majorHAnsi" w:hAnsiTheme="majorHAnsi"/>
          <w:color w:val="595959" w:themeColor="text1" w:themeTint="A6"/>
        </w:rPr>
        <w:t>, WHO and FAO</w:t>
      </w:r>
      <w:r w:rsidR="008768BA" w:rsidRPr="00EB4FEE">
        <w:rPr>
          <w:rFonts w:asciiTheme="majorHAnsi" w:hAnsiTheme="majorHAnsi"/>
          <w:color w:val="595959" w:themeColor="text1" w:themeTint="A6"/>
        </w:rPr>
        <w:t xml:space="preserve">. </w:t>
      </w:r>
      <w:r w:rsidR="00951309" w:rsidRPr="00EB4FEE">
        <w:rPr>
          <w:rFonts w:asciiTheme="majorHAnsi" w:hAnsiTheme="majorHAnsi"/>
          <w:color w:val="595959" w:themeColor="text1" w:themeTint="A6"/>
        </w:rPr>
        <w:t xml:space="preserve">In addition to these partnerships, </w:t>
      </w:r>
      <w:r w:rsidR="009B56BF" w:rsidRPr="00EB4FEE">
        <w:rPr>
          <w:rFonts w:asciiTheme="majorHAnsi" w:hAnsiTheme="majorHAnsi"/>
          <w:color w:val="595959" w:themeColor="text1" w:themeTint="A6"/>
        </w:rPr>
        <w:t xml:space="preserve">EPT-2 </w:t>
      </w:r>
      <w:r w:rsidR="00951309" w:rsidRPr="00EB4FEE">
        <w:rPr>
          <w:rFonts w:asciiTheme="majorHAnsi" w:hAnsiTheme="majorHAnsi"/>
          <w:color w:val="595959" w:themeColor="text1" w:themeTint="A6"/>
        </w:rPr>
        <w:t>has projects that provide additional technical support: PREDICT 2, One Health Workforce</w:t>
      </w:r>
      <w:r w:rsidR="009B56BF" w:rsidRPr="00EB4FEE">
        <w:rPr>
          <w:rFonts w:asciiTheme="majorHAnsi" w:hAnsiTheme="majorHAnsi"/>
          <w:color w:val="595959" w:themeColor="text1" w:themeTint="A6"/>
        </w:rPr>
        <w:t>,</w:t>
      </w:r>
      <w:r w:rsidR="00951309" w:rsidRPr="00EB4FEE">
        <w:rPr>
          <w:rFonts w:asciiTheme="majorHAnsi" w:hAnsiTheme="majorHAnsi"/>
          <w:color w:val="595959" w:themeColor="text1" w:themeTint="A6"/>
        </w:rPr>
        <w:t xml:space="preserve"> and Preparedness and Response (P&amp;R)</w:t>
      </w:r>
      <w:r w:rsidR="00C84CB8">
        <w:rPr>
          <w:rFonts w:asciiTheme="majorHAnsi" w:hAnsiTheme="majorHAnsi"/>
          <w:color w:val="595959" w:themeColor="text1" w:themeTint="A6"/>
        </w:rPr>
        <w:t>.</w:t>
      </w:r>
      <w:r w:rsidR="008768BA" w:rsidRPr="00EB4FEE">
        <w:rPr>
          <w:rFonts w:asciiTheme="majorHAnsi" w:hAnsiTheme="majorHAnsi"/>
          <w:color w:val="595959" w:themeColor="text1" w:themeTint="A6"/>
        </w:rPr>
        <w:t xml:space="preserve"> </w:t>
      </w:r>
      <w:r w:rsidR="00951309" w:rsidRPr="00EB4FEE">
        <w:rPr>
          <w:rFonts w:asciiTheme="majorHAnsi" w:hAnsiTheme="majorHAnsi"/>
          <w:color w:val="595959" w:themeColor="text1" w:themeTint="A6"/>
        </w:rPr>
        <w:t xml:space="preserve">The P&amp;R component </w:t>
      </w:r>
      <w:r w:rsidR="009B56BF" w:rsidRPr="00EB4FEE">
        <w:rPr>
          <w:rFonts w:asciiTheme="majorHAnsi" w:hAnsiTheme="majorHAnsi"/>
          <w:color w:val="595959" w:themeColor="text1" w:themeTint="A6"/>
        </w:rPr>
        <w:t xml:space="preserve">has </w:t>
      </w:r>
      <w:r w:rsidR="008768BA" w:rsidRPr="00EB4FEE">
        <w:rPr>
          <w:rFonts w:asciiTheme="majorHAnsi" w:hAnsiTheme="majorHAnsi"/>
          <w:color w:val="595959" w:themeColor="text1" w:themeTint="A6"/>
        </w:rPr>
        <w:t>support</w:t>
      </w:r>
      <w:r w:rsidR="009B56BF" w:rsidRPr="00EB4FEE">
        <w:rPr>
          <w:rFonts w:asciiTheme="majorHAnsi" w:hAnsiTheme="majorHAnsi"/>
          <w:color w:val="595959" w:themeColor="text1" w:themeTint="A6"/>
        </w:rPr>
        <w:t>ed</w:t>
      </w:r>
      <w:r w:rsidR="00951309" w:rsidRPr="00EB4FEE">
        <w:rPr>
          <w:rFonts w:asciiTheme="majorHAnsi" w:hAnsiTheme="majorHAnsi"/>
          <w:color w:val="595959" w:themeColor="text1" w:themeTint="A6"/>
        </w:rPr>
        <w:t xml:space="preserve"> Kemenko PMK to take on the role previously held by the now</w:t>
      </w:r>
      <w:r w:rsidR="008768BA" w:rsidRPr="00EB4FEE">
        <w:rPr>
          <w:rFonts w:asciiTheme="majorHAnsi" w:hAnsiTheme="majorHAnsi"/>
          <w:color w:val="595959" w:themeColor="text1" w:themeTint="A6"/>
        </w:rPr>
        <w:t>-</w:t>
      </w:r>
      <w:r w:rsidR="00951309" w:rsidRPr="00EB4FEE">
        <w:rPr>
          <w:rFonts w:asciiTheme="majorHAnsi" w:hAnsiTheme="majorHAnsi"/>
          <w:color w:val="595959" w:themeColor="text1" w:themeTint="A6"/>
        </w:rPr>
        <w:t xml:space="preserve">disbanded </w:t>
      </w:r>
      <w:r w:rsidR="008768BA" w:rsidRPr="00EB4FEE">
        <w:rPr>
          <w:rFonts w:asciiTheme="majorHAnsi" w:hAnsiTheme="majorHAnsi"/>
          <w:color w:val="595959" w:themeColor="text1" w:themeTint="A6"/>
        </w:rPr>
        <w:t>KOMNAS</w:t>
      </w:r>
      <w:r w:rsidR="00951309" w:rsidRPr="00EB4FEE">
        <w:rPr>
          <w:rFonts w:asciiTheme="majorHAnsi" w:hAnsiTheme="majorHAnsi"/>
          <w:color w:val="595959" w:themeColor="text1" w:themeTint="A6"/>
        </w:rPr>
        <w:t xml:space="preserve"> Zoonosis</w:t>
      </w:r>
      <w:r w:rsidR="00C84CB8">
        <w:rPr>
          <w:rFonts w:asciiTheme="majorHAnsi" w:hAnsiTheme="majorHAnsi"/>
          <w:color w:val="595959" w:themeColor="text1" w:themeTint="A6"/>
        </w:rPr>
        <w:t>.</w:t>
      </w:r>
    </w:p>
    <w:p w:rsidR="00762452" w:rsidRPr="00EB4FEE" w:rsidRDefault="00951309" w:rsidP="00B54437">
      <w:pPr>
        <w:spacing w:before="0" w:after="12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 xml:space="preserve">There are a number of </w:t>
      </w:r>
      <w:r w:rsidR="009B56BF" w:rsidRPr="00EB4FEE">
        <w:rPr>
          <w:rFonts w:asciiTheme="majorHAnsi" w:hAnsiTheme="majorHAnsi" w:cstheme="majorHAnsi"/>
          <w:color w:val="595959" w:themeColor="text1" w:themeTint="A6"/>
        </w:rPr>
        <w:t xml:space="preserve">program </w:t>
      </w:r>
      <w:r w:rsidRPr="00EB4FEE">
        <w:rPr>
          <w:rFonts w:asciiTheme="majorHAnsi" w:hAnsiTheme="majorHAnsi" w:cstheme="majorHAnsi"/>
          <w:color w:val="595959" w:themeColor="text1" w:themeTint="A6"/>
        </w:rPr>
        <w:t xml:space="preserve">outputs in Indonesia: </w:t>
      </w:r>
      <w:r w:rsidR="009B56BF" w:rsidRPr="00EB4FEE">
        <w:rPr>
          <w:rFonts w:asciiTheme="majorHAnsi" w:hAnsiTheme="majorHAnsi" w:cstheme="majorHAnsi"/>
          <w:color w:val="595959" w:themeColor="text1" w:themeTint="A6"/>
        </w:rPr>
        <w:t xml:space="preserve">strengthened </w:t>
      </w:r>
      <w:r w:rsidRPr="00EB4FEE">
        <w:rPr>
          <w:rFonts w:asciiTheme="majorHAnsi" w:hAnsiTheme="majorHAnsi" w:cstheme="majorHAnsi"/>
          <w:color w:val="595959" w:themeColor="text1" w:themeTint="A6"/>
        </w:rPr>
        <w:t>surveillance systems for zoonoses and EIDs, incorporating laboratory diagnosis; effectiv</w:t>
      </w:r>
      <w:r w:rsidRPr="00EB4FEE">
        <w:rPr>
          <w:rFonts w:asciiTheme="majorHAnsi" w:hAnsiTheme="majorHAnsi"/>
          <w:color w:val="595959" w:themeColor="text1" w:themeTint="A6"/>
        </w:rPr>
        <w:t xml:space="preserve">e, </w:t>
      </w:r>
      <w:r w:rsidRPr="00EB4FEE">
        <w:rPr>
          <w:rFonts w:asciiTheme="majorHAnsi" w:hAnsiTheme="majorHAnsi" w:cstheme="majorHAnsi"/>
          <w:color w:val="595959" w:themeColor="text1" w:themeTint="A6"/>
        </w:rPr>
        <w:t xml:space="preserve">sustainable </w:t>
      </w:r>
      <w:r w:rsidRPr="00EB4FEE">
        <w:rPr>
          <w:rFonts w:asciiTheme="majorHAnsi" w:hAnsiTheme="majorHAnsi"/>
          <w:color w:val="595959" w:themeColor="text1" w:themeTint="A6"/>
        </w:rPr>
        <w:t xml:space="preserve">and One Health-focused </w:t>
      </w:r>
      <w:r w:rsidRPr="00EB4FEE">
        <w:rPr>
          <w:rFonts w:asciiTheme="majorHAnsi" w:hAnsiTheme="majorHAnsi" w:cstheme="majorHAnsi"/>
          <w:color w:val="595959" w:themeColor="text1" w:themeTint="A6"/>
        </w:rPr>
        <w:t>prevention and control of targeted zoonoses and EIDs (including a national web-based platform for sharing information for influenza virus genome monitoring);</w:t>
      </w:r>
      <w:r w:rsidR="009B56BF" w:rsidRPr="00EB4FEE">
        <w:rPr>
          <w:rFonts w:asciiTheme="majorHAnsi" w:hAnsiTheme="majorHAnsi" w:cstheme="majorHAnsi"/>
          <w:color w:val="595959" w:themeColor="text1" w:themeTint="A6"/>
        </w:rPr>
        <w:t xml:space="preserve"> an</w:t>
      </w:r>
      <w:r w:rsidRPr="00EB4FEE">
        <w:rPr>
          <w:rFonts w:asciiTheme="majorHAnsi" w:hAnsiTheme="majorHAnsi" w:cstheme="majorHAnsi"/>
          <w:color w:val="595959" w:themeColor="text1" w:themeTint="A6"/>
        </w:rPr>
        <w:t xml:space="preserve"> increased knowledge base and information sharing on poultry productivity; improved identification of disease risks along the poultry market chain to support policy making; collaboration between government and educational institutions on One Health capacity building; and improved </w:t>
      </w:r>
      <w:r w:rsidR="009B56BF" w:rsidRPr="00EB4FEE">
        <w:rPr>
          <w:rFonts w:asciiTheme="majorHAnsi" w:hAnsiTheme="majorHAnsi" w:cstheme="majorHAnsi"/>
          <w:color w:val="595959" w:themeColor="text1" w:themeTint="A6"/>
        </w:rPr>
        <w:t>P&amp;R</w:t>
      </w:r>
      <w:r w:rsidRPr="00EB4FEE">
        <w:rPr>
          <w:rFonts w:asciiTheme="majorHAnsi" w:hAnsiTheme="majorHAnsi" w:cstheme="majorHAnsi"/>
          <w:color w:val="595959" w:themeColor="text1" w:themeTint="A6"/>
        </w:rPr>
        <w:t xml:space="preserve"> systems for zoonotic diseases and EIDs</w:t>
      </w:r>
      <w:r w:rsidR="00EB029C">
        <w:rPr>
          <w:rFonts w:asciiTheme="majorHAnsi" w:hAnsiTheme="majorHAnsi"/>
          <w:color w:val="595959" w:themeColor="text1" w:themeTint="A6"/>
        </w:rPr>
        <w:t>.</w:t>
      </w:r>
    </w:p>
    <w:p w:rsidR="00762452" w:rsidRPr="00EB4FEE" w:rsidRDefault="009B56BF" w:rsidP="00E71492">
      <w:pPr>
        <w:spacing w:before="0" w:after="120" w:line="240" w:lineRule="auto"/>
        <w:rPr>
          <w:rFonts w:asciiTheme="majorHAnsi" w:hAnsiTheme="majorHAnsi" w:cstheme="majorHAnsi"/>
          <w:color w:val="595959" w:themeColor="text1" w:themeTint="A6"/>
        </w:rPr>
      </w:pPr>
      <w:r w:rsidRPr="00EB4FEE">
        <w:rPr>
          <w:rFonts w:asciiTheme="majorHAnsi" w:hAnsiTheme="majorHAnsi"/>
          <w:color w:val="595959" w:themeColor="text1" w:themeTint="A6"/>
        </w:rPr>
        <w:t>The P&amp;R component ended in September 2018 and the overall</w:t>
      </w:r>
      <w:r w:rsidR="00951309" w:rsidRPr="00EB4FEE">
        <w:rPr>
          <w:rFonts w:asciiTheme="majorHAnsi" w:hAnsiTheme="majorHAnsi" w:cstheme="majorHAnsi"/>
          <w:color w:val="595959" w:themeColor="text1" w:themeTint="A6"/>
        </w:rPr>
        <w:t xml:space="preserve"> program is due to end in April 2019</w:t>
      </w:r>
      <w:r w:rsidR="00EB029C">
        <w:rPr>
          <w:rFonts w:asciiTheme="majorHAnsi" w:hAnsiTheme="majorHAnsi"/>
          <w:color w:val="595959" w:themeColor="text1" w:themeTint="A6"/>
        </w:rPr>
        <w:t>.</w:t>
      </w:r>
      <w:r w:rsidR="008768BA" w:rsidRPr="00EB4FEE">
        <w:rPr>
          <w:rFonts w:asciiTheme="majorHAnsi" w:hAnsiTheme="majorHAnsi"/>
          <w:color w:val="595959" w:themeColor="text1" w:themeTint="A6"/>
        </w:rPr>
        <w:t xml:space="preserve"> </w:t>
      </w:r>
      <w:r w:rsidR="00951309" w:rsidRPr="00EB4FEE">
        <w:rPr>
          <w:rFonts w:asciiTheme="majorHAnsi" w:hAnsiTheme="majorHAnsi" w:cstheme="majorHAnsi"/>
          <w:color w:val="595959" w:themeColor="text1" w:themeTint="A6"/>
        </w:rPr>
        <w:t>However, USAID is considering continuing some work in the area of health security in Indonesia</w:t>
      </w:r>
      <w:r w:rsidR="00EB029C">
        <w:rPr>
          <w:rFonts w:asciiTheme="majorHAnsi" w:hAnsiTheme="majorHAnsi"/>
          <w:color w:val="595959" w:themeColor="text1" w:themeTint="A6"/>
        </w:rPr>
        <w:t>.</w:t>
      </w:r>
    </w:p>
    <w:p w:rsidR="00762452" w:rsidRPr="00EB4FEE" w:rsidRDefault="00951309" w:rsidP="00B54437">
      <w:pPr>
        <w:spacing w:before="0" w:after="120" w:line="240" w:lineRule="auto"/>
        <w:rPr>
          <w:rFonts w:asciiTheme="majorHAnsi" w:hAnsiTheme="majorHAnsi" w:cstheme="majorHAnsi"/>
          <w:color w:val="595959" w:themeColor="text1" w:themeTint="A6"/>
          <w:u w:val="single"/>
        </w:rPr>
      </w:pPr>
      <w:r w:rsidRPr="00EB4FEE">
        <w:rPr>
          <w:rFonts w:asciiTheme="majorHAnsi" w:hAnsiTheme="majorHAnsi" w:cstheme="majorHAnsi"/>
          <w:color w:val="595959" w:themeColor="text1" w:themeTint="A6"/>
          <w:u w:val="single"/>
        </w:rPr>
        <w:t>US Centers for Disease Control and Prevention (CDC)</w:t>
      </w:r>
    </w:p>
    <w:p w:rsidR="00762452" w:rsidRPr="00EB4FEE" w:rsidRDefault="00951309" w:rsidP="00B54437">
      <w:pPr>
        <w:spacing w:before="0" w:after="120" w:line="240" w:lineRule="auto"/>
        <w:rPr>
          <w:rFonts w:asciiTheme="majorHAnsi" w:hAnsiTheme="majorHAnsi"/>
          <w:color w:val="595959" w:themeColor="text1" w:themeTint="A6"/>
        </w:rPr>
      </w:pPr>
      <w:r w:rsidRPr="00EB4FEE">
        <w:rPr>
          <w:rFonts w:asciiTheme="majorHAnsi" w:hAnsiTheme="majorHAnsi" w:cstheme="majorHAnsi"/>
          <w:color w:val="595959" w:themeColor="text1" w:themeTint="A6"/>
        </w:rPr>
        <w:t xml:space="preserve">CDC primarily </w:t>
      </w:r>
      <w:r w:rsidR="009B56BF" w:rsidRPr="00EB4FEE">
        <w:rPr>
          <w:rFonts w:asciiTheme="majorHAnsi" w:hAnsiTheme="majorHAnsi" w:cstheme="majorHAnsi"/>
          <w:color w:val="595959" w:themeColor="text1" w:themeTint="A6"/>
        </w:rPr>
        <w:t xml:space="preserve">supports activities under the </w:t>
      </w:r>
      <w:r w:rsidRPr="00EB4FEE">
        <w:rPr>
          <w:rFonts w:asciiTheme="majorHAnsi" w:hAnsiTheme="majorHAnsi" w:cstheme="majorHAnsi"/>
          <w:color w:val="595959" w:themeColor="text1" w:themeTint="A6"/>
        </w:rPr>
        <w:t xml:space="preserve">GHSA framework with a focus on workforce development </w:t>
      </w:r>
      <w:r w:rsidR="009B56BF" w:rsidRPr="00EB4FEE">
        <w:rPr>
          <w:rFonts w:asciiTheme="majorHAnsi" w:hAnsiTheme="majorHAnsi" w:cstheme="majorHAnsi"/>
          <w:color w:val="595959" w:themeColor="text1" w:themeTint="A6"/>
        </w:rPr>
        <w:t xml:space="preserve">including </w:t>
      </w:r>
      <w:r w:rsidRPr="00EB4FEE">
        <w:rPr>
          <w:rFonts w:asciiTheme="majorHAnsi" w:hAnsiTheme="majorHAnsi" w:cstheme="majorHAnsi"/>
          <w:color w:val="595959" w:themeColor="text1" w:themeTint="A6"/>
        </w:rPr>
        <w:t>support to enable the Field Epidemiology Training Program (FETP) to transition to a 2-year degree program</w:t>
      </w:r>
      <w:r w:rsidR="009B56BF" w:rsidRPr="00EB4FEE">
        <w:rPr>
          <w:rFonts w:asciiTheme="majorHAnsi" w:hAnsiTheme="majorHAnsi" w:cstheme="majorHAnsi"/>
          <w:color w:val="595959" w:themeColor="text1" w:themeTint="A6"/>
        </w:rPr>
        <w:t>,</w:t>
      </w:r>
      <w:r w:rsidRPr="00EB4FEE">
        <w:rPr>
          <w:rFonts w:asciiTheme="majorHAnsi" w:hAnsiTheme="majorHAnsi" w:cstheme="majorHAnsi"/>
          <w:color w:val="595959" w:themeColor="text1" w:themeTint="A6"/>
        </w:rPr>
        <w:t xml:space="preserve"> and collaboration with the Indonesian Association of Epidemiologists to develop a career pathway</w:t>
      </w:r>
      <w:r w:rsidR="00C84CB8">
        <w:rPr>
          <w:rFonts w:asciiTheme="majorHAnsi" w:hAnsiTheme="majorHAnsi"/>
          <w:color w:val="595959" w:themeColor="text1" w:themeTint="A6"/>
        </w:rPr>
        <w:t xml:space="preserve">. </w:t>
      </w:r>
      <w:r w:rsidRPr="00EB4FEE">
        <w:rPr>
          <w:rFonts w:asciiTheme="majorHAnsi" w:hAnsiTheme="majorHAnsi" w:cstheme="majorHAnsi"/>
          <w:color w:val="595959" w:themeColor="text1" w:themeTint="A6"/>
        </w:rPr>
        <w:t>CDC also support</w:t>
      </w:r>
      <w:r w:rsidR="009B56BF" w:rsidRPr="00EB4FEE">
        <w:rPr>
          <w:rFonts w:asciiTheme="majorHAnsi" w:hAnsiTheme="majorHAnsi" w:cstheme="majorHAnsi"/>
          <w:color w:val="595959" w:themeColor="text1" w:themeTint="A6"/>
        </w:rPr>
        <w:t>s</w:t>
      </w:r>
      <w:r w:rsidRPr="00EB4FEE">
        <w:rPr>
          <w:rFonts w:asciiTheme="majorHAnsi" w:hAnsiTheme="majorHAnsi" w:cstheme="majorHAnsi"/>
          <w:color w:val="595959" w:themeColor="text1" w:themeTint="A6"/>
        </w:rPr>
        <w:t xml:space="preserve"> the PHEOC through technical advice, training workshops and hosting one MoH staff member for a 4-month fellowship </w:t>
      </w:r>
      <w:r w:rsidR="007B2C4E" w:rsidRPr="00EB4FEE">
        <w:rPr>
          <w:rFonts w:asciiTheme="majorHAnsi" w:hAnsiTheme="majorHAnsi" w:cstheme="majorHAnsi"/>
          <w:color w:val="595959" w:themeColor="text1" w:themeTint="A6"/>
        </w:rPr>
        <w:t xml:space="preserve">at </w:t>
      </w:r>
      <w:r w:rsidRPr="00EB4FEE">
        <w:rPr>
          <w:rFonts w:asciiTheme="majorHAnsi" w:hAnsiTheme="majorHAnsi" w:cstheme="majorHAnsi"/>
          <w:color w:val="595959" w:themeColor="text1" w:themeTint="A6"/>
        </w:rPr>
        <w:t>CDC Atlanta</w:t>
      </w:r>
      <w:r w:rsidR="00C84CB8">
        <w:rPr>
          <w:rFonts w:asciiTheme="majorHAnsi" w:hAnsiTheme="majorHAnsi"/>
          <w:color w:val="595959" w:themeColor="text1" w:themeTint="A6"/>
        </w:rPr>
        <w:t>.</w:t>
      </w:r>
      <w:r w:rsidR="008768BA" w:rsidRPr="00EB4FEE">
        <w:rPr>
          <w:rFonts w:asciiTheme="majorHAnsi" w:hAnsiTheme="majorHAnsi"/>
          <w:color w:val="595959" w:themeColor="text1" w:themeTint="A6"/>
        </w:rPr>
        <w:t xml:space="preserve"> </w:t>
      </w:r>
      <w:r w:rsidR="007B2C4E" w:rsidRPr="00EB4FEE">
        <w:rPr>
          <w:rFonts w:asciiTheme="majorHAnsi" w:hAnsiTheme="majorHAnsi" w:cstheme="majorHAnsi"/>
          <w:color w:val="595959" w:themeColor="text1" w:themeTint="A6"/>
        </w:rPr>
        <w:t>CDC is also working with FAO to</w:t>
      </w:r>
      <w:r w:rsidRPr="00EB4FEE">
        <w:rPr>
          <w:rFonts w:asciiTheme="majorHAnsi" w:hAnsiTheme="majorHAnsi" w:cstheme="majorHAnsi"/>
          <w:color w:val="595959" w:themeColor="text1" w:themeTint="A6"/>
        </w:rPr>
        <w:t xml:space="preserve"> establish a FETP for veterinarians (FETPV)</w:t>
      </w:r>
      <w:r w:rsidR="007B2C4E" w:rsidRPr="00EB4FEE">
        <w:rPr>
          <w:rFonts w:asciiTheme="majorHAnsi" w:hAnsiTheme="majorHAnsi" w:cstheme="majorHAnsi"/>
          <w:color w:val="595959" w:themeColor="text1" w:themeTint="A6"/>
        </w:rPr>
        <w:t xml:space="preserve"> (see below)</w:t>
      </w:r>
      <w:r w:rsidR="00EB029C">
        <w:rPr>
          <w:rFonts w:asciiTheme="majorHAnsi" w:hAnsiTheme="majorHAnsi"/>
          <w:color w:val="595959" w:themeColor="text1" w:themeTint="A6"/>
        </w:rPr>
        <w:t>.</w:t>
      </w:r>
    </w:p>
    <w:p w:rsidR="007B2C4E" w:rsidRPr="00EB4FEE" w:rsidRDefault="007B2C4E" w:rsidP="007B2C4E">
      <w:pPr>
        <w:spacing w:before="0" w:after="120" w:line="240" w:lineRule="auto"/>
        <w:rPr>
          <w:rFonts w:asciiTheme="majorHAnsi" w:hAnsiTheme="majorHAnsi" w:cstheme="majorHAnsi"/>
          <w:color w:val="595959" w:themeColor="text1" w:themeTint="A6"/>
          <w:u w:val="single"/>
        </w:rPr>
      </w:pPr>
      <w:r w:rsidRPr="00EB4FEE">
        <w:rPr>
          <w:rFonts w:asciiTheme="majorHAnsi" w:hAnsiTheme="majorHAnsi" w:cstheme="majorHAnsi"/>
          <w:color w:val="595959" w:themeColor="text1" w:themeTint="A6"/>
          <w:u w:val="single"/>
        </w:rPr>
        <w:t>The Food and Agriculture Organization (FAO)</w:t>
      </w:r>
    </w:p>
    <w:p w:rsidR="007B2C4E" w:rsidRPr="00EB4FEE" w:rsidRDefault="007B2C4E" w:rsidP="007B2C4E">
      <w:pPr>
        <w:spacing w:before="0" w:after="12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The FAO</w:t>
      </w:r>
      <w:r w:rsidRPr="00EB4FEE">
        <w:rPr>
          <w:rFonts w:asciiTheme="majorHAnsi" w:hAnsiTheme="majorHAnsi"/>
          <w:color w:val="595959" w:themeColor="text1" w:themeTint="A6"/>
        </w:rPr>
        <w:t xml:space="preserve"> </w:t>
      </w:r>
      <w:r w:rsidRPr="00EB4FEE">
        <w:rPr>
          <w:rStyle w:val="st1"/>
          <w:rFonts w:asciiTheme="majorHAnsi" w:hAnsiTheme="majorHAnsi" w:cstheme="majorHAnsi"/>
          <w:color w:val="595959" w:themeColor="text1" w:themeTint="A6"/>
        </w:rPr>
        <w:t>Emergency Centre for Transboundary Animal Diseases</w:t>
      </w:r>
      <w:r w:rsidRPr="00EB4FEE">
        <w:rPr>
          <w:rFonts w:asciiTheme="majorHAnsi" w:hAnsiTheme="majorHAnsi"/>
          <w:color w:val="595959" w:themeColor="text1" w:themeTint="A6"/>
        </w:rPr>
        <w:t xml:space="preserve"> in Indonesia is the AIPEID’s partner in supporting the </w:t>
      </w:r>
      <w:r w:rsidRPr="00EB4FEE">
        <w:rPr>
          <w:rFonts w:asciiTheme="majorHAnsi" w:hAnsiTheme="majorHAnsi" w:cstheme="majorHAnsi"/>
          <w:color w:val="595959" w:themeColor="text1" w:themeTint="A6"/>
        </w:rPr>
        <w:t>MoA</w:t>
      </w:r>
      <w:r w:rsidRPr="00EB4FEE">
        <w:rPr>
          <w:rFonts w:asciiTheme="majorHAnsi" w:hAnsiTheme="majorHAnsi"/>
          <w:color w:val="595959" w:themeColor="text1" w:themeTint="A6"/>
        </w:rPr>
        <w:t xml:space="preserve"> in the area of </w:t>
      </w:r>
      <w:r w:rsidRPr="00EB4FEE">
        <w:rPr>
          <w:rFonts w:asciiTheme="majorHAnsi" w:hAnsiTheme="majorHAnsi" w:cstheme="majorHAnsi"/>
          <w:color w:val="595959" w:themeColor="text1" w:themeTint="A6"/>
        </w:rPr>
        <w:t>animal health</w:t>
      </w:r>
      <w:r w:rsidR="00C84CB8">
        <w:rPr>
          <w:rFonts w:asciiTheme="majorHAnsi" w:hAnsiTheme="majorHAnsi"/>
          <w:color w:val="595959" w:themeColor="text1" w:themeTint="A6"/>
        </w:rPr>
        <w:t xml:space="preserve">. </w:t>
      </w:r>
      <w:r w:rsidRPr="00EB4FEE">
        <w:rPr>
          <w:rFonts w:asciiTheme="majorHAnsi" w:hAnsiTheme="majorHAnsi"/>
          <w:color w:val="595959" w:themeColor="text1" w:themeTint="A6"/>
        </w:rPr>
        <w:t xml:space="preserve">Its </w:t>
      </w:r>
      <w:r w:rsidRPr="00EB4FEE">
        <w:rPr>
          <w:rFonts w:asciiTheme="majorHAnsi" w:hAnsiTheme="majorHAnsi" w:cstheme="majorHAnsi"/>
          <w:color w:val="595959" w:themeColor="text1" w:themeTint="A6"/>
        </w:rPr>
        <w:t xml:space="preserve">activities in Indonesia focus on provision of technical support, </w:t>
      </w:r>
      <w:r w:rsidRPr="00EB4FEE">
        <w:rPr>
          <w:rFonts w:asciiTheme="majorHAnsi" w:hAnsiTheme="majorHAnsi"/>
          <w:color w:val="595959" w:themeColor="text1" w:themeTint="A6"/>
        </w:rPr>
        <w:t xml:space="preserve">funded by </w:t>
      </w:r>
      <w:r w:rsidRPr="00EB4FEE">
        <w:rPr>
          <w:rFonts w:asciiTheme="majorHAnsi" w:hAnsiTheme="majorHAnsi" w:cstheme="majorHAnsi"/>
          <w:color w:val="595959" w:themeColor="text1" w:themeTint="A6"/>
        </w:rPr>
        <w:t>EPT</w:t>
      </w:r>
      <w:r w:rsidRPr="00EB4FEE">
        <w:rPr>
          <w:rFonts w:asciiTheme="majorHAnsi" w:hAnsiTheme="majorHAnsi"/>
          <w:color w:val="595959" w:themeColor="text1" w:themeTint="A6"/>
        </w:rPr>
        <w:t>-</w:t>
      </w:r>
      <w:r w:rsidRPr="00EB4FEE">
        <w:rPr>
          <w:rFonts w:asciiTheme="majorHAnsi" w:hAnsiTheme="majorHAnsi" w:cstheme="majorHAnsi"/>
          <w:color w:val="595959" w:themeColor="text1" w:themeTint="A6"/>
        </w:rPr>
        <w:t>2</w:t>
      </w:r>
      <w:r w:rsidR="0043356C" w:rsidRPr="00EB4FEE">
        <w:rPr>
          <w:rFonts w:asciiTheme="majorHAnsi" w:hAnsiTheme="majorHAnsi" w:cstheme="majorHAnsi"/>
          <w:color w:val="595959" w:themeColor="text1" w:themeTint="A6"/>
        </w:rPr>
        <w:t xml:space="preserve"> (USAID</w:t>
      </w:r>
      <w:r w:rsidRPr="00EB4FEE">
        <w:rPr>
          <w:rFonts w:asciiTheme="majorHAnsi" w:hAnsiTheme="majorHAnsi" w:cstheme="majorHAnsi"/>
          <w:color w:val="595959" w:themeColor="text1" w:themeTint="A6"/>
        </w:rPr>
        <w:t>)</w:t>
      </w:r>
      <w:r w:rsidR="00C84CB8">
        <w:rPr>
          <w:rFonts w:asciiTheme="majorHAnsi" w:hAnsiTheme="majorHAnsi"/>
          <w:color w:val="595959" w:themeColor="text1" w:themeTint="A6"/>
        </w:rPr>
        <w:t xml:space="preserve">. </w:t>
      </w:r>
      <w:r w:rsidRPr="00EB4FEE">
        <w:rPr>
          <w:rFonts w:asciiTheme="majorHAnsi" w:hAnsiTheme="majorHAnsi" w:cstheme="majorHAnsi"/>
          <w:color w:val="595959" w:themeColor="text1" w:themeTint="A6"/>
        </w:rPr>
        <w:t>FAO staff are embedded in the</w:t>
      </w:r>
      <w:r w:rsidR="00EB029C">
        <w:rPr>
          <w:rFonts w:asciiTheme="majorHAnsi" w:hAnsiTheme="majorHAnsi" w:cstheme="majorHAnsi"/>
          <w:color w:val="595959" w:themeColor="text1" w:themeTint="A6"/>
        </w:rPr>
        <w:t xml:space="preserve"> MoA.</w:t>
      </w:r>
    </w:p>
    <w:p w:rsidR="007B2C4E" w:rsidRPr="00EB4FEE" w:rsidRDefault="007B2C4E" w:rsidP="00B54437">
      <w:pPr>
        <w:spacing w:before="0" w:after="12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 xml:space="preserve">FAO is also supporting a Field Epidemiology Training Programme for Veterinarians (FETPV) to strengthen the epidemiological capacity of the government’s veterinary services. The programme was launched </w:t>
      </w:r>
      <w:r w:rsidR="00C84CB8">
        <w:rPr>
          <w:rFonts w:asciiTheme="majorHAnsi" w:hAnsiTheme="majorHAnsi" w:cstheme="majorHAnsi"/>
          <w:color w:val="595959" w:themeColor="text1" w:themeTint="A6"/>
        </w:rPr>
        <w:t>by the MoA and FAO in May 2017.</w:t>
      </w:r>
      <w:r w:rsidRPr="00EB4FEE">
        <w:rPr>
          <w:rFonts w:asciiTheme="majorHAnsi" w:hAnsiTheme="majorHAnsi" w:cstheme="majorHAnsi"/>
          <w:color w:val="595959" w:themeColor="text1" w:themeTint="A6"/>
        </w:rPr>
        <w:t xml:space="preserve"> It aims to produce competent field veterinary epidemiologists in the country who can interact with animal owners, investigate, assess, analyse, and report the findings of outbreak investigations effectively and rapidly. The programme is also expected to improve veterinarians’ capacity for animal disease prevention, detection, and response.</w:t>
      </w:r>
    </w:p>
    <w:p w:rsidR="00762452" w:rsidRPr="00EB4FEE" w:rsidRDefault="00951309" w:rsidP="00B54437">
      <w:pPr>
        <w:spacing w:before="0" w:after="120" w:line="240" w:lineRule="auto"/>
        <w:rPr>
          <w:rFonts w:asciiTheme="majorHAnsi" w:hAnsiTheme="majorHAnsi" w:cstheme="majorHAnsi"/>
          <w:color w:val="595959" w:themeColor="text1" w:themeTint="A6"/>
          <w:u w:val="single"/>
        </w:rPr>
      </w:pPr>
      <w:r w:rsidRPr="00EB4FEE">
        <w:rPr>
          <w:rFonts w:asciiTheme="majorHAnsi" w:hAnsiTheme="majorHAnsi" w:cstheme="majorHAnsi"/>
          <w:color w:val="595959" w:themeColor="text1" w:themeTint="A6"/>
          <w:u w:val="single"/>
        </w:rPr>
        <w:t>The World Bank</w:t>
      </w:r>
    </w:p>
    <w:p w:rsidR="00EC294D" w:rsidRPr="009B5EAF" w:rsidRDefault="00EC294D" w:rsidP="001E3C42">
      <w:pPr>
        <w:spacing w:before="0" w:after="120" w:line="240" w:lineRule="auto"/>
        <w:rPr>
          <w:rFonts w:asciiTheme="majorHAnsi" w:hAnsiTheme="majorHAnsi" w:cstheme="majorHAnsi"/>
          <w:color w:val="595959" w:themeColor="text1" w:themeTint="A6"/>
          <w:lang w:val="en-US"/>
        </w:rPr>
      </w:pPr>
      <w:r w:rsidRPr="009B5EAF">
        <w:rPr>
          <w:rFonts w:asciiTheme="majorHAnsi" w:hAnsiTheme="majorHAnsi" w:cstheme="majorHAnsi"/>
          <w:color w:val="595959" w:themeColor="text1" w:themeTint="A6"/>
          <w:lang w:val="en-US"/>
        </w:rPr>
        <w:t xml:space="preserve">Indonesia is a focal country under the World Bank </w:t>
      </w:r>
      <w:r w:rsidR="00662C7E" w:rsidRPr="009B5EAF">
        <w:rPr>
          <w:rFonts w:asciiTheme="majorHAnsi" w:hAnsiTheme="majorHAnsi" w:cstheme="majorHAnsi"/>
          <w:color w:val="595959" w:themeColor="text1" w:themeTint="A6"/>
          <w:lang w:val="en-US"/>
        </w:rPr>
        <w:t xml:space="preserve">Multi-Donor Trust Fund’s </w:t>
      </w:r>
      <w:r w:rsidRPr="009B5EAF">
        <w:rPr>
          <w:rFonts w:asciiTheme="majorHAnsi" w:hAnsiTheme="majorHAnsi" w:cstheme="majorHAnsi"/>
          <w:color w:val="595959" w:themeColor="text1" w:themeTint="A6"/>
          <w:lang w:val="en-US"/>
        </w:rPr>
        <w:t>health security window, supported by DFAT</w:t>
      </w:r>
      <w:r w:rsidR="00C84CB8">
        <w:rPr>
          <w:rFonts w:asciiTheme="majorHAnsi" w:hAnsiTheme="majorHAnsi" w:cstheme="majorHAnsi"/>
          <w:color w:val="595959" w:themeColor="text1" w:themeTint="A6"/>
          <w:lang w:val="en-US"/>
        </w:rPr>
        <w:t xml:space="preserve">. </w:t>
      </w:r>
      <w:r w:rsidRPr="009B5EAF">
        <w:rPr>
          <w:rFonts w:asciiTheme="majorHAnsi" w:hAnsiTheme="majorHAnsi" w:cstheme="majorHAnsi"/>
          <w:color w:val="595959" w:themeColor="text1" w:themeTint="A6"/>
          <w:lang w:val="en-US"/>
        </w:rPr>
        <w:t>A health security financ</w:t>
      </w:r>
      <w:r w:rsidR="006C046C">
        <w:rPr>
          <w:rFonts w:asciiTheme="majorHAnsi" w:hAnsiTheme="majorHAnsi" w:cstheme="majorHAnsi"/>
          <w:color w:val="595959" w:themeColor="text1" w:themeTint="A6"/>
          <w:lang w:val="en-US"/>
        </w:rPr>
        <w:t>ing</w:t>
      </w:r>
      <w:r w:rsidRPr="009B5EAF">
        <w:rPr>
          <w:rFonts w:asciiTheme="majorHAnsi" w:hAnsiTheme="majorHAnsi" w:cstheme="majorHAnsi"/>
          <w:color w:val="595959" w:themeColor="text1" w:themeTint="A6"/>
          <w:lang w:val="en-US"/>
        </w:rPr>
        <w:t xml:space="preserve"> assessment for Indonesia </w:t>
      </w:r>
      <w:r w:rsidR="00E35407" w:rsidRPr="009B5EAF">
        <w:rPr>
          <w:rFonts w:asciiTheme="majorHAnsi" w:hAnsiTheme="majorHAnsi" w:cstheme="majorHAnsi"/>
          <w:color w:val="595959" w:themeColor="text1" w:themeTint="A6"/>
          <w:lang w:val="en-US"/>
        </w:rPr>
        <w:t xml:space="preserve">is under way to </w:t>
      </w:r>
      <w:r w:rsidRPr="009B5EAF">
        <w:rPr>
          <w:rFonts w:asciiTheme="majorHAnsi" w:hAnsiTheme="majorHAnsi" w:cstheme="majorHAnsi"/>
          <w:color w:val="595959" w:themeColor="text1" w:themeTint="A6"/>
          <w:lang w:val="en-US"/>
        </w:rPr>
        <w:t>help identify the scale of dedicated resources for health security at both central and subnational levels</w:t>
      </w:r>
      <w:r w:rsidR="00C83B0C" w:rsidRPr="009B5EAF">
        <w:rPr>
          <w:rFonts w:asciiTheme="majorHAnsi" w:hAnsiTheme="majorHAnsi" w:cstheme="majorHAnsi"/>
          <w:color w:val="595959" w:themeColor="text1" w:themeTint="A6"/>
          <w:lang w:val="en-US"/>
        </w:rPr>
        <w:t>.</w:t>
      </w:r>
      <w:r w:rsidR="00EB029C">
        <w:rPr>
          <w:rFonts w:asciiTheme="majorHAnsi" w:hAnsiTheme="majorHAnsi" w:cstheme="majorHAnsi"/>
          <w:color w:val="595959" w:themeColor="text1" w:themeTint="A6"/>
          <w:lang w:val="en-US"/>
        </w:rPr>
        <w:t xml:space="preserve"> </w:t>
      </w:r>
      <w:r w:rsidRPr="009B5EAF">
        <w:rPr>
          <w:rFonts w:asciiTheme="majorHAnsi" w:hAnsiTheme="majorHAnsi" w:cstheme="majorHAnsi"/>
          <w:color w:val="595959" w:themeColor="text1" w:themeTint="A6"/>
          <w:lang w:val="en-US"/>
        </w:rPr>
        <w:t xml:space="preserve">The </w:t>
      </w:r>
      <w:r w:rsidR="00AE6283" w:rsidRPr="009B5EAF">
        <w:rPr>
          <w:rFonts w:asciiTheme="majorHAnsi" w:hAnsiTheme="majorHAnsi" w:cstheme="majorHAnsi"/>
          <w:color w:val="595959" w:themeColor="text1" w:themeTint="A6"/>
          <w:lang w:val="en-US"/>
        </w:rPr>
        <w:t>Multi-Donor Trust Fund</w:t>
      </w:r>
      <w:r w:rsidRPr="009B5EAF">
        <w:rPr>
          <w:rFonts w:asciiTheme="majorHAnsi" w:hAnsiTheme="majorHAnsi" w:cstheme="majorHAnsi"/>
          <w:color w:val="595959" w:themeColor="text1" w:themeTint="A6"/>
          <w:lang w:val="en-US"/>
        </w:rPr>
        <w:t xml:space="preserve"> is also financing advisory services</w:t>
      </w:r>
      <w:r w:rsidR="00394517" w:rsidRPr="009B5EAF">
        <w:rPr>
          <w:rFonts w:asciiTheme="majorHAnsi" w:hAnsiTheme="majorHAnsi" w:cstheme="majorHAnsi"/>
          <w:color w:val="595959" w:themeColor="text1" w:themeTint="A6"/>
          <w:lang w:val="en-US"/>
        </w:rPr>
        <w:t xml:space="preserve"> </w:t>
      </w:r>
      <w:r w:rsidRPr="009B5EAF">
        <w:rPr>
          <w:rFonts w:asciiTheme="majorHAnsi" w:hAnsiTheme="majorHAnsi" w:cstheme="majorHAnsi"/>
          <w:color w:val="595959" w:themeColor="text1" w:themeTint="A6"/>
          <w:lang w:val="en-US"/>
        </w:rPr>
        <w:t xml:space="preserve">to support Indonesia’s efforts to accelerate and sustain progress towards </w:t>
      </w:r>
      <w:r w:rsidR="00662C7E" w:rsidRPr="009B5EAF">
        <w:rPr>
          <w:rFonts w:asciiTheme="majorHAnsi" w:hAnsiTheme="majorHAnsi" w:cstheme="majorHAnsi"/>
          <w:color w:val="595959" w:themeColor="text1" w:themeTint="A6"/>
          <w:lang w:val="en-US"/>
        </w:rPr>
        <w:t>u</w:t>
      </w:r>
      <w:r w:rsidRPr="009B5EAF">
        <w:rPr>
          <w:rFonts w:asciiTheme="majorHAnsi" w:hAnsiTheme="majorHAnsi" w:cstheme="majorHAnsi"/>
          <w:color w:val="595959" w:themeColor="text1" w:themeTint="A6"/>
          <w:lang w:val="en-US"/>
        </w:rPr>
        <w:t xml:space="preserve">niversal </w:t>
      </w:r>
      <w:r w:rsidR="00662C7E" w:rsidRPr="009B5EAF">
        <w:rPr>
          <w:rFonts w:asciiTheme="majorHAnsi" w:hAnsiTheme="majorHAnsi" w:cstheme="majorHAnsi"/>
          <w:color w:val="595959" w:themeColor="text1" w:themeTint="A6"/>
          <w:lang w:val="en-US"/>
        </w:rPr>
        <w:t>h</w:t>
      </w:r>
      <w:r w:rsidRPr="009B5EAF">
        <w:rPr>
          <w:rFonts w:asciiTheme="majorHAnsi" w:hAnsiTheme="majorHAnsi" w:cstheme="majorHAnsi"/>
          <w:color w:val="595959" w:themeColor="text1" w:themeTint="A6"/>
          <w:lang w:val="en-US"/>
        </w:rPr>
        <w:t xml:space="preserve">ealth </w:t>
      </w:r>
      <w:r w:rsidR="00662C7E" w:rsidRPr="009B5EAF">
        <w:rPr>
          <w:rFonts w:asciiTheme="majorHAnsi" w:hAnsiTheme="majorHAnsi" w:cstheme="majorHAnsi"/>
          <w:color w:val="595959" w:themeColor="text1" w:themeTint="A6"/>
          <w:lang w:val="en-US"/>
        </w:rPr>
        <w:t>c</w:t>
      </w:r>
      <w:r w:rsidRPr="009B5EAF">
        <w:rPr>
          <w:rFonts w:asciiTheme="majorHAnsi" w:hAnsiTheme="majorHAnsi" w:cstheme="majorHAnsi"/>
          <w:color w:val="595959" w:themeColor="text1" w:themeTint="A6"/>
          <w:lang w:val="en-US"/>
        </w:rPr>
        <w:t>overage by strengthening reforms related to governance, financing, and service delivery.</w:t>
      </w:r>
    </w:p>
    <w:p w:rsidR="00762452" w:rsidRPr="00EB4FEE" w:rsidRDefault="00951309" w:rsidP="00B54437">
      <w:pPr>
        <w:spacing w:before="0" w:after="120" w:line="240" w:lineRule="auto"/>
        <w:rPr>
          <w:rFonts w:asciiTheme="majorHAnsi" w:hAnsiTheme="majorHAnsi"/>
          <w:color w:val="595959" w:themeColor="text1" w:themeTint="A6"/>
          <w:u w:val="single"/>
        </w:rPr>
      </w:pPr>
      <w:r w:rsidRPr="00EB4FEE">
        <w:rPr>
          <w:rFonts w:asciiTheme="majorHAnsi" w:hAnsiTheme="majorHAnsi" w:cstheme="majorHAnsi"/>
          <w:color w:val="595959" w:themeColor="text1" w:themeTint="A6"/>
          <w:u w:val="single"/>
        </w:rPr>
        <w:t>The World Animal Health Organization (OIE)</w:t>
      </w:r>
    </w:p>
    <w:p w:rsidR="00E35407" w:rsidRPr="00EB4FEE" w:rsidRDefault="00951309" w:rsidP="00B54437">
      <w:pPr>
        <w:spacing w:before="0" w:after="120" w:line="240" w:lineRule="auto"/>
        <w:rPr>
          <w:rFonts w:asciiTheme="majorHAnsi" w:hAnsiTheme="majorHAnsi"/>
          <w:color w:val="595959" w:themeColor="text1" w:themeTint="A6"/>
        </w:rPr>
      </w:pPr>
      <w:r w:rsidRPr="00EB4FEE">
        <w:rPr>
          <w:rFonts w:asciiTheme="majorHAnsi" w:hAnsiTheme="majorHAnsi"/>
          <w:color w:val="595959" w:themeColor="text1" w:themeTint="A6"/>
        </w:rPr>
        <w:t>OIE carries out</w:t>
      </w:r>
      <w:r w:rsidRPr="00EB4FEE">
        <w:rPr>
          <w:rFonts w:asciiTheme="majorHAnsi" w:hAnsiTheme="majorHAnsi" w:cstheme="majorHAnsi"/>
          <w:color w:val="595959" w:themeColor="text1" w:themeTint="A6"/>
        </w:rPr>
        <w:t xml:space="preserve"> </w:t>
      </w:r>
      <w:r w:rsidR="008768BA" w:rsidRPr="00EB4FEE">
        <w:rPr>
          <w:rFonts w:asciiTheme="majorHAnsi" w:hAnsiTheme="majorHAnsi"/>
          <w:color w:val="595959" w:themeColor="text1" w:themeTint="A6"/>
        </w:rPr>
        <w:t xml:space="preserve">PVS </w:t>
      </w:r>
      <w:r w:rsidRPr="00EB4FEE">
        <w:rPr>
          <w:rFonts w:asciiTheme="majorHAnsi" w:hAnsiTheme="majorHAnsi" w:cstheme="majorHAnsi"/>
          <w:color w:val="595959" w:themeColor="text1" w:themeTint="A6"/>
        </w:rPr>
        <w:t>Gap Analys</w:t>
      </w:r>
      <w:r w:rsidR="00AE6283" w:rsidRPr="009B5EAF">
        <w:rPr>
          <w:rFonts w:asciiTheme="majorHAnsi" w:hAnsiTheme="majorHAnsi" w:cstheme="majorHAnsi"/>
          <w:color w:val="595959" w:themeColor="text1" w:themeTint="A6"/>
        </w:rPr>
        <w:t>e</w:t>
      </w:r>
      <w:r w:rsidRPr="00EB4FEE">
        <w:rPr>
          <w:rFonts w:asciiTheme="majorHAnsi" w:hAnsiTheme="majorHAnsi" w:cstheme="majorHAnsi"/>
          <w:color w:val="595959" w:themeColor="text1" w:themeTint="A6"/>
        </w:rPr>
        <w:t xml:space="preserve">s </w:t>
      </w:r>
      <w:r w:rsidRPr="00EB4FEE">
        <w:rPr>
          <w:rFonts w:asciiTheme="majorHAnsi" w:hAnsiTheme="majorHAnsi"/>
          <w:color w:val="595959" w:themeColor="text1" w:themeTint="A6"/>
        </w:rPr>
        <w:t xml:space="preserve">to </w:t>
      </w:r>
      <w:r w:rsidRPr="00EB4FEE">
        <w:rPr>
          <w:rFonts w:asciiTheme="majorHAnsi" w:hAnsiTheme="majorHAnsi" w:cstheme="majorHAnsi"/>
          <w:color w:val="595959" w:themeColor="text1" w:themeTint="A6"/>
        </w:rPr>
        <w:t xml:space="preserve">review </w:t>
      </w:r>
      <w:r w:rsidRPr="00EB4FEE">
        <w:rPr>
          <w:rFonts w:asciiTheme="majorHAnsi" w:hAnsiTheme="majorHAnsi"/>
          <w:color w:val="595959" w:themeColor="text1" w:themeTint="A6"/>
        </w:rPr>
        <w:t xml:space="preserve">national </w:t>
      </w:r>
      <w:r w:rsidRPr="00EB4FEE">
        <w:rPr>
          <w:rFonts w:asciiTheme="majorHAnsi" w:hAnsiTheme="majorHAnsi" w:cstheme="majorHAnsi"/>
          <w:color w:val="595959" w:themeColor="text1" w:themeTint="A6"/>
        </w:rPr>
        <w:t>compliance with international veterinary/animal health standards</w:t>
      </w:r>
      <w:r w:rsidR="00C84CB8">
        <w:rPr>
          <w:rFonts w:asciiTheme="majorHAnsi" w:hAnsiTheme="majorHAnsi"/>
          <w:color w:val="595959" w:themeColor="text1" w:themeTint="A6"/>
        </w:rPr>
        <w:t xml:space="preserve">. </w:t>
      </w:r>
      <w:r w:rsidRPr="00EB4FEE">
        <w:rPr>
          <w:rFonts w:asciiTheme="majorHAnsi" w:hAnsiTheme="majorHAnsi" w:cstheme="majorHAnsi"/>
          <w:color w:val="595959" w:themeColor="text1" w:themeTint="A6"/>
        </w:rPr>
        <w:t>The most recent PVS for Indonesia was carried out in 2011</w:t>
      </w:r>
      <w:r w:rsidR="00C84CB8">
        <w:rPr>
          <w:rFonts w:asciiTheme="majorHAnsi" w:hAnsiTheme="majorHAnsi"/>
          <w:color w:val="595959" w:themeColor="text1" w:themeTint="A6"/>
        </w:rPr>
        <w:t xml:space="preserve">. </w:t>
      </w:r>
      <w:r w:rsidRPr="00EB4FEE">
        <w:rPr>
          <w:rFonts w:asciiTheme="majorHAnsi" w:hAnsiTheme="majorHAnsi" w:cstheme="majorHAnsi"/>
          <w:color w:val="595959" w:themeColor="text1" w:themeTint="A6"/>
        </w:rPr>
        <w:t>It found that the main animal health (disease control) priorities set by Indonesia are to prevent the international spread of transboundary animal diseases to support export objectives; enhance national strategies and management of all priority endemic diseases; and to facilitate the prevention</w:t>
      </w:r>
      <w:r w:rsidR="00E35407" w:rsidRPr="00EB4FEE">
        <w:rPr>
          <w:rFonts w:asciiTheme="majorHAnsi" w:hAnsiTheme="majorHAnsi" w:cstheme="majorHAnsi"/>
          <w:color w:val="595959" w:themeColor="text1" w:themeTint="A6"/>
        </w:rPr>
        <w:t xml:space="preserve"> and </w:t>
      </w:r>
      <w:r w:rsidRPr="00EB4FEE">
        <w:rPr>
          <w:rFonts w:asciiTheme="majorHAnsi" w:hAnsiTheme="majorHAnsi" w:cstheme="majorHAnsi"/>
          <w:color w:val="595959" w:themeColor="text1" w:themeTint="A6"/>
        </w:rPr>
        <w:t xml:space="preserve">early detection </w:t>
      </w:r>
      <w:r w:rsidR="00E35407" w:rsidRPr="00EB4FEE">
        <w:rPr>
          <w:rFonts w:asciiTheme="majorHAnsi" w:hAnsiTheme="majorHAnsi" w:cstheme="majorHAnsi"/>
          <w:color w:val="595959" w:themeColor="text1" w:themeTint="A6"/>
        </w:rPr>
        <w:t xml:space="preserve">of, </w:t>
      </w:r>
      <w:r w:rsidRPr="00EB4FEE">
        <w:rPr>
          <w:rFonts w:asciiTheme="majorHAnsi" w:hAnsiTheme="majorHAnsi" w:cstheme="majorHAnsi"/>
          <w:color w:val="595959" w:themeColor="text1" w:themeTint="A6"/>
        </w:rPr>
        <w:t>and rapid response to</w:t>
      </w:r>
      <w:r w:rsidR="00E35407" w:rsidRPr="00EB4FEE">
        <w:rPr>
          <w:rFonts w:asciiTheme="majorHAnsi" w:hAnsiTheme="majorHAnsi" w:cstheme="majorHAnsi"/>
          <w:color w:val="595959" w:themeColor="text1" w:themeTint="A6"/>
        </w:rPr>
        <w:t>,</w:t>
      </w:r>
      <w:r w:rsidRPr="00EB4FEE">
        <w:rPr>
          <w:rFonts w:asciiTheme="majorHAnsi" w:hAnsiTheme="majorHAnsi" w:cstheme="majorHAnsi"/>
          <w:color w:val="595959" w:themeColor="text1" w:themeTint="A6"/>
        </w:rPr>
        <w:t xml:space="preserve"> imported infectious diseases</w:t>
      </w:r>
      <w:r w:rsidR="00EB029C">
        <w:rPr>
          <w:rFonts w:asciiTheme="majorHAnsi" w:hAnsiTheme="majorHAnsi"/>
          <w:color w:val="595959" w:themeColor="text1" w:themeTint="A6"/>
        </w:rPr>
        <w:t>.</w:t>
      </w:r>
    </w:p>
    <w:p w:rsidR="00762452" w:rsidRPr="00EB4FEE" w:rsidRDefault="00E35407" w:rsidP="00B54437">
      <w:pPr>
        <w:spacing w:before="0" w:after="120" w:line="240" w:lineRule="auto"/>
        <w:rPr>
          <w:rFonts w:asciiTheme="majorHAnsi" w:hAnsiTheme="majorHAnsi"/>
          <w:color w:val="595959" w:themeColor="text1" w:themeTint="A6"/>
        </w:rPr>
      </w:pPr>
      <w:r w:rsidRPr="00EB4FEE">
        <w:rPr>
          <w:rFonts w:asciiTheme="majorHAnsi" w:hAnsiTheme="majorHAnsi"/>
          <w:color w:val="595959" w:themeColor="text1" w:themeTint="A6"/>
        </w:rPr>
        <w:t>OIE does</w:t>
      </w:r>
      <w:r w:rsidRPr="00EB4FEE">
        <w:rPr>
          <w:rFonts w:asciiTheme="majorHAnsi" w:hAnsiTheme="majorHAnsi" w:cstheme="majorHAnsi"/>
          <w:color w:val="595959" w:themeColor="text1" w:themeTint="A6"/>
        </w:rPr>
        <w:t xml:space="preserve"> not have an in-country office in Indonesia</w:t>
      </w:r>
      <w:r w:rsidR="00EB029C">
        <w:rPr>
          <w:rFonts w:asciiTheme="majorHAnsi" w:hAnsiTheme="majorHAnsi"/>
          <w:color w:val="595959" w:themeColor="text1" w:themeTint="A6"/>
        </w:rPr>
        <w:t>.</w:t>
      </w:r>
    </w:p>
    <w:p w:rsidR="00762452" w:rsidRPr="00EB4FEE" w:rsidRDefault="00951309" w:rsidP="00B54437">
      <w:pPr>
        <w:spacing w:before="0" w:after="120" w:line="240" w:lineRule="auto"/>
        <w:rPr>
          <w:rFonts w:asciiTheme="majorHAnsi" w:eastAsia="Calibri" w:hAnsiTheme="majorHAnsi" w:cstheme="majorHAnsi"/>
          <w:color w:val="595959" w:themeColor="text1" w:themeTint="A6"/>
          <w:u w:val="single"/>
          <w:lang w:val="en-US"/>
        </w:rPr>
      </w:pPr>
      <w:r w:rsidRPr="00EB4FEE">
        <w:rPr>
          <w:rFonts w:asciiTheme="majorHAnsi" w:eastAsia="Calibri" w:hAnsiTheme="majorHAnsi" w:cstheme="majorHAnsi"/>
          <w:color w:val="595959" w:themeColor="text1" w:themeTint="A6"/>
          <w:u w:val="single"/>
          <w:lang w:val="en-US"/>
        </w:rPr>
        <w:t>Partners and the AIHSP</w:t>
      </w:r>
    </w:p>
    <w:p w:rsidR="00762452" w:rsidRPr="00EB4FEE" w:rsidRDefault="00951309" w:rsidP="00B54437">
      <w:pPr>
        <w:spacing w:before="0" w:after="120" w:line="240" w:lineRule="auto"/>
        <w:rPr>
          <w:rFonts w:asciiTheme="majorHAnsi" w:hAnsiTheme="majorHAnsi"/>
          <w:color w:val="595959" w:themeColor="text1" w:themeTint="A6"/>
        </w:rPr>
      </w:pPr>
      <w:r w:rsidRPr="00EB4FEE">
        <w:rPr>
          <w:rFonts w:asciiTheme="majorHAnsi" w:hAnsiTheme="majorHAnsi"/>
          <w:color w:val="595959" w:themeColor="text1" w:themeTint="A6"/>
        </w:rPr>
        <w:t>Given that there is already support being provided to Indonesia in various areas relating to health security it will be critical for partners to continue to collaborate and ensure that activities funded as part of the AIHSP will build on successful AIPEID interventions and complement the work being supported by other partners</w:t>
      </w:r>
      <w:r w:rsidR="00EB029C">
        <w:rPr>
          <w:rFonts w:asciiTheme="majorHAnsi" w:hAnsiTheme="majorHAnsi"/>
          <w:color w:val="595959" w:themeColor="text1" w:themeTint="A6"/>
        </w:rPr>
        <w:t>.</w:t>
      </w:r>
    </w:p>
    <w:p w:rsidR="00762452" w:rsidRPr="00EB4FEE" w:rsidRDefault="00951309" w:rsidP="00B54437">
      <w:pPr>
        <w:spacing w:before="0" w:after="120" w:line="240" w:lineRule="auto"/>
        <w:rPr>
          <w:rFonts w:asciiTheme="majorHAnsi" w:hAnsiTheme="majorHAnsi"/>
          <w:color w:val="595959" w:themeColor="text1" w:themeTint="A6"/>
        </w:rPr>
      </w:pPr>
      <w:r w:rsidRPr="00EB4FEE">
        <w:rPr>
          <w:rFonts w:asciiTheme="majorHAnsi" w:hAnsiTheme="majorHAnsi"/>
          <w:color w:val="595959" w:themeColor="text1" w:themeTint="A6"/>
        </w:rPr>
        <w:t>Donor</w:t>
      </w:r>
      <w:r w:rsidR="008768BA" w:rsidRPr="00EB4FEE">
        <w:rPr>
          <w:rFonts w:asciiTheme="majorHAnsi" w:hAnsiTheme="majorHAnsi"/>
          <w:color w:val="595959" w:themeColor="text1" w:themeTint="A6"/>
        </w:rPr>
        <w:t xml:space="preserve"> and</w:t>
      </w:r>
      <w:r w:rsidRPr="00EB4FEE">
        <w:rPr>
          <w:rFonts w:asciiTheme="majorHAnsi" w:hAnsiTheme="majorHAnsi"/>
          <w:color w:val="595959" w:themeColor="text1" w:themeTint="A6"/>
        </w:rPr>
        <w:t xml:space="preserve"> international agency coordination is currently occurring through monthly donor coordination forum meetings under the auspices of USAID/EPT-2 which includes </w:t>
      </w:r>
      <w:r w:rsidR="00AE6283" w:rsidRPr="00EB4FEE">
        <w:rPr>
          <w:rFonts w:asciiTheme="majorHAnsi" w:hAnsiTheme="majorHAnsi"/>
          <w:color w:val="595959" w:themeColor="text1" w:themeTint="A6"/>
        </w:rPr>
        <w:t>PREDICT 2</w:t>
      </w:r>
      <w:r w:rsidRPr="00EB4FEE">
        <w:rPr>
          <w:rFonts w:asciiTheme="majorHAnsi" w:hAnsiTheme="majorHAnsi"/>
          <w:color w:val="595959" w:themeColor="text1" w:themeTint="A6"/>
        </w:rPr>
        <w:t>, FAO and WHO</w:t>
      </w:r>
      <w:r w:rsidR="00C84CB8">
        <w:rPr>
          <w:rFonts w:asciiTheme="majorHAnsi" w:hAnsiTheme="majorHAnsi"/>
          <w:color w:val="595959" w:themeColor="text1" w:themeTint="A6"/>
        </w:rPr>
        <w:t xml:space="preserve">. </w:t>
      </w:r>
      <w:r w:rsidRPr="00EB4FEE">
        <w:rPr>
          <w:rFonts w:asciiTheme="majorHAnsi" w:hAnsiTheme="majorHAnsi"/>
          <w:color w:val="595959" w:themeColor="text1" w:themeTint="A6"/>
        </w:rPr>
        <w:t>The Kemenko PMK also holds a national donor coordination meeting annually</w:t>
      </w:r>
      <w:r w:rsidR="008768BA" w:rsidRPr="00EB4FEE">
        <w:rPr>
          <w:rFonts w:asciiTheme="majorHAnsi" w:hAnsiTheme="majorHAnsi"/>
          <w:color w:val="595959" w:themeColor="text1" w:themeTint="A6"/>
        </w:rPr>
        <w:t>. The DFAT Health Unit is represented at these meetings, and will work with the key AIHSP decision making body (</w:t>
      </w:r>
      <w:r w:rsidRPr="00EB4FEE">
        <w:rPr>
          <w:rFonts w:asciiTheme="majorHAnsi" w:hAnsiTheme="majorHAnsi"/>
          <w:color w:val="595959" w:themeColor="text1" w:themeTint="A6"/>
        </w:rPr>
        <w:t>PCC</w:t>
      </w:r>
      <w:r w:rsidR="008768BA" w:rsidRPr="00EB4FEE">
        <w:rPr>
          <w:rFonts w:asciiTheme="majorHAnsi" w:hAnsiTheme="majorHAnsi"/>
          <w:color w:val="595959" w:themeColor="text1" w:themeTint="A6"/>
        </w:rPr>
        <w:t xml:space="preserve">) and program management body (managing </w:t>
      </w:r>
      <w:r w:rsidR="00C36348" w:rsidRPr="00EB4FEE">
        <w:rPr>
          <w:rFonts w:asciiTheme="majorHAnsi" w:hAnsiTheme="majorHAnsi"/>
          <w:color w:val="595959" w:themeColor="text1" w:themeTint="A6"/>
        </w:rPr>
        <w:t>contractor</w:t>
      </w:r>
      <w:r w:rsidR="008768BA" w:rsidRPr="00EB4FEE">
        <w:rPr>
          <w:rFonts w:asciiTheme="majorHAnsi" w:hAnsiTheme="majorHAnsi"/>
          <w:color w:val="595959" w:themeColor="text1" w:themeTint="A6"/>
        </w:rPr>
        <w:t>) to ensure that all DFAT support is fully coordinated with other programs.</w:t>
      </w:r>
    </w:p>
    <w:p w:rsidR="00734B4D" w:rsidRPr="00CB527B" w:rsidRDefault="00734B4D" w:rsidP="001E3C42">
      <w:pPr>
        <w:pStyle w:val="Heading2"/>
        <w:spacing w:after="120" w:line="240" w:lineRule="auto"/>
        <w:contextualSpacing w:val="0"/>
        <w:rPr>
          <w:rFonts w:cstheme="majorHAnsi"/>
          <w:sz w:val="22"/>
          <w:szCs w:val="22"/>
        </w:rPr>
      </w:pPr>
      <w:bookmarkStart w:id="10" w:name="_Toc3296996"/>
      <w:r w:rsidRPr="00CB527B">
        <w:rPr>
          <w:rFonts w:cstheme="majorHAnsi"/>
          <w:sz w:val="22"/>
          <w:szCs w:val="22"/>
        </w:rPr>
        <w:t>Lessons Learned</w:t>
      </w:r>
      <w:bookmarkEnd w:id="10"/>
      <w:r w:rsidRPr="00CB527B">
        <w:rPr>
          <w:rFonts w:cstheme="majorHAnsi"/>
          <w:sz w:val="22"/>
          <w:szCs w:val="22"/>
        </w:rPr>
        <w:t xml:space="preserve"> </w:t>
      </w:r>
    </w:p>
    <w:p w:rsidR="00762452" w:rsidRPr="00EB4FEE" w:rsidRDefault="00951309" w:rsidP="001E3C42">
      <w:pPr>
        <w:spacing w:before="0" w:after="120" w:line="240" w:lineRule="auto"/>
        <w:rPr>
          <w:rFonts w:asciiTheme="majorHAnsi" w:hAnsiTheme="majorHAnsi"/>
          <w:color w:val="595959" w:themeColor="text1" w:themeTint="A6"/>
        </w:rPr>
      </w:pPr>
      <w:r w:rsidRPr="00EB4FEE">
        <w:rPr>
          <w:rFonts w:asciiTheme="majorHAnsi" w:hAnsiTheme="majorHAnsi"/>
          <w:color w:val="595959" w:themeColor="text1" w:themeTint="A6"/>
        </w:rPr>
        <w:t>A number of lessons from past and current initiatives in Indonesia have direct bearing on the design of the AIHSP</w:t>
      </w:r>
      <w:r w:rsidR="00C84CB8">
        <w:rPr>
          <w:rFonts w:asciiTheme="majorHAnsi" w:hAnsiTheme="majorHAnsi"/>
          <w:color w:val="595959" w:themeColor="text1" w:themeTint="A6"/>
        </w:rPr>
        <w:t xml:space="preserve">. </w:t>
      </w:r>
      <w:r w:rsidRPr="00EB4FEE">
        <w:rPr>
          <w:rFonts w:asciiTheme="majorHAnsi" w:hAnsiTheme="majorHAnsi"/>
          <w:color w:val="595959" w:themeColor="text1" w:themeTint="A6"/>
        </w:rPr>
        <w:t>The most important of these</w:t>
      </w:r>
      <w:r w:rsidRPr="00EB4FEE">
        <w:rPr>
          <w:rFonts w:asciiTheme="majorHAnsi" w:eastAsia="Calibri" w:hAnsiTheme="majorHAnsi" w:cstheme="majorHAnsi"/>
          <w:color w:val="595959" w:themeColor="text1" w:themeTint="A6"/>
          <w:lang w:val="en-US"/>
        </w:rPr>
        <w:t>, and how the AIHSP design has responded to them,</w:t>
      </w:r>
      <w:r w:rsidRPr="00EB4FEE">
        <w:rPr>
          <w:rFonts w:asciiTheme="majorHAnsi" w:hAnsiTheme="majorHAnsi"/>
          <w:color w:val="595959" w:themeColor="text1" w:themeTint="A6"/>
        </w:rPr>
        <w:t xml:space="preserve"> are summarised in the table below.</w:t>
      </w:r>
    </w:p>
    <w:p w:rsidR="00054254" w:rsidRPr="00EB4FEE" w:rsidRDefault="00054254" w:rsidP="00054254">
      <w:pPr>
        <w:spacing w:before="0" w:after="120" w:line="240" w:lineRule="auto"/>
        <w:rPr>
          <w:rFonts w:asciiTheme="majorHAnsi" w:eastAsia="Calibri" w:hAnsiTheme="majorHAnsi" w:cs="Calibri Light"/>
          <w:b/>
          <w:color w:val="auto"/>
        </w:rPr>
      </w:pPr>
      <w:bookmarkStart w:id="11" w:name="_Hlk531355583"/>
      <w:r w:rsidRPr="00EB4FEE">
        <w:rPr>
          <w:rFonts w:asciiTheme="majorHAnsi" w:eastAsia="Calibri" w:hAnsiTheme="majorHAnsi" w:cs="Calibri Light"/>
          <w:b/>
          <w:color w:val="auto"/>
        </w:rPr>
        <w:t>Table 1:</w:t>
      </w:r>
    </w:p>
    <w:tbl>
      <w:tblPr>
        <w:tblStyle w:val="TableGrid1"/>
        <w:tblW w:w="0" w:type="auto"/>
        <w:tblLook w:val="04A0" w:firstRow="1" w:lastRow="0" w:firstColumn="1" w:lastColumn="0" w:noHBand="0" w:noVBand="1"/>
      </w:tblPr>
      <w:tblGrid>
        <w:gridCol w:w="4508"/>
        <w:gridCol w:w="4508"/>
      </w:tblGrid>
      <w:tr w:rsidR="00054254" w:rsidRPr="00806CF3" w:rsidTr="001504BF">
        <w:tc>
          <w:tcPr>
            <w:tcW w:w="4508" w:type="dxa"/>
            <w:shd w:val="clear" w:color="auto" w:fill="BFBFBF" w:themeFill="background1" w:themeFillShade="BF"/>
          </w:tcPr>
          <w:p w:rsidR="00054254" w:rsidRPr="00EB4FEE" w:rsidRDefault="00054254" w:rsidP="00EB4FEE">
            <w:pPr>
              <w:spacing w:before="0" w:line="240" w:lineRule="auto"/>
              <w:rPr>
                <w:rFonts w:asciiTheme="majorHAnsi" w:eastAsia="Calibri" w:hAnsiTheme="majorHAnsi" w:cs="Calibri Light"/>
                <w:b/>
                <w:color w:val="595959" w:themeColor="text1" w:themeTint="A6"/>
                <w:lang w:val="en-AU"/>
              </w:rPr>
            </w:pPr>
            <w:r w:rsidRPr="00EB4FEE">
              <w:rPr>
                <w:rFonts w:asciiTheme="majorHAnsi" w:eastAsia="Calibri" w:hAnsiTheme="majorHAnsi" w:cs="Calibri Light"/>
                <w:b/>
                <w:color w:val="595959" w:themeColor="text1" w:themeTint="A6"/>
                <w:lang w:val="en-AU"/>
              </w:rPr>
              <w:t>Lesson</w:t>
            </w:r>
          </w:p>
        </w:tc>
        <w:tc>
          <w:tcPr>
            <w:tcW w:w="4508" w:type="dxa"/>
            <w:shd w:val="clear" w:color="auto" w:fill="BFBFBF" w:themeFill="background1" w:themeFillShade="BF"/>
          </w:tcPr>
          <w:p w:rsidR="00054254" w:rsidRPr="00EB4FEE" w:rsidRDefault="00054254" w:rsidP="00EB4FEE">
            <w:pPr>
              <w:spacing w:before="0" w:line="240" w:lineRule="auto"/>
              <w:rPr>
                <w:rFonts w:asciiTheme="majorHAnsi" w:eastAsia="Calibri" w:hAnsiTheme="majorHAnsi" w:cs="Calibri Light"/>
                <w:b/>
                <w:color w:val="595959" w:themeColor="text1" w:themeTint="A6"/>
                <w:lang w:val="en-AU"/>
              </w:rPr>
            </w:pPr>
            <w:r w:rsidRPr="00EB4FEE">
              <w:rPr>
                <w:rFonts w:asciiTheme="majorHAnsi" w:eastAsia="Calibri" w:hAnsiTheme="majorHAnsi" w:cs="Calibri Light"/>
                <w:b/>
                <w:color w:val="595959" w:themeColor="text1" w:themeTint="A6"/>
                <w:lang w:val="en-AU"/>
              </w:rPr>
              <w:t>AIHSP Design Response</w:t>
            </w:r>
          </w:p>
        </w:tc>
      </w:tr>
      <w:tr w:rsidR="00054254" w:rsidRPr="00806CF3" w:rsidTr="002167AE">
        <w:tc>
          <w:tcPr>
            <w:tcW w:w="4508" w:type="dxa"/>
          </w:tcPr>
          <w:p w:rsidR="00054254" w:rsidRPr="00EB4FEE" w:rsidRDefault="00054254" w:rsidP="00EB4FEE">
            <w:pPr>
              <w:spacing w:before="0" w:line="240" w:lineRule="auto"/>
              <w:rPr>
                <w:rFonts w:asciiTheme="majorHAnsi" w:eastAsia="Calibri" w:hAnsiTheme="majorHAnsi" w:cs="Calibri Light"/>
                <w:color w:val="595959" w:themeColor="text1" w:themeTint="A6"/>
                <w:lang w:val="en-AU"/>
              </w:rPr>
            </w:pPr>
            <w:r w:rsidRPr="00EB4FEE">
              <w:rPr>
                <w:rFonts w:asciiTheme="majorHAnsi" w:eastAsia="Calibri" w:hAnsiTheme="majorHAnsi" w:cs="Calibri Light"/>
                <w:b/>
                <w:color w:val="595959" w:themeColor="text1" w:themeTint="A6"/>
                <w:lang w:val="en-AU"/>
              </w:rPr>
              <w:t>Understanding the Indonesian context and political framework is paramount.</w:t>
            </w:r>
            <w:r w:rsidRPr="00EB4FEE">
              <w:rPr>
                <w:rFonts w:asciiTheme="majorHAnsi" w:eastAsia="Calibri" w:hAnsiTheme="majorHAnsi" w:cs="Calibri Light"/>
                <w:b/>
                <w:color w:val="595959" w:themeColor="text1" w:themeTint="A6"/>
                <w:vertAlign w:val="superscript"/>
                <w:lang w:val="en-AU"/>
              </w:rPr>
              <w:footnoteReference w:id="13"/>
            </w:r>
          </w:p>
          <w:p w:rsidR="00054254" w:rsidRPr="00EB4FEE" w:rsidRDefault="00054254" w:rsidP="00EB4FEE">
            <w:pPr>
              <w:spacing w:before="0" w:line="240" w:lineRule="auto"/>
              <w:rPr>
                <w:rFonts w:asciiTheme="majorHAnsi" w:eastAsia="Calibri" w:hAnsiTheme="majorHAnsi" w:cs="Calibri Light"/>
                <w:color w:val="595959" w:themeColor="text1" w:themeTint="A6"/>
                <w:lang w:val="en-AU"/>
              </w:rPr>
            </w:pPr>
            <w:r w:rsidRPr="00EB4FEE">
              <w:rPr>
                <w:rFonts w:asciiTheme="majorHAnsi" w:eastAsia="Calibri" w:hAnsiTheme="majorHAnsi" w:cs="Calibri Light"/>
                <w:color w:val="595959" w:themeColor="text1" w:themeTint="A6"/>
                <w:lang w:val="en-AU"/>
              </w:rPr>
              <w:t>Indonesian government priorities might change following the 2019 presidential election.</w:t>
            </w:r>
            <w:r w:rsidR="008F6471">
              <w:rPr>
                <w:rFonts w:asciiTheme="majorHAnsi" w:eastAsia="Calibri" w:hAnsiTheme="majorHAnsi" w:cs="Calibri Light"/>
                <w:color w:val="595959" w:themeColor="text1" w:themeTint="A6"/>
                <w:lang w:val="en-AU"/>
              </w:rPr>
              <w:t xml:space="preserve"> Political economy dynamics will continue to shape the reform agenda and priorities in the health security context.</w:t>
            </w:r>
          </w:p>
          <w:p w:rsidR="00054254" w:rsidRPr="00EB4FEE" w:rsidRDefault="00054254" w:rsidP="00EB4FEE">
            <w:pPr>
              <w:spacing w:before="0" w:line="240" w:lineRule="auto"/>
              <w:rPr>
                <w:rFonts w:asciiTheme="majorHAnsi" w:eastAsia="Calibri" w:hAnsiTheme="majorHAnsi" w:cs="Calibri Light"/>
                <w:color w:val="595959" w:themeColor="text1" w:themeTint="A6"/>
                <w:lang w:val="en-AU"/>
              </w:rPr>
            </w:pPr>
            <w:r w:rsidRPr="00EB4FEE">
              <w:rPr>
                <w:rFonts w:asciiTheme="majorHAnsi" w:eastAsia="Calibri" w:hAnsiTheme="majorHAnsi" w:cs="Calibri Light"/>
                <w:color w:val="595959" w:themeColor="text1" w:themeTint="A6"/>
                <w:lang w:val="en-AU"/>
              </w:rPr>
              <w:t xml:space="preserve"> </w:t>
            </w:r>
          </w:p>
        </w:tc>
        <w:tc>
          <w:tcPr>
            <w:tcW w:w="4508" w:type="dxa"/>
          </w:tcPr>
          <w:p w:rsidR="00054254" w:rsidRPr="00EB4FEE" w:rsidRDefault="00054254" w:rsidP="00EB4FEE">
            <w:pPr>
              <w:spacing w:before="0" w:line="240" w:lineRule="auto"/>
              <w:rPr>
                <w:rFonts w:asciiTheme="majorHAnsi" w:eastAsia="Calibri" w:hAnsiTheme="majorHAnsi" w:cs="Calibri Light"/>
                <w:color w:val="595959" w:themeColor="text1" w:themeTint="A6"/>
                <w:lang w:val="en-AU"/>
              </w:rPr>
            </w:pPr>
            <w:r w:rsidRPr="00EB4FEE">
              <w:rPr>
                <w:rFonts w:asciiTheme="majorHAnsi" w:eastAsia="Calibri" w:hAnsiTheme="majorHAnsi" w:cs="Calibri Light"/>
                <w:color w:val="595959" w:themeColor="text1" w:themeTint="A6"/>
                <w:lang w:val="en-AU"/>
              </w:rPr>
              <w:t>AIHSP has sought GoI c</w:t>
            </w:r>
            <w:r w:rsidR="00C84CB8">
              <w:rPr>
                <w:rFonts w:asciiTheme="majorHAnsi" w:eastAsia="Calibri" w:hAnsiTheme="majorHAnsi" w:cs="Calibri Light"/>
                <w:color w:val="595959" w:themeColor="text1" w:themeTint="A6"/>
                <w:lang w:val="en-AU"/>
              </w:rPr>
              <w:t xml:space="preserve">ommitment to the program aims. </w:t>
            </w:r>
            <w:r w:rsidRPr="00EB4FEE">
              <w:rPr>
                <w:rFonts w:asciiTheme="majorHAnsi" w:eastAsia="Calibri" w:hAnsiTheme="majorHAnsi" w:cs="Calibri Light"/>
                <w:color w:val="595959" w:themeColor="text1" w:themeTint="A6"/>
                <w:lang w:val="en-AU"/>
              </w:rPr>
              <w:t>Throughout the process of developing the design of the program, relevant stakeholders have been kept up-to-date with developments; this will conti</w:t>
            </w:r>
            <w:r w:rsidR="00EB029C">
              <w:rPr>
                <w:rFonts w:asciiTheme="majorHAnsi" w:eastAsia="Calibri" w:hAnsiTheme="majorHAnsi" w:cs="Calibri Light"/>
                <w:color w:val="595959" w:themeColor="text1" w:themeTint="A6"/>
                <w:lang w:val="en-AU"/>
              </w:rPr>
              <w:t>nue as the program progresses.</w:t>
            </w:r>
          </w:p>
          <w:p w:rsidR="00054254" w:rsidRPr="00EB4FEE" w:rsidRDefault="00054254" w:rsidP="00EB4FEE">
            <w:pPr>
              <w:spacing w:before="0" w:line="240" w:lineRule="auto"/>
              <w:rPr>
                <w:rFonts w:asciiTheme="majorHAnsi" w:eastAsia="Calibri" w:hAnsiTheme="majorHAnsi" w:cs="Calibri Light"/>
                <w:color w:val="595959" w:themeColor="text1" w:themeTint="A6"/>
                <w:lang w:val="en-AU"/>
              </w:rPr>
            </w:pPr>
            <w:r w:rsidRPr="00EB4FEE">
              <w:rPr>
                <w:rFonts w:asciiTheme="majorHAnsi" w:eastAsia="Calibri" w:hAnsiTheme="majorHAnsi" w:cs="Calibri Light"/>
                <w:color w:val="595959" w:themeColor="text1" w:themeTint="A6"/>
                <w:lang w:val="en-AU"/>
              </w:rPr>
              <w:t>Designing the investment as a flexible program based on annual work plans will ensure that GoI health security priorities are reflected and will enable adjustments post-election if priorities change</w:t>
            </w:r>
            <w:r w:rsidR="008F6471">
              <w:rPr>
                <w:rFonts w:asciiTheme="majorHAnsi" w:eastAsia="Calibri" w:hAnsiTheme="majorHAnsi" w:cs="Calibri Light"/>
                <w:color w:val="595959" w:themeColor="text1" w:themeTint="A6"/>
                <w:lang w:val="en-AU"/>
              </w:rPr>
              <w:t>, and on an ongoing basis throughout the implementation period, based on ongoing and updated analysis of the operating context in Indonesia</w:t>
            </w:r>
            <w:r w:rsidRPr="00EB4FEE">
              <w:rPr>
                <w:rFonts w:asciiTheme="majorHAnsi" w:eastAsia="Calibri" w:hAnsiTheme="majorHAnsi" w:cs="Calibri Light"/>
                <w:color w:val="595959" w:themeColor="text1" w:themeTint="A6"/>
                <w:lang w:val="en-AU"/>
              </w:rPr>
              <w:t>.</w:t>
            </w:r>
          </w:p>
          <w:p w:rsidR="00054254" w:rsidRPr="00EB4FEE" w:rsidRDefault="00054254" w:rsidP="00EB4FEE">
            <w:pPr>
              <w:spacing w:before="0" w:line="240" w:lineRule="auto"/>
              <w:rPr>
                <w:rFonts w:asciiTheme="majorHAnsi" w:eastAsia="Calibri" w:hAnsiTheme="majorHAnsi" w:cs="Calibri Light"/>
                <w:color w:val="595959" w:themeColor="text1" w:themeTint="A6"/>
                <w:lang w:val="en-AU"/>
              </w:rPr>
            </w:pPr>
            <w:r w:rsidRPr="00EB4FEE">
              <w:rPr>
                <w:rFonts w:asciiTheme="majorHAnsi" w:eastAsia="Calibri" w:hAnsiTheme="majorHAnsi" w:cs="Calibri Light"/>
                <w:color w:val="595959" w:themeColor="text1" w:themeTint="A6"/>
                <w:lang w:val="en-AU"/>
              </w:rPr>
              <w:t>DFAT is engaged in the Indonesian Health Sector Review which will provide an evidence base for the new RPJMN and Health Strategy (Renstra Kesehatan) to be delivered by the new Governmen</w:t>
            </w:r>
            <w:r w:rsidR="00D31E79">
              <w:rPr>
                <w:rFonts w:asciiTheme="majorHAnsi" w:eastAsia="Calibri" w:hAnsiTheme="majorHAnsi" w:cs="Calibri Light"/>
                <w:color w:val="595959" w:themeColor="text1" w:themeTint="A6"/>
                <w:lang w:val="en-AU"/>
              </w:rPr>
              <w:t>t.</w:t>
            </w:r>
          </w:p>
          <w:p w:rsidR="00054254" w:rsidRPr="00EB4FEE" w:rsidRDefault="00054254" w:rsidP="00EB4FEE">
            <w:pPr>
              <w:spacing w:before="0" w:line="240" w:lineRule="auto"/>
              <w:rPr>
                <w:rFonts w:asciiTheme="majorHAnsi" w:eastAsia="Calibri" w:hAnsiTheme="majorHAnsi" w:cs="Calibri Light"/>
                <w:color w:val="595959" w:themeColor="text1" w:themeTint="A6"/>
                <w:lang w:val="en-AU"/>
              </w:rPr>
            </w:pPr>
            <w:r w:rsidRPr="00EB4FEE">
              <w:rPr>
                <w:rFonts w:asciiTheme="majorHAnsi" w:eastAsia="Calibri" w:hAnsiTheme="majorHAnsi" w:cs="Calibri Light"/>
                <w:color w:val="595959" w:themeColor="text1" w:themeTint="A6"/>
                <w:lang w:val="en-AU"/>
              </w:rPr>
              <w:t>The timing of the program’s inception period should also enable adaption to any changes resulting f</w:t>
            </w:r>
            <w:r w:rsidR="00352A08">
              <w:rPr>
                <w:rFonts w:asciiTheme="majorHAnsi" w:eastAsia="Calibri" w:hAnsiTheme="majorHAnsi" w:cs="Calibri Light"/>
                <w:color w:val="595959" w:themeColor="text1" w:themeTint="A6"/>
                <w:lang w:val="en-AU"/>
              </w:rPr>
              <w:t>rom the presidential election.</w:t>
            </w:r>
          </w:p>
        </w:tc>
      </w:tr>
      <w:tr w:rsidR="00054254" w:rsidRPr="00806CF3" w:rsidTr="002167AE">
        <w:tc>
          <w:tcPr>
            <w:tcW w:w="4508" w:type="dxa"/>
          </w:tcPr>
          <w:p w:rsidR="00054254" w:rsidRPr="00EB4FEE" w:rsidRDefault="00054254" w:rsidP="00EB4FEE">
            <w:pPr>
              <w:spacing w:before="0" w:line="240" w:lineRule="auto"/>
              <w:rPr>
                <w:rFonts w:asciiTheme="majorHAnsi" w:eastAsia="Calibri" w:hAnsiTheme="majorHAnsi" w:cs="Calibri Light"/>
                <w:b/>
                <w:color w:val="595959" w:themeColor="text1" w:themeTint="A6"/>
                <w:lang w:val="en-AU"/>
              </w:rPr>
            </w:pPr>
            <w:r w:rsidRPr="00EB4FEE">
              <w:rPr>
                <w:rFonts w:asciiTheme="majorHAnsi" w:eastAsia="Calibri" w:hAnsiTheme="majorHAnsi" w:cs="Calibri Light"/>
                <w:b/>
                <w:color w:val="595959" w:themeColor="text1" w:themeTint="A6"/>
                <w:lang w:val="en-AU"/>
              </w:rPr>
              <w:t>Aligning with national priorities will ensure better engagement with counterparts.</w:t>
            </w:r>
          </w:p>
        </w:tc>
        <w:tc>
          <w:tcPr>
            <w:tcW w:w="4508" w:type="dxa"/>
          </w:tcPr>
          <w:p w:rsidR="00054254" w:rsidRPr="00EB4FEE" w:rsidRDefault="00054254" w:rsidP="00EB4FEE">
            <w:pPr>
              <w:spacing w:before="0" w:line="240" w:lineRule="auto"/>
              <w:rPr>
                <w:rFonts w:asciiTheme="majorHAnsi" w:eastAsia="Calibri" w:hAnsiTheme="majorHAnsi" w:cs="Calibri Light"/>
                <w:color w:val="595959" w:themeColor="text1" w:themeTint="A6"/>
                <w:lang w:val="en-AU"/>
              </w:rPr>
            </w:pPr>
            <w:r w:rsidRPr="00EB4FEE">
              <w:rPr>
                <w:rFonts w:asciiTheme="majorHAnsi" w:eastAsia="Calibri" w:hAnsiTheme="majorHAnsi" w:cs="Calibri Light"/>
                <w:color w:val="595959" w:themeColor="text1" w:themeTint="A6"/>
                <w:lang w:val="en-AU"/>
              </w:rPr>
              <w:t xml:space="preserve">DFAT is involved in the RPJMN development process which will set out priorities of the new government, and has advocated for health security </w:t>
            </w:r>
            <w:r w:rsidR="00352A08">
              <w:rPr>
                <w:rFonts w:asciiTheme="majorHAnsi" w:eastAsia="Calibri" w:hAnsiTheme="majorHAnsi" w:cs="Calibri Light"/>
                <w:color w:val="595959" w:themeColor="text1" w:themeTint="A6"/>
                <w:lang w:val="en-AU"/>
              </w:rPr>
              <w:t>issues as part of this process.</w:t>
            </w:r>
          </w:p>
          <w:p w:rsidR="00054254" w:rsidRPr="00EB4FEE" w:rsidRDefault="00054254" w:rsidP="00EB4FEE">
            <w:pPr>
              <w:spacing w:before="0" w:line="240" w:lineRule="auto"/>
              <w:rPr>
                <w:rFonts w:asciiTheme="majorHAnsi" w:eastAsia="Calibri" w:hAnsiTheme="majorHAnsi" w:cs="Calibri Light"/>
                <w:color w:val="595959" w:themeColor="text1" w:themeTint="A6"/>
                <w:lang w:val="en-AU"/>
              </w:rPr>
            </w:pPr>
            <w:r w:rsidRPr="00EB4FEE">
              <w:rPr>
                <w:rFonts w:asciiTheme="majorHAnsi" w:eastAsia="Calibri" w:hAnsiTheme="majorHAnsi" w:cs="Calibri Light"/>
                <w:color w:val="595959" w:themeColor="text1" w:themeTint="A6"/>
                <w:lang w:val="en-AU"/>
              </w:rPr>
              <w:t>AIHSP has referred to the JEE and PVS gap analyses, which will guide the development of the NAPHS, ensuring that the progr</w:t>
            </w:r>
            <w:r w:rsidR="00D31E79">
              <w:rPr>
                <w:rFonts w:asciiTheme="majorHAnsi" w:eastAsia="Calibri" w:hAnsiTheme="majorHAnsi" w:cs="Calibri Light"/>
                <w:color w:val="595959" w:themeColor="text1" w:themeTint="A6"/>
                <w:lang w:val="en-AU"/>
              </w:rPr>
              <w:t xml:space="preserve">am aligns with GoI priorities. </w:t>
            </w:r>
            <w:r w:rsidRPr="00EB4FEE">
              <w:rPr>
                <w:rFonts w:asciiTheme="majorHAnsi" w:eastAsia="Calibri" w:hAnsiTheme="majorHAnsi" w:cs="Calibri Light"/>
                <w:color w:val="595959" w:themeColor="text1" w:themeTint="A6"/>
                <w:lang w:val="en-AU"/>
              </w:rPr>
              <w:t xml:space="preserve">DFAT and the managing contractor will continue to monitor emerging priorities, </w:t>
            </w:r>
            <w:r w:rsidR="00D31E79">
              <w:rPr>
                <w:rFonts w:asciiTheme="majorHAnsi" w:eastAsia="Calibri" w:hAnsiTheme="majorHAnsi" w:cs="Calibri Light"/>
                <w:color w:val="595959" w:themeColor="text1" w:themeTint="A6"/>
                <w:lang w:val="en-AU"/>
              </w:rPr>
              <w:t>particularly through the NAPHS.</w:t>
            </w:r>
            <w:r w:rsidRPr="00EB4FEE">
              <w:rPr>
                <w:rFonts w:asciiTheme="majorHAnsi" w:eastAsia="Calibri" w:hAnsiTheme="majorHAnsi" w:cs="Calibri Light"/>
                <w:color w:val="595959" w:themeColor="text1" w:themeTint="A6"/>
                <w:lang w:val="en-AU"/>
              </w:rPr>
              <w:t xml:space="preserve"> </w:t>
            </w:r>
          </w:p>
        </w:tc>
      </w:tr>
      <w:tr w:rsidR="00054254" w:rsidRPr="00806CF3" w:rsidTr="002167AE">
        <w:tc>
          <w:tcPr>
            <w:tcW w:w="4508" w:type="dxa"/>
          </w:tcPr>
          <w:p w:rsidR="00054254" w:rsidRPr="00EB4FEE" w:rsidRDefault="00054254" w:rsidP="00EB4FEE">
            <w:pPr>
              <w:spacing w:before="0" w:line="240" w:lineRule="auto"/>
              <w:rPr>
                <w:rFonts w:asciiTheme="majorHAnsi" w:eastAsia="Calibri" w:hAnsiTheme="majorHAnsi" w:cs="Calibri Light"/>
                <w:b/>
                <w:color w:val="595959" w:themeColor="text1" w:themeTint="A6"/>
                <w:lang w:val="en-AU"/>
              </w:rPr>
            </w:pPr>
            <w:r w:rsidRPr="00EB4FEE">
              <w:rPr>
                <w:rFonts w:asciiTheme="majorHAnsi" w:eastAsia="Calibri" w:hAnsiTheme="majorHAnsi" w:cs="Calibri Light"/>
                <w:b/>
                <w:color w:val="595959" w:themeColor="text1" w:themeTint="A6"/>
                <w:lang w:val="en-AU"/>
              </w:rPr>
              <w:t>There is a need to garner support for activities from the outset from the GoI.</w:t>
            </w:r>
          </w:p>
          <w:p w:rsidR="00054254" w:rsidRPr="00EB4FEE" w:rsidRDefault="00054254" w:rsidP="00EB4FEE">
            <w:pPr>
              <w:spacing w:before="0" w:line="240" w:lineRule="auto"/>
              <w:rPr>
                <w:rFonts w:asciiTheme="majorHAnsi" w:eastAsia="Calibri" w:hAnsiTheme="majorHAnsi" w:cs="Calibri Light"/>
                <w:color w:val="595959" w:themeColor="text1" w:themeTint="A6"/>
                <w:lang w:val="en-AU"/>
              </w:rPr>
            </w:pPr>
            <w:r w:rsidRPr="00EB4FEE">
              <w:rPr>
                <w:rFonts w:asciiTheme="majorHAnsi" w:eastAsia="Calibri" w:hAnsiTheme="majorHAnsi" w:cs="Calibri Light"/>
                <w:color w:val="595959" w:themeColor="text1" w:themeTint="A6"/>
                <w:lang w:val="en-AU"/>
              </w:rPr>
              <w:t xml:space="preserve">It is critical that activities are implemented in line with </w:t>
            </w:r>
            <w:r w:rsidR="00C60F38" w:rsidRPr="00EB4FEE">
              <w:rPr>
                <w:rFonts w:asciiTheme="majorHAnsi" w:eastAsia="Calibri" w:hAnsiTheme="majorHAnsi" w:cs="Calibri Light"/>
                <w:color w:val="595959" w:themeColor="text1" w:themeTint="A6"/>
                <w:lang w:val="en-AU"/>
              </w:rPr>
              <w:t xml:space="preserve">GoI </w:t>
            </w:r>
            <w:r w:rsidRPr="00EB4FEE">
              <w:rPr>
                <w:rFonts w:asciiTheme="majorHAnsi" w:eastAsia="Calibri" w:hAnsiTheme="majorHAnsi" w:cs="Calibri Light"/>
                <w:color w:val="595959" w:themeColor="text1" w:themeTint="A6"/>
                <w:lang w:val="en-AU"/>
              </w:rPr>
              <w:t>system</w:t>
            </w:r>
            <w:r w:rsidR="00C60F38" w:rsidRPr="00EB4FEE">
              <w:rPr>
                <w:rFonts w:asciiTheme="majorHAnsi" w:eastAsia="Calibri" w:hAnsiTheme="majorHAnsi" w:cs="Calibri Light"/>
                <w:color w:val="595959" w:themeColor="text1" w:themeTint="A6"/>
                <w:lang w:val="en-AU"/>
              </w:rPr>
              <w:t>s</w:t>
            </w:r>
            <w:r w:rsidRPr="00EB4FEE">
              <w:rPr>
                <w:rFonts w:asciiTheme="majorHAnsi" w:eastAsia="Calibri" w:hAnsiTheme="majorHAnsi" w:cs="Calibri Light"/>
                <w:color w:val="595959" w:themeColor="text1" w:themeTint="A6"/>
                <w:lang w:val="en-AU"/>
              </w:rPr>
              <w:t xml:space="preserve"> (including the legal/regulatory framework, incentives, accountability mechanisms and resourcing flows) to ensure that the program will achieve systemic impact through the</w:t>
            </w:r>
            <w:r w:rsidR="00963FF6">
              <w:rPr>
                <w:rFonts w:asciiTheme="majorHAnsi" w:eastAsia="Calibri" w:hAnsiTheme="majorHAnsi" w:cs="Calibri Light"/>
                <w:color w:val="595959" w:themeColor="text1" w:themeTint="A6"/>
                <w:lang w:val="en-AU"/>
              </w:rPr>
              <w:t xml:space="preserve"> learning,</w:t>
            </w:r>
            <w:r w:rsidRPr="00EB4FEE">
              <w:rPr>
                <w:rFonts w:asciiTheme="majorHAnsi" w:eastAsia="Calibri" w:hAnsiTheme="majorHAnsi" w:cs="Calibri Light"/>
                <w:color w:val="595959" w:themeColor="text1" w:themeTint="A6"/>
                <w:lang w:val="en-AU"/>
              </w:rPr>
              <w:t xml:space="preserve"> adoption, adaptation and replication of interventions. Interventions need to take account of this reality and have the required backing from the relevant Indonesian government department</w:t>
            </w:r>
            <w:r w:rsidR="00963FF6">
              <w:rPr>
                <w:rFonts w:asciiTheme="majorHAnsi" w:eastAsia="Calibri" w:hAnsiTheme="majorHAnsi" w:cs="Calibri Light"/>
                <w:color w:val="595959" w:themeColor="text1" w:themeTint="A6"/>
                <w:lang w:val="en-AU"/>
              </w:rPr>
              <w:t xml:space="preserve"> and stakeholders</w:t>
            </w:r>
            <w:r w:rsidRPr="00EB4FEE">
              <w:rPr>
                <w:rFonts w:asciiTheme="majorHAnsi" w:eastAsia="Calibri" w:hAnsiTheme="majorHAnsi" w:cs="Calibri Light"/>
                <w:color w:val="595959" w:themeColor="text1" w:themeTint="A6"/>
                <w:lang w:val="en-AU"/>
              </w:rPr>
              <w:t xml:space="preserve"> from the outset.</w:t>
            </w:r>
          </w:p>
          <w:p w:rsidR="00054254" w:rsidRPr="00EB4FEE" w:rsidRDefault="00054254" w:rsidP="00D31E79">
            <w:pPr>
              <w:spacing w:before="0" w:line="240" w:lineRule="auto"/>
              <w:rPr>
                <w:rFonts w:asciiTheme="majorHAnsi" w:eastAsia="Calibri" w:hAnsiTheme="majorHAnsi" w:cs="Calibri Light"/>
                <w:color w:val="595959" w:themeColor="text1" w:themeTint="A6"/>
                <w:lang w:val="en-AU"/>
              </w:rPr>
            </w:pPr>
            <w:r w:rsidRPr="00EB4FEE">
              <w:rPr>
                <w:rFonts w:asciiTheme="majorHAnsi" w:eastAsia="Calibri" w:hAnsiTheme="majorHAnsi" w:cs="Calibri Light"/>
                <w:color w:val="595959" w:themeColor="text1" w:themeTint="A6"/>
                <w:lang w:val="en-AU"/>
              </w:rPr>
              <w:t xml:space="preserve">There are frequent examples in Indonesia of exceptional technical proposals falling short during implementation, and back-tracking being required to fulfil regulatory requirements or garner support from the relevant </w:t>
            </w:r>
            <w:r w:rsidR="00C972DC">
              <w:rPr>
                <w:rFonts w:asciiTheme="majorHAnsi" w:eastAsia="Calibri" w:hAnsiTheme="majorHAnsi" w:cs="Calibri Light"/>
                <w:color w:val="595959" w:themeColor="text1" w:themeTint="A6"/>
                <w:lang w:val="en-AU"/>
              </w:rPr>
              <w:t>authorities</w:t>
            </w:r>
            <w:r w:rsidRPr="00EB4FEE">
              <w:rPr>
                <w:rFonts w:asciiTheme="majorHAnsi" w:eastAsia="Calibri" w:hAnsiTheme="majorHAnsi" w:cs="Calibri Light"/>
                <w:color w:val="595959" w:themeColor="text1" w:themeTint="A6"/>
                <w:lang w:val="en-AU"/>
              </w:rPr>
              <w:t>. These activities are generally developed at arms-length from the government and have not garnered adequate and timely support for smooth implementation.</w:t>
            </w:r>
          </w:p>
        </w:tc>
        <w:tc>
          <w:tcPr>
            <w:tcW w:w="4508" w:type="dxa"/>
          </w:tcPr>
          <w:p w:rsidR="00054254" w:rsidRPr="00EB4FEE" w:rsidRDefault="00054254" w:rsidP="00EB4FEE">
            <w:pPr>
              <w:spacing w:before="0" w:line="240" w:lineRule="auto"/>
              <w:rPr>
                <w:rFonts w:asciiTheme="majorHAnsi" w:eastAsia="Calibri" w:hAnsiTheme="majorHAnsi" w:cs="Calibri Light"/>
                <w:color w:val="595959" w:themeColor="text1" w:themeTint="A6"/>
                <w:lang w:val="en-AU"/>
              </w:rPr>
            </w:pPr>
            <w:r w:rsidRPr="00EB4FEE">
              <w:rPr>
                <w:rFonts w:asciiTheme="majorHAnsi" w:eastAsia="Calibri" w:hAnsiTheme="majorHAnsi" w:cs="Calibri Light"/>
                <w:color w:val="595959" w:themeColor="text1" w:themeTint="A6"/>
                <w:lang w:val="en-AU"/>
              </w:rPr>
              <w:t>AIHSP is designed to ensure ownership by key stakeholders from the outset: activities will be developed jointly under the program, and work plans will be signed off annually by Indonesian and Australian Government representatives to ensure agreement and</w:t>
            </w:r>
            <w:r w:rsidR="00D31E79">
              <w:rPr>
                <w:rFonts w:asciiTheme="majorHAnsi" w:eastAsia="Calibri" w:hAnsiTheme="majorHAnsi" w:cs="Calibri Light"/>
                <w:color w:val="595959" w:themeColor="text1" w:themeTint="A6"/>
                <w:lang w:val="en-AU"/>
              </w:rPr>
              <w:t xml:space="preserve"> commitment to implementation.</w:t>
            </w:r>
          </w:p>
          <w:p w:rsidR="00054254" w:rsidRPr="00EB4FEE" w:rsidRDefault="00054254" w:rsidP="00EB4FEE">
            <w:pPr>
              <w:spacing w:before="0" w:line="240" w:lineRule="auto"/>
              <w:rPr>
                <w:rFonts w:asciiTheme="majorHAnsi" w:eastAsia="Calibri" w:hAnsiTheme="majorHAnsi" w:cs="Calibri Light"/>
                <w:color w:val="595959" w:themeColor="text1" w:themeTint="A6"/>
                <w:lang w:val="en-AU"/>
              </w:rPr>
            </w:pPr>
            <w:r w:rsidRPr="00EB4FEE">
              <w:rPr>
                <w:rFonts w:asciiTheme="majorHAnsi" w:eastAsia="Calibri" w:hAnsiTheme="majorHAnsi" w:cs="Calibri Light"/>
                <w:color w:val="595959" w:themeColor="text1" w:themeTint="A6"/>
                <w:lang w:val="en-AU"/>
              </w:rPr>
              <w:t>AIHSP will work with and through existing and emerging local partners (including GoI, universitie</w:t>
            </w:r>
            <w:r w:rsidR="00D31E79">
              <w:rPr>
                <w:rFonts w:asciiTheme="majorHAnsi" w:eastAsia="Calibri" w:hAnsiTheme="majorHAnsi" w:cs="Calibri Light"/>
                <w:color w:val="595959" w:themeColor="text1" w:themeTint="A6"/>
                <w:lang w:val="en-AU"/>
              </w:rPr>
              <w:t xml:space="preserve">s, and research organisations). </w:t>
            </w:r>
            <w:r w:rsidRPr="00EB4FEE">
              <w:rPr>
                <w:rFonts w:asciiTheme="majorHAnsi" w:eastAsia="Calibri" w:hAnsiTheme="majorHAnsi" w:cs="Calibri Light"/>
                <w:color w:val="595959" w:themeColor="text1" w:themeTint="A6"/>
                <w:lang w:val="en-AU"/>
              </w:rPr>
              <w:t xml:space="preserve">Prospective contractors should have the skills and resources to support GoI officials to develop their proposals and advocate for senior GoI stakeholders in preparing new </w:t>
            </w:r>
            <w:r w:rsidR="00C972DC">
              <w:rPr>
                <w:rFonts w:asciiTheme="majorHAnsi" w:eastAsia="Calibri" w:hAnsiTheme="majorHAnsi" w:cs="Calibri Light"/>
                <w:color w:val="595959" w:themeColor="text1" w:themeTint="A6"/>
                <w:lang w:val="en-AU"/>
              </w:rPr>
              <w:t>poli</w:t>
            </w:r>
            <w:r w:rsidR="001145F9">
              <w:rPr>
                <w:rFonts w:asciiTheme="majorHAnsi" w:eastAsia="Calibri" w:hAnsiTheme="majorHAnsi" w:cs="Calibri Light"/>
                <w:color w:val="595959" w:themeColor="text1" w:themeTint="A6"/>
                <w:lang w:val="en-AU"/>
              </w:rPr>
              <w:t>c</w:t>
            </w:r>
            <w:r w:rsidR="00C972DC">
              <w:rPr>
                <w:rFonts w:asciiTheme="majorHAnsi" w:eastAsia="Calibri" w:hAnsiTheme="majorHAnsi" w:cs="Calibri Light"/>
                <w:color w:val="595959" w:themeColor="text1" w:themeTint="A6"/>
                <w:lang w:val="en-AU"/>
              </w:rPr>
              <w:t>y/</w:t>
            </w:r>
            <w:r w:rsidRPr="00EB4FEE">
              <w:rPr>
                <w:rFonts w:asciiTheme="majorHAnsi" w:eastAsia="Calibri" w:hAnsiTheme="majorHAnsi" w:cs="Calibri Light"/>
                <w:color w:val="595959" w:themeColor="text1" w:themeTint="A6"/>
                <w:lang w:val="en-AU"/>
              </w:rPr>
              <w:t>regulations that support the implementation of identified improved practices.</w:t>
            </w:r>
          </w:p>
          <w:p w:rsidR="00054254" w:rsidRPr="00EB4FEE" w:rsidRDefault="00054254" w:rsidP="00EB4FEE">
            <w:pPr>
              <w:spacing w:before="0" w:line="240" w:lineRule="auto"/>
              <w:rPr>
                <w:rFonts w:asciiTheme="majorHAnsi" w:eastAsia="Calibri" w:hAnsiTheme="majorHAnsi" w:cs="Calibri Light"/>
                <w:color w:val="595959" w:themeColor="text1" w:themeTint="A6"/>
                <w:lang w:val="en-AU"/>
              </w:rPr>
            </w:pPr>
            <w:r w:rsidRPr="00EB4FEE">
              <w:rPr>
                <w:rFonts w:asciiTheme="majorHAnsi" w:eastAsia="Calibri" w:hAnsiTheme="majorHAnsi" w:cs="Calibri Light"/>
                <w:color w:val="595959" w:themeColor="text1" w:themeTint="A6"/>
                <w:lang w:val="en-AU"/>
              </w:rPr>
              <w:t>Not all activities will need to be proposed by the GoI, but all activities in the public sector or requiring the GoI to be accountable for the funds will require their support and this will be done through a process of negotiation and PCC approval of the annual work plan.</w:t>
            </w:r>
          </w:p>
        </w:tc>
      </w:tr>
      <w:tr w:rsidR="00054254" w:rsidRPr="00806CF3" w:rsidTr="002167AE">
        <w:tc>
          <w:tcPr>
            <w:tcW w:w="4508" w:type="dxa"/>
          </w:tcPr>
          <w:p w:rsidR="00054254" w:rsidRPr="00EB4FEE" w:rsidRDefault="00054254" w:rsidP="00EB4FEE">
            <w:pPr>
              <w:spacing w:before="0" w:line="240" w:lineRule="auto"/>
              <w:rPr>
                <w:rFonts w:asciiTheme="majorHAnsi" w:eastAsia="Calibri" w:hAnsiTheme="majorHAnsi" w:cs="Calibri Light"/>
                <w:color w:val="595959" w:themeColor="text1" w:themeTint="A6"/>
                <w:lang w:val="en-AU"/>
              </w:rPr>
            </w:pPr>
            <w:r w:rsidRPr="00EB4FEE">
              <w:rPr>
                <w:rFonts w:asciiTheme="majorHAnsi" w:eastAsia="Calibri" w:hAnsiTheme="majorHAnsi" w:cs="Calibri Light"/>
                <w:b/>
                <w:color w:val="595959" w:themeColor="text1" w:themeTint="A6"/>
                <w:lang w:val="en-AU"/>
              </w:rPr>
              <w:t>Developing strong partnerships is critical and takes time.</w:t>
            </w:r>
          </w:p>
          <w:p w:rsidR="00054254" w:rsidRPr="00EB4FEE" w:rsidRDefault="00054254" w:rsidP="00EB4FEE">
            <w:pPr>
              <w:spacing w:before="0" w:line="240" w:lineRule="auto"/>
              <w:rPr>
                <w:rFonts w:asciiTheme="majorHAnsi" w:eastAsia="Calibri" w:hAnsiTheme="majorHAnsi" w:cs="Calibri Light"/>
                <w:color w:val="595959" w:themeColor="text1" w:themeTint="A6"/>
                <w:lang w:val="en-AU"/>
              </w:rPr>
            </w:pPr>
            <w:r w:rsidRPr="00EB4FEE">
              <w:rPr>
                <w:rFonts w:asciiTheme="majorHAnsi" w:eastAsia="Calibri" w:hAnsiTheme="majorHAnsi" w:cs="Calibri Light"/>
                <w:color w:val="595959" w:themeColor="text1" w:themeTint="A6"/>
                <w:lang w:val="en-AU"/>
              </w:rPr>
              <w:t>Developing partnerships based on mutual respect and trust, and a clear understanding of shared and individual responsibilities, is particularly important for programs that are running pilots and where success is defined by systemic influence.</w:t>
            </w:r>
          </w:p>
          <w:p w:rsidR="00054254" w:rsidRPr="00EB4FEE" w:rsidRDefault="00054254" w:rsidP="00EB4FEE">
            <w:pPr>
              <w:spacing w:before="0" w:line="240" w:lineRule="auto"/>
              <w:rPr>
                <w:rFonts w:asciiTheme="majorHAnsi" w:eastAsia="Calibri" w:hAnsiTheme="majorHAnsi" w:cs="Calibri Light"/>
                <w:color w:val="595959" w:themeColor="text1" w:themeTint="A6"/>
                <w:lang w:val="en-AU"/>
              </w:rPr>
            </w:pPr>
            <w:r w:rsidRPr="00EB4FEE">
              <w:rPr>
                <w:rFonts w:asciiTheme="majorHAnsi" w:eastAsia="Calibri" w:hAnsiTheme="majorHAnsi" w:cs="Calibri Light"/>
                <w:color w:val="595959" w:themeColor="text1" w:themeTint="A6"/>
                <w:lang w:val="en-AU"/>
              </w:rPr>
              <w:t>Establishing such partnerships takes time and requires a good understanding of go</w:t>
            </w:r>
            <w:r w:rsidR="00D31E79">
              <w:rPr>
                <w:rFonts w:asciiTheme="majorHAnsi" w:eastAsia="Calibri" w:hAnsiTheme="majorHAnsi" w:cs="Calibri Light"/>
                <w:color w:val="595959" w:themeColor="text1" w:themeTint="A6"/>
                <w:lang w:val="en-AU"/>
              </w:rPr>
              <w:t>vernment systems and processes.</w:t>
            </w:r>
          </w:p>
        </w:tc>
        <w:tc>
          <w:tcPr>
            <w:tcW w:w="4508" w:type="dxa"/>
          </w:tcPr>
          <w:p w:rsidR="00054254" w:rsidRPr="00EB4FEE" w:rsidRDefault="00054254" w:rsidP="00EB4FEE">
            <w:pPr>
              <w:spacing w:before="0" w:line="240" w:lineRule="auto"/>
              <w:rPr>
                <w:rFonts w:asciiTheme="majorHAnsi" w:eastAsia="Calibri" w:hAnsiTheme="majorHAnsi" w:cs="Calibri Light"/>
                <w:color w:val="595959" w:themeColor="text1" w:themeTint="A6"/>
                <w:lang w:val="en-AU"/>
              </w:rPr>
            </w:pPr>
            <w:r w:rsidRPr="00EB4FEE">
              <w:rPr>
                <w:rFonts w:asciiTheme="majorHAnsi" w:eastAsia="Calibri" w:hAnsiTheme="majorHAnsi" w:cs="Calibri Light"/>
                <w:color w:val="595959" w:themeColor="text1" w:themeTint="A6"/>
                <w:lang w:val="en-AU"/>
              </w:rPr>
              <w:t>The AIHSP will have a 12 month inception phase</w:t>
            </w:r>
            <w:r w:rsidR="00C972DC">
              <w:rPr>
                <w:rFonts w:asciiTheme="majorHAnsi" w:eastAsia="Calibri" w:hAnsiTheme="majorHAnsi" w:cs="Calibri Light"/>
                <w:color w:val="595959" w:themeColor="text1" w:themeTint="A6"/>
                <w:lang w:val="en-AU"/>
              </w:rPr>
              <w:t xml:space="preserve"> (with some activities operational)</w:t>
            </w:r>
            <w:r w:rsidRPr="00EB4FEE">
              <w:rPr>
                <w:rFonts w:asciiTheme="majorHAnsi" w:eastAsia="Calibri" w:hAnsiTheme="majorHAnsi" w:cs="Calibri Light"/>
                <w:color w:val="595959" w:themeColor="text1" w:themeTint="A6"/>
                <w:lang w:val="en-AU"/>
              </w:rPr>
              <w:t xml:space="preserve"> in order to build operational capacity and establish strong working relationships with the relevant Ministries as well as in the province/s identified for spe</w:t>
            </w:r>
            <w:r w:rsidR="00D31E79">
              <w:rPr>
                <w:rFonts w:asciiTheme="majorHAnsi" w:eastAsia="Calibri" w:hAnsiTheme="majorHAnsi" w:cs="Calibri Light"/>
                <w:color w:val="595959" w:themeColor="text1" w:themeTint="A6"/>
                <w:lang w:val="en-AU"/>
              </w:rPr>
              <w:t xml:space="preserve">cific sub-national activities. </w:t>
            </w:r>
            <w:r w:rsidRPr="00EB4FEE">
              <w:rPr>
                <w:rFonts w:asciiTheme="majorHAnsi" w:eastAsia="Calibri" w:hAnsiTheme="majorHAnsi" w:cs="Calibri Light"/>
                <w:color w:val="595959" w:themeColor="text1" w:themeTint="A6"/>
                <w:lang w:val="en-AU"/>
              </w:rPr>
              <w:t>Preparatory and ongoing (e</w:t>
            </w:r>
            <w:r w:rsidR="00C36348" w:rsidRPr="00EB4FEE">
              <w:rPr>
                <w:rFonts w:asciiTheme="majorHAnsi" w:eastAsia="Calibri" w:hAnsiTheme="majorHAnsi" w:cs="Calibri Light"/>
                <w:color w:val="595959" w:themeColor="text1" w:themeTint="A6"/>
                <w:lang w:val="en-AU"/>
              </w:rPr>
              <w:t>.</w:t>
            </w:r>
            <w:r w:rsidRPr="00EB4FEE">
              <w:rPr>
                <w:rFonts w:asciiTheme="majorHAnsi" w:eastAsia="Calibri" w:hAnsiTheme="majorHAnsi" w:cs="Calibri Light"/>
                <w:color w:val="595959" w:themeColor="text1" w:themeTint="A6"/>
                <w:lang w:val="en-AU"/>
              </w:rPr>
              <w:t>g</w:t>
            </w:r>
            <w:r w:rsidR="00C36348" w:rsidRPr="00EB4FEE">
              <w:rPr>
                <w:rFonts w:asciiTheme="majorHAnsi" w:eastAsia="Calibri" w:hAnsiTheme="majorHAnsi" w:cs="Calibri Light"/>
                <w:color w:val="595959" w:themeColor="text1" w:themeTint="A6"/>
                <w:lang w:val="en-AU"/>
              </w:rPr>
              <w:t>.,</w:t>
            </w:r>
            <w:r w:rsidRPr="00EB4FEE">
              <w:rPr>
                <w:rFonts w:asciiTheme="majorHAnsi" w:eastAsia="Calibri" w:hAnsiTheme="majorHAnsi" w:cs="Calibri Light"/>
                <w:color w:val="595959" w:themeColor="text1" w:themeTint="A6"/>
                <w:lang w:val="en-AU"/>
              </w:rPr>
              <w:t xml:space="preserve"> from AIPEID) activities will be carried out during this inception phase.</w:t>
            </w:r>
          </w:p>
          <w:p w:rsidR="00054254" w:rsidRPr="00EB4FEE" w:rsidRDefault="00054254" w:rsidP="00EB4FEE">
            <w:pPr>
              <w:spacing w:before="0" w:line="240" w:lineRule="auto"/>
              <w:rPr>
                <w:rFonts w:asciiTheme="majorHAnsi" w:eastAsia="Calibri" w:hAnsiTheme="majorHAnsi" w:cs="Calibri Light"/>
                <w:color w:val="595959" w:themeColor="text1" w:themeTint="A6"/>
                <w:lang w:val="en-AU"/>
              </w:rPr>
            </w:pPr>
          </w:p>
        </w:tc>
      </w:tr>
      <w:tr w:rsidR="00054254" w:rsidRPr="00806CF3" w:rsidTr="002167AE">
        <w:tc>
          <w:tcPr>
            <w:tcW w:w="4508" w:type="dxa"/>
          </w:tcPr>
          <w:p w:rsidR="00054254" w:rsidRPr="00EB4FEE" w:rsidRDefault="00054254" w:rsidP="00EB4FEE">
            <w:pPr>
              <w:spacing w:before="0" w:line="240" w:lineRule="auto"/>
              <w:rPr>
                <w:rFonts w:asciiTheme="majorHAnsi" w:eastAsia="Calibri" w:hAnsiTheme="majorHAnsi" w:cs="Calibri Light"/>
                <w:b/>
                <w:color w:val="595959" w:themeColor="text1" w:themeTint="A6"/>
                <w:lang w:val="en-AU"/>
              </w:rPr>
            </w:pPr>
            <w:r w:rsidRPr="00EB4FEE">
              <w:rPr>
                <w:rFonts w:asciiTheme="majorHAnsi" w:eastAsia="Calibri" w:hAnsiTheme="majorHAnsi" w:cs="Calibri Light"/>
                <w:b/>
                <w:color w:val="595959" w:themeColor="text1" w:themeTint="A6"/>
                <w:lang w:val="en-AU"/>
              </w:rPr>
              <w:t>There is a need to develop a strategic system which clearly determines parameters for what will and won’t be funded.</w:t>
            </w:r>
          </w:p>
          <w:p w:rsidR="00054254" w:rsidRPr="00EB4FEE" w:rsidRDefault="00054254" w:rsidP="00EB4FEE">
            <w:pPr>
              <w:spacing w:before="0" w:line="240" w:lineRule="auto"/>
              <w:rPr>
                <w:rFonts w:asciiTheme="majorHAnsi" w:eastAsia="Calibri" w:hAnsiTheme="majorHAnsi" w:cs="Calibri Light"/>
                <w:color w:val="595959" w:themeColor="text1" w:themeTint="A6"/>
                <w:lang w:val="en-AU"/>
              </w:rPr>
            </w:pPr>
            <w:r w:rsidRPr="00EB4FEE">
              <w:rPr>
                <w:rFonts w:asciiTheme="majorHAnsi" w:eastAsia="Calibri" w:hAnsiTheme="majorHAnsi" w:cs="Calibri Light"/>
                <w:color w:val="595959" w:themeColor="text1" w:themeTint="A6"/>
                <w:lang w:val="en-AU"/>
              </w:rPr>
              <w:t xml:space="preserve">This will help ensure that activities proposed by counterparts are coherent and contribute to long-term aims, and that interaction with counterparts is a valuable use of both parties’ time. </w:t>
            </w:r>
          </w:p>
          <w:p w:rsidR="00054254" w:rsidRPr="00EB4FEE" w:rsidRDefault="00054254" w:rsidP="00EB4FEE">
            <w:pPr>
              <w:spacing w:before="0" w:line="240" w:lineRule="auto"/>
              <w:rPr>
                <w:rFonts w:asciiTheme="majorHAnsi" w:eastAsia="Calibri" w:hAnsiTheme="majorHAnsi" w:cs="Calibri Light"/>
                <w:color w:val="595959" w:themeColor="text1" w:themeTint="A6"/>
                <w:lang w:val="en-AU"/>
              </w:rPr>
            </w:pPr>
            <w:r w:rsidRPr="00EB4FEE">
              <w:rPr>
                <w:rFonts w:asciiTheme="majorHAnsi" w:eastAsia="Calibri" w:hAnsiTheme="majorHAnsi" w:cs="Calibri Light"/>
                <w:color w:val="595959" w:themeColor="text1" w:themeTint="A6"/>
                <w:lang w:val="en-AU"/>
              </w:rPr>
              <w:t>Examples of programs where such systems have been developed include INOVASI, AIPHSS and MAHKOT</w:t>
            </w:r>
            <w:r w:rsidR="00C60F38" w:rsidRPr="00EB4FEE">
              <w:rPr>
                <w:rFonts w:asciiTheme="majorHAnsi" w:eastAsia="Calibri" w:hAnsiTheme="majorHAnsi" w:cs="Calibri Light"/>
                <w:color w:val="595959" w:themeColor="text1" w:themeTint="A6"/>
                <w:lang w:val="en-AU"/>
              </w:rPr>
              <w:t>A.</w:t>
            </w:r>
          </w:p>
        </w:tc>
        <w:tc>
          <w:tcPr>
            <w:tcW w:w="4508" w:type="dxa"/>
          </w:tcPr>
          <w:p w:rsidR="00054254" w:rsidRPr="00EB4FEE" w:rsidRDefault="00054254" w:rsidP="00EB4FEE">
            <w:pPr>
              <w:spacing w:before="0" w:line="240" w:lineRule="auto"/>
              <w:rPr>
                <w:rFonts w:asciiTheme="majorHAnsi" w:eastAsia="Calibri" w:hAnsiTheme="majorHAnsi" w:cs="Calibri Light"/>
                <w:color w:val="595959" w:themeColor="text1" w:themeTint="A6"/>
                <w:lang w:val="en-AU"/>
              </w:rPr>
            </w:pPr>
            <w:r w:rsidRPr="00EB4FEE">
              <w:rPr>
                <w:rFonts w:asciiTheme="majorHAnsi" w:eastAsia="Calibri" w:hAnsiTheme="majorHAnsi" w:cs="Calibri Light"/>
                <w:color w:val="595959" w:themeColor="text1" w:themeTint="A6"/>
                <w:lang w:val="en-AU"/>
              </w:rPr>
              <w:t xml:space="preserve">AIHSP will develop investment criteria/guiding principles to set parameters around funding (see Table </w:t>
            </w:r>
            <w:r w:rsidR="00494255">
              <w:rPr>
                <w:rFonts w:asciiTheme="majorHAnsi" w:eastAsia="Calibri" w:hAnsiTheme="majorHAnsi" w:cs="Calibri Light"/>
                <w:color w:val="595959" w:themeColor="text1" w:themeTint="A6"/>
                <w:lang w:val="en-AU"/>
              </w:rPr>
              <w:t>3</w:t>
            </w:r>
            <w:r w:rsidRPr="00EB4FEE">
              <w:rPr>
                <w:rFonts w:asciiTheme="majorHAnsi" w:eastAsia="Calibri" w:hAnsiTheme="majorHAnsi" w:cs="Calibri Light"/>
                <w:color w:val="595959" w:themeColor="text1" w:themeTint="A6"/>
                <w:lang w:val="en-AU"/>
              </w:rPr>
              <w:t>) ensuring that activities will be strategic, cohesive and c</w:t>
            </w:r>
            <w:r w:rsidR="00D31E79">
              <w:rPr>
                <w:rFonts w:asciiTheme="majorHAnsi" w:eastAsia="Calibri" w:hAnsiTheme="majorHAnsi" w:cs="Calibri Light"/>
                <w:color w:val="595959" w:themeColor="text1" w:themeTint="A6"/>
                <w:lang w:val="en-AU"/>
              </w:rPr>
              <w:t xml:space="preserve">learly aimed towards outcomes. </w:t>
            </w:r>
          </w:p>
          <w:p w:rsidR="00054254" w:rsidRPr="00EB4FEE" w:rsidRDefault="00054254" w:rsidP="00EB4FEE">
            <w:pPr>
              <w:spacing w:before="0" w:line="240" w:lineRule="auto"/>
              <w:rPr>
                <w:rFonts w:asciiTheme="majorHAnsi" w:eastAsia="Calibri" w:hAnsiTheme="majorHAnsi" w:cs="Calibri Light"/>
                <w:color w:val="595959" w:themeColor="text1" w:themeTint="A6"/>
                <w:lang w:val="en-AU"/>
              </w:rPr>
            </w:pPr>
            <w:r w:rsidRPr="00EB4FEE">
              <w:rPr>
                <w:rFonts w:asciiTheme="majorHAnsi" w:eastAsia="Calibri" w:hAnsiTheme="majorHAnsi" w:cs="Calibri Light"/>
                <w:color w:val="595959" w:themeColor="text1" w:themeTint="A6"/>
                <w:lang w:val="en-AU"/>
              </w:rPr>
              <w:t xml:space="preserve">The program will aim to provide technical assistance which is otherwise difficult for the GoI to procure and/or </w:t>
            </w:r>
            <w:r w:rsidR="009E6298" w:rsidRPr="00EB4FEE">
              <w:rPr>
                <w:rFonts w:asciiTheme="majorHAnsi" w:eastAsia="Calibri" w:hAnsiTheme="majorHAnsi" w:cs="Calibri Light"/>
                <w:color w:val="595959" w:themeColor="text1" w:themeTint="A6"/>
                <w:lang w:val="en-AU"/>
              </w:rPr>
              <w:t>resource</w:t>
            </w:r>
            <w:r w:rsidRPr="00EB4FEE">
              <w:rPr>
                <w:rFonts w:asciiTheme="majorHAnsi" w:eastAsia="Calibri" w:hAnsiTheme="majorHAnsi" w:cs="Calibri Light"/>
                <w:color w:val="595959" w:themeColor="text1" w:themeTint="A6"/>
                <w:lang w:val="en-AU"/>
              </w:rPr>
              <w:t xml:space="preserve"> (for example, to pilot innovative id</w:t>
            </w:r>
            <w:r w:rsidR="00352A08">
              <w:rPr>
                <w:rFonts w:asciiTheme="majorHAnsi" w:eastAsia="Calibri" w:hAnsiTheme="majorHAnsi" w:cs="Calibri Light"/>
                <w:color w:val="595959" w:themeColor="text1" w:themeTint="A6"/>
                <w:lang w:val="en-AU"/>
              </w:rPr>
              <w:t>eas that could be replicated).</w:t>
            </w:r>
          </w:p>
          <w:p w:rsidR="00054254" w:rsidRPr="00EB4FEE" w:rsidRDefault="00054254" w:rsidP="00EB4FEE">
            <w:pPr>
              <w:spacing w:before="0" w:line="240" w:lineRule="auto"/>
              <w:rPr>
                <w:rFonts w:asciiTheme="majorHAnsi" w:eastAsia="Calibri" w:hAnsiTheme="majorHAnsi" w:cs="Calibri Light"/>
                <w:color w:val="595959" w:themeColor="text1" w:themeTint="A6"/>
                <w:lang w:val="en-AU"/>
              </w:rPr>
            </w:pPr>
            <w:r w:rsidRPr="00EB4FEE">
              <w:rPr>
                <w:rFonts w:asciiTheme="majorHAnsi" w:eastAsia="Calibri" w:hAnsiTheme="majorHAnsi" w:cs="Calibri Light"/>
                <w:color w:val="595959" w:themeColor="text1" w:themeTint="A6"/>
                <w:lang w:val="en-AU"/>
              </w:rPr>
              <w:t xml:space="preserve">Throughout this process, vigilance will be required to ensure that funding is not </w:t>
            </w:r>
            <w:r w:rsidR="009E6298" w:rsidRPr="00EB4FEE">
              <w:rPr>
                <w:rFonts w:asciiTheme="majorHAnsi" w:eastAsia="Calibri" w:hAnsiTheme="majorHAnsi" w:cs="Calibri Light"/>
                <w:color w:val="595959" w:themeColor="text1" w:themeTint="A6"/>
                <w:lang w:val="en-AU"/>
              </w:rPr>
              <w:t xml:space="preserve">displacing </w:t>
            </w:r>
            <w:r w:rsidRPr="00EB4FEE">
              <w:rPr>
                <w:rFonts w:asciiTheme="majorHAnsi" w:eastAsia="Calibri" w:hAnsiTheme="majorHAnsi" w:cs="Calibri Light"/>
                <w:color w:val="595959" w:themeColor="text1" w:themeTint="A6"/>
                <w:lang w:val="en-AU"/>
              </w:rPr>
              <w:t>GoI funding nor duplicating funding provided by other donors.</w:t>
            </w:r>
          </w:p>
        </w:tc>
      </w:tr>
      <w:tr w:rsidR="00054254" w:rsidRPr="00806CF3" w:rsidTr="002167AE">
        <w:tc>
          <w:tcPr>
            <w:tcW w:w="4508" w:type="dxa"/>
          </w:tcPr>
          <w:p w:rsidR="00054254" w:rsidRPr="00EB4FEE" w:rsidRDefault="00054254" w:rsidP="00EB4FEE">
            <w:pPr>
              <w:spacing w:before="0" w:line="240" w:lineRule="auto"/>
              <w:rPr>
                <w:rFonts w:asciiTheme="majorHAnsi" w:eastAsia="Calibri" w:hAnsiTheme="majorHAnsi" w:cs="Calibri Light"/>
                <w:b/>
                <w:color w:val="595959" w:themeColor="text1" w:themeTint="A6"/>
                <w:lang w:val="en-AU"/>
              </w:rPr>
            </w:pPr>
            <w:r w:rsidRPr="00EB4FEE">
              <w:rPr>
                <w:rFonts w:asciiTheme="majorHAnsi" w:eastAsia="Calibri" w:hAnsiTheme="majorHAnsi" w:cs="Calibri Light"/>
                <w:b/>
                <w:color w:val="595959" w:themeColor="text1" w:themeTint="A6"/>
                <w:lang w:val="en-AU"/>
              </w:rPr>
              <w:t>Direct government to government engagement is considered valuable to partner governments.</w:t>
            </w:r>
          </w:p>
          <w:p w:rsidR="00054254" w:rsidRPr="00EB4FEE" w:rsidRDefault="00054254" w:rsidP="00EB4FEE">
            <w:pPr>
              <w:spacing w:before="0" w:line="240" w:lineRule="auto"/>
              <w:rPr>
                <w:rFonts w:asciiTheme="majorHAnsi" w:eastAsia="Calibri" w:hAnsiTheme="majorHAnsi" w:cs="Calibri Light"/>
                <w:color w:val="595959" w:themeColor="text1" w:themeTint="A6"/>
                <w:lang w:val="en-AU"/>
              </w:rPr>
            </w:pPr>
            <w:r w:rsidRPr="00EB4FEE">
              <w:rPr>
                <w:rFonts w:asciiTheme="majorHAnsi" w:eastAsia="Calibri" w:hAnsiTheme="majorHAnsi" w:cs="Calibri Light"/>
                <w:color w:val="595959" w:themeColor="text1" w:themeTint="A6"/>
                <w:lang w:val="en-AU"/>
              </w:rPr>
              <w:t>A key strength of the AIPEID program noted in the program review is the</w:t>
            </w:r>
            <w:r w:rsidR="009E6298" w:rsidRPr="00EB4FEE">
              <w:rPr>
                <w:rFonts w:asciiTheme="majorHAnsi" w:eastAsia="Calibri" w:hAnsiTheme="majorHAnsi" w:cs="Calibri Light"/>
                <w:color w:val="595959" w:themeColor="text1" w:themeTint="A6"/>
                <w:lang w:val="en-AU"/>
              </w:rPr>
              <w:t xml:space="preserve"> MoA</w:t>
            </w:r>
            <w:r w:rsidRPr="00EB4FEE">
              <w:rPr>
                <w:rFonts w:asciiTheme="majorHAnsi" w:eastAsia="Calibri" w:hAnsiTheme="majorHAnsi" w:cs="Calibri Light"/>
                <w:color w:val="595959" w:themeColor="text1" w:themeTint="A6"/>
                <w:lang w:val="en-AU"/>
              </w:rPr>
              <w:t xml:space="preserve"> engagement </w:t>
            </w:r>
            <w:r w:rsidR="009E6298" w:rsidRPr="00EB4FEE">
              <w:rPr>
                <w:rFonts w:asciiTheme="majorHAnsi" w:eastAsia="Calibri" w:hAnsiTheme="majorHAnsi" w:cs="Calibri Light"/>
                <w:color w:val="595959" w:themeColor="text1" w:themeTint="A6"/>
                <w:lang w:val="en-AU"/>
              </w:rPr>
              <w:t xml:space="preserve">with </w:t>
            </w:r>
            <w:r w:rsidR="00352A08">
              <w:rPr>
                <w:rFonts w:asciiTheme="majorHAnsi" w:eastAsia="Calibri" w:hAnsiTheme="majorHAnsi" w:cs="Calibri Light"/>
                <w:color w:val="595959" w:themeColor="text1" w:themeTint="A6"/>
                <w:lang w:val="en-AU"/>
              </w:rPr>
              <w:t>DAWR.</w:t>
            </w:r>
          </w:p>
        </w:tc>
        <w:tc>
          <w:tcPr>
            <w:tcW w:w="4508" w:type="dxa"/>
          </w:tcPr>
          <w:p w:rsidR="00054254" w:rsidRPr="00EB4FEE" w:rsidRDefault="00054254" w:rsidP="00EB4FEE">
            <w:pPr>
              <w:spacing w:before="0" w:line="240" w:lineRule="auto"/>
              <w:ind w:right="126"/>
              <w:rPr>
                <w:rFonts w:asciiTheme="majorHAnsi" w:eastAsia="Calibri" w:hAnsiTheme="majorHAnsi" w:cs="Calibri Light"/>
                <w:color w:val="595959" w:themeColor="text1" w:themeTint="A6"/>
                <w:lang w:val="en-AU"/>
              </w:rPr>
            </w:pPr>
            <w:r w:rsidRPr="00EB4FEE">
              <w:rPr>
                <w:rFonts w:asciiTheme="majorHAnsi" w:eastAsia="Calibri" w:hAnsiTheme="majorHAnsi" w:cs="Calibri Light"/>
                <w:color w:val="595959" w:themeColor="text1" w:themeTint="A6"/>
                <w:lang w:val="en-AU"/>
              </w:rPr>
              <w:t xml:space="preserve">DAWR do not wish to take on a management role in the </w:t>
            </w:r>
            <w:r w:rsidR="00C972DC">
              <w:rPr>
                <w:rFonts w:asciiTheme="majorHAnsi" w:eastAsia="Calibri" w:hAnsiTheme="majorHAnsi" w:cs="Calibri Light"/>
                <w:color w:val="595959" w:themeColor="text1" w:themeTint="A6"/>
                <w:lang w:val="en-AU"/>
              </w:rPr>
              <w:t>AIHSP</w:t>
            </w:r>
            <w:r w:rsidRPr="00EB4FEE">
              <w:rPr>
                <w:rFonts w:asciiTheme="majorHAnsi" w:eastAsia="Calibri" w:hAnsiTheme="majorHAnsi" w:cs="Calibri Light"/>
                <w:color w:val="595959" w:themeColor="text1" w:themeTint="A6"/>
                <w:lang w:val="en-AU"/>
              </w:rPr>
              <w:t xml:space="preserve">, </w:t>
            </w:r>
            <w:r w:rsidR="009E6298" w:rsidRPr="00EB4FEE">
              <w:rPr>
                <w:rFonts w:asciiTheme="majorHAnsi" w:eastAsia="Calibri" w:hAnsiTheme="majorHAnsi" w:cs="Calibri Light"/>
                <w:color w:val="595959" w:themeColor="text1" w:themeTint="A6"/>
                <w:lang w:val="en-AU"/>
              </w:rPr>
              <w:t xml:space="preserve">but </w:t>
            </w:r>
            <w:r w:rsidRPr="00EB4FEE">
              <w:rPr>
                <w:rFonts w:asciiTheme="majorHAnsi" w:eastAsia="Calibri" w:hAnsiTheme="majorHAnsi" w:cs="Calibri Light"/>
                <w:color w:val="595959" w:themeColor="text1" w:themeTint="A6"/>
                <w:lang w:val="en-AU"/>
              </w:rPr>
              <w:t>are ope</w:t>
            </w:r>
            <w:r w:rsidR="00D31E79">
              <w:rPr>
                <w:rFonts w:asciiTheme="majorHAnsi" w:eastAsia="Calibri" w:hAnsiTheme="majorHAnsi" w:cs="Calibri Light"/>
                <w:color w:val="595959" w:themeColor="text1" w:themeTint="A6"/>
                <w:lang w:val="en-AU"/>
              </w:rPr>
              <w:t>n to providing technical input.</w:t>
            </w:r>
            <w:r w:rsidRPr="00EB4FEE">
              <w:rPr>
                <w:rFonts w:asciiTheme="majorHAnsi" w:eastAsia="Calibri" w:hAnsiTheme="majorHAnsi" w:cs="Calibri Light"/>
                <w:color w:val="595959" w:themeColor="text1" w:themeTint="A6"/>
                <w:lang w:val="en-AU"/>
              </w:rPr>
              <w:t xml:space="preserve"> Similarly, DoH are keen to stay engaged, through the IPCHS or possibly dir</w:t>
            </w:r>
            <w:r w:rsidR="00D31E79">
              <w:rPr>
                <w:rFonts w:asciiTheme="majorHAnsi" w:eastAsia="Calibri" w:hAnsiTheme="majorHAnsi" w:cs="Calibri Light"/>
                <w:color w:val="595959" w:themeColor="text1" w:themeTint="A6"/>
                <w:lang w:val="en-AU"/>
              </w:rPr>
              <w:t>ectly with the program.</w:t>
            </w:r>
            <w:r w:rsidRPr="00EB4FEE">
              <w:rPr>
                <w:rFonts w:asciiTheme="majorHAnsi" w:eastAsia="Calibri" w:hAnsiTheme="majorHAnsi" w:cs="Calibri Light"/>
                <w:color w:val="595959" w:themeColor="text1" w:themeTint="A6"/>
                <w:lang w:val="en-AU"/>
              </w:rPr>
              <w:t xml:space="preserve"> DFAT are currently supporting MoH and DoH to develop a memorandum of understanding which lists “health security” as </w:t>
            </w:r>
            <w:r w:rsidR="009E6298" w:rsidRPr="00EB4FEE">
              <w:rPr>
                <w:rFonts w:asciiTheme="majorHAnsi" w:eastAsia="Calibri" w:hAnsiTheme="majorHAnsi" w:cs="Calibri Light"/>
                <w:color w:val="595959" w:themeColor="text1" w:themeTint="A6"/>
                <w:lang w:val="en-AU"/>
              </w:rPr>
              <w:t>a</w:t>
            </w:r>
            <w:r w:rsidRPr="00EB4FEE">
              <w:rPr>
                <w:rFonts w:asciiTheme="majorHAnsi" w:eastAsia="Calibri" w:hAnsiTheme="majorHAnsi" w:cs="Calibri Light"/>
                <w:color w:val="595959" w:themeColor="text1" w:themeTint="A6"/>
                <w:lang w:val="en-AU"/>
              </w:rPr>
              <w:t xml:space="preserve"> key </w:t>
            </w:r>
            <w:r w:rsidR="009E6298" w:rsidRPr="00EB4FEE">
              <w:rPr>
                <w:rFonts w:asciiTheme="majorHAnsi" w:eastAsia="Calibri" w:hAnsiTheme="majorHAnsi" w:cs="Calibri Light"/>
                <w:color w:val="595959" w:themeColor="text1" w:themeTint="A6"/>
                <w:lang w:val="en-AU"/>
              </w:rPr>
              <w:t xml:space="preserve">collaboration </w:t>
            </w:r>
            <w:r w:rsidRPr="00EB4FEE">
              <w:rPr>
                <w:rFonts w:asciiTheme="majorHAnsi" w:eastAsia="Calibri" w:hAnsiTheme="majorHAnsi" w:cs="Calibri Light"/>
                <w:color w:val="595959" w:themeColor="text1" w:themeTint="A6"/>
                <w:lang w:val="en-AU"/>
              </w:rPr>
              <w:t>area.</w:t>
            </w:r>
          </w:p>
        </w:tc>
      </w:tr>
      <w:tr w:rsidR="00054254" w:rsidRPr="00806CF3" w:rsidTr="002167AE">
        <w:tc>
          <w:tcPr>
            <w:tcW w:w="4508" w:type="dxa"/>
          </w:tcPr>
          <w:p w:rsidR="00054254" w:rsidRPr="00EB4FEE" w:rsidRDefault="00054254" w:rsidP="00EB4FEE">
            <w:pPr>
              <w:spacing w:before="0" w:line="240" w:lineRule="auto"/>
              <w:rPr>
                <w:rFonts w:asciiTheme="majorHAnsi" w:eastAsia="Calibri" w:hAnsiTheme="majorHAnsi" w:cs="Calibri Light"/>
                <w:color w:val="595959" w:themeColor="text1" w:themeTint="A6"/>
                <w:lang w:val="en-AU"/>
              </w:rPr>
            </w:pPr>
            <w:r w:rsidRPr="00EB4FEE">
              <w:rPr>
                <w:rFonts w:asciiTheme="majorHAnsi" w:eastAsia="Calibri" w:hAnsiTheme="majorHAnsi" w:cs="Calibri Light"/>
                <w:b/>
                <w:color w:val="595959" w:themeColor="text1" w:themeTint="A6"/>
                <w:lang w:val="en-AU"/>
              </w:rPr>
              <w:t>Supporting coordination and collaboration can improve outcomes.</w:t>
            </w:r>
          </w:p>
          <w:p w:rsidR="009E6298" w:rsidRPr="00EB4FEE" w:rsidRDefault="00054254" w:rsidP="00EB4FEE">
            <w:pPr>
              <w:spacing w:before="0" w:line="240" w:lineRule="auto"/>
              <w:rPr>
                <w:rFonts w:asciiTheme="majorHAnsi" w:eastAsia="Calibri" w:hAnsiTheme="majorHAnsi" w:cs="Calibri Light"/>
                <w:color w:val="595959" w:themeColor="text1" w:themeTint="A6"/>
                <w:lang w:val="en-AU"/>
              </w:rPr>
            </w:pPr>
            <w:r w:rsidRPr="00EB4FEE">
              <w:rPr>
                <w:rFonts w:asciiTheme="majorHAnsi" w:eastAsia="Calibri" w:hAnsiTheme="majorHAnsi" w:cs="Calibri Light"/>
                <w:color w:val="595959" w:themeColor="text1" w:themeTint="A6"/>
                <w:lang w:val="en-AU"/>
              </w:rPr>
              <w:t xml:space="preserve">Coordination and cooperation </w:t>
            </w:r>
            <w:r w:rsidR="009E6298" w:rsidRPr="00EB4FEE">
              <w:rPr>
                <w:rFonts w:asciiTheme="majorHAnsi" w:eastAsia="Calibri" w:hAnsiTheme="majorHAnsi" w:cs="Calibri Light"/>
                <w:color w:val="595959" w:themeColor="text1" w:themeTint="A6"/>
                <w:lang w:val="en-AU"/>
              </w:rPr>
              <w:t xml:space="preserve">is often weak </w:t>
            </w:r>
            <w:r w:rsidRPr="00EB4FEE">
              <w:rPr>
                <w:rFonts w:asciiTheme="majorHAnsi" w:eastAsia="Calibri" w:hAnsiTheme="majorHAnsi" w:cs="Calibri Light"/>
                <w:color w:val="595959" w:themeColor="text1" w:themeTint="A6"/>
                <w:lang w:val="en-AU"/>
              </w:rPr>
              <w:t>between different agencies/bodies with a responsibility for or direct interest in wor</w:t>
            </w:r>
            <w:r w:rsidR="00D31E79">
              <w:rPr>
                <w:rFonts w:asciiTheme="majorHAnsi" w:eastAsia="Calibri" w:hAnsiTheme="majorHAnsi" w:cs="Calibri Light"/>
                <w:color w:val="595959" w:themeColor="text1" w:themeTint="A6"/>
                <w:lang w:val="en-AU"/>
              </w:rPr>
              <w:t xml:space="preserve">king on a One Health approach. </w:t>
            </w:r>
            <w:r w:rsidRPr="00EB4FEE">
              <w:rPr>
                <w:rFonts w:asciiTheme="majorHAnsi" w:eastAsia="Calibri" w:hAnsiTheme="majorHAnsi" w:cs="Calibri Light"/>
                <w:color w:val="595959" w:themeColor="text1" w:themeTint="A6"/>
                <w:lang w:val="en-AU"/>
              </w:rPr>
              <w:t>Donors can advocate for and support enhanced coordination and collaboration between these stakeholders when they are seen as a trusted partners and the benefits of coordination are evident.</w:t>
            </w:r>
            <w:r w:rsidR="009E6298" w:rsidRPr="00EB4FEE">
              <w:rPr>
                <w:rFonts w:asciiTheme="majorHAnsi" w:eastAsia="Calibri" w:hAnsiTheme="majorHAnsi" w:cs="Calibri Light"/>
                <w:color w:val="595959" w:themeColor="text1" w:themeTint="A6"/>
                <w:lang w:val="en-AU"/>
              </w:rPr>
              <w:t xml:space="preserve"> </w:t>
            </w:r>
          </w:p>
          <w:p w:rsidR="00054254" w:rsidRPr="00EB4FEE" w:rsidRDefault="009E6298" w:rsidP="00EB4FEE">
            <w:pPr>
              <w:spacing w:before="0" w:line="240" w:lineRule="auto"/>
              <w:rPr>
                <w:rFonts w:asciiTheme="majorHAnsi" w:eastAsia="Calibri" w:hAnsiTheme="majorHAnsi" w:cs="Calibri Light"/>
                <w:color w:val="595959" w:themeColor="text1" w:themeTint="A6"/>
                <w:lang w:val="en-AU"/>
              </w:rPr>
            </w:pPr>
            <w:r w:rsidRPr="00EB4FEE">
              <w:rPr>
                <w:rFonts w:asciiTheme="majorHAnsi" w:eastAsia="Calibri" w:hAnsiTheme="majorHAnsi" w:cs="Calibri Light"/>
                <w:color w:val="595959" w:themeColor="text1" w:themeTint="A6"/>
                <w:lang w:val="en-AU"/>
              </w:rPr>
              <w:t>Examples of programs demonstrating this lesson include SEDIA, LOGICA, PNPM and AIPMNH.</w:t>
            </w:r>
          </w:p>
        </w:tc>
        <w:tc>
          <w:tcPr>
            <w:tcW w:w="4508" w:type="dxa"/>
          </w:tcPr>
          <w:p w:rsidR="00054254" w:rsidRPr="00EB4FEE" w:rsidRDefault="00054254" w:rsidP="00EB4FEE">
            <w:pPr>
              <w:spacing w:before="0" w:line="240" w:lineRule="auto"/>
              <w:rPr>
                <w:rFonts w:asciiTheme="majorHAnsi" w:eastAsia="Calibri" w:hAnsiTheme="majorHAnsi" w:cs="Calibri Light"/>
                <w:color w:val="595959" w:themeColor="text1" w:themeTint="A6"/>
                <w:lang w:val="en-AU"/>
              </w:rPr>
            </w:pPr>
            <w:r w:rsidRPr="00EB4FEE">
              <w:rPr>
                <w:rFonts w:asciiTheme="majorHAnsi" w:eastAsia="Calibri" w:hAnsiTheme="majorHAnsi" w:cs="Calibri Light"/>
                <w:color w:val="595959" w:themeColor="text1" w:themeTint="A6"/>
                <w:lang w:val="en-AU"/>
              </w:rPr>
              <w:t>By sitting outside the bureaucracy’s formal structures, AIHSP will be able to provide impartial and objective advice, tailored to the needs of different stakeholder groups.</w:t>
            </w:r>
          </w:p>
          <w:p w:rsidR="00054254" w:rsidRPr="00EB4FEE" w:rsidRDefault="00054254" w:rsidP="00EB4FEE">
            <w:pPr>
              <w:spacing w:before="0" w:line="240" w:lineRule="auto"/>
              <w:rPr>
                <w:rFonts w:asciiTheme="majorHAnsi" w:eastAsia="Calibri" w:hAnsiTheme="majorHAnsi" w:cs="Calibri Light"/>
                <w:color w:val="595959" w:themeColor="text1" w:themeTint="A6"/>
                <w:lang w:val="en-AU"/>
              </w:rPr>
            </w:pPr>
            <w:r w:rsidRPr="00EB4FEE">
              <w:rPr>
                <w:rFonts w:asciiTheme="majorHAnsi" w:eastAsia="Calibri" w:hAnsiTheme="majorHAnsi" w:cs="Calibri Light"/>
                <w:color w:val="595959" w:themeColor="text1" w:themeTint="A6"/>
                <w:lang w:val="en-AU"/>
              </w:rPr>
              <w:t>Proposed coordination arrangements will help ensure that AIHSP can facilitate enhanced coordination and collaboration between different agencies/bodies without being seen as representing one group’s interest over another.</w:t>
            </w:r>
          </w:p>
        </w:tc>
      </w:tr>
      <w:tr w:rsidR="00054254" w:rsidRPr="00806CF3" w:rsidTr="002167AE">
        <w:tc>
          <w:tcPr>
            <w:tcW w:w="4508" w:type="dxa"/>
          </w:tcPr>
          <w:p w:rsidR="00054254" w:rsidRPr="00EB4FEE" w:rsidRDefault="00054254" w:rsidP="00EB4FEE">
            <w:pPr>
              <w:spacing w:before="0" w:line="240" w:lineRule="auto"/>
              <w:rPr>
                <w:rFonts w:asciiTheme="majorHAnsi" w:eastAsia="Calibri" w:hAnsiTheme="majorHAnsi" w:cs="Calibri Light"/>
                <w:b/>
                <w:color w:val="595959" w:themeColor="text1" w:themeTint="A6"/>
                <w:lang w:val="en-AU"/>
              </w:rPr>
            </w:pPr>
            <w:r w:rsidRPr="00EB4FEE">
              <w:rPr>
                <w:rFonts w:asciiTheme="majorHAnsi" w:eastAsia="Calibri" w:hAnsiTheme="majorHAnsi" w:cs="Calibri Light"/>
                <w:b/>
                <w:color w:val="595959" w:themeColor="text1" w:themeTint="A6"/>
                <w:lang w:val="en-AU"/>
              </w:rPr>
              <w:t>Weak capacity at district level can be addressed using donor funding and technical assistance to</w:t>
            </w:r>
            <w:r w:rsidR="00352A08">
              <w:rPr>
                <w:rFonts w:asciiTheme="majorHAnsi" w:eastAsia="Calibri" w:hAnsiTheme="majorHAnsi" w:cs="Calibri Light"/>
                <w:b/>
                <w:color w:val="595959" w:themeColor="text1" w:themeTint="A6"/>
                <w:lang w:val="en-AU"/>
              </w:rPr>
              <w:t xml:space="preserve"> improve health care delivery.</w:t>
            </w:r>
          </w:p>
          <w:p w:rsidR="00054254" w:rsidRPr="00EB4FEE" w:rsidRDefault="00054254" w:rsidP="00EB4FEE">
            <w:pPr>
              <w:spacing w:before="0" w:line="240" w:lineRule="auto"/>
              <w:rPr>
                <w:rFonts w:asciiTheme="majorHAnsi" w:eastAsia="Calibri" w:hAnsiTheme="majorHAnsi" w:cs="Calibri Light"/>
                <w:color w:val="595959" w:themeColor="text1" w:themeTint="A6"/>
                <w:lang w:val="en-AU"/>
              </w:rPr>
            </w:pPr>
            <w:r w:rsidRPr="00EB4FEE">
              <w:rPr>
                <w:rFonts w:asciiTheme="majorHAnsi" w:eastAsia="Calibri" w:hAnsiTheme="majorHAnsi" w:cs="Calibri Light"/>
                <w:color w:val="595959" w:themeColor="text1" w:themeTint="A6"/>
                <w:lang w:val="en-AU"/>
              </w:rPr>
              <w:t>This can be done through many channels, for example, planning and budgeting or improving workforce availability and quality (as demonstrated in the AIPMNH).</w:t>
            </w:r>
          </w:p>
        </w:tc>
        <w:tc>
          <w:tcPr>
            <w:tcW w:w="4508" w:type="dxa"/>
          </w:tcPr>
          <w:p w:rsidR="00054254" w:rsidRPr="00EB4FEE" w:rsidRDefault="00054254" w:rsidP="00EB4FEE">
            <w:pPr>
              <w:spacing w:before="0" w:line="240" w:lineRule="auto"/>
              <w:rPr>
                <w:rFonts w:asciiTheme="majorHAnsi" w:eastAsia="Calibri" w:hAnsiTheme="majorHAnsi" w:cs="Calibri Light"/>
                <w:color w:val="595959" w:themeColor="text1" w:themeTint="A6"/>
                <w:lang w:val="en-AU"/>
              </w:rPr>
            </w:pPr>
            <w:r w:rsidRPr="00EB4FEE">
              <w:rPr>
                <w:rFonts w:asciiTheme="majorHAnsi" w:eastAsia="Calibri" w:hAnsiTheme="majorHAnsi" w:cs="Calibri Light"/>
                <w:color w:val="595959" w:themeColor="text1" w:themeTint="A6"/>
                <w:lang w:val="en-AU"/>
              </w:rPr>
              <w:t>The program has the scope to</w:t>
            </w:r>
            <w:r w:rsidR="00D31E79">
              <w:rPr>
                <w:rFonts w:asciiTheme="majorHAnsi" w:eastAsia="Calibri" w:hAnsiTheme="majorHAnsi" w:cs="Calibri Light"/>
                <w:color w:val="595959" w:themeColor="text1" w:themeTint="A6"/>
                <w:lang w:val="en-AU"/>
              </w:rPr>
              <w:t xml:space="preserve"> have a sub-national component</w:t>
            </w:r>
            <w:r w:rsidR="00C972DC">
              <w:rPr>
                <w:rFonts w:asciiTheme="majorHAnsi" w:eastAsia="Calibri" w:hAnsiTheme="majorHAnsi" w:cs="Calibri Light"/>
                <w:color w:val="595959" w:themeColor="text1" w:themeTint="A6"/>
                <w:lang w:val="en-AU"/>
              </w:rPr>
              <w:t>, but this would be determined by the PCC in the development of annual plans over time</w:t>
            </w:r>
            <w:r w:rsidR="00D31E79">
              <w:rPr>
                <w:rFonts w:asciiTheme="majorHAnsi" w:eastAsia="Calibri" w:hAnsiTheme="majorHAnsi" w:cs="Calibri Light"/>
                <w:color w:val="595959" w:themeColor="text1" w:themeTint="A6"/>
                <w:lang w:val="en-AU"/>
              </w:rPr>
              <w:t>.</w:t>
            </w:r>
            <w:r w:rsidRPr="00EB4FEE">
              <w:rPr>
                <w:rFonts w:asciiTheme="majorHAnsi" w:eastAsia="Calibri" w:hAnsiTheme="majorHAnsi" w:cs="Calibri Light"/>
                <w:color w:val="595959" w:themeColor="text1" w:themeTint="A6"/>
                <w:lang w:val="en-AU"/>
              </w:rPr>
              <w:t xml:space="preserve"> This </w:t>
            </w:r>
            <w:r w:rsidR="009E6298" w:rsidRPr="00EB4FEE">
              <w:rPr>
                <w:rFonts w:asciiTheme="majorHAnsi" w:eastAsia="Calibri" w:hAnsiTheme="majorHAnsi" w:cs="Calibri Light"/>
                <w:color w:val="595959" w:themeColor="text1" w:themeTint="A6"/>
                <w:lang w:val="en-AU"/>
              </w:rPr>
              <w:t xml:space="preserve">would </w:t>
            </w:r>
            <w:r w:rsidRPr="00EB4FEE">
              <w:rPr>
                <w:rFonts w:asciiTheme="majorHAnsi" w:eastAsia="Calibri" w:hAnsiTheme="majorHAnsi" w:cs="Calibri Light"/>
                <w:color w:val="595959" w:themeColor="text1" w:themeTint="A6"/>
                <w:lang w:val="en-AU"/>
              </w:rPr>
              <w:t>open up a link between national and sub-national government for policy development, testing ideas and capacity b</w:t>
            </w:r>
            <w:r w:rsidR="00D31E79">
              <w:rPr>
                <w:rFonts w:asciiTheme="majorHAnsi" w:eastAsia="Calibri" w:hAnsiTheme="majorHAnsi" w:cs="Calibri Light"/>
                <w:color w:val="595959" w:themeColor="text1" w:themeTint="A6"/>
                <w:lang w:val="en-AU"/>
              </w:rPr>
              <w:t>uilding.</w:t>
            </w:r>
          </w:p>
        </w:tc>
      </w:tr>
      <w:tr w:rsidR="00054254" w:rsidRPr="00806CF3" w:rsidTr="002167AE">
        <w:tc>
          <w:tcPr>
            <w:tcW w:w="4508" w:type="dxa"/>
          </w:tcPr>
          <w:p w:rsidR="00054254" w:rsidRPr="00EB4FEE" w:rsidRDefault="00054254" w:rsidP="00EB4FEE">
            <w:pPr>
              <w:spacing w:before="0" w:line="240" w:lineRule="auto"/>
              <w:rPr>
                <w:rFonts w:asciiTheme="majorHAnsi" w:eastAsia="Calibri" w:hAnsiTheme="majorHAnsi" w:cs="Calibri Light"/>
                <w:b/>
                <w:color w:val="595959" w:themeColor="text1" w:themeTint="A6"/>
                <w:lang w:val="en-AU"/>
              </w:rPr>
            </w:pPr>
            <w:r w:rsidRPr="00EB4FEE">
              <w:rPr>
                <w:rFonts w:asciiTheme="majorHAnsi" w:eastAsia="Calibri" w:hAnsiTheme="majorHAnsi" w:cs="Calibri Light"/>
                <w:b/>
                <w:color w:val="595959" w:themeColor="text1" w:themeTint="A6"/>
                <w:lang w:val="en-AU"/>
              </w:rPr>
              <w:t>G</w:t>
            </w:r>
            <w:r w:rsidR="00806CF3" w:rsidRPr="00EB4FEE">
              <w:rPr>
                <w:rFonts w:asciiTheme="majorHAnsi" w:eastAsia="Calibri" w:hAnsiTheme="majorHAnsi" w:cs="Calibri Light"/>
                <w:b/>
                <w:color w:val="595959" w:themeColor="text1" w:themeTint="A6"/>
                <w:lang w:val="en-AU"/>
              </w:rPr>
              <w:t>o</w:t>
            </w:r>
            <w:r w:rsidRPr="00EB4FEE">
              <w:rPr>
                <w:rFonts w:asciiTheme="majorHAnsi" w:eastAsia="Calibri" w:hAnsiTheme="majorHAnsi" w:cs="Calibri Light"/>
                <w:b/>
                <w:color w:val="595959" w:themeColor="text1" w:themeTint="A6"/>
                <w:lang w:val="en-AU"/>
              </w:rPr>
              <w:t>I is shifting to focus more on the evidence base for policy making</w:t>
            </w:r>
            <w:r w:rsidR="00C60F38" w:rsidRPr="00EB4FEE">
              <w:rPr>
                <w:rFonts w:asciiTheme="majorHAnsi" w:eastAsia="Calibri" w:hAnsiTheme="majorHAnsi" w:cs="Calibri Light"/>
                <w:b/>
                <w:color w:val="595959" w:themeColor="text1" w:themeTint="A6"/>
                <w:lang w:val="en-AU"/>
              </w:rPr>
              <w:t>.</w:t>
            </w:r>
          </w:p>
          <w:p w:rsidR="00054254" w:rsidRPr="00EB4FEE" w:rsidRDefault="00054254" w:rsidP="00EB4FEE">
            <w:pPr>
              <w:spacing w:before="0" w:line="240" w:lineRule="auto"/>
              <w:rPr>
                <w:rFonts w:asciiTheme="majorHAnsi" w:eastAsia="Calibri" w:hAnsiTheme="majorHAnsi" w:cs="Calibri Light"/>
                <w:color w:val="595959" w:themeColor="text1" w:themeTint="A6"/>
                <w:lang w:val="en-AU"/>
              </w:rPr>
            </w:pPr>
            <w:r w:rsidRPr="00EB4FEE">
              <w:rPr>
                <w:rFonts w:asciiTheme="majorHAnsi" w:eastAsia="Calibri" w:hAnsiTheme="majorHAnsi" w:cs="Calibri Light"/>
                <w:color w:val="595959" w:themeColor="text1" w:themeTint="A6"/>
                <w:lang w:val="en-AU"/>
              </w:rPr>
              <w:t>The JEE recommends Indonesia to conduct a policy analysis to identify and evaluate the need for new policies; review existing policies for gaps and potential conflicts; and harmonize and develop strategies for policy implementation across line ministries and administrative levels.</w:t>
            </w:r>
          </w:p>
        </w:tc>
        <w:tc>
          <w:tcPr>
            <w:tcW w:w="4508" w:type="dxa"/>
          </w:tcPr>
          <w:p w:rsidR="00054254" w:rsidRPr="00EB4FEE" w:rsidRDefault="00054254" w:rsidP="00EB4FEE">
            <w:pPr>
              <w:spacing w:before="0" w:line="240" w:lineRule="auto"/>
              <w:rPr>
                <w:rFonts w:asciiTheme="majorHAnsi" w:eastAsia="Calibri" w:hAnsiTheme="majorHAnsi" w:cs="Calibri Light"/>
                <w:color w:val="595959" w:themeColor="text1" w:themeTint="A6"/>
                <w:lang w:val="en-AU"/>
              </w:rPr>
            </w:pPr>
            <w:r w:rsidRPr="00EB4FEE">
              <w:rPr>
                <w:rFonts w:asciiTheme="majorHAnsi" w:eastAsia="Calibri" w:hAnsiTheme="majorHAnsi" w:cs="Calibri Light"/>
                <w:color w:val="595959" w:themeColor="text1" w:themeTint="A6"/>
                <w:lang w:val="en-AU"/>
              </w:rPr>
              <w:t>The program will seek to collaborate with the KSI program and learn from the previous AI</w:t>
            </w:r>
            <w:r w:rsidR="00C972DC">
              <w:rPr>
                <w:rFonts w:asciiTheme="majorHAnsi" w:eastAsia="Calibri" w:hAnsiTheme="majorHAnsi" w:cs="Calibri Light"/>
                <w:color w:val="595959" w:themeColor="text1" w:themeTint="A6"/>
                <w:lang w:val="en-AU"/>
              </w:rPr>
              <w:t>P</w:t>
            </w:r>
            <w:r w:rsidRPr="00EB4FEE">
              <w:rPr>
                <w:rFonts w:asciiTheme="majorHAnsi" w:eastAsia="Calibri" w:hAnsiTheme="majorHAnsi" w:cs="Calibri Light"/>
                <w:color w:val="595959" w:themeColor="text1" w:themeTint="A6"/>
                <w:lang w:val="en-AU"/>
              </w:rPr>
              <w:t>HSS program to strengthen the evidence</w:t>
            </w:r>
            <w:r w:rsidR="00044F37" w:rsidRPr="00EB4FEE">
              <w:rPr>
                <w:rFonts w:asciiTheme="majorHAnsi" w:eastAsia="Calibri" w:hAnsiTheme="majorHAnsi" w:cs="Calibri Light"/>
                <w:color w:val="595959" w:themeColor="text1" w:themeTint="A6"/>
                <w:lang w:val="en-AU"/>
              </w:rPr>
              <w:t xml:space="preserve"> </w:t>
            </w:r>
            <w:r w:rsidRPr="00EB4FEE">
              <w:rPr>
                <w:rFonts w:asciiTheme="majorHAnsi" w:eastAsia="Calibri" w:hAnsiTheme="majorHAnsi" w:cs="Calibri Light"/>
                <w:color w:val="595959" w:themeColor="text1" w:themeTint="A6"/>
                <w:lang w:val="en-AU"/>
              </w:rPr>
              <w:t>base to inform decision making and policy development in health security.</w:t>
            </w:r>
          </w:p>
        </w:tc>
      </w:tr>
      <w:tr w:rsidR="00054254" w:rsidRPr="00806CF3" w:rsidTr="002167AE">
        <w:tc>
          <w:tcPr>
            <w:tcW w:w="4508" w:type="dxa"/>
          </w:tcPr>
          <w:p w:rsidR="00054254" w:rsidRDefault="00054254" w:rsidP="00EB4FEE">
            <w:pPr>
              <w:spacing w:before="0" w:line="240" w:lineRule="auto"/>
              <w:rPr>
                <w:rFonts w:asciiTheme="majorHAnsi" w:eastAsia="Calibri" w:hAnsiTheme="majorHAnsi" w:cs="Calibri Light"/>
                <w:b/>
                <w:color w:val="595959" w:themeColor="text1" w:themeTint="A6"/>
                <w:lang w:val="en-AU"/>
              </w:rPr>
            </w:pPr>
            <w:r w:rsidRPr="00EB4FEE">
              <w:rPr>
                <w:rFonts w:asciiTheme="majorHAnsi" w:eastAsia="Calibri" w:hAnsiTheme="majorHAnsi" w:cs="Calibri Light"/>
                <w:b/>
                <w:color w:val="595959" w:themeColor="text1" w:themeTint="A6"/>
                <w:lang w:val="en-AU"/>
              </w:rPr>
              <w:t>Avoid vertical programming in health security</w:t>
            </w:r>
            <w:r w:rsidR="00C60F38" w:rsidRPr="00EB4FEE">
              <w:rPr>
                <w:rFonts w:asciiTheme="majorHAnsi" w:eastAsia="Calibri" w:hAnsiTheme="majorHAnsi" w:cs="Calibri Light"/>
                <w:b/>
                <w:color w:val="595959" w:themeColor="text1" w:themeTint="A6"/>
                <w:lang w:val="en-AU"/>
              </w:rPr>
              <w:t>.</w:t>
            </w:r>
          </w:p>
          <w:p w:rsidR="008F6471" w:rsidRPr="00EB4FEE" w:rsidRDefault="00B56440">
            <w:pPr>
              <w:spacing w:before="0" w:line="240" w:lineRule="auto"/>
              <w:rPr>
                <w:rFonts w:asciiTheme="majorHAnsi" w:eastAsia="Calibri" w:hAnsiTheme="majorHAnsi" w:cs="Calibri Light"/>
                <w:b/>
                <w:color w:val="595959" w:themeColor="text1" w:themeTint="A6"/>
                <w:lang w:val="en-AU"/>
              </w:rPr>
            </w:pPr>
            <w:r>
              <w:rPr>
                <w:rFonts w:asciiTheme="majorHAnsi" w:hAnsiTheme="majorHAnsi" w:cstheme="majorHAnsi"/>
                <w:color w:val="595959" w:themeColor="text1" w:themeTint="A6"/>
                <w:lang w:val="en-US"/>
              </w:rPr>
              <w:t>Vertical programs</w:t>
            </w:r>
            <w:r w:rsidR="008F6471">
              <w:rPr>
                <w:rFonts w:asciiTheme="majorHAnsi" w:hAnsiTheme="majorHAnsi" w:cstheme="majorHAnsi"/>
                <w:color w:val="595959" w:themeColor="text1" w:themeTint="A6"/>
                <w:lang w:val="en-US"/>
              </w:rPr>
              <w:t xml:space="preserve"> f</w:t>
            </w:r>
            <w:r>
              <w:rPr>
                <w:rFonts w:asciiTheme="majorHAnsi" w:hAnsiTheme="majorHAnsi" w:cstheme="majorHAnsi"/>
                <w:color w:val="595959" w:themeColor="text1" w:themeTint="A6"/>
                <w:lang w:val="en-US"/>
              </w:rPr>
              <w:t>ocus</w:t>
            </w:r>
            <w:r w:rsidR="008F6471">
              <w:rPr>
                <w:rFonts w:asciiTheme="majorHAnsi" w:hAnsiTheme="majorHAnsi" w:cstheme="majorHAnsi"/>
                <w:color w:val="595959" w:themeColor="text1" w:themeTint="A6"/>
                <w:lang w:val="en-US"/>
              </w:rPr>
              <w:t xml:space="preserve"> on a specific health condition or issue</w:t>
            </w:r>
            <w:r>
              <w:rPr>
                <w:rFonts w:asciiTheme="majorHAnsi" w:hAnsiTheme="majorHAnsi" w:cstheme="majorHAnsi"/>
                <w:color w:val="595959" w:themeColor="text1" w:themeTint="A6"/>
                <w:lang w:val="en-US"/>
              </w:rPr>
              <w:t>, and are not integrated with broader policies or programs</w:t>
            </w:r>
            <w:r w:rsidR="008F6471">
              <w:rPr>
                <w:rFonts w:asciiTheme="majorHAnsi" w:hAnsiTheme="majorHAnsi" w:cstheme="majorHAnsi"/>
                <w:color w:val="595959" w:themeColor="text1" w:themeTint="A6"/>
                <w:lang w:val="en-US"/>
              </w:rPr>
              <w:t xml:space="preserve">. </w:t>
            </w:r>
            <w:r>
              <w:rPr>
                <w:rFonts w:asciiTheme="majorHAnsi" w:hAnsiTheme="majorHAnsi" w:cstheme="majorHAnsi"/>
                <w:color w:val="595959" w:themeColor="text1" w:themeTint="A6"/>
                <w:lang w:val="en-US"/>
              </w:rPr>
              <w:t>An integrated approach is necessary to build and maintain the strong, comprehensive health systems that are essential for health security.</w:t>
            </w:r>
          </w:p>
        </w:tc>
        <w:tc>
          <w:tcPr>
            <w:tcW w:w="4508" w:type="dxa"/>
          </w:tcPr>
          <w:p w:rsidR="00054254" w:rsidRPr="00EB4FEE" w:rsidRDefault="00054254" w:rsidP="00C972DC">
            <w:pPr>
              <w:spacing w:before="0" w:line="240" w:lineRule="auto"/>
              <w:rPr>
                <w:rFonts w:asciiTheme="majorHAnsi" w:eastAsia="Calibri" w:hAnsiTheme="majorHAnsi" w:cs="Calibri Light"/>
                <w:color w:val="595959" w:themeColor="text1" w:themeTint="A6"/>
                <w:lang w:val="en-AU"/>
              </w:rPr>
            </w:pPr>
            <w:r w:rsidRPr="00EB4FEE">
              <w:rPr>
                <w:rFonts w:asciiTheme="majorHAnsi" w:eastAsia="Calibri" w:hAnsiTheme="majorHAnsi" w:cs="Calibri Light"/>
                <w:color w:val="595959" w:themeColor="text1" w:themeTint="A6"/>
                <w:lang w:val="en-AU"/>
              </w:rPr>
              <w:t xml:space="preserve">AIHSP will seek to ensure IHR </w:t>
            </w:r>
            <w:r w:rsidR="00C60F38" w:rsidRPr="00EB4FEE">
              <w:rPr>
                <w:rFonts w:asciiTheme="majorHAnsi" w:eastAsia="Calibri" w:hAnsiTheme="majorHAnsi" w:cs="Calibri Light"/>
                <w:color w:val="595959" w:themeColor="text1" w:themeTint="A6"/>
                <w:lang w:val="en-AU"/>
              </w:rPr>
              <w:t xml:space="preserve">capacity </w:t>
            </w:r>
            <w:r w:rsidRPr="00EB4FEE">
              <w:rPr>
                <w:rFonts w:asciiTheme="majorHAnsi" w:eastAsia="Calibri" w:hAnsiTheme="majorHAnsi" w:cs="Calibri Light"/>
                <w:color w:val="595959" w:themeColor="text1" w:themeTint="A6"/>
                <w:lang w:val="en-AU"/>
              </w:rPr>
              <w:t xml:space="preserve">strengthening is integrated with </w:t>
            </w:r>
            <w:r w:rsidR="009E6298" w:rsidRPr="00EB4FEE">
              <w:rPr>
                <w:rFonts w:asciiTheme="majorHAnsi" w:eastAsia="Calibri" w:hAnsiTheme="majorHAnsi" w:cs="Calibri Light"/>
                <w:color w:val="595959" w:themeColor="text1" w:themeTint="A6"/>
                <w:lang w:val="en-AU"/>
              </w:rPr>
              <w:t>interventions to provide</w:t>
            </w:r>
            <w:r w:rsidR="00D31E79">
              <w:rPr>
                <w:rFonts w:asciiTheme="majorHAnsi" w:eastAsia="Calibri" w:hAnsiTheme="majorHAnsi" w:cs="Calibri Light"/>
                <w:color w:val="595959" w:themeColor="text1" w:themeTint="A6"/>
                <w:lang w:val="en-AU"/>
              </w:rPr>
              <w:t xml:space="preserve"> UHC.</w:t>
            </w:r>
            <w:r w:rsidRPr="00EB4FEE">
              <w:rPr>
                <w:rFonts w:asciiTheme="majorHAnsi" w:eastAsia="Calibri" w:hAnsiTheme="majorHAnsi" w:cs="Calibri Light"/>
                <w:color w:val="595959" w:themeColor="text1" w:themeTint="A6"/>
                <w:lang w:val="en-AU"/>
              </w:rPr>
              <w:t xml:space="preserve"> Recognising the limitation</w:t>
            </w:r>
            <w:r w:rsidR="00C60F38" w:rsidRPr="00EB4FEE">
              <w:rPr>
                <w:rFonts w:asciiTheme="majorHAnsi" w:eastAsia="Calibri" w:hAnsiTheme="majorHAnsi" w:cs="Calibri Light"/>
                <w:color w:val="595959" w:themeColor="text1" w:themeTint="A6"/>
                <w:lang w:val="en-AU"/>
              </w:rPr>
              <w:t>s</w:t>
            </w:r>
            <w:r w:rsidRPr="00EB4FEE">
              <w:rPr>
                <w:rFonts w:asciiTheme="majorHAnsi" w:eastAsia="Calibri" w:hAnsiTheme="majorHAnsi" w:cs="Calibri Light"/>
                <w:color w:val="595959" w:themeColor="text1" w:themeTint="A6"/>
                <w:lang w:val="en-AU"/>
              </w:rPr>
              <w:t xml:space="preserve"> of funding, the </w:t>
            </w:r>
            <w:r w:rsidR="009E6298" w:rsidRPr="00EB4FEE">
              <w:rPr>
                <w:rFonts w:asciiTheme="majorHAnsi" w:eastAsia="Calibri" w:hAnsiTheme="majorHAnsi" w:cs="Calibri Light"/>
                <w:color w:val="595959" w:themeColor="text1" w:themeTint="A6"/>
                <w:lang w:val="en-AU"/>
              </w:rPr>
              <w:t xml:space="preserve">program </w:t>
            </w:r>
            <w:r w:rsidRPr="00EB4FEE">
              <w:rPr>
                <w:rFonts w:asciiTheme="majorHAnsi" w:eastAsia="Calibri" w:hAnsiTheme="majorHAnsi" w:cs="Calibri Light"/>
                <w:color w:val="595959" w:themeColor="text1" w:themeTint="A6"/>
                <w:lang w:val="en-AU"/>
              </w:rPr>
              <w:t>will seek to collaborate with</w:t>
            </w:r>
            <w:r w:rsidR="00340266" w:rsidRPr="00EB4FEE">
              <w:rPr>
                <w:rFonts w:asciiTheme="majorHAnsi" w:eastAsia="Calibri" w:hAnsiTheme="majorHAnsi" w:cs="Calibri Light"/>
                <w:color w:val="595959" w:themeColor="text1" w:themeTint="A6"/>
                <w:lang w:val="en-AU"/>
              </w:rPr>
              <w:t xml:space="preserve"> KOMPAK and</w:t>
            </w:r>
            <w:r w:rsidRPr="00EB4FEE">
              <w:rPr>
                <w:rFonts w:asciiTheme="majorHAnsi" w:eastAsia="Calibri" w:hAnsiTheme="majorHAnsi" w:cs="Calibri Light"/>
                <w:color w:val="595959" w:themeColor="text1" w:themeTint="A6"/>
                <w:lang w:val="en-AU"/>
              </w:rPr>
              <w:t xml:space="preserve"> </w:t>
            </w:r>
            <w:r w:rsidR="00C36348" w:rsidRPr="00EB4FEE">
              <w:rPr>
                <w:rFonts w:asciiTheme="majorHAnsi" w:eastAsia="Calibri" w:hAnsiTheme="majorHAnsi" w:cs="Calibri Light"/>
                <w:color w:val="595959" w:themeColor="text1" w:themeTint="A6"/>
                <w:lang w:val="en-AU"/>
              </w:rPr>
              <w:t>K</w:t>
            </w:r>
            <w:r w:rsidRPr="00EB4FEE">
              <w:rPr>
                <w:rFonts w:asciiTheme="majorHAnsi" w:eastAsia="Calibri" w:hAnsiTheme="majorHAnsi" w:cs="Calibri Light"/>
                <w:color w:val="595959" w:themeColor="text1" w:themeTint="A6"/>
                <w:lang w:val="en-AU"/>
              </w:rPr>
              <w:t>SI program</w:t>
            </w:r>
            <w:r w:rsidR="00806CF3" w:rsidRPr="00EB4FEE">
              <w:rPr>
                <w:rFonts w:asciiTheme="majorHAnsi" w:eastAsia="Calibri" w:hAnsiTheme="majorHAnsi" w:cs="Calibri Light"/>
                <w:color w:val="595959" w:themeColor="text1" w:themeTint="A6"/>
                <w:lang w:val="en-AU"/>
              </w:rPr>
              <w:t>s</w:t>
            </w:r>
            <w:r w:rsidRPr="00EB4FEE">
              <w:rPr>
                <w:rFonts w:asciiTheme="majorHAnsi" w:eastAsia="Calibri" w:hAnsiTheme="majorHAnsi" w:cs="Calibri Light"/>
                <w:color w:val="595959" w:themeColor="text1" w:themeTint="A6"/>
                <w:lang w:val="en-AU"/>
              </w:rPr>
              <w:t xml:space="preserve"> and learn from the lessons of the previous AIPHSS program.</w:t>
            </w:r>
          </w:p>
        </w:tc>
      </w:tr>
      <w:tr w:rsidR="00054254" w:rsidRPr="00806CF3" w:rsidTr="002167AE">
        <w:tc>
          <w:tcPr>
            <w:tcW w:w="4508" w:type="dxa"/>
          </w:tcPr>
          <w:p w:rsidR="00054254" w:rsidRPr="00EB4FEE" w:rsidRDefault="00054254" w:rsidP="00EB4FEE">
            <w:pPr>
              <w:spacing w:before="0" w:line="240" w:lineRule="auto"/>
              <w:rPr>
                <w:rFonts w:asciiTheme="majorHAnsi" w:eastAsia="Calibri" w:hAnsiTheme="majorHAnsi" w:cs="Calibri Light"/>
                <w:b/>
                <w:color w:val="595959" w:themeColor="text1" w:themeTint="A6"/>
                <w:lang w:val="en-AU"/>
              </w:rPr>
            </w:pPr>
            <w:r w:rsidRPr="00EB4FEE">
              <w:rPr>
                <w:rFonts w:asciiTheme="majorHAnsi" w:eastAsia="Calibri" w:hAnsiTheme="majorHAnsi" w:cs="Calibri Light"/>
                <w:b/>
                <w:color w:val="595959" w:themeColor="text1" w:themeTint="A6"/>
                <w:lang w:val="en-AU"/>
              </w:rPr>
              <w:t>Government to government partnership programming produces results in Indonesia</w:t>
            </w:r>
            <w:r w:rsidR="00C60F38" w:rsidRPr="00EB4FEE">
              <w:rPr>
                <w:rFonts w:asciiTheme="majorHAnsi" w:eastAsia="Calibri" w:hAnsiTheme="majorHAnsi" w:cs="Calibri Light"/>
                <w:b/>
                <w:color w:val="595959" w:themeColor="text1" w:themeTint="A6"/>
                <w:lang w:val="en-AU"/>
              </w:rPr>
              <w:t>.</w:t>
            </w:r>
          </w:p>
          <w:p w:rsidR="00054254" w:rsidRPr="00EB4FEE" w:rsidRDefault="00054254" w:rsidP="00EB4FEE">
            <w:pPr>
              <w:spacing w:before="0" w:line="240" w:lineRule="auto"/>
              <w:rPr>
                <w:rFonts w:asciiTheme="majorHAnsi" w:eastAsia="Calibri" w:hAnsiTheme="majorHAnsi" w:cs="Calibri Light"/>
                <w:color w:val="595959" w:themeColor="text1" w:themeTint="A6"/>
                <w:lang w:val="en-AU"/>
              </w:rPr>
            </w:pPr>
            <w:r w:rsidRPr="00EB4FEE">
              <w:rPr>
                <w:rFonts w:asciiTheme="majorHAnsi" w:eastAsia="Calibri" w:hAnsiTheme="majorHAnsi" w:cs="Calibri Light"/>
                <w:color w:val="595959" w:themeColor="text1" w:themeTint="A6"/>
                <w:lang w:val="en-AU"/>
              </w:rPr>
              <w:t>Governance is a core component of the WHO’s framework for the building blocks of health systems.</w:t>
            </w:r>
          </w:p>
        </w:tc>
        <w:tc>
          <w:tcPr>
            <w:tcW w:w="4508" w:type="dxa"/>
          </w:tcPr>
          <w:p w:rsidR="00054254" w:rsidRPr="00EB4FEE" w:rsidRDefault="00054254" w:rsidP="00EB4FEE">
            <w:pPr>
              <w:spacing w:before="0" w:line="240" w:lineRule="auto"/>
              <w:rPr>
                <w:rFonts w:asciiTheme="majorHAnsi" w:eastAsia="Calibri" w:hAnsiTheme="majorHAnsi" w:cs="Calibri Light"/>
                <w:color w:val="595959" w:themeColor="text1" w:themeTint="A6"/>
                <w:lang w:val="en-AU"/>
              </w:rPr>
            </w:pPr>
            <w:r w:rsidRPr="00EB4FEE">
              <w:rPr>
                <w:rFonts w:asciiTheme="majorHAnsi" w:eastAsia="Calibri" w:hAnsiTheme="majorHAnsi" w:cs="Calibri Light"/>
                <w:color w:val="595959" w:themeColor="text1" w:themeTint="A6"/>
                <w:lang w:val="en-AU"/>
              </w:rPr>
              <w:t xml:space="preserve">The </w:t>
            </w:r>
            <w:r w:rsidR="009E6298" w:rsidRPr="00EB4FEE">
              <w:rPr>
                <w:rFonts w:asciiTheme="majorHAnsi" w:eastAsia="Calibri" w:hAnsiTheme="majorHAnsi" w:cs="Calibri Light"/>
                <w:color w:val="595959" w:themeColor="text1" w:themeTint="A6"/>
                <w:lang w:val="en-AU"/>
              </w:rPr>
              <w:t xml:space="preserve">program </w:t>
            </w:r>
            <w:r w:rsidRPr="00EB4FEE">
              <w:rPr>
                <w:rFonts w:asciiTheme="majorHAnsi" w:eastAsia="Calibri" w:hAnsiTheme="majorHAnsi" w:cs="Calibri Light"/>
                <w:color w:val="595959" w:themeColor="text1" w:themeTint="A6"/>
                <w:lang w:val="en-AU"/>
              </w:rPr>
              <w:t xml:space="preserve">has sought to build on </w:t>
            </w:r>
            <w:r w:rsidR="009E6298" w:rsidRPr="00EB4FEE">
              <w:rPr>
                <w:rFonts w:asciiTheme="majorHAnsi" w:eastAsia="Calibri" w:hAnsiTheme="majorHAnsi" w:cs="Calibri Light"/>
                <w:color w:val="595959" w:themeColor="text1" w:themeTint="A6"/>
                <w:lang w:val="en-AU"/>
              </w:rPr>
              <w:t>l</w:t>
            </w:r>
            <w:r w:rsidRPr="00EB4FEE">
              <w:rPr>
                <w:rFonts w:asciiTheme="majorHAnsi" w:eastAsia="Calibri" w:hAnsiTheme="majorHAnsi" w:cs="Calibri Light"/>
                <w:color w:val="595959" w:themeColor="text1" w:themeTint="A6"/>
                <w:lang w:val="en-AU"/>
              </w:rPr>
              <w:t>essons learned from previous programs</w:t>
            </w:r>
            <w:r w:rsidR="00806CF3" w:rsidRPr="00EB4FEE">
              <w:rPr>
                <w:rFonts w:asciiTheme="majorHAnsi" w:eastAsia="Calibri" w:hAnsiTheme="majorHAnsi" w:cs="Calibri Light"/>
                <w:color w:val="595959" w:themeColor="text1" w:themeTint="A6"/>
                <w:lang w:val="en-AU"/>
              </w:rPr>
              <w:t>,</w:t>
            </w:r>
            <w:r w:rsidRPr="00EB4FEE">
              <w:rPr>
                <w:rFonts w:asciiTheme="majorHAnsi" w:eastAsia="Calibri" w:hAnsiTheme="majorHAnsi" w:cs="Calibri Light"/>
                <w:color w:val="595959" w:themeColor="text1" w:themeTint="A6"/>
                <w:lang w:val="en-AU"/>
              </w:rPr>
              <w:t xml:space="preserve"> including AIPH, AIPMNH, </w:t>
            </w:r>
            <w:r w:rsidR="00806CF3" w:rsidRPr="00EB4FEE">
              <w:rPr>
                <w:rFonts w:asciiTheme="majorHAnsi" w:eastAsia="Calibri" w:hAnsiTheme="majorHAnsi" w:cs="Calibri Light"/>
                <w:color w:val="595959" w:themeColor="text1" w:themeTint="A6"/>
                <w:lang w:val="en-AU"/>
              </w:rPr>
              <w:t xml:space="preserve">INOVASI, KOMPAK and </w:t>
            </w:r>
            <w:r w:rsidRPr="00EB4FEE">
              <w:rPr>
                <w:rFonts w:asciiTheme="majorHAnsi" w:eastAsia="Calibri" w:hAnsiTheme="majorHAnsi" w:cs="Calibri Light"/>
                <w:color w:val="595959" w:themeColor="text1" w:themeTint="A6"/>
                <w:lang w:val="en-AU"/>
              </w:rPr>
              <w:t>TASS</w:t>
            </w:r>
            <w:r w:rsidR="00806CF3" w:rsidRPr="00EB4FEE">
              <w:rPr>
                <w:rFonts w:asciiTheme="majorHAnsi" w:eastAsia="Calibri" w:hAnsiTheme="majorHAnsi" w:cs="Calibri Light"/>
                <w:color w:val="595959" w:themeColor="text1" w:themeTint="A6"/>
                <w:lang w:val="en-AU"/>
              </w:rPr>
              <w:t>,</w:t>
            </w:r>
            <w:r w:rsidRPr="00EB4FEE">
              <w:rPr>
                <w:rFonts w:asciiTheme="majorHAnsi" w:eastAsia="Calibri" w:hAnsiTheme="majorHAnsi" w:cs="Calibri Light"/>
                <w:color w:val="595959" w:themeColor="text1" w:themeTint="A6"/>
                <w:lang w:val="en-AU"/>
              </w:rPr>
              <w:t xml:space="preserve"> </w:t>
            </w:r>
            <w:r w:rsidR="009E6298" w:rsidRPr="00EB4FEE">
              <w:rPr>
                <w:rFonts w:asciiTheme="majorHAnsi" w:eastAsia="Calibri" w:hAnsiTheme="majorHAnsi" w:cs="Calibri Light"/>
                <w:color w:val="595959" w:themeColor="text1" w:themeTint="A6"/>
                <w:lang w:val="en-AU"/>
              </w:rPr>
              <w:t xml:space="preserve">and </w:t>
            </w:r>
            <w:r w:rsidRPr="00EB4FEE">
              <w:rPr>
                <w:rFonts w:asciiTheme="majorHAnsi" w:eastAsia="Calibri" w:hAnsiTheme="majorHAnsi" w:cs="Calibri Light"/>
                <w:color w:val="595959" w:themeColor="text1" w:themeTint="A6"/>
                <w:lang w:val="en-AU"/>
              </w:rPr>
              <w:t>to set up governance structures which provide a partnership framework for G</w:t>
            </w:r>
            <w:r w:rsidR="00806CF3" w:rsidRPr="00EB4FEE">
              <w:rPr>
                <w:rFonts w:asciiTheme="majorHAnsi" w:eastAsia="Calibri" w:hAnsiTheme="majorHAnsi" w:cs="Calibri Light"/>
                <w:color w:val="595959" w:themeColor="text1" w:themeTint="A6"/>
                <w:lang w:val="en-AU"/>
              </w:rPr>
              <w:t>o</w:t>
            </w:r>
            <w:r w:rsidR="00D31E79">
              <w:rPr>
                <w:rFonts w:asciiTheme="majorHAnsi" w:eastAsia="Calibri" w:hAnsiTheme="majorHAnsi" w:cs="Calibri Light"/>
                <w:color w:val="595959" w:themeColor="text1" w:themeTint="A6"/>
                <w:lang w:val="en-AU"/>
              </w:rPr>
              <w:t>I.</w:t>
            </w:r>
            <w:r w:rsidRPr="00EB4FEE">
              <w:rPr>
                <w:rFonts w:asciiTheme="majorHAnsi" w:eastAsia="Calibri" w:hAnsiTheme="majorHAnsi" w:cs="Calibri Light"/>
                <w:color w:val="595959" w:themeColor="text1" w:themeTint="A6"/>
                <w:lang w:val="en-AU"/>
              </w:rPr>
              <w:t xml:space="preserve"> The partnership approach at both high and technical levels is recognised as necessary for progra</w:t>
            </w:r>
            <w:r w:rsidR="00D31E79">
              <w:rPr>
                <w:rFonts w:asciiTheme="majorHAnsi" w:eastAsia="Calibri" w:hAnsiTheme="majorHAnsi" w:cs="Calibri Light"/>
                <w:color w:val="595959" w:themeColor="text1" w:themeTint="A6"/>
                <w:lang w:val="en-AU"/>
              </w:rPr>
              <w:t xml:space="preserve">m implementation in Indonesia. </w:t>
            </w:r>
            <w:r w:rsidR="009E6298" w:rsidRPr="00EB4FEE">
              <w:rPr>
                <w:rFonts w:asciiTheme="majorHAnsi" w:eastAsia="Calibri" w:hAnsiTheme="majorHAnsi" w:cs="Calibri Light"/>
                <w:color w:val="595959" w:themeColor="text1" w:themeTint="A6"/>
                <w:lang w:val="en-AU"/>
              </w:rPr>
              <w:t>P</w:t>
            </w:r>
            <w:r w:rsidRPr="00EB4FEE">
              <w:rPr>
                <w:rFonts w:asciiTheme="majorHAnsi" w:eastAsia="Calibri" w:hAnsiTheme="majorHAnsi" w:cs="Calibri Light"/>
                <w:color w:val="595959" w:themeColor="text1" w:themeTint="A6"/>
                <w:lang w:val="en-AU"/>
              </w:rPr>
              <w:t>rogram governance arrangements should also be closely linked to AIHSP’s subsidiary arrangements.</w:t>
            </w:r>
          </w:p>
        </w:tc>
      </w:tr>
      <w:bookmarkEnd w:id="11"/>
    </w:tbl>
    <w:p w:rsidR="00FA3EEA" w:rsidRPr="00EB4FEE" w:rsidRDefault="00FA3EEA">
      <w:pPr>
        <w:rPr>
          <w:rFonts w:asciiTheme="majorHAnsi" w:hAnsiTheme="majorHAnsi"/>
        </w:rPr>
      </w:pPr>
    </w:p>
    <w:tbl>
      <w:tblPr>
        <w:tblW w:w="973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9738"/>
      </w:tblGrid>
      <w:tr w:rsidR="00945682" w:rsidRPr="0043356C" w:rsidTr="00A62314">
        <w:trPr>
          <w:trHeight w:val="360"/>
          <w:tblHeader/>
          <w:jc w:val="center"/>
        </w:trPr>
        <w:tc>
          <w:tcPr>
            <w:tcW w:w="9738" w:type="dxa"/>
            <w:shd w:val="clear" w:color="auto" w:fill="C1E7E0" w:themeFill="accent1" w:themeFillTint="66"/>
          </w:tcPr>
          <w:p w:rsidR="00945682" w:rsidRPr="00CB527B" w:rsidRDefault="00945682" w:rsidP="00A62314">
            <w:pPr>
              <w:pStyle w:val="Heading1"/>
              <w:spacing w:after="120" w:line="240" w:lineRule="auto"/>
              <w:contextualSpacing w:val="0"/>
              <w:rPr>
                <w:rFonts w:cstheme="majorHAnsi"/>
                <w:sz w:val="22"/>
                <w:szCs w:val="22"/>
              </w:rPr>
            </w:pPr>
            <w:bookmarkStart w:id="12" w:name="_Toc3296997"/>
            <w:r w:rsidRPr="00CB527B">
              <w:rPr>
                <w:rFonts w:cstheme="majorHAnsi"/>
                <w:sz w:val="22"/>
                <w:szCs w:val="22"/>
              </w:rPr>
              <w:t>D: INVESTMENT DESCRIPTION</w:t>
            </w:r>
            <w:bookmarkEnd w:id="12"/>
          </w:p>
        </w:tc>
      </w:tr>
    </w:tbl>
    <w:p w:rsidR="00945682" w:rsidRPr="00EB4FEE" w:rsidRDefault="00945682">
      <w:pPr>
        <w:rPr>
          <w:rFonts w:asciiTheme="majorHAnsi" w:hAnsiTheme="majorHAnsi"/>
        </w:rPr>
      </w:pPr>
    </w:p>
    <w:p w:rsidR="00EF7E46" w:rsidRPr="009B5EAF" w:rsidRDefault="00EF7E46">
      <w:pPr>
        <w:spacing w:before="0" w:after="120" w:line="240" w:lineRule="auto"/>
        <w:rPr>
          <w:rFonts w:asciiTheme="majorHAnsi" w:hAnsiTheme="majorHAnsi" w:cstheme="majorHAnsi"/>
          <w:color w:val="595959" w:themeColor="text1" w:themeTint="A6"/>
        </w:rPr>
      </w:pPr>
      <w:r w:rsidRPr="009B5EAF">
        <w:rPr>
          <w:rFonts w:asciiTheme="majorHAnsi" w:hAnsiTheme="majorHAnsi" w:cstheme="majorHAnsi"/>
          <w:color w:val="595959" w:themeColor="text1" w:themeTint="A6"/>
        </w:rPr>
        <w:t>G</w:t>
      </w:r>
      <w:r w:rsidR="00943272" w:rsidRPr="009B5EAF">
        <w:rPr>
          <w:rFonts w:asciiTheme="majorHAnsi" w:hAnsiTheme="majorHAnsi" w:cstheme="majorHAnsi"/>
          <w:color w:val="595959" w:themeColor="text1" w:themeTint="A6"/>
        </w:rPr>
        <w:t>o</w:t>
      </w:r>
      <w:r w:rsidRPr="009B5EAF">
        <w:rPr>
          <w:rFonts w:asciiTheme="majorHAnsi" w:hAnsiTheme="majorHAnsi" w:cstheme="majorHAnsi"/>
          <w:color w:val="595959" w:themeColor="text1" w:themeTint="A6"/>
        </w:rPr>
        <w:t>I stakeholders have indicated that they would welcome support in the form of technical assistance, innovation and piloting of new systems and approaches</w:t>
      </w:r>
      <w:r w:rsidR="00943272" w:rsidRPr="009B5EAF">
        <w:rPr>
          <w:rFonts w:asciiTheme="majorHAnsi" w:hAnsiTheme="majorHAnsi" w:cstheme="majorHAnsi"/>
          <w:color w:val="595959" w:themeColor="text1" w:themeTint="A6"/>
        </w:rPr>
        <w:t>,</w:t>
      </w:r>
      <w:r w:rsidRPr="009B5EAF">
        <w:rPr>
          <w:rFonts w:asciiTheme="majorHAnsi" w:hAnsiTheme="majorHAnsi" w:cstheme="majorHAnsi"/>
          <w:color w:val="595959" w:themeColor="text1" w:themeTint="A6"/>
        </w:rPr>
        <w:t xml:space="preserve"> and strengthening cross</w:t>
      </w:r>
      <w:r w:rsidR="00943272" w:rsidRPr="009B5EAF">
        <w:rPr>
          <w:rFonts w:asciiTheme="majorHAnsi" w:hAnsiTheme="majorHAnsi" w:cstheme="majorHAnsi"/>
          <w:color w:val="595959" w:themeColor="text1" w:themeTint="A6"/>
        </w:rPr>
        <w:t>-</w:t>
      </w:r>
      <w:r w:rsidRPr="009B5EAF">
        <w:rPr>
          <w:rFonts w:asciiTheme="majorHAnsi" w:hAnsiTheme="majorHAnsi" w:cstheme="majorHAnsi"/>
          <w:color w:val="595959" w:themeColor="text1" w:themeTint="A6"/>
        </w:rPr>
        <w:t>government coordination to improve their JEE scores and meet IHR commitments</w:t>
      </w:r>
      <w:r w:rsidR="00D4243C" w:rsidRPr="009B5EAF">
        <w:rPr>
          <w:rFonts w:asciiTheme="majorHAnsi" w:hAnsiTheme="majorHAnsi" w:cstheme="majorHAnsi"/>
          <w:color w:val="595959" w:themeColor="text1" w:themeTint="A6"/>
        </w:rPr>
        <w:t xml:space="preserve"> (in accordance with their upcoming </w:t>
      </w:r>
      <w:r w:rsidR="00943272" w:rsidRPr="009B5EAF">
        <w:rPr>
          <w:rFonts w:asciiTheme="majorHAnsi" w:hAnsiTheme="majorHAnsi" w:cstheme="majorHAnsi"/>
          <w:color w:val="595959" w:themeColor="text1" w:themeTint="A6"/>
        </w:rPr>
        <w:t>NAPHS</w:t>
      </w:r>
      <w:r w:rsidR="00D4243C" w:rsidRPr="009B5EAF">
        <w:rPr>
          <w:rFonts w:asciiTheme="majorHAnsi" w:hAnsiTheme="majorHAnsi" w:cstheme="majorHAnsi"/>
          <w:color w:val="595959" w:themeColor="text1" w:themeTint="A6"/>
        </w:rPr>
        <w:t>)</w:t>
      </w:r>
      <w:r w:rsidRPr="009B5EAF">
        <w:rPr>
          <w:rFonts w:asciiTheme="majorHAnsi" w:hAnsiTheme="majorHAnsi" w:cstheme="majorHAnsi"/>
          <w:color w:val="595959" w:themeColor="text1" w:themeTint="A6"/>
        </w:rPr>
        <w:t>, building on the foundation established by AIPEID</w:t>
      </w:r>
      <w:r w:rsidR="00D31E79">
        <w:rPr>
          <w:rFonts w:asciiTheme="majorHAnsi" w:hAnsiTheme="majorHAnsi" w:cstheme="majorHAnsi"/>
          <w:color w:val="595959" w:themeColor="text1" w:themeTint="A6"/>
        </w:rPr>
        <w:t>.</w:t>
      </w:r>
      <w:r w:rsidR="00C83B0C" w:rsidRPr="009B5EAF">
        <w:rPr>
          <w:rFonts w:asciiTheme="majorHAnsi" w:hAnsiTheme="majorHAnsi" w:cstheme="majorHAnsi"/>
          <w:color w:val="595959" w:themeColor="text1" w:themeTint="A6"/>
        </w:rPr>
        <w:t xml:space="preserve"> </w:t>
      </w:r>
    </w:p>
    <w:p w:rsidR="00F24285" w:rsidRPr="0043356C" w:rsidRDefault="00F24285" w:rsidP="00BF6C52">
      <w:pPr>
        <w:pStyle w:val="Heading2"/>
        <w:spacing w:after="120" w:line="240" w:lineRule="auto"/>
        <w:contextualSpacing w:val="0"/>
        <w:rPr>
          <w:rFonts w:cstheme="majorHAnsi"/>
          <w:sz w:val="22"/>
          <w:szCs w:val="22"/>
        </w:rPr>
      </w:pPr>
      <w:bookmarkStart w:id="13" w:name="_Toc3296998"/>
      <w:r w:rsidRPr="0043356C">
        <w:rPr>
          <w:rFonts w:cstheme="majorHAnsi"/>
          <w:sz w:val="22"/>
          <w:szCs w:val="22"/>
        </w:rPr>
        <w:t>Logic and Expected Outcomes</w:t>
      </w:r>
      <w:bookmarkEnd w:id="13"/>
    </w:p>
    <w:p w:rsidR="00456B44" w:rsidRPr="009B5EAF" w:rsidRDefault="008935AA">
      <w:pPr>
        <w:suppressAutoHyphens w:val="0"/>
        <w:spacing w:before="0" w:after="120" w:line="240" w:lineRule="auto"/>
        <w:rPr>
          <w:rFonts w:asciiTheme="majorHAnsi" w:hAnsiTheme="majorHAnsi" w:cstheme="majorHAnsi"/>
          <w:color w:val="595959" w:themeColor="text1" w:themeTint="A6"/>
          <w:lang w:val="en-AU"/>
        </w:rPr>
      </w:pPr>
      <w:r w:rsidRPr="009B5EAF">
        <w:rPr>
          <w:rFonts w:asciiTheme="majorHAnsi" w:hAnsiTheme="majorHAnsi" w:cstheme="majorHAnsi"/>
          <w:color w:val="595959" w:themeColor="text1" w:themeTint="A6"/>
          <w:lang w:val="en-AU"/>
        </w:rPr>
        <w:t xml:space="preserve">The program </w:t>
      </w:r>
      <w:r w:rsidR="00AD3138" w:rsidRPr="009B5EAF">
        <w:rPr>
          <w:rFonts w:asciiTheme="majorHAnsi" w:hAnsiTheme="majorHAnsi" w:cstheme="majorHAnsi"/>
          <w:color w:val="595959" w:themeColor="text1" w:themeTint="A6"/>
          <w:lang w:val="en-AU"/>
        </w:rPr>
        <w:t xml:space="preserve">responds to the </w:t>
      </w:r>
      <w:r w:rsidR="00456B44" w:rsidRPr="009B5EAF">
        <w:rPr>
          <w:rFonts w:asciiTheme="majorHAnsi" w:hAnsiTheme="majorHAnsi" w:cstheme="majorHAnsi"/>
          <w:color w:val="595959" w:themeColor="text1" w:themeTint="A6"/>
          <w:lang w:val="en-AU"/>
        </w:rPr>
        <w:t xml:space="preserve">2017 </w:t>
      </w:r>
      <w:r w:rsidR="00F24285" w:rsidRPr="009B5EAF">
        <w:rPr>
          <w:rFonts w:asciiTheme="majorHAnsi" w:hAnsiTheme="majorHAnsi" w:cstheme="majorHAnsi"/>
          <w:color w:val="595959" w:themeColor="text1" w:themeTint="A6"/>
          <w:lang w:val="en-AU"/>
        </w:rPr>
        <w:t>JEE</w:t>
      </w:r>
      <w:r w:rsidR="00456B44" w:rsidRPr="009B5EAF">
        <w:rPr>
          <w:rFonts w:asciiTheme="majorHAnsi" w:hAnsiTheme="majorHAnsi" w:cstheme="majorHAnsi"/>
          <w:color w:val="595959" w:themeColor="text1" w:themeTint="A6"/>
          <w:lang w:val="en-AU"/>
        </w:rPr>
        <w:t xml:space="preserve"> </w:t>
      </w:r>
      <w:r w:rsidR="00AD3138" w:rsidRPr="009B5EAF">
        <w:rPr>
          <w:rFonts w:asciiTheme="majorHAnsi" w:hAnsiTheme="majorHAnsi" w:cstheme="majorHAnsi"/>
          <w:color w:val="595959" w:themeColor="text1" w:themeTint="A6"/>
          <w:lang w:val="en-AU"/>
        </w:rPr>
        <w:t xml:space="preserve">of </w:t>
      </w:r>
      <w:r w:rsidR="00F24285" w:rsidRPr="009B5EAF">
        <w:rPr>
          <w:rFonts w:asciiTheme="majorHAnsi" w:hAnsiTheme="majorHAnsi" w:cstheme="majorHAnsi"/>
          <w:color w:val="595959" w:themeColor="text1" w:themeTint="A6"/>
          <w:lang w:val="en-AU"/>
        </w:rPr>
        <w:t>Indonesia’s capacity to meet the</w:t>
      </w:r>
      <w:r w:rsidR="00456B44" w:rsidRPr="009B5EAF">
        <w:rPr>
          <w:rFonts w:asciiTheme="majorHAnsi" w:hAnsiTheme="majorHAnsi" w:cstheme="majorHAnsi"/>
          <w:color w:val="595959" w:themeColor="text1" w:themeTint="A6"/>
          <w:lang w:val="en-AU"/>
        </w:rPr>
        <w:t xml:space="preserve"> requirements of the IHR</w:t>
      </w:r>
      <w:r w:rsidR="00F24285" w:rsidRPr="009B5EAF">
        <w:rPr>
          <w:rFonts w:asciiTheme="majorHAnsi" w:hAnsiTheme="majorHAnsi" w:cstheme="majorHAnsi"/>
          <w:color w:val="595959" w:themeColor="text1" w:themeTint="A6"/>
          <w:lang w:val="en-AU"/>
        </w:rPr>
        <w:t xml:space="preserve">, </w:t>
      </w:r>
      <w:r w:rsidR="00AD3138" w:rsidRPr="009B5EAF">
        <w:rPr>
          <w:rFonts w:asciiTheme="majorHAnsi" w:hAnsiTheme="majorHAnsi" w:cstheme="majorHAnsi"/>
          <w:color w:val="595959" w:themeColor="text1" w:themeTint="A6"/>
          <w:lang w:val="en-AU"/>
        </w:rPr>
        <w:t>and</w:t>
      </w:r>
      <w:r w:rsidR="00F24285" w:rsidRPr="009B5EAF">
        <w:rPr>
          <w:rFonts w:asciiTheme="majorHAnsi" w:hAnsiTheme="majorHAnsi" w:cstheme="majorHAnsi"/>
          <w:color w:val="595959" w:themeColor="text1" w:themeTint="A6"/>
          <w:lang w:val="en-AU"/>
        </w:rPr>
        <w:t xml:space="preserve"> will focus </w:t>
      </w:r>
      <w:r w:rsidR="00456B44" w:rsidRPr="009B5EAF">
        <w:rPr>
          <w:rFonts w:asciiTheme="majorHAnsi" w:hAnsiTheme="majorHAnsi" w:cstheme="majorHAnsi"/>
          <w:color w:val="595959" w:themeColor="text1" w:themeTint="A6"/>
          <w:lang w:val="en-AU"/>
        </w:rPr>
        <w:t>on support</w:t>
      </w:r>
      <w:r w:rsidR="00F24285" w:rsidRPr="009B5EAF">
        <w:rPr>
          <w:rFonts w:asciiTheme="majorHAnsi" w:hAnsiTheme="majorHAnsi" w:cstheme="majorHAnsi"/>
          <w:color w:val="595959" w:themeColor="text1" w:themeTint="A6"/>
          <w:lang w:val="en-AU"/>
        </w:rPr>
        <w:t xml:space="preserve"> </w:t>
      </w:r>
      <w:r w:rsidR="00456B44" w:rsidRPr="009B5EAF">
        <w:rPr>
          <w:rFonts w:asciiTheme="majorHAnsi" w:hAnsiTheme="majorHAnsi" w:cstheme="majorHAnsi"/>
          <w:color w:val="595959" w:themeColor="text1" w:themeTint="A6"/>
          <w:lang w:val="en-AU"/>
        </w:rPr>
        <w:t xml:space="preserve">to </w:t>
      </w:r>
      <w:r w:rsidR="00F24285" w:rsidRPr="009B5EAF">
        <w:rPr>
          <w:rFonts w:asciiTheme="majorHAnsi" w:hAnsiTheme="majorHAnsi" w:cstheme="majorHAnsi"/>
          <w:color w:val="595959" w:themeColor="text1" w:themeTint="A6"/>
          <w:lang w:val="en-AU"/>
        </w:rPr>
        <w:t>address the three main recommendations of the JEE</w:t>
      </w:r>
      <w:r w:rsidR="00456B44" w:rsidRPr="009B5EAF">
        <w:rPr>
          <w:rFonts w:asciiTheme="majorHAnsi" w:hAnsiTheme="majorHAnsi" w:cstheme="majorHAnsi"/>
          <w:color w:val="595959" w:themeColor="text1" w:themeTint="A6"/>
          <w:lang w:val="en-AU"/>
        </w:rPr>
        <w:t>: developing a National Action Plan, establishing a mechanism to coordinate health security work, and</w:t>
      </w:r>
      <w:r w:rsidR="00F24285" w:rsidRPr="009B5EAF">
        <w:rPr>
          <w:rFonts w:asciiTheme="majorHAnsi" w:hAnsiTheme="majorHAnsi" w:cstheme="majorHAnsi"/>
          <w:color w:val="595959" w:themeColor="text1" w:themeTint="A6"/>
          <w:lang w:val="en-AU"/>
        </w:rPr>
        <w:t xml:space="preserve"> </w:t>
      </w:r>
      <w:r w:rsidR="00456B44" w:rsidRPr="009B5EAF">
        <w:rPr>
          <w:rFonts w:asciiTheme="majorHAnsi" w:hAnsiTheme="majorHAnsi" w:cstheme="majorHAnsi"/>
          <w:color w:val="595959" w:themeColor="text1" w:themeTint="A6"/>
          <w:lang w:val="en-AU"/>
        </w:rPr>
        <w:t>improving decision-making structures.</w:t>
      </w:r>
    </w:p>
    <w:p w:rsidR="00F24285" w:rsidRPr="009B5EAF" w:rsidRDefault="00F24285">
      <w:pPr>
        <w:suppressAutoHyphens w:val="0"/>
        <w:spacing w:before="0" w:after="120" w:line="240" w:lineRule="auto"/>
        <w:rPr>
          <w:rFonts w:asciiTheme="majorHAnsi" w:hAnsiTheme="majorHAnsi" w:cstheme="majorHAnsi"/>
          <w:color w:val="595959" w:themeColor="text1" w:themeTint="A6"/>
          <w:lang w:val="en-AU"/>
        </w:rPr>
      </w:pPr>
      <w:r w:rsidRPr="009B5EAF">
        <w:rPr>
          <w:rFonts w:asciiTheme="majorHAnsi" w:hAnsiTheme="majorHAnsi" w:cstheme="majorHAnsi"/>
          <w:color w:val="595959" w:themeColor="text1" w:themeTint="A6"/>
          <w:lang w:val="en-AU"/>
        </w:rPr>
        <w:t xml:space="preserve">Australia is well positioned to </w:t>
      </w:r>
      <w:r w:rsidR="00AD3138" w:rsidRPr="009B5EAF">
        <w:rPr>
          <w:rFonts w:asciiTheme="majorHAnsi" w:hAnsiTheme="majorHAnsi" w:cstheme="majorHAnsi"/>
          <w:color w:val="595959" w:themeColor="text1" w:themeTint="A6"/>
          <w:lang w:val="en-AU"/>
        </w:rPr>
        <w:t xml:space="preserve">assist </w:t>
      </w:r>
      <w:r w:rsidRPr="009B5EAF">
        <w:rPr>
          <w:rFonts w:asciiTheme="majorHAnsi" w:hAnsiTheme="majorHAnsi" w:cstheme="majorHAnsi"/>
          <w:color w:val="595959" w:themeColor="text1" w:themeTint="A6"/>
          <w:lang w:val="en-AU"/>
        </w:rPr>
        <w:t xml:space="preserve">Indonesia </w:t>
      </w:r>
      <w:r w:rsidR="00456B44" w:rsidRPr="009B5EAF">
        <w:rPr>
          <w:rFonts w:asciiTheme="majorHAnsi" w:hAnsiTheme="majorHAnsi" w:cstheme="majorHAnsi"/>
          <w:color w:val="595959" w:themeColor="text1" w:themeTint="A6"/>
          <w:lang w:val="en-AU"/>
        </w:rPr>
        <w:t xml:space="preserve">to </w:t>
      </w:r>
      <w:r w:rsidRPr="009B5EAF">
        <w:rPr>
          <w:rFonts w:asciiTheme="majorHAnsi" w:hAnsiTheme="majorHAnsi" w:cstheme="majorHAnsi"/>
          <w:color w:val="595959" w:themeColor="text1" w:themeTint="A6"/>
          <w:lang w:val="en-AU"/>
        </w:rPr>
        <w:t xml:space="preserve">address the JEE recommendations, </w:t>
      </w:r>
      <w:r w:rsidR="00AD3138" w:rsidRPr="009B5EAF">
        <w:rPr>
          <w:rFonts w:asciiTheme="majorHAnsi" w:hAnsiTheme="majorHAnsi" w:cstheme="majorHAnsi"/>
          <w:color w:val="595959" w:themeColor="text1" w:themeTint="A6"/>
          <w:lang w:val="en-AU"/>
        </w:rPr>
        <w:t xml:space="preserve">building on a decade of experience in support to the areas of prevention, detection and response to EIDs, </w:t>
      </w:r>
      <w:r w:rsidRPr="009B5EAF">
        <w:rPr>
          <w:rFonts w:asciiTheme="majorHAnsi" w:hAnsiTheme="majorHAnsi" w:cstheme="majorHAnsi"/>
          <w:color w:val="595959" w:themeColor="text1" w:themeTint="A6"/>
          <w:lang w:val="en-AU"/>
        </w:rPr>
        <w:t>particularly in the areas of: policies and procedures for pandemic preparedness and response; cross-agency coordination; and disease surveillance</w:t>
      </w:r>
      <w:r w:rsidR="00D31E79">
        <w:rPr>
          <w:rFonts w:asciiTheme="majorHAnsi" w:hAnsiTheme="majorHAnsi" w:cstheme="majorHAnsi"/>
          <w:color w:val="595959" w:themeColor="text1" w:themeTint="A6"/>
          <w:lang w:val="en-AU"/>
        </w:rPr>
        <w:t xml:space="preserve">. </w:t>
      </w:r>
      <w:r w:rsidRPr="009B5EAF">
        <w:rPr>
          <w:rFonts w:asciiTheme="majorHAnsi" w:hAnsiTheme="majorHAnsi" w:cstheme="majorHAnsi"/>
          <w:color w:val="595959" w:themeColor="text1" w:themeTint="A6"/>
          <w:lang w:val="en-AU"/>
        </w:rPr>
        <w:t>The program will build on demonstrated success from the AIPEID in these three areas, while also taking lessons on board as the AIHSP improves and expands on this work</w:t>
      </w:r>
      <w:r w:rsidR="00D31E79">
        <w:rPr>
          <w:rFonts w:asciiTheme="majorHAnsi" w:hAnsiTheme="majorHAnsi" w:cstheme="majorHAnsi"/>
          <w:color w:val="595959" w:themeColor="text1" w:themeTint="A6"/>
          <w:lang w:val="en-AU"/>
        </w:rPr>
        <w:t xml:space="preserve">. </w:t>
      </w:r>
      <w:r w:rsidRPr="009B5EAF">
        <w:rPr>
          <w:rFonts w:asciiTheme="majorHAnsi" w:hAnsiTheme="majorHAnsi" w:cstheme="majorHAnsi"/>
          <w:color w:val="595959" w:themeColor="text1" w:themeTint="A6"/>
          <w:lang w:val="en-AU"/>
        </w:rPr>
        <w:t>AIHSP will work in close cooperation with other development partners, particularly WHO, USAID, CDC</w:t>
      </w:r>
      <w:r w:rsidR="005F2A43" w:rsidRPr="009B5EAF">
        <w:rPr>
          <w:rFonts w:asciiTheme="majorHAnsi" w:hAnsiTheme="majorHAnsi" w:cstheme="majorHAnsi"/>
          <w:color w:val="595959" w:themeColor="text1" w:themeTint="A6"/>
          <w:lang w:val="en-AU"/>
        </w:rPr>
        <w:t xml:space="preserve"> </w:t>
      </w:r>
      <w:r w:rsidRPr="009B5EAF">
        <w:rPr>
          <w:rFonts w:asciiTheme="majorHAnsi" w:hAnsiTheme="majorHAnsi" w:cstheme="majorHAnsi"/>
          <w:color w:val="595959" w:themeColor="text1" w:themeTint="A6"/>
          <w:lang w:val="en-AU"/>
        </w:rPr>
        <w:t>and the FAO</w:t>
      </w:r>
      <w:r w:rsidR="00352A08">
        <w:rPr>
          <w:rFonts w:asciiTheme="majorHAnsi" w:hAnsiTheme="majorHAnsi" w:cstheme="majorHAnsi"/>
          <w:color w:val="595959" w:themeColor="text1" w:themeTint="A6"/>
          <w:lang w:val="en-AU"/>
        </w:rPr>
        <w:t>.</w:t>
      </w:r>
    </w:p>
    <w:p w:rsidR="00F24285" w:rsidRDefault="00AD3138">
      <w:pPr>
        <w:suppressAutoHyphens w:val="0"/>
        <w:spacing w:before="0" w:after="120" w:line="240" w:lineRule="auto"/>
        <w:rPr>
          <w:rFonts w:asciiTheme="majorHAnsi" w:hAnsiTheme="majorHAnsi" w:cstheme="majorHAnsi"/>
          <w:color w:val="595959" w:themeColor="text1" w:themeTint="A6"/>
          <w:lang w:val="en-AU"/>
        </w:rPr>
      </w:pPr>
      <w:r w:rsidRPr="009B5EAF">
        <w:rPr>
          <w:rFonts w:asciiTheme="majorHAnsi" w:hAnsiTheme="majorHAnsi" w:cstheme="majorHAnsi"/>
          <w:color w:val="595959" w:themeColor="text1" w:themeTint="A6"/>
          <w:lang w:val="en-AU"/>
        </w:rPr>
        <w:t xml:space="preserve">Program activities </w:t>
      </w:r>
      <w:r w:rsidR="00F24285" w:rsidRPr="009B5EAF">
        <w:rPr>
          <w:rFonts w:asciiTheme="majorHAnsi" w:hAnsiTheme="majorHAnsi" w:cstheme="majorHAnsi"/>
          <w:color w:val="595959" w:themeColor="text1" w:themeTint="A6"/>
          <w:lang w:val="en-AU"/>
        </w:rPr>
        <w:t xml:space="preserve">will be </w:t>
      </w:r>
      <w:r w:rsidRPr="009B5EAF">
        <w:rPr>
          <w:rFonts w:asciiTheme="majorHAnsi" w:hAnsiTheme="majorHAnsi" w:cstheme="majorHAnsi"/>
          <w:color w:val="595959" w:themeColor="text1" w:themeTint="A6"/>
          <w:lang w:val="en-AU"/>
        </w:rPr>
        <w:t>align</w:t>
      </w:r>
      <w:r w:rsidR="00D27F31" w:rsidRPr="009B5EAF">
        <w:rPr>
          <w:rFonts w:asciiTheme="majorHAnsi" w:hAnsiTheme="majorHAnsi" w:cstheme="majorHAnsi"/>
          <w:color w:val="595959" w:themeColor="text1" w:themeTint="A6"/>
          <w:lang w:val="en-AU"/>
        </w:rPr>
        <w:t>ed</w:t>
      </w:r>
      <w:r w:rsidR="00F24285" w:rsidRPr="009B5EAF">
        <w:rPr>
          <w:rFonts w:asciiTheme="majorHAnsi" w:hAnsiTheme="majorHAnsi" w:cstheme="majorHAnsi"/>
          <w:color w:val="595959" w:themeColor="text1" w:themeTint="A6"/>
          <w:lang w:val="en-AU"/>
        </w:rPr>
        <w:t xml:space="preserve"> with the GoI’s multi-sectoral NAPHS</w:t>
      </w:r>
      <w:r w:rsidR="00DB019E" w:rsidRPr="009B5EAF">
        <w:rPr>
          <w:rFonts w:asciiTheme="majorHAnsi" w:hAnsiTheme="majorHAnsi" w:cstheme="majorHAnsi"/>
          <w:color w:val="595959" w:themeColor="text1" w:themeTint="A6"/>
          <w:lang w:val="en-AU"/>
        </w:rPr>
        <w:t xml:space="preserve">, </w:t>
      </w:r>
      <w:r w:rsidR="00F24285" w:rsidRPr="009B5EAF">
        <w:rPr>
          <w:rFonts w:asciiTheme="majorHAnsi" w:hAnsiTheme="majorHAnsi" w:cstheme="majorHAnsi"/>
          <w:color w:val="595959" w:themeColor="text1" w:themeTint="A6"/>
          <w:lang w:val="en-AU"/>
        </w:rPr>
        <w:t>currently being developed, which maps out the needed improvements (or maintenance) in the 19 JEE technical areas</w:t>
      </w:r>
      <w:r w:rsidR="00D31E79">
        <w:rPr>
          <w:rFonts w:asciiTheme="majorHAnsi" w:hAnsiTheme="majorHAnsi" w:cstheme="majorHAnsi"/>
          <w:color w:val="595959" w:themeColor="text1" w:themeTint="A6"/>
          <w:lang w:val="en-AU"/>
        </w:rPr>
        <w:t xml:space="preserve">. </w:t>
      </w:r>
      <w:r w:rsidR="00DB019E" w:rsidRPr="009B5EAF">
        <w:rPr>
          <w:rFonts w:asciiTheme="majorHAnsi" w:hAnsiTheme="majorHAnsi" w:cstheme="majorHAnsi"/>
          <w:color w:val="595959" w:themeColor="text1" w:themeTint="A6"/>
          <w:lang w:val="en-AU"/>
        </w:rPr>
        <w:t>T</w:t>
      </w:r>
      <w:r w:rsidR="00F24285" w:rsidRPr="009B5EAF">
        <w:rPr>
          <w:rFonts w:asciiTheme="majorHAnsi" w:hAnsiTheme="majorHAnsi" w:cstheme="majorHAnsi"/>
          <w:color w:val="595959" w:themeColor="text1" w:themeTint="A6"/>
          <w:lang w:val="en-AU"/>
        </w:rPr>
        <w:t xml:space="preserve">he program’s </w:t>
      </w:r>
      <w:r w:rsidR="00051312" w:rsidRPr="009B5EAF">
        <w:rPr>
          <w:rFonts w:asciiTheme="majorHAnsi" w:hAnsiTheme="majorHAnsi" w:cstheme="majorHAnsi"/>
          <w:color w:val="595959" w:themeColor="text1" w:themeTint="A6"/>
          <w:lang w:val="en-AU"/>
        </w:rPr>
        <w:t>M&amp;E</w:t>
      </w:r>
      <w:r w:rsidR="00F24285" w:rsidRPr="009B5EAF">
        <w:rPr>
          <w:rFonts w:asciiTheme="majorHAnsi" w:hAnsiTheme="majorHAnsi" w:cstheme="majorHAnsi"/>
          <w:color w:val="595959" w:themeColor="text1" w:themeTint="A6"/>
          <w:lang w:val="en-AU"/>
        </w:rPr>
        <w:t xml:space="preserve"> process</w:t>
      </w:r>
      <w:r w:rsidR="00DB019E" w:rsidRPr="009B5EAF">
        <w:rPr>
          <w:rFonts w:asciiTheme="majorHAnsi" w:hAnsiTheme="majorHAnsi" w:cstheme="majorHAnsi"/>
          <w:color w:val="595959" w:themeColor="text1" w:themeTint="A6"/>
          <w:lang w:val="en-AU"/>
        </w:rPr>
        <w:t xml:space="preserve"> will</w:t>
      </w:r>
      <w:r w:rsidR="00F24285" w:rsidRPr="009B5EAF">
        <w:rPr>
          <w:rFonts w:asciiTheme="majorHAnsi" w:hAnsiTheme="majorHAnsi" w:cstheme="majorHAnsi"/>
          <w:color w:val="595959" w:themeColor="text1" w:themeTint="A6"/>
          <w:lang w:val="en-AU"/>
        </w:rPr>
        <w:t xml:space="preserve"> contribute </w:t>
      </w:r>
      <w:r w:rsidR="00DB019E" w:rsidRPr="009B5EAF">
        <w:rPr>
          <w:rFonts w:asciiTheme="majorHAnsi" w:hAnsiTheme="majorHAnsi" w:cstheme="majorHAnsi"/>
          <w:color w:val="595959" w:themeColor="text1" w:themeTint="A6"/>
          <w:lang w:val="en-AU"/>
        </w:rPr>
        <w:t>to</w:t>
      </w:r>
      <w:r w:rsidR="00F24285" w:rsidRPr="009B5EAF">
        <w:rPr>
          <w:rFonts w:asciiTheme="majorHAnsi" w:hAnsiTheme="majorHAnsi" w:cstheme="majorHAnsi"/>
          <w:color w:val="595959" w:themeColor="text1" w:themeTint="A6"/>
          <w:lang w:val="en-AU"/>
        </w:rPr>
        <w:t xml:space="preserve"> measuring progress (in relevant areas) of the implementation of the NAPHS.</w:t>
      </w:r>
    </w:p>
    <w:p w:rsidR="00906511" w:rsidRPr="0043356C" w:rsidRDefault="00906511" w:rsidP="00906511">
      <w:pPr>
        <w:pStyle w:val="Heading3"/>
        <w:spacing w:before="0" w:after="120" w:line="240" w:lineRule="auto"/>
        <w:contextualSpacing w:val="0"/>
        <w:rPr>
          <w:rFonts w:cstheme="majorHAnsi"/>
          <w:szCs w:val="22"/>
          <w:lang w:val="en-AU"/>
        </w:rPr>
      </w:pPr>
      <w:bookmarkStart w:id="14" w:name="_Toc3296999"/>
      <w:r w:rsidRPr="0043356C">
        <w:rPr>
          <w:rFonts w:cstheme="majorHAnsi"/>
          <w:szCs w:val="22"/>
          <w:lang w:val="en-AU"/>
        </w:rPr>
        <w:t xml:space="preserve">Program Goal and </w:t>
      </w:r>
      <w:r>
        <w:rPr>
          <w:rFonts w:cstheme="majorHAnsi"/>
          <w:szCs w:val="22"/>
          <w:lang w:val="en-AU"/>
        </w:rPr>
        <w:t>End of Program</w:t>
      </w:r>
      <w:r w:rsidRPr="0043356C">
        <w:rPr>
          <w:rFonts w:cstheme="majorHAnsi"/>
          <w:szCs w:val="22"/>
          <w:lang w:val="en-AU"/>
        </w:rPr>
        <w:t xml:space="preserve"> Outcomes</w:t>
      </w:r>
      <w:bookmarkEnd w:id="14"/>
      <w:r w:rsidRPr="0043356C">
        <w:rPr>
          <w:rFonts w:cstheme="majorHAnsi"/>
          <w:szCs w:val="22"/>
          <w:lang w:val="en-AU"/>
        </w:rPr>
        <w:t xml:space="preserve"> </w:t>
      </w:r>
    </w:p>
    <w:p w:rsidR="00906511" w:rsidRDefault="00906511" w:rsidP="00906511">
      <w:pPr>
        <w:spacing w:before="0" w:after="120" w:line="240" w:lineRule="auto"/>
        <w:rPr>
          <w:rFonts w:asciiTheme="majorHAnsi" w:hAnsiTheme="majorHAnsi" w:cstheme="majorHAnsi"/>
          <w:color w:val="595959" w:themeColor="text1" w:themeTint="A6"/>
          <w:lang w:val="en-AU"/>
        </w:rPr>
      </w:pPr>
      <w:r w:rsidRPr="00A11F64">
        <w:rPr>
          <w:rFonts w:asciiTheme="majorHAnsi" w:hAnsiTheme="majorHAnsi" w:cstheme="majorHAnsi"/>
          <w:color w:val="595959" w:themeColor="text1" w:themeTint="A6"/>
          <w:lang w:val="en-AU"/>
        </w:rPr>
        <w:t xml:space="preserve">The goal of the </w:t>
      </w:r>
      <w:r>
        <w:rPr>
          <w:rFonts w:asciiTheme="majorHAnsi" w:hAnsiTheme="majorHAnsi" w:cstheme="majorHAnsi"/>
          <w:color w:val="595959" w:themeColor="text1" w:themeTint="A6"/>
          <w:lang w:val="en-AU"/>
        </w:rPr>
        <w:t>AIHSP</w:t>
      </w:r>
      <w:r w:rsidRPr="00A11F64">
        <w:rPr>
          <w:rFonts w:asciiTheme="majorHAnsi" w:hAnsiTheme="majorHAnsi" w:cstheme="majorHAnsi"/>
          <w:color w:val="595959" w:themeColor="text1" w:themeTint="A6"/>
          <w:lang w:val="en-AU"/>
        </w:rPr>
        <w:t xml:space="preserve"> is to increase national health security in Indonesia </w:t>
      </w:r>
      <w:r>
        <w:rPr>
          <w:rFonts w:asciiTheme="majorHAnsi" w:hAnsiTheme="majorHAnsi" w:cstheme="majorHAnsi"/>
          <w:color w:val="595959" w:themeColor="text1" w:themeTint="A6"/>
          <w:lang w:val="en-AU"/>
        </w:rPr>
        <w:t>so that</w:t>
      </w:r>
      <w:r w:rsidRPr="00A11F64">
        <w:rPr>
          <w:rFonts w:asciiTheme="majorHAnsi" w:hAnsiTheme="majorHAnsi" w:cstheme="majorHAnsi"/>
          <w:color w:val="595959" w:themeColor="text1" w:themeTint="A6"/>
          <w:lang w:val="en-AU"/>
        </w:rPr>
        <w:t xml:space="preserve"> women, men and communities are less at risk from EIDs/zoonoses, thereby contributing to Australian, regional and global health security, as well as supporting sustainable </w:t>
      </w:r>
      <w:r>
        <w:rPr>
          <w:rFonts w:asciiTheme="majorHAnsi" w:hAnsiTheme="majorHAnsi" w:cstheme="majorHAnsi"/>
          <w:color w:val="595959" w:themeColor="text1" w:themeTint="A6"/>
          <w:lang w:val="en-AU"/>
        </w:rPr>
        <w:t xml:space="preserve">economic </w:t>
      </w:r>
      <w:r w:rsidRPr="00A11F64">
        <w:rPr>
          <w:rFonts w:asciiTheme="majorHAnsi" w:hAnsiTheme="majorHAnsi" w:cstheme="majorHAnsi"/>
          <w:color w:val="595959" w:themeColor="text1" w:themeTint="A6"/>
          <w:lang w:val="en-AU"/>
        </w:rPr>
        <w:t>development and food security in Indonesia.</w:t>
      </w:r>
      <w:r>
        <w:rPr>
          <w:rFonts w:asciiTheme="majorHAnsi" w:hAnsiTheme="majorHAnsi" w:cstheme="majorHAnsi"/>
          <w:color w:val="595959" w:themeColor="text1" w:themeTint="A6"/>
          <w:lang w:val="en-AU"/>
        </w:rPr>
        <w:t xml:space="preserve"> </w:t>
      </w:r>
    </w:p>
    <w:p w:rsidR="00906511" w:rsidRPr="009B5EAF" w:rsidRDefault="00906511" w:rsidP="00906511">
      <w:pPr>
        <w:spacing w:before="0" w:after="120" w:line="240" w:lineRule="auto"/>
        <w:rPr>
          <w:rFonts w:asciiTheme="majorHAnsi" w:hAnsiTheme="majorHAnsi" w:cstheme="majorHAnsi"/>
          <w:color w:val="595959" w:themeColor="text1" w:themeTint="A6"/>
          <w:lang w:val="en-AU"/>
        </w:rPr>
      </w:pPr>
      <w:r>
        <w:rPr>
          <w:rFonts w:asciiTheme="majorHAnsi" w:hAnsiTheme="majorHAnsi" w:cstheme="majorHAnsi"/>
          <w:color w:val="595959" w:themeColor="text1" w:themeTint="A6"/>
          <w:lang w:val="en-AU"/>
        </w:rPr>
        <w:t>By the end of the program in 2024 it is expected that the AIHSP would have supported a) the GoI to build stronger systems to prevent, detect and respond to public health and animal emergencies from EIDs/zoonoses, and b) stronger national coordination of responses to national, regional and global health threats.</w:t>
      </w:r>
    </w:p>
    <w:p w:rsidR="00906511" w:rsidRPr="0043356C" w:rsidRDefault="00906511" w:rsidP="00906511">
      <w:pPr>
        <w:pStyle w:val="Heading3"/>
        <w:spacing w:before="0" w:after="120" w:line="240" w:lineRule="auto"/>
        <w:contextualSpacing w:val="0"/>
        <w:rPr>
          <w:rFonts w:cstheme="majorHAnsi"/>
          <w:szCs w:val="22"/>
        </w:rPr>
      </w:pPr>
      <w:bookmarkStart w:id="15" w:name="_Toc3297000"/>
      <w:r w:rsidRPr="0043356C">
        <w:rPr>
          <w:rFonts w:cstheme="majorHAnsi"/>
          <w:szCs w:val="22"/>
        </w:rPr>
        <w:t>Intermediate Outcomes</w:t>
      </w:r>
      <w:bookmarkEnd w:id="15"/>
    </w:p>
    <w:p w:rsidR="00906511" w:rsidRPr="009B5EAF" w:rsidRDefault="00906511" w:rsidP="00906511">
      <w:pPr>
        <w:suppressAutoHyphens w:val="0"/>
        <w:spacing w:before="0" w:after="120" w:line="240" w:lineRule="auto"/>
        <w:rPr>
          <w:rFonts w:asciiTheme="majorHAnsi" w:hAnsiTheme="majorHAnsi" w:cstheme="majorHAnsi"/>
          <w:color w:val="595959" w:themeColor="text1" w:themeTint="A6"/>
          <w:lang w:val="en-AU"/>
        </w:rPr>
      </w:pPr>
      <w:r w:rsidRPr="009B5EAF">
        <w:rPr>
          <w:rFonts w:asciiTheme="majorHAnsi" w:hAnsiTheme="majorHAnsi" w:cstheme="majorHAnsi"/>
          <w:color w:val="595959" w:themeColor="text1" w:themeTint="A6"/>
          <w:lang w:val="en-AU"/>
        </w:rPr>
        <w:t xml:space="preserve">To achieve these </w:t>
      </w:r>
      <w:r>
        <w:rPr>
          <w:rFonts w:asciiTheme="majorHAnsi" w:hAnsiTheme="majorHAnsi" w:cstheme="majorHAnsi"/>
          <w:color w:val="595959" w:themeColor="text1" w:themeTint="A6"/>
          <w:lang w:val="en-AU"/>
        </w:rPr>
        <w:t xml:space="preserve">end of program </w:t>
      </w:r>
      <w:r w:rsidRPr="009B5EAF">
        <w:rPr>
          <w:rFonts w:asciiTheme="majorHAnsi" w:hAnsiTheme="majorHAnsi" w:cstheme="majorHAnsi"/>
          <w:color w:val="595959" w:themeColor="text1" w:themeTint="A6"/>
          <w:lang w:val="en-AU"/>
        </w:rPr>
        <w:t>outcomes, three intermediate outcomes have been identified which align with GoI priorities as outlined in Indonesia’s key health security documents, namely the NAPHS, JEE and the PVS.</w:t>
      </w:r>
      <w:r>
        <w:rPr>
          <w:rFonts w:asciiTheme="majorHAnsi" w:hAnsiTheme="majorHAnsi" w:cstheme="majorHAnsi"/>
          <w:color w:val="595959" w:themeColor="text1" w:themeTint="A6"/>
          <w:lang w:val="en-AU"/>
        </w:rPr>
        <w:t xml:space="preserve"> Progress towards these outcomes should be demonstrated by around 2022, to guide activities for the remainder of the program.</w:t>
      </w:r>
    </w:p>
    <w:p w:rsidR="00906511" w:rsidRPr="009B5EAF" w:rsidRDefault="00906511" w:rsidP="00906511">
      <w:pPr>
        <w:spacing w:before="0" w:after="120" w:line="240" w:lineRule="auto"/>
        <w:rPr>
          <w:rFonts w:asciiTheme="majorHAnsi" w:eastAsia="Calibri" w:hAnsiTheme="majorHAnsi" w:cstheme="majorHAnsi"/>
          <w:color w:val="595959" w:themeColor="text1" w:themeTint="A6"/>
          <w:lang w:val="en-AU"/>
        </w:rPr>
      </w:pPr>
      <w:r w:rsidRPr="009B5EAF">
        <w:rPr>
          <w:rFonts w:asciiTheme="majorHAnsi" w:eastAsia="Calibri" w:hAnsiTheme="majorHAnsi" w:cstheme="majorHAnsi"/>
          <w:color w:val="595959" w:themeColor="text1" w:themeTint="A6"/>
          <w:lang w:val="en-AU"/>
        </w:rPr>
        <w:t>The intermediate outcomes focus on: improved policies and procedures, cross ministerial coordination and information sharing, and the efficiency and effectiveness of animal and human health surveillance systems.</w:t>
      </w:r>
    </w:p>
    <w:p w:rsidR="00906511" w:rsidRPr="009B5EAF" w:rsidRDefault="00906511" w:rsidP="00906511">
      <w:pPr>
        <w:spacing w:before="0" w:after="120" w:line="240" w:lineRule="auto"/>
        <w:rPr>
          <w:rFonts w:asciiTheme="majorHAnsi" w:eastAsia="Calibri" w:hAnsiTheme="majorHAnsi" w:cstheme="majorHAnsi"/>
          <w:color w:val="595959" w:themeColor="text1" w:themeTint="A6"/>
          <w:lang w:val="en-AU"/>
        </w:rPr>
      </w:pPr>
      <w:r w:rsidRPr="009B5EAF">
        <w:rPr>
          <w:rFonts w:asciiTheme="majorHAnsi" w:eastAsia="Calibri" w:hAnsiTheme="majorHAnsi" w:cstheme="majorHAnsi"/>
          <w:color w:val="595959" w:themeColor="text1" w:themeTint="A6"/>
          <w:lang w:val="en-AU"/>
        </w:rPr>
        <w:t>These outcomes have been selected because they: are essential to achieving the overarching goal; represent areas of mutual interest for Indonesia and Australia; and reflect priority areas identified in recent reviews and studies, including: the AIPEID Review (Jun 2017); the DFAT Office of Development Effectiveness evaluation of Australia’s pandemic and EID support (Aug 2017); the OIE PVS; the JEE (Nov 2017); and a DFAT program scoping mission (Apr 2018) and DFAT/GoI workshop in Jakarta (Aug 2018).</w:t>
      </w:r>
    </w:p>
    <w:p w:rsidR="00906511" w:rsidRPr="0043356C" w:rsidRDefault="00906511" w:rsidP="00906511">
      <w:pPr>
        <w:pStyle w:val="Heading3"/>
        <w:spacing w:before="0" w:after="120" w:line="240" w:lineRule="auto"/>
        <w:contextualSpacing w:val="0"/>
        <w:rPr>
          <w:rFonts w:eastAsia="Calibri" w:cstheme="majorHAnsi"/>
          <w:szCs w:val="22"/>
          <w:lang w:val="en-AU"/>
        </w:rPr>
      </w:pPr>
      <w:bookmarkStart w:id="16" w:name="_Toc3297001"/>
      <w:r w:rsidRPr="0043356C">
        <w:rPr>
          <w:rFonts w:eastAsia="Calibri" w:cstheme="majorHAnsi"/>
          <w:szCs w:val="22"/>
          <w:lang w:val="en-AU"/>
        </w:rPr>
        <w:t>Indicative Areas of Investment</w:t>
      </w:r>
      <w:bookmarkEnd w:id="16"/>
    </w:p>
    <w:p w:rsidR="00906511" w:rsidRPr="009B5EAF" w:rsidRDefault="00906511" w:rsidP="00906511">
      <w:pPr>
        <w:spacing w:before="0" w:after="120" w:line="240" w:lineRule="auto"/>
        <w:rPr>
          <w:rFonts w:asciiTheme="majorHAnsi" w:eastAsia="Calibri" w:hAnsiTheme="majorHAnsi" w:cstheme="majorHAnsi"/>
          <w:color w:val="595959" w:themeColor="text1" w:themeTint="A6"/>
          <w:lang w:val="en-AU"/>
        </w:rPr>
      </w:pPr>
      <w:r w:rsidRPr="009B5EAF">
        <w:rPr>
          <w:rFonts w:asciiTheme="majorHAnsi" w:eastAsia="Calibri" w:hAnsiTheme="majorHAnsi" w:cstheme="majorHAnsi"/>
          <w:color w:val="595959" w:themeColor="text1" w:themeTint="A6"/>
          <w:lang w:val="en-AU"/>
        </w:rPr>
        <w:t>Indicative areas of investment have been identified to achieve these outcomes. These align with the areas that Indonesia needs to further develop as highlighted in the J</w:t>
      </w:r>
      <w:r w:rsidR="00B56440">
        <w:rPr>
          <w:rFonts w:asciiTheme="majorHAnsi" w:eastAsia="Calibri" w:hAnsiTheme="majorHAnsi" w:cstheme="majorHAnsi"/>
          <w:color w:val="595959" w:themeColor="text1" w:themeTint="A6"/>
          <w:lang w:val="en-AU"/>
        </w:rPr>
        <w:t>EE (and as summarised in Figure</w:t>
      </w:r>
      <w:r w:rsidRPr="009B5EAF">
        <w:rPr>
          <w:rFonts w:asciiTheme="majorHAnsi" w:eastAsia="Calibri" w:hAnsiTheme="majorHAnsi" w:cstheme="majorHAnsi"/>
          <w:color w:val="595959" w:themeColor="text1" w:themeTint="A6"/>
          <w:lang w:val="en-AU"/>
        </w:rPr>
        <w:t xml:space="preserve"> 1). All activities carried out under the program will link to one or more of these areas of investment, will meet the investment criteria/guiding principles as set out in Table </w:t>
      </w:r>
      <w:r>
        <w:rPr>
          <w:rFonts w:asciiTheme="majorHAnsi" w:eastAsia="Calibri" w:hAnsiTheme="majorHAnsi" w:cstheme="majorHAnsi"/>
          <w:color w:val="595959" w:themeColor="text1" w:themeTint="A6"/>
          <w:lang w:val="en-AU"/>
        </w:rPr>
        <w:t>3</w:t>
      </w:r>
      <w:r w:rsidRPr="009B5EAF">
        <w:rPr>
          <w:rFonts w:asciiTheme="majorHAnsi" w:eastAsia="Calibri" w:hAnsiTheme="majorHAnsi" w:cstheme="majorHAnsi"/>
          <w:color w:val="595959" w:themeColor="text1" w:themeTint="A6"/>
          <w:lang w:val="en-AU"/>
        </w:rPr>
        <w:t xml:space="preserve"> (below), and will be agreed upon by the PCC on an annual basis. </w:t>
      </w:r>
    </w:p>
    <w:p w:rsidR="00906511" w:rsidRPr="009B5EAF" w:rsidRDefault="00906511" w:rsidP="00906511">
      <w:pPr>
        <w:spacing w:before="0" w:after="120" w:line="240" w:lineRule="auto"/>
        <w:rPr>
          <w:rFonts w:asciiTheme="majorHAnsi" w:eastAsia="Calibri" w:hAnsiTheme="majorHAnsi" w:cstheme="majorHAnsi"/>
          <w:color w:val="595959" w:themeColor="text1" w:themeTint="A6"/>
          <w:lang w:val="en-AU"/>
        </w:rPr>
      </w:pPr>
      <w:r w:rsidRPr="009B5EAF">
        <w:rPr>
          <w:rFonts w:asciiTheme="majorHAnsi" w:eastAsia="Calibri" w:hAnsiTheme="majorHAnsi" w:cstheme="majorHAnsi"/>
          <w:color w:val="595959" w:themeColor="text1" w:themeTint="A6"/>
          <w:lang w:val="en-AU"/>
        </w:rPr>
        <w:t>The investment areas are:</w:t>
      </w:r>
    </w:p>
    <w:p w:rsidR="00906511" w:rsidRPr="00356B3E" w:rsidRDefault="00906511" w:rsidP="00906511">
      <w:pPr>
        <w:pStyle w:val="ListParagraph"/>
        <w:numPr>
          <w:ilvl w:val="0"/>
          <w:numId w:val="91"/>
        </w:numPr>
        <w:spacing w:after="120" w:line="240" w:lineRule="auto"/>
        <w:rPr>
          <w:rFonts w:asciiTheme="majorHAnsi" w:hAnsiTheme="majorHAnsi" w:cstheme="majorHAnsi"/>
          <w:color w:val="595959" w:themeColor="text1" w:themeTint="A6"/>
          <w:lang w:val="en-AU"/>
        </w:rPr>
      </w:pPr>
      <w:r w:rsidRPr="00356B3E">
        <w:rPr>
          <w:rFonts w:asciiTheme="majorHAnsi" w:hAnsiTheme="majorHAnsi" w:cstheme="majorHAnsi"/>
          <w:color w:val="595959" w:themeColor="text1" w:themeTint="A6"/>
          <w:lang w:val="en-AU"/>
        </w:rPr>
        <w:t xml:space="preserve">POLICY - Policies and procedures for health emergencies and cross-ministry coordination; </w:t>
      </w:r>
    </w:p>
    <w:p w:rsidR="00906511" w:rsidRPr="00356B3E" w:rsidRDefault="00906511" w:rsidP="00906511">
      <w:pPr>
        <w:pStyle w:val="ListParagraph"/>
        <w:numPr>
          <w:ilvl w:val="0"/>
          <w:numId w:val="91"/>
        </w:numPr>
        <w:spacing w:after="120" w:line="240" w:lineRule="auto"/>
        <w:rPr>
          <w:rFonts w:asciiTheme="majorHAnsi" w:hAnsiTheme="majorHAnsi" w:cstheme="majorHAnsi"/>
          <w:color w:val="595959" w:themeColor="text1" w:themeTint="A6"/>
          <w:lang w:val="en-AU"/>
        </w:rPr>
      </w:pPr>
      <w:r w:rsidRPr="00356B3E">
        <w:rPr>
          <w:rFonts w:asciiTheme="majorHAnsi" w:hAnsiTheme="majorHAnsi" w:cstheme="majorHAnsi"/>
          <w:color w:val="595959" w:themeColor="text1" w:themeTint="A6"/>
          <w:lang w:val="en-AU"/>
        </w:rPr>
        <w:t>COMMUNITIES - Subnational health security preparedness and response policies, procedures and coordination mechanisms;</w:t>
      </w:r>
    </w:p>
    <w:p w:rsidR="00906511" w:rsidRPr="00356B3E" w:rsidRDefault="00906511" w:rsidP="00906511">
      <w:pPr>
        <w:pStyle w:val="ListParagraph"/>
        <w:numPr>
          <w:ilvl w:val="0"/>
          <w:numId w:val="91"/>
        </w:numPr>
        <w:spacing w:after="120" w:line="240" w:lineRule="auto"/>
        <w:rPr>
          <w:rFonts w:asciiTheme="majorHAnsi" w:hAnsiTheme="majorHAnsi" w:cstheme="majorHAnsi"/>
          <w:color w:val="595959" w:themeColor="text1" w:themeTint="A6"/>
          <w:lang w:val="en-AU"/>
        </w:rPr>
      </w:pPr>
      <w:r w:rsidRPr="00356B3E">
        <w:rPr>
          <w:rFonts w:asciiTheme="majorHAnsi" w:hAnsiTheme="majorHAnsi" w:cstheme="majorHAnsi"/>
          <w:color w:val="595959" w:themeColor="text1" w:themeTint="A6"/>
          <w:lang w:val="en-AU"/>
        </w:rPr>
        <w:t xml:space="preserve">INFORMATION - Disease surveillance systems and information systems; </w:t>
      </w:r>
    </w:p>
    <w:p w:rsidR="00906511" w:rsidRPr="00356B3E" w:rsidRDefault="00906511" w:rsidP="00906511">
      <w:pPr>
        <w:pStyle w:val="ListParagraph"/>
        <w:numPr>
          <w:ilvl w:val="0"/>
          <w:numId w:val="91"/>
        </w:numPr>
        <w:spacing w:after="120" w:line="240" w:lineRule="auto"/>
        <w:rPr>
          <w:rFonts w:asciiTheme="majorHAnsi" w:hAnsiTheme="majorHAnsi" w:cstheme="majorHAnsi"/>
          <w:color w:val="595959" w:themeColor="text1" w:themeTint="A6"/>
          <w:lang w:val="en-AU"/>
        </w:rPr>
      </w:pPr>
      <w:r w:rsidRPr="00356B3E">
        <w:rPr>
          <w:rFonts w:asciiTheme="majorHAnsi" w:hAnsiTheme="majorHAnsi" w:cstheme="majorHAnsi"/>
          <w:color w:val="595959" w:themeColor="text1" w:themeTint="A6"/>
          <w:lang w:val="en-AU"/>
        </w:rPr>
        <w:t>FACILITIES - Improved laboratory capacity for detection of EIDs/zoonoses;</w:t>
      </w:r>
    </w:p>
    <w:p w:rsidR="00906511" w:rsidRPr="00356B3E" w:rsidRDefault="00906511" w:rsidP="00906511">
      <w:pPr>
        <w:pStyle w:val="ListParagraph"/>
        <w:numPr>
          <w:ilvl w:val="0"/>
          <w:numId w:val="91"/>
        </w:numPr>
        <w:spacing w:after="120" w:line="240" w:lineRule="auto"/>
        <w:rPr>
          <w:rFonts w:asciiTheme="majorHAnsi" w:hAnsiTheme="majorHAnsi" w:cstheme="majorHAnsi"/>
          <w:color w:val="595959" w:themeColor="text1" w:themeTint="A6"/>
          <w:lang w:val="en-AU"/>
        </w:rPr>
      </w:pPr>
      <w:r w:rsidRPr="00356B3E">
        <w:rPr>
          <w:rFonts w:asciiTheme="majorHAnsi" w:hAnsiTheme="majorHAnsi" w:cstheme="majorHAnsi"/>
          <w:color w:val="595959" w:themeColor="text1" w:themeTint="A6"/>
          <w:lang w:val="en-AU"/>
        </w:rPr>
        <w:t>PEOPLE - Improved epidemiological workforce (public health and animal health)</w:t>
      </w:r>
      <w:r>
        <w:rPr>
          <w:rFonts w:asciiTheme="majorHAnsi" w:hAnsiTheme="majorHAnsi" w:cstheme="majorHAnsi"/>
          <w:color w:val="595959" w:themeColor="text1" w:themeTint="A6"/>
          <w:lang w:val="en-AU"/>
        </w:rPr>
        <w:t>; and</w:t>
      </w:r>
    </w:p>
    <w:p w:rsidR="00906511" w:rsidRPr="00356B3E" w:rsidRDefault="00906511" w:rsidP="00906511">
      <w:pPr>
        <w:pStyle w:val="ListParagraph"/>
        <w:numPr>
          <w:ilvl w:val="0"/>
          <w:numId w:val="91"/>
        </w:numPr>
        <w:spacing w:after="120" w:line="240" w:lineRule="auto"/>
        <w:rPr>
          <w:rFonts w:asciiTheme="majorHAnsi" w:hAnsiTheme="majorHAnsi" w:cstheme="majorHAnsi"/>
          <w:color w:val="595959" w:themeColor="text1" w:themeTint="A6"/>
          <w:lang w:val="en-AU"/>
        </w:rPr>
      </w:pPr>
      <w:r w:rsidRPr="00356B3E">
        <w:rPr>
          <w:rFonts w:asciiTheme="majorHAnsi" w:hAnsiTheme="majorHAnsi" w:cstheme="majorHAnsi"/>
          <w:color w:val="595959" w:themeColor="text1" w:themeTint="A6"/>
          <w:lang w:val="en-AU"/>
        </w:rPr>
        <w:t xml:space="preserve">PRODUCTS </w:t>
      </w:r>
      <w:r>
        <w:rPr>
          <w:rFonts w:asciiTheme="majorHAnsi" w:hAnsiTheme="majorHAnsi" w:cstheme="majorHAnsi"/>
          <w:color w:val="595959" w:themeColor="text1" w:themeTint="A6"/>
          <w:lang w:val="en-AU"/>
        </w:rPr>
        <w:t>-</w:t>
      </w:r>
      <w:r w:rsidRPr="00356B3E">
        <w:rPr>
          <w:rFonts w:asciiTheme="majorHAnsi" w:hAnsiTheme="majorHAnsi" w:cstheme="majorHAnsi"/>
          <w:color w:val="595959" w:themeColor="text1" w:themeTint="A6"/>
          <w:lang w:val="en-AU"/>
        </w:rPr>
        <w:t xml:space="preserve"> Develop new drugs, diagnostics and vector control tools</w:t>
      </w:r>
      <w:r>
        <w:rPr>
          <w:rFonts w:asciiTheme="majorHAnsi" w:hAnsiTheme="majorHAnsi" w:cstheme="majorHAnsi"/>
          <w:color w:val="595959" w:themeColor="text1" w:themeTint="A6"/>
          <w:lang w:val="en-AU"/>
        </w:rPr>
        <w:t>.</w:t>
      </w:r>
    </w:p>
    <w:p w:rsidR="00906511" w:rsidRPr="001504BF" w:rsidRDefault="00906511" w:rsidP="001504BF">
      <w:pPr>
        <w:spacing w:before="0" w:after="120" w:line="240" w:lineRule="auto"/>
        <w:rPr>
          <w:rFonts w:asciiTheme="majorHAnsi" w:eastAsia="Calibri" w:hAnsiTheme="majorHAnsi" w:cstheme="majorHAnsi"/>
          <w:color w:val="595959" w:themeColor="text1" w:themeTint="A6"/>
          <w:lang w:val="en-AU"/>
        </w:rPr>
      </w:pPr>
      <w:r w:rsidRPr="009B5EAF">
        <w:rPr>
          <w:rFonts w:asciiTheme="majorHAnsi" w:eastAsia="Calibri" w:hAnsiTheme="majorHAnsi" w:cstheme="majorHAnsi"/>
          <w:color w:val="595959" w:themeColor="text1" w:themeTint="A6"/>
          <w:lang w:val="en-AU"/>
        </w:rPr>
        <w:t xml:space="preserve">Indicative Investment Areas 1 and 2 are interdependent: implementation of activities at a subnational (provincial or district) level will allow new policies, procedures and coordination mechanisms to be piloted and tested, and the results of piloting fed back to central government </w:t>
      </w:r>
      <w:r>
        <w:rPr>
          <w:rFonts w:asciiTheme="majorHAnsi" w:eastAsia="Calibri" w:hAnsiTheme="majorHAnsi" w:cstheme="majorHAnsi"/>
          <w:color w:val="595959" w:themeColor="text1" w:themeTint="A6"/>
          <w:lang w:val="en-AU"/>
        </w:rPr>
        <w:t>to inform policy and regulatory changes and enable the government to replicate/</w:t>
      </w:r>
      <w:r w:rsidRPr="009B5EAF">
        <w:rPr>
          <w:rFonts w:asciiTheme="majorHAnsi" w:eastAsia="Calibri" w:hAnsiTheme="majorHAnsi" w:cstheme="majorHAnsi"/>
          <w:color w:val="595959" w:themeColor="text1" w:themeTint="A6"/>
          <w:lang w:val="en-AU"/>
        </w:rPr>
        <w:t>scale up</w:t>
      </w:r>
      <w:r>
        <w:rPr>
          <w:rFonts w:asciiTheme="majorHAnsi" w:eastAsia="Calibri" w:hAnsiTheme="majorHAnsi" w:cstheme="majorHAnsi"/>
          <w:color w:val="595959" w:themeColor="text1" w:themeTint="A6"/>
          <w:lang w:val="en-AU"/>
        </w:rPr>
        <w:t xml:space="preserve"> successful pilots</w:t>
      </w:r>
      <w:r w:rsidRPr="009B5EAF">
        <w:rPr>
          <w:rFonts w:asciiTheme="majorHAnsi" w:eastAsia="Calibri" w:hAnsiTheme="majorHAnsi" w:cstheme="majorHAnsi"/>
          <w:color w:val="595959" w:themeColor="text1" w:themeTint="A6"/>
          <w:lang w:val="en-AU"/>
        </w:rPr>
        <w:t xml:space="preserve">. The </w:t>
      </w:r>
      <w:r w:rsidR="00B62931">
        <w:rPr>
          <w:rFonts w:asciiTheme="majorHAnsi" w:eastAsia="Calibri" w:hAnsiTheme="majorHAnsi" w:cstheme="majorHAnsi"/>
          <w:color w:val="595959" w:themeColor="text1" w:themeTint="A6"/>
          <w:lang w:val="en-AU"/>
        </w:rPr>
        <w:t>potential for a</w:t>
      </w:r>
      <w:r w:rsidR="00B62931" w:rsidRPr="009B5EAF">
        <w:rPr>
          <w:rFonts w:asciiTheme="majorHAnsi" w:eastAsia="Calibri" w:hAnsiTheme="majorHAnsi" w:cstheme="majorHAnsi"/>
          <w:color w:val="595959" w:themeColor="text1" w:themeTint="A6"/>
          <w:lang w:val="en-AU"/>
        </w:rPr>
        <w:t xml:space="preserve"> </w:t>
      </w:r>
      <w:r w:rsidRPr="009B5EAF">
        <w:rPr>
          <w:rFonts w:asciiTheme="majorHAnsi" w:eastAsia="Calibri" w:hAnsiTheme="majorHAnsi" w:cstheme="majorHAnsi"/>
          <w:color w:val="595959" w:themeColor="text1" w:themeTint="A6"/>
          <w:lang w:val="en-AU"/>
        </w:rPr>
        <w:t>subnational presence for the program</w:t>
      </w:r>
      <w:r w:rsidR="00B62931">
        <w:rPr>
          <w:rFonts w:asciiTheme="majorHAnsi" w:eastAsia="Calibri" w:hAnsiTheme="majorHAnsi" w:cstheme="majorHAnsi"/>
          <w:color w:val="595959" w:themeColor="text1" w:themeTint="A6"/>
          <w:lang w:val="en-AU"/>
        </w:rPr>
        <w:t xml:space="preserve"> as it develops</w:t>
      </w:r>
      <w:r w:rsidRPr="009B5EAF">
        <w:rPr>
          <w:rFonts w:asciiTheme="majorHAnsi" w:eastAsia="Calibri" w:hAnsiTheme="majorHAnsi" w:cstheme="majorHAnsi"/>
          <w:color w:val="595959" w:themeColor="text1" w:themeTint="A6"/>
          <w:lang w:val="en-AU"/>
        </w:rPr>
        <w:t xml:space="preserve"> will allow it to identify and test coordination mechanisms which work at the subnational level, and how these can best be aligned with reporting systems and coordination at the national level. </w:t>
      </w:r>
      <w:r>
        <w:rPr>
          <w:rFonts w:asciiTheme="majorHAnsi" w:eastAsia="Calibri" w:hAnsiTheme="majorHAnsi" w:cstheme="majorHAnsi"/>
          <w:color w:val="595959" w:themeColor="text1" w:themeTint="A6"/>
          <w:lang w:val="en-AU"/>
        </w:rPr>
        <w:t>Indicative Investment Areas 1-3</w:t>
      </w:r>
      <w:r w:rsidR="00B56440">
        <w:rPr>
          <w:rFonts w:asciiTheme="majorHAnsi" w:eastAsia="Calibri" w:hAnsiTheme="majorHAnsi" w:cstheme="majorHAnsi"/>
          <w:color w:val="595959" w:themeColor="text1" w:themeTint="A6"/>
          <w:lang w:val="en-AU"/>
        </w:rPr>
        <w:t>, in particular, must</w:t>
      </w:r>
      <w:r>
        <w:rPr>
          <w:rFonts w:asciiTheme="majorHAnsi" w:eastAsia="Calibri" w:hAnsiTheme="majorHAnsi" w:cstheme="majorHAnsi"/>
          <w:color w:val="595959" w:themeColor="text1" w:themeTint="A6"/>
          <w:lang w:val="en-AU"/>
        </w:rPr>
        <w:t xml:space="preserve"> respond to relevant gender and social inclusion analysis and, where appropriate, reflect the different needs/risks/roles of men and women</w:t>
      </w:r>
      <w:r w:rsidRPr="009B5EAF">
        <w:rPr>
          <w:rFonts w:asciiTheme="majorHAnsi" w:eastAsia="Calibri" w:hAnsiTheme="majorHAnsi" w:cstheme="majorHAnsi"/>
          <w:color w:val="595959" w:themeColor="text1" w:themeTint="A6"/>
          <w:lang w:val="en-AU"/>
        </w:rPr>
        <w:t xml:space="preserve"> </w:t>
      </w:r>
      <w:r>
        <w:rPr>
          <w:rFonts w:asciiTheme="majorHAnsi" w:eastAsia="Calibri" w:hAnsiTheme="majorHAnsi" w:cstheme="majorHAnsi"/>
          <w:color w:val="595959" w:themeColor="text1" w:themeTint="A6"/>
          <w:lang w:val="en-AU"/>
        </w:rPr>
        <w:t>regarding health security.</w:t>
      </w:r>
    </w:p>
    <w:p w:rsidR="008563D9" w:rsidRPr="0043356C" w:rsidRDefault="008563D9" w:rsidP="00BF6C52">
      <w:pPr>
        <w:suppressAutoHyphens w:val="0"/>
        <w:spacing w:before="0" w:after="120" w:line="240" w:lineRule="auto"/>
        <w:rPr>
          <w:rFonts w:asciiTheme="majorHAnsi" w:hAnsiTheme="majorHAnsi" w:cstheme="majorHAnsi"/>
          <w:color w:val="595959" w:themeColor="text1" w:themeTint="A6"/>
          <w:u w:val="single"/>
          <w:lang w:val="en-AU"/>
        </w:rPr>
        <w:sectPr w:rsidR="008563D9" w:rsidRPr="0043356C" w:rsidSect="005401A7">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425" w:footer="493" w:gutter="0"/>
          <w:cols w:space="397"/>
          <w:titlePg/>
          <w:docGrid w:linePitch="360"/>
        </w:sectPr>
      </w:pPr>
    </w:p>
    <w:p w:rsidR="00C52AF4" w:rsidRDefault="00C52AF4" w:rsidP="00BF6C52">
      <w:pPr>
        <w:pStyle w:val="Figure"/>
        <w:spacing w:before="0" w:after="120" w:line="240" w:lineRule="auto"/>
        <w:rPr>
          <w:rFonts w:cstheme="majorHAnsi"/>
          <w:sz w:val="22"/>
        </w:rPr>
      </w:pPr>
      <w:r w:rsidRPr="0043356C">
        <w:rPr>
          <w:rFonts w:cstheme="majorHAnsi"/>
          <w:sz w:val="22"/>
        </w:rPr>
        <w:t>Figure 1</w:t>
      </w:r>
      <w:bookmarkStart w:id="17" w:name="_Hlk531333703"/>
      <w:r w:rsidR="00D31E79">
        <w:rPr>
          <w:rFonts w:cstheme="majorHAnsi"/>
          <w:sz w:val="22"/>
        </w:rPr>
        <w:t xml:space="preserve">. </w:t>
      </w:r>
      <w:r w:rsidRPr="0043356C">
        <w:rPr>
          <w:rFonts w:cstheme="majorHAnsi"/>
          <w:sz w:val="22"/>
        </w:rPr>
        <w:t>AIHSP Program Logic</w:t>
      </w:r>
      <w:bookmarkEnd w:id="17"/>
    </w:p>
    <w:p w:rsidR="002E069D" w:rsidRPr="0043356C" w:rsidRDefault="008A3F70" w:rsidP="00BF6C52">
      <w:pPr>
        <w:pStyle w:val="Figure"/>
        <w:spacing w:before="0" w:after="120" w:line="240" w:lineRule="auto"/>
        <w:rPr>
          <w:rFonts w:cstheme="majorHAnsi"/>
          <w:sz w:val="22"/>
        </w:rPr>
      </w:pPr>
      <w:r>
        <w:rPr>
          <w:rFonts w:cstheme="majorHAnsi"/>
          <w:noProof/>
          <w:sz w:val="22"/>
          <w:lang w:eastAsia="en-AU"/>
        </w:rPr>
        <w:drawing>
          <wp:inline distT="0" distB="0" distL="0" distR="0" wp14:anchorId="63A2A23B" wp14:editId="477861BC">
            <wp:extent cx="9147521" cy="486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7521" cy="4860000"/>
                    </a:xfrm>
                    <a:prstGeom prst="rect">
                      <a:avLst/>
                    </a:prstGeom>
                    <a:noFill/>
                  </pic:spPr>
                </pic:pic>
              </a:graphicData>
            </a:graphic>
          </wp:inline>
        </w:drawing>
      </w:r>
    </w:p>
    <w:p w:rsidR="007B213E" w:rsidRPr="00CB527B" w:rsidRDefault="007B213E" w:rsidP="00EB4FEE">
      <w:pPr>
        <w:suppressAutoHyphens w:val="0"/>
        <w:spacing w:before="0" w:after="120" w:line="240" w:lineRule="auto"/>
        <w:rPr>
          <w:rFonts w:asciiTheme="majorHAnsi" w:hAnsiTheme="majorHAnsi" w:cstheme="majorHAnsi"/>
          <w:color w:val="595959" w:themeColor="text1" w:themeTint="A6"/>
          <w:u w:val="single"/>
          <w:lang w:val="en-AU"/>
        </w:rPr>
      </w:pPr>
    </w:p>
    <w:p w:rsidR="007B213E" w:rsidRPr="009B5EAF" w:rsidRDefault="007B213E" w:rsidP="00BF6C52">
      <w:pPr>
        <w:spacing w:before="0" w:after="120" w:line="240" w:lineRule="auto"/>
        <w:rPr>
          <w:rFonts w:asciiTheme="majorHAnsi" w:hAnsiTheme="majorHAnsi" w:cstheme="majorHAnsi"/>
          <w:color w:val="595959" w:themeColor="text1" w:themeTint="A6"/>
        </w:rPr>
      </w:pPr>
      <w:r w:rsidRPr="009B5EAF">
        <w:rPr>
          <w:rFonts w:asciiTheme="majorHAnsi" w:hAnsiTheme="majorHAnsi" w:cstheme="majorHAnsi"/>
          <w:color w:val="595959" w:themeColor="text1" w:themeTint="A6"/>
        </w:rPr>
        <w:t>The blue caption</w:t>
      </w:r>
      <w:r w:rsidR="00D80244" w:rsidRPr="009B5EAF">
        <w:rPr>
          <w:rFonts w:asciiTheme="majorHAnsi" w:hAnsiTheme="majorHAnsi" w:cstheme="majorHAnsi"/>
          <w:color w:val="595959" w:themeColor="text1" w:themeTint="A6"/>
        </w:rPr>
        <w:t>s</w:t>
      </w:r>
      <w:r w:rsidRPr="009B5EAF">
        <w:rPr>
          <w:rFonts w:asciiTheme="majorHAnsi" w:hAnsiTheme="majorHAnsi" w:cstheme="majorHAnsi"/>
          <w:color w:val="595959" w:themeColor="text1" w:themeTint="A6"/>
        </w:rPr>
        <w:t xml:space="preserve"> </w:t>
      </w:r>
      <w:r w:rsidR="00D80244" w:rsidRPr="009B5EAF">
        <w:rPr>
          <w:rFonts w:asciiTheme="majorHAnsi" w:hAnsiTheme="majorHAnsi" w:cstheme="majorHAnsi"/>
          <w:color w:val="595959" w:themeColor="text1" w:themeTint="A6"/>
        </w:rPr>
        <w:t>in</w:t>
      </w:r>
      <w:r w:rsidRPr="009B5EAF">
        <w:rPr>
          <w:rFonts w:asciiTheme="majorHAnsi" w:hAnsiTheme="majorHAnsi" w:cstheme="majorHAnsi"/>
          <w:color w:val="595959" w:themeColor="text1" w:themeTint="A6"/>
        </w:rPr>
        <w:t xml:space="preserve"> the diagram</w:t>
      </w:r>
      <w:r w:rsidR="008A3F70">
        <w:rPr>
          <w:rFonts w:asciiTheme="majorHAnsi" w:hAnsiTheme="majorHAnsi" w:cstheme="majorHAnsi"/>
          <w:color w:val="595959" w:themeColor="text1" w:themeTint="A6"/>
        </w:rPr>
        <w:t xml:space="preserve"> (under Indicative Areas of Investment)</w:t>
      </w:r>
      <w:r w:rsidRPr="009B5EAF">
        <w:rPr>
          <w:rFonts w:asciiTheme="majorHAnsi" w:hAnsiTheme="majorHAnsi" w:cstheme="majorHAnsi"/>
          <w:color w:val="595959" w:themeColor="text1" w:themeTint="A6"/>
        </w:rPr>
        <w:t xml:space="preserve"> refer to JEE technical areas </w:t>
      </w:r>
      <w:r w:rsidR="00451188" w:rsidRPr="009B5EAF">
        <w:rPr>
          <w:rFonts w:asciiTheme="majorHAnsi" w:hAnsiTheme="majorHAnsi" w:cstheme="majorHAnsi"/>
          <w:color w:val="595959" w:themeColor="text1" w:themeTint="A6"/>
        </w:rPr>
        <w:t>and are aligned with NAPHS</w:t>
      </w:r>
      <w:r w:rsidR="00D31E79">
        <w:rPr>
          <w:rFonts w:asciiTheme="majorHAnsi" w:hAnsiTheme="majorHAnsi" w:cstheme="majorHAnsi"/>
          <w:color w:val="595959" w:themeColor="text1" w:themeTint="A6"/>
        </w:rPr>
        <w:t>.</w:t>
      </w:r>
      <w:r w:rsidR="00C83B0C" w:rsidRPr="009B5EAF">
        <w:rPr>
          <w:rFonts w:asciiTheme="majorHAnsi" w:hAnsiTheme="majorHAnsi" w:cstheme="majorHAnsi"/>
          <w:color w:val="595959" w:themeColor="text1" w:themeTint="A6"/>
        </w:rPr>
        <w:t xml:space="preserve"> </w:t>
      </w:r>
    </w:p>
    <w:p w:rsidR="00EB4BCB" w:rsidRPr="0043356C" w:rsidRDefault="008905BB" w:rsidP="00BF6C52">
      <w:pPr>
        <w:pStyle w:val="Figure"/>
        <w:spacing w:before="0" w:after="120" w:line="240" w:lineRule="auto"/>
        <w:rPr>
          <w:rFonts w:cstheme="majorHAnsi"/>
          <w:sz w:val="22"/>
        </w:rPr>
      </w:pPr>
      <w:r w:rsidRPr="0043356C">
        <w:rPr>
          <w:rFonts w:cstheme="majorHAnsi"/>
          <w:color w:val="495965" w:themeColor="text2"/>
          <w:sz w:val="22"/>
        </w:rPr>
        <w:br w:type="page"/>
      </w:r>
      <w:r w:rsidR="00EB4BCB" w:rsidRPr="0043356C" w:rsidDel="00EB4BCB">
        <w:rPr>
          <w:rFonts w:cstheme="majorHAnsi"/>
          <w:sz w:val="22"/>
        </w:rPr>
        <w:t xml:space="preserve"> </w:t>
      </w:r>
      <w:r w:rsidR="00EB4BCB" w:rsidRPr="0043356C">
        <w:rPr>
          <w:rFonts w:cstheme="majorHAnsi"/>
          <w:sz w:val="22"/>
        </w:rPr>
        <w:t>Figure 2</w:t>
      </w:r>
      <w:r w:rsidR="00C83B0C" w:rsidRPr="0043356C">
        <w:rPr>
          <w:rFonts w:cstheme="majorHAnsi"/>
          <w:sz w:val="22"/>
        </w:rPr>
        <w:t xml:space="preserve">. </w:t>
      </w:r>
      <w:r w:rsidR="008A3F70">
        <w:rPr>
          <w:rFonts w:cstheme="majorHAnsi"/>
          <w:sz w:val="22"/>
        </w:rPr>
        <w:t xml:space="preserve">Links between </w:t>
      </w:r>
      <w:r w:rsidR="00EB4BCB" w:rsidRPr="0043356C">
        <w:rPr>
          <w:rFonts w:cstheme="majorHAnsi"/>
          <w:sz w:val="22"/>
        </w:rPr>
        <w:t>Indo-Pacific Centre for Health Security Activities</w:t>
      </w:r>
      <w:r w:rsidR="008A3F70">
        <w:rPr>
          <w:rFonts w:cstheme="majorHAnsi"/>
          <w:sz w:val="22"/>
        </w:rPr>
        <w:t xml:space="preserve"> and AIHSP Indicative Areas of Investment/Activities</w:t>
      </w:r>
    </w:p>
    <w:p w:rsidR="008905BB" w:rsidRPr="00CB527B" w:rsidRDefault="00650281" w:rsidP="00272061">
      <w:pPr>
        <w:tabs>
          <w:tab w:val="left" w:pos="6300"/>
        </w:tabs>
        <w:suppressAutoHyphens w:val="0"/>
        <w:spacing w:before="0" w:after="120" w:line="240" w:lineRule="auto"/>
        <w:rPr>
          <w:rFonts w:asciiTheme="majorHAnsi" w:hAnsiTheme="majorHAnsi" w:cstheme="majorHAnsi"/>
          <w:b/>
          <w:color w:val="595959" w:themeColor="text1" w:themeTint="A6"/>
          <w:lang w:val="en-AU"/>
        </w:rPr>
      </w:pPr>
      <w:r>
        <w:rPr>
          <w:rFonts w:asciiTheme="majorHAnsi" w:hAnsiTheme="majorHAnsi" w:cstheme="majorHAnsi"/>
          <w:b/>
          <w:color w:val="595959" w:themeColor="text1" w:themeTint="A6"/>
          <w:lang w:val="en-AU"/>
        </w:rPr>
        <w:tab/>
      </w:r>
      <w:r w:rsidR="006C046C">
        <w:rPr>
          <w:rFonts w:asciiTheme="majorHAnsi" w:hAnsiTheme="majorHAnsi" w:cstheme="majorHAnsi"/>
          <w:b/>
          <w:noProof/>
          <w:color w:val="595959" w:themeColor="text1" w:themeTint="A6"/>
          <w:lang w:val="en-AU" w:eastAsia="en-AU"/>
        </w:rPr>
        <w:drawing>
          <wp:inline distT="0" distB="0" distL="0" distR="0" wp14:anchorId="3AEAFC93" wp14:editId="6D4DD3FE">
            <wp:extent cx="9144000" cy="400114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44000" cy="4001148"/>
                    </a:xfrm>
                    <a:prstGeom prst="rect">
                      <a:avLst/>
                    </a:prstGeom>
                    <a:noFill/>
                  </pic:spPr>
                </pic:pic>
              </a:graphicData>
            </a:graphic>
          </wp:inline>
        </w:drawing>
      </w:r>
      <w:r>
        <w:rPr>
          <w:rFonts w:asciiTheme="majorHAnsi" w:hAnsiTheme="majorHAnsi" w:cstheme="majorHAnsi"/>
          <w:b/>
          <w:color w:val="595959" w:themeColor="text1" w:themeTint="A6"/>
          <w:lang w:val="en-AU"/>
        </w:rPr>
        <w:br w:type="textWrapping" w:clear="all"/>
      </w:r>
    </w:p>
    <w:p w:rsidR="008A3F70" w:rsidRPr="009B5EAF" w:rsidRDefault="008A3F70" w:rsidP="008A3F70">
      <w:pPr>
        <w:spacing w:before="0" w:after="120" w:line="240" w:lineRule="auto"/>
        <w:rPr>
          <w:rFonts w:asciiTheme="majorHAnsi" w:hAnsiTheme="majorHAnsi" w:cstheme="majorHAnsi"/>
          <w:color w:val="595959" w:themeColor="text1" w:themeTint="A6"/>
        </w:rPr>
      </w:pPr>
      <w:r w:rsidRPr="009B5EAF">
        <w:rPr>
          <w:rFonts w:asciiTheme="majorHAnsi" w:hAnsiTheme="majorHAnsi" w:cstheme="majorHAnsi"/>
          <w:color w:val="595959" w:themeColor="text1" w:themeTint="A6"/>
        </w:rPr>
        <w:t>The blue captions in the diagram</w:t>
      </w:r>
      <w:r>
        <w:rPr>
          <w:rFonts w:asciiTheme="majorHAnsi" w:hAnsiTheme="majorHAnsi" w:cstheme="majorHAnsi"/>
          <w:color w:val="595959" w:themeColor="text1" w:themeTint="A6"/>
        </w:rPr>
        <w:t xml:space="preserve"> (under Indicative Areas of Investment)</w:t>
      </w:r>
      <w:r w:rsidRPr="009B5EAF">
        <w:rPr>
          <w:rFonts w:asciiTheme="majorHAnsi" w:hAnsiTheme="majorHAnsi" w:cstheme="majorHAnsi"/>
          <w:color w:val="595959" w:themeColor="text1" w:themeTint="A6"/>
        </w:rPr>
        <w:t xml:space="preserve"> refer to JEE technical areas and are aligned with NAPHS.</w:t>
      </w:r>
    </w:p>
    <w:p w:rsidR="008905BB" w:rsidRPr="0043356C" w:rsidRDefault="008905BB" w:rsidP="00BF6C52">
      <w:pPr>
        <w:suppressAutoHyphens w:val="0"/>
        <w:spacing w:before="0" w:after="120" w:line="240" w:lineRule="auto"/>
        <w:rPr>
          <w:rFonts w:asciiTheme="majorHAnsi" w:hAnsiTheme="majorHAnsi" w:cstheme="majorHAnsi"/>
          <w:color w:val="595959" w:themeColor="text1" w:themeTint="A6"/>
          <w:u w:val="single"/>
          <w:lang w:val="en-AU"/>
        </w:rPr>
        <w:sectPr w:rsidR="008905BB" w:rsidRPr="0043356C" w:rsidSect="00E14997">
          <w:pgSz w:w="16838" w:h="11906" w:orient="landscape" w:code="9"/>
          <w:pgMar w:top="1440" w:right="1440" w:bottom="1440" w:left="1440" w:header="425" w:footer="493" w:gutter="0"/>
          <w:cols w:space="397"/>
          <w:titlePg/>
          <w:docGrid w:linePitch="360"/>
        </w:sectPr>
      </w:pPr>
    </w:p>
    <w:p w:rsidR="00AC1550" w:rsidRPr="0043356C" w:rsidRDefault="00AC1550" w:rsidP="00BF6C52">
      <w:pPr>
        <w:pStyle w:val="Heading3"/>
        <w:spacing w:before="0" w:after="120" w:line="240" w:lineRule="auto"/>
        <w:contextualSpacing w:val="0"/>
        <w:rPr>
          <w:rFonts w:eastAsia="Calibri" w:cstheme="majorHAnsi"/>
          <w:szCs w:val="22"/>
          <w:lang w:val="en-AU"/>
        </w:rPr>
      </w:pPr>
      <w:bookmarkStart w:id="18" w:name="_Toc3297002"/>
      <w:r w:rsidRPr="0043356C">
        <w:rPr>
          <w:rFonts w:eastAsia="Calibri" w:cstheme="majorHAnsi"/>
          <w:szCs w:val="22"/>
          <w:lang w:val="en-AU"/>
        </w:rPr>
        <w:t>AIHS</w:t>
      </w:r>
      <w:r w:rsidR="00322DAF" w:rsidRPr="0043356C">
        <w:rPr>
          <w:rFonts w:eastAsia="Calibri" w:cstheme="majorHAnsi"/>
          <w:szCs w:val="22"/>
          <w:lang w:val="en-AU"/>
        </w:rPr>
        <w:t>P</w:t>
      </w:r>
      <w:r w:rsidRPr="0043356C">
        <w:rPr>
          <w:rFonts w:eastAsia="Calibri" w:cstheme="majorHAnsi"/>
          <w:szCs w:val="22"/>
          <w:lang w:val="en-AU"/>
        </w:rPr>
        <w:t xml:space="preserve"> First Year Activities</w:t>
      </w:r>
      <w:bookmarkEnd w:id="18"/>
    </w:p>
    <w:p w:rsidR="00D46198" w:rsidRPr="009B5EAF" w:rsidRDefault="008A1F01">
      <w:pPr>
        <w:spacing w:before="0" w:after="120" w:line="240" w:lineRule="auto"/>
        <w:rPr>
          <w:rFonts w:asciiTheme="majorHAnsi" w:eastAsia="Calibri" w:hAnsiTheme="majorHAnsi" w:cstheme="majorHAnsi"/>
          <w:color w:val="595959" w:themeColor="text1" w:themeTint="A6"/>
          <w:lang w:val="en-AU"/>
        </w:rPr>
      </w:pPr>
      <w:r w:rsidRPr="009B5EAF">
        <w:rPr>
          <w:rFonts w:asciiTheme="majorHAnsi" w:eastAsia="Calibri" w:hAnsiTheme="majorHAnsi" w:cstheme="majorHAnsi"/>
          <w:color w:val="595959" w:themeColor="text1" w:themeTint="A6"/>
          <w:lang w:val="en-AU"/>
        </w:rPr>
        <w:t xml:space="preserve">The program </w:t>
      </w:r>
      <w:r w:rsidR="0067418C">
        <w:rPr>
          <w:rFonts w:asciiTheme="majorHAnsi" w:eastAsia="Calibri" w:hAnsiTheme="majorHAnsi" w:cstheme="majorHAnsi"/>
          <w:color w:val="595959" w:themeColor="text1" w:themeTint="A6"/>
          <w:lang w:val="en-AU"/>
        </w:rPr>
        <w:t>is expected to</w:t>
      </w:r>
      <w:r w:rsidR="0067418C" w:rsidRPr="009B5EAF">
        <w:rPr>
          <w:rFonts w:asciiTheme="majorHAnsi" w:eastAsia="Calibri" w:hAnsiTheme="majorHAnsi" w:cstheme="majorHAnsi"/>
          <w:color w:val="595959" w:themeColor="text1" w:themeTint="A6"/>
          <w:lang w:val="en-AU"/>
        </w:rPr>
        <w:t xml:space="preserve"> </w:t>
      </w:r>
      <w:r w:rsidRPr="009B5EAF">
        <w:rPr>
          <w:rFonts w:asciiTheme="majorHAnsi" w:eastAsia="Calibri" w:hAnsiTheme="majorHAnsi" w:cstheme="majorHAnsi"/>
          <w:color w:val="595959" w:themeColor="text1" w:themeTint="A6"/>
          <w:lang w:val="en-AU"/>
        </w:rPr>
        <w:t>commence in July 2019</w:t>
      </w:r>
      <w:r w:rsidR="0067418C">
        <w:rPr>
          <w:rFonts w:asciiTheme="majorHAnsi" w:eastAsia="Calibri" w:hAnsiTheme="majorHAnsi" w:cstheme="majorHAnsi"/>
          <w:color w:val="595959" w:themeColor="text1" w:themeTint="A6"/>
          <w:lang w:val="en-AU"/>
        </w:rPr>
        <w:t xml:space="preserve"> following</w:t>
      </w:r>
      <w:r w:rsidRPr="009B5EAF">
        <w:rPr>
          <w:rFonts w:asciiTheme="majorHAnsi" w:eastAsia="Calibri" w:hAnsiTheme="majorHAnsi" w:cstheme="majorHAnsi"/>
          <w:color w:val="595959" w:themeColor="text1" w:themeTint="A6"/>
          <w:lang w:val="en-AU"/>
        </w:rPr>
        <w:t xml:space="preserve"> the Indonesian </w:t>
      </w:r>
      <w:r w:rsidR="00D80244" w:rsidRPr="009B5EAF">
        <w:rPr>
          <w:rFonts w:asciiTheme="majorHAnsi" w:eastAsia="Calibri" w:hAnsiTheme="majorHAnsi" w:cstheme="majorHAnsi"/>
          <w:color w:val="595959" w:themeColor="text1" w:themeTint="A6"/>
          <w:lang w:val="en-AU"/>
        </w:rPr>
        <w:t>p</w:t>
      </w:r>
      <w:r w:rsidRPr="009B5EAF">
        <w:rPr>
          <w:rFonts w:asciiTheme="majorHAnsi" w:eastAsia="Calibri" w:hAnsiTheme="majorHAnsi" w:cstheme="majorHAnsi"/>
          <w:color w:val="595959" w:themeColor="text1" w:themeTint="A6"/>
          <w:lang w:val="en-AU"/>
        </w:rPr>
        <w:t>residential election</w:t>
      </w:r>
      <w:r w:rsidR="00D31E79">
        <w:rPr>
          <w:rFonts w:asciiTheme="majorHAnsi" w:eastAsia="Calibri" w:hAnsiTheme="majorHAnsi" w:cstheme="majorHAnsi"/>
          <w:color w:val="595959" w:themeColor="text1" w:themeTint="A6"/>
          <w:lang w:val="en-AU"/>
        </w:rPr>
        <w:t>.</w:t>
      </w:r>
      <w:r w:rsidR="00C83B0C" w:rsidRPr="009B5EAF">
        <w:rPr>
          <w:rFonts w:asciiTheme="majorHAnsi" w:eastAsia="Calibri" w:hAnsiTheme="majorHAnsi" w:cstheme="majorHAnsi"/>
          <w:color w:val="595959" w:themeColor="text1" w:themeTint="A6"/>
          <w:lang w:val="en-AU"/>
        </w:rPr>
        <w:t xml:space="preserve"> </w:t>
      </w:r>
      <w:r w:rsidR="004C3499" w:rsidRPr="009B5EAF">
        <w:rPr>
          <w:rFonts w:asciiTheme="majorHAnsi" w:eastAsia="Calibri" w:hAnsiTheme="majorHAnsi" w:cstheme="majorHAnsi"/>
          <w:color w:val="595959" w:themeColor="text1" w:themeTint="A6"/>
          <w:lang w:val="en-AU"/>
        </w:rPr>
        <w:t>Health security is a dynamic space and, while a significant amount of research and evaluation has been done in recent years, the policy environment is constantly changing</w:t>
      </w:r>
      <w:r w:rsidR="00D31E79">
        <w:rPr>
          <w:rFonts w:asciiTheme="majorHAnsi" w:eastAsia="Calibri" w:hAnsiTheme="majorHAnsi" w:cstheme="majorHAnsi"/>
          <w:color w:val="595959" w:themeColor="text1" w:themeTint="A6"/>
          <w:lang w:val="en-AU"/>
        </w:rPr>
        <w:t xml:space="preserve">. </w:t>
      </w:r>
      <w:r w:rsidR="004C3499" w:rsidRPr="009B5EAF">
        <w:rPr>
          <w:rFonts w:asciiTheme="majorHAnsi" w:eastAsia="Calibri" w:hAnsiTheme="majorHAnsi" w:cstheme="majorHAnsi"/>
          <w:color w:val="595959" w:themeColor="text1" w:themeTint="A6"/>
          <w:lang w:val="en-AU"/>
        </w:rPr>
        <w:t xml:space="preserve">For example, the JEE was undertaken over one year prior to the </w:t>
      </w:r>
      <w:r w:rsidR="00207810" w:rsidRPr="009B5EAF">
        <w:rPr>
          <w:rFonts w:asciiTheme="majorHAnsi" w:eastAsia="Calibri" w:hAnsiTheme="majorHAnsi" w:cstheme="majorHAnsi"/>
          <w:color w:val="595959" w:themeColor="text1" w:themeTint="A6"/>
          <w:lang w:val="en-AU"/>
        </w:rPr>
        <w:t>program</w:t>
      </w:r>
      <w:r w:rsidR="004C3499" w:rsidRPr="009B5EAF">
        <w:rPr>
          <w:rFonts w:asciiTheme="majorHAnsi" w:eastAsia="Calibri" w:hAnsiTheme="majorHAnsi" w:cstheme="majorHAnsi"/>
          <w:color w:val="595959" w:themeColor="text1" w:themeTint="A6"/>
          <w:lang w:val="en-AU"/>
        </w:rPr>
        <w:t xml:space="preserve"> design</w:t>
      </w:r>
      <w:r w:rsidR="001C3661" w:rsidRPr="009B5EAF">
        <w:rPr>
          <w:rFonts w:asciiTheme="majorHAnsi" w:eastAsia="Calibri" w:hAnsiTheme="majorHAnsi" w:cstheme="majorHAnsi"/>
          <w:color w:val="595959" w:themeColor="text1" w:themeTint="A6"/>
          <w:lang w:val="en-AU"/>
        </w:rPr>
        <w:t xml:space="preserve"> being finalised</w:t>
      </w:r>
      <w:r w:rsidR="004C3499" w:rsidRPr="009B5EAF">
        <w:rPr>
          <w:rFonts w:asciiTheme="majorHAnsi" w:eastAsia="Calibri" w:hAnsiTheme="majorHAnsi" w:cstheme="majorHAnsi"/>
          <w:color w:val="595959" w:themeColor="text1" w:themeTint="A6"/>
          <w:lang w:val="en-AU"/>
        </w:rPr>
        <w:t xml:space="preserve">, and </w:t>
      </w:r>
      <w:r w:rsidR="00D46198" w:rsidRPr="009B5EAF">
        <w:rPr>
          <w:rFonts w:asciiTheme="majorHAnsi" w:eastAsia="Calibri" w:hAnsiTheme="majorHAnsi" w:cstheme="majorHAnsi"/>
          <w:color w:val="595959" w:themeColor="text1" w:themeTint="A6"/>
          <w:lang w:val="en-AU"/>
        </w:rPr>
        <w:t>its recommendations included monitoring progress through annual nation</w:t>
      </w:r>
      <w:r w:rsidR="00FB1987" w:rsidRPr="009B5EAF">
        <w:rPr>
          <w:rFonts w:asciiTheme="majorHAnsi" w:eastAsia="Calibri" w:hAnsiTheme="majorHAnsi" w:cstheme="majorHAnsi"/>
          <w:color w:val="595959" w:themeColor="text1" w:themeTint="A6"/>
          <w:lang w:val="en-AU"/>
        </w:rPr>
        <w:t>al</w:t>
      </w:r>
      <w:r w:rsidR="00D46198" w:rsidRPr="009B5EAF">
        <w:rPr>
          <w:rFonts w:asciiTheme="majorHAnsi" w:eastAsia="Calibri" w:hAnsiTheme="majorHAnsi" w:cstheme="majorHAnsi"/>
          <w:color w:val="595959" w:themeColor="text1" w:themeTint="A6"/>
          <w:lang w:val="en-AU"/>
        </w:rPr>
        <w:t xml:space="preserve"> or subnational self-assessments using the JEE tool, and repetition of the external evaluation process after five years.</w:t>
      </w:r>
      <w:r w:rsidR="00D46198" w:rsidRPr="009B5EAF">
        <w:rPr>
          <w:rStyle w:val="FootnoteReference"/>
          <w:rFonts w:asciiTheme="majorHAnsi" w:eastAsia="Calibri" w:hAnsiTheme="majorHAnsi" w:cstheme="majorHAnsi"/>
          <w:color w:val="595959" w:themeColor="text1" w:themeTint="A6"/>
          <w:lang w:val="en-AU"/>
        </w:rPr>
        <w:footnoteReference w:id="14"/>
      </w:r>
      <w:r w:rsidR="00D46198" w:rsidRPr="009B5EAF">
        <w:rPr>
          <w:rFonts w:asciiTheme="majorHAnsi" w:eastAsia="Calibri" w:hAnsiTheme="majorHAnsi" w:cstheme="majorHAnsi"/>
          <w:color w:val="595959" w:themeColor="text1" w:themeTint="A6"/>
          <w:lang w:val="en-AU"/>
        </w:rPr>
        <w:t xml:space="preserve"> </w:t>
      </w:r>
      <w:r w:rsidR="00E628D8" w:rsidRPr="009B5EAF">
        <w:rPr>
          <w:rFonts w:asciiTheme="majorHAnsi" w:eastAsia="Calibri" w:hAnsiTheme="majorHAnsi" w:cstheme="majorHAnsi"/>
          <w:color w:val="595959" w:themeColor="text1" w:themeTint="A6"/>
          <w:lang w:val="en-AU"/>
        </w:rPr>
        <w:t>The findings of these assessments will inform</w:t>
      </w:r>
      <w:r w:rsidR="00207810" w:rsidRPr="009B5EAF">
        <w:rPr>
          <w:rFonts w:asciiTheme="majorHAnsi" w:eastAsia="Calibri" w:hAnsiTheme="majorHAnsi" w:cstheme="majorHAnsi"/>
          <w:color w:val="595959" w:themeColor="text1" w:themeTint="A6"/>
          <w:lang w:val="en-AU"/>
        </w:rPr>
        <w:t xml:space="preserve"> and update</w:t>
      </w:r>
      <w:r w:rsidR="00E628D8" w:rsidRPr="009B5EAF">
        <w:rPr>
          <w:rFonts w:asciiTheme="majorHAnsi" w:eastAsia="Calibri" w:hAnsiTheme="majorHAnsi" w:cstheme="majorHAnsi"/>
          <w:color w:val="595959" w:themeColor="text1" w:themeTint="A6"/>
          <w:lang w:val="en-AU"/>
        </w:rPr>
        <w:t xml:space="preserve"> the AIHSP</w:t>
      </w:r>
      <w:r w:rsidR="00207810" w:rsidRPr="009B5EAF">
        <w:rPr>
          <w:rFonts w:asciiTheme="majorHAnsi" w:eastAsia="Calibri" w:hAnsiTheme="majorHAnsi" w:cstheme="majorHAnsi"/>
          <w:color w:val="595959" w:themeColor="text1" w:themeTint="A6"/>
          <w:lang w:val="en-AU"/>
        </w:rPr>
        <w:t>, allowing interventions and activities to be adjusted as implementation proceeds</w:t>
      </w:r>
      <w:r w:rsidR="00352A08">
        <w:rPr>
          <w:rFonts w:asciiTheme="majorHAnsi" w:eastAsia="Calibri" w:hAnsiTheme="majorHAnsi" w:cstheme="majorHAnsi"/>
          <w:color w:val="595959" w:themeColor="text1" w:themeTint="A6"/>
          <w:lang w:val="en-AU"/>
        </w:rPr>
        <w:t>.</w:t>
      </w:r>
    </w:p>
    <w:p w:rsidR="00313FA3" w:rsidRPr="009B5EAF" w:rsidRDefault="00313FA3">
      <w:pPr>
        <w:spacing w:before="0" w:after="120" w:line="240" w:lineRule="auto"/>
        <w:rPr>
          <w:rFonts w:asciiTheme="majorHAnsi" w:eastAsia="Calibri" w:hAnsiTheme="majorHAnsi" w:cstheme="majorHAnsi"/>
          <w:color w:val="595959" w:themeColor="text1" w:themeTint="A6"/>
          <w:lang w:val="en-AU"/>
        </w:rPr>
      </w:pPr>
      <w:r w:rsidRPr="009B5EAF">
        <w:rPr>
          <w:rFonts w:asciiTheme="majorHAnsi" w:eastAsia="Calibri" w:hAnsiTheme="majorHAnsi" w:cstheme="majorHAnsi"/>
          <w:color w:val="595959" w:themeColor="text1" w:themeTint="A6"/>
          <w:lang w:val="en-AU"/>
        </w:rPr>
        <w:t xml:space="preserve">Noting this, </w:t>
      </w:r>
      <w:r w:rsidR="00B62931">
        <w:rPr>
          <w:rFonts w:asciiTheme="majorHAnsi" w:eastAsia="Calibri" w:hAnsiTheme="majorHAnsi" w:cstheme="majorHAnsi"/>
          <w:color w:val="595959" w:themeColor="text1" w:themeTint="A6"/>
          <w:lang w:val="en-AU"/>
        </w:rPr>
        <w:t>some indicative</w:t>
      </w:r>
      <w:r w:rsidRPr="009B5EAF">
        <w:rPr>
          <w:rFonts w:asciiTheme="majorHAnsi" w:eastAsia="Calibri" w:hAnsiTheme="majorHAnsi" w:cstheme="majorHAnsi"/>
          <w:color w:val="595959" w:themeColor="text1" w:themeTint="A6"/>
          <w:lang w:val="en-AU"/>
        </w:rPr>
        <w:t xml:space="preserve"> activities have been identified for the f</w:t>
      </w:r>
      <w:r w:rsidR="00D31E79">
        <w:rPr>
          <w:rFonts w:asciiTheme="majorHAnsi" w:eastAsia="Calibri" w:hAnsiTheme="majorHAnsi" w:cstheme="majorHAnsi"/>
          <w:color w:val="595959" w:themeColor="text1" w:themeTint="A6"/>
          <w:lang w:val="en-AU"/>
        </w:rPr>
        <w:t xml:space="preserve">irst 12 months of the program. </w:t>
      </w:r>
      <w:r w:rsidRPr="009B5EAF">
        <w:rPr>
          <w:rFonts w:asciiTheme="majorHAnsi" w:eastAsia="Calibri" w:hAnsiTheme="majorHAnsi" w:cstheme="majorHAnsi"/>
          <w:color w:val="595959" w:themeColor="text1" w:themeTint="A6"/>
          <w:lang w:val="en-AU"/>
        </w:rPr>
        <w:t>These will focus on building communication, coordination and a greater understanding of the health security environment in Indonesia:</w:t>
      </w:r>
    </w:p>
    <w:p w:rsidR="00313FA3" w:rsidRPr="009B5EAF" w:rsidRDefault="00352A08" w:rsidP="00313FA3">
      <w:pPr>
        <w:spacing w:before="0" w:after="120" w:line="240" w:lineRule="auto"/>
        <w:rPr>
          <w:rFonts w:asciiTheme="majorHAnsi" w:eastAsia="Calibri" w:hAnsiTheme="majorHAnsi" w:cstheme="majorHAnsi"/>
          <w:color w:val="595959" w:themeColor="text1" w:themeTint="A6"/>
          <w:lang w:val="en-AU"/>
        </w:rPr>
      </w:pPr>
      <w:r>
        <w:rPr>
          <w:rFonts w:asciiTheme="majorHAnsi" w:eastAsia="Calibri" w:hAnsiTheme="majorHAnsi" w:cstheme="majorHAnsi"/>
          <w:color w:val="595959" w:themeColor="text1" w:themeTint="A6"/>
          <w:lang w:val="en-AU"/>
        </w:rPr>
        <w:t>-</w:t>
      </w:r>
      <w:r w:rsidR="00313FA3" w:rsidRPr="009B5EAF">
        <w:rPr>
          <w:rFonts w:asciiTheme="majorHAnsi" w:eastAsia="Calibri" w:hAnsiTheme="majorHAnsi" w:cstheme="majorHAnsi"/>
          <w:color w:val="595959" w:themeColor="text1" w:themeTint="A6"/>
          <w:lang w:val="en-AU"/>
        </w:rPr>
        <w:t xml:space="preserve"> the </w:t>
      </w:r>
      <w:r w:rsidR="008A1F01" w:rsidRPr="009B5EAF">
        <w:rPr>
          <w:rFonts w:asciiTheme="majorHAnsi" w:eastAsia="Calibri" w:hAnsiTheme="majorHAnsi" w:cstheme="majorHAnsi"/>
          <w:color w:val="595959" w:themeColor="text1" w:themeTint="A6"/>
          <w:lang w:val="en-AU"/>
        </w:rPr>
        <w:t>managing contractor will</w:t>
      </w:r>
      <w:r w:rsidR="004C3499" w:rsidRPr="009B5EAF">
        <w:rPr>
          <w:rFonts w:asciiTheme="majorHAnsi" w:eastAsia="Calibri" w:hAnsiTheme="majorHAnsi" w:cstheme="majorHAnsi"/>
          <w:color w:val="595959" w:themeColor="text1" w:themeTint="A6"/>
          <w:lang w:val="en-AU"/>
        </w:rPr>
        <w:t xml:space="preserve"> </w:t>
      </w:r>
      <w:r w:rsidR="00313FA3" w:rsidRPr="009B5EAF">
        <w:rPr>
          <w:rFonts w:asciiTheme="majorHAnsi" w:eastAsia="Calibri" w:hAnsiTheme="majorHAnsi" w:cstheme="majorHAnsi"/>
          <w:color w:val="595959" w:themeColor="text1" w:themeTint="A6"/>
          <w:lang w:val="en-AU"/>
        </w:rPr>
        <w:t xml:space="preserve">be expected to </w:t>
      </w:r>
      <w:r w:rsidR="008A1F01" w:rsidRPr="009B5EAF">
        <w:rPr>
          <w:rFonts w:asciiTheme="majorHAnsi" w:eastAsia="Calibri" w:hAnsiTheme="majorHAnsi" w:cstheme="majorHAnsi"/>
          <w:color w:val="595959" w:themeColor="text1" w:themeTint="A6"/>
          <w:lang w:val="en-AU"/>
        </w:rPr>
        <w:t xml:space="preserve">conduct a number of </w:t>
      </w:r>
      <w:r w:rsidR="00295D90" w:rsidRPr="009B5EAF">
        <w:rPr>
          <w:rFonts w:asciiTheme="majorHAnsi" w:eastAsia="Calibri" w:hAnsiTheme="majorHAnsi" w:cstheme="majorHAnsi"/>
          <w:color w:val="595959" w:themeColor="text1" w:themeTint="A6"/>
          <w:lang w:val="en-AU"/>
        </w:rPr>
        <w:t>gap</w:t>
      </w:r>
      <w:r w:rsidR="008A1F01" w:rsidRPr="009B5EAF">
        <w:rPr>
          <w:rFonts w:asciiTheme="majorHAnsi" w:eastAsia="Calibri" w:hAnsiTheme="majorHAnsi" w:cstheme="majorHAnsi"/>
          <w:color w:val="595959" w:themeColor="text1" w:themeTint="A6"/>
          <w:lang w:val="en-AU"/>
        </w:rPr>
        <w:t xml:space="preserve"> </w:t>
      </w:r>
      <w:r w:rsidR="003A0CE9" w:rsidRPr="009B5EAF">
        <w:rPr>
          <w:rFonts w:asciiTheme="majorHAnsi" w:eastAsia="Calibri" w:hAnsiTheme="majorHAnsi" w:cstheme="majorHAnsi"/>
          <w:color w:val="595959" w:themeColor="text1" w:themeTint="A6"/>
          <w:lang w:val="en-AU"/>
        </w:rPr>
        <w:t xml:space="preserve">analyses </w:t>
      </w:r>
      <w:r w:rsidR="008A1F01" w:rsidRPr="009B5EAF">
        <w:rPr>
          <w:rFonts w:asciiTheme="majorHAnsi" w:eastAsia="Calibri" w:hAnsiTheme="majorHAnsi" w:cstheme="majorHAnsi"/>
          <w:color w:val="595959" w:themeColor="text1" w:themeTint="A6"/>
          <w:lang w:val="en-AU"/>
        </w:rPr>
        <w:t>relating to the contextual environment</w:t>
      </w:r>
      <w:r w:rsidR="00F43B00" w:rsidRPr="009B5EAF">
        <w:rPr>
          <w:rFonts w:asciiTheme="majorHAnsi" w:eastAsia="Calibri" w:hAnsiTheme="majorHAnsi" w:cstheme="majorHAnsi"/>
          <w:color w:val="595959" w:themeColor="text1" w:themeTint="A6"/>
          <w:lang w:val="en-AU"/>
        </w:rPr>
        <w:t xml:space="preserve">, </w:t>
      </w:r>
      <w:r w:rsidR="008A1F01" w:rsidRPr="009B5EAF">
        <w:rPr>
          <w:rFonts w:asciiTheme="majorHAnsi" w:eastAsia="Calibri" w:hAnsiTheme="majorHAnsi" w:cstheme="majorHAnsi"/>
          <w:color w:val="595959" w:themeColor="text1" w:themeTint="A6"/>
          <w:lang w:val="en-AU"/>
        </w:rPr>
        <w:t xml:space="preserve">current </w:t>
      </w:r>
      <w:r w:rsidR="00F43B00" w:rsidRPr="009B5EAF">
        <w:rPr>
          <w:rFonts w:asciiTheme="majorHAnsi" w:eastAsia="Calibri" w:hAnsiTheme="majorHAnsi" w:cstheme="majorHAnsi"/>
          <w:color w:val="595959" w:themeColor="text1" w:themeTint="A6"/>
          <w:lang w:val="en-AU"/>
        </w:rPr>
        <w:t xml:space="preserve">surveillance </w:t>
      </w:r>
      <w:r w:rsidR="008A1F01" w:rsidRPr="009B5EAF">
        <w:rPr>
          <w:rFonts w:asciiTheme="majorHAnsi" w:eastAsia="Calibri" w:hAnsiTheme="majorHAnsi" w:cstheme="majorHAnsi"/>
          <w:color w:val="595959" w:themeColor="text1" w:themeTint="A6"/>
          <w:lang w:val="en-AU"/>
        </w:rPr>
        <w:t>systems, policies and procedures</w:t>
      </w:r>
      <w:r w:rsidR="00207810" w:rsidRPr="009B5EAF">
        <w:rPr>
          <w:rFonts w:asciiTheme="majorHAnsi" w:eastAsia="Calibri" w:hAnsiTheme="majorHAnsi" w:cstheme="majorHAnsi"/>
          <w:color w:val="595959" w:themeColor="text1" w:themeTint="A6"/>
          <w:lang w:val="en-AU"/>
        </w:rPr>
        <w:t>, coordination mechanisms,</w:t>
      </w:r>
      <w:r w:rsidR="008A1F01" w:rsidRPr="009B5EAF">
        <w:rPr>
          <w:rFonts w:asciiTheme="majorHAnsi" w:eastAsia="Calibri" w:hAnsiTheme="majorHAnsi" w:cstheme="majorHAnsi"/>
          <w:color w:val="595959" w:themeColor="text1" w:themeTint="A6"/>
          <w:lang w:val="en-AU"/>
        </w:rPr>
        <w:t xml:space="preserve"> and</w:t>
      </w:r>
      <w:r w:rsidR="00F43B00" w:rsidRPr="009B5EAF">
        <w:rPr>
          <w:rFonts w:asciiTheme="majorHAnsi" w:eastAsia="Calibri" w:hAnsiTheme="majorHAnsi" w:cstheme="majorHAnsi"/>
          <w:color w:val="595959" w:themeColor="text1" w:themeTint="A6"/>
          <w:lang w:val="en-AU"/>
        </w:rPr>
        <w:t xml:space="preserve"> lab capacity</w:t>
      </w:r>
      <w:r w:rsidR="00313FA3" w:rsidRPr="009B5EAF">
        <w:rPr>
          <w:rFonts w:asciiTheme="majorHAnsi" w:eastAsia="Calibri" w:hAnsiTheme="majorHAnsi" w:cstheme="majorHAnsi"/>
          <w:color w:val="595959" w:themeColor="text1" w:themeTint="A6"/>
          <w:lang w:val="en-AU"/>
        </w:rPr>
        <w:t xml:space="preserve">; </w:t>
      </w:r>
    </w:p>
    <w:p w:rsidR="00313FA3" w:rsidRPr="009B5EAF" w:rsidRDefault="00313FA3">
      <w:pPr>
        <w:spacing w:before="0" w:after="120" w:line="240" w:lineRule="auto"/>
        <w:rPr>
          <w:rFonts w:asciiTheme="majorHAnsi" w:eastAsia="Calibri" w:hAnsiTheme="majorHAnsi" w:cstheme="majorHAnsi"/>
          <w:color w:val="595959" w:themeColor="text1" w:themeTint="A6"/>
          <w:lang w:val="en-AU"/>
        </w:rPr>
      </w:pPr>
      <w:r w:rsidRPr="009B5EAF">
        <w:rPr>
          <w:rFonts w:asciiTheme="majorHAnsi" w:eastAsia="Calibri" w:hAnsiTheme="majorHAnsi" w:cstheme="majorHAnsi"/>
          <w:color w:val="595959" w:themeColor="text1" w:themeTint="A6"/>
          <w:lang w:val="en-AU"/>
        </w:rPr>
        <w:t>- a component of the program will be the ongoing development of preparedness at the subnational (p</w:t>
      </w:r>
      <w:r w:rsidR="00D31E79">
        <w:rPr>
          <w:rFonts w:asciiTheme="majorHAnsi" w:eastAsia="Calibri" w:hAnsiTheme="majorHAnsi" w:cstheme="majorHAnsi"/>
          <w:color w:val="595959" w:themeColor="text1" w:themeTint="A6"/>
          <w:lang w:val="en-AU"/>
        </w:rPr>
        <w:t xml:space="preserve">rovincial and district) level. </w:t>
      </w:r>
      <w:r w:rsidRPr="009B5EAF">
        <w:rPr>
          <w:rFonts w:asciiTheme="majorHAnsi" w:eastAsia="Calibri" w:hAnsiTheme="majorHAnsi" w:cstheme="majorHAnsi"/>
          <w:color w:val="595959" w:themeColor="text1" w:themeTint="A6"/>
          <w:lang w:val="en-AU"/>
        </w:rPr>
        <w:t xml:space="preserve">The managing contractor </w:t>
      </w:r>
      <w:r w:rsidR="00B62931">
        <w:rPr>
          <w:rFonts w:asciiTheme="majorHAnsi" w:eastAsia="Calibri" w:hAnsiTheme="majorHAnsi" w:cstheme="majorHAnsi"/>
          <w:color w:val="595959" w:themeColor="text1" w:themeTint="A6"/>
          <w:lang w:val="en-AU"/>
        </w:rPr>
        <w:t>may</w:t>
      </w:r>
      <w:r w:rsidRPr="009B5EAF">
        <w:rPr>
          <w:rFonts w:asciiTheme="majorHAnsi" w:eastAsia="Calibri" w:hAnsiTheme="majorHAnsi" w:cstheme="majorHAnsi"/>
          <w:color w:val="595959" w:themeColor="text1" w:themeTint="A6"/>
          <w:lang w:val="en-AU"/>
        </w:rPr>
        <w:t xml:space="preserve"> explore collaboration at the subnational level for particular areas of health security, and </w:t>
      </w:r>
      <w:r w:rsidR="00B62931">
        <w:rPr>
          <w:rFonts w:asciiTheme="majorHAnsi" w:eastAsia="Calibri" w:hAnsiTheme="majorHAnsi" w:cstheme="majorHAnsi"/>
          <w:color w:val="595959" w:themeColor="text1" w:themeTint="A6"/>
          <w:lang w:val="en-AU"/>
        </w:rPr>
        <w:t>may</w:t>
      </w:r>
      <w:r w:rsidRPr="009B5EAF">
        <w:rPr>
          <w:rFonts w:asciiTheme="majorHAnsi" w:eastAsia="Calibri" w:hAnsiTheme="majorHAnsi" w:cstheme="majorHAnsi"/>
          <w:color w:val="595959" w:themeColor="text1" w:themeTint="A6"/>
          <w:lang w:val="en-AU"/>
        </w:rPr>
        <w:t xml:space="preserve"> identify opportunities for establishing a subnational presence (</w:t>
      </w:r>
      <w:r w:rsidR="00145397">
        <w:rPr>
          <w:rFonts w:asciiTheme="majorHAnsi" w:eastAsia="Calibri" w:hAnsiTheme="majorHAnsi" w:cstheme="majorHAnsi"/>
          <w:color w:val="595959" w:themeColor="text1" w:themeTint="A6"/>
          <w:lang w:val="en-AU"/>
        </w:rPr>
        <w:t>e</w:t>
      </w:r>
      <w:r w:rsidR="00EB5D12">
        <w:rPr>
          <w:rFonts w:asciiTheme="majorHAnsi" w:eastAsia="Calibri" w:hAnsiTheme="majorHAnsi" w:cstheme="majorHAnsi"/>
          <w:color w:val="595959" w:themeColor="text1" w:themeTint="A6"/>
          <w:lang w:val="en-AU"/>
        </w:rPr>
        <w:t>.</w:t>
      </w:r>
      <w:r w:rsidR="00145397">
        <w:rPr>
          <w:rFonts w:asciiTheme="majorHAnsi" w:eastAsia="Calibri" w:hAnsiTheme="majorHAnsi" w:cstheme="majorHAnsi"/>
          <w:color w:val="595959" w:themeColor="text1" w:themeTint="A6"/>
          <w:lang w:val="en-AU"/>
        </w:rPr>
        <w:t>g</w:t>
      </w:r>
      <w:r w:rsidR="00C36348" w:rsidRPr="009B5EAF">
        <w:rPr>
          <w:rFonts w:asciiTheme="majorHAnsi" w:eastAsia="Calibri" w:hAnsiTheme="majorHAnsi" w:cstheme="majorHAnsi"/>
          <w:color w:val="595959" w:themeColor="text1" w:themeTint="A6"/>
          <w:lang w:val="en-AU"/>
        </w:rPr>
        <w:t>.</w:t>
      </w:r>
      <w:r w:rsidRPr="009B5EAF">
        <w:rPr>
          <w:rFonts w:asciiTheme="majorHAnsi" w:eastAsia="Calibri" w:hAnsiTheme="majorHAnsi" w:cstheme="majorHAnsi"/>
          <w:color w:val="595959" w:themeColor="text1" w:themeTint="A6"/>
          <w:lang w:val="en-AU"/>
        </w:rPr>
        <w:t xml:space="preserve"> program office</w:t>
      </w:r>
      <w:r w:rsidR="00C36348" w:rsidRPr="009B5EAF">
        <w:rPr>
          <w:rFonts w:asciiTheme="majorHAnsi" w:eastAsia="Calibri" w:hAnsiTheme="majorHAnsi" w:cstheme="majorHAnsi"/>
          <w:color w:val="595959" w:themeColor="text1" w:themeTint="A6"/>
          <w:lang w:val="en-AU"/>
        </w:rPr>
        <w:t>/</w:t>
      </w:r>
      <w:r w:rsidRPr="009B5EAF">
        <w:rPr>
          <w:rFonts w:asciiTheme="majorHAnsi" w:eastAsia="Calibri" w:hAnsiTheme="majorHAnsi" w:cstheme="majorHAnsi"/>
          <w:color w:val="595959" w:themeColor="text1" w:themeTint="A6"/>
          <w:lang w:val="en-AU"/>
        </w:rPr>
        <w:t>s</w:t>
      </w:r>
      <w:r w:rsidR="00145397">
        <w:rPr>
          <w:rFonts w:asciiTheme="majorHAnsi" w:eastAsia="Calibri" w:hAnsiTheme="majorHAnsi" w:cstheme="majorHAnsi"/>
          <w:color w:val="595959" w:themeColor="text1" w:themeTint="A6"/>
          <w:lang w:val="en-AU"/>
        </w:rPr>
        <w:t xml:space="preserve"> or representative</w:t>
      </w:r>
      <w:r w:rsidR="00EB5D12">
        <w:rPr>
          <w:rFonts w:asciiTheme="majorHAnsi" w:eastAsia="Calibri" w:hAnsiTheme="majorHAnsi" w:cstheme="majorHAnsi"/>
          <w:color w:val="595959" w:themeColor="text1" w:themeTint="A6"/>
          <w:lang w:val="en-AU"/>
        </w:rPr>
        <w:t>/s</w:t>
      </w:r>
      <w:r w:rsidRPr="009B5EAF">
        <w:rPr>
          <w:rFonts w:asciiTheme="majorHAnsi" w:eastAsia="Calibri" w:hAnsiTheme="majorHAnsi" w:cstheme="majorHAnsi"/>
          <w:color w:val="595959" w:themeColor="text1" w:themeTint="A6"/>
          <w:lang w:val="en-AU"/>
        </w:rPr>
        <w:t>) to support this</w:t>
      </w:r>
      <w:r w:rsidR="00B62931">
        <w:rPr>
          <w:rFonts w:asciiTheme="majorHAnsi" w:eastAsia="Calibri" w:hAnsiTheme="majorHAnsi" w:cstheme="majorHAnsi"/>
          <w:color w:val="595959" w:themeColor="text1" w:themeTint="A6"/>
          <w:lang w:val="en-AU"/>
        </w:rPr>
        <w:t xml:space="preserve"> as the program develops</w:t>
      </w:r>
      <w:r w:rsidRPr="009B5EAF">
        <w:rPr>
          <w:rFonts w:asciiTheme="majorHAnsi" w:eastAsia="Calibri" w:hAnsiTheme="majorHAnsi" w:cstheme="majorHAnsi"/>
          <w:color w:val="595959" w:themeColor="text1" w:themeTint="A6"/>
          <w:lang w:val="en-AU"/>
        </w:rPr>
        <w:t>;</w:t>
      </w:r>
    </w:p>
    <w:p w:rsidR="00313FA3" w:rsidRPr="009B5EAF" w:rsidRDefault="00313FA3">
      <w:pPr>
        <w:spacing w:before="0" w:after="120" w:line="240" w:lineRule="auto"/>
        <w:rPr>
          <w:rFonts w:asciiTheme="majorHAnsi" w:eastAsia="Calibri" w:hAnsiTheme="majorHAnsi" w:cstheme="majorHAnsi"/>
          <w:color w:val="595959" w:themeColor="text1" w:themeTint="A6"/>
          <w:lang w:val="en-AU"/>
        </w:rPr>
      </w:pPr>
      <w:r w:rsidRPr="009B5EAF">
        <w:rPr>
          <w:rFonts w:asciiTheme="majorHAnsi" w:eastAsia="Calibri" w:hAnsiTheme="majorHAnsi" w:cstheme="majorHAnsi"/>
          <w:color w:val="595959" w:themeColor="text1" w:themeTint="A6"/>
          <w:lang w:val="en-AU"/>
        </w:rPr>
        <w:t xml:space="preserve">- </w:t>
      </w:r>
      <w:r w:rsidR="009C2D83">
        <w:rPr>
          <w:rFonts w:asciiTheme="majorHAnsi" w:eastAsia="Calibri" w:hAnsiTheme="majorHAnsi" w:cstheme="majorHAnsi"/>
          <w:color w:val="595959" w:themeColor="text1" w:themeTint="A6"/>
          <w:lang w:val="en-AU"/>
        </w:rPr>
        <w:t xml:space="preserve">DFAT expects to enter into a grant arrangement with </w:t>
      </w:r>
      <w:r w:rsidR="00F43B00" w:rsidRPr="009B5EAF">
        <w:rPr>
          <w:rFonts w:asciiTheme="majorHAnsi" w:eastAsia="Calibri" w:hAnsiTheme="majorHAnsi" w:cstheme="majorHAnsi"/>
          <w:color w:val="595959" w:themeColor="text1" w:themeTint="A6"/>
          <w:lang w:val="en-AU"/>
        </w:rPr>
        <w:t>WHO</w:t>
      </w:r>
      <w:r w:rsidRPr="009B5EAF">
        <w:rPr>
          <w:rFonts w:asciiTheme="majorHAnsi" w:eastAsia="Calibri" w:hAnsiTheme="majorHAnsi" w:cstheme="majorHAnsi"/>
          <w:color w:val="595959" w:themeColor="text1" w:themeTint="A6"/>
          <w:lang w:val="en-AU"/>
        </w:rPr>
        <w:t xml:space="preserve"> </w:t>
      </w:r>
      <w:r w:rsidR="00F43B00" w:rsidRPr="009B5EAF">
        <w:rPr>
          <w:rFonts w:asciiTheme="majorHAnsi" w:eastAsia="Calibri" w:hAnsiTheme="majorHAnsi" w:cstheme="majorHAnsi"/>
          <w:color w:val="595959" w:themeColor="text1" w:themeTint="A6"/>
          <w:lang w:val="en-AU"/>
        </w:rPr>
        <w:t>to</w:t>
      </w:r>
      <w:r w:rsidRPr="009B5EAF">
        <w:rPr>
          <w:rFonts w:asciiTheme="majorHAnsi" w:eastAsia="Calibri" w:hAnsiTheme="majorHAnsi" w:cstheme="majorHAnsi"/>
          <w:color w:val="595959" w:themeColor="text1" w:themeTint="A6"/>
          <w:lang w:val="en-AU"/>
        </w:rPr>
        <w:t xml:space="preserve"> continue to</w:t>
      </w:r>
      <w:r w:rsidR="00F43B00" w:rsidRPr="009B5EAF">
        <w:rPr>
          <w:rFonts w:asciiTheme="majorHAnsi" w:eastAsia="Calibri" w:hAnsiTheme="majorHAnsi" w:cstheme="majorHAnsi"/>
          <w:color w:val="595959" w:themeColor="text1" w:themeTint="A6"/>
          <w:lang w:val="en-AU"/>
        </w:rPr>
        <w:t xml:space="preserve"> provide technical advice and capacity building for GoI, particularly in relation to the NAPHS</w:t>
      </w:r>
      <w:r w:rsidR="00295D90" w:rsidRPr="009B5EAF">
        <w:rPr>
          <w:rFonts w:asciiTheme="majorHAnsi" w:eastAsia="Calibri" w:hAnsiTheme="majorHAnsi" w:cstheme="majorHAnsi"/>
          <w:color w:val="595959" w:themeColor="text1" w:themeTint="A6"/>
          <w:lang w:val="en-AU"/>
        </w:rPr>
        <w:t>, IHR capacities and FETP</w:t>
      </w:r>
      <w:r w:rsidRPr="009B5EAF">
        <w:rPr>
          <w:rStyle w:val="FootnoteReference"/>
          <w:rFonts w:asciiTheme="majorHAnsi" w:eastAsia="Calibri" w:hAnsiTheme="majorHAnsi" w:cstheme="majorHAnsi"/>
          <w:color w:val="595959" w:themeColor="text1" w:themeTint="A6"/>
          <w:lang w:val="en-AU"/>
        </w:rPr>
        <w:footnoteReference w:id="15"/>
      </w:r>
      <w:r w:rsidR="0067418C">
        <w:rPr>
          <w:rFonts w:asciiTheme="majorHAnsi" w:eastAsia="Calibri" w:hAnsiTheme="majorHAnsi" w:cstheme="majorHAnsi"/>
          <w:color w:val="595959" w:themeColor="text1" w:themeTint="A6"/>
          <w:lang w:val="en-AU"/>
        </w:rPr>
        <w:t>. The managing contra</w:t>
      </w:r>
      <w:r w:rsidR="00305395">
        <w:rPr>
          <w:rFonts w:asciiTheme="majorHAnsi" w:eastAsia="Calibri" w:hAnsiTheme="majorHAnsi" w:cstheme="majorHAnsi"/>
          <w:color w:val="595959" w:themeColor="text1" w:themeTint="A6"/>
          <w:lang w:val="en-AU"/>
        </w:rPr>
        <w:t>ctor would</w:t>
      </w:r>
      <w:r w:rsidR="0067418C">
        <w:rPr>
          <w:rFonts w:asciiTheme="majorHAnsi" w:eastAsia="Calibri" w:hAnsiTheme="majorHAnsi" w:cstheme="majorHAnsi"/>
          <w:color w:val="595959" w:themeColor="text1" w:themeTint="A6"/>
          <w:lang w:val="en-AU"/>
        </w:rPr>
        <w:t xml:space="preserve"> support DFAT in monitoring the WHO activities and coordinating these with other AIHSP activities</w:t>
      </w:r>
      <w:r w:rsidRPr="009B5EAF">
        <w:rPr>
          <w:rFonts w:asciiTheme="majorHAnsi" w:eastAsia="Calibri" w:hAnsiTheme="majorHAnsi" w:cstheme="majorHAnsi"/>
          <w:color w:val="595959" w:themeColor="text1" w:themeTint="A6"/>
          <w:lang w:val="en-AU"/>
        </w:rPr>
        <w:t>;</w:t>
      </w:r>
    </w:p>
    <w:p w:rsidR="00207810" w:rsidRPr="009B5EAF" w:rsidRDefault="00313FA3">
      <w:pPr>
        <w:spacing w:before="0" w:after="120" w:line="240" w:lineRule="auto"/>
        <w:rPr>
          <w:rFonts w:asciiTheme="majorHAnsi" w:eastAsia="Calibri" w:hAnsiTheme="majorHAnsi" w:cstheme="majorHAnsi"/>
          <w:color w:val="595959" w:themeColor="text1" w:themeTint="A6"/>
          <w:lang w:val="en-AU"/>
        </w:rPr>
      </w:pPr>
      <w:r w:rsidRPr="009B5EAF">
        <w:rPr>
          <w:rFonts w:asciiTheme="majorHAnsi" w:eastAsia="Calibri" w:hAnsiTheme="majorHAnsi" w:cstheme="majorHAnsi"/>
          <w:color w:val="595959" w:themeColor="text1" w:themeTint="A6"/>
          <w:lang w:val="en-AU"/>
        </w:rPr>
        <w:t xml:space="preserve">- </w:t>
      </w:r>
      <w:r w:rsidR="00F43B00" w:rsidRPr="009B5EAF">
        <w:rPr>
          <w:rFonts w:asciiTheme="majorHAnsi" w:eastAsia="Calibri" w:hAnsiTheme="majorHAnsi" w:cstheme="majorHAnsi"/>
          <w:color w:val="595959" w:themeColor="text1" w:themeTint="A6"/>
          <w:lang w:val="en-AU"/>
        </w:rPr>
        <w:t xml:space="preserve">the program will continue to support the development and enhancement of </w:t>
      </w:r>
      <w:r w:rsidR="00207810" w:rsidRPr="009B5EAF">
        <w:rPr>
          <w:rFonts w:asciiTheme="majorHAnsi" w:eastAsia="Calibri" w:hAnsiTheme="majorHAnsi" w:cstheme="majorHAnsi"/>
          <w:color w:val="595959" w:themeColor="text1" w:themeTint="A6"/>
          <w:lang w:val="en-AU"/>
        </w:rPr>
        <w:t>the animal health surveillance system</w:t>
      </w:r>
      <w:r w:rsidR="00363370">
        <w:rPr>
          <w:rFonts w:asciiTheme="majorHAnsi" w:eastAsia="Calibri" w:hAnsiTheme="majorHAnsi" w:cstheme="majorHAnsi"/>
          <w:color w:val="595959" w:themeColor="text1" w:themeTint="A6"/>
          <w:lang w:val="en-AU"/>
        </w:rPr>
        <w:t xml:space="preserve"> (iSIKHNAS</w:t>
      </w:r>
      <w:r w:rsidR="00207810" w:rsidRPr="009B5EAF">
        <w:rPr>
          <w:rFonts w:asciiTheme="majorHAnsi" w:eastAsia="Calibri" w:hAnsiTheme="majorHAnsi" w:cstheme="majorHAnsi"/>
          <w:color w:val="595959" w:themeColor="text1" w:themeTint="A6"/>
          <w:lang w:val="en-AU"/>
        </w:rPr>
        <w:t>) and the related</w:t>
      </w:r>
      <w:r w:rsidR="00F43B00" w:rsidRPr="009B5EAF">
        <w:rPr>
          <w:rFonts w:asciiTheme="majorHAnsi" w:eastAsia="Calibri" w:hAnsiTheme="majorHAnsi" w:cstheme="majorHAnsi"/>
          <w:color w:val="595959" w:themeColor="text1" w:themeTint="A6"/>
          <w:lang w:val="en-AU"/>
        </w:rPr>
        <w:t xml:space="preserve"> </w:t>
      </w:r>
      <w:r w:rsidR="00207810" w:rsidRPr="009B5EAF">
        <w:rPr>
          <w:rFonts w:asciiTheme="majorHAnsi" w:eastAsia="Calibri" w:hAnsiTheme="majorHAnsi" w:cstheme="majorHAnsi"/>
          <w:color w:val="595959" w:themeColor="text1" w:themeTint="A6"/>
          <w:lang w:val="en-AU"/>
        </w:rPr>
        <w:t xml:space="preserve">assessment of </w:t>
      </w:r>
      <w:r w:rsidR="00F43B00" w:rsidRPr="009B5EAF">
        <w:rPr>
          <w:rFonts w:asciiTheme="majorHAnsi" w:eastAsia="Calibri" w:hAnsiTheme="majorHAnsi" w:cstheme="majorHAnsi"/>
          <w:color w:val="595959" w:themeColor="text1" w:themeTint="A6"/>
          <w:lang w:val="en-AU"/>
        </w:rPr>
        <w:t>linkages and information sharing between all current animal and human health surveillanc</w:t>
      </w:r>
      <w:r w:rsidR="006B0A5F" w:rsidRPr="009B5EAF">
        <w:rPr>
          <w:rFonts w:asciiTheme="majorHAnsi" w:eastAsia="Calibri" w:hAnsiTheme="majorHAnsi" w:cstheme="majorHAnsi"/>
          <w:color w:val="595959" w:themeColor="text1" w:themeTint="A6"/>
          <w:lang w:val="en-AU"/>
        </w:rPr>
        <w:t xml:space="preserve">e systems </w:t>
      </w:r>
      <w:r w:rsidR="00D80244" w:rsidRPr="009B5EAF">
        <w:rPr>
          <w:rFonts w:asciiTheme="majorHAnsi" w:eastAsia="Calibri" w:hAnsiTheme="majorHAnsi" w:cstheme="majorHAnsi"/>
          <w:color w:val="595959" w:themeColor="text1" w:themeTint="A6"/>
          <w:lang w:val="en-AU"/>
        </w:rPr>
        <w:t>(SehatSatli</w:t>
      </w:r>
      <w:r w:rsidR="006B0A5F" w:rsidRPr="009B5EAF">
        <w:rPr>
          <w:rFonts w:asciiTheme="majorHAnsi" w:eastAsia="Calibri" w:hAnsiTheme="majorHAnsi" w:cstheme="majorHAnsi"/>
          <w:color w:val="595959" w:themeColor="text1" w:themeTint="A6"/>
          <w:lang w:val="en-AU"/>
        </w:rPr>
        <w:t>, SIZE, EWARS</w:t>
      </w:r>
      <w:r w:rsidR="00F43B00" w:rsidRPr="009B5EAF">
        <w:rPr>
          <w:rFonts w:asciiTheme="majorHAnsi" w:eastAsia="Calibri" w:hAnsiTheme="majorHAnsi" w:cstheme="majorHAnsi"/>
          <w:color w:val="595959" w:themeColor="text1" w:themeTint="A6"/>
          <w:lang w:val="en-AU"/>
        </w:rPr>
        <w:t>)</w:t>
      </w:r>
      <w:r w:rsidR="00D31E79">
        <w:rPr>
          <w:rFonts w:asciiTheme="majorHAnsi" w:eastAsia="Calibri" w:hAnsiTheme="majorHAnsi" w:cstheme="majorHAnsi"/>
          <w:color w:val="595959" w:themeColor="text1" w:themeTint="A6"/>
          <w:lang w:val="en-AU"/>
        </w:rPr>
        <w:t>.</w:t>
      </w:r>
    </w:p>
    <w:p w:rsidR="00F24285" w:rsidRPr="0043356C" w:rsidRDefault="00F24285" w:rsidP="00BF6C52">
      <w:pPr>
        <w:pStyle w:val="Heading3"/>
        <w:spacing w:before="0" w:after="120" w:line="240" w:lineRule="auto"/>
        <w:contextualSpacing w:val="0"/>
        <w:rPr>
          <w:rFonts w:eastAsia="Calibri" w:cstheme="majorHAnsi"/>
          <w:szCs w:val="22"/>
          <w:lang w:val="en-AU"/>
        </w:rPr>
      </w:pPr>
      <w:bookmarkStart w:id="19" w:name="_Toc3297003"/>
      <w:r w:rsidRPr="0043356C">
        <w:rPr>
          <w:rFonts w:eastAsia="Calibri" w:cstheme="majorHAnsi"/>
          <w:szCs w:val="22"/>
          <w:lang w:val="en-AU"/>
        </w:rPr>
        <w:t>Links/Complementary Activities with the IP</w:t>
      </w:r>
      <w:r w:rsidR="00D27E72" w:rsidRPr="0043356C">
        <w:rPr>
          <w:rFonts w:eastAsia="Calibri" w:cstheme="majorHAnsi"/>
          <w:szCs w:val="22"/>
          <w:lang w:val="en-AU"/>
        </w:rPr>
        <w:t>C</w:t>
      </w:r>
      <w:r w:rsidRPr="0043356C">
        <w:rPr>
          <w:rFonts w:eastAsia="Calibri" w:cstheme="majorHAnsi"/>
          <w:szCs w:val="22"/>
          <w:lang w:val="en-AU"/>
        </w:rPr>
        <w:t>HS</w:t>
      </w:r>
      <w:bookmarkEnd w:id="19"/>
    </w:p>
    <w:p w:rsidR="00494255" w:rsidRDefault="00494255" w:rsidP="00494255">
      <w:pPr>
        <w:spacing w:before="0" w:after="120" w:line="240" w:lineRule="auto"/>
        <w:rPr>
          <w:rFonts w:asciiTheme="majorHAnsi" w:eastAsia="Calibri" w:hAnsiTheme="majorHAnsi" w:cstheme="majorHAnsi"/>
          <w:color w:val="595959" w:themeColor="text1" w:themeTint="A6"/>
          <w:lang w:val="en-AU"/>
        </w:rPr>
      </w:pPr>
      <w:r w:rsidRPr="00494255">
        <w:rPr>
          <w:rFonts w:asciiTheme="majorHAnsi" w:eastAsia="Calibri" w:hAnsiTheme="majorHAnsi" w:cstheme="majorHAnsi"/>
          <w:color w:val="595959" w:themeColor="text1" w:themeTint="A6"/>
          <w:lang w:val="en-AU"/>
        </w:rPr>
        <w:t>In 2017, Australia announced a Health Security Initiative for the In</w:t>
      </w:r>
      <w:r>
        <w:rPr>
          <w:rFonts w:asciiTheme="majorHAnsi" w:eastAsia="Calibri" w:hAnsiTheme="majorHAnsi" w:cstheme="majorHAnsi"/>
          <w:color w:val="595959" w:themeColor="text1" w:themeTint="A6"/>
          <w:lang w:val="en-AU"/>
        </w:rPr>
        <w:t>do-Pacific region</w:t>
      </w:r>
      <w:r w:rsidR="00363370">
        <w:rPr>
          <w:rFonts w:asciiTheme="majorHAnsi" w:eastAsia="Calibri" w:hAnsiTheme="majorHAnsi" w:cstheme="majorHAnsi"/>
          <w:color w:val="595959" w:themeColor="text1" w:themeTint="A6"/>
          <w:lang w:val="en-AU"/>
        </w:rPr>
        <w:t xml:space="preserve">, which is being implemented by the </w:t>
      </w:r>
      <w:r>
        <w:rPr>
          <w:rFonts w:asciiTheme="majorHAnsi" w:eastAsia="Calibri" w:hAnsiTheme="majorHAnsi" w:cstheme="majorHAnsi"/>
          <w:color w:val="595959" w:themeColor="text1" w:themeTint="A6"/>
          <w:lang w:val="en-AU"/>
        </w:rPr>
        <w:t xml:space="preserve">new </w:t>
      </w:r>
      <w:r w:rsidR="00881229">
        <w:rPr>
          <w:rFonts w:asciiTheme="majorHAnsi" w:eastAsia="Calibri" w:hAnsiTheme="majorHAnsi" w:cstheme="majorHAnsi"/>
          <w:color w:val="595959" w:themeColor="text1" w:themeTint="A6"/>
          <w:lang w:val="en-AU"/>
        </w:rPr>
        <w:t>IPCHS with funding of $</w:t>
      </w:r>
      <w:r w:rsidRPr="00494255">
        <w:rPr>
          <w:rFonts w:asciiTheme="majorHAnsi" w:eastAsia="Calibri" w:hAnsiTheme="majorHAnsi" w:cstheme="majorHAnsi"/>
          <w:color w:val="595959" w:themeColor="text1" w:themeTint="A6"/>
          <w:lang w:val="en-AU"/>
        </w:rPr>
        <w:t>300 million over five years. The initiative contributes to the prevention and control of infectious disease threats with the potential to cause social and economic harms on a nati</w:t>
      </w:r>
      <w:r w:rsidR="0091121E">
        <w:rPr>
          <w:rFonts w:asciiTheme="majorHAnsi" w:eastAsia="Calibri" w:hAnsiTheme="majorHAnsi" w:cstheme="majorHAnsi"/>
          <w:color w:val="595959" w:themeColor="text1" w:themeTint="A6"/>
          <w:lang w:val="en-AU"/>
        </w:rPr>
        <w:t>onal, regional or global scale.</w:t>
      </w:r>
      <w:r w:rsidRPr="00494255">
        <w:rPr>
          <w:rFonts w:asciiTheme="majorHAnsi" w:eastAsia="Calibri" w:hAnsiTheme="majorHAnsi" w:cstheme="majorHAnsi"/>
          <w:color w:val="595959" w:themeColor="text1" w:themeTint="A6"/>
          <w:lang w:val="en-AU"/>
        </w:rPr>
        <w:t xml:space="preserve"> </w:t>
      </w:r>
    </w:p>
    <w:p w:rsidR="00412958" w:rsidRPr="001504BF" w:rsidRDefault="00196B0E" w:rsidP="00494255">
      <w:pPr>
        <w:spacing w:before="0" w:after="120" w:line="240" w:lineRule="auto"/>
        <w:rPr>
          <w:rFonts w:asciiTheme="majorHAnsi" w:eastAsia="Calibri" w:hAnsiTheme="majorHAnsi" w:cstheme="majorHAnsi"/>
          <w:color w:val="595959" w:themeColor="text1" w:themeTint="A6"/>
          <w:lang w:val="en-AU"/>
        </w:rPr>
      </w:pPr>
      <w:r w:rsidRPr="009B5EAF">
        <w:rPr>
          <w:rFonts w:asciiTheme="majorHAnsi" w:eastAsia="Calibri" w:hAnsiTheme="majorHAnsi" w:cstheme="majorHAnsi"/>
          <w:color w:val="595959" w:themeColor="text1" w:themeTint="A6"/>
          <w:lang w:val="en-AU"/>
        </w:rPr>
        <w:t>IPCHS will release their guiding strategy</w:t>
      </w:r>
      <w:r w:rsidR="00145397">
        <w:rPr>
          <w:rFonts w:asciiTheme="majorHAnsi" w:eastAsia="Calibri" w:hAnsiTheme="majorHAnsi" w:cstheme="majorHAnsi"/>
          <w:color w:val="595959" w:themeColor="text1" w:themeTint="A6"/>
          <w:lang w:val="en-AU"/>
        </w:rPr>
        <w:t xml:space="preserve"> for Indonesia in</w:t>
      </w:r>
      <w:r w:rsidRPr="009B5EAF">
        <w:rPr>
          <w:rFonts w:asciiTheme="majorHAnsi" w:eastAsia="Calibri" w:hAnsiTheme="majorHAnsi" w:cstheme="majorHAnsi"/>
          <w:color w:val="595959" w:themeColor="text1" w:themeTint="A6"/>
          <w:lang w:val="en-AU"/>
        </w:rPr>
        <w:t xml:space="preserve"> </w:t>
      </w:r>
      <w:r w:rsidR="00552DB7" w:rsidRPr="009B5EAF">
        <w:rPr>
          <w:rFonts w:asciiTheme="majorHAnsi" w:eastAsia="Calibri" w:hAnsiTheme="majorHAnsi" w:cstheme="majorHAnsi"/>
          <w:color w:val="595959" w:themeColor="text1" w:themeTint="A6"/>
          <w:lang w:val="en-AU"/>
        </w:rPr>
        <w:t>early in 2019, together with</w:t>
      </w:r>
      <w:r w:rsidR="00FF667E" w:rsidRPr="009B5EAF">
        <w:rPr>
          <w:rFonts w:asciiTheme="majorHAnsi" w:eastAsia="Calibri" w:hAnsiTheme="majorHAnsi" w:cstheme="majorHAnsi"/>
          <w:color w:val="595959" w:themeColor="text1" w:themeTint="A6"/>
          <w:lang w:val="en-AU"/>
        </w:rPr>
        <w:t xml:space="preserve"> remaining designs fo</w:t>
      </w:r>
      <w:r w:rsidR="00943280" w:rsidRPr="009B5EAF">
        <w:rPr>
          <w:rFonts w:asciiTheme="majorHAnsi" w:eastAsia="Calibri" w:hAnsiTheme="majorHAnsi" w:cstheme="majorHAnsi"/>
          <w:color w:val="595959" w:themeColor="text1" w:themeTint="A6"/>
          <w:lang w:val="en-AU"/>
        </w:rPr>
        <w:t>r work under</w:t>
      </w:r>
      <w:r w:rsidR="00FF667E" w:rsidRPr="009B5EAF">
        <w:rPr>
          <w:rFonts w:asciiTheme="majorHAnsi" w:eastAsia="Calibri" w:hAnsiTheme="majorHAnsi" w:cstheme="majorHAnsi"/>
          <w:color w:val="595959" w:themeColor="text1" w:themeTint="A6"/>
          <w:lang w:val="en-AU"/>
        </w:rPr>
        <w:t xml:space="preserve"> </w:t>
      </w:r>
      <w:r w:rsidR="00552DB7" w:rsidRPr="009B5EAF">
        <w:rPr>
          <w:rFonts w:asciiTheme="majorHAnsi" w:eastAsia="Calibri" w:hAnsiTheme="majorHAnsi" w:cstheme="majorHAnsi"/>
          <w:color w:val="595959" w:themeColor="text1" w:themeTint="A6"/>
          <w:lang w:val="en-AU"/>
        </w:rPr>
        <w:t xml:space="preserve">the following six </w:t>
      </w:r>
      <w:r w:rsidR="00FF667E" w:rsidRPr="009B5EAF">
        <w:rPr>
          <w:rFonts w:asciiTheme="majorHAnsi" w:eastAsia="Calibri" w:hAnsiTheme="majorHAnsi" w:cstheme="majorHAnsi"/>
          <w:color w:val="595959" w:themeColor="text1" w:themeTint="A6"/>
          <w:lang w:val="en-AU"/>
        </w:rPr>
        <w:t>core themes</w:t>
      </w:r>
      <w:r w:rsidR="00556171">
        <w:rPr>
          <w:rFonts w:asciiTheme="majorHAnsi" w:eastAsia="Calibri" w:hAnsiTheme="majorHAnsi" w:cstheme="majorHAnsi"/>
          <w:color w:val="595959" w:themeColor="text1" w:themeTint="A6"/>
          <w:lang w:val="en-AU"/>
        </w:rPr>
        <w:t xml:space="preserve"> which align with the AIHSP investment areas</w:t>
      </w:r>
      <w:r w:rsidR="00412958">
        <w:rPr>
          <w:rFonts w:asciiTheme="majorHAnsi" w:eastAsia="Calibri" w:hAnsiTheme="majorHAnsi" w:cstheme="majorHAnsi"/>
          <w:color w:val="595959" w:themeColor="text1" w:themeTint="A6"/>
          <w:lang w:val="en-AU"/>
        </w:rPr>
        <w:t xml:space="preserve"> (see </w:t>
      </w:r>
      <w:r w:rsidR="00B56440">
        <w:rPr>
          <w:rFonts w:asciiTheme="majorHAnsi" w:eastAsia="Calibri" w:hAnsiTheme="majorHAnsi" w:cstheme="majorHAnsi"/>
          <w:color w:val="595959" w:themeColor="text1" w:themeTint="A6"/>
          <w:lang w:val="en-AU"/>
        </w:rPr>
        <w:t xml:space="preserve">Figure 2 and </w:t>
      </w:r>
      <w:r w:rsidR="00412958">
        <w:rPr>
          <w:rFonts w:asciiTheme="majorHAnsi" w:eastAsia="Calibri" w:hAnsiTheme="majorHAnsi" w:cstheme="majorHAnsi"/>
          <w:color w:val="595959" w:themeColor="text1" w:themeTint="A6"/>
          <w:lang w:val="en-AU"/>
        </w:rPr>
        <w:t xml:space="preserve">Table 2). Table 2 also shows </w:t>
      </w:r>
      <w:r w:rsidR="00001D46">
        <w:rPr>
          <w:rFonts w:asciiTheme="majorHAnsi" w:eastAsia="Calibri" w:hAnsiTheme="majorHAnsi" w:cstheme="majorHAnsi"/>
          <w:color w:val="595959" w:themeColor="text1" w:themeTint="A6"/>
          <w:lang w:val="en-AU"/>
        </w:rPr>
        <w:t xml:space="preserve">planned IPCHS </w:t>
      </w:r>
      <w:r w:rsidR="00412958">
        <w:rPr>
          <w:rFonts w:asciiTheme="majorHAnsi" w:eastAsia="Calibri" w:hAnsiTheme="majorHAnsi" w:cstheme="majorHAnsi"/>
          <w:color w:val="595959" w:themeColor="text1" w:themeTint="A6"/>
          <w:lang w:val="en-AU"/>
        </w:rPr>
        <w:t xml:space="preserve">activities </w:t>
      </w:r>
      <w:r w:rsidR="002C6614">
        <w:rPr>
          <w:rFonts w:asciiTheme="majorHAnsi" w:eastAsia="Calibri" w:hAnsiTheme="majorHAnsi" w:cstheme="majorHAnsi"/>
          <w:color w:val="595959" w:themeColor="text1" w:themeTint="A6"/>
          <w:lang w:val="en-AU"/>
        </w:rPr>
        <w:t xml:space="preserve">for each core theme/investment area that are </w:t>
      </w:r>
      <w:r w:rsidR="00CC2B6B">
        <w:rPr>
          <w:rFonts w:asciiTheme="majorHAnsi" w:eastAsia="Calibri" w:hAnsiTheme="majorHAnsi" w:cstheme="majorHAnsi"/>
          <w:color w:val="595959" w:themeColor="text1" w:themeTint="A6"/>
          <w:lang w:val="en-AU"/>
        </w:rPr>
        <w:t>relevant to the AIHSP</w:t>
      </w:r>
      <w:r w:rsidR="002C6614">
        <w:rPr>
          <w:rFonts w:asciiTheme="majorHAnsi" w:eastAsia="Calibri" w:hAnsiTheme="majorHAnsi" w:cstheme="majorHAnsi"/>
          <w:color w:val="595959" w:themeColor="text1" w:themeTint="A6"/>
          <w:lang w:val="en-AU"/>
        </w:rPr>
        <w:t xml:space="preserve"> and likely to benefit Ind</w:t>
      </w:r>
      <w:r w:rsidR="003F1494">
        <w:rPr>
          <w:rFonts w:asciiTheme="majorHAnsi" w:eastAsia="Calibri" w:hAnsiTheme="majorHAnsi" w:cstheme="majorHAnsi"/>
          <w:color w:val="595959" w:themeColor="text1" w:themeTint="A6"/>
          <w:lang w:val="en-AU"/>
        </w:rPr>
        <w:t>onesia directly, as well as having regional impacts</w:t>
      </w:r>
      <w:r w:rsidR="0091121E">
        <w:rPr>
          <w:rFonts w:asciiTheme="majorHAnsi" w:eastAsia="Calibri" w:hAnsiTheme="majorHAnsi" w:cstheme="majorHAnsi"/>
          <w:color w:val="595959" w:themeColor="text1" w:themeTint="A6"/>
          <w:lang w:val="en-AU"/>
        </w:rPr>
        <w:t>.</w:t>
      </w:r>
    </w:p>
    <w:p w:rsidR="003F1494" w:rsidRDefault="003F1494">
      <w:pPr>
        <w:suppressAutoHyphens w:val="0"/>
        <w:spacing w:before="0" w:after="120" w:line="440" w:lineRule="atLeast"/>
        <w:rPr>
          <w:rFonts w:asciiTheme="majorHAnsi" w:eastAsia="Calibri" w:hAnsiTheme="majorHAnsi" w:cstheme="majorHAnsi"/>
          <w:b/>
          <w:color w:val="595959" w:themeColor="text1" w:themeTint="A6"/>
          <w:lang w:val="en-AU"/>
        </w:rPr>
      </w:pPr>
      <w:r>
        <w:rPr>
          <w:rFonts w:asciiTheme="majorHAnsi" w:eastAsia="Calibri" w:hAnsiTheme="majorHAnsi" w:cstheme="majorHAnsi"/>
          <w:b/>
          <w:color w:val="595959" w:themeColor="text1" w:themeTint="A6"/>
          <w:lang w:val="en-AU"/>
        </w:rPr>
        <w:br w:type="page"/>
      </w:r>
    </w:p>
    <w:p w:rsidR="00412958" w:rsidRPr="001504BF" w:rsidRDefault="00412958" w:rsidP="00494255">
      <w:pPr>
        <w:spacing w:before="0" w:after="120" w:line="240" w:lineRule="auto"/>
        <w:rPr>
          <w:rFonts w:asciiTheme="majorHAnsi" w:eastAsia="Calibri" w:hAnsiTheme="majorHAnsi" w:cstheme="majorHAnsi"/>
          <w:b/>
          <w:color w:val="595959" w:themeColor="text1" w:themeTint="A6"/>
          <w:lang w:val="en-AU"/>
        </w:rPr>
      </w:pPr>
      <w:r w:rsidRPr="001504BF">
        <w:rPr>
          <w:rFonts w:asciiTheme="majorHAnsi" w:eastAsia="Calibri" w:hAnsiTheme="majorHAnsi" w:cstheme="majorHAnsi"/>
          <w:b/>
          <w:color w:val="595959" w:themeColor="text1" w:themeTint="A6"/>
          <w:lang w:val="en-AU"/>
        </w:rPr>
        <w:t>Table 2:</w:t>
      </w:r>
    </w:p>
    <w:tbl>
      <w:tblPr>
        <w:tblStyle w:val="TableGrid"/>
        <w:tblW w:w="0" w:type="auto"/>
        <w:tblLook w:val="04A0" w:firstRow="1" w:lastRow="0" w:firstColumn="1" w:lastColumn="0" w:noHBand="0" w:noVBand="1"/>
      </w:tblPr>
      <w:tblGrid>
        <w:gridCol w:w="4508"/>
        <w:gridCol w:w="4508"/>
      </w:tblGrid>
      <w:tr w:rsidR="00412958" w:rsidTr="001504BF">
        <w:tc>
          <w:tcPr>
            <w:tcW w:w="4508" w:type="dxa"/>
            <w:shd w:val="clear" w:color="auto" w:fill="BFBFBF" w:themeFill="background1" w:themeFillShade="BF"/>
          </w:tcPr>
          <w:p w:rsidR="00412958" w:rsidRPr="00305395" w:rsidRDefault="00412958" w:rsidP="00305395">
            <w:pPr>
              <w:spacing w:before="0" w:after="120" w:line="240" w:lineRule="auto"/>
              <w:rPr>
                <w:rFonts w:asciiTheme="majorHAnsi" w:eastAsia="Calibri" w:hAnsiTheme="majorHAnsi" w:cstheme="majorHAnsi"/>
                <w:b/>
                <w:color w:val="595959" w:themeColor="text1" w:themeTint="A6"/>
                <w:lang w:val="en-AU"/>
              </w:rPr>
            </w:pPr>
            <w:r>
              <w:rPr>
                <w:rFonts w:asciiTheme="majorHAnsi" w:eastAsia="Calibri" w:hAnsiTheme="majorHAnsi" w:cstheme="majorHAnsi"/>
                <w:b/>
                <w:color w:val="595959" w:themeColor="text1" w:themeTint="A6"/>
              </w:rPr>
              <w:t>IPCHS core themes</w:t>
            </w:r>
            <w:r w:rsidR="00AF6EB9">
              <w:rPr>
                <w:rFonts w:asciiTheme="majorHAnsi" w:eastAsia="Calibri" w:hAnsiTheme="majorHAnsi" w:cstheme="majorHAnsi"/>
                <w:b/>
                <w:color w:val="595959" w:themeColor="text1" w:themeTint="A6"/>
              </w:rPr>
              <w:t>/AIHSP investment areas</w:t>
            </w:r>
          </w:p>
        </w:tc>
        <w:tc>
          <w:tcPr>
            <w:tcW w:w="4508" w:type="dxa"/>
            <w:shd w:val="clear" w:color="auto" w:fill="BFBFBF" w:themeFill="background1" w:themeFillShade="BF"/>
          </w:tcPr>
          <w:p w:rsidR="00412958" w:rsidRPr="001504BF" w:rsidRDefault="0091121E" w:rsidP="00305395">
            <w:pPr>
              <w:spacing w:before="0" w:after="120" w:line="240" w:lineRule="auto"/>
              <w:rPr>
                <w:rFonts w:asciiTheme="majorHAnsi" w:eastAsia="Calibri" w:hAnsiTheme="majorHAnsi" w:cstheme="majorHAnsi"/>
                <w:b/>
                <w:color w:val="595959" w:themeColor="text1" w:themeTint="A6"/>
                <w:lang w:val="en-AU"/>
              </w:rPr>
            </w:pPr>
            <w:r>
              <w:rPr>
                <w:rFonts w:asciiTheme="majorHAnsi" w:eastAsia="Calibri" w:hAnsiTheme="majorHAnsi" w:cstheme="majorHAnsi"/>
                <w:b/>
                <w:color w:val="595959" w:themeColor="text1" w:themeTint="A6"/>
                <w:lang w:val="en-AU"/>
              </w:rPr>
              <w:t xml:space="preserve">IPCHS activities </w:t>
            </w:r>
            <w:r w:rsidR="00CC2B6B">
              <w:rPr>
                <w:rFonts w:asciiTheme="majorHAnsi" w:eastAsia="Calibri" w:hAnsiTheme="majorHAnsi" w:cstheme="majorHAnsi"/>
                <w:b/>
                <w:color w:val="595959" w:themeColor="text1" w:themeTint="A6"/>
                <w:lang w:val="en-AU"/>
              </w:rPr>
              <w:t>relevant to AIHSP</w:t>
            </w:r>
          </w:p>
        </w:tc>
      </w:tr>
      <w:tr w:rsidR="00494255" w:rsidTr="00494255">
        <w:tc>
          <w:tcPr>
            <w:tcW w:w="4508" w:type="dxa"/>
          </w:tcPr>
          <w:p w:rsidR="00494255" w:rsidRDefault="00494255" w:rsidP="00494255">
            <w:pPr>
              <w:spacing w:before="0" w:after="120" w:line="240" w:lineRule="auto"/>
              <w:rPr>
                <w:rFonts w:asciiTheme="majorHAnsi" w:eastAsia="Calibri" w:hAnsiTheme="majorHAnsi" w:cstheme="majorHAnsi"/>
                <w:color w:val="595959" w:themeColor="text1" w:themeTint="A6"/>
                <w:lang w:val="en-AU"/>
              </w:rPr>
            </w:pPr>
            <w:r w:rsidRPr="00E127E9">
              <w:rPr>
                <w:rFonts w:asciiTheme="majorHAnsi" w:hAnsiTheme="majorHAnsi" w:cstheme="majorHAnsi"/>
                <w:color w:val="595959" w:themeColor="text1" w:themeTint="A6"/>
                <w:lang w:val="en-AU"/>
              </w:rPr>
              <w:t>POLICY - Whole-of-government policy coordination</w:t>
            </w:r>
            <w:r w:rsidR="0091121E">
              <w:rPr>
                <w:rFonts w:asciiTheme="majorHAnsi" w:hAnsiTheme="majorHAnsi" w:cstheme="majorHAnsi"/>
                <w:color w:val="595959" w:themeColor="text1" w:themeTint="A6"/>
                <w:lang w:val="en-AU"/>
              </w:rPr>
              <w:t>.</w:t>
            </w:r>
          </w:p>
        </w:tc>
        <w:tc>
          <w:tcPr>
            <w:tcW w:w="4508" w:type="dxa"/>
          </w:tcPr>
          <w:p w:rsidR="00494255" w:rsidRDefault="0091121E">
            <w:pPr>
              <w:spacing w:before="0" w:after="120" w:line="240" w:lineRule="auto"/>
              <w:rPr>
                <w:rFonts w:asciiTheme="majorHAnsi" w:eastAsia="Calibri" w:hAnsiTheme="majorHAnsi" w:cstheme="majorHAnsi"/>
                <w:color w:val="595959" w:themeColor="text1" w:themeTint="A6"/>
                <w:lang w:val="en-AU"/>
              </w:rPr>
            </w:pPr>
            <w:r>
              <w:rPr>
                <w:rFonts w:asciiTheme="majorHAnsi" w:eastAsia="Calibri" w:hAnsiTheme="majorHAnsi" w:cstheme="majorHAnsi"/>
                <w:color w:val="595959" w:themeColor="text1" w:themeTint="A6"/>
                <w:lang w:val="en-AU"/>
              </w:rPr>
              <w:t>JEE/PVS joint planning and assessme</w:t>
            </w:r>
            <w:r w:rsidR="006C046C">
              <w:rPr>
                <w:rFonts w:asciiTheme="majorHAnsi" w:eastAsia="Calibri" w:hAnsiTheme="majorHAnsi" w:cstheme="majorHAnsi"/>
                <w:color w:val="595959" w:themeColor="text1" w:themeTint="A6"/>
                <w:lang w:val="en-AU"/>
              </w:rPr>
              <w:t>nt; and Health Security Financing</w:t>
            </w:r>
            <w:r>
              <w:rPr>
                <w:rFonts w:asciiTheme="majorHAnsi" w:eastAsia="Calibri" w:hAnsiTheme="majorHAnsi" w:cstheme="majorHAnsi"/>
                <w:color w:val="595959" w:themeColor="text1" w:themeTint="A6"/>
                <w:lang w:val="en-AU"/>
              </w:rPr>
              <w:t xml:space="preserve"> Assessment through the World Bank.</w:t>
            </w:r>
          </w:p>
        </w:tc>
      </w:tr>
      <w:tr w:rsidR="00494255" w:rsidTr="00494255">
        <w:tc>
          <w:tcPr>
            <w:tcW w:w="4508" w:type="dxa"/>
          </w:tcPr>
          <w:p w:rsidR="00494255" w:rsidRDefault="00494255" w:rsidP="00494255">
            <w:pPr>
              <w:spacing w:before="0" w:after="120" w:line="240" w:lineRule="auto"/>
              <w:rPr>
                <w:rFonts w:asciiTheme="majorHAnsi" w:eastAsia="Calibri" w:hAnsiTheme="majorHAnsi" w:cstheme="majorHAnsi"/>
                <w:color w:val="595959" w:themeColor="text1" w:themeTint="A6"/>
                <w:lang w:val="en-AU"/>
              </w:rPr>
            </w:pPr>
            <w:r w:rsidRPr="00E127E9">
              <w:rPr>
                <w:rFonts w:asciiTheme="majorHAnsi" w:hAnsiTheme="majorHAnsi" w:cstheme="majorHAnsi"/>
                <w:color w:val="595959" w:themeColor="text1" w:themeTint="A6"/>
                <w:lang w:val="en-AU"/>
              </w:rPr>
              <w:t>COMMUNITIES - Community-level action on prevention and preparedness, including vector-control measures</w:t>
            </w:r>
            <w:r w:rsidR="0091121E">
              <w:rPr>
                <w:rFonts w:asciiTheme="majorHAnsi" w:hAnsiTheme="majorHAnsi" w:cstheme="majorHAnsi"/>
                <w:color w:val="595959" w:themeColor="text1" w:themeTint="A6"/>
                <w:lang w:val="en-AU"/>
              </w:rPr>
              <w:t>.</w:t>
            </w:r>
          </w:p>
        </w:tc>
        <w:tc>
          <w:tcPr>
            <w:tcW w:w="4508" w:type="dxa"/>
          </w:tcPr>
          <w:p w:rsidR="00494255" w:rsidRDefault="0091121E" w:rsidP="00494255">
            <w:pPr>
              <w:spacing w:before="0" w:after="120" w:line="240" w:lineRule="auto"/>
              <w:rPr>
                <w:rFonts w:asciiTheme="majorHAnsi" w:eastAsia="Calibri" w:hAnsiTheme="majorHAnsi" w:cstheme="majorHAnsi"/>
                <w:color w:val="595959" w:themeColor="text1" w:themeTint="A6"/>
                <w:lang w:val="en-AU"/>
              </w:rPr>
            </w:pPr>
            <w:r>
              <w:rPr>
                <w:rFonts w:asciiTheme="majorHAnsi" w:eastAsia="Calibri" w:hAnsiTheme="majorHAnsi" w:cstheme="majorHAnsi"/>
                <w:color w:val="595959" w:themeColor="text1" w:themeTint="A6"/>
                <w:lang w:val="en-AU"/>
              </w:rPr>
              <w:t>World Mosquito Program study in Yogyakarta.</w:t>
            </w:r>
          </w:p>
        </w:tc>
      </w:tr>
      <w:tr w:rsidR="00494255" w:rsidTr="00494255">
        <w:tc>
          <w:tcPr>
            <w:tcW w:w="4508" w:type="dxa"/>
          </w:tcPr>
          <w:p w:rsidR="00494255" w:rsidRDefault="00494255" w:rsidP="00494255">
            <w:pPr>
              <w:spacing w:before="0" w:after="120" w:line="240" w:lineRule="auto"/>
              <w:rPr>
                <w:rFonts w:asciiTheme="majorHAnsi" w:eastAsia="Calibri" w:hAnsiTheme="majorHAnsi" w:cstheme="majorHAnsi"/>
                <w:color w:val="595959" w:themeColor="text1" w:themeTint="A6"/>
                <w:lang w:val="en-AU"/>
              </w:rPr>
            </w:pPr>
            <w:r w:rsidRPr="00E127E9">
              <w:rPr>
                <w:rFonts w:asciiTheme="majorHAnsi" w:hAnsiTheme="majorHAnsi" w:cstheme="majorHAnsi"/>
                <w:color w:val="595959" w:themeColor="text1" w:themeTint="A6"/>
                <w:lang w:val="en-AU"/>
              </w:rPr>
              <w:t>INFORMATION - Disease surveillance capacity and networks, along with broader support to improve the quality and availability of health information for decision-makers</w:t>
            </w:r>
            <w:r w:rsidR="0091121E">
              <w:rPr>
                <w:rFonts w:asciiTheme="majorHAnsi" w:hAnsiTheme="majorHAnsi" w:cstheme="majorHAnsi"/>
                <w:color w:val="595959" w:themeColor="text1" w:themeTint="A6"/>
                <w:lang w:val="en-AU"/>
              </w:rPr>
              <w:t>.</w:t>
            </w:r>
          </w:p>
        </w:tc>
        <w:tc>
          <w:tcPr>
            <w:tcW w:w="4508" w:type="dxa"/>
          </w:tcPr>
          <w:p w:rsidR="00494255" w:rsidRDefault="0091121E" w:rsidP="00494255">
            <w:pPr>
              <w:spacing w:before="0" w:after="120" w:line="240" w:lineRule="auto"/>
              <w:rPr>
                <w:rFonts w:asciiTheme="majorHAnsi" w:eastAsia="Calibri" w:hAnsiTheme="majorHAnsi" w:cstheme="majorHAnsi"/>
                <w:color w:val="595959" w:themeColor="text1" w:themeTint="A6"/>
                <w:lang w:val="en-AU"/>
              </w:rPr>
            </w:pPr>
            <w:r>
              <w:rPr>
                <w:rFonts w:asciiTheme="majorHAnsi" w:eastAsia="Calibri" w:hAnsiTheme="majorHAnsi" w:cstheme="majorHAnsi"/>
                <w:color w:val="595959" w:themeColor="text1" w:themeTint="A6"/>
                <w:lang w:val="en-AU"/>
              </w:rPr>
              <w:t>Research grant on surveillance and treatment of drug resistant malaria; and research grant on antibiotic use/AMR.</w:t>
            </w:r>
          </w:p>
        </w:tc>
      </w:tr>
      <w:tr w:rsidR="00494255" w:rsidTr="00494255">
        <w:tc>
          <w:tcPr>
            <w:tcW w:w="4508" w:type="dxa"/>
          </w:tcPr>
          <w:p w:rsidR="00494255" w:rsidRDefault="00494255" w:rsidP="00494255">
            <w:pPr>
              <w:spacing w:before="0" w:after="120" w:line="240" w:lineRule="auto"/>
              <w:rPr>
                <w:rFonts w:asciiTheme="majorHAnsi" w:eastAsia="Calibri" w:hAnsiTheme="majorHAnsi" w:cstheme="majorHAnsi"/>
                <w:color w:val="595959" w:themeColor="text1" w:themeTint="A6"/>
                <w:lang w:val="en-AU"/>
              </w:rPr>
            </w:pPr>
            <w:r w:rsidRPr="00E127E9">
              <w:rPr>
                <w:rFonts w:asciiTheme="majorHAnsi" w:hAnsiTheme="majorHAnsi" w:cstheme="majorHAnsi"/>
                <w:color w:val="595959" w:themeColor="text1" w:themeTint="A6"/>
                <w:lang w:val="en-AU"/>
              </w:rPr>
              <w:t>FACILITIES - Laboratory strengthening, along with infection prevention and control in key health facilities</w:t>
            </w:r>
            <w:r w:rsidR="0091121E">
              <w:rPr>
                <w:rFonts w:asciiTheme="majorHAnsi" w:hAnsiTheme="majorHAnsi" w:cstheme="majorHAnsi"/>
                <w:color w:val="595959" w:themeColor="text1" w:themeTint="A6"/>
                <w:lang w:val="en-AU"/>
              </w:rPr>
              <w:t>.</w:t>
            </w:r>
          </w:p>
        </w:tc>
        <w:tc>
          <w:tcPr>
            <w:tcW w:w="4508" w:type="dxa"/>
          </w:tcPr>
          <w:p w:rsidR="00494255" w:rsidRDefault="00412958" w:rsidP="00494255">
            <w:pPr>
              <w:spacing w:before="0" w:after="120" w:line="240" w:lineRule="auto"/>
              <w:rPr>
                <w:rFonts w:asciiTheme="majorHAnsi" w:eastAsia="Calibri" w:hAnsiTheme="majorHAnsi" w:cstheme="majorHAnsi"/>
                <w:color w:val="595959" w:themeColor="text1" w:themeTint="A6"/>
                <w:lang w:val="en-AU"/>
              </w:rPr>
            </w:pPr>
            <w:r>
              <w:rPr>
                <w:rFonts w:asciiTheme="majorHAnsi" w:eastAsia="Calibri" w:hAnsiTheme="majorHAnsi" w:cstheme="majorHAnsi"/>
                <w:color w:val="595959" w:themeColor="text1" w:themeTint="A6"/>
                <w:lang w:val="en-AU"/>
              </w:rPr>
              <w:t xml:space="preserve">Laboratory twinning arrangement between </w:t>
            </w:r>
            <w:r w:rsidRPr="00412958">
              <w:rPr>
                <w:rFonts w:asciiTheme="majorHAnsi" w:eastAsia="Calibri" w:hAnsiTheme="majorHAnsi" w:cstheme="majorHAnsi"/>
                <w:color w:val="595959" w:themeColor="text1" w:themeTint="A6"/>
                <w:lang w:val="en-AU"/>
              </w:rPr>
              <w:t>Indonesia’s Animal Disease Investigation Centre and the Australian Animal Health Laboratory</w:t>
            </w:r>
            <w:r>
              <w:rPr>
                <w:rFonts w:asciiTheme="majorHAnsi" w:eastAsia="Calibri" w:hAnsiTheme="majorHAnsi" w:cstheme="majorHAnsi"/>
                <w:color w:val="595959" w:themeColor="text1" w:themeTint="A6"/>
                <w:lang w:val="en-AU"/>
              </w:rPr>
              <w:t>; and laboratory capacity building.</w:t>
            </w:r>
          </w:p>
        </w:tc>
      </w:tr>
      <w:tr w:rsidR="00494255" w:rsidTr="00494255">
        <w:tc>
          <w:tcPr>
            <w:tcW w:w="4508" w:type="dxa"/>
          </w:tcPr>
          <w:p w:rsidR="00494255" w:rsidRDefault="00494255" w:rsidP="00305395">
            <w:pPr>
              <w:spacing w:before="0" w:after="120" w:line="240" w:lineRule="auto"/>
              <w:rPr>
                <w:rFonts w:asciiTheme="majorHAnsi" w:eastAsia="Calibri" w:hAnsiTheme="majorHAnsi" w:cstheme="majorHAnsi"/>
                <w:color w:val="595959" w:themeColor="text1" w:themeTint="A6"/>
                <w:lang w:val="en-AU"/>
              </w:rPr>
            </w:pPr>
            <w:r w:rsidRPr="00E127E9">
              <w:rPr>
                <w:rFonts w:asciiTheme="majorHAnsi" w:hAnsiTheme="majorHAnsi" w:cstheme="majorHAnsi"/>
                <w:color w:val="595959" w:themeColor="text1" w:themeTint="A6"/>
                <w:lang w:val="en-AU"/>
              </w:rPr>
              <w:t>PEOPLE - Workforce capacity building, including support for FETP</w:t>
            </w:r>
            <w:r w:rsidR="0091121E">
              <w:rPr>
                <w:rFonts w:asciiTheme="majorHAnsi" w:hAnsiTheme="majorHAnsi" w:cstheme="majorHAnsi"/>
                <w:color w:val="595959" w:themeColor="text1" w:themeTint="A6"/>
                <w:lang w:val="en-AU"/>
              </w:rPr>
              <w:t>.</w:t>
            </w:r>
          </w:p>
        </w:tc>
        <w:tc>
          <w:tcPr>
            <w:tcW w:w="4508" w:type="dxa"/>
          </w:tcPr>
          <w:p w:rsidR="00494255" w:rsidRDefault="00412958">
            <w:pPr>
              <w:spacing w:before="0" w:after="120" w:line="240" w:lineRule="auto"/>
              <w:rPr>
                <w:rFonts w:asciiTheme="majorHAnsi" w:eastAsia="Calibri" w:hAnsiTheme="majorHAnsi" w:cstheme="majorHAnsi"/>
                <w:color w:val="595959" w:themeColor="text1" w:themeTint="A6"/>
                <w:lang w:val="en-AU"/>
              </w:rPr>
            </w:pPr>
            <w:r>
              <w:rPr>
                <w:rFonts w:asciiTheme="majorHAnsi" w:eastAsia="Calibri" w:hAnsiTheme="majorHAnsi" w:cstheme="majorHAnsi"/>
                <w:color w:val="595959" w:themeColor="text1" w:themeTint="A6"/>
                <w:lang w:val="en-AU"/>
              </w:rPr>
              <w:t xml:space="preserve">Strengthening FETP/FETV networks and mentoring; Health Security Corps; and ASEAN-Australia Health Security Fellowship Program through which Fellows from ASEAN countries will undertake the </w:t>
            </w:r>
            <w:r w:rsidR="006C046C">
              <w:rPr>
                <w:rFonts w:asciiTheme="majorHAnsi" w:eastAsia="Calibri" w:hAnsiTheme="majorHAnsi" w:cstheme="majorHAnsi"/>
                <w:color w:val="595959" w:themeColor="text1" w:themeTint="A6"/>
                <w:lang w:val="en-AU"/>
              </w:rPr>
              <w:t xml:space="preserve">Australian National University </w:t>
            </w:r>
            <w:r>
              <w:rPr>
                <w:rFonts w:asciiTheme="majorHAnsi" w:eastAsia="Calibri" w:hAnsiTheme="majorHAnsi" w:cstheme="majorHAnsi"/>
                <w:color w:val="595959" w:themeColor="text1" w:themeTint="A6"/>
                <w:lang w:val="en-AU"/>
              </w:rPr>
              <w:t>Master of Applied Epidemiology.</w:t>
            </w:r>
          </w:p>
        </w:tc>
      </w:tr>
      <w:tr w:rsidR="00494255" w:rsidTr="00494255">
        <w:tc>
          <w:tcPr>
            <w:tcW w:w="4508" w:type="dxa"/>
          </w:tcPr>
          <w:p w:rsidR="00494255" w:rsidRDefault="00494255" w:rsidP="00494255">
            <w:pPr>
              <w:spacing w:before="0" w:after="120" w:line="240" w:lineRule="auto"/>
              <w:rPr>
                <w:rFonts w:asciiTheme="majorHAnsi" w:eastAsia="Calibri" w:hAnsiTheme="majorHAnsi" w:cstheme="majorHAnsi"/>
                <w:color w:val="595959" w:themeColor="text1" w:themeTint="A6"/>
                <w:lang w:val="en-AU"/>
              </w:rPr>
            </w:pPr>
            <w:r w:rsidRPr="00E127E9">
              <w:rPr>
                <w:rFonts w:asciiTheme="majorHAnsi" w:hAnsiTheme="majorHAnsi" w:cstheme="majorHAnsi"/>
                <w:color w:val="595959" w:themeColor="text1" w:themeTint="A6"/>
                <w:lang w:val="en-AU"/>
              </w:rPr>
              <w:t>PRODUCTS - Access to medical products, including development of new drugs and diagnostics, and strengthening the drug regulatory environment.</w:t>
            </w:r>
          </w:p>
        </w:tc>
        <w:tc>
          <w:tcPr>
            <w:tcW w:w="4508" w:type="dxa"/>
          </w:tcPr>
          <w:p w:rsidR="00494255" w:rsidRDefault="0091121E" w:rsidP="00305395">
            <w:pPr>
              <w:spacing w:before="0" w:after="120" w:line="240" w:lineRule="auto"/>
              <w:rPr>
                <w:rFonts w:asciiTheme="majorHAnsi" w:eastAsia="Calibri" w:hAnsiTheme="majorHAnsi" w:cstheme="majorHAnsi"/>
                <w:color w:val="595959" w:themeColor="text1" w:themeTint="A6"/>
                <w:lang w:val="en-AU"/>
              </w:rPr>
            </w:pPr>
            <w:r>
              <w:rPr>
                <w:rFonts w:asciiTheme="majorHAnsi" w:eastAsia="Calibri" w:hAnsiTheme="majorHAnsi" w:cstheme="majorHAnsi"/>
                <w:color w:val="595959" w:themeColor="text1" w:themeTint="A6"/>
                <w:lang w:val="en-AU"/>
              </w:rPr>
              <w:t>P</w:t>
            </w:r>
            <w:r w:rsidRPr="00356B3E">
              <w:rPr>
                <w:rFonts w:asciiTheme="majorHAnsi" w:eastAsia="Calibri" w:hAnsiTheme="majorHAnsi" w:cstheme="majorHAnsi"/>
                <w:color w:val="595959" w:themeColor="text1" w:themeTint="A6"/>
                <w:lang w:val="en-AU"/>
              </w:rPr>
              <w:t>artnership with Indonesia’s National Regulatory Authority and the Australian Therapeutic Goods Administration to strengthen medicine regulation</w:t>
            </w:r>
            <w:r>
              <w:rPr>
                <w:rFonts w:asciiTheme="majorHAnsi" w:eastAsia="Calibri" w:hAnsiTheme="majorHAnsi" w:cstheme="majorHAnsi"/>
                <w:color w:val="595959" w:themeColor="text1" w:themeTint="A6"/>
                <w:lang w:val="en-AU"/>
              </w:rPr>
              <w:t>.</w:t>
            </w:r>
          </w:p>
        </w:tc>
      </w:tr>
    </w:tbl>
    <w:p w:rsidR="00494255" w:rsidRPr="009B5EAF" w:rsidRDefault="00494255" w:rsidP="00494255">
      <w:pPr>
        <w:spacing w:before="0" w:after="120" w:line="240" w:lineRule="auto"/>
        <w:rPr>
          <w:rFonts w:asciiTheme="majorHAnsi" w:eastAsia="Calibri" w:hAnsiTheme="majorHAnsi" w:cstheme="majorHAnsi"/>
          <w:color w:val="595959" w:themeColor="text1" w:themeTint="A6"/>
          <w:lang w:val="en-AU"/>
        </w:rPr>
      </w:pPr>
    </w:p>
    <w:p w:rsidR="00465F29" w:rsidRPr="009B5EAF" w:rsidRDefault="00CC2B6B" w:rsidP="00272061">
      <w:pPr>
        <w:spacing w:after="120" w:line="240" w:lineRule="auto"/>
        <w:rPr>
          <w:rFonts w:asciiTheme="majorHAnsi" w:hAnsiTheme="majorHAnsi" w:cstheme="majorHAnsi"/>
          <w:color w:val="595959" w:themeColor="text1" w:themeTint="A6"/>
          <w:lang w:val="en-AU"/>
        </w:rPr>
      </w:pPr>
      <w:r>
        <w:rPr>
          <w:rFonts w:asciiTheme="majorHAnsi" w:hAnsiTheme="majorHAnsi" w:cstheme="majorHAnsi"/>
          <w:color w:val="595959" w:themeColor="text1" w:themeTint="A6"/>
          <w:lang w:val="en-AU"/>
        </w:rPr>
        <w:t xml:space="preserve">While the IPCHS is a regional initiative, </w:t>
      </w:r>
      <w:r w:rsidR="00110BC9">
        <w:rPr>
          <w:rFonts w:asciiTheme="majorHAnsi" w:hAnsiTheme="majorHAnsi" w:cstheme="majorHAnsi"/>
          <w:color w:val="595959" w:themeColor="text1" w:themeTint="A6"/>
          <w:lang w:val="en-AU"/>
        </w:rPr>
        <w:t xml:space="preserve">it </w:t>
      </w:r>
      <w:r>
        <w:rPr>
          <w:rFonts w:asciiTheme="majorHAnsi" w:hAnsiTheme="majorHAnsi" w:cstheme="majorHAnsi"/>
          <w:color w:val="595959" w:themeColor="text1" w:themeTint="A6"/>
          <w:lang w:val="en-AU"/>
        </w:rPr>
        <w:t>present</w:t>
      </w:r>
      <w:r w:rsidR="00110BC9">
        <w:rPr>
          <w:rFonts w:asciiTheme="majorHAnsi" w:hAnsiTheme="majorHAnsi" w:cstheme="majorHAnsi"/>
          <w:color w:val="595959" w:themeColor="text1" w:themeTint="A6"/>
          <w:lang w:val="en-AU"/>
        </w:rPr>
        <w:t>s</w:t>
      </w:r>
      <w:r>
        <w:rPr>
          <w:rFonts w:asciiTheme="majorHAnsi" w:hAnsiTheme="majorHAnsi" w:cstheme="majorHAnsi"/>
          <w:color w:val="595959" w:themeColor="text1" w:themeTint="A6"/>
          <w:lang w:val="en-AU"/>
        </w:rPr>
        <w:t xml:space="preserve"> a valuable opportunity for coordination and collaboration with the AIHSP. </w:t>
      </w:r>
      <w:r w:rsidR="00552DB7" w:rsidRPr="009B5EAF">
        <w:rPr>
          <w:rFonts w:asciiTheme="majorHAnsi" w:hAnsiTheme="majorHAnsi" w:cstheme="majorHAnsi"/>
          <w:color w:val="595959" w:themeColor="text1" w:themeTint="A6"/>
          <w:lang w:val="en-AU"/>
        </w:rPr>
        <w:t>T</w:t>
      </w:r>
      <w:r w:rsidR="00465F29" w:rsidRPr="009B5EAF">
        <w:rPr>
          <w:rFonts w:asciiTheme="majorHAnsi" w:hAnsiTheme="majorHAnsi" w:cstheme="majorHAnsi"/>
          <w:color w:val="595959" w:themeColor="text1" w:themeTint="A6"/>
          <w:lang w:val="en-AU"/>
        </w:rPr>
        <w:t xml:space="preserve">he </w:t>
      </w:r>
      <w:r w:rsidR="00552DB7" w:rsidRPr="009B5EAF">
        <w:rPr>
          <w:rFonts w:asciiTheme="majorHAnsi" w:hAnsiTheme="majorHAnsi" w:cstheme="majorHAnsi"/>
          <w:color w:val="595959" w:themeColor="text1" w:themeTint="A6"/>
          <w:lang w:val="en-AU"/>
        </w:rPr>
        <w:t xml:space="preserve">AIHSP has </w:t>
      </w:r>
      <w:r>
        <w:rPr>
          <w:rFonts w:asciiTheme="majorHAnsi" w:hAnsiTheme="majorHAnsi" w:cstheme="majorHAnsi"/>
          <w:color w:val="595959" w:themeColor="text1" w:themeTint="A6"/>
          <w:lang w:val="en-AU"/>
        </w:rPr>
        <w:t xml:space="preserve">therefore </w:t>
      </w:r>
      <w:r w:rsidR="00552DB7" w:rsidRPr="009B5EAF">
        <w:rPr>
          <w:rFonts w:asciiTheme="majorHAnsi" w:hAnsiTheme="majorHAnsi" w:cstheme="majorHAnsi"/>
          <w:color w:val="595959" w:themeColor="text1" w:themeTint="A6"/>
          <w:lang w:val="en-AU"/>
        </w:rPr>
        <w:t xml:space="preserve">been </w:t>
      </w:r>
      <w:r w:rsidR="00465F29" w:rsidRPr="009B5EAF">
        <w:rPr>
          <w:rFonts w:asciiTheme="majorHAnsi" w:hAnsiTheme="majorHAnsi" w:cstheme="majorHAnsi"/>
          <w:color w:val="595959" w:themeColor="text1" w:themeTint="A6"/>
          <w:lang w:val="en-AU"/>
        </w:rPr>
        <w:t>design</w:t>
      </w:r>
      <w:r w:rsidR="00552DB7" w:rsidRPr="009B5EAF">
        <w:rPr>
          <w:rFonts w:asciiTheme="majorHAnsi" w:hAnsiTheme="majorHAnsi" w:cstheme="majorHAnsi"/>
          <w:color w:val="595959" w:themeColor="text1" w:themeTint="A6"/>
          <w:lang w:val="en-AU"/>
        </w:rPr>
        <w:t>ed</w:t>
      </w:r>
      <w:r w:rsidR="00465F29" w:rsidRPr="009B5EAF">
        <w:rPr>
          <w:rFonts w:asciiTheme="majorHAnsi" w:hAnsiTheme="majorHAnsi" w:cstheme="majorHAnsi"/>
          <w:color w:val="595959" w:themeColor="text1" w:themeTint="A6"/>
          <w:lang w:val="en-AU"/>
        </w:rPr>
        <w:t xml:space="preserve"> to ensure that </w:t>
      </w:r>
      <w:r w:rsidR="00552DB7" w:rsidRPr="009B5EAF">
        <w:rPr>
          <w:rFonts w:asciiTheme="majorHAnsi" w:hAnsiTheme="majorHAnsi" w:cstheme="majorHAnsi"/>
          <w:color w:val="595959" w:themeColor="text1" w:themeTint="A6"/>
          <w:lang w:val="en-AU"/>
        </w:rPr>
        <w:t>it will complement activities supported by the</w:t>
      </w:r>
      <w:r w:rsidR="00465F29" w:rsidRPr="009B5EAF">
        <w:rPr>
          <w:rFonts w:asciiTheme="majorHAnsi" w:hAnsiTheme="majorHAnsi" w:cstheme="majorHAnsi"/>
          <w:color w:val="595959" w:themeColor="text1" w:themeTint="A6"/>
          <w:lang w:val="en-AU"/>
        </w:rPr>
        <w:t xml:space="preserve"> IPCHS </w:t>
      </w:r>
      <w:r w:rsidR="00552DB7" w:rsidRPr="009B5EAF">
        <w:rPr>
          <w:rFonts w:asciiTheme="majorHAnsi" w:hAnsiTheme="majorHAnsi" w:cstheme="majorHAnsi"/>
          <w:color w:val="595959" w:themeColor="text1" w:themeTint="A6"/>
          <w:lang w:val="en-AU"/>
        </w:rPr>
        <w:t xml:space="preserve">and will lead to shared </w:t>
      </w:r>
      <w:r w:rsidR="00465F29" w:rsidRPr="009B5EAF">
        <w:rPr>
          <w:rFonts w:asciiTheme="majorHAnsi" w:hAnsiTheme="majorHAnsi" w:cstheme="majorHAnsi"/>
          <w:color w:val="595959" w:themeColor="text1" w:themeTint="A6"/>
          <w:lang w:val="en-AU"/>
        </w:rPr>
        <w:t xml:space="preserve">achievement of </w:t>
      </w:r>
      <w:r w:rsidR="00552DB7" w:rsidRPr="009B5EAF">
        <w:rPr>
          <w:rFonts w:asciiTheme="majorHAnsi" w:hAnsiTheme="majorHAnsi" w:cstheme="majorHAnsi"/>
          <w:color w:val="595959" w:themeColor="text1" w:themeTint="A6"/>
          <w:lang w:val="en-AU"/>
        </w:rPr>
        <w:t>key</w:t>
      </w:r>
      <w:r w:rsidR="00465F29" w:rsidRPr="009B5EAF">
        <w:rPr>
          <w:rFonts w:asciiTheme="majorHAnsi" w:hAnsiTheme="majorHAnsi" w:cstheme="majorHAnsi"/>
          <w:color w:val="595959" w:themeColor="text1" w:themeTint="A6"/>
          <w:lang w:val="en-AU"/>
        </w:rPr>
        <w:t xml:space="preserve"> perfor</w:t>
      </w:r>
      <w:r w:rsidR="00D31E79">
        <w:rPr>
          <w:rFonts w:asciiTheme="majorHAnsi" w:hAnsiTheme="majorHAnsi" w:cstheme="majorHAnsi"/>
          <w:color w:val="595959" w:themeColor="text1" w:themeTint="A6"/>
          <w:lang w:val="en-AU"/>
        </w:rPr>
        <w:t xml:space="preserve">mance indicators in Indonesia. </w:t>
      </w:r>
      <w:r w:rsidR="00552DB7" w:rsidRPr="009B5EAF">
        <w:rPr>
          <w:rFonts w:asciiTheme="majorHAnsi" w:hAnsiTheme="majorHAnsi" w:cstheme="majorHAnsi"/>
          <w:color w:val="595959" w:themeColor="text1" w:themeTint="A6"/>
          <w:lang w:val="en-AU"/>
        </w:rPr>
        <w:t>A</w:t>
      </w:r>
      <w:r w:rsidR="00465F29" w:rsidRPr="009B5EAF">
        <w:rPr>
          <w:rFonts w:asciiTheme="majorHAnsi" w:hAnsiTheme="majorHAnsi" w:cstheme="majorHAnsi"/>
          <w:color w:val="595959" w:themeColor="text1" w:themeTint="A6"/>
          <w:lang w:val="en-AU"/>
        </w:rPr>
        <w:t xml:space="preserve"> DFAT/GoI workshop </w:t>
      </w:r>
      <w:r w:rsidR="00552DB7" w:rsidRPr="009B5EAF">
        <w:rPr>
          <w:rFonts w:asciiTheme="majorHAnsi" w:hAnsiTheme="majorHAnsi" w:cstheme="majorHAnsi"/>
          <w:color w:val="595959" w:themeColor="text1" w:themeTint="A6"/>
          <w:lang w:val="en-AU"/>
        </w:rPr>
        <w:t>to finalise</w:t>
      </w:r>
      <w:r w:rsidR="00465F29" w:rsidRPr="009B5EAF">
        <w:rPr>
          <w:rFonts w:asciiTheme="majorHAnsi" w:hAnsiTheme="majorHAnsi" w:cstheme="majorHAnsi"/>
          <w:color w:val="595959" w:themeColor="text1" w:themeTint="A6"/>
          <w:lang w:val="en-AU"/>
        </w:rPr>
        <w:t xml:space="preserve"> the Program Logic </w:t>
      </w:r>
      <w:r w:rsidR="00552DB7" w:rsidRPr="009B5EAF">
        <w:rPr>
          <w:rFonts w:asciiTheme="majorHAnsi" w:hAnsiTheme="majorHAnsi" w:cstheme="majorHAnsi"/>
          <w:color w:val="595959" w:themeColor="text1" w:themeTint="A6"/>
          <w:lang w:val="en-AU"/>
        </w:rPr>
        <w:t>agreed</w:t>
      </w:r>
      <w:r w:rsidR="00465F29" w:rsidRPr="009B5EAF">
        <w:rPr>
          <w:rFonts w:asciiTheme="majorHAnsi" w:hAnsiTheme="majorHAnsi" w:cstheme="majorHAnsi"/>
          <w:color w:val="595959" w:themeColor="text1" w:themeTint="A6"/>
          <w:lang w:val="en-AU"/>
        </w:rPr>
        <w:t xml:space="preserve"> the areas where IPCHS will complement </w:t>
      </w:r>
      <w:r w:rsidR="00552DB7" w:rsidRPr="009B5EAF">
        <w:rPr>
          <w:rFonts w:asciiTheme="majorHAnsi" w:hAnsiTheme="majorHAnsi" w:cstheme="majorHAnsi"/>
          <w:color w:val="595959" w:themeColor="text1" w:themeTint="A6"/>
          <w:lang w:val="en-AU"/>
        </w:rPr>
        <w:t>the program activities</w:t>
      </w:r>
      <w:r>
        <w:rPr>
          <w:rFonts w:asciiTheme="majorHAnsi" w:hAnsiTheme="majorHAnsi" w:cstheme="majorHAnsi"/>
          <w:color w:val="595959" w:themeColor="text1" w:themeTint="A6"/>
          <w:lang w:val="en-AU"/>
        </w:rPr>
        <w:t xml:space="preserve">. </w:t>
      </w:r>
      <w:r w:rsidR="009A3625" w:rsidRPr="009B5EAF">
        <w:rPr>
          <w:rFonts w:asciiTheme="majorHAnsi" w:hAnsiTheme="majorHAnsi" w:cstheme="majorHAnsi"/>
          <w:color w:val="595959" w:themeColor="text1" w:themeTint="A6"/>
          <w:lang w:val="en-AU"/>
        </w:rPr>
        <w:t>A</w:t>
      </w:r>
      <w:r w:rsidR="00465F29" w:rsidRPr="009B5EAF">
        <w:rPr>
          <w:rFonts w:asciiTheme="majorHAnsi" w:hAnsiTheme="majorHAnsi" w:cstheme="majorHAnsi"/>
          <w:color w:val="595959" w:themeColor="text1" w:themeTint="A6"/>
          <w:lang w:val="en-AU"/>
        </w:rPr>
        <w:t xml:space="preserve">lthough </w:t>
      </w:r>
      <w:r w:rsidR="00AF6EB9">
        <w:rPr>
          <w:rFonts w:asciiTheme="majorHAnsi" w:hAnsiTheme="majorHAnsi" w:cstheme="majorHAnsi"/>
          <w:color w:val="595959" w:themeColor="text1" w:themeTint="A6"/>
          <w:lang w:val="en-AU"/>
        </w:rPr>
        <w:t>IPCHS</w:t>
      </w:r>
      <w:r w:rsidR="00AF6EB9" w:rsidRPr="009B5EAF">
        <w:rPr>
          <w:rFonts w:asciiTheme="majorHAnsi" w:hAnsiTheme="majorHAnsi" w:cstheme="majorHAnsi"/>
          <w:color w:val="595959" w:themeColor="text1" w:themeTint="A6"/>
          <w:lang w:val="en-AU"/>
        </w:rPr>
        <w:t xml:space="preserve"> </w:t>
      </w:r>
      <w:r w:rsidR="00465F29" w:rsidRPr="009B5EAF">
        <w:rPr>
          <w:rFonts w:asciiTheme="majorHAnsi" w:hAnsiTheme="majorHAnsi" w:cstheme="majorHAnsi"/>
          <w:color w:val="595959" w:themeColor="text1" w:themeTint="A6"/>
          <w:lang w:val="en-AU"/>
        </w:rPr>
        <w:t xml:space="preserve">activities may be managed separately, </w:t>
      </w:r>
      <w:r w:rsidR="00AF6EB9">
        <w:rPr>
          <w:rFonts w:asciiTheme="majorHAnsi" w:hAnsiTheme="majorHAnsi" w:cstheme="majorHAnsi"/>
          <w:color w:val="595959" w:themeColor="text1" w:themeTint="A6"/>
          <w:lang w:val="en-AU"/>
        </w:rPr>
        <w:t>given their regional</w:t>
      </w:r>
      <w:r w:rsidR="00077792">
        <w:rPr>
          <w:rFonts w:asciiTheme="majorHAnsi" w:hAnsiTheme="majorHAnsi" w:cstheme="majorHAnsi"/>
          <w:color w:val="595959" w:themeColor="text1" w:themeTint="A6"/>
          <w:lang w:val="en-AU"/>
        </w:rPr>
        <w:t xml:space="preserve"> focus</w:t>
      </w:r>
      <w:r w:rsidR="00AF6EB9">
        <w:rPr>
          <w:rFonts w:asciiTheme="majorHAnsi" w:hAnsiTheme="majorHAnsi" w:cstheme="majorHAnsi"/>
          <w:color w:val="595959" w:themeColor="text1" w:themeTint="A6"/>
          <w:lang w:val="en-AU"/>
        </w:rPr>
        <w:t xml:space="preserve">, </w:t>
      </w:r>
      <w:r w:rsidR="00465F29" w:rsidRPr="009B5EAF">
        <w:rPr>
          <w:rFonts w:asciiTheme="majorHAnsi" w:hAnsiTheme="majorHAnsi" w:cstheme="majorHAnsi"/>
          <w:color w:val="595959" w:themeColor="text1" w:themeTint="A6"/>
          <w:lang w:val="en-AU"/>
        </w:rPr>
        <w:t>they will contribute to achievement of certain intermediate outcomes</w:t>
      </w:r>
      <w:r w:rsidR="00077792">
        <w:rPr>
          <w:rFonts w:asciiTheme="majorHAnsi" w:hAnsiTheme="majorHAnsi" w:cstheme="majorHAnsi"/>
          <w:color w:val="595959" w:themeColor="text1" w:themeTint="A6"/>
          <w:lang w:val="en-AU"/>
        </w:rPr>
        <w:t xml:space="preserve"> in Indonesia specifically</w:t>
      </w:r>
      <w:r w:rsidR="00352A08">
        <w:rPr>
          <w:rFonts w:asciiTheme="majorHAnsi" w:hAnsiTheme="majorHAnsi" w:cstheme="majorHAnsi"/>
          <w:color w:val="595959" w:themeColor="text1" w:themeTint="A6"/>
          <w:lang w:val="en-AU"/>
        </w:rPr>
        <w:t xml:space="preserve">. </w:t>
      </w:r>
      <w:r w:rsidR="00465F29" w:rsidRPr="009B5EAF">
        <w:rPr>
          <w:rFonts w:asciiTheme="majorHAnsi" w:hAnsiTheme="majorHAnsi" w:cstheme="majorHAnsi"/>
          <w:color w:val="595959" w:themeColor="text1" w:themeTint="A6"/>
          <w:lang w:val="en-AU"/>
        </w:rPr>
        <w:t xml:space="preserve">These activities are also discussed in further detail in the IPCHS Indonesia Country Investment Plan which will be </w:t>
      </w:r>
      <w:r w:rsidR="006256F3">
        <w:rPr>
          <w:rFonts w:asciiTheme="majorHAnsi" w:hAnsiTheme="majorHAnsi" w:cstheme="majorHAnsi"/>
          <w:color w:val="595959" w:themeColor="text1" w:themeTint="A6"/>
          <w:lang w:val="en-AU"/>
        </w:rPr>
        <w:t>released separately</w:t>
      </w:r>
      <w:r w:rsidR="00465F29" w:rsidRPr="009B5EAF">
        <w:rPr>
          <w:rFonts w:asciiTheme="majorHAnsi" w:hAnsiTheme="majorHAnsi" w:cstheme="majorHAnsi"/>
          <w:color w:val="595959" w:themeColor="text1" w:themeTint="A6"/>
          <w:lang w:val="en-AU"/>
        </w:rPr>
        <w:t>.</w:t>
      </w:r>
    </w:p>
    <w:p w:rsidR="00924BEC" w:rsidRPr="0043356C" w:rsidRDefault="0056281F" w:rsidP="00BF6C52">
      <w:pPr>
        <w:pStyle w:val="Heading2"/>
        <w:spacing w:after="120" w:line="240" w:lineRule="auto"/>
        <w:contextualSpacing w:val="0"/>
        <w:rPr>
          <w:rFonts w:cstheme="majorHAnsi"/>
          <w:color w:val="595959" w:themeColor="text1" w:themeTint="A6"/>
          <w:sz w:val="22"/>
          <w:szCs w:val="22"/>
        </w:rPr>
      </w:pPr>
      <w:bookmarkStart w:id="20" w:name="_Toc3297004"/>
      <w:r w:rsidRPr="0043356C">
        <w:rPr>
          <w:rFonts w:cstheme="majorHAnsi"/>
          <w:sz w:val="22"/>
          <w:szCs w:val="22"/>
        </w:rPr>
        <w:t>Program</w:t>
      </w:r>
      <w:r w:rsidR="00611F53" w:rsidRPr="0043356C">
        <w:rPr>
          <w:rFonts w:cstheme="majorHAnsi"/>
          <w:sz w:val="22"/>
          <w:szCs w:val="22"/>
        </w:rPr>
        <w:t xml:space="preserve"> Description</w:t>
      </w:r>
      <w:bookmarkEnd w:id="20"/>
    </w:p>
    <w:p w:rsidR="00A93914" w:rsidRPr="009B5EAF" w:rsidRDefault="00A93914">
      <w:pPr>
        <w:spacing w:before="0" w:after="120" w:line="240" w:lineRule="auto"/>
        <w:rPr>
          <w:rFonts w:asciiTheme="majorHAnsi" w:hAnsiTheme="majorHAnsi" w:cstheme="majorHAnsi"/>
          <w:color w:val="595959" w:themeColor="text1" w:themeTint="A6"/>
        </w:rPr>
      </w:pPr>
      <w:r w:rsidRPr="009B5EAF">
        <w:rPr>
          <w:rFonts w:asciiTheme="majorHAnsi" w:hAnsiTheme="majorHAnsi" w:cstheme="majorHAnsi"/>
          <w:color w:val="595959" w:themeColor="text1" w:themeTint="A6"/>
          <w:lang w:val="en-AU"/>
        </w:rPr>
        <w:t xml:space="preserve">AIHSP will </w:t>
      </w:r>
      <w:r w:rsidR="009A3625" w:rsidRPr="009B5EAF">
        <w:rPr>
          <w:rFonts w:asciiTheme="majorHAnsi" w:hAnsiTheme="majorHAnsi" w:cstheme="majorHAnsi"/>
          <w:color w:val="595959" w:themeColor="text1" w:themeTint="A6"/>
          <w:lang w:val="en-AU"/>
        </w:rPr>
        <w:t>be</w:t>
      </w:r>
      <w:r w:rsidRPr="009B5EAF">
        <w:rPr>
          <w:rFonts w:asciiTheme="majorHAnsi" w:hAnsiTheme="majorHAnsi" w:cstheme="majorHAnsi"/>
          <w:color w:val="595959" w:themeColor="text1" w:themeTint="A6"/>
          <w:lang w:val="en-AU"/>
        </w:rPr>
        <w:t xml:space="preserve"> a f</w:t>
      </w:r>
      <w:r w:rsidR="0056281F" w:rsidRPr="009B5EAF">
        <w:rPr>
          <w:rFonts w:asciiTheme="majorHAnsi" w:hAnsiTheme="majorHAnsi" w:cstheme="majorHAnsi"/>
          <w:color w:val="595959" w:themeColor="text1" w:themeTint="A6"/>
          <w:lang w:val="en-AU"/>
        </w:rPr>
        <w:t>lexible program</w:t>
      </w:r>
      <w:r w:rsidRPr="009B5EAF">
        <w:rPr>
          <w:rFonts w:asciiTheme="majorHAnsi" w:hAnsiTheme="majorHAnsi" w:cstheme="majorHAnsi"/>
          <w:color w:val="595959" w:themeColor="text1" w:themeTint="A6"/>
          <w:lang w:val="en-AU"/>
        </w:rPr>
        <w:t>, under which a range of activities will be</w:t>
      </w:r>
      <w:r w:rsidR="009A3625" w:rsidRPr="009B5EAF">
        <w:rPr>
          <w:rFonts w:asciiTheme="majorHAnsi" w:hAnsiTheme="majorHAnsi" w:cstheme="majorHAnsi"/>
          <w:color w:val="595959" w:themeColor="text1" w:themeTint="A6"/>
          <w:lang w:val="en-AU"/>
        </w:rPr>
        <w:t xml:space="preserve"> identified and</w:t>
      </w:r>
      <w:r w:rsidRPr="009B5EAF">
        <w:rPr>
          <w:rFonts w:asciiTheme="majorHAnsi" w:hAnsiTheme="majorHAnsi" w:cstheme="majorHAnsi"/>
          <w:color w:val="595959" w:themeColor="text1" w:themeTint="A6"/>
          <w:lang w:val="en-AU"/>
        </w:rPr>
        <w:t xml:space="preserve"> supported to strengthen Indonesia’s ability to better manage its health security risks</w:t>
      </w:r>
      <w:r w:rsidR="00D31E79">
        <w:rPr>
          <w:rFonts w:asciiTheme="majorHAnsi" w:hAnsiTheme="majorHAnsi" w:cstheme="majorHAnsi"/>
          <w:color w:val="595959" w:themeColor="text1" w:themeTint="A6"/>
          <w:lang w:val="en-AU"/>
        </w:rPr>
        <w:t>.</w:t>
      </w:r>
      <w:r w:rsidR="00C83B0C" w:rsidRPr="009B5EAF">
        <w:rPr>
          <w:rFonts w:asciiTheme="majorHAnsi" w:hAnsiTheme="majorHAnsi" w:cstheme="majorHAnsi"/>
          <w:color w:val="595959" w:themeColor="text1" w:themeTint="A6"/>
          <w:lang w:val="en-AU"/>
        </w:rPr>
        <w:t xml:space="preserve"> </w:t>
      </w:r>
      <w:r w:rsidR="009A3625" w:rsidRPr="009B5EAF">
        <w:rPr>
          <w:rFonts w:asciiTheme="majorHAnsi" w:hAnsiTheme="majorHAnsi" w:cstheme="majorHAnsi"/>
          <w:color w:val="595959" w:themeColor="text1" w:themeTint="A6"/>
        </w:rPr>
        <w:t xml:space="preserve">A </w:t>
      </w:r>
      <w:r w:rsidRPr="009B5EAF">
        <w:rPr>
          <w:rFonts w:asciiTheme="majorHAnsi" w:hAnsiTheme="majorHAnsi" w:cstheme="majorHAnsi"/>
          <w:color w:val="595959" w:themeColor="text1" w:themeTint="A6"/>
        </w:rPr>
        <w:t xml:space="preserve">managing contractor will be required to </w:t>
      </w:r>
      <w:r w:rsidR="009A3625" w:rsidRPr="009B5EAF">
        <w:rPr>
          <w:rFonts w:asciiTheme="majorHAnsi" w:hAnsiTheme="majorHAnsi" w:cstheme="majorHAnsi"/>
          <w:color w:val="595959" w:themeColor="text1" w:themeTint="A6"/>
        </w:rPr>
        <w:t xml:space="preserve">work with GoI counterparts to </w:t>
      </w:r>
      <w:r w:rsidRPr="009B5EAF">
        <w:rPr>
          <w:rFonts w:asciiTheme="majorHAnsi" w:hAnsiTheme="majorHAnsi" w:cstheme="majorHAnsi"/>
          <w:color w:val="595959" w:themeColor="text1" w:themeTint="A6"/>
        </w:rPr>
        <w:t>identify</w:t>
      </w:r>
      <w:r w:rsidR="009A3625" w:rsidRPr="009B5EAF">
        <w:rPr>
          <w:rFonts w:asciiTheme="majorHAnsi" w:hAnsiTheme="majorHAnsi" w:cstheme="majorHAnsi"/>
          <w:color w:val="595959" w:themeColor="text1" w:themeTint="A6"/>
        </w:rPr>
        <w:t xml:space="preserve"> and </w:t>
      </w:r>
      <w:r w:rsidRPr="009B5EAF">
        <w:rPr>
          <w:rFonts w:asciiTheme="majorHAnsi" w:hAnsiTheme="majorHAnsi" w:cstheme="majorHAnsi"/>
          <w:color w:val="595959" w:themeColor="text1" w:themeTint="A6"/>
        </w:rPr>
        <w:t>develop</w:t>
      </w:r>
      <w:r w:rsidR="009A3625" w:rsidRPr="009B5EAF">
        <w:rPr>
          <w:rFonts w:asciiTheme="majorHAnsi" w:hAnsiTheme="majorHAnsi" w:cstheme="majorHAnsi"/>
          <w:color w:val="595959" w:themeColor="text1" w:themeTint="A6"/>
        </w:rPr>
        <w:t xml:space="preserve"> </w:t>
      </w:r>
      <w:r w:rsidRPr="009B5EAF">
        <w:rPr>
          <w:rFonts w:asciiTheme="majorHAnsi" w:hAnsiTheme="majorHAnsi" w:cstheme="majorHAnsi"/>
          <w:color w:val="595959" w:themeColor="text1" w:themeTint="A6"/>
        </w:rPr>
        <w:t xml:space="preserve">specific activities </w:t>
      </w:r>
      <w:r w:rsidR="009A3625" w:rsidRPr="009B5EAF">
        <w:rPr>
          <w:rFonts w:asciiTheme="majorHAnsi" w:hAnsiTheme="majorHAnsi" w:cstheme="majorHAnsi"/>
          <w:color w:val="595959" w:themeColor="text1" w:themeTint="A6"/>
        </w:rPr>
        <w:t xml:space="preserve">which will be presented as </w:t>
      </w:r>
      <w:r w:rsidRPr="009B5EAF">
        <w:rPr>
          <w:rFonts w:asciiTheme="majorHAnsi" w:hAnsiTheme="majorHAnsi" w:cstheme="majorHAnsi"/>
          <w:color w:val="595959" w:themeColor="text1" w:themeTint="A6"/>
        </w:rPr>
        <w:t>an annual work plan for approval by the PCC</w:t>
      </w:r>
      <w:r w:rsidR="00D31E79">
        <w:rPr>
          <w:rFonts w:asciiTheme="majorHAnsi" w:hAnsiTheme="majorHAnsi" w:cstheme="majorHAnsi"/>
          <w:color w:val="595959" w:themeColor="text1" w:themeTint="A6"/>
        </w:rPr>
        <w:t xml:space="preserve">. </w:t>
      </w:r>
      <w:r w:rsidRPr="009B5EAF">
        <w:rPr>
          <w:rFonts w:asciiTheme="majorHAnsi" w:hAnsiTheme="majorHAnsi" w:cstheme="majorHAnsi"/>
          <w:color w:val="595959" w:themeColor="text1" w:themeTint="A6"/>
        </w:rPr>
        <w:t xml:space="preserve">The PCC will be made up of senior </w:t>
      </w:r>
      <w:r w:rsidR="00456B44" w:rsidRPr="009B5EAF">
        <w:rPr>
          <w:rFonts w:asciiTheme="majorHAnsi" w:hAnsiTheme="majorHAnsi" w:cstheme="majorHAnsi"/>
          <w:color w:val="595959" w:themeColor="text1" w:themeTint="A6"/>
        </w:rPr>
        <w:t>GoI</w:t>
      </w:r>
      <w:r w:rsidRPr="009B5EAF">
        <w:rPr>
          <w:rFonts w:asciiTheme="majorHAnsi" w:hAnsiTheme="majorHAnsi" w:cstheme="majorHAnsi"/>
          <w:color w:val="595959" w:themeColor="text1" w:themeTint="A6"/>
        </w:rPr>
        <w:t xml:space="preserve"> representatives and</w:t>
      </w:r>
      <w:r w:rsidR="00001D46">
        <w:rPr>
          <w:rFonts w:asciiTheme="majorHAnsi" w:hAnsiTheme="majorHAnsi" w:cstheme="majorHAnsi"/>
          <w:color w:val="595959" w:themeColor="text1" w:themeTint="A6"/>
        </w:rPr>
        <w:t xml:space="preserve"> will be </w:t>
      </w:r>
      <w:r w:rsidR="009552A5">
        <w:rPr>
          <w:rFonts w:asciiTheme="majorHAnsi" w:hAnsiTheme="majorHAnsi" w:cstheme="majorHAnsi"/>
          <w:color w:val="595959" w:themeColor="text1" w:themeTint="A6"/>
        </w:rPr>
        <w:t>co-</w:t>
      </w:r>
      <w:r w:rsidR="00001D46">
        <w:rPr>
          <w:rFonts w:asciiTheme="majorHAnsi" w:hAnsiTheme="majorHAnsi" w:cstheme="majorHAnsi"/>
          <w:color w:val="595959" w:themeColor="text1" w:themeTint="A6"/>
        </w:rPr>
        <w:t>chaired by a</w:t>
      </w:r>
      <w:r w:rsidRPr="009B5EAF">
        <w:rPr>
          <w:rFonts w:asciiTheme="majorHAnsi" w:hAnsiTheme="majorHAnsi" w:cstheme="majorHAnsi"/>
          <w:color w:val="595959" w:themeColor="text1" w:themeTint="A6"/>
        </w:rPr>
        <w:t xml:space="preserve"> senior representati</w:t>
      </w:r>
      <w:r w:rsidR="00001D46">
        <w:rPr>
          <w:rFonts w:asciiTheme="majorHAnsi" w:hAnsiTheme="majorHAnsi" w:cstheme="majorHAnsi"/>
          <w:color w:val="595959" w:themeColor="text1" w:themeTint="A6"/>
        </w:rPr>
        <w:t>ve</w:t>
      </w:r>
      <w:r w:rsidRPr="009B5EAF">
        <w:rPr>
          <w:rFonts w:asciiTheme="majorHAnsi" w:hAnsiTheme="majorHAnsi" w:cstheme="majorHAnsi"/>
          <w:color w:val="595959" w:themeColor="text1" w:themeTint="A6"/>
        </w:rPr>
        <w:t xml:space="preserve"> from DFAT</w:t>
      </w:r>
      <w:r w:rsidR="00001D46">
        <w:rPr>
          <w:rFonts w:asciiTheme="majorHAnsi" w:hAnsiTheme="majorHAnsi" w:cstheme="majorHAnsi"/>
          <w:color w:val="595959" w:themeColor="text1" w:themeTint="A6"/>
        </w:rPr>
        <w:t>,</w:t>
      </w:r>
      <w:r w:rsidRPr="009B5EAF">
        <w:rPr>
          <w:rFonts w:asciiTheme="majorHAnsi" w:hAnsiTheme="majorHAnsi" w:cstheme="majorHAnsi"/>
          <w:color w:val="595959" w:themeColor="text1" w:themeTint="A6"/>
        </w:rPr>
        <w:t xml:space="preserve"> and </w:t>
      </w:r>
      <w:r w:rsidR="00001D46">
        <w:rPr>
          <w:rFonts w:asciiTheme="majorHAnsi" w:hAnsiTheme="majorHAnsi" w:cstheme="majorHAnsi"/>
          <w:color w:val="595959" w:themeColor="text1" w:themeTint="A6"/>
        </w:rPr>
        <w:t xml:space="preserve">may include representatives from </w:t>
      </w:r>
      <w:r w:rsidRPr="009B5EAF">
        <w:rPr>
          <w:rFonts w:asciiTheme="majorHAnsi" w:hAnsiTheme="majorHAnsi" w:cstheme="majorHAnsi"/>
          <w:color w:val="595959" w:themeColor="text1" w:themeTint="A6"/>
        </w:rPr>
        <w:t xml:space="preserve">other </w:t>
      </w:r>
      <w:r w:rsidR="00001D46">
        <w:rPr>
          <w:rFonts w:asciiTheme="majorHAnsi" w:hAnsiTheme="majorHAnsi" w:cstheme="majorHAnsi"/>
          <w:color w:val="595959" w:themeColor="text1" w:themeTint="A6"/>
        </w:rPr>
        <w:t>GoA</w:t>
      </w:r>
      <w:r w:rsidRPr="009B5EAF">
        <w:rPr>
          <w:rFonts w:asciiTheme="majorHAnsi" w:hAnsiTheme="majorHAnsi" w:cstheme="majorHAnsi"/>
          <w:color w:val="595959" w:themeColor="text1" w:themeTint="A6"/>
        </w:rPr>
        <w:t xml:space="preserve"> agencies (DAWR</w:t>
      </w:r>
      <w:r w:rsidR="007D029C" w:rsidRPr="009B5EAF">
        <w:rPr>
          <w:rFonts w:asciiTheme="majorHAnsi" w:hAnsiTheme="majorHAnsi" w:cstheme="majorHAnsi"/>
          <w:color w:val="595959" w:themeColor="text1" w:themeTint="A6"/>
        </w:rPr>
        <w:t xml:space="preserve">, </w:t>
      </w:r>
      <w:r w:rsidR="00D80244" w:rsidRPr="009B5EAF">
        <w:rPr>
          <w:rFonts w:asciiTheme="majorHAnsi" w:hAnsiTheme="majorHAnsi" w:cstheme="majorHAnsi"/>
          <w:color w:val="595959" w:themeColor="text1" w:themeTint="A6"/>
        </w:rPr>
        <w:t>IP</w:t>
      </w:r>
      <w:r w:rsidR="007D029C" w:rsidRPr="009B5EAF">
        <w:rPr>
          <w:rFonts w:asciiTheme="majorHAnsi" w:hAnsiTheme="majorHAnsi" w:cstheme="majorHAnsi"/>
          <w:color w:val="595959" w:themeColor="text1" w:themeTint="A6"/>
        </w:rPr>
        <w:t xml:space="preserve">CHS and possibly </w:t>
      </w:r>
      <w:r w:rsidR="00B67786" w:rsidRPr="009B5EAF">
        <w:rPr>
          <w:rFonts w:asciiTheme="majorHAnsi" w:hAnsiTheme="majorHAnsi" w:cstheme="majorHAnsi"/>
          <w:color w:val="595959" w:themeColor="text1" w:themeTint="A6"/>
        </w:rPr>
        <w:t>DoH</w:t>
      </w:r>
      <w:r w:rsidRPr="009B5EAF">
        <w:rPr>
          <w:rFonts w:asciiTheme="majorHAnsi" w:hAnsiTheme="majorHAnsi" w:cstheme="majorHAnsi"/>
          <w:color w:val="595959" w:themeColor="text1" w:themeTint="A6"/>
        </w:rPr>
        <w:t>)</w:t>
      </w:r>
      <w:r w:rsidR="00001D46">
        <w:rPr>
          <w:rFonts w:asciiTheme="majorHAnsi" w:hAnsiTheme="majorHAnsi" w:cstheme="majorHAnsi"/>
          <w:color w:val="595959" w:themeColor="text1" w:themeTint="A6"/>
        </w:rPr>
        <w:t xml:space="preserve"> as observers/advisors.</w:t>
      </w:r>
    </w:p>
    <w:p w:rsidR="00A93914" w:rsidRPr="009B5EAF" w:rsidRDefault="00A93914">
      <w:pPr>
        <w:spacing w:before="0" w:after="120" w:line="240" w:lineRule="auto"/>
        <w:rPr>
          <w:rFonts w:asciiTheme="majorHAnsi" w:hAnsiTheme="majorHAnsi" w:cstheme="majorHAnsi"/>
          <w:color w:val="595959" w:themeColor="text1" w:themeTint="A6"/>
          <w:lang w:val="en-AU"/>
        </w:rPr>
      </w:pPr>
      <w:r w:rsidRPr="009B5EAF">
        <w:rPr>
          <w:rFonts w:asciiTheme="majorHAnsi" w:hAnsiTheme="majorHAnsi" w:cstheme="majorHAnsi"/>
          <w:color w:val="595959" w:themeColor="text1" w:themeTint="A6"/>
          <w:lang w:val="en-AU"/>
        </w:rPr>
        <w:t>The</w:t>
      </w:r>
      <w:r w:rsidR="009A3625" w:rsidRPr="009B5EAF">
        <w:rPr>
          <w:rFonts w:asciiTheme="majorHAnsi" w:hAnsiTheme="majorHAnsi" w:cstheme="majorHAnsi"/>
          <w:color w:val="595959" w:themeColor="text1" w:themeTint="A6"/>
          <w:lang w:val="en-AU"/>
        </w:rPr>
        <w:t xml:space="preserve"> </w:t>
      </w:r>
      <w:r w:rsidRPr="009B5EAF">
        <w:rPr>
          <w:rFonts w:asciiTheme="majorHAnsi" w:hAnsiTheme="majorHAnsi" w:cstheme="majorHAnsi"/>
          <w:color w:val="595959" w:themeColor="text1" w:themeTint="A6"/>
          <w:lang w:val="en-AU"/>
        </w:rPr>
        <w:t xml:space="preserve">program </w:t>
      </w:r>
      <w:r w:rsidR="001C3661" w:rsidRPr="009B5EAF">
        <w:rPr>
          <w:rFonts w:asciiTheme="majorHAnsi" w:hAnsiTheme="majorHAnsi" w:cstheme="majorHAnsi"/>
          <w:color w:val="595959" w:themeColor="text1" w:themeTint="A6"/>
          <w:lang w:val="en-AU"/>
        </w:rPr>
        <w:t xml:space="preserve">will </w:t>
      </w:r>
      <w:r w:rsidR="009A3625" w:rsidRPr="009B5EAF">
        <w:rPr>
          <w:rFonts w:asciiTheme="majorHAnsi" w:hAnsiTheme="majorHAnsi" w:cstheme="majorHAnsi"/>
          <w:color w:val="595959" w:themeColor="text1" w:themeTint="A6"/>
          <w:lang w:val="en-AU"/>
        </w:rPr>
        <w:t xml:space="preserve">have the scope to </w:t>
      </w:r>
      <w:r w:rsidRPr="009B5EAF">
        <w:rPr>
          <w:rFonts w:asciiTheme="majorHAnsi" w:hAnsiTheme="majorHAnsi" w:cstheme="majorHAnsi"/>
          <w:color w:val="595959" w:themeColor="text1" w:themeTint="A6"/>
          <w:lang w:val="en-AU"/>
        </w:rPr>
        <w:t xml:space="preserve">address priority health security areas beyond </w:t>
      </w:r>
      <w:r w:rsidR="00F10420" w:rsidRPr="009B5EAF">
        <w:rPr>
          <w:rFonts w:asciiTheme="majorHAnsi" w:hAnsiTheme="majorHAnsi" w:cstheme="majorHAnsi"/>
          <w:color w:val="595959" w:themeColor="text1" w:themeTint="A6"/>
          <w:lang w:val="en-AU"/>
        </w:rPr>
        <w:t>EIDs</w:t>
      </w:r>
      <w:r w:rsidRPr="009B5EAF">
        <w:rPr>
          <w:rFonts w:asciiTheme="majorHAnsi" w:hAnsiTheme="majorHAnsi" w:cstheme="majorHAnsi"/>
          <w:color w:val="595959" w:themeColor="text1" w:themeTint="A6"/>
          <w:lang w:val="en-AU"/>
        </w:rPr>
        <w:t xml:space="preserve">, </w:t>
      </w:r>
      <w:r w:rsidR="009A3625" w:rsidRPr="009B5EAF">
        <w:rPr>
          <w:rFonts w:asciiTheme="majorHAnsi" w:hAnsiTheme="majorHAnsi" w:cstheme="majorHAnsi"/>
          <w:color w:val="595959" w:themeColor="text1" w:themeTint="A6"/>
          <w:lang w:val="en-AU"/>
        </w:rPr>
        <w:t>including</w:t>
      </w:r>
      <w:r w:rsidR="007B213E" w:rsidRPr="009B5EAF">
        <w:rPr>
          <w:rFonts w:asciiTheme="majorHAnsi" w:hAnsiTheme="majorHAnsi" w:cstheme="majorHAnsi"/>
          <w:color w:val="595959" w:themeColor="text1" w:themeTint="A6"/>
          <w:lang w:val="en-AU"/>
        </w:rPr>
        <w:t xml:space="preserve"> </w:t>
      </w:r>
      <w:r w:rsidR="009A3625" w:rsidRPr="009B5EAF">
        <w:rPr>
          <w:rFonts w:asciiTheme="majorHAnsi" w:hAnsiTheme="majorHAnsi" w:cstheme="majorHAnsi"/>
          <w:color w:val="595959" w:themeColor="text1" w:themeTint="A6"/>
          <w:lang w:val="en-AU"/>
        </w:rPr>
        <w:t>AMR</w:t>
      </w:r>
      <w:r w:rsidR="00EF233B" w:rsidRPr="009B5EAF">
        <w:rPr>
          <w:rFonts w:asciiTheme="majorHAnsi" w:hAnsiTheme="majorHAnsi" w:cstheme="majorHAnsi"/>
          <w:color w:val="595959" w:themeColor="text1" w:themeTint="A6"/>
          <w:lang w:val="en-AU"/>
        </w:rPr>
        <w:t xml:space="preserve">, </w:t>
      </w:r>
      <w:r w:rsidR="007B213E" w:rsidRPr="009B5EAF">
        <w:rPr>
          <w:rFonts w:asciiTheme="majorHAnsi" w:hAnsiTheme="majorHAnsi" w:cstheme="majorHAnsi"/>
          <w:color w:val="595959" w:themeColor="text1" w:themeTint="A6"/>
          <w:lang w:val="en-AU"/>
        </w:rPr>
        <w:t>re-emerging infectious diseases and</w:t>
      </w:r>
      <w:r w:rsidR="00EF233B" w:rsidRPr="009B5EAF">
        <w:rPr>
          <w:rFonts w:asciiTheme="majorHAnsi" w:hAnsiTheme="majorHAnsi" w:cstheme="majorHAnsi"/>
          <w:color w:val="595959" w:themeColor="text1" w:themeTint="A6"/>
          <w:lang w:val="en-AU"/>
        </w:rPr>
        <w:t>/or</w:t>
      </w:r>
      <w:r w:rsidR="007B213E" w:rsidRPr="009B5EAF">
        <w:rPr>
          <w:rFonts w:asciiTheme="majorHAnsi" w:hAnsiTheme="majorHAnsi" w:cstheme="majorHAnsi"/>
          <w:color w:val="595959" w:themeColor="text1" w:themeTint="A6"/>
          <w:lang w:val="en-AU"/>
        </w:rPr>
        <w:t xml:space="preserve"> </w:t>
      </w:r>
      <w:r w:rsidRPr="009B5EAF">
        <w:rPr>
          <w:rFonts w:asciiTheme="majorHAnsi" w:hAnsiTheme="majorHAnsi" w:cstheme="majorHAnsi"/>
          <w:color w:val="595959" w:themeColor="text1" w:themeTint="A6"/>
          <w:lang w:val="en-AU"/>
        </w:rPr>
        <w:t>vector</w:t>
      </w:r>
      <w:r w:rsidR="00254F6B" w:rsidRPr="009B5EAF">
        <w:rPr>
          <w:rFonts w:asciiTheme="majorHAnsi" w:hAnsiTheme="majorHAnsi" w:cstheme="majorHAnsi"/>
          <w:color w:val="595959" w:themeColor="text1" w:themeTint="A6"/>
          <w:lang w:val="en-AU"/>
        </w:rPr>
        <w:t>-</w:t>
      </w:r>
      <w:r w:rsidRPr="009B5EAF">
        <w:rPr>
          <w:rFonts w:asciiTheme="majorHAnsi" w:hAnsiTheme="majorHAnsi" w:cstheme="majorHAnsi"/>
          <w:color w:val="595959" w:themeColor="text1" w:themeTint="A6"/>
          <w:lang w:val="en-AU"/>
        </w:rPr>
        <w:t>borne diseases</w:t>
      </w:r>
      <w:r w:rsidR="007B213E" w:rsidRPr="009B5EAF">
        <w:rPr>
          <w:rFonts w:asciiTheme="majorHAnsi" w:hAnsiTheme="majorHAnsi" w:cstheme="majorHAnsi"/>
          <w:color w:val="595959" w:themeColor="text1" w:themeTint="A6"/>
          <w:lang w:val="en-AU"/>
        </w:rPr>
        <w:t xml:space="preserve">, </w:t>
      </w:r>
      <w:r w:rsidRPr="009B5EAF">
        <w:rPr>
          <w:rFonts w:asciiTheme="majorHAnsi" w:hAnsiTheme="majorHAnsi" w:cstheme="majorHAnsi"/>
          <w:color w:val="595959" w:themeColor="text1" w:themeTint="A6"/>
          <w:lang w:val="en-AU"/>
        </w:rPr>
        <w:t>under the proviso that approval is given by the PCC</w:t>
      </w:r>
      <w:r w:rsidR="00D31E79">
        <w:rPr>
          <w:rFonts w:asciiTheme="majorHAnsi" w:hAnsiTheme="majorHAnsi" w:cstheme="majorHAnsi"/>
          <w:color w:val="595959" w:themeColor="text1" w:themeTint="A6"/>
          <w:lang w:val="en-AU"/>
        </w:rPr>
        <w:t>.</w:t>
      </w:r>
    </w:p>
    <w:p w:rsidR="00611F53" w:rsidRPr="009B5EAF" w:rsidRDefault="009E1BF7">
      <w:pPr>
        <w:spacing w:before="0" w:after="120" w:line="240" w:lineRule="auto"/>
        <w:rPr>
          <w:rFonts w:asciiTheme="majorHAnsi" w:hAnsiTheme="majorHAnsi" w:cstheme="majorHAnsi"/>
          <w:color w:val="595959" w:themeColor="text1" w:themeTint="A6"/>
          <w:lang w:val="en-AU"/>
        </w:rPr>
      </w:pPr>
      <w:r w:rsidRPr="009B5EAF">
        <w:rPr>
          <w:rFonts w:asciiTheme="majorHAnsi" w:hAnsiTheme="majorHAnsi" w:cstheme="majorHAnsi"/>
          <w:color w:val="595959" w:themeColor="text1" w:themeTint="A6"/>
          <w:lang w:val="en-AU"/>
        </w:rPr>
        <w:t>A</w:t>
      </w:r>
      <w:r w:rsidR="00A62314" w:rsidRPr="009B5EAF">
        <w:rPr>
          <w:rFonts w:asciiTheme="majorHAnsi" w:hAnsiTheme="majorHAnsi" w:cstheme="majorHAnsi"/>
          <w:color w:val="595959" w:themeColor="text1" w:themeTint="A6"/>
          <w:lang w:val="en-AU"/>
        </w:rPr>
        <w:t>ll a</w:t>
      </w:r>
      <w:r w:rsidRPr="009B5EAF">
        <w:rPr>
          <w:rFonts w:asciiTheme="majorHAnsi" w:hAnsiTheme="majorHAnsi" w:cstheme="majorHAnsi"/>
          <w:color w:val="595959" w:themeColor="text1" w:themeTint="A6"/>
          <w:lang w:val="en-AU"/>
        </w:rPr>
        <w:t xml:space="preserve">ctivities proposed for </w:t>
      </w:r>
      <w:r w:rsidR="00A62314" w:rsidRPr="009B5EAF">
        <w:rPr>
          <w:rFonts w:asciiTheme="majorHAnsi" w:hAnsiTheme="majorHAnsi" w:cstheme="majorHAnsi"/>
          <w:color w:val="595959" w:themeColor="text1" w:themeTint="A6"/>
          <w:lang w:val="en-AU"/>
        </w:rPr>
        <w:t xml:space="preserve">program </w:t>
      </w:r>
      <w:r w:rsidRPr="009B5EAF">
        <w:rPr>
          <w:rFonts w:asciiTheme="majorHAnsi" w:hAnsiTheme="majorHAnsi" w:cstheme="majorHAnsi"/>
          <w:color w:val="595959" w:themeColor="text1" w:themeTint="A6"/>
          <w:lang w:val="en-AU"/>
        </w:rPr>
        <w:t xml:space="preserve">funding should </w:t>
      </w:r>
      <w:r w:rsidR="00A62314" w:rsidRPr="009B5EAF">
        <w:rPr>
          <w:rFonts w:asciiTheme="majorHAnsi" w:hAnsiTheme="majorHAnsi" w:cstheme="majorHAnsi"/>
          <w:color w:val="595959" w:themeColor="text1" w:themeTint="A6"/>
          <w:lang w:val="en-AU"/>
        </w:rPr>
        <w:t>meet</w:t>
      </w:r>
      <w:r w:rsidRPr="009B5EAF">
        <w:rPr>
          <w:rFonts w:asciiTheme="majorHAnsi" w:hAnsiTheme="majorHAnsi" w:cstheme="majorHAnsi"/>
          <w:color w:val="595959" w:themeColor="text1" w:themeTint="A6"/>
          <w:lang w:val="en-AU"/>
        </w:rPr>
        <w:t xml:space="preserve"> the following investment criteria</w:t>
      </w:r>
      <w:r w:rsidR="00A62314" w:rsidRPr="009B5EAF">
        <w:rPr>
          <w:rFonts w:asciiTheme="majorHAnsi" w:hAnsiTheme="majorHAnsi" w:cstheme="majorHAnsi"/>
          <w:color w:val="595959" w:themeColor="text1" w:themeTint="A6"/>
          <w:lang w:val="en-AU"/>
        </w:rPr>
        <w:t xml:space="preserve"> and </w:t>
      </w:r>
      <w:r w:rsidR="00924BEC" w:rsidRPr="009B5EAF">
        <w:rPr>
          <w:rFonts w:asciiTheme="majorHAnsi" w:hAnsiTheme="majorHAnsi" w:cstheme="majorHAnsi"/>
          <w:color w:val="595959" w:themeColor="text1" w:themeTint="A6"/>
          <w:lang w:val="en-AU"/>
        </w:rPr>
        <w:t>guiding principles</w:t>
      </w:r>
      <w:r w:rsidRPr="009B5EAF">
        <w:rPr>
          <w:rFonts w:asciiTheme="majorHAnsi" w:hAnsiTheme="majorHAnsi" w:cstheme="majorHAnsi"/>
          <w:color w:val="595959" w:themeColor="text1" w:themeTint="A6"/>
          <w:lang w:val="en-AU"/>
        </w:rPr>
        <w:t>:</w:t>
      </w:r>
    </w:p>
    <w:tbl>
      <w:tblPr>
        <w:tblStyle w:val="TableGrid1"/>
        <w:tblW w:w="10165" w:type="dxa"/>
        <w:tblLook w:val="04A0" w:firstRow="1" w:lastRow="0" w:firstColumn="1" w:lastColumn="0" w:noHBand="0" w:noVBand="1"/>
      </w:tblPr>
      <w:tblGrid>
        <w:gridCol w:w="2499"/>
        <w:gridCol w:w="7655"/>
        <w:gridCol w:w="11"/>
      </w:tblGrid>
      <w:tr w:rsidR="00A848ED" w:rsidRPr="009B5EAF" w:rsidTr="001504BF">
        <w:tc>
          <w:tcPr>
            <w:tcW w:w="10165" w:type="dxa"/>
            <w:gridSpan w:val="3"/>
            <w:shd w:val="clear" w:color="auto" w:fill="BFBFBF" w:themeFill="background1" w:themeFillShade="BF"/>
          </w:tcPr>
          <w:p w:rsidR="00A848ED" w:rsidRPr="00EB4FEE" w:rsidRDefault="00A848ED" w:rsidP="002167AE">
            <w:pPr>
              <w:pStyle w:val="BodyText"/>
              <w:keepNext/>
              <w:rPr>
                <w:rFonts w:asciiTheme="majorHAnsi" w:eastAsia="Calibri" w:hAnsiTheme="majorHAnsi" w:cstheme="majorHAnsi"/>
                <w:b/>
                <w:color w:val="595959" w:themeColor="text1" w:themeTint="A6"/>
              </w:rPr>
            </w:pPr>
            <w:r w:rsidRPr="00EB4FEE">
              <w:rPr>
                <w:rFonts w:asciiTheme="majorHAnsi" w:eastAsia="Calibri" w:hAnsiTheme="majorHAnsi" w:cstheme="majorHAnsi"/>
                <w:b/>
                <w:color w:val="595959" w:themeColor="text1" w:themeTint="A6"/>
              </w:rPr>
              <w:t xml:space="preserve">Table </w:t>
            </w:r>
            <w:r w:rsidR="00494255">
              <w:rPr>
                <w:rFonts w:asciiTheme="majorHAnsi" w:eastAsia="Calibri" w:hAnsiTheme="majorHAnsi" w:cstheme="majorHAnsi"/>
                <w:b/>
                <w:color w:val="595959" w:themeColor="text1" w:themeTint="A6"/>
              </w:rPr>
              <w:t>3</w:t>
            </w:r>
            <w:r w:rsidRPr="00EB4FEE">
              <w:rPr>
                <w:rFonts w:asciiTheme="majorHAnsi" w:eastAsia="Calibri" w:hAnsiTheme="majorHAnsi" w:cstheme="majorHAnsi"/>
                <w:b/>
                <w:color w:val="595959" w:themeColor="text1" w:themeTint="A6"/>
              </w:rPr>
              <w:t>: Investment Criteria/Guiding Principles</w:t>
            </w:r>
          </w:p>
        </w:tc>
      </w:tr>
      <w:tr w:rsidR="009B5EAF" w:rsidRPr="009B5EAF" w:rsidTr="002167AE">
        <w:trPr>
          <w:gridAfter w:val="1"/>
          <w:wAfter w:w="11" w:type="dxa"/>
        </w:trPr>
        <w:tc>
          <w:tcPr>
            <w:tcW w:w="2499" w:type="dxa"/>
          </w:tcPr>
          <w:p w:rsidR="00A848ED" w:rsidRPr="00EB4FEE" w:rsidRDefault="00A848ED" w:rsidP="002167AE">
            <w:pPr>
              <w:pStyle w:val="BodyText"/>
              <w:keepNext/>
              <w:rPr>
                <w:rFonts w:asciiTheme="majorHAnsi" w:eastAsia="Calibri" w:hAnsiTheme="majorHAnsi" w:cstheme="majorHAnsi"/>
                <w:color w:val="595959" w:themeColor="text1" w:themeTint="A6"/>
              </w:rPr>
            </w:pPr>
            <w:r w:rsidRPr="00EB4FEE">
              <w:rPr>
                <w:rFonts w:asciiTheme="majorHAnsi" w:eastAsia="Calibri" w:hAnsiTheme="majorHAnsi" w:cstheme="majorHAnsi"/>
                <w:color w:val="595959" w:themeColor="text1" w:themeTint="A6"/>
              </w:rPr>
              <w:t>Relevance</w:t>
            </w:r>
          </w:p>
        </w:tc>
        <w:tc>
          <w:tcPr>
            <w:tcW w:w="7655" w:type="dxa"/>
          </w:tcPr>
          <w:p w:rsidR="00A848ED" w:rsidRPr="00EB4FEE" w:rsidRDefault="00A848ED" w:rsidP="002167AE">
            <w:pPr>
              <w:pStyle w:val="BodyText"/>
              <w:keepNext/>
              <w:rPr>
                <w:rFonts w:asciiTheme="majorHAnsi" w:eastAsia="Calibri" w:hAnsiTheme="majorHAnsi" w:cstheme="majorHAnsi"/>
                <w:color w:val="595959" w:themeColor="text1" w:themeTint="A6"/>
              </w:rPr>
            </w:pPr>
            <w:r w:rsidRPr="00EB4FEE">
              <w:rPr>
                <w:rFonts w:asciiTheme="majorHAnsi" w:eastAsia="Calibri" w:hAnsiTheme="majorHAnsi" w:cstheme="majorHAnsi"/>
                <w:color w:val="595959" w:themeColor="text1" w:themeTint="A6"/>
              </w:rPr>
              <w:t>Will the activity contribute to one or more of the end-of-program outcomes?</w:t>
            </w:r>
          </w:p>
        </w:tc>
      </w:tr>
      <w:tr w:rsidR="009B5EAF" w:rsidRPr="009B5EAF" w:rsidTr="002167AE">
        <w:trPr>
          <w:gridAfter w:val="1"/>
          <w:wAfter w:w="11" w:type="dxa"/>
        </w:trPr>
        <w:tc>
          <w:tcPr>
            <w:tcW w:w="2499" w:type="dxa"/>
          </w:tcPr>
          <w:p w:rsidR="00A848ED" w:rsidRPr="00EB4FEE" w:rsidRDefault="00A848ED" w:rsidP="002167AE">
            <w:pPr>
              <w:pStyle w:val="BodyText"/>
              <w:keepNext/>
              <w:rPr>
                <w:rFonts w:asciiTheme="majorHAnsi" w:eastAsia="Calibri" w:hAnsiTheme="majorHAnsi" w:cstheme="majorHAnsi"/>
                <w:color w:val="595959" w:themeColor="text1" w:themeTint="A6"/>
              </w:rPr>
            </w:pPr>
            <w:r w:rsidRPr="00EB4FEE">
              <w:rPr>
                <w:rFonts w:asciiTheme="majorHAnsi" w:eastAsia="Calibri" w:hAnsiTheme="majorHAnsi" w:cstheme="majorHAnsi"/>
                <w:color w:val="595959" w:themeColor="text1" w:themeTint="A6"/>
              </w:rPr>
              <w:t>Effectiveness and Impact</w:t>
            </w:r>
          </w:p>
        </w:tc>
        <w:tc>
          <w:tcPr>
            <w:tcW w:w="7655" w:type="dxa"/>
          </w:tcPr>
          <w:p w:rsidR="00A848ED" w:rsidRPr="00EB4FEE" w:rsidRDefault="00A848ED" w:rsidP="002167AE">
            <w:pPr>
              <w:pStyle w:val="BodyText"/>
              <w:keepNext/>
              <w:rPr>
                <w:rFonts w:asciiTheme="majorHAnsi" w:eastAsia="Calibri" w:hAnsiTheme="majorHAnsi" w:cstheme="majorHAnsi"/>
                <w:color w:val="595959" w:themeColor="text1" w:themeTint="A6"/>
              </w:rPr>
            </w:pPr>
            <w:r w:rsidRPr="00EB4FEE">
              <w:rPr>
                <w:rFonts w:asciiTheme="majorHAnsi" w:eastAsia="Calibri" w:hAnsiTheme="majorHAnsi" w:cstheme="majorHAnsi"/>
                <w:color w:val="595959" w:themeColor="text1" w:themeTint="A6"/>
              </w:rPr>
              <w:t>What is the evidence that the activity will be likely to achieve significant progress towards the end-of-program outcomes?</w:t>
            </w:r>
          </w:p>
        </w:tc>
      </w:tr>
      <w:tr w:rsidR="009B5EAF" w:rsidRPr="009B5EAF" w:rsidTr="002167AE">
        <w:trPr>
          <w:gridAfter w:val="1"/>
          <w:wAfter w:w="11" w:type="dxa"/>
        </w:trPr>
        <w:tc>
          <w:tcPr>
            <w:tcW w:w="2499" w:type="dxa"/>
          </w:tcPr>
          <w:p w:rsidR="00A848ED" w:rsidRPr="00EB4FEE" w:rsidRDefault="00A848ED" w:rsidP="002167AE">
            <w:pPr>
              <w:pStyle w:val="BodyText"/>
              <w:keepNext/>
              <w:rPr>
                <w:rFonts w:asciiTheme="majorHAnsi" w:eastAsia="Calibri" w:hAnsiTheme="majorHAnsi" w:cstheme="majorHAnsi"/>
                <w:color w:val="595959" w:themeColor="text1" w:themeTint="A6"/>
              </w:rPr>
            </w:pPr>
            <w:r w:rsidRPr="00EB4FEE">
              <w:rPr>
                <w:rFonts w:asciiTheme="majorHAnsi" w:eastAsia="Calibri" w:hAnsiTheme="majorHAnsi" w:cstheme="majorHAnsi"/>
                <w:color w:val="595959" w:themeColor="text1" w:themeTint="A6"/>
              </w:rPr>
              <w:t>Ownership and commitment</w:t>
            </w:r>
          </w:p>
        </w:tc>
        <w:tc>
          <w:tcPr>
            <w:tcW w:w="7655" w:type="dxa"/>
          </w:tcPr>
          <w:p w:rsidR="00A848ED" w:rsidRPr="00EB4FEE" w:rsidRDefault="00A848ED" w:rsidP="002167AE">
            <w:pPr>
              <w:pStyle w:val="BodyText"/>
              <w:keepNext/>
              <w:rPr>
                <w:rFonts w:asciiTheme="majorHAnsi" w:eastAsia="Calibri" w:hAnsiTheme="majorHAnsi" w:cstheme="majorHAnsi"/>
                <w:color w:val="595959" w:themeColor="text1" w:themeTint="A6"/>
              </w:rPr>
            </w:pPr>
            <w:r w:rsidRPr="00EB4FEE">
              <w:rPr>
                <w:rFonts w:asciiTheme="majorHAnsi" w:eastAsia="Calibri" w:hAnsiTheme="majorHAnsi" w:cstheme="majorHAnsi"/>
                <w:color w:val="595959" w:themeColor="text1" w:themeTint="A6"/>
              </w:rPr>
              <w:t>Is there support from the relevant beneficiary (government ministry, local government, affected population)?</w:t>
            </w:r>
          </w:p>
        </w:tc>
      </w:tr>
      <w:tr w:rsidR="009B5EAF" w:rsidRPr="009B5EAF" w:rsidTr="002167AE">
        <w:trPr>
          <w:gridAfter w:val="1"/>
          <w:wAfter w:w="11" w:type="dxa"/>
        </w:trPr>
        <w:tc>
          <w:tcPr>
            <w:tcW w:w="2499" w:type="dxa"/>
          </w:tcPr>
          <w:p w:rsidR="00A848ED" w:rsidRPr="00EB4FEE" w:rsidRDefault="00A848ED" w:rsidP="002167AE">
            <w:pPr>
              <w:pStyle w:val="BodyText"/>
              <w:keepNext/>
              <w:rPr>
                <w:rFonts w:asciiTheme="majorHAnsi" w:eastAsia="Calibri" w:hAnsiTheme="majorHAnsi" w:cstheme="majorHAnsi"/>
                <w:color w:val="595959" w:themeColor="text1" w:themeTint="A6"/>
              </w:rPr>
            </w:pPr>
            <w:r w:rsidRPr="00EB4FEE">
              <w:rPr>
                <w:rFonts w:asciiTheme="majorHAnsi" w:eastAsia="Calibri" w:hAnsiTheme="majorHAnsi" w:cstheme="majorHAnsi"/>
                <w:color w:val="595959" w:themeColor="text1" w:themeTint="A6"/>
              </w:rPr>
              <w:t>Monitoring and evaluation</w:t>
            </w:r>
          </w:p>
        </w:tc>
        <w:tc>
          <w:tcPr>
            <w:tcW w:w="7655" w:type="dxa"/>
          </w:tcPr>
          <w:p w:rsidR="00A848ED" w:rsidRPr="00EB4FEE" w:rsidRDefault="00A848ED" w:rsidP="002167AE">
            <w:pPr>
              <w:pStyle w:val="BodyText"/>
              <w:keepNext/>
              <w:rPr>
                <w:rFonts w:asciiTheme="majorHAnsi" w:eastAsia="Calibri" w:hAnsiTheme="majorHAnsi" w:cstheme="majorHAnsi"/>
                <w:color w:val="595959" w:themeColor="text1" w:themeTint="A6"/>
              </w:rPr>
            </w:pPr>
            <w:r w:rsidRPr="00EB4FEE">
              <w:rPr>
                <w:rFonts w:asciiTheme="majorHAnsi" w:eastAsia="Calibri" w:hAnsiTheme="majorHAnsi" w:cstheme="majorHAnsi"/>
                <w:color w:val="595959" w:themeColor="text1" w:themeTint="A6"/>
              </w:rPr>
              <w:t>Are there arrangements in place to track implementation, and to measure the outcomes of the activity?</w:t>
            </w:r>
          </w:p>
        </w:tc>
      </w:tr>
      <w:tr w:rsidR="009B5EAF" w:rsidRPr="009B5EAF" w:rsidTr="002167AE">
        <w:trPr>
          <w:gridAfter w:val="1"/>
          <w:wAfter w:w="11" w:type="dxa"/>
        </w:trPr>
        <w:tc>
          <w:tcPr>
            <w:tcW w:w="2499" w:type="dxa"/>
          </w:tcPr>
          <w:p w:rsidR="00A848ED" w:rsidRPr="00EB4FEE" w:rsidRDefault="00A848ED" w:rsidP="002167AE">
            <w:pPr>
              <w:pStyle w:val="BodyText"/>
              <w:keepNext/>
              <w:rPr>
                <w:rFonts w:asciiTheme="majorHAnsi" w:eastAsia="Calibri" w:hAnsiTheme="majorHAnsi" w:cstheme="majorHAnsi"/>
                <w:color w:val="595959" w:themeColor="text1" w:themeTint="A6"/>
              </w:rPr>
            </w:pPr>
            <w:r w:rsidRPr="00EB4FEE">
              <w:rPr>
                <w:rFonts w:asciiTheme="majorHAnsi" w:eastAsia="Calibri" w:hAnsiTheme="majorHAnsi" w:cstheme="majorHAnsi"/>
                <w:color w:val="595959" w:themeColor="text1" w:themeTint="A6"/>
              </w:rPr>
              <w:t>Learning and innovation</w:t>
            </w:r>
          </w:p>
        </w:tc>
        <w:tc>
          <w:tcPr>
            <w:tcW w:w="7655" w:type="dxa"/>
          </w:tcPr>
          <w:p w:rsidR="00A848ED" w:rsidRPr="00EB4FEE" w:rsidRDefault="00A848ED" w:rsidP="002167AE">
            <w:pPr>
              <w:pStyle w:val="BodyText"/>
              <w:keepNext/>
              <w:rPr>
                <w:rFonts w:asciiTheme="majorHAnsi" w:eastAsia="Calibri" w:hAnsiTheme="majorHAnsi" w:cstheme="majorHAnsi"/>
                <w:color w:val="595959" w:themeColor="text1" w:themeTint="A6"/>
              </w:rPr>
            </w:pPr>
            <w:r w:rsidRPr="00EB4FEE">
              <w:rPr>
                <w:rFonts w:asciiTheme="majorHAnsi" w:eastAsia="Calibri" w:hAnsiTheme="majorHAnsi" w:cstheme="majorHAnsi"/>
                <w:color w:val="595959" w:themeColor="text1" w:themeTint="A6"/>
              </w:rPr>
              <w:t>Is there a mechanism in place to ensure that lessons will be learnt from the activity?</w:t>
            </w:r>
          </w:p>
        </w:tc>
      </w:tr>
      <w:tr w:rsidR="009B5EAF" w:rsidRPr="009B5EAF" w:rsidTr="002167AE">
        <w:trPr>
          <w:gridAfter w:val="1"/>
          <w:wAfter w:w="11" w:type="dxa"/>
        </w:trPr>
        <w:tc>
          <w:tcPr>
            <w:tcW w:w="2499" w:type="dxa"/>
          </w:tcPr>
          <w:p w:rsidR="00A848ED" w:rsidRPr="00EB4FEE" w:rsidRDefault="00A848ED" w:rsidP="00305395">
            <w:pPr>
              <w:pStyle w:val="BodyText"/>
              <w:keepNext/>
              <w:rPr>
                <w:rFonts w:asciiTheme="majorHAnsi" w:eastAsia="Calibri" w:hAnsiTheme="majorHAnsi" w:cstheme="majorHAnsi"/>
                <w:color w:val="595959" w:themeColor="text1" w:themeTint="A6"/>
              </w:rPr>
            </w:pPr>
            <w:r w:rsidRPr="00EB4FEE">
              <w:rPr>
                <w:rFonts w:asciiTheme="majorHAnsi" w:eastAsia="Calibri" w:hAnsiTheme="majorHAnsi" w:cstheme="majorHAnsi"/>
                <w:color w:val="595959" w:themeColor="text1" w:themeTint="A6"/>
              </w:rPr>
              <w:t>Replica</w:t>
            </w:r>
            <w:r w:rsidR="00001D46">
              <w:rPr>
                <w:rFonts w:asciiTheme="majorHAnsi" w:eastAsia="Calibri" w:hAnsiTheme="majorHAnsi" w:cstheme="majorHAnsi"/>
                <w:color w:val="595959" w:themeColor="text1" w:themeTint="A6"/>
              </w:rPr>
              <w:t>tion,</w:t>
            </w:r>
            <w:r w:rsidRPr="00EB4FEE">
              <w:rPr>
                <w:rFonts w:asciiTheme="majorHAnsi" w:eastAsia="Calibri" w:hAnsiTheme="majorHAnsi" w:cstheme="majorHAnsi"/>
                <w:color w:val="595959" w:themeColor="text1" w:themeTint="A6"/>
              </w:rPr>
              <w:t xml:space="preserve"> scale</w:t>
            </w:r>
            <w:r w:rsidR="00AD3A37">
              <w:rPr>
                <w:rFonts w:asciiTheme="majorHAnsi" w:eastAsia="Calibri" w:hAnsiTheme="majorHAnsi" w:cstheme="majorHAnsi"/>
                <w:color w:val="595959" w:themeColor="text1" w:themeTint="A6"/>
              </w:rPr>
              <w:t xml:space="preserve"> and policy influence</w:t>
            </w:r>
          </w:p>
        </w:tc>
        <w:tc>
          <w:tcPr>
            <w:tcW w:w="7655" w:type="dxa"/>
          </w:tcPr>
          <w:p w:rsidR="00A848ED" w:rsidRPr="00EB4FEE" w:rsidRDefault="00A848ED" w:rsidP="002167AE">
            <w:pPr>
              <w:pStyle w:val="BodyText"/>
              <w:keepNext/>
              <w:rPr>
                <w:rFonts w:asciiTheme="majorHAnsi" w:eastAsia="Calibri" w:hAnsiTheme="majorHAnsi" w:cstheme="majorHAnsi"/>
                <w:color w:val="595959" w:themeColor="text1" w:themeTint="A6"/>
              </w:rPr>
            </w:pPr>
            <w:r w:rsidRPr="00EB4FEE">
              <w:rPr>
                <w:rFonts w:asciiTheme="majorHAnsi" w:eastAsia="Calibri" w:hAnsiTheme="majorHAnsi" w:cstheme="majorHAnsi"/>
                <w:color w:val="595959" w:themeColor="text1" w:themeTint="A6"/>
              </w:rPr>
              <w:t>What evidence is there that the activity can be</w:t>
            </w:r>
            <w:r w:rsidR="00AD3A37">
              <w:rPr>
                <w:rFonts w:asciiTheme="majorHAnsi" w:eastAsia="Calibri" w:hAnsiTheme="majorHAnsi" w:cstheme="majorHAnsi"/>
                <w:color w:val="595959" w:themeColor="text1" w:themeTint="A6"/>
              </w:rPr>
              <w:t>/is being</w:t>
            </w:r>
            <w:r w:rsidRPr="00EB4FEE">
              <w:rPr>
                <w:rFonts w:asciiTheme="majorHAnsi" w:eastAsia="Calibri" w:hAnsiTheme="majorHAnsi" w:cstheme="majorHAnsi"/>
                <w:color w:val="595959" w:themeColor="text1" w:themeTint="A6"/>
              </w:rPr>
              <w:t xml:space="preserve"> replicated</w:t>
            </w:r>
            <w:r w:rsidR="00AD3A37">
              <w:rPr>
                <w:rFonts w:asciiTheme="majorHAnsi" w:eastAsia="Calibri" w:hAnsiTheme="majorHAnsi" w:cstheme="majorHAnsi"/>
                <w:color w:val="595959" w:themeColor="text1" w:themeTint="A6"/>
              </w:rPr>
              <w:t>, or is influencing national policy</w:t>
            </w:r>
            <w:r w:rsidRPr="00EB4FEE">
              <w:rPr>
                <w:rFonts w:asciiTheme="majorHAnsi" w:eastAsia="Calibri" w:hAnsiTheme="majorHAnsi" w:cstheme="majorHAnsi"/>
                <w:color w:val="595959" w:themeColor="text1" w:themeTint="A6"/>
              </w:rPr>
              <w:t xml:space="preserve"> at sufficient scale to have impact (if applicable)?</w:t>
            </w:r>
          </w:p>
        </w:tc>
      </w:tr>
      <w:tr w:rsidR="009B5EAF" w:rsidRPr="009B5EAF" w:rsidTr="002167AE">
        <w:trPr>
          <w:gridAfter w:val="1"/>
          <w:wAfter w:w="11" w:type="dxa"/>
        </w:trPr>
        <w:tc>
          <w:tcPr>
            <w:tcW w:w="2499" w:type="dxa"/>
          </w:tcPr>
          <w:p w:rsidR="00A848ED" w:rsidRPr="00EB4FEE" w:rsidRDefault="00A848ED" w:rsidP="002167AE">
            <w:pPr>
              <w:pStyle w:val="BodyText"/>
              <w:keepNext/>
              <w:rPr>
                <w:rFonts w:asciiTheme="majorHAnsi" w:eastAsia="Calibri" w:hAnsiTheme="majorHAnsi" w:cstheme="majorHAnsi"/>
                <w:color w:val="595959" w:themeColor="text1" w:themeTint="A6"/>
              </w:rPr>
            </w:pPr>
            <w:r w:rsidRPr="00EB4FEE">
              <w:rPr>
                <w:rFonts w:asciiTheme="majorHAnsi" w:eastAsia="Calibri" w:hAnsiTheme="majorHAnsi" w:cstheme="majorHAnsi"/>
                <w:color w:val="595959" w:themeColor="text1" w:themeTint="A6"/>
              </w:rPr>
              <w:t>Affordability and sustainability</w:t>
            </w:r>
          </w:p>
        </w:tc>
        <w:tc>
          <w:tcPr>
            <w:tcW w:w="7655" w:type="dxa"/>
          </w:tcPr>
          <w:p w:rsidR="00A848ED" w:rsidRPr="00EB4FEE" w:rsidRDefault="00A848ED" w:rsidP="002167AE">
            <w:pPr>
              <w:pStyle w:val="BodyText"/>
              <w:keepNext/>
              <w:rPr>
                <w:rFonts w:asciiTheme="majorHAnsi" w:eastAsia="Calibri" w:hAnsiTheme="majorHAnsi" w:cstheme="majorHAnsi"/>
                <w:color w:val="595959" w:themeColor="text1" w:themeTint="A6"/>
              </w:rPr>
            </w:pPr>
            <w:r w:rsidRPr="00EB4FEE">
              <w:rPr>
                <w:rFonts w:asciiTheme="majorHAnsi" w:eastAsia="Calibri" w:hAnsiTheme="majorHAnsi" w:cstheme="majorHAnsi"/>
                <w:color w:val="595959" w:themeColor="text1" w:themeTint="A6"/>
              </w:rPr>
              <w:t xml:space="preserve">Is the activity considered to be value for money and has consideration been given to ensure that the benefits of the activity will be sustained once program inputs come to an end? </w:t>
            </w:r>
          </w:p>
        </w:tc>
      </w:tr>
      <w:tr w:rsidR="009B5EAF" w:rsidRPr="009B5EAF" w:rsidTr="002167AE">
        <w:trPr>
          <w:gridAfter w:val="1"/>
          <w:wAfter w:w="11" w:type="dxa"/>
        </w:trPr>
        <w:tc>
          <w:tcPr>
            <w:tcW w:w="2499" w:type="dxa"/>
          </w:tcPr>
          <w:p w:rsidR="00A848ED" w:rsidRPr="00EB4FEE" w:rsidRDefault="00A848ED" w:rsidP="002167AE">
            <w:pPr>
              <w:pStyle w:val="BodyText"/>
              <w:keepNext/>
              <w:rPr>
                <w:rFonts w:asciiTheme="majorHAnsi" w:eastAsia="Calibri" w:hAnsiTheme="majorHAnsi" w:cstheme="majorHAnsi"/>
                <w:color w:val="595959" w:themeColor="text1" w:themeTint="A6"/>
              </w:rPr>
            </w:pPr>
            <w:r w:rsidRPr="00EB4FEE">
              <w:rPr>
                <w:rFonts w:asciiTheme="majorHAnsi" w:eastAsia="Calibri" w:hAnsiTheme="majorHAnsi" w:cstheme="majorHAnsi"/>
                <w:color w:val="595959" w:themeColor="text1" w:themeTint="A6"/>
              </w:rPr>
              <w:t>Gender and social inclusion</w:t>
            </w:r>
          </w:p>
        </w:tc>
        <w:tc>
          <w:tcPr>
            <w:tcW w:w="7655" w:type="dxa"/>
          </w:tcPr>
          <w:p w:rsidR="00A848ED" w:rsidRPr="00EB4FEE" w:rsidRDefault="00A848ED" w:rsidP="002167AE">
            <w:pPr>
              <w:pStyle w:val="BodyText"/>
              <w:keepNext/>
              <w:rPr>
                <w:rFonts w:asciiTheme="majorHAnsi" w:eastAsia="Calibri" w:hAnsiTheme="majorHAnsi" w:cstheme="majorHAnsi"/>
                <w:color w:val="595959" w:themeColor="text1" w:themeTint="A6"/>
              </w:rPr>
            </w:pPr>
            <w:r w:rsidRPr="00EB4FEE">
              <w:rPr>
                <w:rFonts w:asciiTheme="majorHAnsi" w:eastAsia="Calibri" w:hAnsiTheme="majorHAnsi" w:cstheme="majorHAnsi"/>
                <w:color w:val="595959" w:themeColor="text1" w:themeTint="A6"/>
              </w:rPr>
              <w:t xml:space="preserve">Does the activity appropriately consider gender and social inclusion issues? </w:t>
            </w:r>
          </w:p>
        </w:tc>
      </w:tr>
    </w:tbl>
    <w:p w:rsidR="00762452" w:rsidRPr="00EB4FEE" w:rsidRDefault="00762452">
      <w:pPr>
        <w:suppressAutoHyphens w:val="0"/>
        <w:spacing w:before="0" w:after="120" w:line="240" w:lineRule="auto"/>
        <w:rPr>
          <w:rFonts w:asciiTheme="majorHAnsi" w:hAnsiTheme="majorHAnsi"/>
        </w:rPr>
      </w:pPr>
    </w:p>
    <w:p w:rsidR="0089778F" w:rsidRPr="00CB527B" w:rsidRDefault="0081553F" w:rsidP="00BF6C52">
      <w:pPr>
        <w:pStyle w:val="Heading2"/>
        <w:spacing w:after="120" w:line="240" w:lineRule="auto"/>
        <w:contextualSpacing w:val="0"/>
        <w:rPr>
          <w:rFonts w:eastAsia="Calibri" w:cstheme="majorHAnsi"/>
          <w:sz w:val="22"/>
          <w:szCs w:val="22"/>
          <w:lang w:val="en-US"/>
        </w:rPr>
      </w:pPr>
      <w:bookmarkStart w:id="21" w:name="_Toc3297005"/>
      <w:r w:rsidRPr="00CB527B">
        <w:rPr>
          <w:rFonts w:eastAsia="Calibri" w:cstheme="majorHAnsi"/>
          <w:sz w:val="22"/>
          <w:szCs w:val="22"/>
          <w:lang w:val="en-US"/>
        </w:rPr>
        <w:t>Delivery Approaches</w:t>
      </w:r>
      <w:bookmarkEnd w:id="21"/>
    </w:p>
    <w:p w:rsidR="008768BA" w:rsidRPr="009B5EAF" w:rsidRDefault="00AE1048">
      <w:pPr>
        <w:spacing w:before="0" w:after="120" w:line="240" w:lineRule="auto"/>
        <w:rPr>
          <w:rFonts w:asciiTheme="majorHAnsi" w:hAnsiTheme="majorHAnsi" w:cstheme="majorHAnsi"/>
          <w:color w:val="595959" w:themeColor="text1" w:themeTint="A6"/>
          <w:lang w:val="en-AU"/>
        </w:rPr>
      </w:pPr>
      <w:r w:rsidRPr="009B5EAF">
        <w:rPr>
          <w:rFonts w:asciiTheme="majorHAnsi" w:hAnsiTheme="majorHAnsi" w:cstheme="majorHAnsi"/>
          <w:color w:val="595959" w:themeColor="text1" w:themeTint="A6"/>
          <w:lang w:val="en-AU"/>
        </w:rPr>
        <w:t>The following o</w:t>
      </w:r>
      <w:r w:rsidR="008768BA" w:rsidRPr="009B5EAF">
        <w:rPr>
          <w:rFonts w:asciiTheme="majorHAnsi" w:hAnsiTheme="majorHAnsi" w:cstheme="majorHAnsi"/>
          <w:color w:val="595959" w:themeColor="text1" w:themeTint="A6"/>
          <w:lang w:val="en-AU"/>
        </w:rPr>
        <w:t xml:space="preserve">ptions for </w:t>
      </w:r>
      <w:r w:rsidRPr="009B5EAF">
        <w:rPr>
          <w:rFonts w:asciiTheme="majorHAnsi" w:hAnsiTheme="majorHAnsi" w:cstheme="majorHAnsi"/>
          <w:color w:val="595959" w:themeColor="text1" w:themeTint="A6"/>
          <w:lang w:val="en-AU"/>
        </w:rPr>
        <w:t xml:space="preserve">program </w:t>
      </w:r>
      <w:r w:rsidR="008768BA" w:rsidRPr="009B5EAF">
        <w:rPr>
          <w:rFonts w:asciiTheme="majorHAnsi" w:hAnsiTheme="majorHAnsi" w:cstheme="majorHAnsi"/>
          <w:color w:val="595959" w:themeColor="text1" w:themeTint="A6"/>
          <w:lang w:val="en-AU"/>
        </w:rPr>
        <w:t xml:space="preserve">delivery </w:t>
      </w:r>
      <w:r w:rsidRPr="009B5EAF">
        <w:rPr>
          <w:rFonts w:asciiTheme="majorHAnsi" w:hAnsiTheme="majorHAnsi" w:cstheme="majorHAnsi"/>
          <w:color w:val="595959" w:themeColor="text1" w:themeTint="A6"/>
          <w:lang w:val="en-AU"/>
        </w:rPr>
        <w:t>were consider</w:t>
      </w:r>
      <w:r w:rsidR="00951309" w:rsidRPr="009B5EAF">
        <w:rPr>
          <w:rFonts w:asciiTheme="majorHAnsi" w:hAnsiTheme="majorHAnsi" w:cstheme="majorHAnsi"/>
          <w:color w:val="595959" w:themeColor="text1" w:themeTint="A6"/>
          <w:lang w:val="en-AU"/>
        </w:rPr>
        <w:t>ed:</w:t>
      </w:r>
      <w:r w:rsidR="008768BA" w:rsidRPr="009B5EAF">
        <w:rPr>
          <w:rFonts w:asciiTheme="majorHAnsi" w:hAnsiTheme="majorHAnsi" w:cstheme="majorHAnsi"/>
          <w:color w:val="595959" w:themeColor="text1" w:themeTint="A6"/>
          <w:lang w:val="en-AU"/>
        </w:rPr>
        <w:t xml:space="preserve"> </w:t>
      </w:r>
    </w:p>
    <w:p w:rsidR="008768BA" w:rsidRPr="00EB4FEE" w:rsidRDefault="00951309" w:rsidP="00BF6C52">
      <w:pPr>
        <w:spacing w:before="0" w:after="120" w:line="240" w:lineRule="auto"/>
        <w:rPr>
          <w:rFonts w:asciiTheme="majorHAnsi" w:hAnsiTheme="majorHAnsi" w:cstheme="majorHAnsi"/>
          <w:i/>
          <w:color w:val="595959" w:themeColor="text1" w:themeTint="A6"/>
          <w:lang w:val="en-AU"/>
        </w:rPr>
      </w:pPr>
      <w:r w:rsidRPr="00EB4FEE">
        <w:rPr>
          <w:rFonts w:asciiTheme="majorHAnsi" w:hAnsiTheme="majorHAnsi" w:cstheme="majorHAnsi"/>
          <w:i/>
          <w:color w:val="595959" w:themeColor="text1" w:themeTint="A6"/>
          <w:lang w:val="en-AU"/>
        </w:rPr>
        <w:t>Option 1: DFAT provides support to</w:t>
      </w:r>
      <w:r w:rsidR="008768BA" w:rsidRPr="00EB4FEE">
        <w:rPr>
          <w:rFonts w:asciiTheme="majorHAnsi" w:hAnsiTheme="majorHAnsi" w:cstheme="majorHAnsi"/>
          <w:i/>
          <w:color w:val="595959" w:themeColor="text1" w:themeTint="A6"/>
          <w:lang w:val="en-AU"/>
        </w:rPr>
        <w:t xml:space="preserve"> the Australian DAWR and </w:t>
      </w:r>
      <w:r w:rsidRPr="00EB4FEE">
        <w:rPr>
          <w:rFonts w:asciiTheme="majorHAnsi" w:hAnsiTheme="majorHAnsi" w:cstheme="majorHAnsi"/>
          <w:i/>
          <w:color w:val="595959" w:themeColor="text1" w:themeTint="A6"/>
          <w:lang w:val="en-AU"/>
        </w:rPr>
        <w:t>DoH</w:t>
      </w:r>
      <w:r w:rsidR="008768BA" w:rsidRPr="00EB4FEE">
        <w:rPr>
          <w:rFonts w:asciiTheme="majorHAnsi" w:hAnsiTheme="majorHAnsi" w:cstheme="majorHAnsi"/>
          <w:i/>
          <w:color w:val="595959" w:themeColor="text1" w:themeTint="A6"/>
          <w:lang w:val="en-AU"/>
        </w:rPr>
        <w:t xml:space="preserve"> to engage directly with relevant GoI Agencies</w:t>
      </w:r>
      <w:r w:rsidR="00EF233B" w:rsidRPr="009B5EAF">
        <w:rPr>
          <w:rFonts w:asciiTheme="majorHAnsi" w:hAnsiTheme="majorHAnsi" w:cstheme="majorHAnsi"/>
          <w:i/>
          <w:color w:val="595959" w:themeColor="text1" w:themeTint="A6"/>
          <w:lang w:val="en-AU"/>
        </w:rPr>
        <w:t>.</w:t>
      </w:r>
    </w:p>
    <w:p w:rsidR="00083406" w:rsidRPr="009B5EAF" w:rsidRDefault="008768BA">
      <w:pPr>
        <w:spacing w:before="0" w:after="120" w:line="240" w:lineRule="auto"/>
        <w:rPr>
          <w:rFonts w:asciiTheme="majorHAnsi" w:hAnsiTheme="majorHAnsi" w:cstheme="majorHAnsi"/>
          <w:color w:val="595959" w:themeColor="text1" w:themeTint="A6"/>
          <w:lang w:val="en-AU"/>
        </w:rPr>
      </w:pPr>
      <w:r w:rsidRPr="009B5EAF">
        <w:rPr>
          <w:rFonts w:asciiTheme="majorHAnsi" w:hAnsiTheme="majorHAnsi" w:cstheme="majorHAnsi"/>
          <w:color w:val="595959" w:themeColor="text1" w:themeTint="A6"/>
          <w:lang w:val="en-AU"/>
        </w:rPr>
        <w:t xml:space="preserve">This is similar to the </w:t>
      </w:r>
      <w:r w:rsidR="00AE1048" w:rsidRPr="009B5EAF">
        <w:rPr>
          <w:rFonts w:asciiTheme="majorHAnsi" w:hAnsiTheme="majorHAnsi" w:cstheme="majorHAnsi"/>
          <w:color w:val="595959" w:themeColor="text1" w:themeTint="A6"/>
          <w:lang w:val="en-AU"/>
        </w:rPr>
        <w:t xml:space="preserve">delivery </w:t>
      </w:r>
      <w:r w:rsidRPr="009B5EAF">
        <w:rPr>
          <w:rFonts w:asciiTheme="majorHAnsi" w:hAnsiTheme="majorHAnsi" w:cstheme="majorHAnsi"/>
          <w:color w:val="595959" w:themeColor="text1" w:themeTint="A6"/>
          <w:lang w:val="en-AU"/>
        </w:rPr>
        <w:t xml:space="preserve">approach </w:t>
      </w:r>
      <w:r w:rsidR="00AE1048" w:rsidRPr="009B5EAF">
        <w:rPr>
          <w:rFonts w:asciiTheme="majorHAnsi" w:hAnsiTheme="majorHAnsi" w:cstheme="majorHAnsi"/>
          <w:color w:val="595959" w:themeColor="text1" w:themeTint="A6"/>
          <w:lang w:val="en-AU"/>
        </w:rPr>
        <w:t>for a</w:t>
      </w:r>
      <w:r w:rsidRPr="009B5EAF">
        <w:rPr>
          <w:rFonts w:asciiTheme="majorHAnsi" w:hAnsiTheme="majorHAnsi" w:cstheme="majorHAnsi"/>
          <w:color w:val="595959" w:themeColor="text1" w:themeTint="A6"/>
          <w:lang w:val="en-AU"/>
        </w:rPr>
        <w:t xml:space="preserve">nimal </w:t>
      </w:r>
      <w:r w:rsidR="00AE1048" w:rsidRPr="009B5EAF">
        <w:rPr>
          <w:rFonts w:asciiTheme="majorHAnsi" w:hAnsiTheme="majorHAnsi" w:cstheme="majorHAnsi"/>
          <w:color w:val="595959" w:themeColor="text1" w:themeTint="A6"/>
          <w:lang w:val="en-AU"/>
        </w:rPr>
        <w:t>health under</w:t>
      </w:r>
      <w:r w:rsidRPr="009B5EAF">
        <w:rPr>
          <w:rFonts w:asciiTheme="majorHAnsi" w:hAnsiTheme="majorHAnsi" w:cstheme="majorHAnsi"/>
          <w:color w:val="595959" w:themeColor="text1" w:themeTint="A6"/>
          <w:lang w:val="en-AU"/>
        </w:rPr>
        <w:t xml:space="preserve"> AIPEID where DAWR </w:t>
      </w:r>
      <w:r w:rsidR="00AE1048" w:rsidRPr="009B5EAF">
        <w:rPr>
          <w:rFonts w:asciiTheme="majorHAnsi" w:hAnsiTheme="majorHAnsi" w:cstheme="majorHAnsi"/>
          <w:color w:val="595959" w:themeColor="text1" w:themeTint="A6"/>
          <w:lang w:val="en-AU"/>
        </w:rPr>
        <w:t>is</w:t>
      </w:r>
      <w:r w:rsidRPr="009B5EAF">
        <w:rPr>
          <w:rFonts w:asciiTheme="majorHAnsi" w:hAnsiTheme="majorHAnsi" w:cstheme="majorHAnsi"/>
          <w:color w:val="595959" w:themeColor="text1" w:themeTint="A6"/>
          <w:lang w:val="en-AU"/>
        </w:rPr>
        <w:t xml:space="preserve"> the implementing agency for all animal health components of the program, contracting the staffing and </w:t>
      </w:r>
      <w:r w:rsidR="00083406" w:rsidRPr="009B5EAF">
        <w:rPr>
          <w:rFonts w:asciiTheme="majorHAnsi" w:hAnsiTheme="majorHAnsi" w:cstheme="majorHAnsi"/>
          <w:color w:val="595959" w:themeColor="text1" w:themeTint="A6"/>
          <w:lang w:val="en-AU"/>
        </w:rPr>
        <w:t xml:space="preserve">mobilising the </w:t>
      </w:r>
      <w:r w:rsidRPr="009B5EAF">
        <w:rPr>
          <w:rFonts w:asciiTheme="majorHAnsi" w:hAnsiTheme="majorHAnsi" w:cstheme="majorHAnsi"/>
          <w:color w:val="595959" w:themeColor="text1" w:themeTint="A6"/>
          <w:lang w:val="en-AU"/>
        </w:rPr>
        <w:t>resources</w:t>
      </w:r>
      <w:r w:rsidR="00083406" w:rsidRPr="009B5EAF">
        <w:rPr>
          <w:rFonts w:asciiTheme="majorHAnsi" w:hAnsiTheme="majorHAnsi" w:cstheme="majorHAnsi"/>
          <w:color w:val="595959" w:themeColor="text1" w:themeTint="A6"/>
          <w:lang w:val="en-AU"/>
        </w:rPr>
        <w:t xml:space="preserve"> needed</w:t>
      </w:r>
      <w:r w:rsidRPr="009B5EAF">
        <w:rPr>
          <w:rFonts w:asciiTheme="majorHAnsi" w:hAnsiTheme="majorHAnsi" w:cstheme="majorHAnsi"/>
          <w:color w:val="595959" w:themeColor="text1" w:themeTint="A6"/>
          <w:lang w:val="en-AU"/>
        </w:rPr>
        <w:t xml:space="preserve"> to implement</w:t>
      </w:r>
      <w:r w:rsidR="00083406" w:rsidRPr="009B5EAF">
        <w:rPr>
          <w:rFonts w:asciiTheme="majorHAnsi" w:hAnsiTheme="majorHAnsi" w:cstheme="majorHAnsi"/>
          <w:color w:val="595959" w:themeColor="text1" w:themeTint="A6"/>
          <w:lang w:val="en-AU"/>
        </w:rPr>
        <w:t xml:space="preserve"> activities</w:t>
      </w:r>
      <w:r w:rsidR="00D31E79">
        <w:rPr>
          <w:rFonts w:asciiTheme="majorHAnsi" w:hAnsiTheme="majorHAnsi" w:cstheme="majorHAnsi"/>
          <w:color w:val="595959" w:themeColor="text1" w:themeTint="A6"/>
          <w:lang w:val="en-AU"/>
        </w:rPr>
        <w:t>.</w:t>
      </w:r>
      <w:r w:rsidRPr="009B5EAF">
        <w:rPr>
          <w:rFonts w:asciiTheme="majorHAnsi" w:hAnsiTheme="majorHAnsi" w:cstheme="majorHAnsi"/>
          <w:color w:val="595959" w:themeColor="text1" w:themeTint="A6"/>
          <w:lang w:val="en-AU"/>
        </w:rPr>
        <w:t xml:space="preserve"> </w:t>
      </w:r>
    </w:p>
    <w:p w:rsidR="00083406" w:rsidRPr="009B5EAF" w:rsidRDefault="00083406">
      <w:pPr>
        <w:spacing w:before="0" w:after="120" w:line="240" w:lineRule="auto"/>
        <w:rPr>
          <w:rFonts w:asciiTheme="majorHAnsi" w:hAnsiTheme="majorHAnsi" w:cstheme="majorHAnsi"/>
          <w:color w:val="595959" w:themeColor="text1" w:themeTint="A6"/>
          <w:lang w:val="en-AU"/>
        </w:rPr>
      </w:pPr>
      <w:r w:rsidRPr="009B5EAF">
        <w:rPr>
          <w:rFonts w:asciiTheme="majorHAnsi" w:hAnsiTheme="majorHAnsi" w:cstheme="majorHAnsi"/>
          <w:color w:val="595959" w:themeColor="text1" w:themeTint="A6"/>
          <w:lang w:val="en-AU"/>
        </w:rPr>
        <w:t>Pros:</w:t>
      </w:r>
      <w:r w:rsidR="008768BA" w:rsidRPr="009B5EAF">
        <w:rPr>
          <w:rFonts w:asciiTheme="majorHAnsi" w:hAnsiTheme="majorHAnsi" w:cstheme="majorHAnsi"/>
          <w:color w:val="595959" w:themeColor="text1" w:themeTint="A6"/>
          <w:lang w:val="en-AU"/>
        </w:rPr>
        <w:t xml:space="preserve"> the Indonesian Government values the direct governm</w:t>
      </w:r>
      <w:r w:rsidR="00352A08">
        <w:rPr>
          <w:rFonts w:asciiTheme="majorHAnsi" w:hAnsiTheme="majorHAnsi" w:cstheme="majorHAnsi"/>
          <w:color w:val="595959" w:themeColor="text1" w:themeTint="A6"/>
          <w:lang w:val="en-AU"/>
        </w:rPr>
        <w:t>ent to government relationship.</w:t>
      </w:r>
      <w:r w:rsidR="008768BA" w:rsidRPr="009B5EAF">
        <w:rPr>
          <w:rFonts w:asciiTheme="majorHAnsi" w:hAnsiTheme="majorHAnsi" w:cstheme="majorHAnsi"/>
          <w:color w:val="595959" w:themeColor="text1" w:themeTint="A6"/>
          <w:lang w:val="en-AU"/>
        </w:rPr>
        <w:t xml:space="preserve"> </w:t>
      </w:r>
    </w:p>
    <w:p w:rsidR="00762452" w:rsidRPr="009B5EAF" w:rsidRDefault="00083406">
      <w:pPr>
        <w:spacing w:before="0" w:after="120" w:line="240" w:lineRule="auto"/>
        <w:rPr>
          <w:rFonts w:asciiTheme="majorHAnsi" w:hAnsiTheme="majorHAnsi" w:cstheme="majorHAnsi"/>
          <w:color w:val="595959" w:themeColor="text1" w:themeTint="A6"/>
          <w:lang w:val="en-AU"/>
        </w:rPr>
      </w:pPr>
      <w:r w:rsidRPr="009B5EAF">
        <w:rPr>
          <w:rFonts w:asciiTheme="majorHAnsi" w:hAnsiTheme="majorHAnsi" w:cstheme="majorHAnsi"/>
          <w:color w:val="595959" w:themeColor="text1" w:themeTint="A6"/>
          <w:lang w:val="en-AU"/>
        </w:rPr>
        <w:t xml:space="preserve">Cons: </w:t>
      </w:r>
      <w:r w:rsidR="00951309" w:rsidRPr="009B5EAF">
        <w:rPr>
          <w:rFonts w:asciiTheme="majorHAnsi" w:hAnsiTheme="majorHAnsi" w:cstheme="majorHAnsi"/>
          <w:color w:val="595959" w:themeColor="text1" w:themeTint="A6"/>
          <w:lang w:val="en-AU"/>
        </w:rPr>
        <w:t xml:space="preserve">DAWR </w:t>
      </w:r>
      <w:r w:rsidRPr="009B5EAF">
        <w:rPr>
          <w:rFonts w:asciiTheme="majorHAnsi" w:hAnsiTheme="majorHAnsi" w:cstheme="majorHAnsi"/>
          <w:color w:val="595959" w:themeColor="text1" w:themeTint="A6"/>
          <w:lang w:val="en-AU"/>
        </w:rPr>
        <w:t>and DoH do not have the</w:t>
      </w:r>
      <w:r w:rsidR="00951309" w:rsidRPr="009B5EAF">
        <w:rPr>
          <w:rFonts w:asciiTheme="majorHAnsi" w:hAnsiTheme="majorHAnsi" w:cstheme="majorHAnsi"/>
          <w:color w:val="595959" w:themeColor="text1" w:themeTint="A6"/>
          <w:lang w:val="en-AU"/>
        </w:rPr>
        <w:t xml:space="preserve"> </w:t>
      </w:r>
      <w:r w:rsidRPr="009B5EAF">
        <w:rPr>
          <w:rFonts w:asciiTheme="majorHAnsi" w:hAnsiTheme="majorHAnsi" w:cstheme="majorHAnsi"/>
          <w:color w:val="595959" w:themeColor="text1" w:themeTint="A6"/>
          <w:lang w:val="en-AU"/>
        </w:rPr>
        <w:t xml:space="preserve">resources </w:t>
      </w:r>
      <w:r w:rsidR="00951309" w:rsidRPr="009B5EAF">
        <w:rPr>
          <w:rFonts w:asciiTheme="majorHAnsi" w:hAnsiTheme="majorHAnsi" w:cstheme="majorHAnsi"/>
          <w:color w:val="595959" w:themeColor="text1" w:themeTint="A6"/>
          <w:lang w:val="en-AU"/>
        </w:rPr>
        <w:t xml:space="preserve">to provide the international administrative, logistical and general operational support required to </w:t>
      </w:r>
      <w:r w:rsidR="008768BA" w:rsidRPr="009B5EAF">
        <w:rPr>
          <w:rFonts w:asciiTheme="majorHAnsi" w:hAnsiTheme="majorHAnsi" w:cstheme="majorHAnsi"/>
          <w:color w:val="595959" w:themeColor="text1" w:themeTint="A6"/>
          <w:lang w:val="en-AU"/>
        </w:rPr>
        <w:t>manage</w:t>
      </w:r>
      <w:r w:rsidR="00951309" w:rsidRPr="009B5EAF">
        <w:rPr>
          <w:rFonts w:asciiTheme="majorHAnsi" w:hAnsiTheme="majorHAnsi" w:cstheme="majorHAnsi"/>
          <w:color w:val="595959" w:themeColor="text1" w:themeTint="A6"/>
          <w:lang w:val="en-AU"/>
        </w:rPr>
        <w:t xml:space="preserve"> this program</w:t>
      </w:r>
      <w:r w:rsidR="00EF233B" w:rsidRPr="009B5EAF">
        <w:rPr>
          <w:rFonts w:asciiTheme="majorHAnsi" w:hAnsiTheme="majorHAnsi" w:cstheme="majorHAnsi"/>
          <w:color w:val="595959" w:themeColor="text1" w:themeTint="A6"/>
          <w:lang w:val="en-AU"/>
        </w:rPr>
        <w:t>.</w:t>
      </w:r>
      <w:r w:rsidR="008768BA" w:rsidRPr="009B5EAF">
        <w:rPr>
          <w:rFonts w:asciiTheme="majorHAnsi" w:hAnsiTheme="majorHAnsi" w:cstheme="majorHAnsi"/>
          <w:color w:val="595959" w:themeColor="text1" w:themeTint="A6"/>
          <w:vertAlign w:val="superscript"/>
          <w:lang w:val="en-AU"/>
        </w:rPr>
        <w:footnoteReference w:id="16"/>
      </w:r>
      <w:r w:rsidRPr="009B5EAF">
        <w:rPr>
          <w:rFonts w:asciiTheme="majorHAnsi" w:hAnsiTheme="majorHAnsi" w:cstheme="majorHAnsi"/>
          <w:color w:val="595959" w:themeColor="text1" w:themeTint="A6"/>
          <w:lang w:val="en-AU"/>
        </w:rPr>
        <w:t xml:space="preserve"> </w:t>
      </w:r>
    </w:p>
    <w:p w:rsidR="00762452" w:rsidRPr="00EB4FEE" w:rsidRDefault="00951309" w:rsidP="00BF6C52">
      <w:pPr>
        <w:spacing w:before="0" w:after="120" w:line="240" w:lineRule="auto"/>
        <w:rPr>
          <w:rFonts w:asciiTheme="majorHAnsi" w:hAnsiTheme="majorHAnsi" w:cstheme="majorHAnsi"/>
          <w:i/>
          <w:color w:val="595959" w:themeColor="text1" w:themeTint="A6"/>
          <w:lang w:val="en-AU"/>
        </w:rPr>
      </w:pPr>
      <w:r w:rsidRPr="00EB4FEE">
        <w:rPr>
          <w:rFonts w:asciiTheme="majorHAnsi" w:hAnsiTheme="majorHAnsi" w:cstheme="majorHAnsi"/>
          <w:i/>
          <w:color w:val="595959" w:themeColor="text1" w:themeTint="A6"/>
          <w:lang w:val="en-AU"/>
        </w:rPr>
        <w:t>Option 2: DFAT</w:t>
      </w:r>
      <w:r w:rsidR="00083406" w:rsidRPr="00EB4FEE">
        <w:rPr>
          <w:rFonts w:asciiTheme="majorHAnsi" w:hAnsiTheme="majorHAnsi" w:cstheme="majorHAnsi"/>
          <w:i/>
          <w:color w:val="595959" w:themeColor="text1" w:themeTint="A6"/>
          <w:lang w:val="en-AU"/>
        </w:rPr>
        <w:t xml:space="preserve"> </w:t>
      </w:r>
      <w:r w:rsidR="00A11F64" w:rsidRPr="009B5EAF">
        <w:rPr>
          <w:rFonts w:asciiTheme="majorHAnsi" w:hAnsiTheme="majorHAnsi" w:cstheme="majorHAnsi"/>
          <w:i/>
          <w:color w:val="595959" w:themeColor="text1" w:themeTint="A6"/>
          <w:lang w:val="en-AU"/>
        </w:rPr>
        <w:t>P</w:t>
      </w:r>
      <w:r w:rsidR="00083406" w:rsidRPr="00EB4FEE">
        <w:rPr>
          <w:rFonts w:asciiTheme="majorHAnsi" w:hAnsiTheme="majorHAnsi" w:cstheme="majorHAnsi"/>
          <w:i/>
          <w:color w:val="595959" w:themeColor="text1" w:themeTint="A6"/>
          <w:lang w:val="en-AU"/>
        </w:rPr>
        <w:t>ost</w:t>
      </w:r>
      <w:r w:rsidRPr="00EB4FEE">
        <w:rPr>
          <w:rFonts w:asciiTheme="majorHAnsi" w:hAnsiTheme="majorHAnsi" w:cstheme="majorHAnsi"/>
          <w:i/>
          <w:color w:val="595959" w:themeColor="text1" w:themeTint="A6"/>
          <w:lang w:val="en-AU"/>
        </w:rPr>
        <w:t xml:space="preserve"> manages the program directly</w:t>
      </w:r>
      <w:r w:rsidR="00EF233B" w:rsidRPr="009B5EAF">
        <w:rPr>
          <w:rFonts w:asciiTheme="majorHAnsi" w:hAnsiTheme="majorHAnsi" w:cstheme="majorHAnsi"/>
          <w:i/>
          <w:color w:val="595959" w:themeColor="text1" w:themeTint="A6"/>
          <w:lang w:val="en-AU"/>
        </w:rPr>
        <w:t>.</w:t>
      </w:r>
    </w:p>
    <w:p w:rsidR="008768BA" w:rsidRPr="009B5EAF" w:rsidRDefault="00951309">
      <w:pPr>
        <w:spacing w:before="0" w:after="120" w:line="240" w:lineRule="auto"/>
        <w:rPr>
          <w:rFonts w:asciiTheme="majorHAnsi" w:hAnsiTheme="majorHAnsi" w:cstheme="majorHAnsi"/>
          <w:color w:val="595959" w:themeColor="text1" w:themeTint="A6"/>
          <w:lang w:val="en-AU"/>
        </w:rPr>
      </w:pPr>
      <w:r w:rsidRPr="009B5EAF">
        <w:rPr>
          <w:rFonts w:asciiTheme="majorHAnsi" w:hAnsiTheme="majorHAnsi" w:cstheme="majorHAnsi"/>
          <w:color w:val="595959" w:themeColor="text1" w:themeTint="A6"/>
          <w:lang w:val="en-AU"/>
        </w:rPr>
        <w:t xml:space="preserve">DFAT does not have the required staff and resources at </w:t>
      </w:r>
      <w:r w:rsidR="00A11F64" w:rsidRPr="009B5EAF">
        <w:rPr>
          <w:rFonts w:asciiTheme="majorHAnsi" w:hAnsiTheme="majorHAnsi" w:cstheme="majorHAnsi"/>
          <w:color w:val="595959" w:themeColor="text1" w:themeTint="A6"/>
          <w:lang w:val="en-AU"/>
        </w:rPr>
        <w:t>P</w:t>
      </w:r>
      <w:r w:rsidRPr="009B5EAF">
        <w:rPr>
          <w:rFonts w:asciiTheme="majorHAnsi" w:hAnsiTheme="majorHAnsi" w:cstheme="majorHAnsi"/>
          <w:color w:val="595959" w:themeColor="text1" w:themeTint="A6"/>
          <w:lang w:val="en-AU"/>
        </w:rPr>
        <w:t xml:space="preserve">ost </w:t>
      </w:r>
      <w:r w:rsidR="008768BA" w:rsidRPr="009B5EAF">
        <w:rPr>
          <w:rFonts w:asciiTheme="majorHAnsi" w:hAnsiTheme="majorHAnsi" w:cstheme="majorHAnsi"/>
          <w:color w:val="595959" w:themeColor="text1" w:themeTint="A6"/>
          <w:lang w:val="en-AU"/>
        </w:rPr>
        <w:t>to m</w:t>
      </w:r>
      <w:r w:rsidRPr="009B5EAF">
        <w:rPr>
          <w:rFonts w:asciiTheme="majorHAnsi" w:hAnsiTheme="majorHAnsi" w:cstheme="majorHAnsi"/>
          <w:color w:val="595959" w:themeColor="text1" w:themeTint="A6"/>
          <w:lang w:val="en-AU"/>
        </w:rPr>
        <w:t xml:space="preserve">anage </w:t>
      </w:r>
      <w:r w:rsidR="008768BA" w:rsidRPr="009B5EAF">
        <w:rPr>
          <w:rFonts w:asciiTheme="majorHAnsi" w:hAnsiTheme="majorHAnsi" w:cstheme="majorHAnsi"/>
          <w:color w:val="595959" w:themeColor="text1" w:themeTint="A6"/>
          <w:lang w:val="en-AU"/>
        </w:rPr>
        <w:t xml:space="preserve">the administrative, contractual and logistical elements of </w:t>
      </w:r>
      <w:r w:rsidR="00083406" w:rsidRPr="009B5EAF">
        <w:rPr>
          <w:rFonts w:asciiTheme="majorHAnsi" w:hAnsiTheme="majorHAnsi" w:cstheme="majorHAnsi"/>
          <w:color w:val="595959" w:themeColor="text1" w:themeTint="A6"/>
          <w:lang w:val="en-AU"/>
        </w:rPr>
        <w:t xml:space="preserve">a </w:t>
      </w:r>
      <w:r w:rsidR="008768BA" w:rsidRPr="009B5EAF">
        <w:rPr>
          <w:rFonts w:asciiTheme="majorHAnsi" w:hAnsiTheme="majorHAnsi" w:cstheme="majorHAnsi"/>
          <w:color w:val="595959" w:themeColor="text1" w:themeTint="A6"/>
          <w:lang w:val="en-AU"/>
        </w:rPr>
        <w:t>program</w:t>
      </w:r>
      <w:r w:rsidR="00083406" w:rsidRPr="009B5EAF">
        <w:rPr>
          <w:rFonts w:asciiTheme="majorHAnsi" w:hAnsiTheme="majorHAnsi" w:cstheme="majorHAnsi"/>
          <w:color w:val="595959" w:themeColor="text1" w:themeTint="A6"/>
          <w:lang w:val="en-AU"/>
        </w:rPr>
        <w:t xml:space="preserve"> of such a size and technical nature,</w:t>
      </w:r>
      <w:r w:rsidR="008768BA" w:rsidRPr="009B5EAF">
        <w:rPr>
          <w:rFonts w:asciiTheme="majorHAnsi" w:hAnsiTheme="majorHAnsi" w:cstheme="majorHAnsi"/>
          <w:color w:val="595959" w:themeColor="text1" w:themeTint="A6"/>
          <w:lang w:val="en-AU"/>
        </w:rPr>
        <w:t xml:space="preserve"> and </w:t>
      </w:r>
      <w:r w:rsidR="00603B8F" w:rsidRPr="009B5EAF">
        <w:rPr>
          <w:rFonts w:asciiTheme="majorHAnsi" w:hAnsiTheme="majorHAnsi" w:cstheme="majorHAnsi"/>
          <w:color w:val="595959" w:themeColor="text1" w:themeTint="A6"/>
          <w:lang w:val="en-AU"/>
        </w:rPr>
        <w:t xml:space="preserve">will not be able to undertake the </w:t>
      </w:r>
      <w:r w:rsidR="008768BA" w:rsidRPr="009B5EAF">
        <w:rPr>
          <w:rFonts w:asciiTheme="majorHAnsi" w:hAnsiTheme="majorHAnsi" w:cstheme="majorHAnsi"/>
          <w:color w:val="595959" w:themeColor="text1" w:themeTint="A6"/>
          <w:lang w:val="en-AU"/>
        </w:rPr>
        <w:t xml:space="preserve">level of stakeholder engagement </w:t>
      </w:r>
      <w:r w:rsidR="00603B8F" w:rsidRPr="009B5EAF">
        <w:rPr>
          <w:rFonts w:asciiTheme="majorHAnsi" w:hAnsiTheme="majorHAnsi" w:cstheme="majorHAnsi"/>
          <w:color w:val="595959" w:themeColor="text1" w:themeTint="A6"/>
          <w:lang w:val="en-AU"/>
        </w:rPr>
        <w:t>which will be needed</w:t>
      </w:r>
      <w:r w:rsidR="00D31E79">
        <w:rPr>
          <w:rFonts w:asciiTheme="majorHAnsi" w:hAnsiTheme="majorHAnsi" w:cstheme="majorHAnsi"/>
          <w:color w:val="595959" w:themeColor="text1" w:themeTint="A6"/>
          <w:lang w:val="en-AU"/>
        </w:rPr>
        <w:t xml:space="preserve">. </w:t>
      </w:r>
      <w:r w:rsidR="00603B8F" w:rsidRPr="009B5EAF">
        <w:rPr>
          <w:rFonts w:asciiTheme="majorHAnsi" w:hAnsiTheme="majorHAnsi" w:cstheme="majorHAnsi"/>
          <w:color w:val="595959" w:themeColor="text1" w:themeTint="A6"/>
          <w:lang w:val="en-AU"/>
        </w:rPr>
        <w:t xml:space="preserve">More appropriate roles for </w:t>
      </w:r>
      <w:r w:rsidR="008768BA" w:rsidRPr="009B5EAF">
        <w:rPr>
          <w:rFonts w:asciiTheme="majorHAnsi" w:hAnsiTheme="majorHAnsi" w:cstheme="majorHAnsi"/>
          <w:color w:val="595959" w:themeColor="text1" w:themeTint="A6"/>
          <w:lang w:val="en-AU"/>
        </w:rPr>
        <w:t xml:space="preserve">DFAT </w:t>
      </w:r>
      <w:r w:rsidR="00603B8F" w:rsidRPr="009B5EAF">
        <w:rPr>
          <w:rFonts w:asciiTheme="majorHAnsi" w:hAnsiTheme="majorHAnsi" w:cstheme="majorHAnsi"/>
          <w:color w:val="595959" w:themeColor="text1" w:themeTint="A6"/>
          <w:lang w:val="en-AU"/>
        </w:rPr>
        <w:t>will be</w:t>
      </w:r>
      <w:r w:rsidR="008768BA" w:rsidRPr="009B5EAF">
        <w:rPr>
          <w:rFonts w:asciiTheme="majorHAnsi" w:hAnsiTheme="majorHAnsi" w:cstheme="majorHAnsi"/>
          <w:color w:val="595959" w:themeColor="text1" w:themeTint="A6"/>
          <w:lang w:val="en-AU"/>
        </w:rPr>
        <w:t xml:space="preserve"> to</w:t>
      </w:r>
      <w:r w:rsidR="00603B8F" w:rsidRPr="009B5EAF">
        <w:rPr>
          <w:rFonts w:asciiTheme="majorHAnsi" w:hAnsiTheme="majorHAnsi" w:cstheme="majorHAnsi"/>
          <w:color w:val="595959" w:themeColor="text1" w:themeTint="A6"/>
          <w:lang w:val="en-AU"/>
        </w:rPr>
        <w:t>:</w:t>
      </w:r>
      <w:r w:rsidR="008768BA" w:rsidRPr="009B5EAF">
        <w:rPr>
          <w:rFonts w:asciiTheme="majorHAnsi" w:hAnsiTheme="majorHAnsi" w:cstheme="majorHAnsi"/>
          <w:color w:val="595959" w:themeColor="text1" w:themeTint="A6"/>
          <w:lang w:val="en-AU"/>
        </w:rPr>
        <w:t xml:space="preserve"> provide strategic direction for the program</w:t>
      </w:r>
      <w:r w:rsidR="00603B8F" w:rsidRPr="009B5EAF">
        <w:rPr>
          <w:rFonts w:asciiTheme="majorHAnsi" w:hAnsiTheme="majorHAnsi" w:cstheme="majorHAnsi"/>
          <w:color w:val="595959" w:themeColor="text1" w:themeTint="A6"/>
          <w:lang w:val="en-AU"/>
        </w:rPr>
        <w:t xml:space="preserve">; </w:t>
      </w:r>
      <w:r w:rsidR="008768BA" w:rsidRPr="009B5EAF">
        <w:rPr>
          <w:rFonts w:asciiTheme="majorHAnsi" w:hAnsiTheme="majorHAnsi" w:cstheme="majorHAnsi"/>
          <w:color w:val="595959" w:themeColor="text1" w:themeTint="A6"/>
          <w:lang w:val="en-AU"/>
        </w:rPr>
        <w:t>lead policy dialogue with government</w:t>
      </w:r>
      <w:r w:rsidR="00603B8F" w:rsidRPr="009B5EAF">
        <w:rPr>
          <w:rFonts w:asciiTheme="majorHAnsi" w:hAnsiTheme="majorHAnsi" w:cstheme="majorHAnsi"/>
          <w:color w:val="595959" w:themeColor="text1" w:themeTint="A6"/>
          <w:lang w:val="en-AU"/>
        </w:rPr>
        <w:t>;</w:t>
      </w:r>
      <w:r w:rsidR="008768BA" w:rsidRPr="009B5EAF">
        <w:rPr>
          <w:rFonts w:asciiTheme="majorHAnsi" w:hAnsiTheme="majorHAnsi" w:cstheme="majorHAnsi"/>
          <w:color w:val="595959" w:themeColor="text1" w:themeTint="A6"/>
          <w:lang w:val="en-AU"/>
        </w:rPr>
        <w:t xml:space="preserve"> </w:t>
      </w:r>
      <w:r w:rsidR="00603B8F" w:rsidRPr="009B5EAF">
        <w:rPr>
          <w:rFonts w:asciiTheme="majorHAnsi" w:hAnsiTheme="majorHAnsi" w:cstheme="majorHAnsi"/>
          <w:color w:val="595959" w:themeColor="text1" w:themeTint="A6"/>
          <w:lang w:val="en-AU"/>
        </w:rPr>
        <w:t xml:space="preserve">ensure compliance with </w:t>
      </w:r>
      <w:r w:rsidR="008768BA" w:rsidRPr="009B5EAF">
        <w:rPr>
          <w:rFonts w:asciiTheme="majorHAnsi" w:hAnsiTheme="majorHAnsi" w:cstheme="majorHAnsi"/>
          <w:color w:val="595959" w:themeColor="text1" w:themeTint="A6"/>
          <w:lang w:val="en-AU"/>
        </w:rPr>
        <w:t>internal program requirements</w:t>
      </w:r>
      <w:r w:rsidR="00603B8F" w:rsidRPr="009B5EAF">
        <w:rPr>
          <w:rFonts w:asciiTheme="majorHAnsi" w:hAnsiTheme="majorHAnsi" w:cstheme="majorHAnsi"/>
          <w:color w:val="595959" w:themeColor="text1" w:themeTint="A6"/>
          <w:lang w:val="en-AU"/>
        </w:rPr>
        <w:t>;</w:t>
      </w:r>
      <w:r w:rsidR="008768BA" w:rsidRPr="009B5EAF">
        <w:rPr>
          <w:rFonts w:asciiTheme="majorHAnsi" w:hAnsiTheme="majorHAnsi" w:cstheme="majorHAnsi"/>
          <w:color w:val="595959" w:themeColor="text1" w:themeTint="A6"/>
          <w:lang w:val="en-AU"/>
        </w:rPr>
        <w:t xml:space="preserve"> and </w:t>
      </w:r>
      <w:r w:rsidR="00603B8F" w:rsidRPr="009B5EAF">
        <w:rPr>
          <w:rFonts w:asciiTheme="majorHAnsi" w:hAnsiTheme="majorHAnsi" w:cstheme="majorHAnsi"/>
          <w:color w:val="595959" w:themeColor="text1" w:themeTint="A6"/>
          <w:lang w:val="en-AU"/>
        </w:rPr>
        <w:t xml:space="preserve">lead </w:t>
      </w:r>
      <w:r w:rsidR="008768BA" w:rsidRPr="009B5EAF">
        <w:rPr>
          <w:rFonts w:asciiTheme="majorHAnsi" w:hAnsiTheme="majorHAnsi" w:cstheme="majorHAnsi"/>
          <w:color w:val="595959" w:themeColor="text1" w:themeTint="A6"/>
          <w:lang w:val="en-AU"/>
        </w:rPr>
        <w:t xml:space="preserve">coordination with other areas of DFAT, such as the </w:t>
      </w:r>
      <w:r w:rsidRPr="009B5EAF">
        <w:rPr>
          <w:rFonts w:asciiTheme="majorHAnsi" w:hAnsiTheme="majorHAnsi" w:cstheme="majorHAnsi"/>
          <w:color w:val="595959" w:themeColor="text1" w:themeTint="A6"/>
          <w:lang w:val="en-AU"/>
        </w:rPr>
        <w:t>IP</w:t>
      </w:r>
      <w:r w:rsidR="00D31E79">
        <w:rPr>
          <w:rFonts w:asciiTheme="majorHAnsi" w:hAnsiTheme="majorHAnsi" w:cstheme="majorHAnsi"/>
          <w:color w:val="595959" w:themeColor="text1" w:themeTint="A6"/>
          <w:lang w:val="en-AU"/>
        </w:rPr>
        <w:t>CHS.</w:t>
      </w:r>
    </w:p>
    <w:p w:rsidR="008768BA" w:rsidRPr="00EB4FEE" w:rsidRDefault="00951309" w:rsidP="00BF6C52">
      <w:pPr>
        <w:spacing w:before="0" w:after="120" w:line="240" w:lineRule="auto"/>
        <w:rPr>
          <w:rFonts w:asciiTheme="majorHAnsi" w:hAnsiTheme="majorHAnsi" w:cstheme="majorHAnsi"/>
          <w:i/>
          <w:color w:val="595959" w:themeColor="text1" w:themeTint="A6"/>
          <w:lang w:val="en-AU"/>
        </w:rPr>
      </w:pPr>
      <w:r w:rsidRPr="00EB4FEE">
        <w:rPr>
          <w:rFonts w:asciiTheme="majorHAnsi" w:hAnsiTheme="majorHAnsi" w:cstheme="majorHAnsi"/>
          <w:i/>
          <w:color w:val="595959" w:themeColor="text1" w:themeTint="A6"/>
          <w:lang w:val="en-AU"/>
        </w:rPr>
        <w:t xml:space="preserve">Option 3: </w:t>
      </w:r>
      <w:r w:rsidR="008768BA" w:rsidRPr="00EB4FEE">
        <w:rPr>
          <w:rFonts w:asciiTheme="majorHAnsi" w:hAnsiTheme="majorHAnsi" w:cstheme="majorHAnsi"/>
          <w:i/>
          <w:color w:val="595959" w:themeColor="text1" w:themeTint="A6"/>
          <w:lang w:val="en-AU"/>
        </w:rPr>
        <w:t xml:space="preserve">DFAT engages a contractor (or consortium) through a competitive tender process to manage the </w:t>
      </w:r>
      <w:r w:rsidRPr="00EB4FEE">
        <w:rPr>
          <w:rFonts w:asciiTheme="majorHAnsi" w:hAnsiTheme="majorHAnsi" w:cstheme="majorHAnsi"/>
          <w:i/>
          <w:color w:val="595959" w:themeColor="text1" w:themeTint="A6"/>
          <w:lang w:val="en-AU"/>
        </w:rPr>
        <w:t>p</w:t>
      </w:r>
      <w:r w:rsidR="008768BA" w:rsidRPr="00EB4FEE">
        <w:rPr>
          <w:rFonts w:asciiTheme="majorHAnsi" w:hAnsiTheme="majorHAnsi" w:cstheme="majorHAnsi"/>
          <w:i/>
          <w:color w:val="595959" w:themeColor="text1" w:themeTint="A6"/>
          <w:lang w:val="en-AU"/>
        </w:rPr>
        <w:t>rogram</w:t>
      </w:r>
      <w:r w:rsidR="00EF233B" w:rsidRPr="009B5EAF">
        <w:rPr>
          <w:rFonts w:asciiTheme="majorHAnsi" w:hAnsiTheme="majorHAnsi" w:cstheme="majorHAnsi"/>
          <w:i/>
          <w:color w:val="595959" w:themeColor="text1" w:themeTint="A6"/>
          <w:lang w:val="en-AU"/>
        </w:rPr>
        <w:t>.</w:t>
      </w:r>
    </w:p>
    <w:p w:rsidR="00E421DB" w:rsidRPr="009B5EAF" w:rsidRDefault="008768BA">
      <w:pPr>
        <w:spacing w:before="0" w:after="120" w:line="240" w:lineRule="auto"/>
        <w:rPr>
          <w:rFonts w:asciiTheme="majorHAnsi" w:hAnsiTheme="majorHAnsi" w:cstheme="majorHAnsi"/>
          <w:color w:val="595959" w:themeColor="text1" w:themeTint="A6"/>
          <w:lang w:val="en-AU"/>
        </w:rPr>
      </w:pPr>
      <w:r w:rsidRPr="009B5EAF">
        <w:rPr>
          <w:rFonts w:asciiTheme="majorHAnsi" w:hAnsiTheme="majorHAnsi" w:cstheme="majorHAnsi"/>
          <w:color w:val="595959" w:themeColor="text1" w:themeTint="A6"/>
          <w:lang w:val="en-AU"/>
        </w:rPr>
        <w:t xml:space="preserve">This option </w:t>
      </w:r>
      <w:r w:rsidR="00603B8F" w:rsidRPr="009B5EAF">
        <w:rPr>
          <w:rFonts w:asciiTheme="majorHAnsi" w:hAnsiTheme="majorHAnsi" w:cstheme="majorHAnsi"/>
          <w:color w:val="595959" w:themeColor="text1" w:themeTint="A6"/>
          <w:lang w:val="en-AU"/>
        </w:rPr>
        <w:t xml:space="preserve">will </w:t>
      </w:r>
      <w:r w:rsidRPr="009B5EAF">
        <w:rPr>
          <w:rFonts w:asciiTheme="majorHAnsi" w:hAnsiTheme="majorHAnsi" w:cstheme="majorHAnsi"/>
          <w:color w:val="595959" w:themeColor="text1" w:themeTint="A6"/>
          <w:lang w:val="en-AU"/>
        </w:rPr>
        <w:t xml:space="preserve">provide </w:t>
      </w:r>
      <w:r w:rsidR="00603B8F" w:rsidRPr="009B5EAF">
        <w:rPr>
          <w:rFonts w:asciiTheme="majorHAnsi" w:hAnsiTheme="majorHAnsi" w:cstheme="majorHAnsi"/>
          <w:color w:val="595959" w:themeColor="text1" w:themeTint="A6"/>
          <w:lang w:val="en-AU"/>
        </w:rPr>
        <w:t xml:space="preserve">an </w:t>
      </w:r>
      <w:r w:rsidRPr="009B5EAF">
        <w:rPr>
          <w:rFonts w:asciiTheme="majorHAnsi" w:hAnsiTheme="majorHAnsi" w:cstheme="majorHAnsi"/>
          <w:color w:val="595959" w:themeColor="text1" w:themeTint="A6"/>
          <w:lang w:val="en-AU"/>
        </w:rPr>
        <w:t>optimal combination of efficiency, eff</w:t>
      </w:r>
      <w:r w:rsidR="00352A08">
        <w:rPr>
          <w:rFonts w:asciiTheme="majorHAnsi" w:hAnsiTheme="majorHAnsi" w:cstheme="majorHAnsi"/>
          <w:color w:val="595959" w:themeColor="text1" w:themeTint="A6"/>
          <w:lang w:val="en-AU"/>
        </w:rPr>
        <w:t>ectiveness and value-for-money.</w:t>
      </w:r>
      <w:r w:rsidRPr="009B5EAF">
        <w:rPr>
          <w:rFonts w:asciiTheme="majorHAnsi" w:hAnsiTheme="majorHAnsi" w:cstheme="majorHAnsi"/>
          <w:color w:val="595959" w:themeColor="text1" w:themeTint="A6"/>
          <w:lang w:val="en-AU"/>
        </w:rPr>
        <w:t xml:space="preserve"> </w:t>
      </w:r>
      <w:r w:rsidR="00603B8F" w:rsidRPr="009B5EAF">
        <w:rPr>
          <w:rFonts w:asciiTheme="majorHAnsi" w:hAnsiTheme="majorHAnsi" w:cstheme="majorHAnsi"/>
          <w:color w:val="595959" w:themeColor="text1" w:themeTint="A6"/>
          <w:lang w:val="en-AU"/>
        </w:rPr>
        <w:t xml:space="preserve">DFAT will engage a managing </w:t>
      </w:r>
      <w:r w:rsidRPr="009B5EAF">
        <w:rPr>
          <w:rFonts w:asciiTheme="majorHAnsi" w:hAnsiTheme="majorHAnsi" w:cstheme="majorHAnsi"/>
          <w:color w:val="595959" w:themeColor="text1" w:themeTint="A6"/>
          <w:lang w:val="en-AU"/>
        </w:rPr>
        <w:t xml:space="preserve">contractor </w:t>
      </w:r>
      <w:r w:rsidR="00603B8F" w:rsidRPr="009B5EAF">
        <w:rPr>
          <w:rFonts w:asciiTheme="majorHAnsi" w:hAnsiTheme="majorHAnsi" w:cstheme="majorHAnsi"/>
          <w:color w:val="595959" w:themeColor="text1" w:themeTint="A6"/>
          <w:lang w:val="en-AU"/>
        </w:rPr>
        <w:t xml:space="preserve">with: </w:t>
      </w:r>
      <w:r w:rsidRPr="009B5EAF">
        <w:rPr>
          <w:rFonts w:asciiTheme="majorHAnsi" w:hAnsiTheme="majorHAnsi" w:cstheme="majorHAnsi"/>
          <w:color w:val="595959" w:themeColor="text1" w:themeTint="A6"/>
          <w:lang w:val="en-AU"/>
        </w:rPr>
        <w:t>understand</w:t>
      </w:r>
      <w:r w:rsidR="00603B8F" w:rsidRPr="009B5EAF">
        <w:rPr>
          <w:rFonts w:asciiTheme="majorHAnsi" w:hAnsiTheme="majorHAnsi" w:cstheme="majorHAnsi"/>
          <w:color w:val="595959" w:themeColor="text1" w:themeTint="A6"/>
          <w:lang w:val="en-AU"/>
        </w:rPr>
        <w:t>ing of</w:t>
      </w:r>
      <w:r w:rsidRPr="009B5EAF">
        <w:rPr>
          <w:rFonts w:asciiTheme="majorHAnsi" w:hAnsiTheme="majorHAnsi" w:cstheme="majorHAnsi"/>
          <w:color w:val="595959" w:themeColor="text1" w:themeTint="A6"/>
          <w:lang w:val="en-AU"/>
        </w:rPr>
        <w:t xml:space="preserve"> GoA and GoI regulations</w:t>
      </w:r>
      <w:r w:rsidR="00603B8F" w:rsidRPr="009B5EAF">
        <w:rPr>
          <w:rFonts w:asciiTheme="majorHAnsi" w:hAnsiTheme="majorHAnsi" w:cstheme="majorHAnsi"/>
          <w:color w:val="595959" w:themeColor="text1" w:themeTint="A6"/>
          <w:lang w:val="en-AU"/>
        </w:rPr>
        <w:t>; capacity to meet the</w:t>
      </w:r>
      <w:r w:rsidRPr="009B5EAF">
        <w:rPr>
          <w:rFonts w:asciiTheme="majorHAnsi" w:hAnsiTheme="majorHAnsi" w:cstheme="majorHAnsi"/>
          <w:color w:val="595959" w:themeColor="text1" w:themeTint="A6"/>
          <w:lang w:val="en-AU"/>
        </w:rPr>
        <w:t xml:space="preserve"> operational requirements</w:t>
      </w:r>
      <w:r w:rsidR="00603B8F" w:rsidRPr="009B5EAF">
        <w:rPr>
          <w:rFonts w:asciiTheme="majorHAnsi" w:hAnsiTheme="majorHAnsi" w:cstheme="majorHAnsi"/>
          <w:color w:val="595959" w:themeColor="text1" w:themeTint="A6"/>
          <w:lang w:val="en-AU"/>
        </w:rPr>
        <w:t xml:space="preserve"> needed</w:t>
      </w:r>
      <w:r w:rsidRPr="009B5EAF">
        <w:rPr>
          <w:rFonts w:asciiTheme="majorHAnsi" w:hAnsiTheme="majorHAnsi" w:cstheme="majorHAnsi"/>
          <w:color w:val="595959" w:themeColor="text1" w:themeTint="A6"/>
          <w:lang w:val="en-AU"/>
        </w:rPr>
        <w:t xml:space="preserve"> to work in Indonesia</w:t>
      </w:r>
      <w:r w:rsidR="00603B8F" w:rsidRPr="009B5EAF">
        <w:rPr>
          <w:rFonts w:asciiTheme="majorHAnsi" w:hAnsiTheme="majorHAnsi" w:cstheme="majorHAnsi"/>
          <w:color w:val="595959" w:themeColor="text1" w:themeTint="A6"/>
          <w:lang w:val="en-AU"/>
        </w:rPr>
        <w:t xml:space="preserve">; </w:t>
      </w:r>
      <w:r w:rsidR="00E421DB" w:rsidRPr="009B5EAF">
        <w:rPr>
          <w:rFonts w:asciiTheme="majorHAnsi" w:hAnsiTheme="majorHAnsi" w:cstheme="majorHAnsi"/>
          <w:color w:val="595959" w:themeColor="text1" w:themeTint="A6"/>
          <w:lang w:val="en-AU"/>
        </w:rPr>
        <w:t>ability to mobilise</w:t>
      </w:r>
      <w:r w:rsidRPr="009B5EAF">
        <w:rPr>
          <w:rFonts w:asciiTheme="majorHAnsi" w:hAnsiTheme="majorHAnsi" w:cstheme="majorHAnsi"/>
          <w:color w:val="595959" w:themeColor="text1" w:themeTint="A6"/>
          <w:lang w:val="en-AU"/>
        </w:rPr>
        <w:t xml:space="preserve"> </w:t>
      </w:r>
      <w:r w:rsidR="00E421DB" w:rsidRPr="009B5EAF">
        <w:rPr>
          <w:rFonts w:asciiTheme="majorHAnsi" w:hAnsiTheme="majorHAnsi" w:cstheme="majorHAnsi"/>
          <w:color w:val="595959" w:themeColor="text1" w:themeTint="A6"/>
          <w:lang w:val="en-AU"/>
        </w:rPr>
        <w:t>high quality technical</w:t>
      </w:r>
      <w:r w:rsidRPr="009B5EAF">
        <w:rPr>
          <w:rFonts w:asciiTheme="majorHAnsi" w:hAnsiTheme="majorHAnsi" w:cstheme="majorHAnsi"/>
          <w:color w:val="595959" w:themeColor="text1" w:themeTint="A6"/>
          <w:lang w:val="en-AU"/>
        </w:rPr>
        <w:t xml:space="preserve"> resources </w:t>
      </w:r>
      <w:r w:rsidR="00E421DB" w:rsidRPr="009B5EAF">
        <w:rPr>
          <w:rFonts w:asciiTheme="majorHAnsi" w:hAnsiTheme="majorHAnsi" w:cstheme="majorHAnsi"/>
          <w:color w:val="595959" w:themeColor="text1" w:themeTint="A6"/>
          <w:lang w:val="en-AU"/>
        </w:rPr>
        <w:t xml:space="preserve">as and when required; and capacity </w:t>
      </w:r>
      <w:r w:rsidRPr="009B5EAF">
        <w:rPr>
          <w:rFonts w:asciiTheme="majorHAnsi" w:hAnsiTheme="majorHAnsi" w:cstheme="majorHAnsi"/>
          <w:color w:val="595959" w:themeColor="text1" w:themeTint="A6"/>
          <w:lang w:val="en-AU"/>
        </w:rPr>
        <w:t>to take responsibility for the day-to-day management of the program</w:t>
      </w:r>
      <w:r w:rsidR="00E421DB" w:rsidRPr="009B5EAF">
        <w:rPr>
          <w:rFonts w:asciiTheme="majorHAnsi" w:hAnsiTheme="majorHAnsi" w:cstheme="majorHAnsi"/>
          <w:color w:val="595959" w:themeColor="text1" w:themeTint="A6"/>
          <w:lang w:val="en-AU"/>
        </w:rPr>
        <w:t>.</w:t>
      </w:r>
    </w:p>
    <w:p w:rsidR="008768BA" w:rsidRPr="009B5EAF" w:rsidRDefault="00E421DB">
      <w:pPr>
        <w:spacing w:before="0" w:after="120" w:line="240" w:lineRule="auto"/>
        <w:rPr>
          <w:rFonts w:asciiTheme="majorHAnsi" w:hAnsiTheme="majorHAnsi" w:cstheme="majorHAnsi"/>
          <w:color w:val="595959" w:themeColor="text1" w:themeTint="A6"/>
          <w:lang w:val="en-AU"/>
        </w:rPr>
      </w:pPr>
      <w:r w:rsidRPr="009B5EAF">
        <w:rPr>
          <w:rFonts w:asciiTheme="majorHAnsi" w:hAnsiTheme="majorHAnsi" w:cstheme="majorHAnsi"/>
          <w:color w:val="595959" w:themeColor="text1" w:themeTint="A6"/>
          <w:lang w:val="en-AU"/>
        </w:rPr>
        <w:t xml:space="preserve">This will </w:t>
      </w:r>
      <w:r w:rsidR="008768BA" w:rsidRPr="009B5EAF">
        <w:rPr>
          <w:rFonts w:asciiTheme="majorHAnsi" w:hAnsiTheme="majorHAnsi" w:cstheme="majorHAnsi"/>
          <w:color w:val="595959" w:themeColor="text1" w:themeTint="A6"/>
          <w:lang w:val="en-AU"/>
        </w:rPr>
        <w:t>free up time for DFAT to concentrate on providing strategic oversight of the program</w:t>
      </w:r>
      <w:r w:rsidRPr="009B5EAF">
        <w:rPr>
          <w:rFonts w:asciiTheme="majorHAnsi" w:hAnsiTheme="majorHAnsi" w:cstheme="majorHAnsi"/>
          <w:color w:val="595959" w:themeColor="text1" w:themeTint="A6"/>
          <w:lang w:val="en-AU"/>
        </w:rPr>
        <w:t>,</w:t>
      </w:r>
      <w:r w:rsidR="008768BA" w:rsidRPr="009B5EAF">
        <w:rPr>
          <w:rFonts w:asciiTheme="majorHAnsi" w:hAnsiTheme="majorHAnsi" w:cstheme="majorHAnsi"/>
          <w:color w:val="595959" w:themeColor="text1" w:themeTint="A6"/>
          <w:lang w:val="en-AU"/>
        </w:rPr>
        <w:t xml:space="preserve"> </w:t>
      </w:r>
      <w:r w:rsidRPr="009B5EAF">
        <w:rPr>
          <w:rFonts w:asciiTheme="majorHAnsi" w:hAnsiTheme="majorHAnsi" w:cstheme="majorHAnsi"/>
          <w:color w:val="595959" w:themeColor="text1" w:themeTint="A6"/>
          <w:lang w:val="en-AU"/>
        </w:rPr>
        <w:t>and will</w:t>
      </w:r>
      <w:r w:rsidR="008768BA" w:rsidRPr="009B5EAF">
        <w:rPr>
          <w:rFonts w:asciiTheme="majorHAnsi" w:hAnsiTheme="majorHAnsi" w:cstheme="majorHAnsi"/>
          <w:color w:val="595959" w:themeColor="text1" w:themeTint="A6"/>
          <w:lang w:val="en-AU"/>
        </w:rPr>
        <w:t xml:space="preserve"> </w:t>
      </w:r>
      <w:r w:rsidRPr="009B5EAF">
        <w:rPr>
          <w:rFonts w:asciiTheme="majorHAnsi" w:hAnsiTheme="majorHAnsi" w:cstheme="majorHAnsi"/>
          <w:color w:val="595959" w:themeColor="text1" w:themeTint="A6"/>
          <w:lang w:val="en-AU"/>
        </w:rPr>
        <w:t xml:space="preserve">maximise the flexibility of </w:t>
      </w:r>
      <w:r w:rsidR="008768BA" w:rsidRPr="009B5EAF">
        <w:rPr>
          <w:rFonts w:asciiTheme="majorHAnsi" w:hAnsiTheme="majorHAnsi" w:cstheme="majorHAnsi"/>
          <w:color w:val="595959" w:themeColor="text1" w:themeTint="A6"/>
          <w:lang w:val="en-AU"/>
        </w:rPr>
        <w:t xml:space="preserve">DFAT staff </w:t>
      </w:r>
      <w:r w:rsidRPr="009B5EAF">
        <w:rPr>
          <w:rFonts w:asciiTheme="majorHAnsi" w:hAnsiTheme="majorHAnsi" w:cstheme="majorHAnsi"/>
          <w:color w:val="595959" w:themeColor="text1" w:themeTint="A6"/>
          <w:lang w:val="en-AU"/>
        </w:rPr>
        <w:t xml:space="preserve">to respond </w:t>
      </w:r>
      <w:r w:rsidR="008768BA" w:rsidRPr="009B5EAF">
        <w:rPr>
          <w:rFonts w:asciiTheme="majorHAnsi" w:hAnsiTheme="majorHAnsi" w:cstheme="majorHAnsi"/>
          <w:color w:val="595959" w:themeColor="text1" w:themeTint="A6"/>
          <w:lang w:val="en-AU"/>
        </w:rPr>
        <w:t xml:space="preserve">to Indonesian </w:t>
      </w:r>
      <w:r w:rsidRPr="009B5EAF">
        <w:rPr>
          <w:rFonts w:asciiTheme="majorHAnsi" w:hAnsiTheme="majorHAnsi" w:cstheme="majorHAnsi"/>
          <w:color w:val="595959" w:themeColor="text1" w:themeTint="A6"/>
          <w:lang w:val="en-AU"/>
        </w:rPr>
        <w:t xml:space="preserve">Government and partner agency </w:t>
      </w:r>
      <w:r w:rsidR="008768BA" w:rsidRPr="009B5EAF">
        <w:rPr>
          <w:rFonts w:asciiTheme="majorHAnsi" w:hAnsiTheme="majorHAnsi" w:cstheme="majorHAnsi"/>
          <w:color w:val="595959" w:themeColor="text1" w:themeTint="A6"/>
          <w:lang w:val="en-AU"/>
        </w:rPr>
        <w:t>needs</w:t>
      </w:r>
      <w:r w:rsidR="00D31E79">
        <w:rPr>
          <w:rFonts w:asciiTheme="majorHAnsi" w:hAnsiTheme="majorHAnsi" w:cstheme="majorHAnsi"/>
          <w:color w:val="595959" w:themeColor="text1" w:themeTint="A6"/>
          <w:lang w:val="en-AU"/>
        </w:rPr>
        <w:t xml:space="preserve">. </w:t>
      </w:r>
      <w:r w:rsidRPr="009B5EAF">
        <w:rPr>
          <w:rFonts w:asciiTheme="majorHAnsi" w:hAnsiTheme="majorHAnsi" w:cstheme="majorHAnsi"/>
          <w:color w:val="595959" w:themeColor="text1" w:themeTint="A6"/>
          <w:lang w:val="en-AU"/>
        </w:rPr>
        <w:t>It</w:t>
      </w:r>
      <w:r w:rsidR="008768BA" w:rsidRPr="009B5EAF">
        <w:rPr>
          <w:rFonts w:asciiTheme="majorHAnsi" w:hAnsiTheme="majorHAnsi" w:cstheme="majorHAnsi"/>
          <w:color w:val="595959" w:themeColor="text1" w:themeTint="A6"/>
          <w:lang w:val="en-AU"/>
        </w:rPr>
        <w:t xml:space="preserve"> will</w:t>
      </w:r>
      <w:r w:rsidRPr="009B5EAF">
        <w:rPr>
          <w:rFonts w:asciiTheme="majorHAnsi" w:hAnsiTheme="majorHAnsi" w:cstheme="majorHAnsi"/>
          <w:color w:val="595959" w:themeColor="text1" w:themeTint="A6"/>
          <w:lang w:val="en-AU"/>
        </w:rPr>
        <w:t xml:space="preserve"> also</w:t>
      </w:r>
      <w:r w:rsidR="008768BA" w:rsidRPr="009B5EAF">
        <w:rPr>
          <w:rFonts w:asciiTheme="majorHAnsi" w:hAnsiTheme="majorHAnsi" w:cstheme="majorHAnsi"/>
          <w:color w:val="595959" w:themeColor="text1" w:themeTint="A6"/>
          <w:lang w:val="en-AU"/>
        </w:rPr>
        <w:t xml:space="preserve"> enable DFAT to continue close engagement with DAWR and D</w:t>
      </w:r>
      <w:r w:rsidR="00951309" w:rsidRPr="009B5EAF">
        <w:rPr>
          <w:rFonts w:asciiTheme="majorHAnsi" w:hAnsiTheme="majorHAnsi" w:cstheme="majorHAnsi"/>
          <w:color w:val="595959" w:themeColor="text1" w:themeTint="A6"/>
          <w:lang w:val="en-AU"/>
        </w:rPr>
        <w:t>o</w:t>
      </w:r>
      <w:r w:rsidR="008768BA" w:rsidRPr="009B5EAF">
        <w:rPr>
          <w:rFonts w:asciiTheme="majorHAnsi" w:hAnsiTheme="majorHAnsi" w:cstheme="majorHAnsi"/>
          <w:color w:val="595959" w:themeColor="text1" w:themeTint="A6"/>
          <w:lang w:val="en-AU"/>
        </w:rPr>
        <w:t>H on health security issues</w:t>
      </w:r>
      <w:r w:rsidRPr="009B5EAF">
        <w:rPr>
          <w:rFonts w:asciiTheme="majorHAnsi" w:hAnsiTheme="majorHAnsi" w:cstheme="majorHAnsi"/>
          <w:color w:val="595959" w:themeColor="text1" w:themeTint="A6"/>
          <w:lang w:val="en-AU"/>
        </w:rPr>
        <w:t xml:space="preserve">, </w:t>
      </w:r>
      <w:r w:rsidR="008768BA" w:rsidRPr="009B5EAF">
        <w:rPr>
          <w:rFonts w:asciiTheme="majorHAnsi" w:hAnsiTheme="majorHAnsi" w:cstheme="majorHAnsi"/>
          <w:color w:val="595959" w:themeColor="text1" w:themeTint="A6"/>
          <w:lang w:val="en-AU"/>
        </w:rPr>
        <w:t xml:space="preserve">and </w:t>
      </w:r>
      <w:r w:rsidRPr="009B5EAF">
        <w:rPr>
          <w:rFonts w:asciiTheme="majorHAnsi" w:hAnsiTheme="majorHAnsi" w:cstheme="majorHAnsi"/>
          <w:color w:val="595959" w:themeColor="text1" w:themeTint="A6"/>
          <w:lang w:val="en-AU"/>
        </w:rPr>
        <w:t xml:space="preserve">will provide </w:t>
      </w:r>
      <w:r w:rsidR="008768BA" w:rsidRPr="009B5EAF">
        <w:rPr>
          <w:rFonts w:asciiTheme="majorHAnsi" w:hAnsiTheme="majorHAnsi" w:cstheme="majorHAnsi"/>
          <w:color w:val="595959" w:themeColor="text1" w:themeTint="A6"/>
          <w:lang w:val="en-AU"/>
        </w:rPr>
        <w:t xml:space="preserve">the option for </w:t>
      </w:r>
      <w:r w:rsidRPr="009B5EAF">
        <w:rPr>
          <w:rFonts w:asciiTheme="majorHAnsi" w:hAnsiTheme="majorHAnsi" w:cstheme="majorHAnsi"/>
          <w:color w:val="595959" w:themeColor="text1" w:themeTint="A6"/>
          <w:lang w:val="en-AU"/>
        </w:rPr>
        <w:t xml:space="preserve">DAWR </w:t>
      </w:r>
      <w:r w:rsidR="00EF233B" w:rsidRPr="009B5EAF">
        <w:rPr>
          <w:rFonts w:asciiTheme="majorHAnsi" w:hAnsiTheme="majorHAnsi" w:cstheme="majorHAnsi"/>
          <w:color w:val="595959" w:themeColor="text1" w:themeTint="A6"/>
          <w:lang w:val="en-AU"/>
        </w:rPr>
        <w:t xml:space="preserve">and DoH </w:t>
      </w:r>
      <w:r w:rsidR="008768BA" w:rsidRPr="009B5EAF">
        <w:rPr>
          <w:rFonts w:asciiTheme="majorHAnsi" w:hAnsiTheme="majorHAnsi" w:cstheme="majorHAnsi"/>
          <w:color w:val="595959" w:themeColor="text1" w:themeTint="A6"/>
          <w:lang w:val="en-AU"/>
        </w:rPr>
        <w:t xml:space="preserve">technical personnel to be involved </w:t>
      </w:r>
      <w:r w:rsidRPr="009B5EAF">
        <w:rPr>
          <w:rFonts w:asciiTheme="majorHAnsi" w:hAnsiTheme="majorHAnsi" w:cstheme="majorHAnsi"/>
          <w:color w:val="595959" w:themeColor="text1" w:themeTint="A6"/>
          <w:lang w:val="en-AU"/>
        </w:rPr>
        <w:t>in the program as and when required</w:t>
      </w:r>
      <w:r w:rsidR="008768BA" w:rsidRPr="009B5EAF">
        <w:rPr>
          <w:rFonts w:asciiTheme="majorHAnsi" w:hAnsiTheme="majorHAnsi" w:cstheme="majorHAnsi"/>
          <w:color w:val="595959" w:themeColor="text1" w:themeTint="A6"/>
          <w:lang w:val="en-AU"/>
        </w:rPr>
        <w:t xml:space="preserve"> without having to take on </w:t>
      </w:r>
      <w:r w:rsidRPr="009B5EAF">
        <w:rPr>
          <w:rFonts w:asciiTheme="majorHAnsi" w:hAnsiTheme="majorHAnsi" w:cstheme="majorHAnsi"/>
          <w:color w:val="595959" w:themeColor="text1" w:themeTint="A6"/>
          <w:lang w:val="en-AU"/>
        </w:rPr>
        <w:t xml:space="preserve">a </w:t>
      </w:r>
      <w:r w:rsidR="008768BA" w:rsidRPr="009B5EAF">
        <w:rPr>
          <w:rFonts w:asciiTheme="majorHAnsi" w:hAnsiTheme="majorHAnsi" w:cstheme="majorHAnsi"/>
          <w:color w:val="595959" w:themeColor="text1" w:themeTint="A6"/>
          <w:lang w:val="en-AU"/>
        </w:rPr>
        <w:t xml:space="preserve">management </w:t>
      </w:r>
      <w:r w:rsidRPr="009B5EAF">
        <w:rPr>
          <w:rFonts w:asciiTheme="majorHAnsi" w:hAnsiTheme="majorHAnsi" w:cstheme="majorHAnsi"/>
          <w:color w:val="595959" w:themeColor="text1" w:themeTint="A6"/>
          <w:lang w:val="en-AU"/>
        </w:rPr>
        <w:t>role</w:t>
      </w:r>
      <w:r w:rsidR="00D31E79">
        <w:rPr>
          <w:rFonts w:asciiTheme="majorHAnsi" w:hAnsiTheme="majorHAnsi" w:cstheme="majorHAnsi"/>
          <w:color w:val="595959" w:themeColor="text1" w:themeTint="A6"/>
          <w:lang w:val="en-AU"/>
        </w:rPr>
        <w:t>.</w:t>
      </w:r>
    </w:p>
    <w:p w:rsidR="008768BA" w:rsidRPr="0043356C" w:rsidRDefault="008768BA" w:rsidP="00BF6C52">
      <w:pPr>
        <w:pStyle w:val="ListBullet"/>
        <w:numPr>
          <w:ilvl w:val="0"/>
          <w:numId w:val="0"/>
        </w:numPr>
        <w:spacing w:line="240" w:lineRule="auto"/>
        <w:ind w:left="644" w:hanging="360"/>
        <w:rPr>
          <w:rFonts w:asciiTheme="majorHAnsi" w:eastAsiaTheme="minorHAnsi" w:hAnsiTheme="majorHAnsi" w:cstheme="majorHAnsi"/>
          <w:color w:val="595959" w:themeColor="text1" w:themeTint="A6"/>
          <w:sz w:val="22"/>
          <w:szCs w:val="22"/>
          <w:lang w:eastAsia="en-US"/>
        </w:rPr>
      </w:pPr>
    </w:p>
    <w:tbl>
      <w:tblPr>
        <w:tblW w:w="973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9738"/>
      </w:tblGrid>
      <w:tr w:rsidR="000175F5" w:rsidRPr="0043356C" w:rsidTr="00A62314">
        <w:trPr>
          <w:trHeight w:val="360"/>
          <w:tblHeader/>
          <w:jc w:val="center"/>
        </w:trPr>
        <w:tc>
          <w:tcPr>
            <w:tcW w:w="9738" w:type="dxa"/>
            <w:shd w:val="clear" w:color="auto" w:fill="C1E7E0" w:themeFill="accent1" w:themeFillTint="66"/>
          </w:tcPr>
          <w:p w:rsidR="000175F5" w:rsidRPr="0043356C" w:rsidRDefault="000175F5" w:rsidP="00A62314">
            <w:pPr>
              <w:pStyle w:val="Heading1"/>
              <w:spacing w:after="120" w:line="240" w:lineRule="auto"/>
              <w:contextualSpacing w:val="0"/>
              <w:rPr>
                <w:rFonts w:cstheme="majorHAnsi"/>
                <w:sz w:val="22"/>
                <w:szCs w:val="22"/>
              </w:rPr>
            </w:pPr>
            <w:bookmarkStart w:id="22" w:name="_Toc3297006"/>
            <w:r w:rsidRPr="0043356C">
              <w:rPr>
                <w:rFonts w:cstheme="majorHAnsi"/>
                <w:sz w:val="22"/>
                <w:szCs w:val="22"/>
              </w:rPr>
              <w:t>E: IMPLEMENTATION ARRANGEMENTS</w:t>
            </w:r>
            <w:bookmarkEnd w:id="22"/>
          </w:p>
        </w:tc>
      </w:tr>
    </w:tbl>
    <w:p w:rsidR="000175F5" w:rsidRPr="00CB527B" w:rsidRDefault="000175F5">
      <w:pPr>
        <w:pStyle w:val="ListBullet"/>
        <w:numPr>
          <w:ilvl w:val="0"/>
          <w:numId w:val="0"/>
        </w:numPr>
        <w:spacing w:line="240" w:lineRule="auto"/>
        <w:rPr>
          <w:rFonts w:asciiTheme="majorHAnsi" w:eastAsiaTheme="minorHAnsi" w:hAnsiTheme="majorHAnsi" w:cstheme="majorHAnsi"/>
          <w:color w:val="595959" w:themeColor="text1" w:themeTint="A6"/>
          <w:sz w:val="22"/>
          <w:szCs w:val="22"/>
          <w:lang w:eastAsia="en-US"/>
        </w:rPr>
      </w:pPr>
    </w:p>
    <w:p w:rsidR="003A24AE" w:rsidRPr="00C51D70" w:rsidRDefault="003A24AE" w:rsidP="00C51D70">
      <w:pPr>
        <w:pStyle w:val="Heading2"/>
        <w:spacing w:after="120" w:line="240" w:lineRule="auto"/>
        <w:contextualSpacing w:val="0"/>
        <w:rPr>
          <w:rFonts w:cstheme="majorHAnsi"/>
          <w:sz w:val="22"/>
          <w:szCs w:val="22"/>
          <w:lang w:val="en-US"/>
        </w:rPr>
      </w:pPr>
      <w:bookmarkStart w:id="23" w:name="_Toc3297007"/>
      <w:r w:rsidRPr="00C51D70">
        <w:rPr>
          <w:rFonts w:cstheme="majorHAnsi"/>
          <w:sz w:val="22"/>
          <w:szCs w:val="22"/>
          <w:lang w:val="en-US"/>
        </w:rPr>
        <w:t>Governance and Implementation Arrangements</w:t>
      </w:r>
      <w:bookmarkEnd w:id="23"/>
    </w:p>
    <w:p w:rsidR="003A24AE" w:rsidRPr="00EB4FEE" w:rsidRDefault="00E421DB" w:rsidP="00E029E9">
      <w:pPr>
        <w:spacing w:before="0" w:after="12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P</w:t>
      </w:r>
      <w:r w:rsidR="003A24AE" w:rsidRPr="00EB4FEE">
        <w:rPr>
          <w:rFonts w:asciiTheme="majorHAnsi" w:hAnsiTheme="majorHAnsi" w:cstheme="majorHAnsi"/>
          <w:color w:val="595959" w:themeColor="text1" w:themeTint="A6"/>
        </w:rPr>
        <w:t xml:space="preserve">roposed </w:t>
      </w:r>
      <w:r w:rsidRPr="00EB4FEE">
        <w:rPr>
          <w:rFonts w:asciiTheme="majorHAnsi" w:hAnsiTheme="majorHAnsi" w:cstheme="majorHAnsi"/>
          <w:color w:val="595959" w:themeColor="text1" w:themeTint="A6"/>
        </w:rPr>
        <w:t>g</w:t>
      </w:r>
      <w:r w:rsidR="003A24AE" w:rsidRPr="00EB4FEE">
        <w:rPr>
          <w:rFonts w:asciiTheme="majorHAnsi" w:hAnsiTheme="majorHAnsi" w:cstheme="majorHAnsi"/>
          <w:color w:val="595959" w:themeColor="text1" w:themeTint="A6"/>
        </w:rPr>
        <w:t xml:space="preserve">overnance arrangements </w:t>
      </w:r>
      <w:r w:rsidRPr="00EB4FEE">
        <w:rPr>
          <w:rFonts w:asciiTheme="majorHAnsi" w:hAnsiTheme="majorHAnsi" w:cstheme="majorHAnsi"/>
          <w:color w:val="595959" w:themeColor="text1" w:themeTint="A6"/>
        </w:rPr>
        <w:t xml:space="preserve">are presented in </w:t>
      </w:r>
      <w:r w:rsidR="001C3661" w:rsidRPr="00EB4FEE">
        <w:rPr>
          <w:rFonts w:asciiTheme="majorHAnsi" w:hAnsiTheme="majorHAnsi" w:cstheme="majorHAnsi"/>
          <w:color w:val="595959" w:themeColor="text1" w:themeTint="A6"/>
        </w:rPr>
        <w:t>F</w:t>
      </w:r>
      <w:r w:rsidR="00D31E79">
        <w:rPr>
          <w:rFonts w:asciiTheme="majorHAnsi" w:hAnsiTheme="majorHAnsi" w:cstheme="majorHAnsi"/>
          <w:color w:val="595959" w:themeColor="text1" w:themeTint="A6"/>
        </w:rPr>
        <w:t xml:space="preserve">igure 3. </w:t>
      </w:r>
      <w:r w:rsidRPr="00EB4FEE">
        <w:rPr>
          <w:rFonts w:asciiTheme="majorHAnsi" w:hAnsiTheme="majorHAnsi" w:cstheme="majorHAnsi"/>
          <w:color w:val="595959" w:themeColor="text1" w:themeTint="A6"/>
        </w:rPr>
        <w:t xml:space="preserve">The roles and responsibilities of key bodies are summarised in </w:t>
      </w:r>
      <w:r w:rsidR="001C3661" w:rsidRPr="00EB4FEE">
        <w:rPr>
          <w:rFonts w:asciiTheme="majorHAnsi" w:hAnsiTheme="majorHAnsi" w:cstheme="majorHAnsi"/>
          <w:color w:val="595959" w:themeColor="text1" w:themeTint="A6"/>
        </w:rPr>
        <w:t>F</w:t>
      </w:r>
      <w:r w:rsidRPr="00EB4FEE">
        <w:rPr>
          <w:rFonts w:asciiTheme="majorHAnsi" w:hAnsiTheme="majorHAnsi" w:cstheme="majorHAnsi"/>
          <w:color w:val="595959" w:themeColor="text1" w:themeTint="A6"/>
        </w:rPr>
        <w:t xml:space="preserve">igure </w:t>
      </w:r>
      <w:r w:rsidR="00D31E79">
        <w:rPr>
          <w:rFonts w:asciiTheme="majorHAnsi" w:hAnsiTheme="majorHAnsi" w:cstheme="majorHAnsi"/>
          <w:color w:val="595959" w:themeColor="text1" w:themeTint="A6"/>
        </w:rPr>
        <w:t>4.</w:t>
      </w:r>
      <w:r w:rsidR="005707F0" w:rsidRPr="00EB4FEE">
        <w:rPr>
          <w:rFonts w:asciiTheme="majorHAnsi" w:hAnsiTheme="majorHAnsi" w:cstheme="majorHAnsi"/>
          <w:color w:val="595959" w:themeColor="text1" w:themeTint="A6"/>
        </w:rPr>
        <w:t xml:space="preserve"> These </w:t>
      </w:r>
      <w:r w:rsidR="00110BC9">
        <w:rPr>
          <w:rFonts w:asciiTheme="majorHAnsi" w:hAnsiTheme="majorHAnsi" w:cstheme="majorHAnsi"/>
          <w:color w:val="595959" w:themeColor="text1" w:themeTint="A6"/>
        </w:rPr>
        <w:t>arrangements</w:t>
      </w:r>
      <w:r w:rsidR="005707F0" w:rsidRPr="00EB4FEE">
        <w:rPr>
          <w:rFonts w:asciiTheme="majorHAnsi" w:hAnsiTheme="majorHAnsi" w:cstheme="majorHAnsi"/>
          <w:color w:val="595959" w:themeColor="text1" w:themeTint="A6"/>
        </w:rPr>
        <w:t xml:space="preserve"> </w:t>
      </w:r>
      <w:r w:rsidR="003A24AE" w:rsidRPr="00EB4FEE">
        <w:rPr>
          <w:rFonts w:asciiTheme="majorHAnsi" w:hAnsiTheme="majorHAnsi" w:cstheme="majorHAnsi"/>
          <w:color w:val="595959" w:themeColor="text1" w:themeTint="A6"/>
        </w:rPr>
        <w:t xml:space="preserve">have been discussed and agreed by key stakeholders including the </w:t>
      </w:r>
      <w:r w:rsidRPr="00EB4FEE">
        <w:rPr>
          <w:rFonts w:asciiTheme="majorHAnsi" w:hAnsiTheme="majorHAnsi" w:cstheme="majorHAnsi"/>
          <w:color w:val="595959" w:themeColor="text1" w:themeTint="A6"/>
        </w:rPr>
        <w:t xml:space="preserve">Indonesian </w:t>
      </w:r>
      <w:r w:rsidR="003A24AE" w:rsidRPr="00EB4FEE">
        <w:rPr>
          <w:rFonts w:asciiTheme="majorHAnsi" w:hAnsiTheme="majorHAnsi" w:cstheme="majorHAnsi"/>
          <w:color w:val="595959" w:themeColor="text1" w:themeTint="A6"/>
        </w:rPr>
        <w:t xml:space="preserve">MoA and </w:t>
      </w:r>
      <w:r w:rsidRPr="00EB4FEE">
        <w:rPr>
          <w:rFonts w:asciiTheme="majorHAnsi" w:hAnsiTheme="majorHAnsi" w:cstheme="majorHAnsi"/>
          <w:color w:val="595959" w:themeColor="text1" w:themeTint="A6"/>
        </w:rPr>
        <w:t>MoH</w:t>
      </w:r>
      <w:r w:rsidR="00D31E79">
        <w:rPr>
          <w:rFonts w:asciiTheme="majorHAnsi" w:hAnsiTheme="majorHAnsi" w:cstheme="majorHAnsi"/>
          <w:color w:val="595959" w:themeColor="text1" w:themeTint="A6"/>
        </w:rPr>
        <w:t xml:space="preserve">. </w:t>
      </w:r>
      <w:r w:rsidR="003A24AE" w:rsidRPr="00EB4FEE">
        <w:rPr>
          <w:rFonts w:asciiTheme="majorHAnsi" w:hAnsiTheme="majorHAnsi" w:cstheme="majorHAnsi"/>
          <w:color w:val="595959" w:themeColor="text1" w:themeTint="A6"/>
        </w:rPr>
        <w:t>They build upon lessons learned from previous programs and have been</w:t>
      </w:r>
      <w:r w:rsidR="005707F0" w:rsidRPr="00EB4FEE">
        <w:rPr>
          <w:rFonts w:asciiTheme="majorHAnsi" w:hAnsiTheme="majorHAnsi" w:cstheme="majorHAnsi"/>
          <w:color w:val="595959" w:themeColor="text1" w:themeTint="A6"/>
        </w:rPr>
        <w:t xml:space="preserve"> </w:t>
      </w:r>
      <w:r w:rsidR="003A24AE" w:rsidRPr="00EB4FEE">
        <w:rPr>
          <w:rFonts w:asciiTheme="majorHAnsi" w:hAnsiTheme="majorHAnsi" w:cstheme="majorHAnsi"/>
          <w:color w:val="595959" w:themeColor="text1" w:themeTint="A6"/>
        </w:rPr>
        <w:t>developed to ensure</w:t>
      </w:r>
      <w:r w:rsidR="005707F0" w:rsidRPr="00EB4FEE">
        <w:rPr>
          <w:rFonts w:asciiTheme="majorHAnsi" w:hAnsiTheme="majorHAnsi" w:cstheme="majorHAnsi"/>
          <w:color w:val="595959" w:themeColor="text1" w:themeTint="A6"/>
        </w:rPr>
        <w:t xml:space="preserve"> that the program </w:t>
      </w:r>
      <w:r w:rsidR="005C6EFA" w:rsidRPr="00EB4FEE">
        <w:rPr>
          <w:rFonts w:asciiTheme="majorHAnsi" w:hAnsiTheme="majorHAnsi" w:cstheme="majorHAnsi"/>
          <w:color w:val="595959" w:themeColor="text1" w:themeTint="A6"/>
        </w:rPr>
        <w:t>will</w:t>
      </w:r>
      <w:r w:rsidR="005707F0" w:rsidRPr="00EB4FEE">
        <w:rPr>
          <w:rFonts w:asciiTheme="majorHAnsi" w:hAnsiTheme="majorHAnsi" w:cstheme="majorHAnsi"/>
          <w:color w:val="595959" w:themeColor="text1" w:themeTint="A6"/>
        </w:rPr>
        <w:t xml:space="preserve"> be a full partnership, </w:t>
      </w:r>
      <w:r w:rsidR="00112748" w:rsidRPr="00EB4FEE">
        <w:rPr>
          <w:rFonts w:asciiTheme="majorHAnsi" w:hAnsiTheme="majorHAnsi" w:cstheme="majorHAnsi"/>
          <w:color w:val="595959" w:themeColor="text1" w:themeTint="A6"/>
        </w:rPr>
        <w:t>with</w:t>
      </w:r>
      <w:r w:rsidR="003A24AE" w:rsidRPr="00EB4FEE">
        <w:rPr>
          <w:rFonts w:asciiTheme="majorHAnsi" w:hAnsiTheme="majorHAnsi" w:cstheme="majorHAnsi"/>
          <w:color w:val="595959" w:themeColor="text1" w:themeTint="A6"/>
        </w:rPr>
        <w:t xml:space="preserve"> joint </w:t>
      </w:r>
      <w:r w:rsidR="005707F0" w:rsidRPr="00EB4FEE">
        <w:rPr>
          <w:rFonts w:asciiTheme="majorHAnsi" w:hAnsiTheme="majorHAnsi" w:cstheme="majorHAnsi"/>
          <w:color w:val="595959" w:themeColor="text1" w:themeTint="A6"/>
        </w:rPr>
        <w:t xml:space="preserve">Australian and Indonesian Government </w:t>
      </w:r>
      <w:r w:rsidR="00D31E79">
        <w:rPr>
          <w:rFonts w:asciiTheme="majorHAnsi" w:hAnsiTheme="majorHAnsi" w:cstheme="majorHAnsi"/>
          <w:color w:val="595959" w:themeColor="text1" w:themeTint="A6"/>
        </w:rPr>
        <w:t>ownership.</w:t>
      </w:r>
    </w:p>
    <w:p w:rsidR="000D6682" w:rsidRPr="00EB4FEE" w:rsidRDefault="000D6682" w:rsidP="00E029E9">
      <w:pPr>
        <w:spacing w:before="0" w:after="120" w:line="240" w:lineRule="auto"/>
        <w:rPr>
          <w:rFonts w:asciiTheme="majorHAnsi" w:hAnsiTheme="majorHAnsi"/>
          <w:color w:val="595959" w:themeColor="text1" w:themeTint="A6"/>
        </w:rPr>
      </w:pPr>
      <w:r w:rsidRPr="009B5EAF">
        <w:rPr>
          <w:rFonts w:asciiTheme="majorHAnsi" w:hAnsiTheme="majorHAnsi" w:cstheme="majorHAnsi"/>
          <w:color w:val="595959" w:themeColor="text1" w:themeTint="A6"/>
          <w:lang w:val="en-AU"/>
        </w:rPr>
        <w:t>These arrangements aim to address key issues identified in reviews of AIPEID, including the need for more strategic, senior-level engagement with Indonesian government and co</w:t>
      </w:r>
      <w:r w:rsidR="00D31E79">
        <w:rPr>
          <w:rFonts w:asciiTheme="majorHAnsi" w:hAnsiTheme="majorHAnsi" w:cstheme="majorHAnsi"/>
          <w:color w:val="595959" w:themeColor="text1" w:themeTint="A6"/>
          <w:lang w:val="en-AU"/>
        </w:rPr>
        <w:t xml:space="preserve">unterpart Australian agencies. </w:t>
      </w:r>
      <w:r w:rsidRPr="009B5EAF">
        <w:rPr>
          <w:rFonts w:asciiTheme="majorHAnsi" w:hAnsiTheme="majorHAnsi" w:cstheme="majorHAnsi"/>
          <w:color w:val="595959" w:themeColor="text1" w:themeTint="A6"/>
          <w:lang w:val="en-US"/>
        </w:rPr>
        <w:t>They will support development of a more integrated and coordinated One Health approach</w:t>
      </w:r>
      <w:r w:rsidR="00A43641" w:rsidRPr="009B5EAF">
        <w:rPr>
          <w:rFonts w:asciiTheme="majorHAnsi" w:hAnsiTheme="majorHAnsi" w:cstheme="majorHAnsi"/>
          <w:color w:val="595959" w:themeColor="text1" w:themeTint="A6"/>
          <w:lang w:val="en-US"/>
        </w:rPr>
        <w:t xml:space="preserve"> and</w:t>
      </w:r>
      <w:r w:rsidRPr="009B5EAF">
        <w:rPr>
          <w:rFonts w:asciiTheme="majorHAnsi" w:hAnsiTheme="majorHAnsi" w:cstheme="majorHAnsi"/>
          <w:color w:val="595959" w:themeColor="text1" w:themeTint="A6"/>
          <w:lang w:val="en-US"/>
        </w:rPr>
        <w:t xml:space="preserve"> will </w:t>
      </w:r>
      <w:r w:rsidR="00A43641" w:rsidRPr="009B5EAF">
        <w:rPr>
          <w:rFonts w:asciiTheme="majorHAnsi" w:hAnsiTheme="majorHAnsi" w:cstheme="majorHAnsi"/>
          <w:color w:val="595959" w:themeColor="text1" w:themeTint="A6"/>
          <w:lang w:val="en-US"/>
        </w:rPr>
        <w:t>ensure that</w:t>
      </w:r>
      <w:r w:rsidRPr="009B5EAF">
        <w:rPr>
          <w:rFonts w:asciiTheme="majorHAnsi" w:hAnsiTheme="majorHAnsi" w:cstheme="majorHAnsi"/>
          <w:color w:val="595959" w:themeColor="text1" w:themeTint="A6"/>
          <w:lang w:val="en-US"/>
        </w:rPr>
        <w:t xml:space="preserve"> senior GoI officials from </w:t>
      </w:r>
      <w:r w:rsidR="00A43641" w:rsidRPr="009B5EAF">
        <w:rPr>
          <w:rFonts w:asciiTheme="majorHAnsi" w:hAnsiTheme="majorHAnsi" w:cstheme="majorHAnsi"/>
          <w:color w:val="595959" w:themeColor="text1" w:themeTint="A6"/>
          <w:lang w:val="en-US"/>
        </w:rPr>
        <w:t>different</w:t>
      </w:r>
      <w:r w:rsidRPr="009B5EAF">
        <w:rPr>
          <w:rFonts w:asciiTheme="majorHAnsi" w:hAnsiTheme="majorHAnsi" w:cstheme="majorHAnsi"/>
          <w:color w:val="595959" w:themeColor="text1" w:themeTint="A6"/>
          <w:lang w:val="en-US"/>
        </w:rPr>
        <w:t xml:space="preserve"> ministries </w:t>
      </w:r>
      <w:r w:rsidR="00A43641" w:rsidRPr="009B5EAF">
        <w:rPr>
          <w:rFonts w:asciiTheme="majorHAnsi" w:hAnsiTheme="majorHAnsi" w:cstheme="majorHAnsi"/>
          <w:color w:val="595959" w:themeColor="text1" w:themeTint="A6"/>
          <w:lang w:val="en-US"/>
        </w:rPr>
        <w:t>work together</w:t>
      </w:r>
      <w:r w:rsidRPr="009B5EAF">
        <w:rPr>
          <w:rFonts w:asciiTheme="majorHAnsi" w:hAnsiTheme="majorHAnsi" w:cstheme="majorHAnsi"/>
          <w:color w:val="595959" w:themeColor="text1" w:themeTint="A6"/>
          <w:lang w:val="en-US"/>
        </w:rPr>
        <w:t xml:space="preserve"> to agree priority activities and ove</w:t>
      </w:r>
      <w:r w:rsidR="00D31E79">
        <w:rPr>
          <w:rFonts w:asciiTheme="majorHAnsi" w:hAnsiTheme="majorHAnsi" w:cstheme="majorHAnsi"/>
          <w:color w:val="595959" w:themeColor="text1" w:themeTint="A6"/>
          <w:lang w:val="en-US"/>
        </w:rPr>
        <w:t>rsee their implementation.</w:t>
      </w:r>
    </w:p>
    <w:p w:rsidR="003A24AE" w:rsidRPr="00EB4FEE" w:rsidRDefault="003A24AE" w:rsidP="003A24AE">
      <w:pPr>
        <w:spacing w:before="0" w:after="12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Th</w:t>
      </w:r>
      <w:r w:rsidR="00A43641" w:rsidRPr="00EB4FEE">
        <w:rPr>
          <w:rFonts w:asciiTheme="majorHAnsi" w:hAnsiTheme="majorHAnsi" w:cstheme="majorHAnsi"/>
          <w:color w:val="595959" w:themeColor="text1" w:themeTint="A6"/>
        </w:rPr>
        <w:t xml:space="preserve">ese </w:t>
      </w:r>
      <w:r w:rsidR="00B62931">
        <w:rPr>
          <w:rFonts w:asciiTheme="majorHAnsi" w:hAnsiTheme="majorHAnsi" w:cstheme="majorHAnsi"/>
          <w:color w:val="595959" w:themeColor="text1" w:themeTint="A6"/>
        </w:rPr>
        <w:t>arrangements</w:t>
      </w:r>
      <w:r w:rsidRPr="00EB4FEE">
        <w:rPr>
          <w:rFonts w:asciiTheme="majorHAnsi" w:hAnsiTheme="majorHAnsi" w:cstheme="majorHAnsi"/>
          <w:color w:val="595959" w:themeColor="text1" w:themeTint="A6"/>
        </w:rPr>
        <w:t xml:space="preserve"> reflect the critical role of governance as outlined </w:t>
      </w:r>
      <w:r w:rsidR="00604A49" w:rsidRPr="00EB4FEE">
        <w:rPr>
          <w:rFonts w:asciiTheme="majorHAnsi" w:hAnsiTheme="majorHAnsi" w:cstheme="majorHAnsi"/>
          <w:color w:val="595959" w:themeColor="text1" w:themeTint="A6"/>
        </w:rPr>
        <w:t xml:space="preserve">in </w:t>
      </w:r>
      <w:r w:rsidRPr="00EB4FEE">
        <w:rPr>
          <w:rFonts w:asciiTheme="majorHAnsi" w:hAnsiTheme="majorHAnsi" w:cstheme="majorHAnsi"/>
          <w:color w:val="595959" w:themeColor="text1" w:themeTint="A6"/>
        </w:rPr>
        <w:t xml:space="preserve">WHO </w:t>
      </w:r>
      <w:r w:rsidR="00604A49" w:rsidRPr="00EB4FEE">
        <w:rPr>
          <w:rFonts w:asciiTheme="majorHAnsi" w:hAnsiTheme="majorHAnsi" w:cstheme="majorHAnsi"/>
          <w:color w:val="595959" w:themeColor="text1" w:themeTint="A6"/>
        </w:rPr>
        <w:t>H</w:t>
      </w:r>
      <w:r w:rsidRPr="00EB4FEE">
        <w:rPr>
          <w:rFonts w:asciiTheme="majorHAnsi" w:hAnsiTheme="majorHAnsi" w:cstheme="majorHAnsi"/>
          <w:color w:val="595959" w:themeColor="text1" w:themeTint="A6"/>
        </w:rPr>
        <w:t xml:space="preserve">ealth </w:t>
      </w:r>
      <w:r w:rsidR="00604A49" w:rsidRPr="00EB4FEE">
        <w:rPr>
          <w:rFonts w:asciiTheme="majorHAnsi" w:hAnsiTheme="majorHAnsi" w:cstheme="majorHAnsi"/>
          <w:color w:val="595959" w:themeColor="text1" w:themeTint="A6"/>
        </w:rPr>
        <w:t>S</w:t>
      </w:r>
      <w:r w:rsidRPr="00EB4FEE">
        <w:rPr>
          <w:rFonts w:asciiTheme="majorHAnsi" w:hAnsiTheme="majorHAnsi" w:cstheme="majorHAnsi"/>
          <w:color w:val="595959" w:themeColor="text1" w:themeTint="A6"/>
        </w:rPr>
        <w:t xml:space="preserve">ystems </w:t>
      </w:r>
      <w:r w:rsidR="00604A49" w:rsidRPr="00EB4FEE">
        <w:rPr>
          <w:rFonts w:asciiTheme="majorHAnsi" w:hAnsiTheme="majorHAnsi" w:cstheme="majorHAnsi"/>
          <w:color w:val="595959" w:themeColor="text1" w:themeTint="A6"/>
        </w:rPr>
        <w:t>F</w:t>
      </w:r>
      <w:r w:rsidRPr="00EB4FEE">
        <w:rPr>
          <w:rFonts w:asciiTheme="majorHAnsi" w:hAnsiTheme="majorHAnsi" w:cstheme="majorHAnsi"/>
          <w:color w:val="595959" w:themeColor="text1" w:themeTint="A6"/>
        </w:rPr>
        <w:t>ramework building blocks and referenced in DFAT’s Health for D</w:t>
      </w:r>
      <w:r w:rsidR="00D31E79">
        <w:rPr>
          <w:rFonts w:asciiTheme="majorHAnsi" w:hAnsiTheme="majorHAnsi" w:cstheme="majorHAnsi"/>
          <w:color w:val="595959" w:themeColor="text1" w:themeTint="A6"/>
        </w:rPr>
        <w:t>evelopment Strategy 2015-2020.</w:t>
      </w:r>
    </w:p>
    <w:p w:rsidR="00A62314" w:rsidRPr="0043356C" w:rsidRDefault="00A62314" w:rsidP="00C80F0D">
      <w:pPr>
        <w:suppressAutoHyphens w:val="0"/>
        <w:spacing w:before="0" w:after="120" w:line="240" w:lineRule="auto"/>
        <w:rPr>
          <w:rFonts w:asciiTheme="majorHAnsi" w:hAnsiTheme="majorHAnsi" w:cstheme="majorHAnsi"/>
          <w:color w:val="595959" w:themeColor="text1" w:themeTint="A6"/>
          <w:lang w:val="en-AU"/>
        </w:rPr>
        <w:sectPr w:rsidR="00A62314" w:rsidRPr="0043356C" w:rsidSect="005401A7">
          <w:headerReference w:type="default" r:id="rId19"/>
          <w:headerReference w:type="first" r:id="rId20"/>
          <w:pgSz w:w="11906" w:h="16838" w:code="9"/>
          <w:pgMar w:top="1440" w:right="1440" w:bottom="1440" w:left="1440" w:header="425" w:footer="493" w:gutter="0"/>
          <w:cols w:space="397"/>
          <w:titlePg/>
          <w:docGrid w:linePitch="360"/>
        </w:sectPr>
      </w:pPr>
    </w:p>
    <w:p w:rsidR="002A7C55" w:rsidRPr="0043356C" w:rsidRDefault="00EB4BCB" w:rsidP="00BF6C52">
      <w:pPr>
        <w:pStyle w:val="Figure"/>
        <w:spacing w:before="0" w:after="120" w:line="240" w:lineRule="auto"/>
        <w:rPr>
          <w:rFonts w:cstheme="majorHAnsi"/>
          <w:sz w:val="22"/>
        </w:rPr>
      </w:pPr>
      <w:r w:rsidRPr="0043356C">
        <w:rPr>
          <w:rFonts w:cstheme="majorHAnsi"/>
          <w:sz w:val="22"/>
        </w:rPr>
        <w:t>Figure 3:</w:t>
      </w:r>
      <w:r w:rsidR="002A7C55" w:rsidRPr="0043356C">
        <w:rPr>
          <w:rFonts w:cstheme="majorHAnsi"/>
          <w:sz w:val="22"/>
        </w:rPr>
        <w:t xml:space="preserve"> AIHSP Governance Arrangements</w:t>
      </w:r>
    </w:p>
    <w:p w:rsidR="00EF7E46" w:rsidRPr="0043356C" w:rsidRDefault="00EF7E46" w:rsidP="00BF6C52">
      <w:pPr>
        <w:pStyle w:val="Figure"/>
        <w:spacing w:before="0" w:after="120" w:line="240" w:lineRule="auto"/>
        <w:rPr>
          <w:rFonts w:cstheme="majorHAnsi"/>
          <w:sz w:val="22"/>
        </w:rPr>
      </w:pPr>
    </w:p>
    <w:p w:rsidR="002A7C55" w:rsidRPr="00CB527B" w:rsidRDefault="00A11F64" w:rsidP="00D556C8">
      <w:pPr>
        <w:pStyle w:val="Figure"/>
        <w:spacing w:before="0" w:after="120" w:line="240" w:lineRule="auto"/>
        <w:rPr>
          <w:rFonts w:cstheme="majorHAnsi"/>
        </w:rPr>
      </w:pPr>
      <w:r>
        <w:rPr>
          <w:rFonts w:cstheme="majorHAnsi"/>
          <w:b w:val="0"/>
          <w:noProof/>
          <w:lang w:eastAsia="en-AU"/>
        </w:rPr>
        <w:drawing>
          <wp:inline distT="0" distB="0" distL="0" distR="0" wp14:anchorId="15F403E5" wp14:editId="4A10B81A">
            <wp:extent cx="8413381" cy="468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413381" cy="4680000"/>
                    </a:xfrm>
                    <a:prstGeom prst="rect">
                      <a:avLst/>
                    </a:prstGeom>
                    <a:noFill/>
                  </pic:spPr>
                </pic:pic>
              </a:graphicData>
            </a:graphic>
          </wp:inline>
        </w:drawing>
      </w:r>
      <w:r w:rsidR="002A7C55" w:rsidRPr="00CB527B">
        <w:rPr>
          <w:rFonts w:cstheme="majorHAnsi"/>
          <w:b w:val="0"/>
        </w:rPr>
        <w:br w:type="page"/>
      </w:r>
    </w:p>
    <w:p w:rsidR="002A7C55" w:rsidRPr="00CB527B" w:rsidRDefault="002A7C55" w:rsidP="00D556C8">
      <w:pPr>
        <w:spacing w:before="0" w:after="120" w:line="240" w:lineRule="auto"/>
        <w:jc w:val="center"/>
        <w:rPr>
          <w:rFonts w:asciiTheme="majorHAnsi" w:hAnsiTheme="majorHAnsi" w:cstheme="majorHAnsi"/>
          <w:b/>
          <w:color w:val="595959" w:themeColor="text1" w:themeTint="A6"/>
          <w:lang w:val="en-AU"/>
        </w:rPr>
      </w:pPr>
      <w:r w:rsidRPr="00CB527B">
        <w:rPr>
          <w:rFonts w:asciiTheme="majorHAnsi" w:hAnsiTheme="majorHAnsi" w:cstheme="majorHAnsi"/>
          <w:b/>
          <w:color w:val="595959" w:themeColor="text1" w:themeTint="A6"/>
          <w:lang w:val="en-AU"/>
        </w:rPr>
        <w:t>Figure 4: Overview of roles and responsibilities</w:t>
      </w:r>
    </w:p>
    <w:p w:rsidR="00762452" w:rsidRPr="00EB4FEE" w:rsidRDefault="002A7C55" w:rsidP="00D556C8">
      <w:pPr>
        <w:spacing w:before="0" w:after="120" w:line="240" w:lineRule="auto"/>
        <w:jc w:val="center"/>
        <w:rPr>
          <w:rFonts w:asciiTheme="majorHAnsi" w:hAnsiTheme="majorHAnsi"/>
        </w:rPr>
        <w:sectPr w:rsidR="00762452" w:rsidRPr="00EB4FEE" w:rsidSect="00E14997">
          <w:headerReference w:type="first" r:id="rId22"/>
          <w:pgSz w:w="16838" w:h="11906" w:orient="landscape" w:code="9"/>
          <w:pgMar w:top="1440" w:right="1440" w:bottom="1440" w:left="1440" w:header="425" w:footer="493" w:gutter="0"/>
          <w:cols w:space="397"/>
          <w:titlePg/>
          <w:docGrid w:linePitch="360"/>
        </w:sectPr>
      </w:pPr>
      <w:r w:rsidRPr="00CB527B">
        <w:rPr>
          <w:rFonts w:asciiTheme="majorHAnsi" w:hAnsiTheme="majorHAnsi" w:cstheme="majorHAnsi"/>
          <w:noProof/>
          <w:lang w:val="en-AU" w:eastAsia="en-AU"/>
        </w:rPr>
        <w:t xml:space="preserve"> </w:t>
      </w:r>
      <w:r w:rsidR="00AD3A37">
        <w:rPr>
          <w:rFonts w:asciiTheme="majorHAnsi" w:hAnsiTheme="majorHAnsi" w:cstheme="majorHAnsi"/>
          <w:noProof/>
          <w:lang w:val="en-AU" w:eastAsia="en-AU"/>
        </w:rPr>
        <w:drawing>
          <wp:inline distT="0" distB="0" distL="0" distR="0" wp14:anchorId="170BFD3C" wp14:editId="70F527C0">
            <wp:extent cx="8122513" cy="4680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122513" cy="4680000"/>
                    </a:xfrm>
                    <a:prstGeom prst="rect">
                      <a:avLst/>
                    </a:prstGeom>
                    <a:noFill/>
                  </pic:spPr>
                </pic:pic>
              </a:graphicData>
            </a:graphic>
          </wp:inline>
        </w:drawing>
      </w:r>
    </w:p>
    <w:p w:rsidR="004433DB" w:rsidRPr="009B5EAF" w:rsidRDefault="004433DB" w:rsidP="00BF6C52">
      <w:pPr>
        <w:suppressAutoHyphens w:val="0"/>
        <w:spacing w:before="0" w:after="120" w:line="240" w:lineRule="auto"/>
        <w:rPr>
          <w:rFonts w:asciiTheme="majorHAnsi" w:hAnsiTheme="majorHAnsi" w:cstheme="majorHAnsi"/>
          <w:color w:val="595959" w:themeColor="text1" w:themeTint="A6"/>
          <w:lang w:val="en-AU"/>
        </w:rPr>
      </w:pPr>
      <w:r w:rsidRPr="009B5EAF">
        <w:rPr>
          <w:rFonts w:asciiTheme="majorHAnsi" w:hAnsiTheme="majorHAnsi" w:cstheme="majorHAnsi"/>
          <w:color w:val="595959" w:themeColor="text1" w:themeTint="A6"/>
          <w:lang w:val="en-AU"/>
        </w:rPr>
        <w:t xml:space="preserve">DFAT will negotiate a subsidiary arrangement with </w:t>
      </w:r>
      <w:r w:rsidR="00456B44" w:rsidRPr="009B5EAF">
        <w:rPr>
          <w:rFonts w:asciiTheme="majorHAnsi" w:hAnsiTheme="majorHAnsi" w:cstheme="majorHAnsi"/>
          <w:color w:val="595959" w:themeColor="text1" w:themeTint="A6"/>
          <w:lang w:val="en-AU"/>
        </w:rPr>
        <w:t>GoI</w:t>
      </w:r>
      <w:r w:rsidRPr="009B5EAF">
        <w:rPr>
          <w:rFonts w:asciiTheme="majorHAnsi" w:hAnsiTheme="majorHAnsi" w:cstheme="majorHAnsi"/>
          <w:color w:val="595959" w:themeColor="text1" w:themeTint="A6"/>
          <w:lang w:val="en-AU"/>
        </w:rPr>
        <w:t xml:space="preserve"> under the bilateral development cooperation treaty to cover all activities under the </w:t>
      </w:r>
      <w:r w:rsidR="00254F6B" w:rsidRPr="009B5EAF">
        <w:rPr>
          <w:rFonts w:asciiTheme="majorHAnsi" w:hAnsiTheme="majorHAnsi" w:cstheme="majorHAnsi"/>
          <w:color w:val="595959" w:themeColor="text1" w:themeTint="A6"/>
          <w:lang w:val="en-AU"/>
        </w:rPr>
        <w:t>AIHSP</w:t>
      </w:r>
      <w:r w:rsidR="00AD3A37">
        <w:rPr>
          <w:rFonts w:asciiTheme="majorHAnsi" w:hAnsiTheme="majorHAnsi" w:cstheme="majorHAnsi"/>
          <w:color w:val="595959" w:themeColor="text1" w:themeTint="A6"/>
          <w:lang w:val="en-AU"/>
        </w:rPr>
        <w:t xml:space="preserve"> and </w:t>
      </w:r>
      <w:r w:rsidR="00B62931">
        <w:rPr>
          <w:rFonts w:asciiTheme="majorHAnsi" w:hAnsiTheme="majorHAnsi" w:cstheme="majorHAnsi"/>
          <w:color w:val="595959" w:themeColor="text1" w:themeTint="A6"/>
          <w:lang w:val="en-AU"/>
        </w:rPr>
        <w:t>ensure the program provides the required</w:t>
      </w:r>
      <w:r w:rsidR="00AD3A37">
        <w:rPr>
          <w:rFonts w:asciiTheme="majorHAnsi" w:hAnsiTheme="majorHAnsi" w:cstheme="majorHAnsi"/>
          <w:color w:val="595959" w:themeColor="text1" w:themeTint="A6"/>
          <w:lang w:val="en-AU"/>
        </w:rPr>
        <w:t xml:space="preserve"> handover (BAST) reporting to GoI</w:t>
      </w:r>
      <w:r w:rsidR="00C83B0C" w:rsidRPr="009B5EAF">
        <w:rPr>
          <w:rFonts w:asciiTheme="majorHAnsi" w:hAnsiTheme="majorHAnsi" w:cstheme="majorHAnsi"/>
          <w:color w:val="595959" w:themeColor="text1" w:themeTint="A6"/>
          <w:lang w:val="en-AU"/>
        </w:rPr>
        <w:t xml:space="preserve">. </w:t>
      </w:r>
      <w:r w:rsidRPr="009B5EAF">
        <w:rPr>
          <w:rFonts w:asciiTheme="majorHAnsi" w:hAnsiTheme="majorHAnsi" w:cstheme="majorHAnsi"/>
          <w:color w:val="595959" w:themeColor="text1" w:themeTint="A6"/>
          <w:lang w:val="en-AU"/>
        </w:rPr>
        <w:t>A managing contractor will be en</w:t>
      </w:r>
      <w:r w:rsidR="00797D23" w:rsidRPr="009B5EAF">
        <w:rPr>
          <w:rFonts w:asciiTheme="majorHAnsi" w:hAnsiTheme="majorHAnsi" w:cstheme="majorHAnsi"/>
          <w:color w:val="595959" w:themeColor="text1" w:themeTint="A6"/>
          <w:lang w:val="en-AU"/>
        </w:rPr>
        <w:t>gaged to administer the program</w:t>
      </w:r>
      <w:r w:rsidR="00FD4B22" w:rsidRPr="009B5EAF">
        <w:rPr>
          <w:rFonts w:asciiTheme="majorHAnsi" w:hAnsiTheme="majorHAnsi" w:cstheme="majorHAnsi"/>
          <w:color w:val="595959" w:themeColor="text1" w:themeTint="A6"/>
          <w:lang w:val="en-AU"/>
        </w:rPr>
        <w:t xml:space="preserve"> and required to further develop the </w:t>
      </w:r>
      <w:r w:rsidR="005C6EFA" w:rsidRPr="009B5EAF">
        <w:rPr>
          <w:rFonts w:asciiTheme="majorHAnsi" w:hAnsiTheme="majorHAnsi" w:cstheme="majorHAnsi"/>
          <w:color w:val="595959" w:themeColor="text1" w:themeTint="A6"/>
          <w:lang w:val="en-AU"/>
        </w:rPr>
        <w:t>terms of reference</w:t>
      </w:r>
      <w:r w:rsidR="00FD4B22" w:rsidRPr="009B5EAF">
        <w:rPr>
          <w:rFonts w:asciiTheme="majorHAnsi" w:hAnsiTheme="majorHAnsi" w:cstheme="majorHAnsi"/>
          <w:color w:val="595959" w:themeColor="text1" w:themeTint="A6"/>
          <w:lang w:val="en-AU"/>
        </w:rPr>
        <w:t xml:space="preserve"> for the governance arrangements.</w:t>
      </w:r>
    </w:p>
    <w:p w:rsidR="003F14C6" w:rsidRPr="009B5EAF" w:rsidRDefault="003F14C6" w:rsidP="00BF6C52">
      <w:pPr>
        <w:suppressAutoHyphens w:val="0"/>
        <w:spacing w:before="0" w:after="120" w:line="240" w:lineRule="auto"/>
        <w:rPr>
          <w:rFonts w:asciiTheme="majorHAnsi" w:hAnsiTheme="majorHAnsi" w:cstheme="majorHAnsi"/>
          <w:i/>
          <w:color w:val="595959" w:themeColor="text1" w:themeTint="A6"/>
          <w:lang w:val="en-AU"/>
        </w:rPr>
      </w:pPr>
      <w:r w:rsidRPr="009B5EAF">
        <w:rPr>
          <w:rFonts w:asciiTheme="majorHAnsi" w:hAnsiTheme="majorHAnsi" w:cstheme="majorHAnsi"/>
          <w:i/>
          <w:color w:val="595959" w:themeColor="text1" w:themeTint="A6"/>
          <w:lang w:val="en-AU"/>
        </w:rPr>
        <w:t>The Managing Contractor</w:t>
      </w:r>
    </w:p>
    <w:p w:rsidR="0062352C" w:rsidRDefault="0062352C" w:rsidP="00BF6C52">
      <w:pPr>
        <w:spacing w:before="0" w:after="120" w:line="240" w:lineRule="auto"/>
        <w:rPr>
          <w:rFonts w:asciiTheme="majorHAnsi" w:hAnsiTheme="majorHAnsi" w:cstheme="majorHAnsi"/>
          <w:color w:val="595959" w:themeColor="text1" w:themeTint="A6"/>
        </w:rPr>
      </w:pPr>
      <w:r>
        <w:rPr>
          <w:rFonts w:asciiTheme="majorHAnsi" w:hAnsiTheme="majorHAnsi" w:cstheme="majorHAnsi"/>
          <w:color w:val="595959" w:themeColor="text1" w:themeTint="A6"/>
        </w:rPr>
        <w:t>A managing c</w:t>
      </w:r>
      <w:r w:rsidRPr="0062352C">
        <w:rPr>
          <w:rFonts w:asciiTheme="majorHAnsi" w:hAnsiTheme="majorHAnsi" w:cstheme="majorHAnsi"/>
          <w:color w:val="595959" w:themeColor="text1" w:themeTint="A6"/>
        </w:rPr>
        <w:t xml:space="preserve">ontractor will be engaged through a competitive tender process to coordinate and support national and subnational activities and facilitate </w:t>
      </w:r>
      <w:r>
        <w:rPr>
          <w:rFonts w:asciiTheme="majorHAnsi" w:hAnsiTheme="majorHAnsi" w:cstheme="majorHAnsi"/>
          <w:color w:val="595959" w:themeColor="text1" w:themeTint="A6"/>
        </w:rPr>
        <w:t>communication and coordination across the program</w:t>
      </w:r>
      <w:r w:rsidRPr="0062352C">
        <w:rPr>
          <w:rFonts w:asciiTheme="majorHAnsi" w:hAnsiTheme="majorHAnsi" w:cstheme="majorHAnsi"/>
          <w:color w:val="595959" w:themeColor="text1" w:themeTint="A6"/>
        </w:rPr>
        <w:t xml:space="preserve">. The </w:t>
      </w:r>
      <w:r>
        <w:rPr>
          <w:rFonts w:asciiTheme="majorHAnsi" w:hAnsiTheme="majorHAnsi" w:cstheme="majorHAnsi"/>
          <w:color w:val="595959" w:themeColor="text1" w:themeTint="A6"/>
        </w:rPr>
        <w:t>contractor will deliver/manage the p</w:t>
      </w:r>
      <w:r w:rsidRPr="0062352C">
        <w:rPr>
          <w:rFonts w:asciiTheme="majorHAnsi" w:hAnsiTheme="majorHAnsi" w:cstheme="majorHAnsi"/>
          <w:color w:val="595959" w:themeColor="text1" w:themeTint="A6"/>
        </w:rPr>
        <w:t xml:space="preserve">rogram from a central program office in Jakarta. The program team will be required to liaise with </w:t>
      </w:r>
      <w:r>
        <w:rPr>
          <w:rFonts w:asciiTheme="majorHAnsi" w:hAnsiTheme="majorHAnsi" w:cstheme="majorHAnsi"/>
          <w:color w:val="595959" w:themeColor="text1" w:themeTint="A6"/>
        </w:rPr>
        <w:t>partners from GoI, GoA</w:t>
      </w:r>
      <w:r w:rsidRPr="0062352C">
        <w:rPr>
          <w:rFonts w:asciiTheme="majorHAnsi" w:hAnsiTheme="majorHAnsi" w:cstheme="majorHAnsi"/>
          <w:color w:val="595959" w:themeColor="text1" w:themeTint="A6"/>
        </w:rPr>
        <w:t xml:space="preserve"> </w:t>
      </w:r>
      <w:r>
        <w:rPr>
          <w:rFonts w:asciiTheme="majorHAnsi" w:hAnsiTheme="majorHAnsi" w:cstheme="majorHAnsi"/>
          <w:color w:val="595959" w:themeColor="text1" w:themeTint="A6"/>
        </w:rPr>
        <w:t>and international organisations</w:t>
      </w:r>
      <w:r w:rsidRPr="0062352C">
        <w:rPr>
          <w:rFonts w:asciiTheme="majorHAnsi" w:hAnsiTheme="majorHAnsi" w:cstheme="majorHAnsi"/>
          <w:color w:val="595959" w:themeColor="text1" w:themeTint="A6"/>
        </w:rPr>
        <w:t>.</w:t>
      </w:r>
      <w:r w:rsidR="00BE255B">
        <w:rPr>
          <w:rFonts w:asciiTheme="majorHAnsi" w:hAnsiTheme="majorHAnsi" w:cstheme="majorHAnsi"/>
          <w:color w:val="595959" w:themeColor="text1" w:themeTint="A6"/>
        </w:rPr>
        <w:t xml:space="preserve"> </w:t>
      </w:r>
      <w:r w:rsidR="00BE255B" w:rsidRPr="00BE255B">
        <w:rPr>
          <w:rFonts w:asciiTheme="majorHAnsi" w:hAnsiTheme="majorHAnsi" w:cstheme="majorHAnsi"/>
          <w:color w:val="595959" w:themeColor="text1" w:themeTint="A6"/>
        </w:rPr>
        <w:t>The managing contractor will engage the staff required to deliver/manage the program, including staff with animal and human public health expertise</w:t>
      </w:r>
      <w:r w:rsidR="00120E03">
        <w:rPr>
          <w:rFonts w:asciiTheme="majorHAnsi" w:hAnsiTheme="majorHAnsi" w:cstheme="majorHAnsi"/>
          <w:color w:val="595959" w:themeColor="text1" w:themeTint="A6"/>
        </w:rPr>
        <w:t xml:space="preserve"> and relevant experience</w:t>
      </w:r>
      <w:r w:rsidR="00BE255B" w:rsidRPr="00BE255B">
        <w:rPr>
          <w:rFonts w:asciiTheme="majorHAnsi" w:hAnsiTheme="majorHAnsi" w:cstheme="majorHAnsi"/>
          <w:color w:val="595959" w:themeColor="text1" w:themeTint="A6"/>
        </w:rPr>
        <w:t xml:space="preserve">. </w:t>
      </w:r>
    </w:p>
    <w:p w:rsidR="0062352C" w:rsidRDefault="005707F0" w:rsidP="00BF6C52">
      <w:pPr>
        <w:spacing w:before="0" w:after="120" w:line="240" w:lineRule="auto"/>
        <w:rPr>
          <w:rFonts w:asciiTheme="majorHAnsi" w:hAnsiTheme="majorHAnsi" w:cstheme="majorHAnsi"/>
          <w:color w:val="595959" w:themeColor="text1" w:themeTint="A6"/>
        </w:rPr>
      </w:pPr>
      <w:r w:rsidRPr="009B5EAF">
        <w:rPr>
          <w:rFonts w:asciiTheme="majorHAnsi" w:hAnsiTheme="majorHAnsi" w:cstheme="majorHAnsi"/>
          <w:color w:val="595959" w:themeColor="text1" w:themeTint="A6"/>
        </w:rPr>
        <w:t>K</w:t>
      </w:r>
      <w:r w:rsidR="003F14C6" w:rsidRPr="009B5EAF">
        <w:rPr>
          <w:rFonts w:asciiTheme="majorHAnsi" w:hAnsiTheme="majorHAnsi" w:cstheme="majorHAnsi"/>
          <w:color w:val="595959" w:themeColor="text1" w:themeTint="A6"/>
        </w:rPr>
        <w:t xml:space="preserve">ey </w:t>
      </w:r>
      <w:r w:rsidRPr="009B5EAF">
        <w:rPr>
          <w:rFonts w:asciiTheme="majorHAnsi" w:hAnsiTheme="majorHAnsi" w:cstheme="majorHAnsi"/>
          <w:color w:val="595959" w:themeColor="text1" w:themeTint="A6"/>
        </w:rPr>
        <w:t xml:space="preserve">elements </w:t>
      </w:r>
      <w:r w:rsidR="003F14C6" w:rsidRPr="009B5EAF">
        <w:rPr>
          <w:rFonts w:asciiTheme="majorHAnsi" w:hAnsiTheme="majorHAnsi" w:cstheme="majorHAnsi"/>
          <w:color w:val="595959" w:themeColor="text1" w:themeTint="A6"/>
        </w:rPr>
        <w:t>of the managing contractor’s role</w:t>
      </w:r>
      <w:r w:rsidRPr="009B5EAF">
        <w:rPr>
          <w:rFonts w:asciiTheme="majorHAnsi" w:hAnsiTheme="majorHAnsi" w:cstheme="majorHAnsi"/>
          <w:color w:val="595959" w:themeColor="text1" w:themeTint="A6"/>
        </w:rPr>
        <w:t xml:space="preserve"> will include: </w:t>
      </w:r>
    </w:p>
    <w:p w:rsidR="000530B4" w:rsidRPr="001504BF" w:rsidRDefault="000530B4" w:rsidP="000530B4">
      <w:pPr>
        <w:pStyle w:val="ListParagraph"/>
        <w:numPr>
          <w:ilvl w:val="0"/>
          <w:numId w:val="95"/>
        </w:numPr>
        <w:spacing w:after="160" w:line="259" w:lineRule="auto"/>
        <w:jc w:val="left"/>
        <w:rPr>
          <w:color w:val="595959" w:themeColor="text1" w:themeTint="A6"/>
        </w:rPr>
      </w:pPr>
      <w:r w:rsidRPr="001504BF">
        <w:rPr>
          <w:color w:val="595959" w:themeColor="text1" w:themeTint="A6"/>
        </w:rPr>
        <w:t>Providing all day-to-day management, coordination,</w:t>
      </w:r>
      <w:r w:rsidR="00120E03">
        <w:rPr>
          <w:color w:val="595959" w:themeColor="text1" w:themeTint="A6"/>
        </w:rPr>
        <w:t xml:space="preserve"> administration,</w:t>
      </w:r>
      <w:r w:rsidRPr="001504BF">
        <w:rPr>
          <w:color w:val="595959" w:themeColor="text1" w:themeTint="A6"/>
        </w:rPr>
        <w:t xml:space="preserve"> implementation and support resources necessary to deliver the program effectively and efficiently in accordance with the strategic direction agreed to by the PCC, and as set out in the annual work plan and following the terms of reference for the contract; </w:t>
      </w:r>
    </w:p>
    <w:p w:rsidR="000530B4" w:rsidRPr="001504BF" w:rsidRDefault="000530B4" w:rsidP="000530B4">
      <w:pPr>
        <w:pStyle w:val="ListParagraph"/>
        <w:numPr>
          <w:ilvl w:val="0"/>
          <w:numId w:val="95"/>
        </w:numPr>
        <w:spacing w:after="160" w:line="259" w:lineRule="auto"/>
        <w:jc w:val="left"/>
        <w:rPr>
          <w:color w:val="595959" w:themeColor="text1" w:themeTint="A6"/>
        </w:rPr>
      </w:pPr>
      <w:r w:rsidRPr="001504BF">
        <w:rPr>
          <w:color w:val="595959" w:themeColor="text1" w:themeTint="A6"/>
        </w:rPr>
        <w:t xml:space="preserve">Establishing and maintaining a program office (in Jakarta) including ICT, the recruitment and commencement of any support personnel staff as well as the establishment of all systems required for effective implementation of the program; </w:t>
      </w:r>
    </w:p>
    <w:p w:rsidR="000530B4" w:rsidRPr="001504BF" w:rsidRDefault="000530B4" w:rsidP="000530B4">
      <w:pPr>
        <w:pStyle w:val="ListParagraph"/>
        <w:numPr>
          <w:ilvl w:val="0"/>
          <w:numId w:val="95"/>
        </w:numPr>
        <w:spacing w:after="160" w:line="259" w:lineRule="auto"/>
        <w:jc w:val="left"/>
        <w:rPr>
          <w:color w:val="595959" w:themeColor="text1" w:themeTint="A6"/>
        </w:rPr>
      </w:pPr>
      <w:r w:rsidRPr="001504BF">
        <w:rPr>
          <w:color w:val="595959" w:themeColor="text1" w:themeTint="A6"/>
        </w:rPr>
        <w:t>Preparing the draft work plan; and delivering the agreed annual work plans and budget;</w:t>
      </w:r>
    </w:p>
    <w:p w:rsidR="000530B4" w:rsidRPr="001504BF" w:rsidRDefault="00BE255B" w:rsidP="00BE255B">
      <w:pPr>
        <w:pStyle w:val="ListParagraph"/>
        <w:numPr>
          <w:ilvl w:val="0"/>
          <w:numId w:val="95"/>
        </w:numPr>
        <w:spacing w:after="160" w:line="259" w:lineRule="auto"/>
        <w:jc w:val="left"/>
        <w:rPr>
          <w:color w:val="595959" w:themeColor="text1" w:themeTint="A6"/>
        </w:rPr>
      </w:pPr>
      <w:r w:rsidRPr="001504BF">
        <w:rPr>
          <w:color w:val="595959" w:themeColor="text1" w:themeTint="A6"/>
        </w:rPr>
        <w:t>Engaging with stakeholders and other DFAT investments, and s</w:t>
      </w:r>
      <w:r w:rsidR="000530B4" w:rsidRPr="001504BF">
        <w:rPr>
          <w:color w:val="595959" w:themeColor="text1" w:themeTint="A6"/>
        </w:rPr>
        <w:t>upporting coordination and communication across the program, including DFAT’s role in policy dialogue with GoI;</w:t>
      </w:r>
    </w:p>
    <w:p w:rsidR="000530B4" w:rsidRPr="001504BF" w:rsidRDefault="000530B4" w:rsidP="000530B4">
      <w:pPr>
        <w:pStyle w:val="ListParagraph"/>
        <w:numPr>
          <w:ilvl w:val="0"/>
          <w:numId w:val="95"/>
        </w:numPr>
        <w:spacing w:after="160" w:line="259" w:lineRule="auto"/>
        <w:jc w:val="left"/>
        <w:rPr>
          <w:color w:val="595959" w:themeColor="text1" w:themeTint="A6"/>
        </w:rPr>
      </w:pPr>
      <w:r w:rsidRPr="001504BF">
        <w:rPr>
          <w:color w:val="595959" w:themeColor="text1" w:themeTint="A6"/>
        </w:rPr>
        <w:t>Technical support (including gender and social inclusion), including conducting strategic and technical analysis and other advice to GoI and international organisation partners as required;</w:t>
      </w:r>
    </w:p>
    <w:p w:rsidR="000530B4" w:rsidRPr="001504BF" w:rsidRDefault="000530B4" w:rsidP="000530B4">
      <w:pPr>
        <w:pStyle w:val="ListParagraph"/>
        <w:numPr>
          <w:ilvl w:val="0"/>
          <w:numId w:val="95"/>
        </w:numPr>
        <w:spacing w:after="160" w:line="259" w:lineRule="auto"/>
        <w:jc w:val="left"/>
        <w:rPr>
          <w:color w:val="595959" w:themeColor="text1" w:themeTint="A6"/>
        </w:rPr>
      </w:pPr>
      <w:r w:rsidRPr="001504BF">
        <w:rPr>
          <w:color w:val="595959" w:themeColor="text1" w:themeTint="A6"/>
        </w:rPr>
        <w:t>Providing secretariat services for senior-level and technical advisory meetings, and assisting with organising PCC and other governance meetings in collaboration with all relevant parties;</w:t>
      </w:r>
    </w:p>
    <w:p w:rsidR="00BE255B" w:rsidRPr="001504BF" w:rsidRDefault="00BE255B" w:rsidP="001504BF">
      <w:pPr>
        <w:pStyle w:val="ListParagraph"/>
        <w:numPr>
          <w:ilvl w:val="0"/>
          <w:numId w:val="95"/>
        </w:numPr>
        <w:spacing w:after="120" w:line="240" w:lineRule="auto"/>
        <w:rPr>
          <w:rFonts w:asciiTheme="majorHAnsi" w:hAnsiTheme="majorHAnsi" w:cstheme="majorHAnsi"/>
          <w:color w:val="595959" w:themeColor="text1" w:themeTint="A6"/>
        </w:rPr>
      </w:pPr>
      <w:r w:rsidRPr="00BE255B">
        <w:rPr>
          <w:rFonts w:asciiTheme="majorHAnsi" w:hAnsiTheme="majorHAnsi" w:cstheme="majorHAnsi"/>
          <w:color w:val="595959" w:themeColor="text1" w:themeTint="A6"/>
        </w:rPr>
        <w:t xml:space="preserve">Managing events and supporting short-term assignments mobilised by DAWR, DoH or IPCHS; </w:t>
      </w:r>
    </w:p>
    <w:p w:rsidR="000530B4" w:rsidRPr="001504BF" w:rsidRDefault="000530B4" w:rsidP="000530B4">
      <w:pPr>
        <w:pStyle w:val="ListParagraph"/>
        <w:numPr>
          <w:ilvl w:val="0"/>
          <w:numId w:val="95"/>
        </w:numPr>
        <w:spacing w:after="160" w:line="259" w:lineRule="auto"/>
        <w:jc w:val="left"/>
        <w:rPr>
          <w:color w:val="595959" w:themeColor="text1" w:themeTint="A6"/>
        </w:rPr>
      </w:pPr>
      <w:r w:rsidRPr="001504BF">
        <w:rPr>
          <w:color w:val="595959" w:themeColor="text1" w:themeTint="A6"/>
        </w:rPr>
        <w:t>Leading program wide planning, contracting arrangements to support PCC-approved activities; communications, publications and reporting;</w:t>
      </w:r>
    </w:p>
    <w:p w:rsidR="000530B4" w:rsidRPr="001504BF" w:rsidRDefault="00BE255B" w:rsidP="000530B4">
      <w:pPr>
        <w:pStyle w:val="ListParagraph"/>
        <w:numPr>
          <w:ilvl w:val="0"/>
          <w:numId w:val="95"/>
        </w:numPr>
        <w:spacing w:after="160" w:line="259" w:lineRule="auto"/>
        <w:jc w:val="left"/>
        <w:rPr>
          <w:color w:val="595959" w:themeColor="text1" w:themeTint="A6"/>
        </w:rPr>
      </w:pPr>
      <w:r w:rsidRPr="001504BF">
        <w:rPr>
          <w:color w:val="595959" w:themeColor="text1" w:themeTint="A6"/>
        </w:rPr>
        <w:t>E</w:t>
      </w:r>
      <w:r w:rsidR="000530B4" w:rsidRPr="001504BF">
        <w:rPr>
          <w:color w:val="595959" w:themeColor="text1" w:themeTint="A6"/>
        </w:rPr>
        <w:t>stablishing and maintaining the M&amp;E system, and delivering performance assessments and corporate reports (includ</w:t>
      </w:r>
      <w:r w:rsidRPr="001504BF">
        <w:rPr>
          <w:color w:val="595959" w:themeColor="text1" w:themeTint="A6"/>
        </w:rPr>
        <w:t>ing for DFAT-executed contracts</w:t>
      </w:r>
      <w:r w:rsidR="000530B4" w:rsidRPr="001504BF">
        <w:rPr>
          <w:color w:val="595959" w:themeColor="text1" w:themeTint="A6"/>
        </w:rPr>
        <w:t>)</w:t>
      </w:r>
      <w:r w:rsidRPr="001504BF">
        <w:rPr>
          <w:color w:val="595959" w:themeColor="text1" w:themeTint="A6"/>
        </w:rPr>
        <w:t>;</w:t>
      </w:r>
    </w:p>
    <w:p w:rsidR="000530B4" w:rsidRPr="001504BF" w:rsidRDefault="000530B4" w:rsidP="000530B4">
      <w:pPr>
        <w:pStyle w:val="ListParagraph"/>
        <w:numPr>
          <w:ilvl w:val="0"/>
          <w:numId w:val="95"/>
        </w:numPr>
        <w:spacing w:after="160" w:line="259" w:lineRule="auto"/>
        <w:jc w:val="left"/>
        <w:rPr>
          <w:color w:val="595959" w:themeColor="text1" w:themeTint="A6"/>
        </w:rPr>
      </w:pPr>
      <w:r w:rsidRPr="001504BF">
        <w:rPr>
          <w:color w:val="595959" w:themeColor="text1" w:themeTint="A6"/>
        </w:rPr>
        <w:t>Risk management, including in relation to safeguards, fraud, security, workplace health and safety, and program risks.</w:t>
      </w:r>
    </w:p>
    <w:p w:rsidR="00BC7BAB" w:rsidRPr="009B5EAF" w:rsidRDefault="00BC7BAB" w:rsidP="00BF6C52">
      <w:pPr>
        <w:spacing w:before="0" w:after="120" w:line="240" w:lineRule="auto"/>
        <w:rPr>
          <w:rFonts w:asciiTheme="majorHAnsi" w:hAnsiTheme="majorHAnsi" w:cstheme="majorHAnsi"/>
          <w:i/>
          <w:color w:val="595959" w:themeColor="text1" w:themeTint="A6"/>
        </w:rPr>
      </w:pPr>
      <w:r w:rsidRPr="009B5EAF">
        <w:rPr>
          <w:rFonts w:asciiTheme="majorHAnsi" w:hAnsiTheme="majorHAnsi" w:cstheme="majorHAnsi"/>
          <w:i/>
          <w:color w:val="595959" w:themeColor="text1" w:themeTint="A6"/>
        </w:rPr>
        <w:t xml:space="preserve">DFAT </w:t>
      </w:r>
    </w:p>
    <w:p w:rsidR="00BC7BAB" w:rsidRPr="009B5EAF" w:rsidRDefault="00BC7BAB" w:rsidP="00BF6C52">
      <w:pPr>
        <w:spacing w:before="0" w:after="120" w:line="240" w:lineRule="auto"/>
        <w:rPr>
          <w:rFonts w:asciiTheme="majorHAnsi" w:hAnsiTheme="majorHAnsi" w:cstheme="majorHAnsi"/>
          <w:color w:val="595959" w:themeColor="text1" w:themeTint="A6"/>
        </w:rPr>
      </w:pPr>
      <w:r w:rsidRPr="009B5EAF">
        <w:rPr>
          <w:rFonts w:asciiTheme="majorHAnsi" w:hAnsiTheme="majorHAnsi" w:cstheme="majorHAnsi"/>
          <w:color w:val="595959" w:themeColor="text1" w:themeTint="A6"/>
        </w:rPr>
        <w:t>DFAT will lead policy dialogue and engagement with G</w:t>
      </w:r>
      <w:r w:rsidR="00F522BF" w:rsidRPr="009B5EAF">
        <w:rPr>
          <w:rFonts w:asciiTheme="majorHAnsi" w:hAnsiTheme="majorHAnsi" w:cstheme="majorHAnsi"/>
          <w:color w:val="595959" w:themeColor="text1" w:themeTint="A6"/>
        </w:rPr>
        <w:t>o</w:t>
      </w:r>
      <w:r w:rsidRPr="009B5EAF">
        <w:rPr>
          <w:rFonts w:asciiTheme="majorHAnsi" w:hAnsiTheme="majorHAnsi" w:cstheme="majorHAnsi"/>
          <w:color w:val="595959" w:themeColor="text1" w:themeTint="A6"/>
        </w:rPr>
        <w:t>I</w:t>
      </w:r>
      <w:r w:rsidR="00B43E35" w:rsidRPr="009B5EAF">
        <w:rPr>
          <w:rFonts w:asciiTheme="majorHAnsi" w:hAnsiTheme="majorHAnsi" w:cstheme="majorHAnsi"/>
          <w:color w:val="595959" w:themeColor="text1" w:themeTint="A6"/>
        </w:rPr>
        <w:t>,</w:t>
      </w:r>
      <w:r w:rsidRPr="009B5EAF">
        <w:rPr>
          <w:rFonts w:asciiTheme="majorHAnsi" w:hAnsiTheme="majorHAnsi" w:cstheme="majorHAnsi"/>
          <w:color w:val="595959" w:themeColor="text1" w:themeTint="A6"/>
        </w:rPr>
        <w:t xml:space="preserve"> and </w:t>
      </w:r>
      <w:r w:rsidR="00B43E35" w:rsidRPr="009B5EAF">
        <w:rPr>
          <w:rFonts w:asciiTheme="majorHAnsi" w:hAnsiTheme="majorHAnsi" w:cstheme="majorHAnsi"/>
          <w:color w:val="595959" w:themeColor="text1" w:themeTint="A6"/>
        </w:rPr>
        <w:t xml:space="preserve">ensure </w:t>
      </w:r>
      <w:r w:rsidRPr="009B5EAF">
        <w:rPr>
          <w:rFonts w:asciiTheme="majorHAnsi" w:hAnsiTheme="majorHAnsi" w:cstheme="majorHAnsi"/>
          <w:color w:val="595959" w:themeColor="text1" w:themeTint="A6"/>
        </w:rPr>
        <w:t>strategic oversi</w:t>
      </w:r>
      <w:r w:rsidR="00797D23" w:rsidRPr="009B5EAF">
        <w:rPr>
          <w:rFonts w:asciiTheme="majorHAnsi" w:hAnsiTheme="majorHAnsi" w:cstheme="majorHAnsi"/>
          <w:color w:val="595959" w:themeColor="text1" w:themeTint="A6"/>
        </w:rPr>
        <w:t>ght of program</w:t>
      </w:r>
      <w:r w:rsidR="00B43E35" w:rsidRPr="009B5EAF">
        <w:rPr>
          <w:rFonts w:asciiTheme="majorHAnsi" w:hAnsiTheme="majorHAnsi" w:cstheme="majorHAnsi"/>
          <w:color w:val="595959" w:themeColor="text1" w:themeTint="A6"/>
        </w:rPr>
        <w:t xml:space="preserve"> implementation</w:t>
      </w:r>
      <w:r w:rsidR="00535D18">
        <w:rPr>
          <w:rFonts w:asciiTheme="majorHAnsi" w:hAnsiTheme="majorHAnsi" w:cstheme="majorHAnsi"/>
          <w:color w:val="595959" w:themeColor="text1" w:themeTint="A6"/>
        </w:rPr>
        <w:t>.</w:t>
      </w:r>
      <w:r w:rsidR="00C83B0C" w:rsidRPr="009B5EAF">
        <w:rPr>
          <w:rFonts w:asciiTheme="majorHAnsi" w:hAnsiTheme="majorHAnsi" w:cstheme="majorHAnsi"/>
          <w:color w:val="595959" w:themeColor="text1" w:themeTint="A6"/>
        </w:rPr>
        <w:t xml:space="preserve"> </w:t>
      </w:r>
      <w:r w:rsidR="00E029E9" w:rsidRPr="009B5EAF">
        <w:rPr>
          <w:rFonts w:asciiTheme="majorHAnsi" w:hAnsiTheme="majorHAnsi" w:cstheme="majorHAnsi"/>
          <w:color w:val="595959" w:themeColor="text1" w:themeTint="A6"/>
        </w:rPr>
        <w:t xml:space="preserve">The </w:t>
      </w:r>
      <w:r w:rsidRPr="009B5EAF">
        <w:rPr>
          <w:rFonts w:asciiTheme="majorHAnsi" w:hAnsiTheme="majorHAnsi" w:cstheme="majorHAnsi"/>
          <w:color w:val="595959" w:themeColor="text1" w:themeTint="A6"/>
        </w:rPr>
        <w:t>Health Unit</w:t>
      </w:r>
      <w:r w:rsidR="00E029E9" w:rsidRPr="009B5EAF">
        <w:rPr>
          <w:rFonts w:asciiTheme="majorHAnsi" w:hAnsiTheme="majorHAnsi" w:cstheme="majorHAnsi"/>
          <w:color w:val="595959" w:themeColor="text1" w:themeTint="A6"/>
        </w:rPr>
        <w:t xml:space="preserve"> at </w:t>
      </w:r>
      <w:r w:rsidR="00A11F64" w:rsidRPr="009B5EAF">
        <w:rPr>
          <w:rFonts w:asciiTheme="majorHAnsi" w:hAnsiTheme="majorHAnsi" w:cstheme="majorHAnsi"/>
          <w:color w:val="595959" w:themeColor="text1" w:themeTint="A6"/>
        </w:rPr>
        <w:t>P</w:t>
      </w:r>
      <w:r w:rsidR="00E029E9" w:rsidRPr="009B5EAF">
        <w:rPr>
          <w:rFonts w:asciiTheme="majorHAnsi" w:hAnsiTheme="majorHAnsi" w:cstheme="majorHAnsi"/>
          <w:color w:val="595959" w:themeColor="text1" w:themeTint="A6"/>
        </w:rPr>
        <w:t>ost</w:t>
      </w:r>
      <w:r w:rsidRPr="009B5EAF">
        <w:rPr>
          <w:rFonts w:asciiTheme="majorHAnsi" w:hAnsiTheme="majorHAnsi" w:cstheme="majorHAnsi"/>
          <w:color w:val="595959" w:themeColor="text1" w:themeTint="A6"/>
        </w:rPr>
        <w:t xml:space="preserve"> will</w:t>
      </w:r>
      <w:r w:rsidR="00E029E9" w:rsidRPr="009B5EAF">
        <w:rPr>
          <w:rFonts w:asciiTheme="majorHAnsi" w:hAnsiTheme="majorHAnsi" w:cstheme="majorHAnsi"/>
          <w:color w:val="595959" w:themeColor="text1" w:themeTint="A6"/>
        </w:rPr>
        <w:t>:</w:t>
      </w:r>
      <w:r w:rsidRPr="009B5EAF">
        <w:rPr>
          <w:rFonts w:asciiTheme="majorHAnsi" w:hAnsiTheme="majorHAnsi" w:cstheme="majorHAnsi"/>
          <w:color w:val="595959" w:themeColor="text1" w:themeTint="A6"/>
        </w:rPr>
        <w:t xml:space="preserve"> oversee the </w:t>
      </w:r>
      <w:r w:rsidR="00E029E9" w:rsidRPr="009B5EAF">
        <w:rPr>
          <w:rFonts w:asciiTheme="majorHAnsi" w:hAnsiTheme="majorHAnsi" w:cstheme="majorHAnsi"/>
          <w:color w:val="595959" w:themeColor="text1" w:themeTint="A6"/>
        </w:rPr>
        <w:t xml:space="preserve">program </w:t>
      </w:r>
      <w:r w:rsidRPr="009B5EAF">
        <w:rPr>
          <w:rFonts w:asciiTheme="majorHAnsi" w:hAnsiTheme="majorHAnsi" w:cstheme="majorHAnsi"/>
          <w:color w:val="595959" w:themeColor="text1" w:themeTint="A6"/>
        </w:rPr>
        <w:t>and provi</w:t>
      </w:r>
      <w:r w:rsidR="00E029E9" w:rsidRPr="009B5EAF">
        <w:rPr>
          <w:rFonts w:asciiTheme="majorHAnsi" w:hAnsiTheme="majorHAnsi" w:cstheme="majorHAnsi"/>
          <w:color w:val="595959" w:themeColor="text1" w:themeTint="A6"/>
        </w:rPr>
        <w:t>de</w:t>
      </w:r>
      <w:r w:rsidRPr="009B5EAF">
        <w:rPr>
          <w:rFonts w:asciiTheme="majorHAnsi" w:hAnsiTheme="majorHAnsi" w:cstheme="majorHAnsi"/>
          <w:color w:val="595959" w:themeColor="text1" w:themeTint="A6"/>
        </w:rPr>
        <w:t xml:space="preserve"> strategic adv</w:t>
      </w:r>
      <w:r w:rsidR="00797D23" w:rsidRPr="009B5EAF">
        <w:rPr>
          <w:rFonts w:asciiTheme="majorHAnsi" w:hAnsiTheme="majorHAnsi" w:cstheme="majorHAnsi"/>
          <w:color w:val="595959" w:themeColor="text1" w:themeTint="A6"/>
        </w:rPr>
        <w:t>ice to DFAT management</w:t>
      </w:r>
      <w:r w:rsidR="00E029E9" w:rsidRPr="009B5EAF">
        <w:rPr>
          <w:rFonts w:asciiTheme="majorHAnsi" w:hAnsiTheme="majorHAnsi" w:cstheme="majorHAnsi"/>
          <w:color w:val="595959" w:themeColor="text1" w:themeTint="A6"/>
        </w:rPr>
        <w:t xml:space="preserve">; undertake </w:t>
      </w:r>
      <w:r w:rsidR="00797D23" w:rsidRPr="009B5EAF">
        <w:rPr>
          <w:rFonts w:asciiTheme="majorHAnsi" w:hAnsiTheme="majorHAnsi" w:cstheme="majorHAnsi"/>
          <w:color w:val="595959" w:themeColor="text1" w:themeTint="A6"/>
        </w:rPr>
        <w:t>program</w:t>
      </w:r>
      <w:r w:rsidRPr="009B5EAF">
        <w:rPr>
          <w:rFonts w:asciiTheme="majorHAnsi" w:hAnsiTheme="majorHAnsi" w:cstheme="majorHAnsi"/>
          <w:color w:val="595959" w:themeColor="text1" w:themeTint="A6"/>
        </w:rPr>
        <w:t xml:space="preserve"> contract management</w:t>
      </w:r>
      <w:r w:rsidR="00E029E9" w:rsidRPr="009B5EAF">
        <w:rPr>
          <w:rFonts w:asciiTheme="majorHAnsi" w:hAnsiTheme="majorHAnsi" w:cstheme="majorHAnsi"/>
          <w:color w:val="595959" w:themeColor="text1" w:themeTint="A6"/>
        </w:rPr>
        <w:t xml:space="preserve">; be responsible </w:t>
      </w:r>
      <w:r w:rsidR="0071045F" w:rsidRPr="009B5EAF">
        <w:rPr>
          <w:rFonts w:asciiTheme="majorHAnsi" w:hAnsiTheme="majorHAnsi" w:cstheme="majorHAnsi"/>
          <w:color w:val="595959" w:themeColor="text1" w:themeTint="A6"/>
        </w:rPr>
        <w:t>for</w:t>
      </w:r>
      <w:r w:rsidRPr="009B5EAF">
        <w:rPr>
          <w:rFonts w:asciiTheme="majorHAnsi" w:hAnsiTheme="majorHAnsi" w:cstheme="majorHAnsi"/>
          <w:color w:val="595959" w:themeColor="text1" w:themeTint="A6"/>
        </w:rPr>
        <w:t xml:space="preserve"> working-level relationships with G</w:t>
      </w:r>
      <w:r w:rsidR="00F522BF" w:rsidRPr="009B5EAF">
        <w:rPr>
          <w:rFonts w:asciiTheme="majorHAnsi" w:hAnsiTheme="majorHAnsi" w:cstheme="majorHAnsi"/>
          <w:color w:val="595959" w:themeColor="text1" w:themeTint="A6"/>
        </w:rPr>
        <w:t>o</w:t>
      </w:r>
      <w:r w:rsidRPr="009B5EAF">
        <w:rPr>
          <w:rFonts w:asciiTheme="majorHAnsi" w:hAnsiTheme="majorHAnsi" w:cstheme="majorHAnsi"/>
          <w:color w:val="595959" w:themeColor="text1" w:themeTint="A6"/>
        </w:rPr>
        <w:t>I</w:t>
      </w:r>
      <w:r w:rsidR="00E029E9" w:rsidRPr="009B5EAF">
        <w:rPr>
          <w:rFonts w:asciiTheme="majorHAnsi" w:hAnsiTheme="majorHAnsi" w:cstheme="majorHAnsi"/>
          <w:color w:val="595959" w:themeColor="text1" w:themeTint="A6"/>
        </w:rPr>
        <w:t>;</w:t>
      </w:r>
      <w:r w:rsidR="00D43EF9" w:rsidRPr="009B5EAF">
        <w:rPr>
          <w:rFonts w:asciiTheme="majorHAnsi" w:hAnsiTheme="majorHAnsi" w:cstheme="majorHAnsi"/>
          <w:color w:val="595959" w:themeColor="text1" w:themeTint="A6"/>
        </w:rPr>
        <w:t xml:space="preserve"> </w:t>
      </w:r>
      <w:r w:rsidRPr="009B5EAF">
        <w:rPr>
          <w:rFonts w:asciiTheme="majorHAnsi" w:hAnsiTheme="majorHAnsi" w:cstheme="majorHAnsi"/>
          <w:color w:val="595959" w:themeColor="text1" w:themeTint="A6"/>
        </w:rPr>
        <w:t xml:space="preserve">and </w:t>
      </w:r>
      <w:r w:rsidR="00E029E9" w:rsidRPr="009B5EAF">
        <w:rPr>
          <w:rFonts w:asciiTheme="majorHAnsi" w:hAnsiTheme="majorHAnsi" w:cstheme="majorHAnsi"/>
          <w:color w:val="595959" w:themeColor="text1" w:themeTint="A6"/>
        </w:rPr>
        <w:t xml:space="preserve">provide </w:t>
      </w:r>
      <w:r w:rsidR="00D43EF9" w:rsidRPr="009B5EAF">
        <w:rPr>
          <w:rFonts w:asciiTheme="majorHAnsi" w:hAnsiTheme="majorHAnsi" w:cstheme="majorHAnsi"/>
          <w:color w:val="595959" w:themeColor="text1" w:themeTint="A6"/>
        </w:rPr>
        <w:t xml:space="preserve">internal </w:t>
      </w:r>
      <w:r w:rsidRPr="009B5EAF">
        <w:rPr>
          <w:rFonts w:asciiTheme="majorHAnsi" w:hAnsiTheme="majorHAnsi" w:cstheme="majorHAnsi"/>
          <w:color w:val="595959" w:themeColor="text1" w:themeTint="A6"/>
        </w:rPr>
        <w:t>program reporting and communications</w:t>
      </w:r>
      <w:r w:rsidR="00535D18">
        <w:rPr>
          <w:rFonts w:asciiTheme="majorHAnsi" w:hAnsiTheme="majorHAnsi" w:cstheme="majorHAnsi"/>
          <w:color w:val="595959" w:themeColor="text1" w:themeTint="A6"/>
        </w:rPr>
        <w:t xml:space="preserve">. </w:t>
      </w:r>
      <w:r w:rsidRPr="009B5EAF">
        <w:rPr>
          <w:rFonts w:asciiTheme="majorHAnsi" w:hAnsiTheme="majorHAnsi" w:cstheme="majorHAnsi"/>
          <w:color w:val="595959" w:themeColor="text1" w:themeTint="A6"/>
        </w:rPr>
        <w:t xml:space="preserve">The Health Unit will also maintain close engagement with </w:t>
      </w:r>
      <w:r w:rsidR="00492553" w:rsidRPr="009B5EAF">
        <w:rPr>
          <w:rFonts w:asciiTheme="majorHAnsi" w:hAnsiTheme="majorHAnsi" w:cstheme="majorHAnsi"/>
          <w:color w:val="595959" w:themeColor="text1" w:themeTint="A6"/>
        </w:rPr>
        <w:t>IP</w:t>
      </w:r>
      <w:r w:rsidRPr="009B5EAF">
        <w:rPr>
          <w:rFonts w:asciiTheme="majorHAnsi" w:hAnsiTheme="majorHAnsi" w:cstheme="majorHAnsi"/>
          <w:color w:val="595959" w:themeColor="text1" w:themeTint="A6"/>
        </w:rPr>
        <w:t>CHS</w:t>
      </w:r>
      <w:r w:rsidR="00D43EF9" w:rsidRPr="009B5EAF">
        <w:rPr>
          <w:rFonts w:asciiTheme="majorHAnsi" w:hAnsiTheme="majorHAnsi" w:cstheme="majorHAnsi"/>
          <w:color w:val="595959" w:themeColor="text1" w:themeTint="A6"/>
        </w:rPr>
        <w:t>, D</w:t>
      </w:r>
      <w:r w:rsidR="000E543B" w:rsidRPr="009B5EAF">
        <w:rPr>
          <w:rFonts w:asciiTheme="majorHAnsi" w:hAnsiTheme="majorHAnsi" w:cstheme="majorHAnsi"/>
          <w:color w:val="595959" w:themeColor="text1" w:themeTint="A6"/>
        </w:rPr>
        <w:t>o</w:t>
      </w:r>
      <w:r w:rsidR="00D43EF9" w:rsidRPr="009B5EAF">
        <w:rPr>
          <w:rFonts w:asciiTheme="majorHAnsi" w:hAnsiTheme="majorHAnsi" w:cstheme="majorHAnsi"/>
          <w:color w:val="595959" w:themeColor="text1" w:themeTint="A6"/>
        </w:rPr>
        <w:t>H</w:t>
      </w:r>
      <w:r w:rsidRPr="009B5EAF">
        <w:rPr>
          <w:rFonts w:asciiTheme="majorHAnsi" w:hAnsiTheme="majorHAnsi" w:cstheme="majorHAnsi"/>
          <w:color w:val="595959" w:themeColor="text1" w:themeTint="A6"/>
        </w:rPr>
        <w:t xml:space="preserve"> and DAWR throughout program implementation</w:t>
      </w:r>
      <w:r w:rsidR="00352A08">
        <w:rPr>
          <w:rFonts w:asciiTheme="majorHAnsi" w:hAnsiTheme="majorHAnsi" w:cstheme="majorHAnsi"/>
          <w:color w:val="595959" w:themeColor="text1" w:themeTint="A6"/>
        </w:rPr>
        <w:t>.</w:t>
      </w:r>
      <w:r w:rsidR="00C83B0C" w:rsidRPr="009B5EAF">
        <w:rPr>
          <w:rFonts w:asciiTheme="majorHAnsi" w:hAnsiTheme="majorHAnsi" w:cstheme="majorHAnsi"/>
          <w:color w:val="595959" w:themeColor="text1" w:themeTint="A6"/>
        </w:rPr>
        <w:t xml:space="preserve"> </w:t>
      </w:r>
    </w:p>
    <w:p w:rsidR="00BC7BAB" w:rsidRPr="00001D46" w:rsidRDefault="009C2D83" w:rsidP="00001D46">
      <w:pPr>
        <w:spacing w:before="0" w:after="120" w:line="240" w:lineRule="auto"/>
        <w:rPr>
          <w:rFonts w:asciiTheme="majorHAnsi" w:hAnsiTheme="majorHAnsi" w:cstheme="majorHAnsi"/>
          <w:color w:val="595959" w:themeColor="text1" w:themeTint="A6"/>
        </w:rPr>
      </w:pPr>
      <w:r>
        <w:rPr>
          <w:rFonts w:asciiTheme="majorHAnsi" w:hAnsiTheme="majorHAnsi" w:cstheme="majorHAnsi"/>
          <w:color w:val="595959" w:themeColor="text1" w:themeTint="A6"/>
        </w:rPr>
        <w:t>DFAT expects to enter into a grant arrangement with WHO</w:t>
      </w:r>
      <w:r w:rsidR="00FD3958">
        <w:rPr>
          <w:rFonts w:asciiTheme="majorHAnsi" w:hAnsiTheme="majorHAnsi" w:cstheme="majorHAnsi"/>
          <w:color w:val="595959" w:themeColor="text1" w:themeTint="A6"/>
        </w:rPr>
        <w:t xml:space="preserve"> (and potentially </w:t>
      </w:r>
      <w:r w:rsidR="00FD3958" w:rsidRPr="00FD3958">
        <w:rPr>
          <w:rFonts w:asciiTheme="majorHAnsi" w:hAnsiTheme="majorHAnsi" w:cstheme="majorHAnsi"/>
          <w:color w:val="595959" w:themeColor="text1" w:themeTint="A6"/>
        </w:rPr>
        <w:t>ot</w:t>
      </w:r>
      <w:r w:rsidR="00FD3958">
        <w:rPr>
          <w:rFonts w:asciiTheme="majorHAnsi" w:hAnsiTheme="majorHAnsi" w:cstheme="majorHAnsi"/>
          <w:color w:val="595959" w:themeColor="text1" w:themeTint="A6"/>
        </w:rPr>
        <w:t>her international organisations)</w:t>
      </w:r>
      <w:r w:rsidRPr="00FD3958">
        <w:rPr>
          <w:rFonts w:asciiTheme="majorHAnsi" w:hAnsiTheme="majorHAnsi" w:cstheme="majorHAnsi"/>
          <w:color w:val="595959" w:themeColor="text1" w:themeTint="A6"/>
        </w:rPr>
        <w:t>.</w:t>
      </w:r>
      <w:r>
        <w:rPr>
          <w:rFonts w:asciiTheme="majorHAnsi" w:hAnsiTheme="majorHAnsi" w:cstheme="majorHAnsi"/>
          <w:color w:val="595959" w:themeColor="text1" w:themeTint="A6"/>
        </w:rPr>
        <w:t xml:space="preserve"> </w:t>
      </w:r>
      <w:r w:rsidR="00E029E9" w:rsidRPr="009B5EAF">
        <w:rPr>
          <w:rFonts w:asciiTheme="majorHAnsi" w:hAnsiTheme="majorHAnsi" w:cstheme="majorHAnsi"/>
          <w:color w:val="595959" w:themeColor="text1" w:themeTint="A6"/>
        </w:rPr>
        <w:t>I</w:t>
      </w:r>
      <w:r>
        <w:rPr>
          <w:rFonts w:asciiTheme="majorHAnsi" w:hAnsiTheme="majorHAnsi" w:cstheme="majorHAnsi"/>
          <w:color w:val="595959" w:themeColor="text1" w:themeTint="A6"/>
        </w:rPr>
        <w:t xml:space="preserve">f so, </w:t>
      </w:r>
      <w:r w:rsidR="00C651C0" w:rsidRPr="009B5EAF">
        <w:rPr>
          <w:rFonts w:asciiTheme="majorHAnsi" w:hAnsiTheme="majorHAnsi" w:cstheme="majorHAnsi"/>
          <w:color w:val="595959" w:themeColor="text1" w:themeTint="A6"/>
        </w:rPr>
        <w:t>t</w:t>
      </w:r>
      <w:r w:rsidR="00BC7BAB" w:rsidRPr="009B5EAF">
        <w:rPr>
          <w:rFonts w:asciiTheme="majorHAnsi" w:hAnsiTheme="majorHAnsi" w:cstheme="majorHAnsi"/>
          <w:color w:val="595959" w:themeColor="text1" w:themeTint="A6"/>
        </w:rPr>
        <w:t xml:space="preserve">he </w:t>
      </w:r>
      <w:r w:rsidR="00F522BF" w:rsidRPr="009B5EAF">
        <w:rPr>
          <w:rFonts w:asciiTheme="majorHAnsi" w:hAnsiTheme="majorHAnsi" w:cstheme="majorHAnsi"/>
          <w:color w:val="595959" w:themeColor="text1" w:themeTint="A6"/>
        </w:rPr>
        <w:t>H</w:t>
      </w:r>
      <w:r w:rsidR="00BC7BAB" w:rsidRPr="009B5EAF">
        <w:rPr>
          <w:rFonts w:asciiTheme="majorHAnsi" w:hAnsiTheme="majorHAnsi" w:cstheme="majorHAnsi"/>
          <w:color w:val="595959" w:themeColor="text1" w:themeTint="A6"/>
        </w:rPr>
        <w:t xml:space="preserve">ealth </w:t>
      </w:r>
      <w:r w:rsidR="00F522BF" w:rsidRPr="009B5EAF">
        <w:rPr>
          <w:rFonts w:asciiTheme="majorHAnsi" w:hAnsiTheme="majorHAnsi" w:cstheme="majorHAnsi"/>
          <w:color w:val="595959" w:themeColor="text1" w:themeTint="A6"/>
        </w:rPr>
        <w:t>U</w:t>
      </w:r>
      <w:r w:rsidR="00BC7BAB" w:rsidRPr="009B5EAF">
        <w:rPr>
          <w:rFonts w:asciiTheme="majorHAnsi" w:hAnsiTheme="majorHAnsi" w:cstheme="majorHAnsi"/>
          <w:color w:val="595959" w:themeColor="text1" w:themeTint="A6"/>
        </w:rPr>
        <w:t>nit</w:t>
      </w:r>
      <w:r w:rsidR="00C651C0" w:rsidRPr="009B5EAF">
        <w:rPr>
          <w:rFonts w:asciiTheme="majorHAnsi" w:hAnsiTheme="majorHAnsi" w:cstheme="majorHAnsi"/>
          <w:color w:val="595959" w:themeColor="text1" w:themeTint="A6"/>
        </w:rPr>
        <w:t xml:space="preserve"> at Post</w:t>
      </w:r>
      <w:r w:rsidR="00BC7BAB" w:rsidRPr="009B5EAF">
        <w:rPr>
          <w:rFonts w:asciiTheme="majorHAnsi" w:hAnsiTheme="majorHAnsi" w:cstheme="majorHAnsi"/>
          <w:color w:val="595959" w:themeColor="text1" w:themeTint="A6"/>
        </w:rPr>
        <w:t xml:space="preserve"> w</w:t>
      </w:r>
      <w:r>
        <w:rPr>
          <w:rFonts w:asciiTheme="majorHAnsi" w:hAnsiTheme="majorHAnsi" w:cstheme="majorHAnsi"/>
          <w:color w:val="595959" w:themeColor="text1" w:themeTint="A6"/>
        </w:rPr>
        <w:t>ould</w:t>
      </w:r>
      <w:r w:rsidR="00BC7BAB" w:rsidRPr="009B5EAF">
        <w:rPr>
          <w:rFonts w:asciiTheme="majorHAnsi" w:hAnsiTheme="majorHAnsi" w:cstheme="majorHAnsi"/>
          <w:color w:val="595959" w:themeColor="text1" w:themeTint="A6"/>
        </w:rPr>
        <w:t xml:space="preserve"> have a direct contract with WHO </w:t>
      </w:r>
      <w:r w:rsidR="00C651C0" w:rsidRPr="009B5EAF">
        <w:rPr>
          <w:rFonts w:asciiTheme="majorHAnsi" w:hAnsiTheme="majorHAnsi" w:cstheme="majorHAnsi"/>
          <w:color w:val="595959" w:themeColor="text1" w:themeTint="A6"/>
        </w:rPr>
        <w:t xml:space="preserve">for </w:t>
      </w:r>
      <w:r w:rsidR="00E029E9" w:rsidRPr="009B5EAF">
        <w:rPr>
          <w:rFonts w:asciiTheme="majorHAnsi" w:hAnsiTheme="majorHAnsi" w:cstheme="majorHAnsi"/>
          <w:color w:val="595959" w:themeColor="text1" w:themeTint="A6"/>
        </w:rPr>
        <w:t>defined</w:t>
      </w:r>
      <w:r w:rsidR="00C651C0" w:rsidRPr="009B5EAF">
        <w:rPr>
          <w:rFonts w:asciiTheme="majorHAnsi" w:hAnsiTheme="majorHAnsi" w:cstheme="majorHAnsi"/>
          <w:color w:val="595959" w:themeColor="text1" w:themeTint="A6"/>
        </w:rPr>
        <w:t xml:space="preserve"> health security activities</w:t>
      </w:r>
      <w:r w:rsidR="00BC7BAB" w:rsidRPr="009B5EAF">
        <w:rPr>
          <w:rFonts w:asciiTheme="majorHAnsi" w:hAnsiTheme="majorHAnsi" w:cstheme="majorHAnsi"/>
          <w:color w:val="595959" w:themeColor="text1" w:themeTint="A6"/>
        </w:rPr>
        <w:t>, particularly (but not only) in the areas of Emergency Response and Pandemic Preparedness</w:t>
      </w:r>
      <w:r w:rsidR="00535D18">
        <w:rPr>
          <w:rFonts w:asciiTheme="majorHAnsi" w:hAnsiTheme="majorHAnsi" w:cstheme="majorHAnsi"/>
          <w:color w:val="595959" w:themeColor="text1" w:themeTint="A6"/>
        </w:rPr>
        <w:t>.</w:t>
      </w:r>
      <w:r w:rsidR="00C83B0C" w:rsidRPr="009B5EAF">
        <w:rPr>
          <w:rFonts w:asciiTheme="majorHAnsi" w:hAnsiTheme="majorHAnsi" w:cstheme="majorHAnsi"/>
          <w:color w:val="595959" w:themeColor="text1" w:themeTint="A6"/>
        </w:rPr>
        <w:t xml:space="preserve"> </w:t>
      </w:r>
      <w:r w:rsidR="00BC7BAB" w:rsidRPr="009B5EAF">
        <w:rPr>
          <w:rFonts w:asciiTheme="majorHAnsi" w:hAnsiTheme="majorHAnsi" w:cstheme="majorHAnsi"/>
          <w:color w:val="595959" w:themeColor="text1" w:themeTint="A6"/>
        </w:rPr>
        <w:t xml:space="preserve">This reflects </w:t>
      </w:r>
      <w:r w:rsidR="00E029E9" w:rsidRPr="009B5EAF">
        <w:rPr>
          <w:rFonts w:asciiTheme="majorHAnsi" w:hAnsiTheme="majorHAnsi" w:cstheme="majorHAnsi"/>
          <w:color w:val="595959" w:themeColor="text1" w:themeTint="A6"/>
        </w:rPr>
        <w:t xml:space="preserve">the </w:t>
      </w:r>
      <w:r w:rsidR="00BC7BAB" w:rsidRPr="009B5EAF">
        <w:rPr>
          <w:rFonts w:asciiTheme="majorHAnsi" w:hAnsiTheme="majorHAnsi" w:cstheme="majorHAnsi"/>
          <w:color w:val="595959" w:themeColor="text1" w:themeTint="A6"/>
        </w:rPr>
        <w:t>key role</w:t>
      </w:r>
      <w:r w:rsidR="00E029E9" w:rsidRPr="009B5EAF">
        <w:rPr>
          <w:rFonts w:asciiTheme="majorHAnsi" w:hAnsiTheme="majorHAnsi" w:cstheme="majorHAnsi"/>
          <w:color w:val="595959" w:themeColor="text1" w:themeTint="A6"/>
        </w:rPr>
        <w:t xml:space="preserve"> of WHO</w:t>
      </w:r>
      <w:r w:rsidR="00BC7BAB" w:rsidRPr="009B5EAF">
        <w:rPr>
          <w:rFonts w:asciiTheme="majorHAnsi" w:hAnsiTheme="majorHAnsi" w:cstheme="majorHAnsi"/>
          <w:color w:val="595959" w:themeColor="text1" w:themeTint="A6"/>
        </w:rPr>
        <w:t xml:space="preserve"> as the arbiter of the IHR</w:t>
      </w:r>
      <w:r w:rsidR="00535D18">
        <w:rPr>
          <w:rFonts w:asciiTheme="majorHAnsi" w:hAnsiTheme="majorHAnsi" w:cstheme="majorHAnsi"/>
          <w:color w:val="595959" w:themeColor="text1" w:themeTint="A6"/>
        </w:rPr>
        <w:t xml:space="preserve">. </w:t>
      </w:r>
      <w:r w:rsidR="00BC7BAB" w:rsidRPr="009B5EAF">
        <w:rPr>
          <w:rFonts w:asciiTheme="majorHAnsi" w:hAnsiTheme="majorHAnsi" w:cstheme="majorHAnsi"/>
          <w:color w:val="595959" w:themeColor="text1" w:themeTint="A6"/>
        </w:rPr>
        <w:t xml:space="preserve">The scope of </w:t>
      </w:r>
      <w:r>
        <w:rPr>
          <w:rFonts w:asciiTheme="majorHAnsi" w:hAnsiTheme="majorHAnsi" w:cstheme="majorHAnsi"/>
          <w:color w:val="595959" w:themeColor="text1" w:themeTint="A6"/>
        </w:rPr>
        <w:t xml:space="preserve">potential </w:t>
      </w:r>
      <w:r w:rsidR="00BC7BAB" w:rsidRPr="009B5EAF">
        <w:rPr>
          <w:rFonts w:asciiTheme="majorHAnsi" w:hAnsiTheme="majorHAnsi" w:cstheme="majorHAnsi"/>
          <w:color w:val="595959" w:themeColor="text1" w:themeTint="A6"/>
        </w:rPr>
        <w:t>activities has not been fully defined at this stage but could include: support to government</w:t>
      </w:r>
      <w:r w:rsidR="00A11F64" w:rsidRPr="009B5EAF">
        <w:rPr>
          <w:rFonts w:asciiTheme="majorHAnsi" w:hAnsiTheme="majorHAnsi" w:cstheme="majorHAnsi"/>
          <w:color w:val="595959" w:themeColor="text1" w:themeTint="A6"/>
        </w:rPr>
        <w:t>-</w:t>
      </w:r>
      <w:r w:rsidR="00BC7BAB" w:rsidRPr="009B5EAF">
        <w:rPr>
          <w:rFonts w:asciiTheme="majorHAnsi" w:hAnsiTheme="majorHAnsi" w:cstheme="majorHAnsi"/>
          <w:color w:val="595959" w:themeColor="text1" w:themeTint="A6"/>
        </w:rPr>
        <w:t>led planning processes (multisectoral and sector specific) in response to JEE recommendatio</w:t>
      </w:r>
      <w:r w:rsidR="00D43EF9" w:rsidRPr="009B5EAF">
        <w:rPr>
          <w:rFonts w:asciiTheme="majorHAnsi" w:hAnsiTheme="majorHAnsi" w:cstheme="majorHAnsi"/>
          <w:color w:val="595959" w:themeColor="text1" w:themeTint="A6"/>
        </w:rPr>
        <w:t>ns</w:t>
      </w:r>
      <w:r w:rsidR="00BC7BAB" w:rsidRPr="009B5EAF">
        <w:rPr>
          <w:rFonts w:asciiTheme="majorHAnsi" w:hAnsiTheme="majorHAnsi" w:cstheme="majorHAnsi"/>
          <w:color w:val="595959" w:themeColor="text1" w:themeTint="A6"/>
        </w:rPr>
        <w:t>; support as and when requested to GoI in the event of an emergency; and expansion and district level piloting of the WHO and FAO model for One Health surveillance and response capacity building</w:t>
      </w:r>
      <w:r w:rsidR="00535D18">
        <w:rPr>
          <w:rFonts w:asciiTheme="majorHAnsi" w:hAnsiTheme="majorHAnsi" w:cstheme="majorHAnsi"/>
          <w:color w:val="595959" w:themeColor="text1" w:themeTint="A6"/>
        </w:rPr>
        <w:t>.</w:t>
      </w:r>
      <w:r w:rsidR="00C83B0C" w:rsidRPr="009B5EAF">
        <w:rPr>
          <w:rFonts w:asciiTheme="majorHAnsi" w:hAnsiTheme="majorHAnsi" w:cstheme="majorHAnsi"/>
          <w:color w:val="595959" w:themeColor="text1" w:themeTint="A6"/>
        </w:rPr>
        <w:t xml:space="preserve"> </w:t>
      </w:r>
      <w:r>
        <w:rPr>
          <w:rFonts w:asciiTheme="majorHAnsi" w:hAnsiTheme="majorHAnsi" w:cstheme="majorHAnsi"/>
          <w:color w:val="595959" w:themeColor="text1" w:themeTint="A6"/>
        </w:rPr>
        <w:t>In the event of a grant arrangement</w:t>
      </w:r>
      <w:r w:rsidR="00F80197">
        <w:rPr>
          <w:rFonts w:asciiTheme="majorHAnsi" w:hAnsiTheme="majorHAnsi" w:cstheme="majorHAnsi"/>
          <w:color w:val="595959" w:themeColor="text1" w:themeTint="A6"/>
        </w:rPr>
        <w:t xml:space="preserve"> with WHO and/or other international organisations</w:t>
      </w:r>
      <w:r>
        <w:rPr>
          <w:rFonts w:asciiTheme="majorHAnsi" w:hAnsiTheme="majorHAnsi" w:cstheme="majorHAnsi"/>
          <w:color w:val="595959" w:themeColor="text1" w:themeTint="A6"/>
        </w:rPr>
        <w:t xml:space="preserve">, </w:t>
      </w:r>
      <w:r w:rsidR="00FD3958">
        <w:rPr>
          <w:rFonts w:asciiTheme="majorHAnsi" w:hAnsiTheme="majorHAnsi" w:cstheme="majorHAnsi"/>
          <w:color w:val="595959" w:themeColor="text1" w:themeTint="A6"/>
        </w:rPr>
        <w:t>the managing contractor will provide support to DFAT for coordination</w:t>
      </w:r>
      <w:r w:rsidR="00F80197">
        <w:rPr>
          <w:rFonts w:asciiTheme="majorHAnsi" w:hAnsiTheme="majorHAnsi" w:cstheme="majorHAnsi"/>
          <w:color w:val="595959" w:themeColor="text1" w:themeTint="A6"/>
        </w:rPr>
        <w:t>, technical assistance and M&amp;E.</w:t>
      </w:r>
    </w:p>
    <w:p w:rsidR="0071045F" w:rsidRPr="009B5EAF" w:rsidRDefault="004433DB" w:rsidP="00BF6C52">
      <w:pPr>
        <w:suppressAutoHyphens w:val="0"/>
        <w:spacing w:before="0" w:after="120" w:line="240" w:lineRule="auto"/>
        <w:rPr>
          <w:rFonts w:asciiTheme="majorHAnsi" w:hAnsiTheme="majorHAnsi" w:cstheme="majorHAnsi"/>
          <w:color w:val="595959" w:themeColor="text1" w:themeTint="A6"/>
          <w:lang w:val="en-AU"/>
        </w:rPr>
      </w:pPr>
      <w:r w:rsidRPr="009B5EAF">
        <w:rPr>
          <w:rFonts w:asciiTheme="majorHAnsi" w:hAnsiTheme="majorHAnsi" w:cstheme="majorHAnsi"/>
          <w:i/>
          <w:color w:val="595959" w:themeColor="text1" w:themeTint="A6"/>
          <w:lang w:val="en-AU"/>
        </w:rPr>
        <w:t>Program Committees</w:t>
      </w:r>
    </w:p>
    <w:p w:rsidR="00F62715" w:rsidRPr="009B5EAF" w:rsidRDefault="00E029E9" w:rsidP="00BF6C52">
      <w:pPr>
        <w:suppressAutoHyphens w:val="0"/>
        <w:spacing w:before="0" w:after="120" w:line="240" w:lineRule="auto"/>
        <w:rPr>
          <w:rFonts w:asciiTheme="majorHAnsi" w:hAnsiTheme="majorHAnsi" w:cstheme="majorHAnsi"/>
          <w:color w:val="595959" w:themeColor="text1" w:themeTint="A6"/>
          <w:lang w:val="en-AU"/>
        </w:rPr>
      </w:pPr>
      <w:r w:rsidRPr="009B5EAF">
        <w:rPr>
          <w:rFonts w:asciiTheme="majorHAnsi" w:hAnsiTheme="majorHAnsi" w:cstheme="majorHAnsi"/>
          <w:color w:val="595959" w:themeColor="text1" w:themeTint="A6"/>
          <w:lang w:val="en-AU"/>
        </w:rPr>
        <w:t xml:space="preserve">The PCC will be the </w:t>
      </w:r>
      <w:r w:rsidR="00F62715" w:rsidRPr="009B5EAF">
        <w:rPr>
          <w:rFonts w:asciiTheme="majorHAnsi" w:hAnsiTheme="majorHAnsi" w:cstheme="majorHAnsi"/>
          <w:color w:val="595959" w:themeColor="text1" w:themeTint="A6"/>
          <w:lang w:val="en-AU"/>
        </w:rPr>
        <w:t>decision making body</w:t>
      </w:r>
      <w:r w:rsidR="00535D18">
        <w:rPr>
          <w:rFonts w:asciiTheme="majorHAnsi" w:hAnsiTheme="majorHAnsi" w:cstheme="majorHAnsi"/>
          <w:color w:val="595959" w:themeColor="text1" w:themeTint="A6"/>
          <w:lang w:val="en-AU"/>
        </w:rPr>
        <w:t xml:space="preserve"> for program implementation. </w:t>
      </w:r>
      <w:r w:rsidRPr="009B5EAF">
        <w:rPr>
          <w:rFonts w:asciiTheme="majorHAnsi" w:hAnsiTheme="majorHAnsi" w:cstheme="majorHAnsi"/>
          <w:color w:val="595959" w:themeColor="text1" w:themeTint="A6"/>
          <w:lang w:val="en-AU"/>
        </w:rPr>
        <w:t xml:space="preserve">Membership </w:t>
      </w:r>
      <w:r w:rsidR="00FD3958">
        <w:rPr>
          <w:rFonts w:asciiTheme="majorHAnsi" w:hAnsiTheme="majorHAnsi" w:cstheme="majorHAnsi"/>
          <w:color w:val="595959" w:themeColor="text1" w:themeTint="A6"/>
          <w:lang w:val="en-AU"/>
        </w:rPr>
        <w:t xml:space="preserve">is expected to </w:t>
      </w:r>
      <w:r w:rsidRPr="009B5EAF">
        <w:rPr>
          <w:rFonts w:asciiTheme="majorHAnsi" w:hAnsiTheme="majorHAnsi" w:cstheme="majorHAnsi"/>
          <w:color w:val="595959" w:themeColor="text1" w:themeTint="A6"/>
          <w:lang w:val="en-AU"/>
        </w:rPr>
        <w:t xml:space="preserve">include </w:t>
      </w:r>
      <w:r w:rsidR="00F62715" w:rsidRPr="009B5EAF">
        <w:rPr>
          <w:rFonts w:asciiTheme="majorHAnsi" w:hAnsiTheme="majorHAnsi" w:cstheme="majorHAnsi"/>
          <w:color w:val="595959" w:themeColor="text1" w:themeTint="A6"/>
          <w:lang w:val="en-AU"/>
        </w:rPr>
        <w:t>senior representatives of G</w:t>
      </w:r>
      <w:r w:rsidR="00177261" w:rsidRPr="009B5EAF">
        <w:rPr>
          <w:rFonts w:asciiTheme="majorHAnsi" w:hAnsiTheme="majorHAnsi" w:cstheme="majorHAnsi"/>
          <w:color w:val="595959" w:themeColor="text1" w:themeTint="A6"/>
          <w:lang w:val="en-AU"/>
        </w:rPr>
        <w:t>o</w:t>
      </w:r>
      <w:r w:rsidR="00F62715" w:rsidRPr="009B5EAF">
        <w:rPr>
          <w:rFonts w:asciiTheme="majorHAnsi" w:hAnsiTheme="majorHAnsi" w:cstheme="majorHAnsi"/>
          <w:color w:val="595959" w:themeColor="text1" w:themeTint="A6"/>
          <w:lang w:val="en-AU"/>
        </w:rPr>
        <w:t>I</w:t>
      </w:r>
      <w:r w:rsidR="00C75344" w:rsidRPr="009B5EAF">
        <w:rPr>
          <w:rFonts w:asciiTheme="majorHAnsi" w:hAnsiTheme="majorHAnsi" w:cstheme="majorHAnsi"/>
          <w:color w:val="595959" w:themeColor="text1" w:themeTint="A6"/>
          <w:lang w:val="en-AU"/>
        </w:rPr>
        <w:t xml:space="preserve"> (Bappenas [National Development Planning Ministry], </w:t>
      </w:r>
      <w:r w:rsidR="00C1503F" w:rsidRPr="009B5EAF">
        <w:rPr>
          <w:rFonts w:asciiTheme="majorHAnsi" w:hAnsiTheme="majorHAnsi" w:cstheme="majorHAnsi"/>
          <w:color w:val="595959" w:themeColor="text1" w:themeTint="A6"/>
          <w:lang w:val="en-AU"/>
        </w:rPr>
        <w:t xml:space="preserve">Kemenko PMK, </w:t>
      </w:r>
      <w:r w:rsidR="00F62715" w:rsidRPr="009B5EAF">
        <w:rPr>
          <w:rFonts w:asciiTheme="majorHAnsi" w:hAnsiTheme="majorHAnsi" w:cstheme="majorHAnsi"/>
          <w:color w:val="595959" w:themeColor="text1" w:themeTint="A6"/>
          <w:lang w:val="en-AU"/>
        </w:rPr>
        <w:t>MoH, MoA) and G</w:t>
      </w:r>
      <w:r w:rsidR="0026571D" w:rsidRPr="009B5EAF">
        <w:rPr>
          <w:rFonts w:asciiTheme="majorHAnsi" w:hAnsiTheme="majorHAnsi" w:cstheme="majorHAnsi"/>
          <w:color w:val="595959" w:themeColor="text1" w:themeTint="A6"/>
          <w:lang w:val="en-AU"/>
        </w:rPr>
        <w:t>o</w:t>
      </w:r>
      <w:r w:rsidR="00F62715" w:rsidRPr="009B5EAF">
        <w:rPr>
          <w:rFonts w:asciiTheme="majorHAnsi" w:hAnsiTheme="majorHAnsi" w:cstheme="majorHAnsi"/>
          <w:color w:val="595959" w:themeColor="text1" w:themeTint="A6"/>
          <w:lang w:val="en-AU"/>
        </w:rPr>
        <w:t xml:space="preserve">A (including DFAT, DAWR and </w:t>
      </w:r>
      <w:r w:rsidR="0029468B" w:rsidRPr="009B5EAF">
        <w:rPr>
          <w:rFonts w:asciiTheme="majorHAnsi" w:hAnsiTheme="majorHAnsi" w:cstheme="majorHAnsi"/>
          <w:color w:val="595959" w:themeColor="text1" w:themeTint="A6"/>
          <w:lang w:val="en-AU"/>
        </w:rPr>
        <w:t>IPCHS</w:t>
      </w:r>
      <w:r w:rsidR="00F62715" w:rsidRPr="009B5EAF">
        <w:rPr>
          <w:rStyle w:val="FootnoteReference"/>
          <w:rFonts w:asciiTheme="majorHAnsi" w:hAnsiTheme="majorHAnsi" w:cstheme="majorHAnsi"/>
          <w:color w:val="595959" w:themeColor="text1" w:themeTint="A6"/>
          <w:lang w:val="en-AU"/>
        </w:rPr>
        <w:footnoteReference w:id="17"/>
      </w:r>
      <w:r w:rsidR="0059785D" w:rsidRPr="009B5EAF">
        <w:rPr>
          <w:rFonts w:asciiTheme="majorHAnsi" w:hAnsiTheme="majorHAnsi" w:cstheme="majorHAnsi"/>
          <w:color w:val="595959" w:themeColor="text1" w:themeTint="A6"/>
          <w:lang w:val="en-AU"/>
        </w:rPr>
        <w:t>)</w:t>
      </w:r>
      <w:r w:rsidR="00535D18">
        <w:rPr>
          <w:rFonts w:asciiTheme="majorHAnsi" w:hAnsiTheme="majorHAnsi" w:cstheme="majorHAnsi"/>
          <w:color w:val="595959" w:themeColor="text1" w:themeTint="A6"/>
          <w:lang w:val="en-AU"/>
        </w:rPr>
        <w:t xml:space="preserve">. </w:t>
      </w:r>
      <w:r w:rsidR="0059785D" w:rsidRPr="009B5EAF">
        <w:rPr>
          <w:rFonts w:asciiTheme="majorHAnsi" w:hAnsiTheme="majorHAnsi" w:cstheme="majorHAnsi"/>
          <w:color w:val="595959" w:themeColor="text1" w:themeTint="A6"/>
          <w:lang w:val="en-AU"/>
        </w:rPr>
        <w:t xml:space="preserve">The PCC </w:t>
      </w:r>
      <w:r w:rsidR="00F62715" w:rsidRPr="009B5EAF">
        <w:rPr>
          <w:rFonts w:asciiTheme="majorHAnsi" w:hAnsiTheme="majorHAnsi" w:cstheme="majorHAnsi"/>
          <w:color w:val="595959" w:themeColor="text1" w:themeTint="A6"/>
          <w:lang w:val="en-AU"/>
        </w:rPr>
        <w:t>will oversee the program</w:t>
      </w:r>
      <w:r w:rsidR="004874F1" w:rsidRPr="009B5EAF">
        <w:rPr>
          <w:rFonts w:asciiTheme="majorHAnsi" w:hAnsiTheme="majorHAnsi" w:cstheme="majorHAnsi"/>
          <w:color w:val="595959" w:themeColor="text1" w:themeTint="A6"/>
          <w:lang w:val="en-AU"/>
        </w:rPr>
        <w:t xml:space="preserve"> and set strategic direction</w:t>
      </w:r>
      <w:r w:rsidR="00F62715" w:rsidRPr="009B5EAF">
        <w:rPr>
          <w:rFonts w:asciiTheme="majorHAnsi" w:hAnsiTheme="majorHAnsi" w:cstheme="majorHAnsi"/>
          <w:color w:val="595959" w:themeColor="text1" w:themeTint="A6"/>
          <w:lang w:val="en-AU"/>
        </w:rPr>
        <w:t xml:space="preserve">, convening on an annual basis to review progress and </w:t>
      </w:r>
      <w:r w:rsidR="003076E2">
        <w:rPr>
          <w:rFonts w:asciiTheme="majorHAnsi" w:hAnsiTheme="majorHAnsi" w:cstheme="majorHAnsi"/>
          <w:color w:val="595959" w:themeColor="text1" w:themeTint="A6"/>
          <w:lang w:val="en-AU"/>
        </w:rPr>
        <w:t>approve</w:t>
      </w:r>
      <w:r w:rsidR="003076E2" w:rsidRPr="009B5EAF">
        <w:rPr>
          <w:rFonts w:asciiTheme="majorHAnsi" w:hAnsiTheme="majorHAnsi" w:cstheme="majorHAnsi"/>
          <w:color w:val="595959" w:themeColor="text1" w:themeTint="A6"/>
          <w:lang w:val="en-AU"/>
        </w:rPr>
        <w:t xml:space="preserve"> </w:t>
      </w:r>
      <w:r w:rsidR="00F62715" w:rsidRPr="009B5EAF">
        <w:rPr>
          <w:rFonts w:asciiTheme="majorHAnsi" w:hAnsiTheme="majorHAnsi" w:cstheme="majorHAnsi"/>
          <w:color w:val="595959" w:themeColor="text1" w:themeTint="A6"/>
          <w:lang w:val="en-AU"/>
        </w:rPr>
        <w:t>activities/work</w:t>
      </w:r>
      <w:r w:rsidR="00E36F14" w:rsidRPr="009B5EAF">
        <w:rPr>
          <w:rFonts w:asciiTheme="majorHAnsi" w:hAnsiTheme="majorHAnsi" w:cstheme="majorHAnsi"/>
          <w:color w:val="595959" w:themeColor="text1" w:themeTint="A6"/>
          <w:lang w:val="en-AU"/>
        </w:rPr>
        <w:t xml:space="preserve"> </w:t>
      </w:r>
      <w:r w:rsidR="00F62715" w:rsidRPr="009B5EAF">
        <w:rPr>
          <w:rFonts w:asciiTheme="majorHAnsi" w:hAnsiTheme="majorHAnsi" w:cstheme="majorHAnsi"/>
          <w:color w:val="595959" w:themeColor="text1" w:themeTint="A6"/>
          <w:lang w:val="en-AU"/>
        </w:rPr>
        <w:t>plans to</w:t>
      </w:r>
      <w:r w:rsidR="00797D23" w:rsidRPr="009B5EAF">
        <w:rPr>
          <w:rFonts w:asciiTheme="majorHAnsi" w:hAnsiTheme="majorHAnsi" w:cstheme="majorHAnsi"/>
          <w:color w:val="595959" w:themeColor="text1" w:themeTint="A6"/>
          <w:lang w:val="en-AU"/>
        </w:rPr>
        <w:t xml:space="preserve"> be supported under the program</w:t>
      </w:r>
      <w:r w:rsidR="00535D18">
        <w:rPr>
          <w:rFonts w:asciiTheme="majorHAnsi" w:hAnsiTheme="majorHAnsi" w:cstheme="majorHAnsi"/>
          <w:color w:val="595959" w:themeColor="text1" w:themeTint="A6"/>
          <w:lang w:val="en-AU"/>
        </w:rPr>
        <w:t xml:space="preserve">. </w:t>
      </w:r>
      <w:r w:rsidR="00F62715" w:rsidRPr="009B5EAF">
        <w:rPr>
          <w:rFonts w:asciiTheme="majorHAnsi" w:hAnsiTheme="majorHAnsi" w:cstheme="majorHAnsi"/>
          <w:color w:val="595959" w:themeColor="text1" w:themeTint="A6"/>
          <w:lang w:val="en-AU"/>
        </w:rPr>
        <w:t>Ministries such as</w:t>
      </w:r>
      <w:r w:rsidR="00C75344" w:rsidRPr="009B5EAF">
        <w:rPr>
          <w:rFonts w:asciiTheme="majorHAnsi" w:hAnsiTheme="majorHAnsi" w:cstheme="majorHAnsi"/>
          <w:color w:val="595959" w:themeColor="text1" w:themeTint="A6"/>
          <w:lang w:val="en-AU"/>
        </w:rPr>
        <w:t xml:space="preserve"> Kemenko Polhukam (Coordinating Ministry for Political Legal and Security Affairs)</w:t>
      </w:r>
      <w:r w:rsidR="009B1BF2" w:rsidRPr="009B5EAF">
        <w:rPr>
          <w:rFonts w:asciiTheme="majorHAnsi" w:hAnsiTheme="majorHAnsi" w:cstheme="majorHAnsi"/>
          <w:color w:val="595959" w:themeColor="text1" w:themeTint="A6"/>
          <w:lang w:val="en-AU"/>
        </w:rPr>
        <w:t xml:space="preserve">, Kemenko EKUIN (Coordinating Ministry for the Economy, Finance and Industry), Ministry of Finance, Ministry of Home Affairs, Ministry of Environment and Forestry, </w:t>
      </w:r>
      <w:r w:rsidR="00F62715" w:rsidRPr="009B5EAF">
        <w:rPr>
          <w:rFonts w:asciiTheme="majorHAnsi" w:hAnsiTheme="majorHAnsi" w:cstheme="majorHAnsi"/>
          <w:color w:val="595959" w:themeColor="text1" w:themeTint="A6"/>
          <w:lang w:val="en-AU"/>
        </w:rPr>
        <w:t>and BNPB</w:t>
      </w:r>
      <w:r w:rsidR="00F62715" w:rsidRPr="009B5EAF">
        <w:rPr>
          <w:rStyle w:val="FootnoteReference"/>
          <w:rFonts w:asciiTheme="majorHAnsi" w:hAnsiTheme="majorHAnsi" w:cstheme="majorHAnsi"/>
          <w:color w:val="595959" w:themeColor="text1" w:themeTint="A6"/>
          <w:lang w:val="en-AU"/>
        </w:rPr>
        <w:footnoteReference w:id="18"/>
      </w:r>
      <w:r w:rsidR="00F62715" w:rsidRPr="009B5EAF">
        <w:rPr>
          <w:rFonts w:asciiTheme="majorHAnsi" w:hAnsiTheme="majorHAnsi" w:cstheme="majorHAnsi"/>
          <w:color w:val="595959" w:themeColor="text1" w:themeTint="A6"/>
          <w:lang w:val="en-AU"/>
        </w:rPr>
        <w:t xml:space="preserve"> can</w:t>
      </w:r>
      <w:r w:rsidR="004874F1" w:rsidRPr="009B5EAF">
        <w:rPr>
          <w:rFonts w:asciiTheme="majorHAnsi" w:hAnsiTheme="majorHAnsi" w:cstheme="majorHAnsi"/>
          <w:color w:val="595959" w:themeColor="text1" w:themeTint="A6"/>
          <w:lang w:val="en-AU"/>
        </w:rPr>
        <w:t xml:space="preserve"> also be engaged in the PCC</w:t>
      </w:r>
      <w:r w:rsidR="00535D18">
        <w:rPr>
          <w:rFonts w:asciiTheme="majorHAnsi" w:hAnsiTheme="majorHAnsi" w:cstheme="majorHAnsi"/>
          <w:color w:val="595959" w:themeColor="text1" w:themeTint="A6"/>
          <w:lang w:val="en-AU"/>
        </w:rPr>
        <w:t>.</w:t>
      </w:r>
      <w:r w:rsidR="00C83B0C" w:rsidRPr="009B5EAF">
        <w:rPr>
          <w:rFonts w:asciiTheme="majorHAnsi" w:hAnsiTheme="majorHAnsi" w:cstheme="majorHAnsi"/>
          <w:color w:val="595959" w:themeColor="text1" w:themeTint="A6"/>
          <w:lang w:val="en-AU"/>
        </w:rPr>
        <w:t xml:space="preserve"> </w:t>
      </w:r>
    </w:p>
    <w:p w:rsidR="004874F1" w:rsidRPr="009B5EAF" w:rsidRDefault="004874F1" w:rsidP="00BF6C52">
      <w:pPr>
        <w:suppressAutoHyphens w:val="0"/>
        <w:spacing w:before="0" w:after="120" w:line="240" w:lineRule="auto"/>
        <w:rPr>
          <w:rFonts w:asciiTheme="majorHAnsi" w:hAnsiTheme="majorHAnsi" w:cstheme="majorHAnsi"/>
          <w:color w:val="595959" w:themeColor="text1" w:themeTint="A6"/>
          <w:lang w:val="en-AU"/>
        </w:rPr>
      </w:pPr>
      <w:r w:rsidRPr="009B5EAF">
        <w:rPr>
          <w:rFonts w:asciiTheme="majorHAnsi" w:hAnsiTheme="majorHAnsi" w:cstheme="majorHAnsi"/>
          <w:color w:val="595959" w:themeColor="text1" w:themeTint="A6"/>
          <w:lang w:val="en-AU"/>
        </w:rPr>
        <w:t xml:space="preserve">Two </w:t>
      </w:r>
      <w:r w:rsidR="0026571D" w:rsidRPr="009B5EAF">
        <w:rPr>
          <w:rFonts w:asciiTheme="majorHAnsi" w:hAnsiTheme="majorHAnsi" w:cstheme="majorHAnsi"/>
          <w:color w:val="595959" w:themeColor="text1" w:themeTint="A6"/>
          <w:lang w:val="en-AU"/>
        </w:rPr>
        <w:t xml:space="preserve">Program Steering Committees (PSC) </w:t>
      </w:r>
      <w:r w:rsidRPr="009B5EAF">
        <w:rPr>
          <w:rFonts w:asciiTheme="majorHAnsi" w:hAnsiTheme="majorHAnsi" w:cstheme="majorHAnsi"/>
          <w:color w:val="595959" w:themeColor="text1" w:themeTint="A6"/>
          <w:lang w:val="en-AU"/>
        </w:rPr>
        <w:t>will sit below the P</w:t>
      </w:r>
      <w:r w:rsidR="0026571D" w:rsidRPr="009B5EAF">
        <w:rPr>
          <w:rFonts w:asciiTheme="majorHAnsi" w:hAnsiTheme="majorHAnsi" w:cstheme="majorHAnsi"/>
          <w:color w:val="595959" w:themeColor="text1" w:themeTint="A6"/>
          <w:lang w:val="en-AU"/>
        </w:rPr>
        <w:t>C</w:t>
      </w:r>
      <w:r w:rsidRPr="009B5EAF">
        <w:rPr>
          <w:rFonts w:asciiTheme="majorHAnsi" w:hAnsiTheme="majorHAnsi" w:cstheme="majorHAnsi"/>
          <w:color w:val="595959" w:themeColor="text1" w:themeTint="A6"/>
          <w:lang w:val="en-AU"/>
        </w:rPr>
        <w:t>C</w:t>
      </w:r>
      <w:r w:rsidR="00535D18">
        <w:rPr>
          <w:rFonts w:asciiTheme="majorHAnsi" w:hAnsiTheme="majorHAnsi" w:cstheme="majorHAnsi"/>
          <w:color w:val="595959" w:themeColor="text1" w:themeTint="A6"/>
          <w:lang w:val="en-AU"/>
        </w:rPr>
        <w:t xml:space="preserve">. </w:t>
      </w:r>
      <w:r w:rsidR="0026571D" w:rsidRPr="009B5EAF">
        <w:rPr>
          <w:rFonts w:asciiTheme="majorHAnsi" w:hAnsiTheme="majorHAnsi" w:cstheme="majorHAnsi"/>
          <w:color w:val="595959" w:themeColor="text1" w:themeTint="A6"/>
          <w:lang w:val="en-AU"/>
        </w:rPr>
        <w:t>The PSCs will</w:t>
      </w:r>
      <w:r w:rsidRPr="009B5EAF">
        <w:rPr>
          <w:rFonts w:asciiTheme="majorHAnsi" w:hAnsiTheme="majorHAnsi" w:cstheme="majorHAnsi"/>
          <w:color w:val="595959" w:themeColor="text1" w:themeTint="A6"/>
          <w:lang w:val="en-AU"/>
        </w:rPr>
        <w:t xml:space="preserve"> support program decision making processes, enabling more detail to be considered than at the PCC</w:t>
      </w:r>
      <w:r w:rsidR="00535D18">
        <w:rPr>
          <w:rFonts w:asciiTheme="majorHAnsi" w:hAnsiTheme="majorHAnsi" w:cstheme="majorHAnsi"/>
          <w:color w:val="595959" w:themeColor="text1" w:themeTint="A6"/>
          <w:lang w:val="en-AU"/>
        </w:rPr>
        <w:t xml:space="preserve">. </w:t>
      </w:r>
      <w:r w:rsidR="006C1C2C" w:rsidRPr="009B5EAF">
        <w:rPr>
          <w:rFonts w:asciiTheme="majorHAnsi" w:hAnsiTheme="majorHAnsi" w:cstheme="majorHAnsi"/>
          <w:color w:val="595959" w:themeColor="text1" w:themeTint="A6"/>
          <w:lang w:val="en-AU"/>
        </w:rPr>
        <w:t>The Animal Health</w:t>
      </w:r>
      <w:r w:rsidR="006C1C2C" w:rsidRPr="009B5EAF" w:rsidDel="006C1C2C">
        <w:rPr>
          <w:rFonts w:asciiTheme="majorHAnsi" w:hAnsiTheme="majorHAnsi" w:cstheme="majorHAnsi"/>
          <w:color w:val="595959" w:themeColor="text1" w:themeTint="A6"/>
          <w:lang w:val="en-AU"/>
        </w:rPr>
        <w:t xml:space="preserve"> </w:t>
      </w:r>
      <w:r w:rsidRPr="009B5EAF">
        <w:rPr>
          <w:rFonts w:asciiTheme="majorHAnsi" w:hAnsiTheme="majorHAnsi" w:cstheme="majorHAnsi"/>
          <w:color w:val="595959" w:themeColor="text1" w:themeTint="A6"/>
          <w:lang w:val="en-AU"/>
        </w:rPr>
        <w:t>PSC</w:t>
      </w:r>
      <w:r w:rsidR="0026571D" w:rsidRPr="009B5EAF">
        <w:rPr>
          <w:rFonts w:asciiTheme="majorHAnsi" w:hAnsiTheme="majorHAnsi" w:cstheme="majorHAnsi"/>
          <w:color w:val="595959" w:themeColor="text1" w:themeTint="A6"/>
          <w:lang w:val="en-AU"/>
        </w:rPr>
        <w:t xml:space="preserve"> </w:t>
      </w:r>
      <w:r w:rsidRPr="009B5EAF">
        <w:rPr>
          <w:rFonts w:asciiTheme="majorHAnsi" w:hAnsiTheme="majorHAnsi" w:cstheme="majorHAnsi"/>
          <w:color w:val="595959" w:themeColor="text1" w:themeTint="A6"/>
          <w:lang w:val="en-AU"/>
        </w:rPr>
        <w:t xml:space="preserve">will be made up of representatives from the </w:t>
      </w:r>
      <w:r w:rsidR="0026571D" w:rsidRPr="009B5EAF">
        <w:rPr>
          <w:rFonts w:asciiTheme="majorHAnsi" w:hAnsiTheme="majorHAnsi" w:cstheme="majorHAnsi"/>
          <w:color w:val="595959" w:themeColor="text1" w:themeTint="A6"/>
          <w:lang w:val="en-AU"/>
        </w:rPr>
        <w:t>MoA</w:t>
      </w:r>
      <w:r w:rsidRPr="009B5EAF">
        <w:rPr>
          <w:rFonts w:asciiTheme="majorHAnsi" w:hAnsiTheme="majorHAnsi" w:cstheme="majorHAnsi"/>
          <w:color w:val="595959" w:themeColor="text1" w:themeTint="A6"/>
          <w:lang w:val="en-AU"/>
        </w:rPr>
        <w:t>, DFAT</w:t>
      </w:r>
      <w:r w:rsidR="0026571D" w:rsidRPr="009B5EAF">
        <w:rPr>
          <w:rFonts w:asciiTheme="majorHAnsi" w:hAnsiTheme="majorHAnsi" w:cstheme="majorHAnsi"/>
          <w:color w:val="595959" w:themeColor="text1" w:themeTint="A6"/>
          <w:lang w:val="en-AU"/>
        </w:rPr>
        <w:t xml:space="preserve"> and</w:t>
      </w:r>
      <w:r w:rsidRPr="009B5EAF">
        <w:rPr>
          <w:rFonts w:asciiTheme="majorHAnsi" w:hAnsiTheme="majorHAnsi" w:cstheme="majorHAnsi"/>
          <w:color w:val="595959" w:themeColor="text1" w:themeTint="A6"/>
          <w:lang w:val="en-AU"/>
        </w:rPr>
        <w:t xml:space="preserve"> DAWR</w:t>
      </w:r>
      <w:r w:rsidR="0026571D" w:rsidRPr="009B5EAF">
        <w:rPr>
          <w:rFonts w:asciiTheme="majorHAnsi" w:hAnsiTheme="majorHAnsi" w:cstheme="majorHAnsi"/>
          <w:color w:val="595959" w:themeColor="text1" w:themeTint="A6"/>
          <w:lang w:val="en-AU"/>
        </w:rPr>
        <w:t>;</w:t>
      </w:r>
      <w:r w:rsidRPr="009B5EAF">
        <w:rPr>
          <w:rFonts w:asciiTheme="majorHAnsi" w:hAnsiTheme="majorHAnsi" w:cstheme="majorHAnsi"/>
          <w:color w:val="595959" w:themeColor="text1" w:themeTint="A6"/>
          <w:lang w:val="en-AU"/>
        </w:rPr>
        <w:t xml:space="preserve"> </w:t>
      </w:r>
      <w:r w:rsidR="006C1C2C" w:rsidRPr="009B5EAF">
        <w:rPr>
          <w:rFonts w:asciiTheme="majorHAnsi" w:hAnsiTheme="majorHAnsi" w:cstheme="majorHAnsi"/>
          <w:color w:val="595959" w:themeColor="text1" w:themeTint="A6"/>
          <w:lang w:val="en-AU"/>
        </w:rPr>
        <w:t xml:space="preserve">the </w:t>
      </w:r>
      <w:r w:rsidR="0026571D" w:rsidRPr="009B5EAF">
        <w:rPr>
          <w:rFonts w:asciiTheme="majorHAnsi" w:hAnsiTheme="majorHAnsi" w:cstheme="majorHAnsi"/>
          <w:color w:val="595959" w:themeColor="text1" w:themeTint="A6"/>
          <w:lang w:val="en-AU"/>
        </w:rPr>
        <w:t>Human Health</w:t>
      </w:r>
      <w:r w:rsidR="006C1C2C" w:rsidRPr="009B5EAF">
        <w:rPr>
          <w:rFonts w:asciiTheme="majorHAnsi" w:hAnsiTheme="majorHAnsi" w:cstheme="majorHAnsi"/>
          <w:color w:val="595959" w:themeColor="text1" w:themeTint="A6"/>
          <w:lang w:val="en-AU"/>
        </w:rPr>
        <w:t xml:space="preserve"> PSC </w:t>
      </w:r>
      <w:r w:rsidRPr="009B5EAF">
        <w:rPr>
          <w:rFonts w:asciiTheme="majorHAnsi" w:hAnsiTheme="majorHAnsi" w:cstheme="majorHAnsi"/>
          <w:color w:val="595959" w:themeColor="text1" w:themeTint="A6"/>
          <w:lang w:val="en-AU"/>
        </w:rPr>
        <w:t>will be made up of representatives from</w:t>
      </w:r>
      <w:r w:rsidR="0026571D" w:rsidRPr="009B5EAF">
        <w:rPr>
          <w:rFonts w:asciiTheme="majorHAnsi" w:hAnsiTheme="majorHAnsi" w:cstheme="majorHAnsi"/>
          <w:color w:val="595959" w:themeColor="text1" w:themeTint="A6"/>
          <w:lang w:val="en-AU"/>
        </w:rPr>
        <w:t xml:space="preserve"> the</w:t>
      </w:r>
      <w:r w:rsidRPr="009B5EAF">
        <w:rPr>
          <w:rFonts w:asciiTheme="majorHAnsi" w:hAnsiTheme="majorHAnsi" w:cstheme="majorHAnsi"/>
          <w:color w:val="595959" w:themeColor="text1" w:themeTint="A6"/>
          <w:lang w:val="en-AU"/>
        </w:rPr>
        <w:t xml:space="preserve"> M</w:t>
      </w:r>
      <w:r w:rsidR="0026571D" w:rsidRPr="009B5EAF">
        <w:rPr>
          <w:rFonts w:asciiTheme="majorHAnsi" w:hAnsiTheme="majorHAnsi" w:cstheme="majorHAnsi"/>
          <w:color w:val="595959" w:themeColor="text1" w:themeTint="A6"/>
          <w:lang w:val="en-AU"/>
        </w:rPr>
        <w:t>o</w:t>
      </w:r>
      <w:r w:rsidRPr="009B5EAF">
        <w:rPr>
          <w:rFonts w:asciiTheme="majorHAnsi" w:hAnsiTheme="majorHAnsi" w:cstheme="majorHAnsi"/>
          <w:color w:val="595959" w:themeColor="text1" w:themeTint="A6"/>
          <w:lang w:val="en-AU"/>
        </w:rPr>
        <w:t>H, DFAT and WHO</w:t>
      </w:r>
      <w:r w:rsidR="00535D18">
        <w:rPr>
          <w:rFonts w:asciiTheme="majorHAnsi" w:hAnsiTheme="majorHAnsi" w:cstheme="majorHAnsi"/>
          <w:color w:val="595959" w:themeColor="text1" w:themeTint="A6"/>
          <w:lang w:val="en-AU"/>
        </w:rPr>
        <w:t>.</w:t>
      </w:r>
      <w:r w:rsidR="00C83B0C" w:rsidRPr="009B5EAF">
        <w:rPr>
          <w:rFonts w:asciiTheme="majorHAnsi" w:hAnsiTheme="majorHAnsi" w:cstheme="majorHAnsi"/>
          <w:color w:val="595959" w:themeColor="text1" w:themeTint="A6"/>
          <w:lang w:val="en-AU"/>
        </w:rPr>
        <w:t xml:space="preserve"> </w:t>
      </w:r>
    </w:p>
    <w:p w:rsidR="00DE31EB" w:rsidRPr="0043356C" w:rsidRDefault="004874F1" w:rsidP="00BF6C52">
      <w:pPr>
        <w:suppressAutoHyphens w:val="0"/>
        <w:spacing w:before="0" w:after="120" w:line="240" w:lineRule="auto"/>
        <w:rPr>
          <w:rFonts w:asciiTheme="majorHAnsi" w:hAnsiTheme="majorHAnsi" w:cstheme="majorHAnsi"/>
          <w:i/>
          <w:color w:val="595959" w:themeColor="text1" w:themeTint="A6"/>
          <w:lang w:val="en-AU"/>
        </w:rPr>
      </w:pPr>
      <w:r w:rsidRPr="009B5EAF">
        <w:rPr>
          <w:rFonts w:asciiTheme="majorHAnsi" w:hAnsiTheme="majorHAnsi" w:cstheme="majorHAnsi"/>
          <w:color w:val="595959" w:themeColor="text1" w:themeTint="A6"/>
          <w:lang w:val="en-AU"/>
        </w:rPr>
        <w:t>The managing contractor will play a secretariat role</w:t>
      </w:r>
      <w:r w:rsidR="004433DB" w:rsidRPr="009B5EAF">
        <w:rPr>
          <w:rFonts w:asciiTheme="majorHAnsi" w:hAnsiTheme="majorHAnsi" w:cstheme="majorHAnsi"/>
          <w:color w:val="595959" w:themeColor="text1" w:themeTint="A6"/>
          <w:lang w:val="en-AU"/>
        </w:rPr>
        <w:t xml:space="preserve"> for these committees</w:t>
      </w:r>
      <w:r w:rsidR="00352A08">
        <w:rPr>
          <w:rFonts w:asciiTheme="majorHAnsi" w:hAnsiTheme="majorHAnsi" w:cstheme="majorHAnsi"/>
          <w:color w:val="595959" w:themeColor="text1" w:themeTint="A6"/>
          <w:lang w:val="en-AU"/>
        </w:rPr>
        <w:t>.</w:t>
      </w:r>
      <w:r w:rsidR="00C83B0C" w:rsidRPr="009B5EAF">
        <w:rPr>
          <w:rFonts w:asciiTheme="majorHAnsi" w:hAnsiTheme="majorHAnsi" w:cstheme="majorHAnsi"/>
          <w:color w:val="595959" w:themeColor="text1" w:themeTint="A6"/>
          <w:lang w:val="en-AU"/>
        </w:rPr>
        <w:t xml:space="preserve"> </w:t>
      </w:r>
    </w:p>
    <w:p w:rsidR="003F14C6" w:rsidRPr="009B5EAF" w:rsidRDefault="003F14C6" w:rsidP="00BF6C52">
      <w:pPr>
        <w:suppressAutoHyphens w:val="0"/>
        <w:spacing w:before="0" w:after="120" w:line="240" w:lineRule="auto"/>
        <w:rPr>
          <w:rFonts w:asciiTheme="majorHAnsi" w:hAnsiTheme="majorHAnsi" w:cstheme="majorHAnsi"/>
          <w:i/>
          <w:color w:val="595959" w:themeColor="text1" w:themeTint="A6"/>
          <w:lang w:val="en-AU"/>
        </w:rPr>
      </w:pPr>
      <w:r w:rsidRPr="009B5EAF">
        <w:rPr>
          <w:rFonts w:asciiTheme="majorHAnsi" w:hAnsiTheme="majorHAnsi" w:cstheme="majorHAnsi"/>
          <w:i/>
          <w:color w:val="595959" w:themeColor="text1" w:themeTint="A6"/>
          <w:lang w:val="en-AU"/>
        </w:rPr>
        <w:t>Technical Advisory Group (TAG)</w:t>
      </w:r>
    </w:p>
    <w:p w:rsidR="00210B70" w:rsidRPr="00C51D70" w:rsidRDefault="000D6682" w:rsidP="00C51D70">
      <w:pPr>
        <w:suppressAutoHyphens w:val="0"/>
        <w:spacing w:before="0" w:after="120" w:line="240" w:lineRule="auto"/>
        <w:rPr>
          <w:rFonts w:asciiTheme="majorHAnsi" w:hAnsiTheme="majorHAnsi" w:cstheme="majorHAnsi"/>
          <w:color w:val="595959" w:themeColor="text1" w:themeTint="A6"/>
          <w:lang w:val="en-AU"/>
        </w:rPr>
      </w:pPr>
      <w:r w:rsidRPr="00C51D70">
        <w:rPr>
          <w:rFonts w:asciiTheme="majorHAnsi" w:hAnsiTheme="majorHAnsi" w:cstheme="majorHAnsi"/>
          <w:color w:val="595959" w:themeColor="text1" w:themeTint="A6"/>
          <w:lang w:val="en-AU"/>
        </w:rPr>
        <w:t xml:space="preserve">A TAG </w:t>
      </w:r>
      <w:r w:rsidR="00DF10D6" w:rsidRPr="00C51D70">
        <w:rPr>
          <w:rFonts w:asciiTheme="majorHAnsi" w:hAnsiTheme="majorHAnsi" w:cstheme="majorHAnsi"/>
          <w:color w:val="595959" w:themeColor="text1" w:themeTint="A6"/>
          <w:lang w:val="en-AU"/>
        </w:rPr>
        <w:t xml:space="preserve">may be set up by the </w:t>
      </w:r>
      <w:r w:rsidRPr="00C51D70">
        <w:rPr>
          <w:rFonts w:asciiTheme="majorHAnsi" w:hAnsiTheme="majorHAnsi" w:cstheme="majorHAnsi"/>
          <w:color w:val="595959" w:themeColor="text1" w:themeTint="A6"/>
          <w:lang w:val="en-AU"/>
        </w:rPr>
        <w:t>managing contractor</w:t>
      </w:r>
      <w:r w:rsidR="00DF10D6" w:rsidRPr="00C51D70">
        <w:rPr>
          <w:rFonts w:asciiTheme="majorHAnsi" w:hAnsiTheme="majorHAnsi" w:cstheme="majorHAnsi"/>
          <w:color w:val="595959" w:themeColor="text1" w:themeTint="A6"/>
          <w:lang w:val="en-AU"/>
        </w:rPr>
        <w:t xml:space="preserve"> to provide strategic advice to the program as and when requested if deemed necessary. It would need to be set up on advice from</w:t>
      </w:r>
      <w:r w:rsidR="00C16F59" w:rsidRPr="00C51D70">
        <w:rPr>
          <w:rFonts w:asciiTheme="majorHAnsi" w:hAnsiTheme="majorHAnsi" w:cstheme="majorHAnsi"/>
          <w:color w:val="595959" w:themeColor="text1" w:themeTint="A6"/>
          <w:lang w:val="en-AU"/>
        </w:rPr>
        <w:t xml:space="preserve"> the PCC throughout the course of the program</w:t>
      </w:r>
      <w:r w:rsidR="00DF10D6" w:rsidRPr="00C51D70">
        <w:rPr>
          <w:rFonts w:asciiTheme="majorHAnsi" w:hAnsiTheme="majorHAnsi" w:cstheme="majorHAnsi"/>
          <w:color w:val="595959" w:themeColor="text1" w:themeTint="A6"/>
          <w:lang w:val="en-AU"/>
        </w:rPr>
        <w:t xml:space="preserve">. </w:t>
      </w:r>
      <w:r w:rsidRPr="00C51D70">
        <w:rPr>
          <w:rFonts w:asciiTheme="majorHAnsi" w:hAnsiTheme="majorHAnsi" w:cstheme="majorHAnsi"/>
          <w:color w:val="595959" w:themeColor="text1" w:themeTint="A6"/>
          <w:lang w:val="en-AU"/>
        </w:rPr>
        <w:t>During the inception period, the managing contractor – in consultation with DFAT and GoI – will consider th</w:t>
      </w:r>
      <w:r w:rsidR="00C16F59" w:rsidRPr="00C51D70">
        <w:rPr>
          <w:rFonts w:asciiTheme="majorHAnsi" w:hAnsiTheme="majorHAnsi" w:cstheme="majorHAnsi"/>
          <w:color w:val="595959" w:themeColor="text1" w:themeTint="A6"/>
          <w:lang w:val="en-AU"/>
        </w:rPr>
        <w:t>is</w:t>
      </w:r>
      <w:r w:rsidRPr="00C51D70">
        <w:rPr>
          <w:rFonts w:asciiTheme="majorHAnsi" w:hAnsiTheme="majorHAnsi" w:cstheme="majorHAnsi"/>
          <w:color w:val="595959" w:themeColor="text1" w:themeTint="A6"/>
          <w:lang w:val="en-AU"/>
        </w:rPr>
        <w:t xml:space="preserve"> option, and make recommendations to the PCC.</w:t>
      </w:r>
      <w:bookmarkStart w:id="24" w:name="_Hlk516995737"/>
    </w:p>
    <w:p w:rsidR="00BD33CA" w:rsidRPr="0043356C" w:rsidRDefault="00B779AC" w:rsidP="00BF6C52">
      <w:pPr>
        <w:pStyle w:val="Heading2"/>
        <w:spacing w:after="120" w:line="240" w:lineRule="auto"/>
        <w:contextualSpacing w:val="0"/>
        <w:rPr>
          <w:rFonts w:eastAsia="Calibri" w:cstheme="majorHAnsi"/>
          <w:sz w:val="22"/>
          <w:szCs w:val="22"/>
          <w:lang w:val="en-US"/>
        </w:rPr>
      </w:pPr>
      <w:bookmarkStart w:id="25" w:name="_Toc3297008"/>
      <w:r w:rsidRPr="0043356C">
        <w:rPr>
          <w:rFonts w:eastAsia="Calibri" w:cstheme="majorHAnsi"/>
          <w:sz w:val="22"/>
          <w:szCs w:val="22"/>
          <w:lang w:val="en-US"/>
        </w:rPr>
        <w:t>Budget</w:t>
      </w:r>
      <w:bookmarkEnd w:id="25"/>
    </w:p>
    <w:bookmarkEnd w:id="24"/>
    <w:p w:rsidR="00305395" w:rsidRPr="00A11F64" w:rsidRDefault="00305395" w:rsidP="00305395">
      <w:pPr>
        <w:spacing w:before="0" w:after="120" w:line="240" w:lineRule="auto"/>
        <w:rPr>
          <w:rFonts w:asciiTheme="majorHAnsi" w:hAnsiTheme="majorHAnsi" w:cstheme="majorHAnsi"/>
          <w:color w:val="595959" w:themeColor="text1" w:themeTint="A6"/>
        </w:rPr>
      </w:pPr>
      <w:r w:rsidRPr="00A11F64">
        <w:rPr>
          <w:rFonts w:asciiTheme="majorHAnsi" w:hAnsiTheme="majorHAnsi" w:cstheme="majorHAnsi"/>
          <w:color w:val="595959" w:themeColor="text1" w:themeTint="A6"/>
          <w:lang w:val="en-AU"/>
        </w:rPr>
        <w:t xml:space="preserve">The AIHSP has a total budget of </w:t>
      </w:r>
      <w:r>
        <w:rPr>
          <w:rFonts w:asciiTheme="majorHAnsi" w:hAnsiTheme="majorHAnsi" w:cstheme="majorHAnsi"/>
          <w:color w:val="595959" w:themeColor="text1" w:themeTint="A6"/>
          <w:lang w:val="en-AU"/>
        </w:rPr>
        <w:t xml:space="preserve">up to </w:t>
      </w:r>
      <w:r w:rsidRPr="00A11F64">
        <w:rPr>
          <w:rFonts w:asciiTheme="majorHAnsi" w:hAnsiTheme="majorHAnsi" w:cstheme="majorHAnsi"/>
          <w:color w:val="595959" w:themeColor="text1" w:themeTint="A6"/>
          <w:lang w:val="en-AU"/>
        </w:rPr>
        <w:t xml:space="preserve">$17.5 million dollars over </w:t>
      </w:r>
      <w:r>
        <w:rPr>
          <w:rFonts w:asciiTheme="majorHAnsi" w:hAnsiTheme="majorHAnsi" w:cstheme="majorHAnsi"/>
          <w:color w:val="595959" w:themeColor="text1" w:themeTint="A6"/>
          <w:lang w:val="en-AU"/>
        </w:rPr>
        <w:t xml:space="preserve">a period of five years, including $500,000 for internal reviews, monitoring and administration. </w:t>
      </w:r>
      <w:r w:rsidRPr="00A11F64">
        <w:rPr>
          <w:rFonts w:asciiTheme="majorHAnsi" w:hAnsiTheme="majorHAnsi" w:cstheme="majorHAnsi"/>
          <w:color w:val="595959" w:themeColor="text1" w:themeTint="A6"/>
          <w:lang w:val="en-AU"/>
        </w:rPr>
        <w:t xml:space="preserve">DFAT </w:t>
      </w:r>
      <w:r>
        <w:rPr>
          <w:rFonts w:asciiTheme="majorHAnsi" w:hAnsiTheme="majorHAnsi" w:cstheme="majorHAnsi"/>
          <w:color w:val="595959" w:themeColor="text1" w:themeTint="A6"/>
          <w:lang w:val="en-AU"/>
        </w:rPr>
        <w:t>expects to enter into a grant arrangement</w:t>
      </w:r>
      <w:r w:rsidRPr="00A11F64">
        <w:rPr>
          <w:rFonts w:asciiTheme="majorHAnsi" w:hAnsiTheme="majorHAnsi" w:cstheme="majorHAnsi"/>
          <w:color w:val="595959" w:themeColor="text1" w:themeTint="A6"/>
          <w:lang w:val="en-AU"/>
        </w:rPr>
        <w:t xml:space="preserve"> with WHO </w:t>
      </w:r>
      <w:r>
        <w:rPr>
          <w:rFonts w:asciiTheme="majorHAnsi" w:hAnsiTheme="majorHAnsi" w:cstheme="majorHAnsi"/>
          <w:color w:val="595959" w:themeColor="text1" w:themeTint="A6"/>
          <w:lang w:val="en-AU"/>
        </w:rPr>
        <w:t>and potentially other international organisations, and may provide funding to DAWR for specific short-term assignments/activities. This</w:t>
      </w:r>
      <w:r w:rsidRPr="00A11F64">
        <w:rPr>
          <w:rFonts w:asciiTheme="majorHAnsi" w:hAnsiTheme="majorHAnsi" w:cstheme="majorHAnsi"/>
          <w:color w:val="595959" w:themeColor="text1" w:themeTint="A6"/>
          <w:lang w:val="en-AU"/>
        </w:rPr>
        <w:t xml:space="preserve"> leaves a</w:t>
      </w:r>
      <w:r>
        <w:rPr>
          <w:rFonts w:asciiTheme="majorHAnsi" w:hAnsiTheme="majorHAnsi" w:cstheme="majorHAnsi"/>
          <w:color w:val="595959" w:themeColor="text1" w:themeTint="A6"/>
          <w:lang w:val="en-AU"/>
        </w:rPr>
        <w:t>n approximate budget of</w:t>
      </w:r>
      <w:r w:rsidRPr="00A11F64">
        <w:rPr>
          <w:rFonts w:asciiTheme="majorHAnsi" w:hAnsiTheme="majorHAnsi" w:cstheme="majorHAnsi"/>
          <w:color w:val="595959" w:themeColor="text1" w:themeTint="A6"/>
          <w:lang w:val="en-AU"/>
        </w:rPr>
        <w:t xml:space="preserve"> </w:t>
      </w:r>
      <w:r>
        <w:rPr>
          <w:rFonts w:asciiTheme="majorHAnsi" w:hAnsiTheme="majorHAnsi" w:cstheme="majorHAnsi"/>
          <w:color w:val="595959" w:themeColor="text1" w:themeTint="A6"/>
          <w:lang w:val="en-AU"/>
        </w:rPr>
        <w:t xml:space="preserve">up to </w:t>
      </w:r>
      <w:r w:rsidRPr="00A11F64">
        <w:rPr>
          <w:rFonts w:asciiTheme="majorHAnsi" w:hAnsiTheme="majorHAnsi" w:cstheme="majorHAnsi"/>
          <w:color w:val="595959" w:themeColor="text1" w:themeTint="A6"/>
          <w:lang w:val="en-AU"/>
        </w:rPr>
        <w:t>$14 million</w:t>
      </w:r>
      <w:r>
        <w:rPr>
          <w:rFonts w:asciiTheme="majorHAnsi" w:hAnsiTheme="majorHAnsi" w:cstheme="majorHAnsi"/>
          <w:color w:val="595959" w:themeColor="text1" w:themeTint="A6"/>
          <w:lang w:val="en-AU"/>
        </w:rPr>
        <w:t xml:space="preserve"> available</w:t>
      </w:r>
      <w:r w:rsidRPr="00A11F64">
        <w:rPr>
          <w:rFonts w:asciiTheme="majorHAnsi" w:hAnsiTheme="majorHAnsi" w:cstheme="majorHAnsi"/>
          <w:color w:val="595959" w:themeColor="text1" w:themeTint="A6"/>
          <w:lang w:val="en-AU"/>
        </w:rPr>
        <w:t xml:space="preserve"> for program implementation and management costs</w:t>
      </w:r>
      <w:r>
        <w:rPr>
          <w:rFonts w:asciiTheme="majorHAnsi" w:hAnsiTheme="majorHAnsi" w:cstheme="majorHAnsi"/>
          <w:color w:val="595959" w:themeColor="text1" w:themeTint="A6"/>
          <w:lang w:val="en-AU"/>
        </w:rPr>
        <w:t>, to</w:t>
      </w:r>
      <w:r w:rsidRPr="00A11F64">
        <w:rPr>
          <w:rFonts w:asciiTheme="majorHAnsi" w:hAnsiTheme="majorHAnsi" w:cstheme="majorHAnsi"/>
          <w:color w:val="595959" w:themeColor="text1" w:themeTint="A6"/>
          <w:lang w:val="en-AU"/>
        </w:rPr>
        <w:t xml:space="preserve"> go out for tender</w:t>
      </w:r>
      <w:r>
        <w:rPr>
          <w:rFonts w:asciiTheme="majorHAnsi" w:hAnsiTheme="majorHAnsi" w:cstheme="majorHAnsi"/>
          <w:color w:val="595959" w:themeColor="text1" w:themeTint="A6"/>
          <w:lang w:val="en-AU"/>
        </w:rPr>
        <w:t xml:space="preserve"> following the timeline below:</w:t>
      </w:r>
    </w:p>
    <w:tbl>
      <w:tblPr>
        <w:tblStyle w:val="TableGrid"/>
        <w:tblW w:w="0" w:type="auto"/>
        <w:tblLook w:val="04A0" w:firstRow="1" w:lastRow="0" w:firstColumn="1" w:lastColumn="0" w:noHBand="0" w:noVBand="1"/>
      </w:tblPr>
      <w:tblGrid>
        <w:gridCol w:w="1803"/>
        <w:gridCol w:w="1803"/>
        <w:gridCol w:w="1803"/>
        <w:gridCol w:w="1803"/>
        <w:gridCol w:w="1804"/>
      </w:tblGrid>
      <w:tr w:rsidR="00A848ED" w:rsidRPr="009B5EAF" w:rsidTr="002167AE">
        <w:tc>
          <w:tcPr>
            <w:tcW w:w="1803" w:type="dxa"/>
          </w:tcPr>
          <w:p w:rsidR="00A848ED" w:rsidRPr="00EB4FEE" w:rsidRDefault="00A848ED" w:rsidP="002167AE">
            <w:pPr>
              <w:pStyle w:val="BodyText"/>
              <w:keepNext/>
              <w:spacing w:before="0" w:after="120" w:line="240" w:lineRule="auto"/>
              <w:rPr>
                <w:rFonts w:asciiTheme="majorHAnsi" w:eastAsia="Calibri" w:hAnsiTheme="majorHAnsi" w:cstheme="majorHAnsi"/>
                <w:color w:val="595959" w:themeColor="text1" w:themeTint="A6"/>
                <w:lang w:val="en-US"/>
              </w:rPr>
            </w:pPr>
            <w:bookmarkStart w:id="26" w:name="_Hlk531261334"/>
            <w:r w:rsidRPr="00EB4FEE">
              <w:rPr>
                <w:rFonts w:asciiTheme="majorHAnsi" w:eastAsia="Calibri" w:hAnsiTheme="majorHAnsi" w:cstheme="majorHAnsi"/>
                <w:color w:val="595959" w:themeColor="text1" w:themeTint="A6"/>
                <w:lang w:val="en-US"/>
              </w:rPr>
              <w:t>Year 1 (Inception)</w:t>
            </w:r>
          </w:p>
        </w:tc>
        <w:tc>
          <w:tcPr>
            <w:tcW w:w="1803" w:type="dxa"/>
          </w:tcPr>
          <w:p w:rsidR="00A848ED" w:rsidRPr="00EB4FEE" w:rsidRDefault="00A848ED" w:rsidP="002167AE">
            <w:pPr>
              <w:pStyle w:val="BodyText"/>
              <w:keepNext/>
              <w:spacing w:before="0" w:after="120" w:line="240" w:lineRule="auto"/>
              <w:rPr>
                <w:rFonts w:asciiTheme="majorHAnsi" w:eastAsia="Calibri" w:hAnsiTheme="majorHAnsi" w:cstheme="majorHAnsi"/>
                <w:color w:val="595959" w:themeColor="text1" w:themeTint="A6"/>
                <w:lang w:val="en-US"/>
              </w:rPr>
            </w:pPr>
            <w:r w:rsidRPr="00EB4FEE">
              <w:rPr>
                <w:rFonts w:asciiTheme="majorHAnsi" w:eastAsia="Calibri" w:hAnsiTheme="majorHAnsi" w:cstheme="majorHAnsi"/>
                <w:color w:val="595959" w:themeColor="text1" w:themeTint="A6"/>
                <w:lang w:val="en-US"/>
              </w:rPr>
              <w:t>Year 2</w:t>
            </w:r>
          </w:p>
        </w:tc>
        <w:tc>
          <w:tcPr>
            <w:tcW w:w="1803" w:type="dxa"/>
          </w:tcPr>
          <w:p w:rsidR="00A848ED" w:rsidRPr="00EB4FEE" w:rsidRDefault="00A848ED" w:rsidP="002167AE">
            <w:pPr>
              <w:pStyle w:val="BodyText"/>
              <w:keepNext/>
              <w:spacing w:before="0" w:after="120" w:line="240" w:lineRule="auto"/>
              <w:rPr>
                <w:rFonts w:asciiTheme="majorHAnsi" w:eastAsia="Calibri" w:hAnsiTheme="majorHAnsi" w:cstheme="majorHAnsi"/>
                <w:color w:val="595959" w:themeColor="text1" w:themeTint="A6"/>
                <w:lang w:val="en-US"/>
              </w:rPr>
            </w:pPr>
            <w:r w:rsidRPr="00EB4FEE">
              <w:rPr>
                <w:rFonts w:asciiTheme="majorHAnsi" w:eastAsia="Calibri" w:hAnsiTheme="majorHAnsi" w:cstheme="majorHAnsi"/>
                <w:color w:val="595959" w:themeColor="text1" w:themeTint="A6"/>
                <w:lang w:val="en-US"/>
              </w:rPr>
              <w:t>Year 3</w:t>
            </w:r>
          </w:p>
        </w:tc>
        <w:tc>
          <w:tcPr>
            <w:tcW w:w="1803" w:type="dxa"/>
          </w:tcPr>
          <w:p w:rsidR="00A848ED" w:rsidRPr="00EB4FEE" w:rsidRDefault="00A848ED" w:rsidP="002167AE">
            <w:pPr>
              <w:pStyle w:val="BodyText"/>
              <w:keepNext/>
              <w:spacing w:before="0" w:after="120" w:line="240" w:lineRule="auto"/>
              <w:rPr>
                <w:rFonts w:asciiTheme="majorHAnsi" w:eastAsia="Calibri" w:hAnsiTheme="majorHAnsi" w:cstheme="majorHAnsi"/>
                <w:color w:val="595959" w:themeColor="text1" w:themeTint="A6"/>
                <w:lang w:val="en-US"/>
              </w:rPr>
            </w:pPr>
            <w:r w:rsidRPr="00EB4FEE">
              <w:rPr>
                <w:rFonts w:asciiTheme="majorHAnsi" w:eastAsia="Calibri" w:hAnsiTheme="majorHAnsi" w:cstheme="majorHAnsi"/>
                <w:color w:val="595959" w:themeColor="text1" w:themeTint="A6"/>
                <w:lang w:val="en-US"/>
              </w:rPr>
              <w:t>Year 4</w:t>
            </w:r>
          </w:p>
        </w:tc>
        <w:tc>
          <w:tcPr>
            <w:tcW w:w="1804" w:type="dxa"/>
          </w:tcPr>
          <w:p w:rsidR="00A848ED" w:rsidRPr="00EB4FEE" w:rsidRDefault="00A848ED" w:rsidP="002167AE">
            <w:pPr>
              <w:pStyle w:val="BodyText"/>
              <w:keepNext/>
              <w:spacing w:before="0" w:after="120" w:line="240" w:lineRule="auto"/>
              <w:rPr>
                <w:rFonts w:asciiTheme="majorHAnsi" w:eastAsia="Calibri" w:hAnsiTheme="majorHAnsi" w:cstheme="majorHAnsi"/>
                <w:color w:val="595959" w:themeColor="text1" w:themeTint="A6"/>
                <w:lang w:val="en-US"/>
              </w:rPr>
            </w:pPr>
            <w:r w:rsidRPr="00EB4FEE">
              <w:rPr>
                <w:rFonts w:asciiTheme="majorHAnsi" w:eastAsia="Calibri" w:hAnsiTheme="majorHAnsi" w:cstheme="majorHAnsi"/>
                <w:color w:val="595959" w:themeColor="text1" w:themeTint="A6"/>
                <w:lang w:val="en-US"/>
              </w:rPr>
              <w:t>Year 5</w:t>
            </w:r>
          </w:p>
        </w:tc>
      </w:tr>
      <w:tr w:rsidR="00A848ED" w:rsidRPr="009B5EAF" w:rsidTr="002167AE">
        <w:tc>
          <w:tcPr>
            <w:tcW w:w="1803" w:type="dxa"/>
          </w:tcPr>
          <w:p w:rsidR="00A848ED" w:rsidRPr="00EB4FEE" w:rsidRDefault="00A848ED" w:rsidP="00726CF2">
            <w:pPr>
              <w:pStyle w:val="BodyText"/>
              <w:keepNext/>
              <w:spacing w:before="0" w:after="120" w:line="240" w:lineRule="auto"/>
              <w:rPr>
                <w:rFonts w:asciiTheme="majorHAnsi" w:eastAsia="Calibri" w:hAnsiTheme="majorHAnsi" w:cstheme="majorHAnsi"/>
                <w:color w:val="595959" w:themeColor="text1" w:themeTint="A6"/>
                <w:lang w:val="en-US"/>
              </w:rPr>
            </w:pPr>
            <w:r w:rsidRPr="00EB4FEE">
              <w:rPr>
                <w:rFonts w:asciiTheme="majorHAnsi" w:eastAsia="Calibri" w:hAnsiTheme="majorHAnsi" w:cstheme="majorHAnsi"/>
                <w:color w:val="595959" w:themeColor="text1" w:themeTint="A6"/>
                <w:lang w:val="en-US"/>
              </w:rPr>
              <w:t>$</w:t>
            </w:r>
            <w:r w:rsidR="00726CF2">
              <w:rPr>
                <w:rFonts w:asciiTheme="majorHAnsi" w:eastAsia="Calibri" w:hAnsiTheme="majorHAnsi" w:cstheme="majorHAnsi"/>
                <w:color w:val="595959" w:themeColor="text1" w:themeTint="A6"/>
                <w:lang w:val="en-US"/>
              </w:rPr>
              <w:t>1.5</w:t>
            </w:r>
            <w:r w:rsidRPr="00EB4FEE">
              <w:rPr>
                <w:rFonts w:asciiTheme="majorHAnsi" w:eastAsia="Calibri" w:hAnsiTheme="majorHAnsi" w:cstheme="majorHAnsi"/>
                <w:color w:val="595959" w:themeColor="text1" w:themeTint="A6"/>
                <w:lang w:val="en-US"/>
              </w:rPr>
              <w:t xml:space="preserve"> million</w:t>
            </w:r>
          </w:p>
        </w:tc>
        <w:tc>
          <w:tcPr>
            <w:tcW w:w="1803" w:type="dxa"/>
          </w:tcPr>
          <w:p w:rsidR="00A848ED" w:rsidRPr="00EB4FEE" w:rsidRDefault="00A848ED" w:rsidP="002167AE">
            <w:pPr>
              <w:pStyle w:val="BodyText"/>
              <w:keepNext/>
              <w:spacing w:before="0" w:after="120" w:line="240" w:lineRule="auto"/>
              <w:rPr>
                <w:rFonts w:asciiTheme="majorHAnsi" w:eastAsia="Calibri" w:hAnsiTheme="majorHAnsi" w:cstheme="majorHAnsi"/>
                <w:color w:val="595959" w:themeColor="text1" w:themeTint="A6"/>
                <w:lang w:val="en-US"/>
              </w:rPr>
            </w:pPr>
            <w:r w:rsidRPr="00EB4FEE">
              <w:rPr>
                <w:rFonts w:asciiTheme="majorHAnsi" w:eastAsia="Calibri" w:hAnsiTheme="majorHAnsi" w:cstheme="majorHAnsi"/>
                <w:color w:val="595959" w:themeColor="text1" w:themeTint="A6"/>
                <w:lang w:val="en-US"/>
              </w:rPr>
              <w:t>$ 3.5 million</w:t>
            </w:r>
          </w:p>
        </w:tc>
        <w:tc>
          <w:tcPr>
            <w:tcW w:w="1803" w:type="dxa"/>
          </w:tcPr>
          <w:p w:rsidR="00A848ED" w:rsidRPr="00EB4FEE" w:rsidRDefault="00A848ED" w:rsidP="002167AE">
            <w:pPr>
              <w:pStyle w:val="BodyText"/>
              <w:keepNext/>
              <w:spacing w:before="0" w:after="120" w:line="240" w:lineRule="auto"/>
              <w:rPr>
                <w:rFonts w:asciiTheme="majorHAnsi" w:eastAsia="Calibri" w:hAnsiTheme="majorHAnsi" w:cstheme="majorHAnsi"/>
                <w:color w:val="595959" w:themeColor="text1" w:themeTint="A6"/>
                <w:lang w:val="en-US"/>
              </w:rPr>
            </w:pPr>
            <w:r w:rsidRPr="00EB4FEE">
              <w:rPr>
                <w:rFonts w:asciiTheme="majorHAnsi" w:eastAsia="Calibri" w:hAnsiTheme="majorHAnsi" w:cstheme="majorHAnsi"/>
                <w:color w:val="595959" w:themeColor="text1" w:themeTint="A6"/>
                <w:lang w:val="en-US"/>
              </w:rPr>
              <w:t>$3.5 million</w:t>
            </w:r>
          </w:p>
        </w:tc>
        <w:tc>
          <w:tcPr>
            <w:tcW w:w="1803" w:type="dxa"/>
          </w:tcPr>
          <w:p w:rsidR="00A848ED" w:rsidRPr="00EB4FEE" w:rsidRDefault="00A848ED" w:rsidP="002167AE">
            <w:pPr>
              <w:pStyle w:val="BodyText"/>
              <w:keepNext/>
              <w:spacing w:before="0" w:after="120" w:line="240" w:lineRule="auto"/>
              <w:rPr>
                <w:rFonts w:asciiTheme="majorHAnsi" w:eastAsia="Calibri" w:hAnsiTheme="majorHAnsi" w:cstheme="majorHAnsi"/>
                <w:color w:val="595959" w:themeColor="text1" w:themeTint="A6"/>
                <w:lang w:val="en-US"/>
              </w:rPr>
            </w:pPr>
            <w:r w:rsidRPr="00EB4FEE">
              <w:rPr>
                <w:rFonts w:asciiTheme="majorHAnsi" w:eastAsia="Calibri" w:hAnsiTheme="majorHAnsi" w:cstheme="majorHAnsi"/>
                <w:color w:val="595959" w:themeColor="text1" w:themeTint="A6"/>
                <w:lang w:val="en-US"/>
              </w:rPr>
              <w:t>$3</w:t>
            </w:r>
            <w:r w:rsidR="00726CF2">
              <w:rPr>
                <w:rFonts w:asciiTheme="majorHAnsi" w:eastAsia="Calibri" w:hAnsiTheme="majorHAnsi" w:cstheme="majorHAnsi"/>
                <w:color w:val="595959" w:themeColor="text1" w:themeTint="A6"/>
                <w:lang w:val="en-US"/>
              </w:rPr>
              <w:t>.5</w:t>
            </w:r>
            <w:r w:rsidRPr="00EB4FEE">
              <w:rPr>
                <w:rFonts w:asciiTheme="majorHAnsi" w:eastAsia="Calibri" w:hAnsiTheme="majorHAnsi" w:cstheme="majorHAnsi"/>
                <w:color w:val="595959" w:themeColor="text1" w:themeTint="A6"/>
                <w:lang w:val="en-US"/>
              </w:rPr>
              <w:t xml:space="preserve"> million</w:t>
            </w:r>
          </w:p>
        </w:tc>
        <w:tc>
          <w:tcPr>
            <w:tcW w:w="1804" w:type="dxa"/>
          </w:tcPr>
          <w:p w:rsidR="00A848ED" w:rsidRPr="00EB4FEE" w:rsidRDefault="00A848ED" w:rsidP="002167AE">
            <w:pPr>
              <w:pStyle w:val="BodyText"/>
              <w:keepNext/>
              <w:spacing w:before="0" w:after="120" w:line="240" w:lineRule="auto"/>
              <w:rPr>
                <w:rFonts w:asciiTheme="majorHAnsi" w:eastAsia="Calibri" w:hAnsiTheme="majorHAnsi" w:cstheme="majorHAnsi"/>
                <w:color w:val="595959" w:themeColor="text1" w:themeTint="A6"/>
                <w:lang w:val="en-US"/>
              </w:rPr>
            </w:pPr>
            <w:r w:rsidRPr="00EB4FEE">
              <w:rPr>
                <w:rFonts w:asciiTheme="majorHAnsi" w:eastAsia="Calibri" w:hAnsiTheme="majorHAnsi" w:cstheme="majorHAnsi"/>
                <w:color w:val="595959" w:themeColor="text1" w:themeTint="A6"/>
                <w:lang w:val="en-US"/>
              </w:rPr>
              <w:t>$2 million</w:t>
            </w:r>
          </w:p>
        </w:tc>
      </w:tr>
      <w:bookmarkEnd w:id="26"/>
    </w:tbl>
    <w:p w:rsidR="00A848ED" w:rsidRPr="00CB527B" w:rsidRDefault="00A848ED" w:rsidP="005A681E">
      <w:pPr>
        <w:suppressAutoHyphens w:val="0"/>
        <w:spacing w:before="0" w:after="120" w:line="240" w:lineRule="auto"/>
        <w:rPr>
          <w:rFonts w:asciiTheme="majorHAnsi" w:hAnsiTheme="majorHAnsi" w:cstheme="majorHAnsi"/>
        </w:rPr>
      </w:pPr>
    </w:p>
    <w:p w:rsidR="000360D9" w:rsidRPr="00CB527B" w:rsidRDefault="00321869" w:rsidP="00BF6C52">
      <w:pPr>
        <w:pStyle w:val="Heading2"/>
        <w:spacing w:after="120" w:line="240" w:lineRule="auto"/>
        <w:contextualSpacing w:val="0"/>
        <w:rPr>
          <w:rFonts w:eastAsia="Calibri" w:cstheme="majorHAnsi"/>
          <w:sz w:val="22"/>
          <w:szCs w:val="22"/>
          <w:lang w:val="en-US"/>
        </w:rPr>
      </w:pPr>
      <w:bookmarkStart w:id="27" w:name="_Toc3297009"/>
      <w:r w:rsidRPr="00CB527B">
        <w:rPr>
          <w:rFonts w:eastAsia="Calibri" w:cstheme="majorHAnsi"/>
          <w:sz w:val="22"/>
          <w:szCs w:val="22"/>
          <w:lang w:val="en-US"/>
        </w:rPr>
        <w:t>Management arrangements</w:t>
      </w:r>
      <w:bookmarkStart w:id="28" w:name="_Hlk521570926"/>
      <w:bookmarkEnd w:id="27"/>
    </w:p>
    <w:p w:rsidR="008768BA" w:rsidRPr="00EB4FEE" w:rsidRDefault="008768BA">
      <w:pPr>
        <w:suppressAutoHyphens w:val="0"/>
        <w:spacing w:before="0" w:after="12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 xml:space="preserve">The basic responsibilities of the managing contractor are outlined in Figure </w:t>
      </w:r>
      <w:r w:rsidR="00951309" w:rsidRPr="00EB4FEE">
        <w:rPr>
          <w:rFonts w:asciiTheme="majorHAnsi" w:hAnsiTheme="majorHAnsi" w:cstheme="majorHAnsi"/>
          <w:color w:val="595959" w:themeColor="text1" w:themeTint="A6"/>
        </w:rPr>
        <w:t>4</w:t>
      </w:r>
      <w:r w:rsidRPr="00EB4FEE">
        <w:rPr>
          <w:rFonts w:asciiTheme="majorHAnsi" w:hAnsiTheme="majorHAnsi" w:cstheme="majorHAnsi"/>
          <w:color w:val="595959" w:themeColor="text1" w:themeTint="A6"/>
        </w:rPr>
        <w:t xml:space="preserve">: </w:t>
      </w:r>
      <w:r w:rsidR="00951309" w:rsidRPr="00EB4FEE">
        <w:rPr>
          <w:rFonts w:asciiTheme="majorHAnsi" w:hAnsiTheme="majorHAnsi" w:cstheme="majorHAnsi"/>
          <w:color w:val="595959" w:themeColor="text1" w:themeTint="A6"/>
        </w:rPr>
        <w:t>Overview</w:t>
      </w:r>
      <w:r w:rsidR="00535D18">
        <w:rPr>
          <w:rFonts w:asciiTheme="majorHAnsi" w:hAnsiTheme="majorHAnsi" w:cstheme="majorHAnsi"/>
          <w:color w:val="595959" w:themeColor="text1" w:themeTint="A6"/>
        </w:rPr>
        <w:t xml:space="preserve"> of roles and responsibilities.</w:t>
      </w:r>
      <w:r w:rsidR="00951309" w:rsidRPr="00EB4FEE">
        <w:rPr>
          <w:rFonts w:asciiTheme="majorHAnsi" w:hAnsiTheme="majorHAnsi" w:cstheme="majorHAnsi"/>
          <w:color w:val="595959" w:themeColor="text1" w:themeTint="A6"/>
        </w:rPr>
        <w:t xml:space="preserve"> </w:t>
      </w:r>
      <w:r w:rsidRPr="00EB4FEE">
        <w:rPr>
          <w:rFonts w:asciiTheme="majorHAnsi" w:hAnsiTheme="majorHAnsi" w:cstheme="majorHAnsi"/>
          <w:color w:val="595959" w:themeColor="text1" w:themeTint="A6"/>
        </w:rPr>
        <w:t xml:space="preserve">More detailed roles and responsibilities of the managing contractor will be </w:t>
      </w:r>
      <w:r w:rsidR="005A681E" w:rsidRPr="00EB4FEE">
        <w:rPr>
          <w:rFonts w:asciiTheme="majorHAnsi" w:hAnsiTheme="majorHAnsi" w:cstheme="majorHAnsi"/>
          <w:color w:val="595959" w:themeColor="text1" w:themeTint="A6"/>
        </w:rPr>
        <w:t xml:space="preserve">set out </w:t>
      </w:r>
      <w:r w:rsidRPr="00EB4FEE">
        <w:rPr>
          <w:rFonts w:asciiTheme="majorHAnsi" w:hAnsiTheme="majorHAnsi" w:cstheme="majorHAnsi"/>
          <w:color w:val="595959" w:themeColor="text1" w:themeTint="A6"/>
        </w:rPr>
        <w:t>in the scope of requirements</w:t>
      </w:r>
      <w:r w:rsidR="00535D18">
        <w:rPr>
          <w:rFonts w:asciiTheme="majorHAnsi" w:hAnsiTheme="majorHAnsi" w:cstheme="majorHAnsi"/>
          <w:color w:val="595959" w:themeColor="text1" w:themeTint="A6"/>
        </w:rPr>
        <w:t>.</w:t>
      </w:r>
    </w:p>
    <w:p w:rsidR="00B779AC" w:rsidRPr="0043356C" w:rsidRDefault="00B779AC" w:rsidP="00BF6C52">
      <w:pPr>
        <w:pStyle w:val="Heading2"/>
        <w:spacing w:after="120" w:line="240" w:lineRule="auto"/>
        <w:contextualSpacing w:val="0"/>
        <w:rPr>
          <w:rFonts w:eastAsia="Calibri" w:cstheme="majorHAnsi"/>
          <w:sz w:val="22"/>
          <w:szCs w:val="22"/>
          <w:lang w:val="en-US"/>
        </w:rPr>
      </w:pPr>
      <w:bookmarkStart w:id="29" w:name="_Toc3297010"/>
      <w:r w:rsidRPr="0043356C">
        <w:rPr>
          <w:rFonts w:eastAsia="Calibri" w:cstheme="majorHAnsi"/>
          <w:sz w:val="22"/>
          <w:szCs w:val="22"/>
          <w:lang w:val="en-US"/>
        </w:rPr>
        <w:t>Human Resources/Staffing</w:t>
      </w:r>
      <w:bookmarkEnd w:id="29"/>
    </w:p>
    <w:p w:rsidR="001D1579" w:rsidRPr="00C51D70" w:rsidRDefault="003E380F" w:rsidP="00C51D70">
      <w:pPr>
        <w:suppressAutoHyphens w:val="0"/>
        <w:spacing w:before="0" w:after="120" w:line="240" w:lineRule="auto"/>
        <w:rPr>
          <w:rFonts w:asciiTheme="majorHAnsi" w:hAnsiTheme="majorHAnsi" w:cstheme="majorHAnsi"/>
          <w:color w:val="595959" w:themeColor="text1" w:themeTint="A6"/>
        </w:rPr>
      </w:pPr>
      <w:r w:rsidRPr="00C51D70">
        <w:rPr>
          <w:rFonts w:asciiTheme="majorHAnsi" w:hAnsiTheme="majorHAnsi" w:cstheme="majorHAnsi"/>
          <w:color w:val="595959" w:themeColor="text1" w:themeTint="A6"/>
        </w:rPr>
        <w:t>Bidders</w:t>
      </w:r>
      <w:r w:rsidR="001D1579" w:rsidRPr="00C51D70">
        <w:rPr>
          <w:rFonts w:asciiTheme="majorHAnsi" w:hAnsiTheme="majorHAnsi" w:cstheme="majorHAnsi"/>
          <w:color w:val="595959" w:themeColor="text1" w:themeTint="A6"/>
        </w:rPr>
        <w:t xml:space="preserve"> will</w:t>
      </w:r>
      <w:r w:rsidRPr="00C51D70">
        <w:rPr>
          <w:rFonts w:asciiTheme="majorHAnsi" w:hAnsiTheme="majorHAnsi" w:cstheme="majorHAnsi"/>
          <w:color w:val="595959" w:themeColor="text1" w:themeTint="A6"/>
        </w:rPr>
        <w:t xml:space="preserve"> propose the personnel to manage and implement the program in their technical proposals. They will need to propose positions/personnel with the </w:t>
      </w:r>
      <w:r w:rsidR="001D1579" w:rsidRPr="00C51D70">
        <w:rPr>
          <w:rFonts w:asciiTheme="majorHAnsi" w:hAnsiTheme="majorHAnsi" w:cstheme="majorHAnsi"/>
          <w:color w:val="595959" w:themeColor="text1" w:themeTint="A6"/>
        </w:rPr>
        <w:t>appropriate technical, management and operation skills needed to</w:t>
      </w:r>
      <w:r w:rsidRPr="00C51D70">
        <w:rPr>
          <w:rFonts w:asciiTheme="majorHAnsi" w:hAnsiTheme="majorHAnsi" w:cstheme="majorHAnsi"/>
          <w:color w:val="595959" w:themeColor="text1" w:themeTint="A6"/>
        </w:rPr>
        <w:t xml:space="preserve"> manage, deliver and</w:t>
      </w:r>
      <w:r w:rsidR="001D1579" w:rsidRPr="00C51D70">
        <w:rPr>
          <w:rFonts w:asciiTheme="majorHAnsi" w:hAnsiTheme="majorHAnsi" w:cstheme="majorHAnsi"/>
          <w:color w:val="595959" w:themeColor="text1" w:themeTint="A6"/>
        </w:rPr>
        <w:t xml:space="preserve"> maintain</w:t>
      </w:r>
      <w:r w:rsidRPr="00C51D70">
        <w:rPr>
          <w:rFonts w:asciiTheme="majorHAnsi" w:hAnsiTheme="majorHAnsi" w:cstheme="majorHAnsi"/>
          <w:color w:val="595959" w:themeColor="text1" w:themeTint="A6"/>
        </w:rPr>
        <w:t xml:space="preserve"> the</w:t>
      </w:r>
      <w:r w:rsidR="001D1579" w:rsidRPr="00C51D70">
        <w:rPr>
          <w:rFonts w:asciiTheme="majorHAnsi" w:hAnsiTheme="majorHAnsi" w:cstheme="majorHAnsi"/>
          <w:color w:val="595959" w:themeColor="text1" w:themeTint="A6"/>
        </w:rPr>
        <w:t xml:space="preserve"> continuity </w:t>
      </w:r>
      <w:r w:rsidRPr="00C51D70">
        <w:rPr>
          <w:rFonts w:asciiTheme="majorHAnsi" w:hAnsiTheme="majorHAnsi" w:cstheme="majorHAnsi"/>
          <w:color w:val="595959" w:themeColor="text1" w:themeTint="A6"/>
        </w:rPr>
        <w:t>of</w:t>
      </w:r>
      <w:r w:rsidR="001D1579" w:rsidRPr="00C51D70">
        <w:rPr>
          <w:rFonts w:asciiTheme="majorHAnsi" w:hAnsiTheme="majorHAnsi" w:cstheme="majorHAnsi"/>
          <w:color w:val="595959" w:themeColor="text1" w:themeTint="A6"/>
        </w:rPr>
        <w:t xml:space="preserve"> the program. The core management team will liaise closely with DFAT throughout implementation to ensure the program remains responsive to Indonesian and Australian priorities and meets their information needs. </w:t>
      </w:r>
    </w:p>
    <w:p w:rsidR="001D1579" w:rsidRPr="00C51D70" w:rsidRDefault="001D1579" w:rsidP="001D1579">
      <w:pPr>
        <w:suppressAutoHyphens w:val="0"/>
        <w:spacing w:before="0" w:after="120" w:line="240" w:lineRule="auto"/>
        <w:rPr>
          <w:rFonts w:asciiTheme="majorHAnsi" w:hAnsiTheme="majorHAnsi" w:cstheme="majorHAnsi"/>
          <w:color w:val="595959" w:themeColor="text1" w:themeTint="A6"/>
        </w:rPr>
      </w:pPr>
      <w:r w:rsidRPr="00C51D70">
        <w:rPr>
          <w:rFonts w:asciiTheme="majorHAnsi" w:hAnsiTheme="majorHAnsi" w:cstheme="majorHAnsi"/>
          <w:color w:val="595959" w:themeColor="text1" w:themeTint="A6"/>
        </w:rPr>
        <w:t>Employment conditions for international</w:t>
      </w:r>
      <w:r w:rsidR="003C68DD" w:rsidRPr="00C51D70">
        <w:rPr>
          <w:rFonts w:asciiTheme="majorHAnsi" w:hAnsiTheme="majorHAnsi" w:cstheme="majorHAnsi"/>
          <w:color w:val="595959" w:themeColor="text1" w:themeTint="A6"/>
        </w:rPr>
        <w:t>ly-recruited</w:t>
      </w:r>
      <w:r w:rsidRPr="00C51D70">
        <w:rPr>
          <w:rFonts w:asciiTheme="majorHAnsi" w:hAnsiTheme="majorHAnsi" w:cstheme="majorHAnsi"/>
          <w:color w:val="595959" w:themeColor="text1" w:themeTint="A6"/>
        </w:rPr>
        <w:t xml:space="preserve"> staff contracted as part of the core management team will align with the DFAT Adviser Remuneration Framework. Remuneration rates and employment conditions for national</w:t>
      </w:r>
      <w:r w:rsidR="003C68DD" w:rsidRPr="00C51D70">
        <w:rPr>
          <w:rFonts w:asciiTheme="majorHAnsi" w:hAnsiTheme="majorHAnsi" w:cstheme="majorHAnsi"/>
          <w:color w:val="595959" w:themeColor="text1" w:themeTint="A6"/>
        </w:rPr>
        <w:t>ly-recruited</w:t>
      </w:r>
      <w:r w:rsidRPr="00C51D70">
        <w:rPr>
          <w:rFonts w:asciiTheme="majorHAnsi" w:hAnsiTheme="majorHAnsi" w:cstheme="majorHAnsi"/>
          <w:color w:val="595959" w:themeColor="text1" w:themeTint="A6"/>
        </w:rPr>
        <w:t xml:space="preserve"> staff will be expected to be commensurate with existing norms, and align with other donor-funded programs in Indonesia and local employment and manpower legislation.</w:t>
      </w:r>
    </w:p>
    <w:p w:rsidR="001D1579" w:rsidRPr="00C51D70" w:rsidRDefault="001D1579" w:rsidP="001D1579">
      <w:pPr>
        <w:suppressAutoHyphens w:val="0"/>
        <w:spacing w:before="0" w:after="120" w:line="240" w:lineRule="auto"/>
        <w:rPr>
          <w:rFonts w:asciiTheme="majorHAnsi" w:hAnsiTheme="majorHAnsi" w:cstheme="majorHAnsi"/>
          <w:color w:val="595959" w:themeColor="text1" w:themeTint="A6"/>
        </w:rPr>
      </w:pPr>
      <w:r w:rsidRPr="003E380F">
        <w:rPr>
          <w:rFonts w:asciiTheme="majorHAnsi" w:hAnsiTheme="majorHAnsi" w:cstheme="majorHAnsi"/>
          <w:color w:val="595959" w:themeColor="text1" w:themeTint="A6"/>
        </w:rPr>
        <w:t>Prospective bidders will be asked to outline how they will resource the program</w:t>
      </w:r>
      <w:r w:rsidR="00321408" w:rsidRPr="003E380F">
        <w:rPr>
          <w:rFonts w:asciiTheme="majorHAnsi" w:hAnsiTheme="majorHAnsi" w:cstheme="majorHAnsi"/>
          <w:color w:val="595959" w:themeColor="text1" w:themeTint="A6"/>
        </w:rPr>
        <w:t>,</w:t>
      </w:r>
      <w:r w:rsidRPr="003E380F">
        <w:rPr>
          <w:rFonts w:asciiTheme="majorHAnsi" w:hAnsiTheme="majorHAnsi" w:cstheme="majorHAnsi"/>
          <w:color w:val="595959" w:themeColor="text1" w:themeTint="A6"/>
        </w:rPr>
        <w:t xml:space="preserve"> including the names and CVs of the people who they put forward in the key positions</w:t>
      </w:r>
      <w:r w:rsidRPr="00C51D70">
        <w:rPr>
          <w:rFonts w:asciiTheme="majorHAnsi" w:hAnsiTheme="majorHAnsi" w:cstheme="majorHAnsi"/>
          <w:color w:val="595959" w:themeColor="text1" w:themeTint="A6"/>
        </w:rPr>
        <w:t>.</w:t>
      </w:r>
    </w:p>
    <w:p w:rsidR="0059785D" w:rsidRPr="00CB527B" w:rsidRDefault="0059785D" w:rsidP="00BF6C52">
      <w:pPr>
        <w:pStyle w:val="Heading2"/>
        <w:spacing w:after="120" w:line="240" w:lineRule="auto"/>
        <w:contextualSpacing w:val="0"/>
        <w:rPr>
          <w:rFonts w:eastAsia="Calibri" w:cstheme="majorHAnsi"/>
          <w:sz w:val="22"/>
          <w:szCs w:val="22"/>
          <w:lang w:val="en-US"/>
        </w:rPr>
      </w:pPr>
      <w:bookmarkStart w:id="30" w:name="_Toc3297011"/>
      <w:r w:rsidRPr="00CB527B">
        <w:rPr>
          <w:rFonts w:eastAsia="Calibri" w:cstheme="majorHAnsi"/>
          <w:sz w:val="22"/>
          <w:szCs w:val="22"/>
          <w:lang w:val="en-US"/>
        </w:rPr>
        <w:t>Communications and Reporting</w:t>
      </w:r>
      <w:bookmarkEnd w:id="30"/>
    </w:p>
    <w:p w:rsidR="0059785D" w:rsidRPr="00EB4FEE" w:rsidRDefault="008768BA">
      <w:pPr>
        <w:suppressAutoHyphens w:val="0"/>
        <w:spacing w:before="0" w:after="12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 xml:space="preserve">The managing contractor will work with DFAT </w:t>
      </w:r>
      <w:r w:rsidR="003E5180" w:rsidRPr="00EB4FEE">
        <w:rPr>
          <w:rFonts w:asciiTheme="majorHAnsi" w:hAnsiTheme="majorHAnsi" w:cstheme="majorHAnsi"/>
          <w:color w:val="595959" w:themeColor="text1" w:themeTint="A6"/>
        </w:rPr>
        <w:t xml:space="preserve">during the inception period </w:t>
      </w:r>
      <w:r w:rsidRPr="00EB4FEE">
        <w:rPr>
          <w:rFonts w:asciiTheme="majorHAnsi" w:hAnsiTheme="majorHAnsi" w:cstheme="majorHAnsi"/>
          <w:color w:val="595959" w:themeColor="text1" w:themeTint="A6"/>
        </w:rPr>
        <w:t xml:space="preserve">to develop a communications </w:t>
      </w:r>
      <w:r w:rsidR="00A35D00">
        <w:rPr>
          <w:rFonts w:asciiTheme="majorHAnsi" w:hAnsiTheme="majorHAnsi" w:cstheme="majorHAnsi"/>
          <w:color w:val="595959" w:themeColor="text1" w:themeTint="A6"/>
        </w:rPr>
        <w:t xml:space="preserve">and public affairs </w:t>
      </w:r>
      <w:r w:rsidRPr="00EB4FEE">
        <w:rPr>
          <w:rFonts w:asciiTheme="majorHAnsi" w:hAnsiTheme="majorHAnsi" w:cstheme="majorHAnsi"/>
          <w:color w:val="595959" w:themeColor="text1" w:themeTint="A6"/>
        </w:rPr>
        <w:t>strategy that supports the dissemination of information and learning from the program stakeholders</w:t>
      </w:r>
      <w:r w:rsidR="00535D18">
        <w:rPr>
          <w:rFonts w:asciiTheme="majorHAnsi" w:hAnsiTheme="majorHAnsi" w:cstheme="majorHAnsi"/>
          <w:color w:val="595959" w:themeColor="text1" w:themeTint="A6"/>
        </w:rPr>
        <w:t xml:space="preserve">. </w:t>
      </w:r>
      <w:r w:rsidRPr="00EB4FEE">
        <w:rPr>
          <w:rFonts w:asciiTheme="majorHAnsi" w:hAnsiTheme="majorHAnsi" w:cstheme="majorHAnsi"/>
          <w:color w:val="595959" w:themeColor="text1" w:themeTint="A6"/>
        </w:rPr>
        <w:t>The communications</w:t>
      </w:r>
      <w:r w:rsidR="00A35D00">
        <w:rPr>
          <w:rFonts w:asciiTheme="majorHAnsi" w:hAnsiTheme="majorHAnsi" w:cstheme="majorHAnsi"/>
          <w:color w:val="595959" w:themeColor="text1" w:themeTint="A6"/>
        </w:rPr>
        <w:t xml:space="preserve"> and public affairs</w:t>
      </w:r>
      <w:r w:rsidRPr="00EB4FEE">
        <w:rPr>
          <w:rFonts w:asciiTheme="majorHAnsi" w:hAnsiTheme="majorHAnsi" w:cstheme="majorHAnsi"/>
          <w:color w:val="595959" w:themeColor="text1" w:themeTint="A6"/>
        </w:rPr>
        <w:t xml:space="preserve"> strategy will need to identify information needs for all key stakeholders, including GoI partners, DFAT</w:t>
      </w:r>
      <w:r w:rsidR="009B5EAF">
        <w:rPr>
          <w:rFonts w:asciiTheme="majorHAnsi" w:hAnsiTheme="majorHAnsi" w:cstheme="majorHAnsi"/>
          <w:color w:val="595959" w:themeColor="text1" w:themeTint="A6"/>
        </w:rPr>
        <w:t>, the</w:t>
      </w:r>
      <w:r w:rsidRPr="00EB4FEE">
        <w:rPr>
          <w:rFonts w:asciiTheme="majorHAnsi" w:hAnsiTheme="majorHAnsi" w:cstheme="majorHAnsi"/>
          <w:color w:val="595959" w:themeColor="text1" w:themeTint="A6"/>
        </w:rPr>
        <w:t xml:space="preserve"> Australian tax-payer, non-government stakeholders and program beneficiaries</w:t>
      </w:r>
      <w:r w:rsidR="00535D18">
        <w:rPr>
          <w:rFonts w:asciiTheme="majorHAnsi" w:hAnsiTheme="majorHAnsi" w:cstheme="majorHAnsi"/>
          <w:color w:val="595959" w:themeColor="text1" w:themeTint="A6"/>
        </w:rPr>
        <w:t xml:space="preserve">. </w:t>
      </w:r>
      <w:r w:rsidRPr="00EB4FEE">
        <w:rPr>
          <w:rFonts w:asciiTheme="majorHAnsi" w:hAnsiTheme="majorHAnsi" w:cstheme="majorHAnsi"/>
          <w:color w:val="595959" w:themeColor="text1" w:themeTint="A6"/>
        </w:rPr>
        <w:t xml:space="preserve">The strategy </w:t>
      </w:r>
      <w:r w:rsidR="003E5180" w:rsidRPr="00EB4FEE">
        <w:rPr>
          <w:rFonts w:asciiTheme="majorHAnsi" w:hAnsiTheme="majorHAnsi" w:cstheme="majorHAnsi"/>
          <w:color w:val="595959" w:themeColor="text1" w:themeTint="A6"/>
        </w:rPr>
        <w:t xml:space="preserve">should </w:t>
      </w:r>
      <w:r w:rsidRPr="00EB4FEE">
        <w:rPr>
          <w:rFonts w:asciiTheme="majorHAnsi" w:hAnsiTheme="majorHAnsi" w:cstheme="majorHAnsi"/>
          <w:color w:val="595959" w:themeColor="text1" w:themeTint="A6"/>
        </w:rPr>
        <w:t>link to the Monitoring</w:t>
      </w:r>
      <w:r w:rsidR="00934426">
        <w:rPr>
          <w:rFonts w:asciiTheme="majorHAnsi" w:hAnsiTheme="majorHAnsi" w:cstheme="majorHAnsi"/>
          <w:color w:val="595959" w:themeColor="text1" w:themeTint="A6"/>
        </w:rPr>
        <w:t>,</w:t>
      </w:r>
      <w:r w:rsidRPr="00EB4FEE">
        <w:rPr>
          <w:rFonts w:asciiTheme="majorHAnsi" w:hAnsiTheme="majorHAnsi" w:cstheme="majorHAnsi"/>
          <w:color w:val="595959" w:themeColor="text1" w:themeTint="A6"/>
        </w:rPr>
        <w:t xml:space="preserve"> Evaluation </w:t>
      </w:r>
      <w:r w:rsidR="00A35D00">
        <w:rPr>
          <w:rFonts w:asciiTheme="majorHAnsi" w:hAnsiTheme="majorHAnsi" w:cstheme="majorHAnsi"/>
          <w:color w:val="595959" w:themeColor="text1" w:themeTint="A6"/>
        </w:rPr>
        <w:t xml:space="preserve">and Learning </w:t>
      </w:r>
      <w:r w:rsidRPr="00EB4FEE">
        <w:rPr>
          <w:rFonts w:asciiTheme="majorHAnsi" w:hAnsiTheme="majorHAnsi" w:cstheme="majorHAnsi"/>
          <w:color w:val="595959" w:themeColor="text1" w:themeTint="A6"/>
        </w:rPr>
        <w:t>Framework</w:t>
      </w:r>
      <w:r w:rsidR="00A35D00">
        <w:rPr>
          <w:rFonts w:asciiTheme="majorHAnsi" w:hAnsiTheme="majorHAnsi" w:cstheme="majorHAnsi"/>
          <w:color w:val="595959" w:themeColor="text1" w:themeTint="A6"/>
        </w:rPr>
        <w:t xml:space="preserve"> (MELF).</w:t>
      </w:r>
      <w:r w:rsidR="00934426">
        <w:rPr>
          <w:rFonts w:asciiTheme="majorHAnsi" w:hAnsiTheme="majorHAnsi" w:cstheme="majorHAnsi"/>
          <w:color w:val="595959" w:themeColor="text1" w:themeTint="A6"/>
        </w:rPr>
        <w:t xml:space="preserve"> </w:t>
      </w:r>
      <w:r w:rsidR="00605C0F" w:rsidRPr="00EB4FEE">
        <w:rPr>
          <w:rFonts w:asciiTheme="majorHAnsi" w:hAnsiTheme="majorHAnsi" w:cstheme="majorHAnsi"/>
          <w:color w:val="595959" w:themeColor="text1" w:themeTint="A6"/>
        </w:rPr>
        <w:t>Qualitative data will be tailored to different audiences and purposes, such as policy briefs, case studies, and stories of change</w:t>
      </w:r>
      <w:r w:rsidR="00535D18">
        <w:rPr>
          <w:rFonts w:asciiTheme="majorHAnsi" w:hAnsiTheme="majorHAnsi" w:cstheme="majorHAnsi"/>
          <w:color w:val="595959" w:themeColor="text1" w:themeTint="A6"/>
        </w:rPr>
        <w:t xml:space="preserve">. </w:t>
      </w:r>
      <w:r w:rsidR="003E5180" w:rsidRPr="00EB4FEE">
        <w:rPr>
          <w:rFonts w:asciiTheme="majorHAnsi" w:hAnsiTheme="majorHAnsi" w:cstheme="majorHAnsi"/>
          <w:color w:val="595959" w:themeColor="text1" w:themeTint="A6"/>
        </w:rPr>
        <w:t>This will</w:t>
      </w:r>
      <w:r w:rsidR="00605C0F" w:rsidRPr="00EB4FEE">
        <w:rPr>
          <w:rFonts w:asciiTheme="majorHAnsi" w:hAnsiTheme="majorHAnsi" w:cstheme="majorHAnsi"/>
          <w:color w:val="595959" w:themeColor="text1" w:themeTint="A6"/>
        </w:rPr>
        <w:t xml:space="preserve"> ensure</w:t>
      </w:r>
      <w:r w:rsidR="003E5180" w:rsidRPr="00EB4FEE">
        <w:rPr>
          <w:rFonts w:asciiTheme="majorHAnsi" w:hAnsiTheme="majorHAnsi" w:cstheme="majorHAnsi"/>
          <w:color w:val="595959" w:themeColor="text1" w:themeTint="A6"/>
        </w:rPr>
        <w:t xml:space="preserve"> that</w:t>
      </w:r>
      <w:r w:rsidR="00605C0F" w:rsidRPr="00EB4FEE">
        <w:rPr>
          <w:rFonts w:asciiTheme="majorHAnsi" w:hAnsiTheme="majorHAnsi" w:cstheme="majorHAnsi"/>
          <w:color w:val="595959" w:themeColor="text1" w:themeTint="A6"/>
        </w:rPr>
        <w:t xml:space="preserve"> </w:t>
      </w:r>
      <w:r w:rsidR="003E5180" w:rsidRPr="00EB4FEE">
        <w:rPr>
          <w:rFonts w:asciiTheme="majorHAnsi" w:hAnsiTheme="majorHAnsi" w:cstheme="majorHAnsi"/>
          <w:color w:val="595959" w:themeColor="text1" w:themeTint="A6"/>
        </w:rPr>
        <w:t>information generated by the program will</w:t>
      </w:r>
      <w:r w:rsidR="00605C0F" w:rsidRPr="00EB4FEE">
        <w:rPr>
          <w:rFonts w:asciiTheme="majorHAnsi" w:hAnsiTheme="majorHAnsi" w:cstheme="majorHAnsi"/>
          <w:color w:val="595959" w:themeColor="text1" w:themeTint="A6"/>
        </w:rPr>
        <w:t xml:space="preserve"> support broader analysis of the enabling environment and </w:t>
      </w:r>
      <w:r w:rsidR="00230A9F" w:rsidRPr="00EB4FEE">
        <w:rPr>
          <w:rFonts w:asciiTheme="majorHAnsi" w:hAnsiTheme="majorHAnsi" w:cstheme="majorHAnsi"/>
          <w:color w:val="595959" w:themeColor="text1" w:themeTint="A6"/>
        </w:rPr>
        <w:t xml:space="preserve">will be </w:t>
      </w:r>
      <w:r w:rsidR="00605C0F" w:rsidRPr="00EB4FEE">
        <w:rPr>
          <w:rFonts w:asciiTheme="majorHAnsi" w:hAnsiTheme="majorHAnsi" w:cstheme="majorHAnsi"/>
          <w:color w:val="595959" w:themeColor="text1" w:themeTint="A6"/>
        </w:rPr>
        <w:t>relevant and meaningful to a range of different stakeholders</w:t>
      </w:r>
      <w:r w:rsidR="00535D18">
        <w:rPr>
          <w:rFonts w:asciiTheme="majorHAnsi" w:hAnsiTheme="majorHAnsi" w:cstheme="majorHAnsi"/>
          <w:color w:val="595959" w:themeColor="text1" w:themeTint="A6"/>
        </w:rPr>
        <w:t>.</w:t>
      </w:r>
      <w:r w:rsidR="00C83B0C" w:rsidRPr="00EB4FEE">
        <w:rPr>
          <w:rFonts w:asciiTheme="majorHAnsi" w:hAnsiTheme="majorHAnsi" w:cstheme="majorHAnsi"/>
          <w:color w:val="595959" w:themeColor="text1" w:themeTint="A6"/>
        </w:rPr>
        <w:t xml:space="preserve"> </w:t>
      </w:r>
      <w:r w:rsidR="00605C0F" w:rsidRPr="00EB4FEE">
        <w:rPr>
          <w:rFonts w:asciiTheme="majorHAnsi" w:hAnsiTheme="majorHAnsi" w:cstheme="majorHAnsi"/>
          <w:color w:val="595959" w:themeColor="text1" w:themeTint="A6"/>
        </w:rPr>
        <w:t xml:space="preserve">Quantitative data sourced from the </w:t>
      </w:r>
      <w:r w:rsidR="00051312" w:rsidRPr="00EB4FEE">
        <w:rPr>
          <w:rFonts w:asciiTheme="majorHAnsi" w:hAnsiTheme="majorHAnsi" w:cstheme="majorHAnsi"/>
          <w:color w:val="595959" w:themeColor="text1" w:themeTint="A6"/>
        </w:rPr>
        <w:t>ME</w:t>
      </w:r>
      <w:r w:rsidR="00A35D00">
        <w:rPr>
          <w:rFonts w:asciiTheme="majorHAnsi" w:hAnsiTheme="majorHAnsi" w:cstheme="majorHAnsi"/>
          <w:color w:val="595959" w:themeColor="text1" w:themeTint="A6"/>
        </w:rPr>
        <w:t>L</w:t>
      </w:r>
      <w:r w:rsidR="003457BA">
        <w:rPr>
          <w:rFonts w:asciiTheme="majorHAnsi" w:hAnsiTheme="majorHAnsi" w:cstheme="majorHAnsi"/>
          <w:color w:val="595959" w:themeColor="text1" w:themeTint="A6"/>
        </w:rPr>
        <w:t>F</w:t>
      </w:r>
      <w:r w:rsidR="00605C0F" w:rsidRPr="00EB4FEE">
        <w:rPr>
          <w:rFonts w:asciiTheme="majorHAnsi" w:hAnsiTheme="majorHAnsi" w:cstheme="majorHAnsi"/>
          <w:color w:val="595959" w:themeColor="text1" w:themeTint="A6"/>
        </w:rPr>
        <w:t xml:space="preserve"> will be collated into reports that provide DFAT and key program partners with </w:t>
      </w:r>
      <w:r w:rsidR="00230A9F" w:rsidRPr="00EB4FEE">
        <w:rPr>
          <w:rFonts w:asciiTheme="majorHAnsi" w:hAnsiTheme="majorHAnsi" w:cstheme="majorHAnsi"/>
          <w:color w:val="595959" w:themeColor="text1" w:themeTint="A6"/>
        </w:rPr>
        <w:t>evidence</w:t>
      </w:r>
      <w:r w:rsidR="00605C0F" w:rsidRPr="00EB4FEE">
        <w:rPr>
          <w:rFonts w:asciiTheme="majorHAnsi" w:hAnsiTheme="majorHAnsi" w:cstheme="majorHAnsi"/>
          <w:color w:val="595959" w:themeColor="text1" w:themeTint="A6"/>
        </w:rPr>
        <w:t xml:space="preserve"> of headline results from the program</w:t>
      </w:r>
      <w:r w:rsidR="00535D18">
        <w:rPr>
          <w:rFonts w:asciiTheme="majorHAnsi" w:hAnsiTheme="majorHAnsi" w:cstheme="majorHAnsi"/>
          <w:color w:val="595959" w:themeColor="text1" w:themeTint="A6"/>
        </w:rPr>
        <w:t>.</w:t>
      </w:r>
    </w:p>
    <w:p w:rsidR="00437E34" w:rsidRPr="00EB4FEE" w:rsidRDefault="00605C0F">
      <w:pPr>
        <w:suppressAutoHyphens w:val="0"/>
        <w:spacing w:before="0" w:after="12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 xml:space="preserve">The reporting cycle for the </w:t>
      </w:r>
      <w:r w:rsidR="00C21F0B" w:rsidRPr="00EB4FEE">
        <w:rPr>
          <w:rFonts w:asciiTheme="majorHAnsi" w:hAnsiTheme="majorHAnsi" w:cstheme="majorHAnsi"/>
          <w:color w:val="595959" w:themeColor="text1" w:themeTint="A6"/>
        </w:rPr>
        <w:t>p</w:t>
      </w:r>
      <w:r w:rsidRPr="00EB4FEE">
        <w:rPr>
          <w:rFonts w:asciiTheme="majorHAnsi" w:hAnsiTheme="majorHAnsi" w:cstheme="majorHAnsi"/>
          <w:color w:val="595959" w:themeColor="text1" w:themeTint="A6"/>
        </w:rPr>
        <w:t>rogram will include six-monthly and annual reports from the managing contractor</w:t>
      </w:r>
      <w:r w:rsidR="00230A9F" w:rsidRPr="00EB4FEE">
        <w:rPr>
          <w:rFonts w:asciiTheme="majorHAnsi" w:hAnsiTheme="majorHAnsi" w:cstheme="majorHAnsi"/>
          <w:color w:val="595959" w:themeColor="text1" w:themeTint="A6"/>
        </w:rPr>
        <w:t xml:space="preserve"> linked to the annual w</w:t>
      </w:r>
      <w:r w:rsidRPr="00EB4FEE">
        <w:rPr>
          <w:rFonts w:asciiTheme="majorHAnsi" w:hAnsiTheme="majorHAnsi" w:cstheme="majorHAnsi"/>
          <w:color w:val="595959" w:themeColor="text1" w:themeTint="A6"/>
        </w:rPr>
        <w:t xml:space="preserve">ork plans </w:t>
      </w:r>
      <w:r w:rsidR="00230A9F" w:rsidRPr="00EB4FEE">
        <w:rPr>
          <w:rFonts w:asciiTheme="majorHAnsi" w:hAnsiTheme="majorHAnsi" w:cstheme="majorHAnsi"/>
          <w:color w:val="595959" w:themeColor="text1" w:themeTint="A6"/>
        </w:rPr>
        <w:t>as approved by the PCC</w:t>
      </w:r>
      <w:r w:rsidR="00535D18">
        <w:rPr>
          <w:rFonts w:asciiTheme="majorHAnsi" w:hAnsiTheme="majorHAnsi" w:cstheme="majorHAnsi"/>
          <w:color w:val="595959" w:themeColor="text1" w:themeTint="A6"/>
        </w:rPr>
        <w:t xml:space="preserve">. </w:t>
      </w:r>
      <w:r w:rsidRPr="00EB4FEE">
        <w:rPr>
          <w:rFonts w:asciiTheme="majorHAnsi" w:hAnsiTheme="majorHAnsi" w:cstheme="majorHAnsi"/>
          <w:color w:val="595959" w:themeColor="text1" w:themeTint="A6"/>
        </w:rPr>
        <w:t xml:space="preserve">The content, structure and timing of the reports will be </w:t>
      </w:r>
      <w:r w:rsidR="00230A9F" w:rsidRPr="00EB4FEE">
        <w:rPr>
          <w:rFonts w:asciiTheme="majorHAnsi" w:hAnsiTheme="majorHAnsi" w:cstheme="majorHAnsi"/>
          <w:color w:val="595959" w:themeColor="text1" w:themeTint="A6"/>
        </w:rPr>
        <w:t>agreed</w:t>
      </w:r>
      <w:r w:rsidRPr="00EB4FEE">
        <w:rPr>
          <w:rFonts w:asciiTheme="majorHAnsi" w:hAnsiTheme="majorHAnsi" w:cstheme="majorHAnsi"/>
          <w:color w:val="595959" w:themeColor="text1" w:themeTint="A6"/>
        </w:rPr>
        <w:t xml:space="preserve"> with DFAT during the inception phase, but the annual report will generally include: a general review of the previous </w:t>
      </w:r>
      <w:r w:rsidR="001B2156">
        <w:rPr>
          <w:rFonts w:asciiTheme="majorHAnsi" w:hAnsiTheme="majorHAnsi" w:cstheme="majorHAnsi"/>
          <w:color w:val="595959" w:themeColor="text1" w:themeTint="A6"/>
        </w:rPr>
        <w:t>twelve</w:t>
      </w:r>
      <w:r w:rsidRPr="00EB4FEE">
        <w:rPr>
          <w:rFonts w:asciiTheme="majorHAnsi" w:hAnsiTheme="majorHAnsi" w:cstheme="majorHAnsi"/>
          <w:color w:val="595959" w:themeColor="text1" w:themeTint="A6"/>
        </w:rPr>
        <w:t xml:space="preserve"> month</w:t>
      </w:r>
      <w:r w:rsidR="00C21F0B" w:rsidRPr="00EB4FEE">
        <w:rPr>
          <w:rFonts w:asciiTheme="majorHAnsi" w:hAnsiTheme="majorHAnsi" w:cstheme="majorHAnsi"/>
          <w:color w:val="595959" w:themeColor="text1" w:themeTint="A6"/>
        </w:rPr>
        <w:t>s</w:t>
      </w:r>
      <w:r w:rsidRPr="00EB4FEE">
        <w:rPr>
          <w:rFonts w:asciiTheme="majorHAnsi" w:hAnsiTheme="majorHAnsi" w:cstheme="majorHAnsi"/>
          <w:color w:val="595959" w:themeColor="text1" w:themeTint="A6"/>
        </w:rPr>
        <w:t xml:space="preserve"> (key outcomes/results against the ME</w:t>
      </w:r>
      <w:r w:rsidR="00A35D00">
        <w:rPr>
          <w:rFonts w:asciiTheme="majorHAnsi" w:hAnsiTheme="majorHAnsi" w:cstheme="majorHAnsi"/>
          <w:color w:val="595959" w:themeColor="text1" w:themeTint="A6"/>
        </w:rPr>
        <w:t>L</w:t>
      </w:r>
      <w:r w:rsidR="003457BA">
        <w:rPr>
          <w:rFonts w:asciiTheme="majorHAnsi" w:hAnsiTheme="majorHAnsi" w:cstheme="majorHAnsi"/>
          <w:color w:val="595959" w:themeColor="text1" w:themeTint="A6"/>
        </w:rPr>
        <w:t>F</w:t>
      </w:r>
      <w:r w:rsidRPr="00EB4FEE">
        <w:rPr>
          <w:rFonts w:asciiTheme="majorHAnsi" w:hAnsiTheme="majorHAnsi" w:cstheme="majorHAnsi"/>
          <w:color w:val="595959" w:themeColor="text1" w:themeTint="A6"/>
        </w:rPr>
        <w:t>); progress against targets/work</w:t>
      </w:r>
      <w:r w:rsidR="00E36F14" w:rsidRPr="00EB4FEE">
        <w:rPr>
          <w:rFonts w:asciiTheme="majorHAnsi" w:hAnsiTheme="majorHAnsi" w:cstheme="majorHAnsi"/>
          <w:color w:val="595959" w:themeColor="text1" w:themeTint="A6"/>
        </w:rPr>
        <w:t xml:space="preserve"> </w:t>
      </w:r>
      <w:r w:rsidRPr="00EB4FEE">
        <w:rPr>
          <w:rFonts w:asciiTheme="majorHAnsi" w:hAnsiTheme="majorHAnsi" w:cstheme="majorHAnsi"/>
          <w:color w:val="595959" w:themeColor="text1" w:themeTint="A6"/>
        </w:rPr>
        <w:t>plans; key issues and constraints; and requests for alterations to the planned activity schedule</w:t>
      </w:r>
      <w:r w:rsidR="00535D18">
        <w:rPr>
          <w:rFonts w:asciiTheme="majorHAnsi" w:hAnsiTheme="majorHAnsi" w:cstheme="majorHAnsi"/>
          <w:color w:val="595959" w:themeColor="text1" w:themeTint="A6"/>
        </w:rPr>
        <w:t xml:space="preserve">. </w:t>
      </w:r>
      <w:r w:rsidRPr="00EB4FEE">
        <w:rPr>
          <w:rFonts w:asciiTheme="majorHAnsi" w:hAnsiTheme="majorHAnsi" w:cstheme="majorHAnsi"/>
          <w:color w:val="595959" w:themeColor="text1" w:themeTint="A6"/>
        </w:rPr>
        <w:t xml:space="preserve">A summary of expenditure against the budget should be </w:t>
      </w:r>
      <w:r w:rsidR="00535D18">
        <w:rPr>
          <w:rFonts w:asciiTheme="majorHAnsi" w:hAnsiTheme="majorHAnsi" w:cstheme="majorHAnsi"/>
          <w:color w:val="595959" w:themeColor="text1" w:themeTint="A6"/>
        </w:rPr>
        <w:t>forwarded independently to DFAT.</w:t>
      </w:r>
    </w:p>
    <w:p w:rsidR="00794C57" w:rsidRPr="0043356C" w:rsidRDefault="00794C57" w:rsidP="00BF6C52">
      <w:pPr>
        <w:pStyle w:val="Heading2"/>
        <w:spacing w:after="120" w:line="240" w:lineRule="auto"/>
        <w:contextualSpacing w:val="0"/>
        <w:rPr>
          <w:rFonts w:cstheme="majorHAnsi"/>
          <w:sz w:val="22"/>
          <w:szCs w:val="22"/>
        </w:rPr>
      </w:pPr>
      <w:bookmarkStart w:id="31" w:name="_Toc3297012"/>
      <w:bookmarkEnd w:id="28"/>
      <w:r w:rsidRPr="0043356C">
        <w:rPr>
          <w:rFonts w:cstheme="majorHAnsi"/>
          <w:sz w:val="22"/>
          <w:szCs w:val="22"/>
        </w:rPr>
        <w:t>Monitoring</w:t>
      </w:r>
      <w:r w:rsidR="00A35D00">
        <w:rPr>
          <w:rFonts w:cstheme="majorHAnsi"/>
          <w:sz w:val="22"/>
          <w:szCs w:val="22"/>
        </w:rPr>
        <w:t>,</w:t>
      </w:r>
      <w:r w:rsidR="00934426">
        <w:rPr>
          <w:rFonts w:cstheme="majorHAnsi"/>
          <w:sz w:val="22"/>
          <w:szCs w:val="22"/>
        </w:rPr>
        <w:t xml:space="preserve"> </w:t>
      </w:r>
      <w:r w:rsidRPr="0043356C">
        <w:rPr>
          <w:rFonts w:cstheme="majorHAnsi"/>
          <w:sz w:val="22"/>
          <w:szCs w:val="22"/>
        </w:rPr>
        <w:t>Evaluation</w:t>
      </w:r>
      <w:r w:rsidR="00A35D00">
        <w:rPr>
          <w:rFonts w:cstheme="majorHAnsi"/>
          <w:sz w:val="22"/>
          <w:szCs w:val="22"/>
        </w:rPr>
        <w:t xml:space="preserve"> and </w:t>
      </w:r>
      <w:r w:rsidR="00C51D70">
        <w:rPr>
          <w:rFonts w:cstheme="majorHAnsi"/>
          <w:sz w:val="22"/>
          <w:szCs w:val="22"/>
        </w:rPr>
        <w:t>Learning</w:t>
      </w:r>
      <w:r w:rsidRPr="0043356C">
        <w:rPr>
          <w:rFonts w:cstheme="majorHAnsi"/>
          <w:sz w:val="22"/>
          <w:szCs w:val="22"/>
        </w:rPr>
        <w:t xml:space="preserve"> </w:t>
      </w:r>
      <w:r w:rsidR="00210B70">
        <w:rPr>
          <w:rFonts w:cstheme="majorHAnsi"/>
          <w:sz w:val="22"/>
          <w:szCs w:val="22"/>
        </w:rPr>
        <w:t>(MEL)</w:t>
      </w:r>
      <w:bookmarkEnd w:id="31"/>
    </w:p>
    <w:p w:rsidR="008768BA" w:rsidRPr="00EB4FEE" w:rsidRDefault="007A5F6C">
      <w:pPr>
        <w:tabs>
          <w:tab w:val="left" w:pos="0"/>
        </w:tabs>
        <w:suppressAutoHyphens w:val="0"/>
        <w:spacing w:before="0" w:after="120" w:line="240" w:lineRule="auto"/>
        <w:rPr>
          <w:rFonts w:asciiTheme="majorHAnsi" w:hAnsiTheme="majorHAnsi" w:cstheme="majorHAnsi"/>
          <w:color w:val="595959" w:themeColor="text1" w:themeTint="A6"/>
        </w:rPr>
      </w:pPr>
      <w:r>
        <w:rPr>
          <w:rFonts w:asciiTheme="majorHAnsi" w:hAnsiTheme="majorHAnsi" w:cstheme="majorHAnsi"/>
          <w:color w:val="595959" w:themeColor="text1" w:themeTint="A6"/>
        </w:rPr>
        <w:t>A p</w:t>
      </w:r>
      <w:r w:rsidR="00276389">
        <w:rPr>
          <w:rFonts w:asciiTheme="majorHAnsi" w:hAnsiTheme="majorHAnsi" w:cstheme="majorHAnsi"/>
          <w:color w:val="595959" w:themeColor="text1" w:themeTint="A6"/>
        </w:rPr>
        <w:t>reliminary d</w:t>
      </w:r>
      <w:r>
        <w:rPr>
          <w:rFonts w:asciiTheme="majorHAnsi" w:hAnsiTheme="majorHAnsi" w:cstheme="majorHAnsi"/>
          <w:color w:val="595959" w:themeColor="text1" w:themeTint="A6"/>
        </w:rPr>
        <w:t>escription of the</w:t>
      </w:r>
      <w:r w:rsidR="00A35D00">
        <w:rPr>
          <w:rFonts w:asciiTheme="majorHAnsi" w:hAnsiTheme="majorHAnsi" w:cstheme="majorHAnsi"/>
          <w:color w:val="595959" w:themeColor="text1" w:themeTint="A6"/>
        </w:rPr>
        <w:t xml:space="preserve"> MELF</w:t>
      </w:r>
      <w:r w:rsidR="008768BA" w:rsidRPr="00EB4FEE">
        <w:rPr>
          <w:rFonts w:asciiTheme="majorHAnsi" w:hAnsiTheme="majorHAnsi" w:cstheme="majorHAnsi"/>
          <w:color w:val="595959" w:themeColor="text1" w:themeTint="A6"/>
        </w:rPr>
        <w:t xml:space="preserve"> is attached at Annex </w:t>
      </w:r>
      <w:r w:rsidR="006256F3">
        <w:rPr>
          <w:rFonts w:asciiTheme="majorHAnsi" w:hAnsiTheme="majorHAnsi" w:cstheme="majorHAnsi"/>
          <w:color w:val="595959" w:themeColor="text1" w:themeTint="A6"/>
        </w:rPr>
        <w:t>A</w:t>
      </w:r>
      <w:r w:rsidR="00795383">
        <w:rPr>
          <w:rFonts w:asciiTheme="majorHAnsi" w:hAnsiTheme="majorHAnsi" w:cstheme="majorHAnsi"/>
          <w:color w:val="595959" w:themeColor="text1" w:themeTint="A6"/>
        </w:rPr>
        <w:t>; it describes some of the key principles and components that should be included in the final ME</w:t>
      </w:r>
      <w:r w:rsidR="00A35D00">
        <w:rPr>
          <w:rFonts w:asciiTheme="majorHAnsi" w:hAnsiTheme="majorHAnsi" w:cstheme="majorHAnsi"/>
          <w:color w:val="595959" w:themeColor="text1" w:themeTint="A6"/>
        </w:rPr>
        <w:t>LF</w:t>
      </w:r>
      <w:r w:rsidR="00795383">
        <w:rPr>
          <w:rFonts w:asciiTheme="majorHAnsi" w:hAnsiTheme="majorHAnsi" w:cstheme="majorHAnsi"/>
          <w:color w:val="595959" w:themeColor="text1" w:themeTint="A6"/>
        </w:rPr>
        <w:t>.</w:t>
      </w:r>
      <w:r w:rsidR="00951309" w:rsidRPr="00EB4FEE">
        <w:rPr>
          <w:rFonts w:asciiTheme="majorHAnsi" w:hAnsiTheme="majorHAnsi" w:cstheme="majorHAnsi"/>
          <w:color w:val="595959" w:themeColor="text1" w:themeTint="A6"/>
        </w:rPr>
        <w:t xml:space="preserve"> </w:t>
      </w:r>
      <w:r w:rsidR="008768BA" w:rsidRPr="00EB4FEE">
        <w:rPr>
          <w:rFonts w:asciiTheme="majorHAnsi" w:hAnsiTheme="majorHAnsi" w:cstheme="majorHAnsi"/>
          <w:color w:val="595959" w:themeColor="text1" w:themeTint="A6"/>
        </w:rPr>
        <w:t>Th</w:t>
      </w:r>
      <w:r>
        <w:rPr>
          <w:rFonts w:asciiTheme="majorHAnsi" w:hAnsiTheme="majorHAnsi" w:cstheme="majorHAnsi"/>
          <w:color w:val="595959" w:themeColor="text1" w:themeTint="A6"/>
        </w:rPr>
        <w:t>e ME</w:t>
      </w:r>
      <w:r w:rsidR="00A35D00">
        <w:rPr>
          <w:rFonts w:asciiTheme="majorHAnsi" w:hAnsiTheme="majorHAnsi" w:cstheme="majorHAnsi"/>
          <w:color w:val="595959" w:themeColor="text1" w:themeTint="A6"/>
        </w:rPr>
        <w:t>LF</w:t>
      </w:r>
      <w:r w:rsidR="008768BA" w:rsidRPr="00EB4FEE">
        <w:rPr>
          <w:rFonts w:asciiTheme="majorHAnsi" w:hAnsiTheme="majorHAnsi" w:cstheme="majorHAnsi"/>
          <w:color w:val="595959" w:themeColor="text1" w:themeTint="A6"/>
        </w:rPr>
        <w:t xml:space="preserve"> will be</w:t>
      </w:r>
      <w:r w:rsidR="00795383">
        <w:rPr>
          <w:rFonts w:asciiTheme="majorHAnsi" w:hAnsiTheme="majorHAnsi" w:cstheme="majorHAnsi"/>
          <w:color w:val="595959" w:themeColor="text1" w:themeTint="A6"/>
        </w:rPr>
        <w:t xml:space="preserve"> further developed and</w:t>
      </w:r>
      <w:r w:rsidR="008768BA" w:rsidRPr="00EB4FEE">
        <w:rPr>
          <w:rFonts w:asciiTheme="majorHAnsi" w:hAnsiTheme="majorHAnsi" w:cstheme="majorHAnsi"/>
          <w:color w:val="595959" w:themeColor="text1" w:themeTint="A6"/>
        </w:rPr>
        <w:t xml:space="preserve"> completed by the managing contractor during the inception period in collaboration with DFAT and key development partners</w:t>
      </w:r>
      <w:r w:rsidR="00535D18">
        <w:rPr>
          <w:rFonts w:asciiTheme="majorHAnsi" w:hAnsiTheme="majorHAnsi" w:cstheme="majorHAnsi"/>
          <w:color w:val="595959" w:themeColor="text1" w:themeTint="A6"/>
        </w:rPr>
        <w:t xml:space="preserve">. </w:t>
      </w:r>
      <w:r w:rsidR="008768BA" w:rsidRPr="00EB4FEE">
        <w:rPr>
          <w:rFonts w:asciiTheme="majorHAnsi" w:hAnsiTheme="majorHAnsi" w:cstheme="majorHAnsi"/>
          <w:color w:val="595959" w:themeColor="text1" w:themeTint="A6"/>
        </w:rPr>
        <w:t>The managing contractor will be expected to ensure that the finalised ME</w:t>
      </w:r>
      <w:r w:rsidR="00A35D00">
        <w:rPr>
          <w:rFonts w:asciiTheme="majorHAnsi" w:hAnsiTheme="majorHAnsi" w:cstheme="majorHAnsi"/>
          <w:color w:val="595959" w:themeColor="text1" w:themeTint="A6"/>
        </w:rPr>
        <w:t>LF</w:t>
      </w:r>
      <w:r w:rsidR="008768BA" w:rsidRPr="00EB4FEE">
        <w:rPr>
          <w:rFonts w:asciiTheme="majorHAnsi" w:hAnsiTheme="majorHAnsi" w:cstheme="majorHAnsi"/>
          <w:color w:val="595959" w:themeColor="text1" w:themeTint="A6"/>
        </w:rPr>
        <w:t xml:space="preserve"> and progress reports meet DFAT’s M&amp;E Standards.</w:t>
      </w:r>
      <w:r w:rsidR="008768BA" w:rsidRPr="00EB4FEE">
        <w:rPr>
          <w:rFonts w:asciiTheme="majorHAnsi" w:hAnsiTheme="majorHAnsi" w:cstheme="majorHAnsi"/>
          <w:color w:val="595959" w:themeColor="text1" w:themeTint="A6"/>
          <w:vertAlign w:val="superscript"/>
        </w:rPr>
        <w:footnoteReference w:id="19"/>
      </w:r>
      <w:r w:rsidR="008768BA" w:rsidRPr="00EB4FEE">
        <w:rPr>
          <w:rFonts w:asciiTheme="majorHAnsi" w:hAnsiTheme="majorHAnsi" w:cstheme="majorHAnsi"/>
          <w:color w:val="595959" w:themeColor="text1" w:themeTint="A6"/>
          <w:vertAlign w:val="superscript"/>
        </w:rPr>
        <w:t xml:space="preserve"> </w:t>
      </w:r>
    </w:p>
    <w:p w:rsidR="008768BA" w:rsidRPr="00EB4FEE" w:rsidRDefault="008768BA">
      <w:pPr>
        <w:tabs>
          <w:tab w:val="left" w:pos="0"/>
        </w:tabs>
        <w:suppressAutoHyphens w:val="0"/>
        <w:spacing w:before="0" w:after="12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 xml:space="preserve">Outcome level </w:t>
      </w:r>
      <w:r w:rsidR="00276389" w:rsidRPr="00EB4FEE">
        <w:rPr>
          <w:rFonts w:asciiTheme="majorHAnsi" w:hAnsiTheme="majorHAnsi" w:cstheme="majorHAnsi"/>
          <w:color w:val="595959" w:themeColor="text1" w:themeTint="A6"/>
        </w:rPr>
        <w:t xml:space="preserve">Key Performance Indicators </w:t>
      </w:r>
      <w:r w:rsidR="00276389">
        <w:rPr>
          <w:rFonts w:asciiTheme="majorHAnsi" w:hAnsiTheme="majorHAnsi" w:cstheme="majorHAnsi"/>
          <w:color w:val="595959" w:themeColor="text1" w:themeTint="A6"/>
        </w:rPr>
        <w:t>(</w:t>
      </w:r>
      <w:r w:rsidRPr="00EB4FEE">
        <w:rPr>
          <w:rFonts w:asciiTheme="majorHAnsi" w:hAnsiTheme="majorHAnsi" w:cstheme="majorHAnsi"/>
          <w:color w:val="595959" w:themeColor="text1" w:themeTint="A6"/>
        </w:rPr>
        <w:t>KPIs</w:t>
      </w:r>
      <w:r w:rsidR="00276389">
        <w:rPr>
          <w:rFonts w:asciiTheme="majorHAnsi" w:hAnsiTheme="majorHAnsi" w:cstheme="majorHAnsi"/>
          <w:color w:val="595959" w:themeColor="text1" w:themeTint="A6"/>
        </w:rPr>
        <w:t>)</w:t>
      </w:r>
      <w:r w:rsidRPr="00EB4FEE">
        <w:rPr>
          <w:rFonts w:asciiTheme="majorHAnsi" w:hAnsiTheme="majorHAnsi" w:cstheme="majorHAnsi"/>
          <w:color w:val="595959" w:themeColor="text1" w:themeTint="A6"/>
        </w:rPr>
        <w:t xml:space="preserve"> will include quantitative and qualitative indicators to answer the following questions:</w:t>
      </w:r>
    </w:p>
    <w:p w:rsidR="008768BA" w:rsidRPr="00EB4FEE" w:rsidRDefault="008768BA">
      <w:pPr>
        <w:numPr>
          <w:ilvl w:val="0"/>
          <w:numId w:val="46"/>
        </w:numPr>
        <w:tabs>
          <w:tab w:val="left" w:pos="0"/>
        </w:tabs>
        <w:suppressAutoHyphens w:val="0"/>
        <w:spacing w:before="0" w:after="12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How effective was AIHSP in helping to improve policies and procedures related to health security?</w:t>
      </w:r>
    </w:p>
    <w:p w:rsidR="008768BA" w:rsidRPr="00EB4FEE" w:rsidRDefault="008768BA" w:rsidP="001D2A7D">
      <w:pPr>
        <w:numPr>
          <w:ilvl w:val="0"/>
          <w:numId w:val="46"/>
        </w:numPr>
        <w:tabs>
          <w:tab w:val="left" w:pos="0"/>
        </w:tabs>
        <w:suppressAutoHyphens w:val="0"/>
        <w:spacing w:before="0" w:after="12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 xml:space="preserve">Are </w:t>
      </w:r>
      <w:r w:rsidR="00D30917" w:rsidRPr="00EB4FEE">
        <w:rPr>
          <w:rFonts w:asciiTheme="majorHAnsi" w:hAnsiTheme="majorHAnsi" w:cstheme="majorHAnsi"/>
          <w:color w:val="595959" w:themeColor="text1" w:themeTint="A6"/>
        </w:rPr>
        <w:t>k</w:t>
      </w:r>
      <w:r w:rsidRPr="00EB4FEE">
        <w:rPr>
          <w:rFonts w:asciiTheme="majorHAnsi" w:hAnsiTheme="majorHAnsi" w:cstheme="majorHAnsi"/>
          <w:color w:val="595959" w:themeColor="text1" w:themeTint="A6"/>
        </w:rPr>
        <w:t>ey Indonesia</w:t>
      </w:r>
      <w:r w:rsidR="00D30917" w:rsidRPr="00EB4FEE">
        <w:rPr>
          <w:rFonts w:asciiTheme="majorHAnsi" w:hAnsiTheme="majorHAnsi" w:cstheme="majorHAnsi"/>
          <w:color w:val="595959" w:themeColor="text1" w:themeTint="A6"/>
        </w:rPr>
        <w:t>n</w:t>
      </w:r>
      <w:r w:rsidRPr="00EB4FEE">
        <w:rPr>
          <w:rFonts w:asciiTheme="majorHAnsi" w:hAnsiTheme="majorHAnsi" w:cstheme="majorHAnsi"/>
          <w:color w:val="595959" w:themeColor="text1" w:themeTint="A6"/>
        </w:rPr>
        <w:t xml:space="preserve"> agencies routinely coordinating and using formal means of information exchange</w:t>
      </w:r>
      <w:r w:rsidR="00D30917" w:rsidRPr="00EB4FEE">
        <w:rPr>
          <w:rFonts w:asciiTheme="majorHAnsi" w:hAnsiTheme="majorHAnsi" w:cstheme="majorHAnsi"/>
          <w:color w:val="595959" w:themeColor="text1" w:themeTint="A6"/>
        </w:rPr>
        <w:t>?</w:t>
      </w:r>
      <w:r w:rsidRPr="00EB4FEE">
        <w:rPr>
          <w:rFonts w:asciiTheme="majorHAnsi" w:hAnsiTheme="majorHAnsi" w:cstheme="majorHAnsi"/>
          <w:color w:val="595959" w:themeColor="text1" w:themeTint="A6"/>
        </w:rPr>
        <w:t xml:space="preserve"> </w:t>
      </w:r>
      <w:r w:rsidR="00D30917" w:rsidRPr="00EB4FEE">
        <w:rPr>
          <w:rFonts w:asciiTheme="majorHAnsi" w:hAnsiTheme="majorHAnsi" w:cstheme="majorHAnsi"/>
          <w:color w:val="595959" w:themeColor="text1" w:themeTint="A6"/>
        </w:rPr>
        <w:t>How has AIHSP contributed to improved coordination and information exchange</w:t>
      </w:r>
      <w:r w:rsidRPr="00EB4FEE">
        <w:rPr>
          <w:rFonts w:asciiTheme="majorHAnsi" w:hAnsiTheme="majorHAnsi" w:cstheme="majorHAnsi"/>
          <w:color w:val="595959" w:themeColor="text1" w:themeTint="A6"/>
        </w:rPr>
        <w:t>?</w:t>
      </w:r>
    </w:p>
    <w:p w:rsidR="008768BA" w:rsidRPr="00EB4FEE" w:rsidRDefault="00DB42ED">
      <w:pPr>
        <w:numPr>
          <w:ilvl w:val="0"/>
          <w:numId w:val="46"/>
        </w:numPr>
        <w:tabs>
          <w:tab w:val="left" w:pos="0"/>
        </w:tabs>
        <w:suppressAutoHyphens w:val="0"/>
        <w:spacing w:before="0" w:after="12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 xml:space="preserve">Do </w:t>
      </w:r>
      <w:r w:rsidR="008768BA" w:rsidRPr="00EB4FEE">
        <w:rPr>
          <w:rFonts w:asciiTheme="majorHAnsi" w:hAnsiTheme="majorHAnsi" w:cstheme="majorHAnsi"/>
          <w:color w:val="595959" w:themeColor="text1" w:themeTint="A6"/>
        </w:rPr>
        <w:t>GoI animal and human health surveillance</w:t>
      </w:r>
      <w:r w:rsidRPr="00EB4FEE">
        <w:rPr>
          <w:rFonts w:asciiTheme="majorHAnsi" w:hAnsiTheme="majorHAnsi" w:cstheme="majorHAnsi"/>
          <w:color w:val="595959" w:themeColor="text1" w:themeTint="A6"/>
        </w:rPr>
        <w:t xml:space="preserve"> systems</w:t>
      </w:r>
      <w:r w:rsidR="008768BA" w:rsidRPr="00EB4FEE">
        <w:rPr>
          <w:rFonts w:asciiTheme="majorHAnsi" w:hAnsiTheme="majorHAnsi" w:cstheme="majorHAnsi"/>
          <w:color w:val="595959" w:themeColor="text1" w:themeTint="A6"/>
        </w:rPr>
        <w:t xml:space="preserve"> produce sufficiently useful and relevant information to inform decisions</w:t>
      </w:r>
      <w:r w:rsidR="00535D18">
        <w:rPr>
          <w:rFonts w:asciiTheme="majorHAnsi" w:hAnsiTheme="majorHAnsi" w:cstheme="majorHAnsi"/>
          <w:color w:val="595959" w:themeColor="text1" w:themeTint="A6"/>
        </w:rPr>
        <w:t xml:space="preserve">? </w:t>
      </w:r>
      <w:r w:rsidRPr="00EB4FEE">
        <w:rPr>
          <w:rFonts w:asciiTheme="majorHAnsi" w:hAnsiTheme="majorHAnsi" w:cstheme="majorHAnsi"/>
          <w:color w:val="595959" w:themeColor="text1" w:themeTint="A6"/>
        </w:rPr>
        <w:t xml:space="preserve">How has </w:t>
      </w:r>
      <w:r w:rsidR="008768BA" w:rsidRPr="00EB4FEE">
        <w:rPr>
          <w:rFonts w:asciiTheme="majorHAnsi" w:hAnsiTheme="majorHAnsi" w:cstheme="majorHAnsi"/>
          <w:color w:val="595959" w:themeColor="text1" w:themeTint="A6"/>
        </w:rPr>
        <w:t>AIHSP</w:t>
      </w:r>
      <w:r w:rsidRPr="00EB4FEE">
        <w:rPr>
          <w:rFonts w:asciiTheme="majorHAnsi" w:hAnsiTheme="majorHAnsi" w:cstheme="majorHAnsi"/>
          <w:color w:val="595959" w:themeColor="text1" w:themeTint="A6"/>
        </w:rPr>
        <w:t xml:space="preserve"> contributed to this</w:t>
      </w:r>
      <w:r w:rsidR="008768BA" w:rsidRPr="00EB4FEE">
        <w:rPr>
          <w:rFonts w:asciiTheme="majorHAnsi" w:hAnsiTheme="majorHAnsi" w:cstheme="majorHAnsi"/>
          <w:color w:val="595959" w:themeColor="text1" w:themeTint="A6"/>
        </w:rPr>
        <w:t>?</w:t>
      </w:r>
    </w:p>
    <w:p w:rsidR="008768BA" w:rsidRPr="00EB4FEE" w:rsidRDefault="008768BA">
      <w:pPr>
        <w:numPr>
          <w:ilvl w:val="0"/>
          <w:numId w:val="46"/>
        </w:numPr>
        <w:tabs>
          <w:tab w:val="left" w:pos="0"/>
        </w:tabs>
        <w:suppressAutoHyphens w:val="0"/>
        <w:spacing w:before="0" w:after="12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How effective</w:t>
      </w:r>
      <w:r w:rsidR="00DB42ED" w:rsidRPr="00EB4FEE">
        <w:rPr>
          <w:rFonts w:asciiTheme="majorHAnsi" w:hAnsiTheme="majorHAnsi" w:cstheme="majorHAnsi"/>
          <w:color w:val="595959" w:themeColor="text1" w:themeTint="A6"/>
        </w:rPr>
        <w:t>ly</w:t>
      </w:r>
      <w:r w:rsidRPr="00EB4FEE">
        <w:rPr>
          <w:rFonts w:asciiTheme="majorHAnsi" w:hAnsiTheme="majorHAnsi" w:cstheme="majorHAnsi"/>
          <w:color w:val="595959" w:themeColor="text1" w:themeTint="A6"/>
        </w:rPr>
        <w:t xml:space="preserve"> </w:t>
      </w:r>
      <w:r w:rsidR="00DB42ED" w:rsidRPr="00EB4FEE">
        <w:rPr>
          <w:rFonts w:asciiTheme="majorHAnsi" w:hAnsiTheme="majorHAnsi" w:cstheme="majorHAnsi"/>
          <w:color w:val="595959" w:themeColor="text1" w:themeTint="A6"/>
        </w:rPr>
        <w:t xml:space="preserve">has </w:t>
      </w:r>
      <w:r w:rsidRPr="00EB4FEE">
        <w:rPr>
          <w:rFonts w:asciiTheme="majorHAnsi" w:hAnsiTheme="majorHAnsi" w:cstheme="majorHAnsi"/>
          <w:color w:val="595959" w:themeColor="text1" w:themeTint="A6"/>
        </w:rPr>
        <w:t>AIHSP strengthen</w:t>
      </w:r>
      <w:r w:rsidR="00DB42ED" w:rsidRPr="00EB4FEE">
        <w:rPr>
          <w:rFonts w:asciiTheme="majorHAnsi" w:hAnsiTheme="majorHAnsi" w:cstheme="majorHAnsi"/>
          <w:color w:val="595959" w:themeColor="text1" w:themeTint="A6"/>
        </w:rPr>
        <w:t>ed</w:t>
      </w:r>
      <w:r w:rsidRPr="00EB4FEE">
        <w:rPr>
          <w:rFonts w:asciiTheme="majorHAnsi" w:hAnsiTheme="majorHAnsi" w:cstheme="majorHAnsi"/>
          <w:color w:val="595959" w:themeColor="text1" w:themeTint="A6"/>
        </w:rPr>
        <w:t xml:space="preserve"> </w:t>
      </w:r>
      <w:r w:rsidR="00DB42ED" w:rsidRPr="00EB4FEE">
        <w:rPr>
          <w:rFonts w:asciiTheme="majorHAnsi" w:hAnsiTheme="majorHAnsi" w:cstheme="majorHAnsi"/>
          <w:color w:val="595959" w:themeColor="text1" w:themeTint="A6"/>
        </w:rPr>
        <w:t xml:space="preserve">partnerships </w:t>
      </w:r>
      <w:r w:rsidRPr="00EB4FEE">
        <w:rPr>
          <w:rFonts w:asciiTheme="majorHAnsi" w:hAnsiTheme="majorHAnsi" w:cstheme="majorHAnsi"/>
          <w:color w:val="595959" w:themeColor="text1" w:themeTint="A6"/>
        </w:rPr>
        <w:t>between regional, Australian, and Indonesian institutions on health security issues?</w:t>
      </w:r>
    </w:p>
    <w:p w:rsidR="008768BA" w:rsidRDefault="008768BA">
      <w:pPr>
        <w:numPr>
          <w:ilvl w:val="0"/>
          <w:numId w:val="46"/>
        </w:numPr>
        <w:tabs>
          <w:tab w:val="left" w:pos="0"/>
        </w:tabs>
        <w:suppressAutoHyphens w:val="0"/>
        <w:spacing w:before="0" w:after="12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How relevant and strategic are the choice of activities?</w:t>
      </w:r>
    </w:p>
    <w:p w:rsidR="00276389" w:rsidRPr="00EB4FEE" w:rsidRDefault="00276389" w:rsidP="00276389">
      <w:pPr>
        <w:numPr>
          <w:ilvl w:val="0"/>
          <w:numId w:val="46"/>
        </w:numPr>
        <w:tabs>
          <w:tab w:val="left" w:pos="0"/>
        </w:tabs>
        <w:suppressAutoHyphens w:val="0"/>
        <w:spacing w:before="0" w:after="120" w:line="240" w:lineRule="auto"/>
        <w:rPr>
          <w:rFonts w:asciiTheme="majorHAnsi" w:hAnsiTheme="majorHAnsi" w:cstheme="majorHAnsi"/>
          <w:color w:val="595959" w:themeColor="text1" w:themeTint="A6"/>
        </w:rPr>
      </w:pPr>
      <w:r>
        <w:rPr>
          <w:rFonts w:asciiTheme="majorHAnsi" w:hAnsiTheme="majorHAnsi" w:cstheme="majorHAnsi"/>
          <w:color w:val="595959" w:themeColor="text1" w:themeTint="A6"/>
        </w:rPr>
        <w:t>Are</w:t>
      </w:r>
      <w:r w:rsidRPr="00276389">
        <w:rPr>
          <w:rFonts w:asciiTheme="majorHAnsi" w:hAnsiTheme="majorHAnsi" w:cstheme="majorHAnsi"/>
          <w:color w:val="595959" w:themeColor="text1" w:themeTint="A6"/>
        </w:rPr>
        <w:t xml:space="preserve"> activit</w:t>
      </w:r>
      <w:r>
        <w:rPr>
          <w:rFonts w:asciiTheme="majorHAnsi" w:hAnsiTheme="majorHAnsi" w:cstheme="majorHAnsi"/>
          <w:color w:val="595959" w:themeColor="text1" w:themeTint="A6"/>
        </w:rPr>
        <w:t>ies</w:t>
      </w:r>
      <w:r w:rsidRPr="00276389">
        <w:rPr>
          <w:rFonts w:asciiTheme="majorHAnsi" w:hAnsiTheme="majorHAnsi" w:cstheme="majorHAnsi"/>
          <w:color w:val="595959" w:themeColor="text1" w:themeTint="A6"/>
        </w:rPr>
        <w:t xml:space="preserve"> being replicated, or influencing national policy at sufficient scale to have impact (if applicable)?</w:t>
      </w:r>
    </w:p>
    <w:p w:rsidR="008768BA" w:rsidRPr="00EB4FEE" w:rsidRDefault="008768BA">
      <w:pPr>
        <w:numPr>
          <w:ilvl w:val="0"/>
          <w:numId w:val="46"/>
        </w:numPr>
        <w:tabs>
          <w:tab w:val="left" w:pos="0"/>
        </w:tabs>
        <w:suppressAutoHyphens w:val="0"/>
        <w:spacing w:before="0" w:after="12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How well managed is the program?</w:t>
      </w:r>
    </w:p>
    <w:p w:rsidR="008768BA" w:rsidRPr="00EB4FEE" w:rsidRDefault="008768BA">
      <w:pPr>
        <w:numPr>
          <w:ilvl w:val="0"/>
          <w:numId w:val="46"/>
        </w:numPr>
        <w:tabs>
          <w:tab w:val="left" w:pos="0"/>
        </w:tabs>
        <w:suppressAutoHyphens w:val="0"/>
        <w:spacing w:before="0" w:after="12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 xml:space="preserve">How well has the project coordinated with other Australian Government initiatives? </w:t>
      </w:r>
    </w:p>
    <w:p w:rsidR="008768BA" w:rsidRPr="00EB4FEE" w:rsidRDefault="008768BA">
      <w:pPr>
        <w:numPr>
          <w:ilvl w:val="0"/>
          <w:numId w:val="46"/>
        </w:numPr>
        <w:tabs>
          <w:tab w:val="left" w:pos="0"/>
        </w:tabs>
        <w:suppressAutoHyphens w:val="0"/>
        <w:spacing w:before="0" w:after="12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How well are projects achieving their expected outcomes</w:t>
      </w:r>
      <w:r w:rsidR="00535D18">
        <w:rPr>
          <w:rFonts w:asciiTheme="majorHAnsi" w:hAnsiTheme="majorHAnsi" w:cstheme="majorHAnsi"/>
          <w:color w:val="595959" w:themeColor="text1" w:themeTint="A6"/>
        </w:rPr>
        <w:t xml:space="preserve">? </w:t>
      </w:r>
      <w:r w:rsidR="00DB42ED" w:rsidRPr="00EB4FEE">
        <w:rPr>
          <w:rFonts w:asciiTheme="majorHAnsi" w:hAnsiTheme="majorHAnsi" w:cstheme="majorHAnsi"/>
          <w:color w:val="595959" w:themeColor="text1" w:themeTint="A6"/>
        </w:rPr>
        <w:t>W</w:t>
      </w:r>
      <w:r w:rsidRPr="00EB4FEE">
        <w:rPr>
          <w:rFonts w:asciiTheme="majorHAnsi" w:hAnsiTheme="majorHAnsi" w:cstheme="majorHAnsi"/>
          <w:color w:val="595959" w:themeColor="text1" w:themeTint="A6"/>
        </w:rPr>
        <w:t>hat was the quality and reach of outputs?</w:t>
      </w:r>
    </w:p>
    <w:p w:rsidR="008768BA" w:rsidRPr="00EB4FEE" w:rsidRDefault="008768BA">
      <w:pPr>
        <w:numPr>
          <w:ilvl w:val="0"/>
          <w:numId w:val="46"/>
        </w:numPr>
        <w:tabs>
          <w:tab w:val="left" w:pos="0"/>
        </w:tabs>
        <w:suppressAutoHyphens w:val="0"/>
        <w:spacing w:before="0" w:after="120" w:line="240" w:lineRule="auto"/>
        <w:ind w:left="357" w:hanging="357"/>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 xml:space="preserve">Does the program respond to the findings of the Gender Gap Analysis (to be carried out by the managing contractor during the inception period), and meet DFAT standards for Gender Equality and Social Inclusion? </w:t>
      </w:r>
    </w:p>
    <w:p w:rsidR="008768BA" w:rsidRPr="00EB4FEE" w:rsidRDefault="008768BA">
      <w:pPr>
        <w:tabs>
          <w:tab w:val="left" w:pos="0"/>
        </w:tabs>
        <w:suppressAutoHyphens w:val="0"/>
        <w:spacing w:before="0" w:after="12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The ME</w:t>
      </w:r>
      <w:r w:rsidR="00A35D00">
        <w:rPr>
          <w:rFonts w:asciiTheme="majorHAnsi" w:hAnsiTheme="majorHAnsi" w:cstheme="majorHAnsi"/>
          <w:color w:val="595959" w:themeColor="text1" w:themeTint="A6"/>
        </w:rPr>
        <w:t>LF</w:t>
      </w:r>
      <w:r w:rsidRPr="00EB4FEE">
        <w:rPr>
          <w:rFonts w:asciiTheme="majorHAnsi" w:hAnsiTheme="majorHAnsi" w:cstheme="majorHAnsi"/>
          <w:color w:val="595959" w:themeColor="text1" w:themeTint="A6"/>
        </w:rPr>
        <w:t xml:space="preserve"> will specify who will assess what and when, to learn from and share information on the program’s direct achievements and contributions to development results</w:t>
      </w:r>
      <w:r w:rsidR="00352A08">
        <w:rPr>
          <w:rFonts w:asciiTheme="majorHAnsi" w:hAnsiTheme="majorHAnsi" w:cstheme="majorHAnsi"/>
          <w:color w:val="595959" w:themeColor="text1" w:themeTint="A6"/>
        </w:rPr>
        <w:t>.</w:t>
      </w:r>
    </w:p>
    <w:p w:rsidR="008768BA" w:rsidRPr="00EB4FEE" w:rsidRDefault="008768BA">
      <w:pPr>
        <w:tabs>
          <w:tab w:val="left" w:pos="0"/>
        </w:tabs>
        <w:suppressAutoHyphens w:val="0"/>
        <w:spacing w:before="0" w:after="12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Implementation progress will be tracked against a baseline which will be established collaboratively with stakeholders during the inception period</w:t>
      </w:r>
      <w:r w:rsidR="00535D18">
        <w:rPr>
          <w:rFonts w:asciiTheme="majorHAnsi" w:hAnsiTheme="majorHAnsi" w:cstheme="majorHAnsi"/>
          <w:color w:val="595959" w:themeColor="text1" w:themeTint="A6"/>
        </w:rPr>
        <w:t xml:space="preserve">. </w:t>
      </w:r>
      <w:r w:rsidRPr="00EB4FEE">
        <w:rPr>
          <w:rFonts w:asciiTheme="majorHAnsi" w:hAnsiTheme="majorHAnsi" w:cstheme="majorHAnsi"/>
          <w:color w:val="595959" w:themeColor="text1" w:themeTint="A6"/>
        </w:rPr>
        <w:t>This will include relevant gender disaggregated data</w:t>
      </w:r>
      <w:r w:rsidR="00352A08">
        <w:rPr>
          <w:rFonts w:asciiTheme="majorHAnsi" w:hAnsiTheme="majorHAnsi" w:cstheme="majorHAnsi"/>
          <w:color w:val="595959" w:themeColor="text1" w:themeTint="A6"/>
        </w:rPr>
        <w:t>.</w:t>
      </w:r>
      <w:r w:rsidR="00951309" w:rsidRPr="00EB4FEE">
        <w:rPr>
          <w:rFonts w:asciiTheme="majorHAnsi" w:hAnsiTheme="majorHAnsi" w:cstheme="majorHAnsi"/>
          <w:color w:val="595959" w:themeColor="text1" w:themeTint="A6"/>
        </w:rPr>
        <w:t xml:space="preserve"> </w:t>
      </w:r>
      <w:r w:rsidRPr="00EB4FEE">
        <w:rPr>
          <w:rFonts w:asciiTheme="majorHAnsi" w:hAnsiTheme="majorHAnsi" w:cstheme="majorHAnsi"/>
          <w:color w:val="595959" w:themeColor="text1" w:themeTint="A6"/>
        </w:rPr>
        <w:t>Annual work plan targets will be identified, agreed with the PCC, and reported against to track progress towards the achievement of the end-of-program outcomes, which will describe the extent of change in health security systems and capacity</w:t>
      </w:r>
      <w:r w:rsidR="00951309" w:rsidRPr="00EB4FEE">
        <w:rPr>
          <w:rFonts w:asciiTheme="majorHAnsi" w:hAnsiTheme="majorHAnsi" w:cstheme="majorHAnsi"/>
          <w:color w:val="595959" w:themeColor="text1" w:themeTint="A6"/>
        </w:rPr>
        <w:t>.</w:t>
      </w:r>
    </w:p>
    <w:p w:rsidR="008768BA" w:rsidRPr="00EB4FEE" w:rsidRDefault="008768BA">
      <w:pPr>
        <w:tabs>
          <w:tab w:val="left" w:pos="0"/>
        </w:tabs>
        <w:suppressAutoHyphens w:val="0"/>
        <w:spacing w:before="0" w:after="12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The ME</w:t>
      </w:r>
      <w:r w:rsidR="00A35D00">
        <w:rPr>
          <w:rFonts w:asciiTheme="majorHAnsi" w:hAnsiTheme="majorHAnsi" w:cstheme="majorHAnsi"/>
          <w:color w:val="595959" w:themeColor="text1" w:themeTint="A6"/>
        </w:rPr>
        <w:t>L</w:t>
      </w:r>
      <w:r w:rsidRPr="00EB4FEE">
        <w:rPr>
          <w:rFonts w:asciiTheme="majorHAnsi" w:hAnsiTheme="majorHAnsi" w:cstheme="majorHAnsi"/>
          <w:color w:val="595959" w:themeColor="text1" w:themeTint="A6"/>
        </w:rPr>
        <w:t xml:space="preserve"> system will also generate information on program performance through qualitative progress markers, including key deliverables and performance standards that can be used by key stakeholders for management decision making, learning and mutual accountability purposes.</w:t>
      </w:r>
    </w:p>
    <w:p w:rsidR="008768BA" w:rsidRPr="00EB4FEE" w:rsidRDefault="008768BA">
      <w:pPr>
        <w:tabs>
          <w:tab w:val="left" w:pos="0"/>
        </w:tabs>
        <w:suppressAutoHyphens w:val="0"/>
        <w:spacing w:before="0" w:after="12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Accountability under the program will be both external (e.g</w:t>
      </w:r>
      <w:r w:rsidR="00951309" w:rsidRPr="00EB4FEE">
        <w:rPr>
          <w:rFonts w:asciiTheme="majorHAnsi" w:hAnsiTheme="majorHAnsi" w:cstheme="majorHAnsi"/>
          <w:color w:val="595959" w:themeColor="text1" w:themeTint="A6"/>
        </w:rPr>
        <w:t>.</w:t>
      </w:r>
      <w:r w:rsidR="005C6EFA" w:rsidRPr="00EB4FEE">
        <w:rPr>
          <w:rFonts w:asciiTheme="majorHAnsi" w:hAnsiTheme="majorHAnsi" w:cstheme="majorHAnsi"/>
          <w:color w:val="595959" w:themeColor="text1" w:themeTint="A6"/>
        </w:rPr>
        <w:t>,</w:t>
      </w:r>
      <w:r w:rsidR="00951309" w:rsidRPr="00EB4FEE">
        <w:rPr>
          <w:rFonts w:asciiTheme="majorHAnsi" w:hAnsiTheme="majorHAnsi" w:cstheme="majorHAnsi"/>
          <w:color w:val="595959" w:themeColor="text1" w:themeTint="A6"/>
        </w:rPr>
        <w:t xml:space="preserve"> </w:t>
      </w:r>
      <w:r w:rsidRPr="00EB4FEE">
        <w:rPr>
          <w:rFonts w:asciiTheme="majorHAnsi" w:hAnsiTheme="majorHAnsi" w:cstheme="majorHAnsi"/>
          <w:color w:val="595959" w:themeColor="text1" w:themeTint="A6"/>
        </w:rPr>
        <w:t>to Australian taxpayers) and internal (to DFAT Program Management, and the PCC)</w:t>
      </w:r>
      <w:r w:rsidR="00535D18">
        <w:rPr>
          <w:rFonts w:asciiTheme="majorHAnsi" w:hAnsiTheme="majorHAnsi" w:cstheme="majorHAnsi"/>
          <w:color w:val="595959" w:themeColor="text1" w:themeTint="A6"/>
        </w:rPr>
        <w:t>.</w:t>
      </w:r>
      <w:r w:rsidR="00951309" w:rsidRPr="00EB4FEE">
        <w:rPr>
          <w:rFonts w:asciiTheme="majorHAnsi" w:hAnsiTheme="majorHAnsi" w:cstheme="majorHAnsi"/>
          <w:color w:val="595959" w:themeColor="text1" w:themeTint="A6"/>
        </w:rPr>
        <w:t xml:space="preserve"> </w:t>
      </w:r>
      <w:r w:rsidRPr="00EB4FEE">
        <w:rPr>
          <w:rFonts w:asciiTheme="majorHAnsi" w:hAnsiTheme="majorHAnsi" w:cstheme="majorHAnsi"/>
          <w:color w:val="595959" w:themeColor="text1" w:themeTint="A6"/>
        </w:rPr>
        <w:t>This will enable progress reports to meet DFAT, GoI and implementing partner needs, report against the ME</w:t>
      </w:r>
      <w:r w:rsidR="00A35D00">
        <w:rPr>
          <w:rFonts w:asciiTheme="majorHAnsi" w:hAnsiTheme="majorHAnsi" w:cstheme="majorHAnsi"/>
          <w:color w:val="595959" w:themeColor="text1" w:themeTint="A6"/>
        </w:rPr>
        <w:t>L</w:t>
      </w:r>
      <w:r w:rsidR="003457BA">
        <w:rPr>
          <w:rFonts w:asciiTheme="majorHAnsi" w:hAnsiTheme="majorHAnsi" w:cstheme="majorHAnsi"/>
          <w:color w:val="595959" w:themeColor="text1" w:themeTint="A6"/>
        </w:rPr>
        <w:t>F</w:t>
      </w:r>
      <w:r w:rsidRPr="00EB4FEE">
        <w:rPr>
          <w:rFonts w:asciiTheme="majorHAnsi" w:hAnsiTheme="majorHAnsi" w:cstheme="majorHAnsi"/>
          <w:color w:val="595959" w:themeColor="text1" w:themeTint="A6"/>
        </w:rPr>
        <w:t>, have a credible basis for claims, and recommend actions to improve performance.</w:t>
      </w:r>
    </w:p>
    <w:p w:rsidR="008768BA" w:rsidRPr="00EB4FEE" w:rsidRDefault="008768BA">
      <w:pPr>
        <w:tabs>
          <w:tab w:val="left" w:pos="0"/>
        </w:tabs>
        <w:suppressAutoHyphens w:val="0"/>
        <w:spacing w:before="0" w:after="12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The ME</w:t>
      </w:r>
      <w:r w:rsidR="00A35D00">
        <w:rPr>
          <w:rFonts w:asciiTheme="majorHAnsi" w:hAnsiTheme="majorHAnsi" w:cstheme="majorHAnsi"/>
          <w:color w:val="595959" w:themeColor="text1" w:themeTint="A6"/>
        </w:rPr>
        <w:t>L</w:t>
      </w:r>
      <w:r w:rsidR="003457BA">
        <w:rPr>
          <w:rFonts w:asciiTheme="majorHAnsi" w:hAnsiTheme="majorHAnsi" w:cstheme="majorHAnsi"/>
          <w:color w:val="595959" w:themeColor="text1" w:themeTint="A6"/>
        </w:rPr>
        <w:t>F</w:t>
      </w:r>
      <w:r w:rsidRPr="00EB4FEE">
        <w:rPr>
          <w:rFonts w:asciiTheme="majorHAnsi" w:hAnsiTheme="majorHAnsi" w:cstheme="majorHAnsi"/>
          <w:color w:val="595959" w:themeColor="text1" w:themeTint="A6"/>
        </w:rPr>
        <w:t xml:space="preserve"> will provide sufficient annual performance information to address DFAT aid quality requirements</w:t>
      </w:r>
      <w:r w:rsidR="00535D18">
        <w:rPr>
          <w:rFonts w:asciiTheme="majorHAnsi" w:hAnsiTheme="majorHAnsi" w:cstheme="majorHAnsi"/>
          <w:color w:val="595959" w:themeColor="text1" w:themeTint="A6"/>
        </w:rPr>
        <w:t xml:space="preserve">. </w:t>
      </w:r>
      <w:r w:rsidRPr="00EB4FEE">
        <w:rPr>
          <w:rFonts w:asciiTheme="majorHAnsi" w:hAnsiTheme="majorHAnsi" w:cstheme="majorHAnsi"/>
          <w:color w:val="595959" w:themeColor="text1" w:themeTint="A6"/>
        </w:rPr>
        <w:t>DFAT rules and tools, policies and M&amp;E standards will be adhered to throughout implementation.</w:t>
      </w:r>
    </w:p>
    <w:p w:rsidR="008768BA" w:rsidRPr="00EB4FEE" w:rsidRDefault="008768BA">
      <w:pPr>
        <w:tabs>
          <w:tab w:val="left" w:pos="0"/>
        </w:tabs>
        <w:suppressAutoHyphens w:val="0"/>
        <w:spacing w:before="0" w:after="12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Progress reports will also present how the M</w:t>
      </w:r>
      <w:r w:rsidR="00A35D00">
        <w:rPr>
          <w:rFonts w:asciiTheme="majorHAnsi" w:hAnsiTheme="majorHAnsi" w:cstheme="majorHAnsi"/>
          <w:color w:val="595959" w:themeColor="text1" w:themeTint="A6"/>
        </w:rPr>
        <w:t>EL</w:t>
      </w:r>
      <w:r w:rsidRPr="00EB4FEE">
        <w:rPr>
          <w:rFonts w:asciiTheme="majorHAnsi" w:hAnsiTheme="majorHAnsi" w:cstheme="majorHAnsi"/>
          <w:color w:val="595959" w:themeColor="text1" w:themeTint="A6"/>
        </w:rPr>
        <w:t xml:space="preserve"> system will have informed learning, decision-making and action on the part of DFAT, GoI and/or development partners.</w:t>
      </w:r>
    </w:p>
    <w:p w:rsidR="008768BA" w:rsidRPr="00EB4FEE" w:rsidRDefault="008768BA">
      <w:pPr>
        <w:tabs>
          <w:tab w:val="left" w:pos="0"/>
        </w:tabs>
        <w:suppressAutoHyphens w:val="0"/>
        <w:spacing w:before="0" w:after="12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 xml:space="preserve">At the national level, </w:t>
      </w:r>
      <w:r w:rsidR="00A35D00">
        <w:rPr>
          <w:rFonts w:asciiTheme="majorHAnsi" w:hAnsiTheme="majorHAnsi" w:cstheme="majorHAnsi"/>
          <w:color w:val="595959" w:themeColor="text1" w:themeTint="A6"/>
        </w:rPr>
        <w:t>MEL</w:t>
      </w:r>
      <w:r w:rsidRPr="00EB4FEE">
        <w:rPr>
          <w:rFonts w:asciiTheme="majorHAnsi" w:hAnsiTheme="majorHAnsi" w:cstheme="majorHAnsi"/>
          <w:color w:val="595959" w:themeColor="text1" w:themeTint="A6"/>
        </w:rPr>
        <w:t xml:space="preserve"> information will be generated through existing or enhanced GoI systems wherever possible – as part of the institutional strengthening approach</w:t>
      </w:r>
      <w:r w:rsidR="00535D18">
        <w:rPr>
          <w:rFonts w:asciiTheme="majorHAnsi" w:hAnsiTheme="majorHAnsi" w:cstheme="majorHAnsi"/>
          <w:color w:val="595959" w:themeColor="text1" w:themeTint="A6"/>
        </w:rPr>
        <w:t xml:space="preserve">. </w:t>
      </w:r>
      <w:r w:rsidR="00951309" w:rsidRPr="00EB4FEE">
        <w:rPr>
          <w:rFonts w:asciiTheme="majorHAnsi" w:hAnsiTheme="majorHAnsi" w:cstheme="majorHAnsi"/>
          <w:color w:val="595959" w:themeColor="text1" w:themeTint="A6"/>
        </w:rPr>
        <w:t>It should also be noted that the JEE report recommended an annual internal review using the JEE tool and to repeat the exter</w:t>
      </w:r>
      <w:r w:rsidR="00535D18">
        <w:rPr>
          <w:rFonts w:asciiTheme="majorHAnsi" w:hAnsiTheme="majorHAnsi" w:cstheme="majorHAnsi"/>
          <w:color w:val="595959" w:themeColor="text1" w:themeTint="A6"/>
        </w:rPr>
        <w:t xml:space="preserve">nal JEE review in 2022. </w:t>
      </w:r>
      <w:r w:rsidR="00951309" w:rsidRPr="00EB4FEE">
        <w:rPr>
          <w:rFonts w:asciiTheme="majorHAnsi" w:hAnsiTheme="majorHAnsi" w:cstheme="majorHAnsi"/>
          <w:color w:val="595959" w:themeColor="text1" w:themeTint="A6"/>
        </w:rPr>
        <w:t>This</w:t>
      </w:r>
      <w:r w:rsidRPr="00EB4FEE">
        <w:rPr>
          <w:rFonts w:asciiTheme="majorHAnsi" w:hAnsiTheme="majorHAnsi" w:cstheme="majorHAnsi"/>
          <w:color w:val="595959" w:themeColor="text1" w:themeTint="A6"/>
        </w:rPr>
        <w:t xml:space="preserve"> information will be complemented, as required, by the conduct of additional (mutually agreed) studies/analysis, to be funded by the program.</w:t>
      </w:r>
    </w:p>
    <w:p w:rsidR="008768BA" w:rsidRPr="00EB4FEE" w:rsidRDefault="008768BA">
      <w:pPr>
        <w:tabs>
          <w:tab w:val="left" w:pos="0"/>
        </w:tabs>
        <w:suppressAutoHyphens w:val="0"/>
        <w:spacing w:before="0" w:after="12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 xml:space="preserve">Thereafter, sufficient resources should be allocated for </w:t>
      </w:r>
      <w:r w:rsidR="00A7740E">
        <w:rPr>
          <w:rFonts w:asciiTheme="majorHAnsi" w:hAnsiTheme="majorHAnsi" w:cstheme="majorHAnsi"/>
          <w:color w:val="595959" w:themeColor="text1" w:themeTint="A6"/>
        </w:rPr>
        <w:t>MEL</w:t>
      </w:r>
      <w:r w:rsidRPr="00EB4FEE">
        <w:rPr>
          <w:rFonts w:asciiTheme="majorHAnsi" w:hAnsiTheme="majorHAnsi" w:cstheme="majorHAnsi"/>
          <w:color w:val="595959" w:themeColor="text1" w:themeTint="A6"/>
        </w:rPr>
        <w:t xml:space="preserve"> in the program budget </w:t>
      </w:r>
      <w:r w:rsidR="00205B24" w:rsidRPr="00EB4FEE">
        <w:rPr>
          <w:rFonts w:asciiTheme="majorHAnsi" w:hAnsiTheme="majorHAnsi" w:cstheme="majorHAnsi"/>
          <w:color w:val="595959" w:themeColor="text1" w:themeTint="A6"/>
        </w:rPr>
        <w:t>to carry out</w:t>
      </w:r>
      <w:r w:rsidRPr="00EB4FEE">
        <w:rPr>
          <w:rFonts w:asciiTheme="majorHAnsi" w:hAnsiTheme="majorHAnsi" w:cstheme="majorHAnsi"/>
          <w:color w:val="595959" w:themeColor="text1" w:themeTint="A6"/>
        </w:rPr>
        <w:t xml:space="preserve"> identified and scheduled </w:t>
      </w:r>
      <w:r w:rsidR="00A7740E">
        <w:rPr>
          <w:rFonts w:asciiTheme="majorHAnsi" w:hAnsiTheme="majorHAnsi" w:cstheme="majorHAnsi"/>
          <w:color w:val="595959" w:themeColor="text1" w:themeTint="A6"/>
        </w:rPr>
        <w:t>MEL</w:t>
      </w:r>
      <w:r w:rsidRPr="00EB4FEE">
        <w:rPr>
          <w:rFonts w:asciiTheme="majorHAnsi" w:hAnsiTheme="majorHAnsi" w:cstheme="majorHAnsi"/>
          <w:color w:val="595959" w:themeColor="text1" w:themeTint="A6"/>
        </w:rPr>
        <w:t xml:space="preserve"> activities</w:t>
      </w:r>
      <w:r w:rsidR="00535D18">
        <w:rPr>
          <w:rFonts w:asciiTheme="majorHAnsi" w:hAnsiTheme="majorHAnsi" w:cstheme="majorHAnsi"/>
          <w:color w:val="595959" w:themeColor="text1" w:themeTint="A6"/>
        </w:rPr>
        <w:t>.</w:t>
      </w:r>
      <w:r w:rsidR="00951309" w:rsidRPr="00EB4FEE">
        <w:rPr>
          <w:rFonts w:asciiTheme="majorHAnsi" w:hAnsiTheme="majorHAnsi" w:cstheme="majorHAnsi"/>
          <w:color w:val="595959" w:themeColor="text1" w:themeTint="A6"/>
        </w:rPr>
        <w:t xml:space="preserve"> </w:t>
      </w:r>
      <w:r w:rsidRPr="00EB4FEE">
        <w:rPr>
          <w:rFonts w:asciiTheme="majorHAnsi" w:hAnsiTheme="majorHAnsi" w:cstheme="majorHAnsi"/>
          <w:color w:val="595959" w:themeColor="text1" w:themeTint="A6"/>
        </w:rPr>
        <w:t>This may include regular short-term inputs from an M&amp;E practitioner to refine the ME</w:t>
      </w:r>
      <w:r w:rsidR="00A7740E">
        <w:rPr>
          <w:rFonts w:asciiTheme="majorHAnsi" w:hAnsiTheme="majorHAnsi" w:cstheme="majorHAnsi"/>
          <w:color w:val="595959" w:themeColor="text1" w:themeTint="A6"/>
        </w:rPr>
        <w:t>L</w:t>
      </w:r>
      <w:r w:rsidRPr="00EB4FEE">
        <w:rPr>
          <w:rFonts w:asciiTheme="majorHAnsi" w:hAnsiTheme="majorHAnsi" w:cstheme="majorHAnsi"/>
          <w:color w:val="595959" w:themeColor="text1" w:themeTint="A6"/>
        </w:rPr>
        <w:t xml:space="preserve">F during inception and to provide on-going </w:t>
      </w:r>
      <w:r w:rsidR="00A7740E">
        <w:rPr>
          <w:rFonts w:asciiTheme="majorHAnsi" w:hAnsiTheme="majorHAnsi" w:cstheme="majorHAnsi"/>
          <w:color w:val="595959" w:themeColor="text1" w:themeTint="A6"/>
        </w:rPr>
        <w:t>MEL</w:t>
      </w:r>
      <w:r w:rsidRPr="00EB4FEE">
        <w:rPr>
          <w:rFonts w:asciiTheme="majorHAnsi" w:hAnsiTheme="majorHAnsi" w:cstheme="majorHAnsi"/>
          <w:color w:val="595959" w:themeColor="text1" w:themeTint="A6"/>
        </w:rPr>
        <w:t xml:space="preserve"> inputs to the program management team and to government partners throughout the entire implementation period.</w:t>
      </w:r>
    </w:p>
    <w:p w:rsidR="008768BA" w:rsidRPr="00EB4FEE" w:rsidRDefault="008768BA">
      <w:pPr>
        <w:tabs>
          <w:tab w:val="left" w:pos="0"/>
        </w:tabs>
        <w:suppressAutoHyphens w:val="0"/>
        <w:spacing w:before="0" w:after="12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Contributions to AIHSP outcomes and impact will be assessed during a proposed mid-term review of the program</w:t>
      </w:r>
      <w:r w:rsidR="00535D18">
        <w:rPr>
          <w:rFonts w:asciiTheme="majorHAnsi" w:hAnsiTheme="majorHAnsi" w:cstheme="majorHAnsi"/>
          <w:color w:val="595959" w:themeColor="text1" w:themeTint="A6"/>
        </w:rPr>
        <w:t xml:space="preserve">. </w:t>
      </w:r>
      <w:r w:rsidRPr="00EB4FEE">
        <w:rPr>
          <w:rFonts w:asciiTheme="majorHAnsi" w:hAnsiTheme="majorHAnsi" w:cstheme="majorHAnsi"/>
          <w:color w:val="595959" w:themeColor="text1" w:themeTint="A6"/>
        </w:rPr>
        <w:t>This review will take stock of progress and help inform decision making regarding future investment</w:t>
      </w:r>
      <w:r w:rsidR="00951309" w:rsidRPr="00EB4FEE">
        <w:rPr>
          <w:rFonts w:asciiTheme="majorHAnsi" w:hAnsiTheme="majorHAnsi" w:cstheme="majorHAnsi"/>
          <w:color w:val="595959" w:themeColor="text1" w:themeTint="A6"/>
        </w:rPr>
        <w:t xml:space="preserve">. </w:t>
      </w:r>
      <w:r w:rsidRPr="00EB4FEE">
        <w:rPr>
          <w:rFonts w:asciiTheme="majorHAnsi" w:hAnsiTheme="majorHAnsi" w:cstheme="majorHAnsi"/>
          <w:color w:val="595959" w:themeColor="text1" w:themeTint="A6"/>
        </w:rPr>
        <w:t>If inadequate progress is being made on developing sound partnerships and securing partner resource commitments, the option of ceasing the program at this time will be seriously considered</w:t>
      </w:r>
      <w:r w:rsidR="00535D18">
        <w:rPr>
          <w:rFonts w:asciiTheme="majorHAnsi" w:hAnsiTheme="majorHAnsi" w:cstheme="majorHAnsi"/>
          <w:color w:val="595959" w:themeColor="text1" w:themeTint="A6"/>
        </w:rPr>
        <w:t xml:space="preserve">. </w:t>
      </w:r>
      <w:r w:rsidRPr="00EB4FEE">
        <w:rPr>
          <w:rFonts w:asciiTheme="majorHAnsi" w:hAnsiTheme="majorHAnsi" w:cstheme="majorHAnsi"/>
          <w:color w:val="595959" w:themeColor="text1" w:themeTint="A6"/>
        </w:rPr>
        <w:t>Assuming the program does continue for the full term, an end-of-program independent evaluation will also be conducted to verify outcomes and inform DFAT and GoI of future directions.</w:t>
      </w:r>
    </w:p>
    <w:p w:rsidR="00794C57" w:rsidRPr="0043356C" w:rsidRDefault="00794C57" w:rsidP="00BF6C52">
      <w:pPr>
        <w:pStyle w:val="Heading2"/>
        <w:spacing w:after="120" w:line="240" w:lineRule="auto"/>
        <w:contextualSpacing w:val="0"/>
        <w:rPr>
          <w:rFonts w:cstheme="majorHAnsi"/>
          <w:sz w:val="22"/>
          <w:szCs w:val="22"/>
        </w:rPr>
      </w:pPr>
      <w:bookmarkStart w:id="32" w:name="_Toc3297013"/>
      <w:r w:rsidRPr="0043356C">
        <w:rPr>
          <w:rFonts w:cstheme="majorHAnsi"/>
          <w:sz w:val="22"/>
          <w:szCs w:val="22"/>
        </w:rPr>
        <w:t>Sustainability</w:t>
      </w:r>
      <w:bookmarkEnd w:id="32"/>
    </w:p>
    <w:p w:rsidR="008D6463" w:rsidRPr="00EB4FEE" w:rsidRDefault="008D6463">
      <w:pPr>
        <w:spacing w:before="0" w:after="12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Sustainability has been at the forefront of the design process by ensuring strong collaboration with and ownership of the G</w:t>
      </w:r>
      <w:r w:rsidR="000B69AD" w:rsidRPr="00EB4FEE">
        <w:rPr>
          <w:rFonts w:asciiTheme="majorHAnsi" w:hAnsiTheme="majorHAnsi" w:cstheme="majorHAnsi"/>
          <w:color w:val="595959" w:themeColor="text1" w:themeTint="A6"/>
        </w:rPr>
        <w:t>o</w:t>
      </w:r>
      <w:r w:rsidRPr="00EB4FEE">
        <w:rPr>
          <w:rFonts w:asciiTheme="majorHAnsi" w:hAnsiTheme="majorHAnsi" w:cstheme="majorHAnsi"/>
          <w:color w:val="595959" w:themeColor="text1" w:themeTint="A6"/>
        </w:rPr>
        <w:t>I at every step</w:t>
      </w:r>
      <w:r w:rsidR="00535D18">
        <w:rPr>
          <w:rFonts w:asciiTheme="majorHAnsi" w:hAnsiTheme="majorHAnsi" w:cstheme="majorHAnsi"/>
          <w:color w:val="595959" w:themeColor="text1" w:themeTint="A6"/>
        </w:rPr>
        <w:t xml:space="preserve">. </w:t>
      </w:r>
      <w:r w:rsidRPr="00EB4FEE">
        <w:rPr>
          <w:rFonts w:asciiTheme="majorHAnsi" w:hAnsiTheme="majorHAnsi" w:cstheme="majorHAnsi"/>
          <w:color w:val="595959" w:themeColor="text1" w:themeTint="A6"/>
        </w:rPr>
        <w:t xml:space="preserve">This will </w:t>
      </w:r>
      <w:r w:rsidR="00433A2D" w:rsidRPr="00EB4FEE">
        <w:rPr>
          <w:rFonts w:asciiTheme="majorHAnsi" w:hAnsiTheme="majorHAnsi" w:cstheme="majorHAnsi"/>
          <w:color w:val="595959" w:themeColor="text1" w:themeTint="A6"/>
        </w:rPr>
        <w:t xml:space="preserve">need to </w:t>
      </w:r>
      <w:r w:rsidRPr="00EB4FEE">
        <w:rPr>
          <w:rFonts w:asciiTheme="majorHAnsi" w:hAnsiTheme="majorHAnsi" w:cstheme="majorHAnsi"/>
          <w:color w:val="595959" w:themeColor="text1" w:themeTint="A6"/>
        </w:rPr>
        <w:t>continue throughout implementation</w:t>
      </w:r>
      <w:r w:rsidR="00352A08">
        <w:rPr>
          <w:rFonts w:asciiTheme="majorHAnsi" w:hAnsiTheme="majorHAnsi" w:cstheme="majorHAnsi"/>
          <w:color w:val="595959" w:themeColor="text1" w:themeTint="A6"/>
        </w:rPr>
        <w:t>.</w:t>
      </w:r>
      <w:r w:rsidR="00C83B0C" w:rsidRPr="00EB4FEE">
        <w:rPr>
          <w:rFonts w:asciiTheme="majorHAnsi" w:hAnsiTheme="majorHAnsi" w:cstheme="majorHAnsi"/>
          <w:color w:val="595959" w:themeColor="text1" w:themeTint="A6"/>
        </w:rPr>
        <w:t xml:space="preserve"> </w:t>
      </w:r>
      <w:r w:rsidRPr="00EB4FEE">
        <w:rPr>
          <w:rFonts w:asciiTheme="majorHAnsi" w:hAnsiTheme="majorHAnsi" w:cstheme="majorHAnsi"/>
          <w:color w:val="595959" w:themeColor="text1" w:themeTint="A6"/>
        </w:rPr>
        <w:t xml:space="preserve">Issues of sustainability will be considered in the </w:t>
      </w:r>
      <w:r w:rsidR="00BB0E5C" w:rsidRPr="00EB4FEE">
        <w:rPr>
          <w:rFonts w:asciiTheme="majorHAnsi" w:hAnsiTheme="majorHAnsi" w:cstheme="majorHAnsi"/>
          <w:color w:val="595959" w:themeColor="text1" w:themeTint="A6"/>
        </w:rPr>
        <w:t xml:space="preserve">selection </w:t>
      </w:r>
      <w:r w:rsidRPr="00EB4FEE">
        <w:rPr>
          <w:rFonts w:asciiTheme="majorHAnsi" w:hAnsiTheme="majorHAnsi" w:cstheme="majorHAnsi"/>
          <w:color w:val="595959" w:themeColor="text1" w:themeTint="A6"/>
        </w:rPr>
        <w:t xml:space="preserve">and implementation of activities, and relevant indicators of sustainability will be incorporated in the </w:t>
      </w:r>
      <w:r w:rsidR="00171A57" w:rsidRPr="00EB4FEE">
        <w:rPr>
          <w:rFonts w:asciiTheme="majorHAnsi" w:hAnsiTheme="majorHAnsi" w:cstheme="majorHAnsi"/>
          <w:color w:val="595959" w:themeColor="text1" w:themeTint="A6"/>
        </w:rPr>
        <w:t>ME</w:t>
      </w:r>
      <w:r w:rsidR="00A35D00">
        <w:rPr>
          <w:rFonts w:asciiTheme="majorHAnsi" w:hAnsiTheme="majorHAnsi" w:cstheme="majorHAnsi"/>
          <w:color w:val="595959" w:themeColor="text1" w:themeTint="A6"/>
        </w:rPr>
        <w:t>L</w:t>
      </w:r>
      <w:r w:rsidR="00171A57" w:rsidRPr="00EB4FEE">
        <w:rPr>
          <w:rFonts w:asciiTheme="majorHAnsi" w:hAnsiTheme="majorHAnsi" w:cstheme="majorHAnsi"/>
          <w:color w:val="595959" w:themeColor="text1" w:themeTint="A6"/>
        </w:rPr>
        <w:t>F</w:t>
      </w:r>
      <w:r w:rsidRPr="00EB4FEE">
        <w:rPr>
          <w:rFonts w:asciiTheme="majorHAnsi" w:hAnsiTheme="majorHAnsi" w:cstheme="majorHAnsi"/>
          <w:color w:val="595959" w:themeColor="text1" w:themeTint="A6"/>
        </w:rPr>
        <w:t>.</w:t>
      </w:r>
    </w:p>
    <w:p w:rsidR="008D6463" w:rsidRPr="00EB4FEE" w:rsidRDefault="008D6463">
      <w:pPr>
        <w:spacing w:before="0" w:after="12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Evaluation of the current</w:t>
      </w:r>
      <w:r w:rsidR="00C45CC6" w:rsidRPr="00EB4FEE">
        <w:rPr>
          <w:rFonts w:asciiTheme="majorHAnsi" w:hAnsiTheme="majorHAnsi" w:cstheme="majorHAnsi"/>
          <w:color w:val="595959" w:themeColor="text1" w:themeTint="A6"/>
        </w:rPr>
        <w:t xml:space="preserve"> AIP</w:t>
      </w:r>
      <w:r w:rsidRPr="00EB4FEE">
        <w:rPr>
          <w:rFonts w:asciiTheme="majorHAnsi" w:hAnsiTheme="majorHAnsi" w:cstheme="majorHAnsi"/>
          <w:color w:val="595959" w:themeColor="text1" w:themeTint="A6"/>
        </w:rPr>
        <w:t>EID program</w:t>
      </w:r>
      <w:r w:rsidR="00B55E68" w:rsidRPr="00EB4FEE">
        <w:rPr>
          <w:rFonts w:asciiTheme="majorHAnsi" w:hAnsiTheme="majorHAnsi" w:cstheme="majorHAnsi"/>
          <w:color w:val="595959" w:themeColor="text1" w:themeTint="A6"/>
        </w:rPr>
        <w:t xml:space="preserve"> show that many activities</w:t>
      </w:r>
      <w:r w:rsidRPr="00EB4FEE">
        <w:rPr>
          <w:rFonts w:asciiTheme="majorHAnsi" w:hAnsiTheme="majorHAnsi" w:cstheme="majorHAnsi"/>
          <w:color w:val="595959" w:themeColor="text1" w:themeTint="A6"/>
        </w:rPr>
        <w:t xml:space="preserve"> are likely to be sustained</w:t>
      </w:r>
      <w:r w:rsidR="00B55E68" w:rsidRPr="00EB4FEE">
        <w:rPr>
          <w:rFonts w:asciiTheme="majorHAnsi" w:hAnsiTheme="majorHAnsi" w:cstheme="majorHAnsi"/>
          <w:color w:val="595959" w:themeColor="text1" w:themeTint="A6"/>
        </w:rPr>
        <w:t xml:space="preserve"> over time</w:t>
      </w:r>
      <w:r w:rsidR="00535D18">
        <w:rPr>
          <w:rFonts w:asciiTheme="majorHAnsi" w:hAnsiTheme="majorHAnsi" w:cstheme="majorHAnsi"/>
          <w:color w:val="595959" w:themeColor="text1" w:themeTint="A6"/>
        </w:rPr>
        <w:t xml:space="preserve">. </w:t>
      </w:r>
      <w:r w:rsidRPr="00EB4FEE">
        <w:rPr>
          <w:rFonts w:asciiTheme="majorHAnsi" w:hAnsiTheme="majorHAnsi" w:cstheme="majorHAnsi"/>
          <w:color w:val="595959" w:themeColor="text1" w:themeTint="A6"/>
        </w:rPr>
        <w:t xml:space="preserve">This has happened largely because the </w:t>
      </w:r>
      <w:r w:rsidR="00456B44" w:rsidRPr="00EB4FEE">
        <w:rPr>
          <w:rFonts w:asciiTheme="majorHAnsi" w:hAnsiTheme="majorHAnsi" w:cstheme="majorHAnsi"/>
          <w:color w:val="595959" w:themeColor="text1" w:themeTint="A6"/>
        </w:rPr>
        <w:t>GoI</w:t>
      </w:r>
      <w:r w:rsidRPr="00EB4FEE">
        <w:rPr>
          <w:rFonts w:asciiTheme="majorHAnsi" w:hAnsiTheme="majorHAnsi" w:cstheme="majorHAnsi"/>
          <w:color w:val="595959" w:themeColor="text1" w:themeTint="A6"/>
        </w:rPr>
        <w:t xml:space="preserve"> has been very involved in priority-setting and design (to ensure </w:t>
      </w:r>
      <w:r w:rsidR="00B55E68" w:rsidRPr="00EB4FEE">
        <w:rPr>
          <w:rFonts w:asciiTheme="majorHAnsi" w:hAnsiTheme="majorHAnsi" w:cstheme="majorHAnsi"/>
          <w:color w:val="595959" w:themeColor="text1" w:themeTint="A6"/>
        </w:rPr>
        <w:t>activities are fit for purpose</w:t>
      </w:r>
      <w:r w:rsidRPr="00EB4FEE">
        <w:rPr>
          <w:rFonts w:asciiTheme="majorHAnsi" w:hAnsiTheme="majorHAnsi" w:cstheme="majorHAnsi"/>
          <w:color w:val="595959" w:themeColor="text1" w:themeTint="A6"/>
        </w:rPr>
        <w:t>)</w:t>
      </w:r>
      <w:r w:rsidR="000B69AD" w:rsidRPr="00EB4FEE">
        <w:rPr>
          <w:rFonts w:asciiTheme="majorHAnsi" w:hAnsiTheme="majorHAnsi" w:cstheme="majorHAnsi"/>
          <w:color w:val="595959" w:themeColor="text1" w:themeTint="A6"/>
        </w:rPr>
        <w:t>,</w:t>
      </w:r>
      <w:r w:rsidRPr="00EB4FEE">
        <w:rPr>
          <w:rFonts w:asciiTheme="majorHAnsi" w:hAnsiTheme="majorHAnsi" w:cstheme="majorHAnsi"/>
          <w:color w:val="595959" w:themeColor="text1" w:themeTint="A6"/>
        </w:rPr>
        <w:t xml:space="preserve"> </w:t>
      </w:r>
      <w:r w:rsidR="00112748" w:rsidRPr="00EB4FEE">
        <w:rPr>
          <w:rFonts w:asciiTheme="majorHAnsi" w:hAnsiTheme="majorHAnsi" w:cstheme="majorHAnsi"/>
          <w:color w:val="595959" w:themeColor="text1" w:themeTint="A6"/>
        </w:rPr>
        <w:t>Indonesian</w:t>
      </w:r>
      <w:r w:rsidR="00BB0E5C" w:rsidRPr="00EB4FEE">
        <w:rPr>
          <w:rFonts w:asciiTheme="majorHAnsi" w:hAnsiTheme="majorHAnsi" w:cstheme="majorHAnsi"/>
          <w:color w:val="595959" w:themeColor="text1" w:themeTint="A6"/>
        </w:rPr>
        <w:t xml:space="preserve"> </w:t>
      </w:r>
      <w:r w:rsidRPr="00EB4FEE">
        <w:rPr>
          <w:rFonts w:asciiTheme="majorHAnsi" w:hAnsiTheme="majorHAnsi" w:cstheme="majorHAnsi"/>
          <w:color w:val="595959" w:themeColor="text1" w:themeTint="A6"/>
        </w:rPr>
        <w:t xml:space="preserve">government staff have been integral to the implementation </w:t>
      </w:r>
      <w:r w:rsidR="00B55E68" w:rsidRPr="00EB4FEE">
        <w:rPr>
          <w:rFonts w:asciiTheme="majorHAnsi" w:hAnsiTheme="majorHAnsi" w:cstheme="majorHAnsi"/>
          <w:color w:val="595959" w:themeColor="text1" w:themeTint="A6"/>
        </w:rPr>
        <w:t>of activities</w:t>
      </w:r>
      <w:r w:rsidR="000B69AD" w:rsidRPr="00EB4FEE">
        <w:rPr>
          <w:rFonts w:asciiTheme="majorHAnsi" w:hAnsiTheme="majorHAnsi" w:cstheme="majorHAnsi"/>
          <w:color w:val="595959" w:themeColor="text1" w:themeTint="A6"/>
        </w:rPr>
        <w:t>,</w:t>
      </w:r>
      <w:r w:rsidR="00433A2D" w:rsidRPr="00EB4FEE">
        <w:rPr>
          <w:rFonts w:asciiTheme="majorHAnsi" w:hAnsiTheme="majorHAnsi" w:cstheme="majorHAnsi"/>
          <w:color w:val="595959" w:themeColor="text1" w:themeTint="A6"/>
        </w:rPr>
        <w:t xml:space="preserve"> and budgeting for these activities have been incorporated into G</w:t>
      </w:r>
      <w:r w:rsidR="000B69AD" w:rsidRPr="00EB4FEE">
        <w:rPr>
          <w:rFonts w:asciiTheme="majorHAnsi" w:hAnsiTheme="majorHAnsi" w:cstheme="majorHAnsi"/>
          <w:color w:val="595959" w:themeColor="text1" w:themeTint="A6"/>
        </w:rPr>
        <w:t>o</w:t>
      </w:r>
      <w:r w:rsidR="00433A2D" w:rsidRPr="00EB4FEE">
        <w:rPr>
          <w:rFonts w:asciiTheme="majorHAnsi" w:hAnsiTheme="majorHAnsi" w:cstheme="majorHAnsi"/>
          <w:color w:val="595959" w:themeColor="text1" w:themeTint="A6"/>
        </w:rPr>
        <w:t>I plans</w:t>
      </w:r>
      <w:r w:rsidR="00352A08">
        <w:rPr>
          <w:rFonts w:asciiTheme="majorHAnsi" w:hAnsiTheme="majorHAnsi" w:cstheme="majorHAnsi"/>
          <w:color w:val="595959" w:themeColor="text1" w:themeTint="A6"/>
        </w:rPr>
        <w:t>.</w:t>
      </w:r>
    </w:p>
    <w:p w:rsidR="008D6463" w:rsidRPr="00EB4FEE" w:rsidRDefault="008D6463">
      <w:pPr>
        <w:spacing w:before="0" w:after="12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 xml:space="preserve">Lessons learned </w:t>
      </w:r>
      <w:r w:rsidR="00B55E68" w:rsidRPr="00EB4FEE">
        <w:rPr>
          <w:rFonts w:asciiTheme="majorHAnsi" w:hAnsiTheme="majorHAnsi" w:cstheme="majorHAnsi"/>
          <w:color w:val="595959" w:themeColor="text1" w:themeTint="A6"/>
        </w:rPr>
        <w:t xml:space="preserve">have informed the </w:t>
      </w:r>
      <w:r w:rsidRPr="00EB4FEE">
        <w:rPr>
          <w:rFonts w:asciiTheme="majorHAnsi" w:hAnsiTheme="majorHAnsi" w:cstheme="majorHAnsi"/>
          <w:color w:val="595959" w:themeColor="text1" w:themeTint="A6"/>
        </w:rPr>
        <w:t>design and</w:t>
      </w:r>
      <w:r w:rsidR="00B55E68" w:rsidRPr="00EB4FEE">
        <w:rPr>
          <w:rFonts w:asciiTheme="majorHAnsi" w:hAnsiTheme="majorHAnsi" w:cstheme="majorHAnsi"/>
          <w:color w:val="595959" w:themeColor="text1" w:themeTint="A6"/>
        </w:rPr>
        <w:t xml:space="preserve"> will inform</w:t>
      </w:r>
      <w:r w:rsidR="00BB0E5C" w:rsidRPr="00EB4FEE">
        <w:rPr>
          <w:rFonts w:asciiTheme="majorHAnsi" w:hAnsiTheme="majorHAnsi" w:cstheme="majorHAnsi"/>
          <w:color w:val="595959" w:themeColor="text1" w:themeTint="A6"/>
        </w:rPr>
        <w:t xml:space="preserve"> program</w:t>
      </w:r>
      <w:r w:rsidRPr="00EB4FEE">
        <w:rPr>
          <w:rFonts w:asciiTheme="majorHAnsi" w:hAnsiTheme="majorHAnsi" w:cstheme="majorHAnsi"/>
          <w:color w:val="595959" w:themeColor="text1" w:themeTint="A6"/>
        </w:rPr>
        <w:t xml:space="preserve"> impleme</w:t>
      </w:r>
      <w:r w:rsidR="00B55E68" w:rsidRPr="00EB4FEE">
        <w:rPr>
          <w:rFonts w:asciiTheme="majorHAnsi" w:hAnsiTheme="majorHAnsi" w:cstheme="majorHAnsi"/>
          <w:color w:val="595959" w:themeColor="text1" w:themeTint="A6"/>
        </w:rPr>
        <w:t>ntation</w:t>
      </w:r>
      <w:r w:rsidR="00535D18">
        <w:rPr>
          <w:rFonts w:asciiTheme="majorHAnsi" w:hAnsiTheme="majorHAnsi" w:cstheme="majorHAnsi"/>
          <w:color w:val="595959" w:themeColor="text1" w:themeTint="A6"/>
        </w:rPr>
        <w:t xml:space="preserve">. </w:t>
      </w:r>
      <w:r w:rsidR="00B55E68" w:rsidRPr="00EB4FEE">
        <w:rPr>
          <w:rFonts w:asciiTheme="majorHAnsi" w:hAnsiTheme="majorHAnsi" w:cstheme="majorHAnsi"/>
          <w:color w:val="595959" w:themeColor="text1" w:themeTint="A6"/>
        </w:rPr>
        <w:t>The g</w:t>
      </w:r>
      <w:r w:rsidRPr="00EB4FEE">
        <w:rPr>
          <w:rFonts w:asciiTheme="majorHAnsi" w:hAnsiTheme="majorHAnsi" w:cstheme="majorHAnsi"/>
          <w:color w:val="595959" w:themeColor="text1" w:themeTint="A6"/>
        </w:rPr>
        <w:t>overn</w:t>
      </w:r>
      <w:r w:rsidR="00B55E68" w:rsidRPr="00EB4FEE">
        <w:rPr>
          <w:rFonts w:asciiTheme="majorHAnsi" w:hAnsiTheme="majorHAnsi" w:cstheme="majorHAnsi"/>
          <w:color w:val="595959" w:themeColor="text1" w:themeTint="A6"/>
        </w:rPr>
        <w:t xml:space="preserve">ance mechanisms (see Figure </w:t>
      </w:r>
      <w:r w:rsidR="006A546B" w:rsidRPr="00EB4FEE">
        <w:rPr>
          <w:rFonts w:asciiTheme="majorHAnsi" w:hAnsiTheme="majorHAnsi" w:cstheme="majorHAnsi"/>
          <w:color w:val="595959" w:themeColor="text1" w:themeTint="A6"/>
        </w:rPr>
        <w:t>3</w:t>
      </w:r>
      <w:r w:rsidRPr="00EB4FEE">
        <w:rPr>
          <w:rFonts w:asciiTheme="majorHAnsi" w:hAnsiTheme="majorHAnsi" w:cstheme="majorHAnsi"/>
          <w:color w:val="595959" w:themeColor="text1" w:themeTint="A6"/>
        </w:rPr>
        <w:t>) and shared decision-making will ensure relevance and alignment with G</w:t>
      </w:r>
      <w:r w:rsidR="000B69AD" w:rsidRPr="00EB4FEE">
        <w:rPr>
          <w:rFonts w:asciiTheme="majorHAnsi" w:hAnsiTheme="majorHAnsi" w:cstheme="majorHAnsi"/>
          <w:color w:val="595959" w:themeColor="text1" w:themeTint="A6"/>
        </w:rPr>
        <w:t>o</w:t>
      </w:r>
      <w:r w:rsidRPr="00EB4FEE">
        <w:rPr>
          <w:rFonts w:asciiTheme="majorHAnsi" w:hAnsiTheme="majorHAnsi" w:cstheme="majorHAnsi"/>
          <w:color w:val="595959" w:themeColor="text1" w:themeTint="A6"/>
        </w:rPr>
        <w:t>I priorities</w:t>
      </w:r>
      <w:r w:rsidR="00BB0E5C" w:rsidRPr="00EB4FEE">
        <w:rPr>
          <w:rFonts w:asciiTheme="majorHAnsi" w:hAnsiTheme="majorHAnsi" w:cstheme="majorHAnsi"/>
          <w:color w:val="595959" w:themeColor="text1" w:themeTint="A6"/>
        </w:rPr>
        <w:t>,</w:t>
      </w:r>
      <w:r w:rsidRPr="00EB4FEE">
        <w:rPr>
          <w:rFonts w:asciiTheme="majorHAnsi" w:hAnsiTheme="majorHAnsi" w:cstheme="majorHAnsi"/>
          <w:color w:val="595959" w:themeColor="text1" w:themeTint="A6"/>
        </w:rPr>
        <w:t xml:space="preserve"> and the partnership model of implementation will build capacity and maintain a strong sense of ownership by G</w:t>
      </w:r>
      <w:r w:rsidR="000B69AD" w:rsidRPr="00EB4FEE">
        <w:rPr>
          <w:rFonts w:asciiTheme="majorHAnsi" w:hAnsiTheme="majorHAnsi" w:cstheme="majorHAnsi"/>
          <w:color w:val="595959" w:themeColor="text1" w:themeTint="A6"/>
        </w:rPr>
        <w:t>o</w:t>
      </w:r>
      <w:r w:rsidRPr="00EB4FEE">
        <w:rPr>
          <w:rFonts w:asciiTheme="majorHAnsi" w:hAnsiTheme="majorHAnsi" w:cstheme="majorHAnsi"/>
          <w:color w:val="595959" w:themeColor="text1" w:themeTint="A6"/>
        </w:rPr>
        <w:t>I</w:t>
      </w:r>
      <w:r w:rsidR="00535D18">
        <w:rPr>
          <w:rFonts w:asciiTheme="majorHAnsi" w:hAnsiTheme="majorHAnsi" w:cstheme="majorHAnsi"/>
          <w:color w:val="595959" w:themeColor="text1" w:themeTint="A6"/>
        </w:rPr>
        <w:t>.</w:t>
      </w:r>
      <w:r w:rsidR="00C83B0C" w:rsidRPr="00EB4FEE">
        <w:rPr>
          <w:rFonts w:asciiTheme="majorHAnsi" w:hAnsiTheme="majorHAnsi" w:cstheme="majorHAnsi"/>
          <w:color w:val="595959" w:themeColor="text1" w:themeTint="A6"/>
        </w:rPr>
        <w:t xml:space="preserve"> </w:t>
      </w:r>
      <w:r w:rsidRPr="00EB4FEE">
        <w:rPr>
          <w:rFonts w:asciiTheme="majorHAnsi" w:hAnsiTheme="majorHAnsi" w:cstheme="majorHAnsi"/>
          <w:color w:val="595959" w:themeColor="text1" w:themeTint="A6"/>
        </w:rPr>
        <w:t xml:space="preserve">Technical assistance </w:t>
      </w:r>
      <w:r w:rsidR="00BB0E5C" w:rsidRPr="00EB4FEE">
        <w:rPr>
          <w:rFonts w:asciiTheme="majorHAnsi" w:hAnsiTheme="majorHAnsi" w:cstheme="majorHAnsi"/>
          <w:color w:val="595959" w:themeColor="text1" w:themeTint="A6"/>
        </w:rPr>
        <w:t>will</w:t>
      </w:r>
      <w:r w:rsidRPr="00EB4FEE">
        <w:rPr>
          <w:rFonts w:asciiTheme="majorHAnsi" w:hAnsiTheme="majorHAnsi" w:cstheme="majorHAnsi"/>
          <w:color w:val="595959" w:themeColor="text1" w:themeTint="A6"/>
        </w:rPr>
        <w:t xml:space="preserve"> focus on sustainable capacity development, with program staff adopting advisory and mentoring (but not operational) roles</w:t>
      </w:r>
      <w:r w:rsidR="00535D18">
        <w:rPr>
          <w:rFonts w:asciiTheme="majorHAnsi" w:hAnsiTheme="majorHAnsi" w:cstheme="majorHAnsi"/>
          <w:color w:val="595959" w:themeColor="text1" w:themeTint="A6"/>
        </w:rPr>
        <w:t xml:space="preserve">. </w:t>
      </w:r>
      <w:r w:rsidRPr="00EB4FEE">
        <w:rPr>
          <w:rFonts w:asciiTheme="majorHAnsi" w:hAnsiTheme="majorHAnsi" w:cstheme="majorHAnsi"/>
          <w:color w:val="595959" w:themeColor="text1" w:themeTint="A6"/>
        </w:rPr>
        <w:t>All areas of work proposed in the future program</w:t>
      </w:r>
      <w:r w:rsidR="00B55E68" w:rsidRPr="00EB4FEE">
        <w:rPr>
          <w:rFonts w:asciiTheme="majorHAnsi" w:hAnsiTheme="majorHAnsi" w:cstheme="majorHAnsi"/>
          <w:color w:val="595959" w:themeColor="text1" w:themeTint="A6"/>
        </w:rPr>
        <w:t xml:space="preserve"> should</w:t>
      </w:r>
      <w:r w:rsidRPr="00EB4FEE">
        <w:rPr>
          <w:rFonts w:asciiTheme="majorHAnsi" w:hAnsiTheme="majorHAnsi" w:cstheme="majorHAnsi"/>
          <w:color w:val="595959" w:themeColor="text1" w:themeTint="A6"/>
        </w:rPr>
        <w:t xml:space="preserve"> build on outcomes developed in the current</w:t>
      </w:r>
      <w:r w:rsidR="00B55E68" w:rsidRPr="00EB4FEE">
        <w:rPr>
          <w:rFonts w:asciiTheme="majorHAnsi" w:hAnsiTheme="majorHAnsi" w:cstheme="majorHAnsi"/>
          <w:color w:val="595959" w:themeColor="text1" w:themeTint="A6"/>
        </w:rPr>
        <w:t xml:space="preserve"> AIP</w:t>
      </w:r>
      <w:r w:rsidR="00C45CC6" w:rsidRPr="00EB4FEE">
        <w:rPr>
          <w:rFonts w:asciiTheme="majorHAnsi" w:hAnsiTheme="majorHAnsi" w:cstheme="majorHAnsi"/>
          <w:color w:val="595959" w:themeColor="text1" w:themeTint="A6"/>
        </w:rPr>
        <w:t>EID</w:t>
      </w:r>
      <w:r w:rsidRPr="00EB4FEE">
        <w:rPr>
          <w:rFonts w:asciiTheme="majorHAnsi" w:hAnsiTheme="majorHAnsi" w:cstheme="majorHAnsi"/>
          <w:color w:val="595959" w:themeColor="text1" w:themeTint="A6"/>
        </w:rPr>
        <w:t xml:space="preserve"> program</w:t>
      </w:r>
      <w:r w:rsidR="00B55E68" w:rsidRPr="00EB4FEE">
        <w:rPr>
          <w:rFonts w:asciiTheme="majorHAnsi" w:hAnsiTheme="majorHAnsi" w:cstheme="majorHAnsi"/>
          <w:color w:val="595959" w:themeColor="text1" w:themeTint="A6"/>
        </w:rPr>
        <w:t>,</w:t>
      </w:r>
      <w:r w:rsidR="00BB0E5C" w:rsidRPr="00EB4FEE">
        <w:rPr>
          <w:rFonts w:asciiTheme="majorHAnsi" w:hAnsiTheme="majorHAnsi" w:cstheme="majorHAnsi"/>
          <w:color w:val="595959" w:themeColor="text1" w:themeTint="A6"/>
        </w:rPr>
        <w:t xml:space="preserve"> and</w:t>
      </w:r>
      <w:r w:rsidR="00B55E68" w:rsidRPr="00EB4FEE">
        <w:rPr>
          <w:rFonts w:asciiTheme="majorHAnsi" w:hAnsiTheme="majorHAnsi" w:cstheme="majorHAnsi"/>
          <w:color w:val="595959" w:themeColor="text1" w:themeTint="A6"/>
        </w:rPr>
        <w:t xml:space="preserve"> th</w:t>
      </w:r>
      <w:r w:rsidR="00433A2D" w:rsidRPr="00EB4FEE">
        <w:rPr>
          <w:rFonts w:asciiTheme="majorHAnsi" w:hAnsiTheme="majorHAnsi" w:cstheme="majorHAnsi"/>
          <w:color w:val="595959" w:themeColor="text1" w:themeTint="A6"/>
        </w:rPr>
        <w:t>e recommendations of the JEE,</w:t>
      </w:r>
      <w:r w:rsidR="00B55E68" w:rsidRPr="00EB4FEE">
        <w:rPr>
          <w:rFonts w:asciiTheme="majorHAnsi" w:hAnsiTheme="majorHAnsi" w:cstheme="majorHAnsi"/>
          <w:color w:val="595959" w:themeColor="text1" w:themeTint="A6"/>
        </w:rPr>
        <w:t xml:space="preserve"> PVS</w:t>
      </w:r>
      <w:r w:rsidRPr="00EB4FEE">
        <w:rPr>
          <w:rFonts w:asciiTheme="majorHAnsi" w:hAnsiTheme="majorHAnsi" w:cstheme="majorHAnsi"/>
          <w:color w:val="595959" w:themeColor="text1" w:themeTint="A6"/>
        </w:rPr>
        <w:t xml:space="preserve"> </w:t>
      </w:r>
      <w:r w:rsidR="00433A2D" w:rsidRPr="00EB4FEE">
        <w:rPr>
          <w:rFonts w:asciiTheme="majorHAnsi" w:hAnsiTheme="majorHAnsi" w:cstheme="majorHAnsi"/>
          <w:color w:val="595959" w:themeColor="text1" w:themeTint="A6"/>
        </w:rPr>
        <w:t xml:space="preserve">and </w:t>
      </w:r>
      <w:r w:rsidR="000B69AD" w:rsidRPr="00EB4FEE">
        <w:rPr>
          <w:rFonts w:asciiTheme="majorHAnsi" w:hAnsiTheme="majorHAnsi" w:cstheme="majorHAnsi"/>
          <w:color w:val="595959" w:themeColor="text1" w:themeTint="A6"/>
        </w:rPr>
        <w:t>NAPHS</w:t>
      </w:r>
      <w:r w:rsidR="00433A2D" w:rsidRPr="00EB4FEE">
        <w:rPr>
          <w:rFonts w:asciiTheme="majorHAnsi" w:hAnsiTheme="majorHAnsi" w:cstheme="majorHAnsi"/>
          <w:color w:val="595959" w:themeColor="text1" w:themeTint="A6"/>
        </w:rPr>
        <w:t xml:space="preserve"> </w:t>
      </w:r>
      <w:r w:rsidRPr="00EB4FEE">
        <w:rPr>
          <w:rFonts w:asciiTheme="majorHAnsi" w:hAnsiTheme="majorHAnsi" w:cstheme="majorHAnsi"/>
          <w:color w:val="595959" w:themeColor="text1" w:themeTint="A6"/>
        </w:rPr>
        <w:t>which are already largely embedded and supported within the G</w:t>
      </w:r>
      <w:r w:rsidR="000B69AD" w:rsidRPr="00EB4FEE">
        <w:rPr>
          <w:rFonts w:asciiTheme="majorHAnsi" w:hAnsiTheme="majorHAnsi" w:cstheme="majorHAnsi"/>
          <w:color w:val="595959" w:themeColor="text1" w:themeTint="A6"/>
        </w:rPr>
        <w:t>o</w:t>
      </w:r>
      <w:r w:rsidRPr="00EB4FEE">
        <w:rPr>
          <w:rFonts w:asciiTheme="majorHAnsi" w:hAnsiTheme="majorHAnsi" w:cstheme="majorHAnsi"/>
          <w:color w:val="595959" w:themeColor="text1" w:themeTint="A6"/>
        </w:rPr>
        <w:t>I framework.</w:t>
      </w:r>
    </w:p>
    <w:p w:rsidR="00A11643" w:rsidRPr="0043356C" w:rsidRDefault="00794C57" w:rsidP="00BF6C52">
      <w:pPr>
        <w:pStyle w:val="Heading2"/>
        <w:spacing w:after="120" w:line="240" w:lineRule="auto"/>
        <w:contextualSpacing w:val="0"/>
        <w:rPr>
          <w:rFonts w:cstheme="majorHAnsi"/>
          <w:sz w:val="22"/>
          <w:szCs w:val="22"/>
        </w:rPr>
      </w:pPr>
      <w:bookmarkStart w:id="33" w:name="_Toc3297014"/>
      <w:r w:rsidRPr="0043356C">
        <w:rPr>
          <w:rFonts w:cstheme="majorHAnsi"/>
          <w:sz w:val="22"/>
          <w:szCs w:val="22"/>
        </w:rPr>
        <w:t>Gender Equality</w:t>
      </w:r>
      <w:bookmarkEnd w:id="33"/>
    </w:p>
    <w:p w:rsidR="00DF3800" w:rsidRPr="00EB4FEE" w:rsidRDefault="005E5192">
      <w:pPr>
        <w:pStyle w:val="BodyText"/>
        <w:spacing w:before="0" w:after="12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Gender equality is recognised as a core principle of Australia’s aid program</w:t>
      </w:r>
      <w:r w:rsidR="00535D18">
        <w:rPr>
          <w:rFonts w:asciiTheme="majorHAnsi" w:hAnsiTheme="majorHAnsi" w:cstheme="majorHAnsi"/>
          <w:color w:val="595959" w:themeColor="text1" w:themeTint="A6"/>
        </w:rPr>
        <w:t>.</w:t>
      </w:r>
      <w:r w:rsidR="00C83B0C" w:rsidRPr="00EB4FEE">
        <w:rPr>
          <w:rFonts w:asciiTheme="majorHAnsi" w:hAnsiTheme="majorHAnsi" w:cstheme="majorHAnsi"/>
          <w:color w:val="595959" w:themeColor="text1" w:themeTint="A6"/>
        </w:rPr>
        <w:t xml:space="preserve"> </w:t>
      </w:r>
      <w:r w:rsidR="00BF1C72" w:rsidRPr="00EB4FEE">
        <w:rPr>
          <w:rFonts w:asciiTheme="majorHAnsi" w:hAnsiTheme="majorHAnsi" w:cstheme="majorHAnsi"/>
          <w:color w:val="595959" w:themeColor="text1" w:themeTint="A6"/>
        </w:rPr>
        <w:t>DFAT launched their Gender Equality and Women’s Empowerment Strategy in 2016</w:t>
      </w:r>
      <w:r w:rsidR="00535D18">
        <w:rPr>
          <w:rFonts w:asciiTheme="majorHAnsi" w:hAnsiTheme="majorHAnsi" w:cstheme="majorHAnsi"/>
          <w:color w:val="595959" w:themeColor="text1" w:themeTint="A6"/>
        </w:rPr>
        <w:t>.</w:t>
      </w:r>
      <w:r w:rsidR="00C83B0C" w:rsidRPr="00EB4FEE">
        <w:rPr>
          <w:rFonts w:asciiTheme="majorHAnsi" w:hAnsiTheme="majorHAnsi" w:cstheme="majorHAnsi"/>
          <w:color w:val="595959" w:themeColor="text1" w:themeTint="A6"/>
        </w:rPr>
        <w:t xml:space="preserve"> </w:t>
      </w:r>
      <w:r w:rsidR="00BF1C72" w:rsidRPr="00EB4FEE">
        <w:rPr>
          <w:rFonts w:asciiTheme="majorHAnsi" w:hAnsiTheme="majorHAnsi" w:cstheme="majorHAnsi"/>
          <w:color w:val="595959" w:themeColor="text1" w:themeTint="A6"/>
        </w:rPr>
        <w:t>The strategy aims to promote equal opportunities and outcomes for all</w:t>
      </w:r>
      <w:r w:rsidR="00C83B0C" w:rsidRPr="00EB4FEE">
        <w:rPr>
          <w:rFonts w:asciiTheme="majorHAnsi" w:hAnsiTheme="majorHAnsi" w:cstheme="majorHAnsi"/>
          <w:color w:val="595959" w:themeColor="text1" w:themeTint="A6"/>
        </w:rPr>
        <w:t xml:space="preserve">. </w:t>
      </w:r>
      <w:r w:rsidR="00BF1C72" w:rsidRPr="00EB4FEE">
        <w:rPr>
          <w:rFonts w:asciiTheme="majorHAnsi" w:hAnsiTheme="majorHAnsi" w:cstheme="majorHAnsi"/>
          <w:color w:val="595959" w:themeColor="text1" w:themeTint="A6"/>
        </w:rPr>
        <w:t>It places gender equality and women’s empowerment centrally in Australia’s foreign policy, economic diplomacy and development efforts</w:t>
      </w:r>
      <w:r w:rsidR="00C83B0C" w:rsidRPr="00EB4FEE">
        <w:rPr>
          <w:rFonts w:asciiTheme="majorHAnsi" w:hAnsiTheme="majorHAnsi" w:cstheme="majorHAnsi"/>
          <w:color w:val="595959" w:themeColor="text1" w:themeTint="A6"/>
        </w:rPr>
        <w:t>.</w:t>
      </w:r>
      <w:r w:rsidR="00261499" w:rsidRPr="00261499">
        <w:rPr>
          <w:rFonts w:asciiTheme="majorHAnsi" w:hAnsiTheme="majorHAnsi" w:cstheme="majorHAnsi"/>
          <w:color w:val="595959" w:themeColor="text1" w:themeTint="A6"/>
        </w:rPr>
        <w:t xml:space="preserve"> T</w:t>
      </w:r>
      <w:r w:rsidR="00261499" w:rsidRPr="00261499">
        <w:rPr>
          <w:rFonts w:asciiTheme="majorHAnsi" w:hAnsiTheme="majorHAnsi" w:cstheme="majorHAnsi"/>
          <w:color w:val="595959" w:themeColor="text1" w:themeTint="A6"/>
          <w:lang w:val="en-US"/>
        </w:rPr>
        <w:t xml:space="preserve">he </w:t>
      </w:r>
      <w:r w:rsidR="00261499" w:rsidRPr="00EB4FEE">
        <w:rPr>
          <w:rFonts w:asciiTheme="majorHAnsi" w:hAnsiTheme="majorHAnsi" w:cstheme="majorHAnsi"/>
          <w:color w:val="595959" w:themeColor="text1" w:themeTint="A6"/>
          <w:lang w:val="en-US"/>
        </w:rPr>
        <w:t xml:space="preserve">2017 </w:t>
      </w:r>
      <w:r w:rsidR="00261499" w:rsidRPr="00261499">
        <w:rPr>
          <w:rFonts w:asciiTheme="majorHAnsi" w:hAnsiTheme="majorHAnsi" w:cstheme="majorHAnsi"/>
          <w:color w:val="595959" w:themeColor="text1" w:themeTint="A6"/>
          <w:lang w:val="en-US"/>
        </w:rPr>
        <w:t>Foreign Policy White Paper also identified gender as a top foreign policy priority.</w:t>
      </w:r>
    </w:p>
    <w:p w:rsidR="00DF3800" w:rsidRPr="00EB4FEE" w:rsidRDefault="00DF3800" w:rsidP="0031581E">
      <w:pPr>
        <w:pStyle w:val="BodyText"/>
        <w:spacing w:before="0" w:after="12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AIPEID’s gender equality and women’s economic empowerment efforts will need to be built on and expanded upon throughout this program</w:t>
      </w:r>
      <w:r w:rsidR="002C47DC">
        <w:rPr>
          <w:rFonts w:asciiTheme="majorHAnsi" w:hAnsiTheme="majorHAnsi" w:cstheme="majorHAnsi"/>
          <w:color w:val="595959" w:themeColor="text1" w:themeTint="A6"/>
        </w:rPr>
        <w:t>, noting that gender</w:t>
      </w:r>
      <w:r w:rsidR="00610898">
        <w:rPr>
          <w:rFonts w:asciiTheme="majorHAnsi" w:hAnsiTheme="majorHAnsi" w:cstheme="majorHAnsi"/>
          <w:color w:val="595959" w:themeColor="text1" w:themeTint="A6"/>
        </w:rPr>
        <w:t xml:space="preserve"> considerations were more successfully incorporated in the animal health component, as compared to the human health component</w:t>
      </w:r>
      <w:r w:rsidR="00352A08">
        <w:rPr>
          <w:rFonts w:asciiTheme="majorHAnsi" w:hAnsiTheme="majorHAnsi" w:cstheme="majorHAnsi"/>
          <w:color w:val="595959" w:themeColor="text1" w:themeTint="A6"/>
        </w:rPr>
        <w:t>.</w:t>
      </w:r>
      <w:r w:rsidR="00C83B0C" w:rsidRPr="00EB4FEE">
        <w:rPr>
          <w:rFonts w:asciiTheme="majorHAnsi" w:hAnsiTheme="majorHAnsi" w:cstheme="majorHAnsi"/>
          <w:color w:val="595959" w:themeColor="text1" w:themeTint="A6"/>
        </w:rPr>
        <w:t xml:space="preserve"> </w:t>
      </w:r>
      <w:r w:rsidR="005E5192" w:rsidRPr="00EB4FEE">
        <w:rPr>
          <w:rFonts w:asciiTheme="majorHAnsi" w:hAnsiTheme="majorHAnsi" w:cstheme="majorHAnsi"/>
          <w:color w:val="595959" w:themeColor="text1" w:themeTint="A6"/>
        </w:rPr>
        <w:t>Women play a critical role at all levels in both the human health and animal health systems</w:t>
      </w:r>
      <w:r w:rsidR="00535D18">
        <w:rPr>
          <w:rFonts w:asciiTheme="majorHAnsi" w:hAnsiTheme="majorHAnsi" w:cstheme="majorHAnsi"/>
          <w:color w:val="595959" w:themeColor="text1" w:themeTint="A6"/>
        </w:rPr>
        <w:t xml:space="preserve">. </w:t>
      </w:r>
      <w:r w:rsidRPr="00EB4FEE">
        <w:rPr>
          <w:rFonts w:asciiTheme="majorHAnsi" w:hAnsiTheme="majorHAnsi" w:cstheme="majorHAnsi"/>
          <w:color w:val="595959" w:themeColor="text1" w:themeTint="A6"/>
        </w:rPr>
        <w:t>Gender is a key factor in EID exposure and vulnerability, given the multiple roles of women in small-scale poultry farming, domestic and commercial food preparation, and the gender make-up of the health workforce</w:t>
      </w:r>
      <w:r w:rsidR="00535D18">
        <w:rPr>
          <w:rFonts w:asciiTheme="majorHAnsi" w:hAnsiTheme="majorHAnsi" w:cstheme="majorHAnsi"/>
          <w:color w:val="595959" w:themeColor="text1" w:themeTint="A6"/>
        </w:rPr>
        <w:t xml:space="preserve">. </w:t>
      </w:r>
      <w:r w:rsidR="0031581E">
        <w:rPr>
          <w:rFonts w:asciiTheme="majorHAnsi" w:hAnsiTheme="majorHAnsi" w:cstheme="majorHAnsi"/>
          <w:color w:val="595959" w:themeColor="text1" w:themeTint="A6"/>
        </w:rPr>
        <w:t>Recognising</w:t>
      </w:r>
      <w:r w:rsidR="0031581E" w:rsidRPr="0031581E">
        <w:rPr>
          <w:rFonts w:asciiTheme="majorHAnsi" w:hAnsiTheme="majorHAnsi" w:cstheme="majorHAnsi"/>
          <w:color w:val="595959" w:themeColor="text1" w:themeTint="A6"/>
        </w:rPr>
        <w:t xml:space="preserve"> the different roles</w:t>
      </w:r>
      <w:r w:rsidR="0031581E">
        <w:rPr>
          <w:rFonts w:asciiTheme="majorHAnsi" w:hAnsiTheme="majorHAnsi" w:cstheme="majorHAnsi"/>
          <w:color w:val="595959" w:themeColor="text1" w:themeTint="A6"/>
        </w:rPr>
        <w:t xml:space="preserve"> that</w:t>
      </w:r>
      <w:r w:rsidR="0031581E" w:rsidRPr="0031581E">
        <w:rPr>
          <w:rFonts w:asciiTheme="majorHAnsi" w:hAnsiTheme="majorHAnsi" w:cstheme="majorHAnsi"/>
          <w:color w:val="595959" w:themeColor="text1" w:themeTint="A6"/>
        </w:rPr>
        <w:t xml:space="preserve"> men and women play in preventing/controlling the spread of disease (relevant to public health campaigns) and </w:t>
      </w:r>
      <w:r w:rsidR="0031581E">
        <w:rPr>
          <w:rFonts w:asciiTheme="majorHAnsi" w:hAnsiTheme="majorHAnsi" w:cstheme="majorHAnsi"/>
          <w:color w:val="595959" w:themeColor="text1" w:themeTint="A6"/>
        </w:rPr>
        <w:t xml:space="preserve">the </w:t>
      </w:r>
      <w:r w:rsidR="0031581E" w:rsidRPr="0031581E">
        <w:rPr>
          <w:rFonts w:asciiTheme="majorHAnsi" w:hAnsiTheme="majorHAnsi" w:cstheme="majorHAnsi"/>
          <w:color w:val="595959" w:themeColor="text1" w:themeTint="A6"/>
        </w:rPr>
        <w:t>gendered economic impacts</w:t>
      </w:r>
      <w:r w:rsidR="0031581E">
        <w:rPr>
          <w:rFonts w:asciiTheme="majorHAnsi" w:hAnsiTheme="majorHAnsi" w:cstheme="majorHAnsi"/>
          <w:color w:val="595959" w:themeColor="text1" w:themeTint="A6"/>
        </w:rPr>
        <w:t xml:space="preserve"> of disease outbreaks will</w:t>
      </w:r>
      <w:r w:rsidR="0031581E" w:rsidRPr="0031581E">
        <w:rPr>
          <w:rFonts w:asciiTheme="majorHAnsi" w:hAnsiTheme="majorHAnsi" w:cstheme="majorHAnsi"/>
          <w:color w:val="595959" w:themeColor="text1" w:themeTint="A6"/>
        </w:rPr>
        <w:t xml:space="preserve"> increase the effectiveness of the partnership</w:t>
      </w:r>
      <w:r w:rsidR="0031581E">
        <w:rPr>
          <w:rFonts w:asciiTheme="majorHAnsi" w:hAnsiTheme="majorHAnsi" w:cstheme="majorHAnsi"/>
          <w:color w:val="595959" w:themeColor="text1" w:themeTint="A6"/>
        </w:rPr>
        <w:t>.</w:t>
      </w:r>
    </w:p>
    <w:p w:rsidR="00CA4B88" w:rsidRPr="00EB4FEE" w:rsidRDefault="005E5192">
      <w:pPr>
        <w:pStyle w:val="BodyText"/>
        <w:spacing w:before="0" w:after="12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 xml:space="preserve">Gender equality and inclusiveness will be considered in all activities of this </w:t>
      </w:r>
      <w:r w:rsidR="00171A57" w:rsidRPr="00EB4FEE">
        <w:rPr>
          <w:rFonts w:asciiTheme="majorHAnsi" w:hAnsiTheme="majorHAnsi" w:cstheme="majorHAnsi"/>
          <w:color w:val="595959" w:themeColor="text1" w:themeTint="A6"/>
        </w:rPr>
        <w:t>p</w:t>
      </w:r>
      <w:r w:rsidRPr="00EB4FEE">
        <w:rPr>
          <w:rFonts w:asciiTheme="majorHAnsi" w:hAnsiTheme="majorHAnsi" w:cstheme="majorHAnsi"/>
          <w:color w:val="595959" w:themeColor="text1" w:themeTint="A6"/>
        </w:rPr>
        <w:t>rogram</w:t>
      </w:r>
      <w:r w:rsidR="00BA00DC" w:rsidRPr="00EB4FEE">
        <w:rPr>
          <w:rFonts w:asciiTheme="majorHAnsi" w:hAnsiTheme="majorHAnsi" w:cstheme="majorHAnsi"/>
          <w:color w:val="595959" w:themeColor="text1" w:themeTint="A6"/>
        </w:rPr>
        <w:t xml:space="preserve"> and gender indicators will form part of the program’s </w:t>
      </w:r>
      <w:r w:rsidR="00171A57" w:rsidRPr="00EB4FEE">
        <w:rPr>
          <w:rFonts w:asciiTheme="majorHAnsi" w:hAnsiTheme="majorHAnsi" w:cstheme="majorHAnsi"/>
          <w:color w:val="595959" w:themeColor="text1" w:themeTint="A6"/>
        </w:rPr>
        <w:t>ME</w:t>
      </w:r>
      <w:r w:rsidR="009C5258">
        <w:rPr>
          <w:rFonts w:asciiTheme="majorHAnsi" w:hAnsiTheme="majorHAnsi" w:cstheme="majorHAnsi"/>
          <w:color w:val="595959" w:themeColor="text1" w:themeTint="A6"/>
        </w:rPr>
        <w:t>L</w:t>
      </w:r>
      <w:r w:rsidR="00171A57" w:rsidRPr="00EB4FEE">
        <w:rPr>
          <w:rFonts w:asciiTheme="majorHAnsi" w:hAnsiTheme="majorHAnsi" w:cstheme="majorHAnsi"/>
          <w:color w:val="595959" w:themeColor="text1" w:themeTint="A6"/>
        </w:rPr>
        <w:t>F</w:t>
      </w:r>
      <w:r w:rsidR="00535D18">
        <w:rPr>
          <w:rFonts w:asciiTheme="majorHAnsi" w:hAnsiTheme="majorHAnsi" w:cstheme="majorHAnsi"/>
          <w:color w:val="595959" w:themeColor="text1" w:themeTint="A6"/>
        </w:rPr>
        <w:t>.</w:t>
      </w:r>
      <w:r w:rsidR="00C83B0C" w:rsidRPr="00EB4FEE">
        <w:rPr>
          <w:rFonts w:asciiTheme="majorHAnsi" w:hAnsiTheme="majorHAnsi" w:cstheme="majorHAnsi"/>
          <w:color w:val="595959" w:themeColor="text1" w:themeTint="A6"/>
        </w:rPr>
        <w:t xml:space="preserve"> </w:t>
      </w:r>
      <w:r w:rsidR="00CA4B88" w:rsidRPr="00EB4FEE">
        <w:rPr>
          <w:rFonts w:asciiTheme="majorHAnsi" w:hAnsiTheme="majorHAnsi" w:cstheme="majorHAnsi"/>
          <w:color w:val="595959" w:themeColor="text1" w:themeTint="A6"/>
        </w:rPr>
        <w:t xml:space="preserve">The managing contractor will be required to do a gender gap analysis during the inception phase of the program (considering the gender strategy that was previously developed under the </w:t>
      </w:r>
      <w:r w:rsidR="00610898">
        <w:rPr>
          <w:rFonts w:asciiTheme="majorHAnsi" w:hAnsiTheme="majorHAnsi" w:cstheme="majorHAnsi"/>
          <w:color w:val="595959" w:themeColor="text1" w:themeTint="A6"/>
        </w:rPr>
        <w:t xml:space="preserve">animal health component of the </w:t>
      </w:r>
      <w:r w:rsidR="00CA4B88" w:rsidRPr="00EB4FEE">
        <w:rPr>
          <w:rFonts w:asciiTheme="majorHAnsi" w:hAnsiTheme="majorHAnsi" w:cstheme="majorHAnsi"/>
          <w:color w:val="595959" w:themeColor="text1" w:themeTint="A6"/>
        </w:rPr>
        <w:t>AIPEID program)</w:t>
      </w:r>
      <w:r w:rsidR="0035143D" w:rsidRPr="00EB4FEE">
        <w:rPr>
          <w:rFonts w:asciiTheme="majorHAnsi" w:hAnsiTheme="majorHAnsi" w:cstheme="majorHAnsi"/>
          <w:color w:val="595959" w:themeColor="text1" w:themeTint="A6"/>
        </w:rPr>
        <w:t xml:space="preserve"> and</w:t>
      </w:r>
      <w:r w:rsidR="00CA4B88" w:rsidRPr="00EB4FEE">
        <w:rPr>
          <w:rFonts w:asciiTheme="majorHAnsi" w:hAnsiTheme="majorHAnsi" w:cstheme="majorHAnsi"/>
          <w:color w:val="595959" w:themeColor="text1" w:themeTint="A6"/>
        </w:rPr>
        <w:t xml:space="preserve"> to develop a plan</w:t>
      </w:r>
      <w:r w:rsidR="0035143D" w:rsidRPr="00EB4FEE">
        <w:rPr>
          <w:rFonts w:asciiTheme="majorHAnsi" w:hAnsiTheme="majorHAnsi" w:cstheme="majorHAnsi"/>
          <w:color w:val="595959" w:themeColor="text1" w:themeTint="A6"/>
        </w:rPr>
        <w:t>/strategy</w:t>
      </w:r>
      <w:r w:rsidR="00CA4B88" w:rsidRPr="00EB4FEE">
        <w:rPr>
          <w:rFonts w:asciiTheme="majorHAnsi" w:hAnsiTheme="majorHAnsi" w:cstheme="majorHAnsi"/>
          <w:color w:val="595959" w:themeColor="text1" w:themeTint="A6"/>
        </w:rPr>
        <w:t xml:space="preserve"> as to how they will best integrate gender into the program</w:t>
      </w:r>
      <w:r w:rsidR="00C83B0C" w:rsidRPr="00EB4FEE">
        <w:rPr>
          <w:rFonts w:asciiTheme="majorHAnsi" w:hAnsiTheme="majorHAnsi" w:cstheme="majorHAnsi"/>
          <w:color w:val="595959" w:themeColor="text1" w:themeTint="A6"/>
        </w:rPr>
        <w:t>.</w:t>
      </w:r>
      <w:r w:rsidR="00535D18">
        <w:rPr>
          <w:rFonts w:asciiTheme="majorHAnsi" w:hAnsiTheme="majorHAnsi" w:cstheme="majorHAnsi"/>
          <w:color w:val="595959" w:themeColor="text1" w:themeTint="A6"/>
        </w:rPr>
        <w:t xml:space="preserve"> </w:t>
      </w:r>
      <w:r w:rsidR="002C47DC">
        <w:rPr>
          <w:rFonts w:asciiTheme="majorHAnsi" w:hAnsiTheme="majorHAnsi" w:cstheme="majorHAnsi"/>
          <w:color w:val="595959" w:themeColor="text1" w:themeTint="A6"/>
        </w:rPr>
        <w:t>The managing contractor will therefore need to have strong tech</w:t>
      </w:r>
      <w:r w:rsidR="005250E6">
        <w:rPr>
          <w:rFonts w:asciiTheme="majorHAnsi" w:hAnsiTheme="majorHAnsi" w:cstheme="majorHAnsi"/>
          <w:color w:val="595959" w:themeColor="text1" w:themeTint="A6"/>
        </w:rPr>
        <w:t>nical skills in relation to gender equ</w:t>
      </w:r>
      <w:r w:rsidR="00276389">
        <w:rPr>
          <w:rFonts w:asciiTheme="majorHAnsi" w:hAnsiTheme="majorHAnsi" w:cstheme="majorHAnsi"/>
          <w:color w:val="595959" w:themeColor="text1" w:themeTint="A6"/>
        </w:rPr>
        <w:t>al</w:t>
      </w:r>
      <w:r w:rsidR="005250E6">
        <w:rPr>
          <w:rFonts w:asciiTheme="majorHAnsi" w:hAnsiTheme="majorHAnsi" w:cstheme="majorHAnsi"/>
          <w:color w:val="595959" w:themeColor="text1" w:themeTint="A6"/>
        </w:rPr>
        <w:t>ity and social inclusion</w:t>
      </w:r>
      <w:r w:rsidR="002C47DC">
        <w:rPr>
          <w:rFonts w:asciiTheme="majorHAnsi" w:hAnsiTheme="majorHAnsi" w:cstheme="majorHAnsi"/>
          <w:color w:val="595959" w:themeColor="text1" w:themeTint="A6"/>
        </w:rPr>
        <w:t xml:space="preserve">. </w:t>
      </w:r>
      <w:r w:rsidR="00B738DD" w:rsidRPr="00B738DD">
        <w:rPr>
          <w:rFonts w:asciiTheme="majorHAnsi" w:hAnsiTheme="majorHAnsi" w:cstheme="majorHAnsi"/>
          <w:color w:val="595959" w:themeColor="text1" w:themeTint="A6"/>
        </w:rPr>
        <w:t xml:space="preserve">The gender gap analysis will further inform the </w:t>
      </w:r>
      <w:r w:rsidR="00B738DD" w:rsidRPr="00841D7C">
        <w:rPr>
          <w:rFonts w:asciiTheme="majorHAnsi" w:hAnsiTheme="majorHAnsi" w:cstheme="majorHAnsi"/>
          <w:color w:val="595959" w:themeColor="text1" w:themeTint="A6"/>
        </w:rPr>
        <w:t>indicative areas of investment</w:t>
      </w:r>
      <w:r w:rsidR="00B738DD">
        <w:rPr>
          <w:rFonts w:asciiTheme="majorHAnsi" w:hAnsiTheme="majorHAnsi" w:cstheme="majorHAnsi"/>
          <w:color w:val="595959" w:themeColor="text1" w:themeTint="A6"/>
        </w:rPr>
        <w:t>, noting that</w:t>
      </w:r>
      <w:r w:rsidR="00B738DD" w:rsidRPr="00841D7C">
        <w:rPr>
          <w:rFonts w:asciiTheme="majorHAnsi" w:hAnsiTheme="majorHAnsi" w:cstheme="majorHAnsi"/>
          <w:color w:val="595959" w:themeColor="text1" w:themeTint="A6"/>
        </w:rPr>
        <w:t xml:space="preserve"> </w:t>
      </w:r>
      <w:r w:rsidR="00B738DD" w:rsidRPr="00B738DD">
        <w:rPr>
          <w:rFonts w:asciiTheme="majorHAnsi" w:hAnsiTheme="majorHAnsi" w:cstheme="majorHAnsi"/>
          <w:color w:val="595959" w:themeColor="text1" w:themeTint="A6"/>
        </w:rPr>
        <w:t>gender considerations</w:t>
      </w:r>
      <w:r w:rsidR="00B738DD">
        <w:rPr>
          <w:rFonts w:asciiTheme="majorHAnsi" w:hAnsiTheme="majorHAnsi" w:cstheme="majorHAnsi"/>
          <w:color w:val="595959" w:themeColor="text1" w:themeTint="A6"/>
        </w:rPr>
        <w:t xml:space="preserve"> are</w:t>
      </w:r>
      <w:r w:rsidR="00B738DD" w:rsidRPr="00B738DD">
        <w:rPr>
          <w:rFonts w:asciiTheme="majorHAnsi" w:hAnsiTheme="majorHAnsi" w:cstheme="majorHAnsi"/>
          <w:color w:val="595959" w:themeColor="text1" w:themeTint="A6"/>
        </w:rPr>
        <w:t xml:space="preserve"> already highlighted in</w:t>
      </w:r>
      <w:r w:rsidR="00A64D3D" w:rsidRPr="00B738DD">
        <w:rPr>
          <w:rFonts w:asciiTheme="majorHAnsi" w:hAnsiTheme="majorHAnsi" w:cstheme="majorHAnsi"/>
          <w:color w:val="595959" w:themeColor="text1" w:themeTint="A6"/>
        </w:rPr>
        <w:t xml:space="preserve"> indicative areas of investment </w:t>
      </w:r>
      <w:r w:rsidR="00B738DD" w:rsidRPr="00EB4FEE">
        <w:rPr>
          <w:rFonts w:asciiTheme="majorHAnsi" w:hAnsiTheme="majorHAnsi" w:cstheme="majorHAnsi"/>
          <w:color w:val="595959" w:themeColor="text1" w:themeTint="A6"/>
        </w:rPr>
        <w:t xml:space="preserve">1-3, </w:t>
      </w:r>
      <w:r w:rsidR="00A64D3D" w:rsidRPr="00B738DD">
        <w:rPr>
          <w:rFonts w:asciiTheme="majorHAnsi" w:hAnsiTheme="majorHAnsi" w:cstheme="majorHAnsi"/>
          <w:color w:val="595959" w:themeColor="text1" w:themeTint="A6"/>
        </w:rPr>
        <w:t>above</w:t>
      </w:r>
      <w:r w:rsidR="00B738DD" w:rsidRPr="00B738DD">
        <w:rPr>
          <w:rFonts w:asciiTheme="majorHAnsi" w:hAnsiTheme="majorHAnsi" w:cstheme="majorHAnsi"/>
          <w:color w:val="595959" w:themeColor="text1" w:themeTint="A6"/>
        </w:rPr>
        <w:t>.</w:t>
      </w:r>
    </w:p>
    <w:p w:rsidR="00BA00DC" w:rsidRPr="00EB4FEE" w:rsidRDefault="005E5192">
      <w:pPr>
        <w:pStyle w:val="BodyText"/>
        <w:spacing w:before="0" w:after="12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Although participation in program events is largely based on position within the Indonesia</w:t>
      </w:r>
      <w:r w:rsidR="001F1B2E" w:rsidRPr="00EB4FEE">
        <w:rPr>
          <w:rFonts w:asciiTheme="majorHAnsi" w:hAnsiTheme="majorHAnsi" w:cstheme="majorHAnsi"/>
          <w:color w:val="595959" w:themeColor="text1" w:themeTint="A6"/>
        </w:rPr>
        <w:t>n</w:t>
      </w:r>
      <w:r w:rsidRPr="00EB4FEE">
        <w:rPr>
          <w:rFonts w:asciiTheme="majorHAnsi" w:hAnsiTheme="majorHAnsi" w:cstheme="majorHAnsi"/>
          <w:color w:val="595959" w:themeColor="text1" w:themeTint="A6"/>
        </w:rPr>
        <w:t xml:space="preserve"> Government (and thus subject to gender biases that may exist within partner institutions), </w:t>
      </w:r>
      <w:r w:rsidR="00DF3800" w:rsidRPr="00EB4FEE">
        <w:rPr>
          <w:rFonts w:asciiTheme="majorHAnsi" w:hAnsiTheme="majorHAnsi" w:cstheme="majorHAnsi"/>
          <w:color w:val="595959" w:themeColor="text1" w:themeTint="A6"/>
        </w:rPr>
        <w:t>program staff will need to be</w:t>
      </w:r>
      <w:r w:rsidRPr="00EB4FEE">
        <w:rPr>
          <w:rFonts w:asciiTheme="majorHAnsi" w:hAnsiTheme="majorHAnsi" w:cstheme="majorHAnsi"/>
          <w:color w:val="595959" w:themeColor="text1" w:themeTint="A6"/>
        </w:rPr>
        <w:t xml:space="preserve"> familiar with gender issues, and methodologies to amplify women’s voices in decision-making</w:t>
      </w:r>
      <w:r w:rsidR="00C83B0C" w:rsidRPr="00EB4FEE">
        <w:rPr>
          <w:rFonts w:asciiTheme="majorHAnsi" w:hAnsiTheme="majorHAnsi" w:cstheme="majorHAnsi"/>
          <w:color w:val="595959" w:themeColor="text1" w:themeTint="A6"/>
        </w:rPr>
        <w:t xml:space="preserve">. </w:t>
      </w:r>
      <w:r w:rsidRPr="00EB4FEE">
        <w:rPr>
          <w:rFonts w:asciiTheme="majorHAnsi" w:hAnsiTheme="majorHAnsi" w:cstheme="majorHAnsi"/>
          <w:color w:val="595959" w:themeColor="text1" w:themeTint="A6"/>
        </w:rPr>
        <w:t>Differences in the roles that men and women may play in livestock production</w:t>
      </w:r>
      <w:r w:rsidR="001F1B2E" w:rsidRPr="00EB4FEE">
        <w:rPr>
          <w:rFonts w:asciiTheme="majorHAnsi" w:hAnsiTheme="majorHAnsi" w:cstheme="majorHAnsi"/>
          <w:color w:val="595959" w:themeColor="text1" w:themeTint="A6"/>
        </w:rPr>
        <w:t>, for example,</w:t>
      </w:r>
      <w:r w:rsidRPr="00EB4FEE">
        <w:rPr>
          <w:rFonts w:asciiTheme="majorHAnsi" w:hAnsiTheme="majorHAnsi" w:cstheme="majorHAnsi"/>
          <w:color w:val="595959" w:themeColor="text1" w:themeTint="A6"/>
        </w:rPr>
        <w:t xml:space="preserve"> will be considered in the design of interventions for which the community is the ultimate beneficiary, to ensure that benefits are equitably distributed</w:t>
      </w:r>
      <w:r w:rsidR="00535D18">
        <w:rPr>
          <w:rFonts w:asciiTheme="majorHAnsi" w:hAnsiTheme="majorHAnsi" w:cstheme="majorHAnsi"/>
          <w:color w:val="595959" w:themeColor="text1" w:themeTint="A6"/>
        </w:rPr>
        <w:t>.</w:t>
      </w:r>
      <w:r w:rsidR="00C83B0C" w:rsidRPr="00EB4FEE">
        <w:rPr>
          <w:rFonts w:asciiTheme="majorHAnsi" w:hAnsiTheme="majorHAnsi" w:cstheme="majorHAnsi"/>
          <w:color w:val="595959" w:themeColor="text1" w:themeTint="A6"/>
        </w:rPr>
        <w:t xml:space="preserve"> </w:t>
      </w:r>
      <w:r w:rsidR="00DF3800" w:rsidRPr="00EB4FEE">
        <w:rPr>
          <w:rFonts w:asciiTheme="majorHAnsi" w:hAnsiTheme="majorHAnsi" w:cstheme="majorHAnsi"/>
          <w:color w:val="595959" w:themeColor="text1" w:themeTint="A6"/>
        </w:rPr>
        <w:t>Recruitment</w:t>
      </w:r>
      <w:r w:rsidR="0035143D" w:rsidRPr="00EB4FEE">
        <w:rPr>
          <w:rFonts w:asciiTheme="majorHAnsi" w:hAnsiTheme="majorHAnsi" w:cstheme="majorHAnsi"/>
          <w:color w:val="595959" w:themeColor="text1" w:themeTint="A6"/>
        </w:rPr>
        <w:t xml:space="preserve"> and communication</w:t>
      </w:r>
      <w:r w:rsidR="00DF3800" w:rsidRPr="00EB4FEE">
        <w:rPr>
          <w:rFonts w:asciiTheme="majorHAnsi" w:hAnsiTheme="majorHAnsi" w:cstheme="majorHAnsi"/>
          <w:color w:val="595959" w:themeColor="text1" w:themeTint="A6"/>
        </w:rPr>
        <w:t xml:space="preserve"> </w:t>
      </w:r>
      <w:r w:rsidRPr="00EB4FEE">
        <w:rPr>
          <w:rFonts w:asciiTheme="majorHAnsi" w:hAnsiTheme="majorHAnsi" w:cstheme="majorHAnsi"/>
          <w:color w:val="595959" w:themeColor="text1" w:themeTint="A6"/>
        </w:rPr>
        <w:t xml:space="preserve">methods will </w:t>
      </w:r>
      <w:r w:rsidR="00DF3800" w:rsidRPr="00EB4FEE">
        <w:rPr>
          <w:rFonts w:asciiTheme="majorHAnsi" w:hAnsiTheme="majorHAnsi" w:cstheme="majorHAnsi"/>
          <w:color w:val="595959" w:themeColor="text1" w:themeTint="A6"/>
        </w:rPr>
        <w:t xml:space="preserve">need to </w:t>
      </w:r>
      <w:r w:rsidRPr="00EB4FEE">
        <w:rPr>
          <w:rFonts w:asciiTheme="majorHAnsi" w:hAnsiTheme="majorHAnsi" w:cstheme="majorHAnsi"/>
          <w:color w:val="595959" w:themeColor="text1" w:themeTint="A6"/>
        </w:rPr>
        <w:t>encourage gender equality and follow</w:t>
      </w:r>
      <w:r w:rsidR="007D4855" w:rsidRPr="00EB4FEE">
        <w:rPr>
          <w:rFonts w:asciiTheme="majorHAnsi" w:hAnsiTheme="majorHAnsi" w:cstheme="majorHAnsi"/>
          <w:color w:val="595959" w:themeColor="text1" w:themeTint="A6"/>
        </w:rPr>
        <w:t xml:space="preserve"> an</w:t>
      </w:r>
      <w:r w:rsidRPr="00EB4FEE">
        <w:rPr>
          <w:rFonts w:asciiTheme="majorHAnsi" w:hAnsiTheme="majorHAnsi" w:cstheme="majorHAnsi"/>
          <w:color w:val="595959" w:themeColor="text1" w:themeTint="A6"/>
        </w:rPr>
        <w:t xml:space="preserve"> equal employment opportunity policy</w:t>
      </w:r>
      <w:r w:rsidR="00535D18">
        <w:rPr>
          <w:rFonts w:asciiTheme="majorHAnsi" w:hAnsiTheme="majorHAnsi" w:cstheme="majorHAnsi"/>
          <w:color w:val="595959" w:themeColor="text1" w:themeTint="A6"/>
        </w:rPr>
        <w:t>.</w:t>
      </w:r>
      <w:r w:rsidR="00C83B0C" w:rsidRPr="00EB4FEE">
        <w:rPr>
          <w:rFonts w:asciiTheme="majorHAnsi" w:hAnsiTheme="majorHAnsi" w:cstheme="majorHAnsi"/>
          <w:color w:val="595959" w:themeColor="text1" w:themeTint="A6"/>
        </w:rPr>
        <w:t xml:space="preserve"> </w:t>
      </w:r>
      <w:r w:rsidRPr="00EB4FEE">
        <w:rPr>
          <w:rFonts w:asciiTheme="majorHAnsi" w:hAnsiTheme="majorHAnsi" w:cstheme="majorHAnsi"/>
          <w:color w:val="595959" w:themeColor="text1" w:themeTint="A6"/>
        </w:rPr>
        <w:t xml:space="preserve">All M&amp;E data will be gender disaggregated and </w:t>
      </w:r>
      <w:r w:rsidR="00DF3800" w:rsidRPr="00EB4FEE">
        <w:rPr>
          <w:rFonts w:asciiTheme="majorHAnsi" w:hAnsiTheme="majorHAnsi" w:cstheme="majorHAnsi"/>
          <w:color w:val="595959" w:themeColor="text1" w:themeTint="A6"/>
        </w:rPr>
        <w:t xml:space="preserve">the program will need to be able to provide a clear synopsis of how the program has committed to gender equality, and ensured the program has effectively addressed gender issues throughout </w:t>
      </w:r>
      <w:r w:rsidR="003E28B1" w:rsidRPr="00EB4FEE">
        <w:rPr>
          <w:rFonts w:asciiTheme="majorHAnsi" w:hAnsiTheme="majorHAnsi" w:cstheme="majorHAnsi"/>
          <w:color w:val="595959" w:themeColor="text1" w:themeTint="A6"/>
        </w:rPr>
        <w:t>implementation</w:t>
      </w:r>
      <w:r w:rsidR="00DF3800" w:rsidRPr="00EB4FEE">
        <w:rPr>
          <w:rFonts w:asciiTheme="majorHAnsi" w:hAnsiTheme="majorHAnsi" w:cstheme="majorHAnsi"/>
          <w:color w:val="595959" w:themeColor="text1" w:themeTint="A6"/>
        </w:rPr>
        <w:t>.</w:t>
      </w:r>
    </w:p>
    <w:p w:rsidR="00762452" w:rsidRPr="0043356C" w:rsidRDefault="00BA00DC" w:rsidP="00BF6C52">
      <w:pPr>
        <w:pStyle w:val="Heading2"/>
        <w:spacing w:after="120" w:line="240" w:lineRule="auto"/>
        <w:contextualSpacing w:val="0"/>
      </w:pPr>
      <w:bookmarkStart w:id="34" w:name="_Toc3297015"/>
      <w:r w:rsidRPr="0043356C">
        <w:rPr>
          <w:rFonts w:cstheme="majorHAnsi"/>
          <w:sz w:val="22"/>
          <w:szCs w:val="22"/>
        </w:rPr>
        <w:t>Inclusi</w:t>
      </w:r>
      <w:r w:rsidR="00276389">
        <w:rPr>
          <w:rFonts w:cstheme="majorHAnsi"/>
          <w:sz w:val="22"/>
          <w:szCs w:val="22"/>
        </w:rPr>
        <w:t>on</w:t>
      </w:r>
      <w:bookmarkEnd w:id="34"/>
    </w:p>
    <w:p w:rsidR="00BA00DC" w:rsidRPr="00EB4FEE" w:rsidRDefault="00BA00DC">
      <w:pPr>
        <w:pStyle w:val="BodyText"/>
        <w:spacing w:before="0" w:after="12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 xml:space="preserve">Guided by the Australian Government’s </w:t>
      </w:r>
      <w:r w:rsidRPr="00EB4FEE">
        <w:rPr>
          <w:rFonts w:asciiTheme="majorHAnsi" w:hAnsiTheme="majorHAnsi" w:cstheme="majorHAnsi"/>
          <w:i/>
          <w:color w:val="595959" w:themeColor="text1" w:themeTint="A6"/>
        </w:rPr>
        <w:t>Development for All 2015-2020: Strategy for strengthening disability-inclusive development in Australia’s aid program</w:t>
      </w:r>
      <w:r w:rsidRPr="00EB4FEE">
        <w:rPr>
          <w:rFonts w:asciiTheme="majorHAnsi" w:hAnsiTheme="majorHAnsi" w:cstheme="majorHAnsi"/>
          <w:color w:val="595959" w:themeColor="text1" w:themeTint="A6"/>
        </w:rPr>
        <w:t xml:space="preserve">, AIHSP will need to ensure that the principles espoused in the </w:t>
      </w:r>
      <w:r w:rsidR="0035143D" w:rsidRPr="00EB4FEE">
        <w:rPr>
          <w:rFonts w:asciiTheme="majorHAnsi" w:hAnsiTheme="majorHAnsi" w:cstheme="majorHAnsi"/>
          <w:color w:val="595959" w:themeColor="text1" w:themeTint="A6"/>
        </w:rPr>
        <w:t>S</w:t>
      </w:r>
      <w:r w:rsidRPr="00EB4FEE">
        <w:rPr>
          <w:rFonts w:asciiTheme="majorHAnsi" w:hAnsiTheme="majorHAnsi" w:cstheme="majorHAnsi"/>
          <w:color w:val="595959" w:themeColor="text1" w:themeTint="A6"/>
        </w:rPr>
        <w:t>trategy are adhered to</w:t>
      </w:r>
      <w:r w:rsidR="00535D18">
        <w:rPr>
          <w:rFonts w:asciiTheme="majorHAnsi" w:hAnsiTheme="majorHAnsi" w:cstheme="majorHAnsi"/>
          <w:color w:val="595959" w:themeColor="text1" w:themeTint="A6"/>
        </w:rPr>
        <w:t xml:space="preserve">. </w:t>
      </w:r>
      <w:r w:rsidRPr="00EB4FEE">
        <w:rPr>
          <w:rFonts w:asciiTheme="majorHAnsi" w:hAnsiTheme="majorHAnsi" w:cstheme="majorHAnsi"/>
          <w:color w:val="595959" w:themeColor="text1" w:themeTint="A6"/>
        </w:rPr>
        <w:t>Approximately 15-20% of the population of Indonesia are estimated to have some form of disability</w:t>
      </w:r>
      <w:r w:rsidR="00535D18">
        <w:rPr>
          <w:rFonts w:asciiTheme="majorHAnsi" w:hAnsiTheme="majorHAnsi" w:cstheme="majorHAnsi"/>
          <w:color w:val="595959" w:themeColor="text1" w:themeTint="A6"/>
        </w:rPr>
        <w:t xml:space="preserve">. </w:t>
      </w:r>
      <w:r w:rsidRPr="00EB4FEE">
        <w:rPr>
          <w:rFonts w:asciiTheme="majorHAnsi" w:hAnsiTheme="majorHAnsi" w:cstheme="majorHAnsi"/>
          <w:color w:val="595959" w:themeColor="text1" w:themeTint="A6"/>
        </w:rPr>
        <w:t>People with disabilities in Indonesia are often largely invisible</w:t>
      </w:r>
      <w:r w:rsidR="004E3664" w:rsidRPr="00EB4FEE">
        <w:rPr>
          <w:rFonts w:asciiTheme="majorHAnsi" w:hAnsiTheme="majorHAnsi" w:cstheme="majorHAnsi"/>
          <w:color w:val="595959" w:themeColor="text1" w:themeTint="A6"/>
        </w:rPr>
        <w:t xml:space="preserve"> or face stigma, enduring</w:t>
      </w:r>
      <w:r w:rsidRPr="00EB4FEE">
        <w:rPr>
          <w:rFonts w:asciiTheme="majorHAnsi" w:hAnsiTheme="majorHAnsi" w:cstheme="majorHAnsi"/>
          <w:color w:val="595959" w:themeColor="text1" w:themeTint="A6"/>
        </w:rPr>
        <w:t xml:space="preserve"> multiple barriers to accessing opportunities for health, education and economic development in Indonesia</w:t>
      </w:r>
      <w:r w:rsidR="00535D18">
        <w:rPr>
          <w:rFonts w:asciiTheme="majorHAnsi" w:hAnsiTheme="majorHAnsi" w:cstheme="majorHAnsi"/>
          <w:color w:val="595959" w:themeColor="text1" w:themeTint="A6"/>
        </w:rPr>
        <w:t xml:space="preserve">. </w:t>
      </w:r>
      <w:r w:rsidR="004E3664" w:rsidRPr="00EB4FEE">
        <w:rPr>
          <w:rFonts w:asciiTheme="majorHAnsi" w:hAnsiTheme="majorHAnsi" w:cstheme="majorHAnsi"/>
          <w:color w:val="595959" w:themeColor="text1" w:themeTint="A6"/>
        </w:rPr>
        <w:t>While the partnership is not designed to specifically address the needs of such groups, staff employed under the program may be in a position to strategically advi</w:t>
      </w:r>
      <w:r w:rsidR="001F1B2E" w:rsidRPr="00EB4FEE">
        <w:rPr>
          <w:rFonts w:asciiTheme="majorHAnsi" w:hAnsiTheme="majorHAnsi" w:cstheme="majorHAnsi"/>
          <w:color w:val="595959" w:themeColor="text1" w:themeTint="A6"/>
        </w:rPr>
        <w:t>s</w:t>
      </w:r>
      <w:r w:rsidR="004E3664" w:rsidRPr="00EB4FEE">
        <w:rPr>
          <w:rFonts w:asciiTheme="majorHAnsi" w:hAnsiTheme="majorHAnsi" w:cstheme="majorHAnsi"/>
          <w:color w:val="595959" w:themeColor="text1" w:themeTint="A6"/>
        </w:rPr>
        <w:t>e G</w:t>
      </w:r>
      <w:r w:rsidR="001F1B2E" w:rsidRPr="00EB4FEE">
        <w:rPr>
          <w:rFonts w:asciiTheme="majorHAnsi" w:hAnsiTheme="majorHAnsi" w:cstheme="majorHAnsi"/>
          <w:color w:val="595959" w:themeColor="text1" w:themeTint="A6"/>
        </w:rPr>
        <w:t>o</w:t>
      </w:r>
      <w:r w:rsidR="004E3664" w:rsidRPr="00EB4FEE">
        <w:rPr>
          <w:rFonts w:asciiTheme="majorHAnsi" w:hAnsiTheme="majorHAnsi" w:cstheme="majorHAnsi"/>
          <w:color w:val="595959" w:themeColor="text1" w:themeTint="A6"/>
        </w:rPr>
        <w:t>I on how they can factor in the needs of such groups into their policy making and operational planning</w:t>
      </w:r>
      <w:r w:rsidR="001F1B2E" w:rsidRPr="00EB4FEE">
        <w:rPr>
          <w:rFonts w:asciiTheme="majorHAnsi" w:hAnsiTheme="majorHAnsi" w:cstheme="majorHAnsi"/>
          <w:color w:val="595959" w:themeColor="text1" w:themeTint="A6"/>
        </w:rPr>
        <w:t>,</w:t>
      </w:r>
      <w:r w:rsidR="004E3664" w:rsidRPr="00EB4FEE">
        <w:rPr>
          <w:rFonts w:asciiTheme="majorHAnsi" w:hAnsiTheme="majorHAnsi" w:cstheme="majorHAnsi"/>
          <w:color w:val="595959" w:themeColor="text1" w:themeTint="A6"/>
        </w:rPr>
        <w:t xml:space="preserve"> and opportunities to do so should be taken</w:t>
      </w:r>
      <w:r w:rsidR="00352A08">
        <w:rPr>
          <w:rFonts w:asciiTheme="majorHAnsi" w:hAnsiTheme="majorHAnsi" w:cstheme="majorHAnsi"/>
          <w:color w:val="595959" w:themeColor="text1" w:themeTint="A6"/>
        </w:rPr>
        <w:t>.</w:t>
      </w:r>
    </w:p>
    <w:p w:rsidR="00BA00DC" w:rsidRPr="00EB4FEE" w:rsidRDefault="00BA00DC">
      <w:pPr>
        <w:pStyle w:val="BodyText"/>
        <w:spacing w:before="0" w:after="12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AIHSP should develop a disability guideline which aims to ensure that interventions are inclusive of people with disability and that impact is captured</w:t>
      </w:r>
      <w:r w:rsidR="00535D18">
        <w:rPr>
          <w:rFonts w:asciiTheme="majorHAnsi" w:hAnsiTheme="majorHAnsi" w:cstheme="majorHAnsi"/>
          <w:color w:val="595959" w:themeColor="text1" w:themeTint="A6"/>
        </w:rPr>
        <w:t>.</w:t>
      </w:r>
      <w:r w:rsidR="00C83B0C" w:rsidRPr="00EB4FEE">
        <w:rPr>
          <w:rFonts w:asciiTheme="majorHAnsi" w:hAnsiTheme="majorHAnsi" w:cstheme="majorHAnsi"/>
          <w:color w:val="595959" w:themeColor="text1" w:themeTint="A6"/>
        </w:rPr>
        <w:t xml:space="preserve"> </w:t>
      </w:r>
      <w:r w:rsidRPr="00EB4FEE">
        <w:rPr>
          <w:rFonts w:asciiTheme="majorHAnsi" w:hAnsiTheme="majorHAnsi" w:cstheme="majorHAnsi"/>
          <w:color w:val="595959" w:themeColor="text1" w:themeTint="A6"/>
        </w:rPr>
        <w:t xml:space="preserve">For example, program personnel </w:t>
      </w:r>
      <w:r w:rsidR="007D4855" w:rsidRPr="00EB4FEE">
        <w:rPr>
          <w:rFonts w:asciiTheme="majorHAnsi" w:hAnsiTheme="majorHAnsi" w:cstheme="majorHAnsi"/>
          <w:color w:val="595959" w:themeColor="text1" w:themeTint="A6"/>
        </w:rPr>
        <w:t>will be</w:t>
      </w:r>
      <w:r w:rsidRPr="00EB4FEE">
        <w:rPr>
          <w:rFonts w:asciiTheme="majorHAnsi" w:hAnsiTheme="majorHAnsi" w:cstheme="majorHAnsi"/>
          <w:color w:val="595959" w:themeColor="text1" w:themeTint="A6"/>
        </w:rPr>
        <w:t xml:space="preserve"> trained on disability and other inclusion issues</w:t>
      </w:r>
      <w:r w:rsidR="007D4855" w:rsidRPr="00EB4FEE">
        <w:rPr>
          <w:rFonts w:asciiTheme="majorHAnsi" w:hAnsiTheme="majorHAnsi" w:cstheme="majorHAnsi"/>
          <w:color w:val="595959" w:themeColor="text1" w:themeTint="A6"/>
        </w:rPr>
        <w:t>,</w:t>
      </w:r>
      <w:r w:rsidRPr="00EB4FEE">
        <w:rPr>
          <w:rFonts w:asciiTheme="majorHAnsi" w:hAnsiTheme="majorHAnsi" w:cstheme="majorHAnsi"/>
          <w:color w:val="595959" w:themeColor="text1" w:themeTint="A6"/>
        </w:rPr>
        <w:t xml:space="preserve"> and </w:t>
      </w:r>
      <w:r w:rsidR="000D3305" w:rsidRPr="00EB4FEE">
        <w:rPr>
          <w:rFonts w:asciiTheme="majorHAnsi" w:hAnsiTheme="majorHAnsi" w:cstheme="majorHAnsi"/>
          <w:color w:val="595959" w:themeColor="text1" w:themeTint="A6"/>
        </w:rPr>
        <w:t xml:space="preserve">the managing contractor will support the </w:t>
      </w:r>
      <w:r w:rsidRPr="00EB4FEE">
        <w:rPr>
          <w:rFonts w:asciiTheme="majorHAnsi" w:hAnsiTheme="majorHAnsi" w:cstheme="majorHAnsi"/>
          <w:color w:val="595959" w:themeColor="text1" w:themeTint="A6"/>
        </w:rPr>
        <w:t>appoint</w:t>
      </w:r>
      <w:r w:rsidR="000D3305" w:rsidRPr="00EB4FEE">
        <w:rPr>
          <w:rFonts w:asciiTheme="majorHAnsi" w:hAnsiTheme="majorHAnsi" w:cstheme="majorHAnsi"/>
          <w:color w:val="595959" w:themeColor="text1" w:themeTint="A6"/>
        </w:rPr>
        <w:t>ment of</w:t>
      </w:r>
      <w:r w:rsidRPr="00EB4FEE">
        <w:rPr>
          <w:rFonts w:asciiTheme="majorHAnsi" w:hAnsiTheme="majorHAnsi" w:cstheme="majorHAnsi"/>
          <w:color w:val="595959" w:themeColor="text1" w:themeTint="A6"/>
        </w:rPr>
        <w:t xml:space="preserve"> disability focal points</w:t>
      </w:r>
      <w:r w:rsidR="00535D18">
        <w:rPr>
          <w:rFonts w:asciiTheme="majorHAnsi" w:hAnsiTheme="majorHAnsi" w:cstheme="majorHAnsi"/>
          <w:color w:val="595959" w:themeColor="text1" w:themeTint="A6"/>
        </w:rPr>
        <w:t>.</w:t>
      </w:r>
      <w:r w:rsidR="00C83B0C" w:rsidRPr="00EB4FEE">
        <w:rPr>
          <w:rFonts w:asciiTheme="majorHAnsi" w:hAnsiTheme="majorHAnsi" w:cstheme="majorHAnsi"/>
          <w:color w:val="595959" w:themeColor="text1" w:themeTint="A6"/>
        </w:rPr>
        <w:t xml:space="preserve"> </w:t>
      </w:r>
      <w:r w:rsidRPr="00EB4FEE">
        <w:rPr>
          <w:rFonts w:asciiTheme="majorHAnsi" w:hAnsiTheme="majorHAnsi" w:cstheme="majorHAnsi"/>
          <w:color w:val="595959" w:themeColor="text1" w:themeTint="A6"/>
        </w:rPr>
        <w:t xml:space="preserve">Inclusiveness </w:t>
      </w:r>
      <w:r w:rsidR="004E3664" w:rsidRPr="00EB4FEE">
        <w:rPr>
          <w:rFonts w:asciiTheme="majorHAnsi" w:hAnsiTheme="majorHAnsi" w:cstheme="majorHAnsi"/>
          <w:color w:val="595959" w:themeColor="text1" w:themeTint="A6"/>
        </w:rPr>
        <w:t>will need to be captured either qualitatively or quant</w:t>
      </w:r>
      <w:r w:rsidR="001F1B2E" w:rsidRPr="00EB4FEE">
        <w:rPr>
          <w:rFonts w:asciiTheme="majorHAnsi" w:hAnsiTheme="majorHAnsi" w:cstheme="majorHAnsi"/>
          <w:color w:val="595959" w:themeColor="text1" w:themeTint="A6"/>
        </w:rPr>
        <w:t>it</w:t>
      </w:r>
      <w:r w:rsidR="004E3664" w:rsidRPr="00EB4FEE">
        <w:rPr>
          <w:rFonts w:asciiTheme="majorHAnsi" w:hAnsiTheme="majorHAnsi" w:cstheme="majorHAnsi"/>
          <w:color w:val="595959" w:themeColor="text1" w:themeTint="A6"/>
        </w:rPr>
        <w:t xml:space="preserve">atively through the program’s </w:t>
      </w:r>
      <w:r w:rsidR="00171A57" w:rsidRPr="00EB4FEE">
        <w:rPr>
          <w:rFonts w:asciiTheme="majorHAnsi" w:hAnsiTheme="majorHAnsi" w:cstheme="majorHAnsi"/>
          <w:color w:val="595959" w:themeColor="text1" w:themeTint="A6"/>
        </w:rPr>
        <w:t>ME</w:t>
      </w:r>
      <w:r w:rsidR="009C5258">
        <w:rPr>
          <w:rFonts w:asciiTheme="majorHAnsi" w:hAnsiTheme="majorHAnsi" w:cstheme="majorHAnsi"/>
          <w:color w:val="595959" w:themeColor="text1" w:themeTint="A6"/>
        </w:rPr>
        <w:t>L</w:t>
      </w:r>
      <w:r w:rsidR="00171A57" w:rsidRPr="00EB4FEE">
        <w:rPr>
          <w:rFonts w:asciiTheme="majorHAnsi" w:hAnsiTheme="majorHAnsi" w:cstheme="majorHAnsi"/>
          <w:color w:val="595959" w:themeColor="text1" w:themeTint="A6"/>
        </w:rPr>
        <w:t>F</w:t>
      </w:r>
      <w:r w:rsidR="00352A08">
        <w:rPr>
          <w:rFonts w:asciiTheme="majorHAnsi" w:hAnsiTheme="majorHAnsi" w:cstheme="majorHAnsi"/>
          <w:color w:val="595959" w:themeColor="text1" w:themeTint="A6"/>
        </w:rPr>
        <w:t>.</w:t>
      </w:r>
    </w:p>
    <w:p w:rsidR="007155ED" w:rsidRPr="0043356C" w:rsidRDefault="007155ED" w:rsidP="00BF6C52">
      <w:pPr>
        <w:pStyle w:val="Heading2"/>
        <w:spacing w:after="120" w:line="240" w:lineRule="auto"/>
        <w:contextualSpacing w:val="0"/>
        <w:rPr>
          <w:rFonts w:cstheme="majorHAnsi"/>
          <w:sz w:val="22"/>
          <w:szCs w:val="22"/>
        </w:rPr>
      </w:pPr>
      <w:bookmarkStart w:id="35" w:name="_Toc3297016"/>
      <w:r w:rsidRPr="0043356C">
        <w:rPr>
          <w:rFonts w:cstheme="majorHAnsi"/>
          <w:sz w:val="22"/>
          <w:szCs w:val="22"/>
        </w:rPr>
        <w:t>Child Protection</w:t>
      </w:r>
      <w:bookmarkEnd w:id="35"/>
    </w:p>
    <w:p w:rsidR="004B3EEE" w:rsidRPr="00EB4FEE" w:rsidRDefault="003415DD">
      <w:pPr>
        <w:pStyle w:val="BodyText"/>
        <w:spacing w:before="0" w:after="12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Child protection will be integrated in AIHSP and its partnerships to ensure appropriate safeguards are in place to protect children, prevent child exploitation, and comply with applicable laws</w:t>
      </w:r>
      <w:r w:rsidR="00535D18">
        <w:rPr>
          <w:rFonts w:asciiTheme="majorHAnsi" w:hAnsiTheme="majorHAnsi" w:cstheme="majorHAnsi"/>
          <w:color w:val="595959" w:themeColor="text1" w:themeTint="A6"/>
        </w:rPr>
        <w:t>.</w:t>
      </w:r>
      <w:r w:rsidR="00C83B0C" w:rsidRPr="00EB4FEE">
        <w:rPr>
          <w:rFonts w:asciiTheme="majorHAnsi" w:hAnsiTheme="majorHAnsi" w:cstheme="majorHAnsi"/>
          <w:color w:val="595959" w:themeColor="text1" w:themeTint="A6"/>
        </w:rPr>
        <w:t xml:space="preserve"> </w:t>
      </w:r>
      <w:r w:rsidRPr="00EB4FEE">
        <w:rPr>
          <w:rFonts w:asciiTheme="majorHAnsi" w:hAnsiTheme="majorHAnsi" w:cstheme="majorHAnsi"/>
          <w:color w:val="595959" w:themeColor="text1" w:themeTint="A6"/>
        </w:rPr>
        <w:t xml:space="preserve">All program personnel will undertake training in child protection and the </w:t>
      </w:r>
      <w:r w:rsidR="001F1B2E" w:rsidRPr="00EB4FEE">
        <w:rPr>
          <w:rFonts w:asciiTheme="majorHAnsi" w:hAnsiTheme="majorHAnsi" w:cstheme="majorHAnsi"/>
          <w:color w:val="595959" w:themeColor="text1" w:themeTint="A6"/>
        </w:rPr>
        <w:t>managing contractor</w:t>
      </w:r>
      <w:r w:rsidRPr="00EB4FEE">
        <w:rPr>
          <w:rFonts w:asciiTheme="majorHAnsi" w:hAnsiTheme="majorHAnsi" w:cstheme="majorHAnsi"/>
          <w:color w:val="595959" w:themeColor="text1" w:themeTint="A6"/>
        </w:rPr>
        <w:t xml:space="preserve"> will develop a program</w:t>
      </w:r>
      <w:r w:rsidR="001F1B2E" w:rsidRPr="00EB4FEE">
        <w:rPr>
          <w:rFonts w:asciiTheme="majorHAnsi" w:hAnsiTheme="majorHAnsi" w:cstheme="majorHAnsi"/>
          <w:color w:val="595959" w:themeColor="text1" w:themeTint="A6"/>
        </w:rPr>
        <w:t>-</w:t>
      </w:r>
      <w:r w:rsidRPr="00EB4FEE">
        <w:rPr>
          <w:rFonts w:asciiTheme="majorHAnsi" w:hAnsiTheme="majorHAnsi" w:cstheme="majorHAnsi"/>
          <w:color w:val="595959" w:themeColor="text1" w:themeTint="A6"/>
        </w:rPr>
        <w:t xml:space="preserve">specific child protection policy </w:t>
      </w:r>
      <w:r w:rsidR="007155ED" w:rsidRPr="00EB4FEE">
        <w:rPr>
          <w:rFonts w:asciiTheme="majorHAnsi" w:hAnsiTheme="majorHAnsi" w:cstheme="majorHAnsi"/>
          <w:color w:val="595959" w:themeColor="text1" w:themeTint="A6"/>
        </w:rPr>
        <w:t>that complies with DFAT’s Child Protection Policy and relevant DFAT guidance notes</w:t>
      </w:r>
      <w:r w:rsidR="00352A08">
        <w:rPr>
          <w:rFonts w:asciiTheme="majorHAnsi" w:hAnsiTheme="majorHAnsi" w:cstheme="majorHAnsi"/>
          <w:color w:val="595959" w:themeColor="text1" w:themeTint="A6"/>
        </w:rPr>
        <w:t>.</w:t>
      </w:r>
    </w:p>
    <w:p w:rsidR="005E5192" w:rsidRPr="00EB4FEE" w:rsidRDefault="004B3EEE">
      <w:pPr>
        <w:pStyle w:val="BodyText"/>
        <w:spacing w:before="0" w:after="12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The managing contractor will also develop a robust child protection reporting and management process</w:t>
      </w:r>
      <w:r w:rsidR="00535D18">
        <w:rPr>
          <w:rFonts w:asciiTheme="majorHAnsi" w:hAnsiTheme="majorHAnsi" w:cstheme="majorHAnsi"/>
          <w:color w:val="595959" w:themeColor="text1" w:themeTint="A6"/>
        </w:rPr>
        <w:t>.</w:t>
      </w:r>
      <w:r w:rsidR="00C83B0C" w:rsidRPr="00EB4FEE">
        <w:rPr>
          <w:rFonts w:asciiTheme="majorHAnsi" w:hAnsiTheme="majorHAnsi" w:cstheme="majorHAnsi"/>
          <w:color w:val="595959" w:themeColor="text1" w:themeTint="A6"/>
        </w:rPr>
        <w:t xml:space="preserve"> </w:t>
      </w:r>
      <w:r w:rsidRPr="00EB4FEE">
        <w:rPr>
          <w:rFonts w:asciiTheme="majorHAnsi" w:hAnsiTheme="majorHAnsi" w:cstheme="majorHAnsi"/>
          <w:color w:val="595959" w:themeColor="text1" w:themeTint="A6"/>
        </w:rPr>
        <w:t>Having a process, supported by appropriate systems and governance, for identifying, reporting and managing child protection incidents is crucial to meeting DFAT’s child protection requirements.</w:t>
      </w:r>
    </w:p>
    <w:p w:rsidR="00E628D8" w:rsidRPr="0043356C" w:rsidRDefault="00E628D8" w:rsidP="00E628D8">
      <w:pPr>
        <w:pStyle w:val="Heading2"/>
        <w:spacing w:after="120" w:line="240" w:lineRule="auto"/>
        <w:contextualSpacing w:val="0"/>
        <w:rPr>
          <w:rFonts w:cstheme="majorHAnsi"/>
          <w:sz w:val="22"/>
          <w:szCs w:val="22"/>
        </w:rPr>
      </w:pPr>
      <w:bookmarkStart w:id="36" w:name="_Toc3297017"/>
      <w:r w:rsidRPr="0043356C">
        <w:rPr>
          <w:rFonts w:cstheme="majorHAnsi"/>
          <w:sz w:val="22"/>
          <w:szCs w:val="22"/>
        </w:rPr>
        <w:t>Climate Change</w:t>
      </w:r>
      <w:bookmarkEnd w:id="36"/>
    </w:p>
    <w:p w:rsidR="00E628D8" w:rsidRPr="00EB4FEE" w:rsidRDefault="00E628D8" w:rsidP="00E628D8">
      <w:pPr>
        <w:pStyle w:val="BodyText"/>
        <w:spacing w:before="0" w:after="12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Climate change</w:t>
      </w:r>
      <w:r w:rsidR="00D44952" w:rsidRPr="00EB4FEE">
        <w:rPr>
          <w:rFonts w:asciiTheme="majorHAnsi" w:hAnsiTheme="majorHAnsi" w:cstheme="majorHAnsi"/>
          <w:color w:val="595959" w:themeColor="text1" w:themeTint="A6"/>
        </w:rPr>
        <w:t xml:space="preserve"> has impacts on human and animal environments and living conditions, movements and health</w:t>
      </w:r>
      <w:r w:rsidR="00535D18">
        <w:rPr>
          <w:rFonts w:asciiTheme="majorHAnsi" w:hAnsiTheme="majorHAnsi" w:cstheme="majorHAnsi"/>
          <w:color w:val="595959" w:themeColor="text1" w:themeTint="A6"/>
        </w:rPr>
        <w:t>.</w:t>
      </w:r>
      <w:r w:rsidR="00C83B0C" w:rsidRPr="00EB4FEE">
        <w:rPr>
          <w:rFonts w:asciiTheme="majorHAnsi" w:hAnsiTheme="majorHAnsi" w:cstheme="majorHAnsi"/>
          <w:color w:val="595959" w:themeColor="text1" w:themeTint="A6"/>
        </w:rPr>
        <w:t xml:space="preserve"> </w:t>
      </w:r>
      <w:r w:rsidR="00D44952" w:rsidRPr="00EB4FEE">
        <w:rPr>
          <w:rFonts w:asciiTheme="majorHAnsi" w:hAnsiTheme="majorHAnsi" w:cstheme="majorHAnsi"/>
          <w:color w:val="595959" w:themeColor="text1" w:themeTint="A6"/>
        </w:rPr>
        <w:t>For example, hotter</w:t>
      </w:r>
      <w:r w:rsidR="00694677" w:rsidRPr="00EB4FEE">
        <w:rPr>
          <w:rFonts w:asciiTheme="majorHAnsi" w:hAnsiTheme="majorHAnsi" w:cstheme="majorHAnsi"/>
          <w:color w:val="595959" w:themeColor="text1" w:themeTint="A6"/>
        </w:rPr>
        <w:t xml:space="preserve"> atmospheric and seawater</w:t>
      </w:r>
      <w:r w:rsidR="00D44952" w:rsidRPr="00EB4FEE">
        <w:rPr>
          <w:rFonts w:asciiTheme="majorHAnsi" w:hAnsiTheme="majorHAnsi" w:cstheme="majorHAnsi"/>
          <w:color w:val="595959" w:themeColor="text1" w:themeTint="A6"/>
        </w:rPr>
        <w:t xml:space="preserve"> temperatures and changing rainfall patterns may lead to the increased transmission of vector-borne diseases such as malaria and dengue, which are already</w:t>
      </w:r>
      <w:r w:rsidR="00694677" w:rsidRPr="00EB4FEE">
        <w:rPr>
          <w:rFonts w:asciiTheme="majorHAnsi" w:hAnsiTheme="majorHAnsi" w:cstheme="majorHAnsi"/>
          <w:color w:val="595959" w:themeColor="text1" w:themeTint="A6"/>
        </w:rPr>
        <w:t xml:space="preserve"> major</w:t>
      </w:r>
      <w:r w:rsidR="00D44952" w:rsidRPr="00EB4FEE">
        <w:rPr>
          <w:rFonts w:asciiTheme="majorHAnsi" w:hAnsiTheme="majorHAnsi" w:cstheme="majorHAnsi"/>
          <w:color w:val="595959" w:themeColor="text1" w:themeTint="A6"/>
        </w:rPr>
        <w:t xml:space="preserve"> public health concerns in Indonesia</w:t>
      </w:r>
      <w:r w:rsidR="00535D18">
        <w:rPr>
          <w:rFonts w:asciiTheme="majorHAnsi" w:hAnsiTheme="majorHAnsi" w:cstheme="majorHAnsi"/>
          <w:color w:val="595959" w:themeColor="text1" w:themeTint="A6"/>
        </w:rPr>
        <w:t xml:space="preserve">. </w:t>
      </w:r>
      <w:r w:rsidR="0035342E" w:rsidRPr="00EB4FEE">
        <w:rPr>
          <w:rFonts w:asciiTheme="majorHAnsi" w:hAnsiTheme="majorHAnsi" w:cstheme="majorHAnsi"/>
          <w:color w:val="595959" w:themeColor="text1" w:themeTint="A6"/>
        </w:rPr>
        <w:t xml:space="preserve">Changing agricultural practices </w:t>
      </w:r>
      <w:r w:rsidR="005571A6">
        <w:rPr>
          <w:rFonts w:asciiTheme="majorHAnsi" w:hAnsiTheme="majorHAnsi" w:cstheme="majorHAnsi"/>
          <w:color w:val="595959" w:themeColor="text1" w:themeTint="A6"/>
        </w:rPr>
        <w:t xml:space="preserve">in response to climate change </w:t>
      </w:r>
      <w:r w:rsidR="0035342E" w:rsidRPr="00EB4FEE">
        <w:rPr>
          <w:rFonts w:asciiTheme="majorHAnsi" w:hAnsiTheme="majorHAnsi" w:cstheme="majorHAnsi"/>
          <w:color w:val="595959" w:themeColor="text1" w:themeTint="A6"/>
        </w:rPr>
        <w:t>may also contribute to zoonosis outbreaks</w:t>
      </w:r>
      <w:r w:rsidR="00D44952" w:rsidRPr="00EB4FEE">
        <w:rPr>
          <w:rFonts w:asciiTheme="majorHAnsi" w:hAnsiTheme="majorHAnsi" w:cstheme="majorHAnsi"/>
          <w:color w:val="595959" w:themeColor="text1" w:themeTint="A6"/>
        </w:rPr>
        <w:t>.</w:t>
      </w:r>
      <w:r w:rsidR="00D44952" w:rsidRPr="00EB4FEE">
        <w:rPr>
          <w:rStyle w:val="FootnoteReference"/>
          <w:rFonts w:asciiTheme="majorHAnsi" w:hAnsiTheme="majorHAnsi" w:cstheme="majorHAnsi"/>
          <w:color w:val="595959" w:themeColor="text1" w:themeTint="A6"/>
        </w:rPr>
        <w:footnoteReference w:id="20"/>
      </w:r>
      <w:r w:rsidR="00DE4A65" w:rsidRPr="00EB4FEE">
        <w:rPr>
          <w:rFonts w:asciiTheme="majorHAnsi" w:hAnsiTheme="majorHAnsi" w:cstheme="majorHAnsi"/>
          <w:color w:val="595959" w:themeColor="text1" w:themeTint="A6"/>
          <w:vertAlign w:val="superscript"/>
        </w:rPr>
        <w:t>,</w:t>
      </w:r>
      <w:r w:rsidR="00694677" w:rsidRPr="00EB4FEE">
        <w:rPr>
          <w:rStyle w:val="FootnoteReference"/>
          <w:rFonts w:asciiTheme="majorHAnsi" w:hAnsiTheme="majorHAnsi" w:cstheme="majorHAnsi"/>
          <w:color w:val="595959" w:themeColor="text1" w:themeTint="A6"/>
        </w:rPr>
        <w:footnoteReference w:id="21"/>
      </w:r>
      <w:r w:rsidR="00D44952" w:rsidRPr="00EB4FEE">
        <w:rPr>
          <w:rFonts w:asciiTheme="majorHAnsi" w:hAnsiTheme="majorHAnsi" w:cstheme="majorHAnsi"/>
          <w:color w:val="595959" w:themeColor="text1" w:themeTint="A6"/>
        </w:rPr>
        <w:t xml:space="preserve"> </w:t>
      </w:r>
    </w:p>
    <w:p w:rsidR="00D44952" w:rsidRPr="00EB4FEE" w:rsidRDefault="00D44952" w:rsidP="00E628D8">
      <w:pPr>
        <w:pStyle w:val="BodyText"/>
        <w:spacing w:before="0" w:after="12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AIHSP should</w:t>
      </w:r>
      <w:r w:rsidR="00694677" w:rsidRPr="00EB4FEE">
        <w:rPr>
          <w:rFonts w:asciiTheme="majorHAnsi" w:hAnsiTheme="majorHAnsi" w:cstheme="majorHAnsi"/>
          <w:color w:val="595959" w:themeColor="text1" w:themeTint="A6"/>
        </w:rPr>
        <w:t xml:space="preserve"> systematically consider</w:t>
      </w:r>
      <w:r w:rsidRPr="00EB4FEE">
        <w:rPr>
          <w:rFonts w:asciiTheme="majorHAnsi" w:hAnsiTheme="majorHAnsi" w:cstheme="majorHAnsi"/>
          <w:color w:val="595959" w:themeColor="text1" w:themeTint="A6"/>
        </w:rPr>
        <w:t xml:space="preserve"> the potential impacts of climate change </w:t>
      </w:r>
      <w:r w:rsidR="00694677" w:rsidRPr="00EB4FEE">
        <w:rPr>
          <w:rFonts w:asciiTheme="majorHAnsi" w:hAnsiTheme="majorHAnsi" w:cstheme="majorHAnsi"/>
          <w:color w:val="595959" w:themeColor="text1" w:themeTint="A6"/>
        </w:rPr>
        <w:t xml:space="preserve">on EIDs/zoonoses </w:t>
      </w:r>
      <w:r w:rsidRPr="00EB4FEE">
        <w:rPr>
          <w:rFonts w:asciiTheme="majorHAnsi" w:hAnsiTheme="majorHAnsi" w:cstheme="majorHAnsi"/>
          <w:color w:val="595959" w:themeColor="text1" w:themeTint="A6"/>
        </w:rPr>
        <w:t>in planning its activities and also take opportunities to advocate for the integration of health security considerations in climate change-focused initiatives.</w:t>
      </w:r>
    </w:p>
    <w:p w:rsidR="00722EBE" w:rsidRPr="0043356C" w:rsidRDefault="00722EBE" w:rsidP="00BF6C52">
      <w:pPr>
        <w:pStyle w:val="Heading2"/>
        <w:spacing w:after="120" w:line="240" w:lineRule="auto"/>
        <w:contextualSpacing w:val="0"/>
        <w:rPr>
          <w:rFonts w:cstheme="majorHAnsi"/>
          <w:sz w:val="22"/>
          <w:szCs w:val="22"/>
        </w:rPr>
      </w:pPr>
      <w:bookmarkStart w:id="37" w:name="_Toc3297018"/>
      <w:r w:rsidRPr="0043356C">
        <w:rPr>
          <w:rFonts w:cstheme="majorHAnsi"/>
          <w:sz w:val="22"/>
          <w:szCs w:val="22"/>
        </w:rPr>
        <w:t>Innovation and Private Sector Engagement</w:t>
      </w:r>
      <w:bookmarkEnd w:id="37"/>
    </w:p>
    <w:p w:rsidR="008768BA" w:rsidRPr="00EB4FEE" w:rsidRDefault="00EA5DBC" w:rsidP="005A681E">
      <w:pPr>
        <w:tabs>
          <w:tab w:val="left" w:pos="0"/>
        </w:tabs>
        <w:suppressAutoHyphens w:val="0"/>
        <w:spacing w:before="0" w:after="12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DFAT</w:t>
      </w:r>
      <w:r w:rsidR="00190768" w:rsidRPr="00EB4FEE">
        <w:rPr>
          <w:rFonts w:asciiTheme="majorHAnsi" w:hAnsiTheme="majorHAnsi" w:cstheme="majorHAnsi"/>
          <w:color w:val="595959" w:themeColor="text1" w:themeTint="A6"/>
        </w:rPr>
        <w:t xml:space="preserve"> recognise</w:t>
      </w:r>
      <w:r w:rsidR="007D4855" w:rsidRPr="00EB4FEE">
        <w:rPr>
          <w:rFonts w:asciiTheme="majorHAnsi" w:hAnsiTheme="majorHAnsi" w:cstheme="majorHAnsi"/>
          <w:color w:val="595959" w:themeColor="text1" w:themeTint="A6"/>
        </w:rPr>
        <w:t>s</w:t>
      </w:r>
      <w:r w:rsidR="00190768" w:rsidRPr="00EB4FEE">
        <w:rPr>
          <w:rFonts w:asciiTheme="majorHAnsi" w:hAnsiTheme="majorHAnsi" w:cstheme="majorHAnsi"/>
          <w:color w:val="595959" w:themeColor="text1" w:themeTint="A6"/>
        </w:rPr>
        <w:t xml:space="preserve"> the importance of the private sector in health security in S</w:t>
      </w:r>
      <w:r w:rsidR="003A4AE5" w:rsidRPr="00EB4FEE">
        <w:rPr>
          <w:rFonts w:asciiTheme="majorHAnsi" w:hAnsiTheme="majorHAnsi" w:cstheme="majorHAnsi"/>
          <w:color w:val="595959" w:themeColor="text1" w:themeTint="A6"/>
        </w:rPr>
        <w:t>outheast</w:t>
      </w:r>
      <w:r w:rsidR="00190768" w:rsidRPr="00EB4FEE">
        <w:rPr>
          <w:rFonts w:asciiTheme="majorHAnsi" w:hAnsiTheme="majorHAnsi" w:cstheme="majorHAnsi"/>
          <w:color w:val="595959" w:themeColor="text1" w:themeTint="A6"/>
        </w:rPr>
        <w:t xml:space="preserve"> Asia and </w:t>
      </w:r>
      <w:r w:rsidR="0035143D" w:rsidRPr="00EB4FEE">
        <w:rPr>
          <w:rFonts w:asciiTheme="majorHAnsi" w:hAnsiTheme="majorHAnsi" w:cstheme="majorHAnsi"/>
          <w:color w:val="595959" w:themeColor="text1" w:themeTint="A6"/>
        </w:rPr>
        <w:t xml:space="preserve">the scope </w:t>
      </w:r>
      <w:r w:rsidRPr="00EB4FEE">
        <w:rPr>
          <w:rFonts w:asciiTheme="majorHAnsi" w:hAnsiTheme="majorHAnsi" w:cstheme="majorHAnsi"/>
          <w:color w:val="595959" w:themeColor="text1" w:themeTint="A6"/>
        </w:rPr>
        <w:t>for</w:t>
      </w:r>
      <w:r w:rsidR="0035143D" w:rsidRPr="00EB4FEE">
        <w:rPr>
          <w:rFonts w:asciiTheme="majorHAnsi" w:hAnsiTheme="majorHAnsi" w:cstheme="majorHAnsi"/>
          <w:color w:val="595959" w:themeColor="text1" w:themeTint="A6"/>
        </w:rPr>
        <w:t xml:space="preserve"> private sector</w:t>
      </w:r>
      <w:r w:rsidR="00190768" w:rsidRPr="00EB4FEE">
        <w:rPr>
          <w:rFonts w:asciiTheme="majorHAnsi" w:hAnsiTheme="majorHAnsi" w:cstheme="majorHAnsi"/>
          <w:color w:val="595959" w:themeColor="text1" w:themeTint="A6"/>
        </w:rPr>
        <w:t xml:space="preserve"> engage</w:t>
      </w:r>
      <w:r w:rsidR="00535D18">
        <w:rPr>
          <w:rFonts w:asciiTheme="majorHAnsi" w:hAnsiTheme="majorHAnsi" w:cstheme="majorHAnsi"/>
          <w:color w:val="595959" w:themeColor="text1" w:themeTint="A6"/>
        </w:rPr>
        <w:t>ment.</w:t>
      </w:r>
      <w:r w:rsidRPr="00EB4FEE">
        <w:rPr>
          <w:rFonts w:asciiTheme="majorHAnsi" w:hAnsiTheme="majorHAnsi" w:cstheme="majorHAnsi"/>
          <w:color w:val="595959" w:themeColor="text1" w:themeTint="A6"/>
        </w:rPr>
        <w:t xml:space="preserve"> However, the size and nature of this proposed investment presents </w:t>
      </w:r>
      <w:r w:rsidR="0035143D" w:rsidRPr="00EB4FEE">
        <w:rPr>
          <w:rFonts w:asciiTheme="majorHAnsi" w:hAnsiTheme="majorHAnsi" w:cstheme="majorHAnsi"/>
          <w:color w:val="595959" w:themeColor="text1" w:themeTint="A6"/>
        </w:rPr>
        <w:t>challenges</w:t>
      </w:r>
      <w:r w:rsidRPr="00EB4FEE">
        <w:rPr>
          <w:rFonts w:asciiTheme="majorHAnsi" w:hAnsiTheme="majorHAnsi" w:cstheme="majorHAnsi"/>
          <w:color w:val="595959" w:themeColor="text1" w:themeTint="A6"/>
        </w:rPr>
        <w:t xml:space="preserve"> to this</w:t>
      </w:r>
      <w:r w:rsidR="00535D18">
        <w:rPr>
          <w:rFonts w:asciiTheme="majorHAnsi" w:hAnsiTheme="majorHAnsi" w:cstheme="majorHAnsi"/>
          <w:color w:val="595959" w:themeColor="text1" w:themeTint="A6"/>
        </w:rPr>
        <w:t xml:space="preserve">. </w:t>
      </w:r>
      <w:r w:rsidR="008768BA" w:rsidRPr="00EB4FEE">
        <w:rPr>
          <w:rFonts w:asciiTheme="majorHAnsi" w:hAnsiTheme="majorHAnsi" w:cstheme="majorHAnsi"/>
          <w:color w:val="595959" w:themeColor="text1" w:themeTint="A6"/>
        </w:rPr>
        <w:t xml:space="preserve">Private companies have the resources and expertise to contribute to strengthening health security in a variety of </w:t>
      </w:r>
      <w:r w:rsidRPr="00EB4FEE">
        <w:rPr>
          <w:rFonts w:asciiTheme="majorHAnsi" w:hAnsiTheme="majorHAnsi" w:cstheme="majorHAnsi"/>
          <w:color w:val="595959" w:themeColor="text1" w:themeTint="A6"/>
        </w:rPr>
        <w:t>ways</w:t>
      </w:r>
      <w:r w:rsidR="008768BA" w:rsidRPr="00EB4FEE">
        <w:rPr>
          <w:rFonts w:asciiTheme="majorHAnsi" w:hAnsiTheme="majorHAnsi" w:cstheme="majorHAnsi"/>
          <w:color w:val="595959" w:themeColor="text1" w:themeTint="A6"/>
        </w:rPr>
        <w:t xml:space="preserve">, </w:t>
      </w:r>
      <w:r w:rsidRPr="00EB4FEE">
        <w:rPr>
          <w:rFonts w:asciiTheme="majorHAnsi" w:hAnsiTheme="majorHAnsi" w:cstheme="majorHAnsi"/>
          <w:color w:val="595959" w:themeColor="text1" w:themeTint="A6"/>
        </w:rPr>
        <w:t>including</w:t>
      </w:r>
      <w:r w:rsidR="008768BA" w:rsidRPr="00EB4FEE">
        <w:rPr>
          <w:rFonts w:asciiTheme="majorHAnsi" w:hAnsiTheme="majorHAnsi" w:cstheme="majorHAnsi"/>
          <w:color w:val="595959" w:themeColor="text1" w:themeTint="A6"/>
        </w:rPr>
        <w:t>:</w:t>
      </w:r>
      <w:r w:rsidRPr="00EB4FEE">
        <w:rPr>
          <w:rFonts w:asciiTheme="majorHAnsi" w:hAnsiTheme="majorHAnsi" w:cstheme="majorHAnsi"/>
          <w:color w:val="595959" w:themeColor="text1" w:themeTint="A6"/>
        </w:rPr>
        <w:t xml:space="preserve"> development of</w:t>
      </w:r>
      <w:r w:rsidR="008768BA" w:rsidRPr="00EB4FEE">
        <w:rPr>
          <w:rFonts w:asciiTheme="majorHAnsi" w:hAnsiTheme="majorHAnsi" w:cstheme="majorHAnsi"/>
          <w:color w:val="595959" w:themeColor="text1" w:themeTint="A6"/>
        </w:rPr>
        <w:t xml:space="preserve"> innovative data collection technologies to enhance disease surveillance; </w:t>
      </w:r>
      <w:r w:rsidRPr="00EB4FEE">
        <w:rPr>
          <w:rFonts w:asciiTheme="majorHAnsi" w:hAnsiTheme="majorHAnsi" w:cstheme="majorHAnsi"/>
          <w:color w:val="595959" w:themeColor="text1" w:themeTint="A6"/>
        </w:rPr>
        <w:t>availability of</w:t>
      </w:r>
      <w:r w:rsidR="008768BA" w:rsidRPr="00EB4FEE">
        <w:rPr>
          <w:rFonts w:asciiTheme="majorHAnsi" w:hAnsiTheme="majorHAnsi" w:cstheme="majorHAnsi"/>
          <w:color w:val="595959" w:themeColor="text1" w:themeTint="A6"/>
        </w:rPr>
        <w:t xml:space="preserve"> personnel, resources and expertise for emergency response; and supply chain management systems to improve storage and delivery of essential health supplies</w:t>
      </w:r>
      <w:r w:rsidR="00535D18">
        <w:rPr>
          <w:rFonts w:asciiTheme="majorHAnsi" w:hAnsiTheme="majorHAnsi" w:cstheme="majorHAnsi"/>
          <w:color w:val="595959" w:themeColor="text1" w:themeTint="A6"/>
        </w:rPr>
        <w:t xml:space="preserve">. </w:t>
      </w:r>
      <w:r w:rsidR="008768BA" w:rsidRPr="00EB4FEE">
        <w:rPr>
          <w:rFonts w:asciiTheme="majorHAnsi" w:hAnsiTheme="majorHAnsi" w:cstheme="majorHAnsi"/>
          <w:color w:val="595959" w:themeColor="text1" w:themeTint="A6"/>
        </w:rPr>
        <w:t>Internationally, many companies already support increased health security as a contribution to corporate social responsibility (e.g., to the malaria elimination agenda)</w:t>
      </w:r>
      <w:r w:rsidR="00535D18">
        <w:rPr>
          <w:rFonts w:asciiTheme="majorHAnsi" w:hAnsiTheme="majorHAnsi" w:cstheme="majorHAnsi"/>
          <w:color w:val="595959" w:themeColor="text1" w:themeTint="A6"/>
        </w:rPr>
        <w:t xml:space="preserve">. </w:t>
      </w:r>
      <w:r w:rsidR="008768BA" w:rsidRPr="00EB4FEE">
        <w:rPr>
          <w:rFonts w:asciiTheme="majorHAnsi" w:hAnsiTheme="majorHAnsi" w:cstheme="majorHAnsi"/>
          <w:color w:val="595959" w:themeColor="text1" w:themeTint="A6"/>
        </w:rPr>
        <w:t>Health security threats are stimulating new opportunities for private sector engagement and they should be considered in the broader context of public-private partnerships and cooperation</w:t>
      </w:r>
      <w:r w:rsidR="00535D18">
        <w:rPr>
          <w:rFonts w:asciiTheme="majorHAnsi" w:hAnsiTheme="majorHAnsi" w:cstheme="majorHAnsi"/>
          <w:color w:val="595959" w:themeColor="text1" w:themeTint="A6"/>
        </w:rPr>
        <w:t xml:space="preserve">. </w:t>
      </w:r>
      <w:r w:rsidR="008768BA" w:rsidRPr="00EB4FEE">
        <w:rPr>
          <w:rFonts w:asciiTheme="majorHAnsi" w:hAnsiTheme="majorHAnsi" w:cstheme="majorHAnsi"/>
          <w:color w:val="595959" w:themeColor="text1" w:themeTint="A6"/>
        </w:rPr>
        <w:t>The program should identify opportunities to build upon private sector insights to address specific health and development risks and vulnerabilities in Indonesia.</w:t>
      </w:r>
    </w:p>
    <w:p w:rsidR="00EA5DBC" w:rsidRPr="00EB4FEE" w:rsidRDefault="00EA5DBC" w:rsidP="00EA5DBC">
      <w:pPr>
        <w:pStyle w:val="BodyText"/>
        <w:spacing w:before="0" w:after="12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Australia’s previous EID programs in Indonesia have focused on public sector partnership</w:t>
      </w:r>
      <w:r w:rsidR="005571A6">
        <w:rPr>
          <w:rFonts w:asciiTheme="majorHAnsi" w:hAnsiTheme="majorHAnsi" w:cstheme="majorHAnsi"/>
          <w:color w:val="595959" w:themeColor="text1" w:themeTint="A6"/>
        </w:rPr>
        <w:t>s</w:t>
      </w:r>
      <w:r w:rsidRPr="00EB4FEE">
        <w:rPr>
          <w:rFonts w:asciiTheme="majorHAnsi" w:hAnsiTheme="majorHAnsi" w:cstheme="majorHAnsi"/>
          <w:color w:val="595959" w:themeColor="text1" w:themeTint="A6"/>
        </w:rPr>
        <w:t xml:space="preserve"> wit</w:t>
      </w:r>
      <w:r w:rsidR="00535D18">
        <w:rPr>
          <w:rFonts w:asciiTheme="majorHAnsi" w:hAnsiTheme="majorHAnsi" w:cstheme="majorHAnsi"/>
          <w:color w:val="595959" w:themeColor="text1" w:themeTint="A6"/>
        </w:rPr>
        <w:t xml:space="preserve">h government agencies. </w:t>
      </w:r>
      <w:r w:rsidRPr="00EB4FEE">
        <w:rPr>
          <w:rFonts w:asciiTheme="majorHAnsi" w:hAnsiTheme="majorHAnsi" w:cstheme="majorHAnsi"/>
          <w:color w:val="595959" w:themeColor="text1" w:themeTint="A6"/>
        </w:rPr>
        <w:t>This approach will continue under AIHSP and it is not proposed that there will be a large private se</w:t>
      </w:r>
      <w:r w:rsidR="00352A08">
        <w:rPr>
          <w:rFonts w:asciiTheme="majorHAnsi" w:hAnsiTheme="majorHAnsi" w:cstheme="majorHAnsi"/>
          <w:color w:val="595959" w:themeColor="text1" w:themeTint="A6"/>
        </w:rPr>
        <w:t xml:space="preserve">ctor component to the program. </w:t>
      </w:r>
      <w:r w:rsidRPr="00EB4FEE">
        <w:rPr>
          <w:rFonts w:asciiTheme="majorHAnsi" w:hAnsiTheme="majorHAnsi" w:cstheme="majorHAnsi"/>
          <w:color w:val="595959" w:themeColor="text1" w:themeTint="A6"/>
        </w:rPr>
        <w:t xml:space="preserve">This does not preclude the program from working with the private sector: there could be opportunities for the private sector to support the MoA for capacity building in areas such as iSIKHNAS technical programming support, provided that GoI approves this, and that it will help to ensure sustainability at </w:t>
      </w:r>
      <w:r w:rsidR="00352A08">
        <w:rPr>
          <w:rFonts w:asciiTheme="majorHAnsi" w:hAnsiTheme="majorHAnsi" w:cstheme="majorHAnsi"/>
          <w:color w:val="595959" w:themeColor="text1" w:themeTint="A6"/>
        </w:rPr>
        <w:t>the conclusion of the program.</w:t>
      </w:r>
    </w:p>
    <w:p w:rsidR="008768BA" w:rsidRPr="00EB4FEE" w:rsidRDefault="008768BA" w:rsidP="005A681E">
      <w:pPr>
        <w:tabs>
          <w:tab w:val="left" w:pos="0"/>
        </w:tabs>
        <w:suppressAutoHyphens w:val="0"/>
        <w:spacing w:before="0" w:after="12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 xml:space="preserve">Innovation will similarly be promoted under the program and the managing contractor </w:t>
      </w:r>
      <w:r w:rsidR="00EA5DBC" w:rsidRPr="00EB4FEE">
        <w:rPr>
          <w:rFonts w:asciiTheme="majorHAnsi" w:hAnsiTheme="majorHAnsi" w:cstheme="majorHAnsi"/>
          <w:color w:val="595959" w:themeColor="text1" w:themeTint="A6"/>
        </w:rPr>
        <w:t>should identify opportunities for</w:t>
      </w:r>
      <w:r w:rsidRPr="00EB4FEE">
        <w:rPr>
          <w:rFonts w:asciiTheme="majorHAnsi" w:hAnsiTheme="majorHAnsi" w:cstheme="majorHAnsi"/>
          <w:color w:val="595959" w:themeColor="text1" w:themeTint="A6"/>
        </w:rPr>
        <w:t xml:space="preserve"> appropriate</w:t>
      </w:r>
      <w:r w:rsidR="00EA5DBC" w:rsidRPr="00EB4FEE">
        <w:rPr>
          <w:rFonts w:asciiTheme="majorHAnsi" w:hAnsiTheme="majorHAnsi" w:cstheme="majorHAnsi"/>
          <w:color w:val="595959" w:themeColor="text1" w:themeTint="A6"/>
        </w:rPr>
        <w:t xml:space="preserve"> innovation</w:t>
      </w:r>
      <w:r w:rsidR="00352A08">
        <w:rPr>
          <w:rFonts w:asciiTheme="majorHAnsi" w:hAnsiTheme="majorHAnsi" w:cstheme="majorHAnsi"/>
          <w:color w:val="595959" w:themeColor="text1" w:themeTint="A6"/>
        </w:rPr>
        <w:t xml:space="preserve">. </w:t>
      </w:r>
      <w:r w:rsidRPr="00EB4FEE">
        <w:rPr>
          <w:rFonts w:asciiTheme="majorHAnsi" w:hAnsiTheme="majorHAnsi" w:cstheme="majorHAnsi"/>
          <w:color w:val="595959" w:themeColor="text1" w:themeTint="A6"/>
        </w:rPr>
        <w:t>Innovative approaches</w:t>
      </w:r>
      <w:r w:rsidR="00EA5DBC" w:rsidRPr="00EB4FEE">
        <w:rPr>
          <w:rFonts w:asciiTheme="majorHAnsi" w:hAnsiTheme="majorHAnsi" w:cstheme="majorHAnsi"/>
          <w:color w:val="595959" w:themeColor="text1" w:themeTint="A6"/>
        </w:rPr>
        <w:t xml:space="preserve"> and </w:t>
      </w:r>
      <w:r w:rsidRPr="00EB4FEE">
        <w:rPr>
          <w:rFonts w:asciiTheme="majorHAnsi" w:hAnsiTheme="majorHAnsi" w:cstheme="majorHAnsi"/>
          <w:color w:val="595959" w:themeColor="text1" w:themeTint="A6"/>
        </w:rPr>
        <w:t>pilots that are proven to work can be scaled up or mainstreamed further.</w:t>
      </w:r>
    </w:p>
    <w:p w:rsidR="009256A3" w:rsidRPr="0043356C" w:rsidRDefault="009256A3" w:rsidP="00BF6C52">
      <w:pPr>
        <w:pStyle w:val="Heading2"/>
        <w:spacing w:after="120" w:line="240" w:lineRule="auto"/>
        <w:contextualSpacing w:val="0"/>
        <w:rPr>
          <w:rFonts w:eastAsia="MS Mincho" w:cstheme="majorHAnsi"/>
          <w:sz w:val="22"/>
          <w:szCs w:val="22"/>
          <w:lang w:val="en-US"/>
        </w:rPr>
      </w:pPr>
      <w:bookmarkStart w:id="38" w:name="_Toc3297019"/>
      <w:r w:rsidRPr="0043356C">
        <w:rPr>
          <w:rFonts w:eastAsia="MS Mincho" w:cstheme="majorHAnsi"/>
          <w:sz w:val="22"/>
          <w:szCs w:val="22"/>
          <w:lang w:val="en-US"/>
        </w:rPr>
        <w:t>Risk assessment</w:t>
      </w:r>
      <w:bookmarkEnd w:id="38"/>
    </w:p>
    <w:p w:rsidR="00FA233D" w:rsidRPr="00EB4FEE" w:rsidRDefault="00E75053">
      <w:pPr>
        <w:pStyle w:val="BodyText"/>
        <w:spacing w:before="0" w:after="12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A draft</w:t>
      </w:r>
      <w:r w:rsidR="00FA233D" w:rsidRPr="00EB4FEE">
        <w:rPr>
          <w:rFonts w:asciiTheme="majorHAnsi" w:hAnsiTheme="majorHAnsi" w:cstheme="majorHAnsi"/>
          <w:color w:val="595959" w:themeColor="text1" w:themeTint="A6"/>
        </w:rPr>
        <w:t xml:space="preserve"> </w:t>
      </w:r>
      <w:r w:rsidR="007D4855" w:rsidRPr="00EB4FEE">
        <w:rPr>
          <w:rFonts w:asciiTheme="majorHAnsi" w:hAnsiTheme="majorHAnsi" w:cstheme="majorHAnsi"/>
          <w:color w:val="595959" w:themeColor="text1" w:themeTint="A6"/>
        </w:rPr>
        <w:t>r</w:t>
      </w:r>
      <w:r w:rsidR="00FA233D" w:rsidRPr="00EB4FEE">
        <w:rPr>
          <w:rFonts w:asciiTheme="majorHAnsi" w:hAnsiTheme="majorHAnsi" w:cstheme="majorHAnsi"/>
          <w:color w:val="595959" w:themeColor="text1" w:themeTint="A6"/>
        </w:rPr>
        <w:t xml:space="preserve">isk </w:t>
      </w:r>
      <w:r w:rsidR="007D4855" w:rsidRPr="00EB4FEE">
        <w:rPr>
          <w:rFonts w:asciiTheme="majorHAnsi" w:hAnsiTheme="majorHAnsi" w:cstheme="majorHAnsi"/>
          <w:color w:val="595959" w:themeColor="text1" w:themeTint="A6"/>
        </w:rPr>
        <w:t>m</w:t>
      </w:r>
      <w:r w:rsidR="00FA233D" w:rsidRPr="00EB4FEE">
        <w:rPr>
          <w:rFonts w:asciiTheme="majorHAnsi" w:hAnsiTheme="majorHAnsi" w:cstheme="majorHAnsi"/>
          <w:color w:val="595959" w:themeColor="text1" w:themeTint="A6"/>
        </w:rPr>
        <w:t>atrix (</w:t>
      </w:r>
      <w:r w:rsidR="00617B45" w:rsidRPr="00EB4FEE">
        <w:rPr>
          <w:rFonts w:asciiTheme="majorHAnsi" w:hAnsiTheme="majorHAnsi" w:cstheme="majorHAnsi"/>
          <w:color w:val="595959" w:themeColor="text1" w:themeTint="A6"/>
        </w:rPr>
        <w:t xml:space="preserve">at </w:t>
      </w:r>
      <w:r w:rsidR="00FA233D" w:rsidRPr="00EB4FEE">
        <w:rPr>
          <w:rFonts w:asciiTheme="majorHAnsi" w:hAnsiTheme="majorHAnsi" w:cstheme="majorHAnsi"/>
          <w:color w:val="595959" w:themeColor="text1" w:themeTint="A6"/>
        </w:rPr>
        <w:t xml:space="preserve">Annex </w:t>
      </w:r>
      <w:r w:rsidR="006256F3">
        <w:rPr>
          <w:rFonts w:asciiTheme="majorHAnsi" w:hAnsiTheme="majorHAnsi" w:cstheme="majorHAnsi"/>
          <w:color w:val="595959" w:themeColor="text1" w:themeTint="A6"/>
        </w:rPr>
        <w:t>B</w:t>
      </w:r>
      <w:r w:rsidR="00FA233D" w:rsidRPr="00EB4FEE">
        <w:rPr>
          <w:rFonts w:asciiTheme="majorHAnsi" w:hAnsiTheme="majorHAnsi" w:cstheme="majorHAnsi"/>
          <w:color w:val="595959" w:themeColor="text1" w:themeTint="A6"/>
        </w:rPr>
        <w:t>) provides a preliminary assessment of high level risks and potential mitigation strategies</w:t>
      </w:r>
      <w:r w:rsidR="00C84CB8">
        <w:rPr>
          <w:rFonts w:asciiTheme="majorHAnsi" w:hAnsiTheme="majorHAnsi" w:cstheme="majorHAnsi"/>
          <w:color w:val="595959" w:themeColor="text1" w:themeTint="A6"/>
        </w:rPr>
        <w:t xml:space="preserve">. </w:t>
      </w:r>
      <w:r w:rsidR="00D40A5C" w:rsidRPr="00EB4FEE">
        <w:rPr>
          <w:rFonts w:asciiTheme="majorHAnsi" w:hAnsiTheme="majorHAnsi" w:cstheme="majorHAnsi"/>
          <w:color w:val="595959" w:themeColor="text1" w:themeTint="A6"/>
        </w:rPr>
        <w:t>T</w:t>
      </w:r>
      <w:r w:rsidR="00FA233D" w:rsidRPr="00EB4FEE">
        <w:rPr>
          <w:rFonts w:asciiTheme="majorHAnsi" w:hAnsiTheme="majorHAnsi" w:cstheme="majorHAnsi"/>
          <w:color w:val="595959" w:themeColor="text1" w:themeTint="A6"/>
        </w:rPr>
        <w:t xml:space="preserve">he </w:t>
      </w:r>
      <w:r w:rsidR="003A4AE5" w:rsidRPr="00EB4FEE">
        <w:rPr>
          <w:rFonts w:asciiTheme="majorHAnsi" w:hAnsiTheme="majorHAnsi" w:cstheme="majorHAnsi"/>
          <w:color w:val="595959" w:themeColor="text1" w:themeTint="A6"/>
        </w:rPr>
        <w:t>managing c</w:t>
      </w:r>
      <w:r w:rsidR="00FA233D" w:rsidRPr="00EB4FEE">
        <w:rPr>
          <w:rFonts w:asciiTheme="majorHAnsi" w:hAnsiTheme="majorHAnsi" w:cstheme="majorHAnsi"/>
          <w:color w:val="595959" w:themeColor="text1" w:themeTint="A6"/>
        </w:rPr>
        <w:t>ontractor will develop a more comprehensive risk management plan</w:t>
      </w:r>
      <w:r w:rsidR="00D40A5C" w:rsidRPr="00EB4FEE">
        <w:rPr>
          <w:rFonts w:asciiTheme="majorHAnsi" w:hAnsiTheme="majorHAnsi" w:cstheme="majorHAnsi"/>
          <w:color w:val="595959" w:themeColor="text1" w:themeTint="A6"/>
        </w:rPr>
        <w:t xml:space="preserve"> during the inception phase</w:t>
      </w:r>
      <w:r w:rsidR="00C84CB8">
        <w:rPr>
          <w:rFonts w:asciiTheme="majorHAnsi" w:hAnsiTheme="majorHAnsi" w:cstheme="majorHAnsi"/>
          <w:color w:val="595959" w:themeColor="text1" w:themeTint="A6"/>
        </w:rPr>
        <w:t xml:space="preserve">. </w:t>
      </w:r>
      <w:r w:rsidR="00FA233D" w:rsidRPr="00EB4FEE">
        <w:rPr>
          <w:rFonts w:asciiTheme="majorHAnsi" w:hAnsiTheme="majorHAnsi" w:cstheme="majorHAnsi"/>
          <w:color w:val="595959" w:themeColor="text1" w:themeTint="A6"/>
        </w:rPr>
        <w:t>Th</w:t>
      </w:r>
      <w:r w:rsidR="00D40A5C" w:rsidRPr="00EB4FEE">
        <w:rPr>
          <w:rFonts w:asciiTheme="majorHAnsi" w:hAnsiTheme="majorHAnsi" w:cstheme="majorHAnsi"/>
          <w:color w:val="595959" w:themeColor="text1" w:themeTint="A6"/>
        </w:rPr>
        <w:t>is</w:t>
      </w:r>
      <w:r w:rsidR="00FA233D" w:rsidRPr="00EB4FEE">
        <w:rPr>
          <w:rFonts w:asciiTheme="majorHAnsi" w:hAnsiTheme="majorHAnsi" w:cstheme="majorHAnsi"/>
          <w:color w:val="595959" w:themeColor="text1" w:themeTint="A6"/>
        </w:rPr>
        <w:t xml:space="preserve"> plan will be reviewed regularly by the senior management team and will guide implementation, ensuring early identification and management of potential risks</w:t>
      </w:r>
      <w:r w:rsidR="00C84CB8">
        <w:rPr>
          <w:rFonts w:asciiTheme="majorHAnsi" w:hAnsiTheme="majorHAnsi" w:cstheme="majorHAnsi"/>
          <w:color w:val="595959" w:themeColor="text1" w:themeTint="A6"/>
        </w:rPr>
        <w:t xml:space="preserve">. </w:t>
      </w:r>
      <w:r w:rsidR="00D40A5C" w:rsidRPr="00EB4FEE">
        <w:rPr>
          <w:rFonts w:asciiTheme="majorHAnsi" w:hAnsiTheme="majorHAnsi" w:cstheme="majorHAnsi"/>
          <w:color w:val="595959" w:themeColor="text1" w:themeTint="A6"/>
        </w:rPr>
        <w:t>P</w:t>
      </w:r>
      <w:r w:rsidR="00FA233D" w:rsidRPr="00EB4FEE">
        <w:rPr>
          <w:rFonts w:asciiTheme="majorHAnsi" w:hAnsiTheme="majorHAnsi" w:cstheme="majorHAnsi"/>
          <w:color w:val="595959" w:themeColor="text1" w:themeTint="A6"/>
        </w:rPr>
        <w:t>rogress reports</w:t>
      </w:r>
      <w:r w:rsidR="00D40A5C" w:rsidRPr="00EB4FEE">
        <w:rPr>
          <w:rFonts w:asciiTheme="majorHAnsi" w:hAnsiTheme="majorHAnsi" w:cstheme="majorHAnsi"/>
          <w:color w:val="595959" w:themeColor="text1" w:themeTint="A6"/>
        </w:rPr>
        <w:t xml:space="preserve"> will review risks</w:t>
      </w:r>
      <w:r w:rsidR="00FA233D" w:rsidRPr="00EB4FEE">
        <w:rPr>
          <w:rFonts w:asciiTheme="majorHAnsi" w:hAnsiTheme="majorHAnsi" w:cstheme="majorHAnsi"/>
          <w:color w:val="595959" w:themeColor="text1" w:themeTint="A6"/>
        </w:rPr>
        <w:t xml:space="preserve"> to ensure all stakeholders can contribute to risk management throughout implementation.</w:t>
      </w:r>
    </w:p>
    <w:p w:rsidR="00D40A5C" w:rsidRPr="00EB4FEE" w:rsidRDefault="00E75053">
      <w:pPr>
        <w:pStyle w:val="BodyText"/>
        <w:spacing w:before="0" w:after="12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 xml:space="preserve">This section </w:t>
      </w:r>
      <w:r w:rsidR="00D40A5C" w:rsidRPr="00EB4FEE">
        <w:rPr>
          <w:rFonts w:asciiTheme="majorHAnsi" w:hAnsiTheme="majorHAnsi" w:cstheme="majorHAnsi"/>
          <w:color w:val="595959" w:themeColor="text1" w:themeTint="A6"/>
        </w:rPr>
        <w:t>presents</w:t>
      </w:r>
      <w:r w:rsidRPr="00EB4FEE">
        <w:rPr>
          <w:rFonts w:asciiTheme="majorHAnsi" w:hAnsiTheme="majorHAnsi" w:cstheme="majorHAnsi"/>
          <w:color w:val="595959" w:themeColor="text1" w:themeTint="A6"/>
        </w:rPr>
        <w:t xml:space="preserve"> key identified risks</w:t>
      </w:r>
      <w:r w:rsidR="00D40A5C" w:rsidRPr="00EB4FEE">
        <w:rPr>
          <w:rFonts w:asciiTheme="majorHAnsi" w:hAnsiTheme="majorHAnsi" w:cstheme="majorHAnsi"/>
          <w:color w:val="595959" w:themeColor="text1" w:themeTint="A6"/>
        </w:rPr>
        <w:t xml:space="preserve"> including:</w:t>
      </w:r>
      <w:r w:rsidRPr="00EB4FEE">
        <w:rPr>
          <w:rFonts w:asciiTheme="majorHAnsi" w:hAnsiTheme="majorHAnsi" w:cstheme="majorHAnsi"/>
          <w:color w:val="595959" w:themeColor="text1" w:themeTint="A6"/>
        </w:rPr>
        <w:t xml:space="preserve"> </w:t>
      </w:r>
    </w:p>
    <w:p w:rsidR="00D40A5C" w:rsidRPr="00EB4FEE" w:rsidRDefault="00D40A5C">
      <w:pPr>
        <w:pStyle w:val="BodyText"/>
        <w:spacing w:before="0" w:after="12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w:t>
      </w:r>
      <w:r w:rsidR="00CB5F0A" w:rsidRPr="00EB4FEE">
        <w:rPr>
          <w:rFonts w:asciiTheme="majorHAnsi" w:hAnsiTheme="majorHAnsi" w:cstheme="majorHAnsi"/>
          <w:color w:val="595959" w:themeColor="text1" w:themeTint="A6"/>
        </w:rPr>
        <w:t xml:space="preserve"> </w:t>
      </w:r>
      <w:r w:rsidRPr="00EB4FEE">
        <w:rPr>
          <w:rFonts w:asciiTheme="majorHAnsi" w:hAnsiTheme="majorHAnsi" w:cstheme="majorHAnsi"/>
          <w:color w:val="595959" w:themeColor="text1" w:themeTint="A6"/>
        </w:rPr>
        <w:t xml:space="preserve">reduced priority given to health security and reduced support from government counterparts following the 2019 presidential election: this is unlikely, </w:t>
      </w:r>
      <w:r w:rsidR="00CB5F0A" w:rsidRPr="00EB4FEE">
        <w:rPr>
          <w:rFonts w:asciiTheme="majorHAnsi" w:hAnsiTheme="majorHAnsi" w:cstheme="majorHAnsi"/>
          <w:color w:val="595959" w:themeColor="text1" w:themeTint="A6"/>
        </w:rPr>
        <w:t>given the global momentum on health security and</w:t>
      </w:r>
      <w:r w:rsidRPr="00EB4FEE">
        <w:rPr>
          <w:rFonts w:asciiTheme="majorHAnsi" w:hAnsiTheme="majorHAnsi" w:cstheme="majorHAnsi"/>
          <w:color w:val="595959" w:themeColor="text1" w:themeTint="A6"/>
        </w:rPr>
        <w:t xml:space="preserve"> the</w:t>
      </w:r>
      <w:r w:rsidR="00CB5F0A" w:rsidRPr="00EB4FEE">
        <w:rPr>
          <w:rFonts w:asciiTheme="majorHAnsi" w:hAnsiTheme="majorHAnsi" w:cstheme="majorHAnsi"/>
          <w:color w:val="595959" w:themeColor="text1" w:themeTint="A6"/>
        </w:rPr>
        <w:t xml:space="preserve"> economic </w:t>
      </w:r>
      <w:r w:rsidRPr="00EB4FEE">
        <w:rPr>
          <w:rFonts w:asciiTheme="majorHAnsi" w:hAnsiTheme="majorHAnsi" w:cstheme="majorHAnsi"/>
          <w:color w:val="595959" w:themeColor="text1" w:themeTint="A6"/>
        </w:rPr>
        <w:t xml:space="preserve">impact of </w:t>
      </w:r>
      <w:r w:rsidR="00CB5F0A" w:rsidRPr="00EB4FEE">
        <w:rPr>
          <w:rFonts w:asciiTheme="majorHAnsi" w:hAnsiTheme="majorHAnsi" w:cstheme="majorHAnsi"/>
          <w:color w:val="595959" w:themeColor="text1" w:themeTint="A6"/>
        </w:rPr>
        <w:t>an epidemic</w:t>
      </w:r>
      <w:r w:rsidRPr="00EB4FEE">
        <w:rPr>
          <w:rFonts w:asciiTheme="majorHAnsi" w:hAnsiTheme="majorHAnsi" w:cstheme="majorHAnsi"/>
          <w:color w:val="595959" w:themeColor="text1" w:themeTint="A6"/>
        </w:rPr>
        <w:t>;</w:t>
      </w:r>
    </w:p>
    <w:p w:rsidR="00D40A5C" w:rsidRPr="00EB4FEE" w:rsidRDefault="00352A08">
      <w:pPr>
        <w:pStyle w:val="BodyText"/>
        <w:spacing w:before="0" w:after="120" w:line="240" w:lineRule="auto"/>
        <w:rPr>
          <w:rFonts w:asciiTheme="majorHAnsi" w:hAnsiTheme="majorHAnsi" w:cstheme="majorHAnsi"/>
          <w:color w:val="595959" w:themeColor="text1" w:themeTint="A6"/>
        </w:rPr>
      </w:pPr>
      <w:r>
        <w:rPr>
          <w:rFonts w:asciiTheme="majorHAnsi" w:hAnsiTheme="majorHAnsi" w:cstheme="majorHAnsi"/>
          <w:color w:val="595959" w:themeColor="text1" w:themeTint="A6"/>
        </w:rPr>
        <w:t xml:space="preserve">- </w:t>
      </w:r>
      <w:r w:rsidR="00D40A5C" w:rsidRPr="00EB4FEE">
        <w:rPr>
          <w:rFonts w:asciiTheme="majorHAnsi" w:hAnsiTheme="majorHAnsi" w:cstheme="majorHAnsi"/>
          <w:color w:val="595959" w:themeColor="text1" w:themeTint="A6"/>
        </w:rPr>
        <w:t xml:space="preserve">program </w:t>
      </w:r>
      <w:r w:rsidR="00FA233D" w:rsidRPr="00EB4FEE">
        <w:rPr>
          <w:rFonts w:asciiTheme="majorHAnsi" w:hAnsiTheme="majorHAnsi" w:cstheme="majorHAnsi"/>
          <w:color w:val="595959" w:themeColor="text1" w:themeTint="A6"/>
        </w:rPr>
        <w:t xml:space="preserve">activities and investments </w:t>
      </w:r>
      <w:r w:rsidR="00A50044" w:rsidRPr="00EB4FEE">
        <w:rPr>
          <w:rFonts w:asciiTheme="majorHAnsi" w:hAnsiTheme="majorHAnsi" w:cstheme="majorHAnsi"/>
          <w:color w:val="595959" w:themeColor="text1" w:themeTint="A6"/>
        </w:rPr>
        <w:t>are</w:t>
      </w:r>
      <w:r w:rsidR="00FA233D" w:rsidRPr="00EB4FEE">
        <w:rPr>
          <w:rFonts w:asciiTheme="majorHAnsi" w:hAnsiTheme="majorHAnsi" w:cstheme="majorHAnsi"/>
          <w:color w:val="595959" w:themeColor="text1" w:themeTint="A6"/>
        </w:rPr>
        <w:t xml:space="preserve"> ad hoc and incoherent, compromising strategic focus and sustainability</w:t>
      </w:r>
      <w:r w:rsidR="00A50044" w:rsidRPr="00EB4FEE">
        <w:rPr>
          <w:rFonts w:asciiTheme="majorHAnsi" w:hAnsiTheme="majorHAnsi" w:cstheme="majorHAnsi"/>
          <w:color w:val="595959" w:themeColor="text1" w:themeTint="A6"/>
        </w:rPr>
        <w:t>: this will be mitigated by ensuring program implementation is a</w:t>
      </w:r>
      <w:r w:rsidR="00CB5F0A" w:rsidRPr="00EB4FEE">
        <w:rPr>
          <w:rFonts w:asciiTheme="majorHAnsi" w:hAnsiTheme="majorHAnsi" w:cstheme="majorHAnsi"/>
          <w:color w:val="595959" w:themeColor="text1" w:themeTint="A6"/>
        </w:rPr>
        <w:t>lign</w:t>
      </w:r>
      <w:r w:rsidR="00A50044" w:rsidRPr="00EB4FEE">
        <w:rPr>
          <w:rFonts w:asciiTheme="majorHAnsi" w:hAnsiTheme="majorHAnsi" w:cstheme="majorHAnsi"/>
          <w:color w:val="595959" w:themeColor="text1" w:themeTint="A6"/>
        </w:rPr>
        <w:t>ed with</w:t>
      </w:r>
      <w:r w:rsidR="00CB5F0A" w:rsidRPr="00EB4FEE">
        <w:rPr>
          <w:rFonts w:asciiTheme="majorHAnsi" w:hAnsiTheme="majorHAnsi" w:cstheme="majorHAnsi"/>
          <w:color w:val="595959" w:themeColor="text1" w:themeTint="A6"/>
        </w:rPr>
        <w:t xml:space="preserve"> </w:t>
      </w:r>
      <w:r w:rsidR="00A50044" w:rsidRPr="00EB4FEE">
        <w:rPr>
          <w:rFonts w:asciiTheme="majorHAnsi" w:hAnsiTheme="majorHAnsi" w:cstheme="majorHAnsi"/>
          <w:color w:val="595959" w:themeColor="text1" w:themeTint="A6"/>
        </w:rPr>
        <w:t xml:space="preserve">the </w:t>
      </w:r>
      <w:r w:rsidR="000B69AD" w:rsidRPr="00EB4FEE">
        <w:rPr>
          <w:rFonts w:asciiTheme="majorHAnsi" w:hAnsiTheme="majorHAnsi" w:cstheme="majorHAnsi"/>
          <w:color w:val="595959" w:themeColor="text1" w:themeTint="A6"/>
        </w:rPr>
        <w:t>NAPHS</w:t>
      </w:r>
      <w:r w:rsidR="00CB5F0A" w:rsidRPr="00EB4FEE">
        <w:rPr>
          <w:rFonts w:asciiTheme="majorHAnsi" w:hAnsiTheme="majorHAnsi" w:cstheme="majorHAnsi"/>
          <w:color w:val="595959" w:themeColor="text1" w:themeTint="A6"/>
        </w:rPr>
        <w:t>,</w:t>
      </w:r>
      <w:r w:rsidR="003A4AE5" w:rsidRPr="00EB4FEE">
        <w:rPr>
          <w:rFonts w:asciiTheme="majorHAnsi" w:hAnsiTheme="majorHAnsi" w:cstheme="majorHAnsi"/>
          <w:color w:val="595959" w:themeColor="text1" w:themeTint="A6"/>
        </w:rPr>
        <w:t xml:space="preserve"> and </w:t>
      </w:r>
      <w:r w:rsidR="00A50044" w:rsidRPr="00EB4FEE">
        <w:rPr>
          <w:rFonts w:asciiTheme="majorHAnsi" w:hAnsiTheme="majorHAnsi" w:cstheme="majorHAnsi"/>
          <w:color w:val="595959" w:themeColor="text1" w:themeTint="A6"/>
        </w:rPr>
        <w:t xml:space="preserve">responds to JEE and PVS </w:t>
      </w:r>
      <w:r w:rsidR="003A4AE5" w:rsidRPr="00EB4FEE">
        <w:rPr>
          <w:rFonts w:asciiTheme="majorHAnsi" w:hAnsiTheme="majorHAnsi" w:cstheme="majorHAnsi"/>
          <w:color w:val="595959" w:themeColor="text1" w:themeTint="A6"/>
        </w:rPr>
        <w:t>recommendations</w:t>
      </w:r>
      <w:r w:rsidR="00A50044" w:rsidRPr="00EB4FEE">
        <w:rPr>
          <w:rFonts w:asciiTheme="majorHAnsi" w:hAnsiTheme="majorHAnsi" w:cstheme="majorHAnsi"/>
          <w:color w:val="595959" w:themeColor="text1" w:themeTint="A6"/>
        </w:rPr>
        <w:t>;</w:t>
      </w:r>
      <w:r w:rsidR="00C83B0C" w:rsidRPr="00EB4FEE">
        <w:rPr>
          <w:rFonts w:asciiTheme="majorHAnsi" w:hAnsiTheme="majorHAnsi" w:cstheme="majorHAnsi"/>
          <w:color w:val="595959" w:themeColor="text1" w:themeTint="A6"/>
        </w:rPr>
        <w:t xml:space="preserve"> </w:t>
      </w:r>
    </w:p>
    <w:p w:rsidR="005571A6" w:rsidRPr="005571A6" w:rsidRDefault="00A50044">
      <w:pPr>
        <w:pStyle w:val="BodyText"/>
        <w:spacing w:before="0" w:after="12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w:t>
      </w:r>
      <w:r w:rsidR="00C83B0C" w:rsidRPr="00EB4FEE">
        <w:rPr>
          <w:rFonts w:asciiTheme="majorHAnsi" w:hAnsiTheme="majorHAnsi" w:cstheme="majorHAnsi"/>
          <w:color w:val="595959" w:themeColor="text1" w:themeTint="A6"/>
        </w:rPr>
        <w:t xml:space="preserve"> </w:t>
      </w:r>
      <w:r w:rsidR="00FA233D" w:rsidRPr="00EB4FEE">
        <w:rPr>
          <w:rFonts w:asciiTheme="majorHAnsi" w:hAnsiTheme="majorHAnsi" w:cstheme="majorHAnsi"/>
          <w:color w:val="595959" w:themeColor="text1" w:themeTint="A6"/>
        </w:rPr>
        <w:t xml:space="preserve">multi-sectoral challenges working with a </w:t>
      </w:r>
      <w:r w:rsidR="0026571D" w:rsidRPr="00EB4FEE">
        <w:rPr>
          <w:rFonts w:asciiTheme="majorHAnsi" w:hAnsiTheme="majorHAnsi" w:cstheme="majorHAnsi"/>
          <w:color w:val="595959" w:themeColor="text1" w:themeTint="A6"/>
        </w:rPr>
        <w:t>O</w:t>
      </w:r>
      <w:r w:rsidR="00FA233D" w:rsidRPr="00EB4FEE">
        <w:rPr>
          <w:rFonts w:asciiTheme="majorHAnsi" w:hAnsiTheme="majorHAnsi" w:cstheme="majorHAnsi"/>
          <w:color w:val="595959" w:themeColor="text1" w:themeTint="A6"/>
        </w:rPr>
        <w:t xml:space="preserve">ne </w:t>
      </w:r>
      <w:r w:rsidR="0026571D" w:rsidRPr="00EB4FEE">
        <w:rPr>
          <w:rFonts w:asciiTheme="majorHAnsi" w:hAnsiTheme="majorHAnsi" w:cstheme="majorHAnsi"/>
          <w:color w:val="595959" w:themeColor="text1" w:themeTint="A6"/>
        </w:rPr>
        <w:t>H</w:t>
      </w:r>
      <w:r w:rsidR="00FA233D" w:rsidRPr="00EB4FEE">
        <w:rPr>
          <w:rFonts w:asciiTheme="majorHAnsi" w:hAnsiTheme="majorHAnsi" w:cstheme="majorHAnsi"/>
          <w:color w:val="595959" w:themeColor="text1" w:themeTint="A6"/>
        </w:rPr>
        <w:t>ealth outlook</w:t>
      </w:r>
      <w:r w:rsidRPr="00EB4FEE">
        <w:rPr>
          <w:rFonts w:asciiTheme="majorHAnsi" w:hAnsiTheme="majorHAnsi" w:cstheme="majorHAnsi"/>
          <w:color w:val="595959" w:themeColor="text1" w:themeTint="A6"/>
        </w:rPr>
        <w:t xml:space="preserve"> result in lack of</w:t>
      </w:r>
      <w:r w:rsidR="00FA233D" w:rsidRPr="00EB4FEE">
        <w:rPr>
          <w:rFonts w:asciiTheme="majorHAnsi" w:hAnsiTheme="majorHAnsi" w:cstheme="majorHAnsi"/>
          <w:color w:val="595959" w:themeColor="text1" w:themeTint="A6"/>
        </w:rPr>
        <w:t xml:space="preserve"> incentives for coordination</w:t>
      </w:r>
      <w:r w:rsidR="005571A6" w:rsidRPr="005571A6">
        <w:rPr>
          <w:rFonts w:asciiTheme="majorHAnsi" w:hAnsiTheme="majorHAnsi" w:cstheme="majorHAnsi"/>
          <w:color w:val="595959" w:themeColor="text1" w:themeTint="A6"/>
        </w:rPr>
        <w:t xml:space="preserve">: coordination </w:t>
      </w:r>
      <w:r w:rsidR="005571A6" w:rsidRPr="00EB4FEE">
        <w:rPr>
          <w:rFonts w:asciiTheme="majorHAnsi" w:hAnsiTheme="majorHAnsi" w:cstheme="majorHAnsi"/>
          <w:color w:val="595959" w:themeColor="text1" w:themeTint="A6"/>
        </w:rPr>
        <w:t>was a key result requiring work noted by the JEE and is expected to be a GoI priority, and clear policy outcomes and investment criteria have been developed to ensure cohesion across sectors</w:t>
      </w:r>
      <w:r w:rsidR="005571A6" w:rsidRPr="005571A6">
        <w:rPr>
          <w:rFonts w:asciiTheme="majorHAnsi" w:hAnsiTheme="majorHAnsi" w:cstheme="majorHAnsi"/>
          <w:color w:val="595959" w:themeColor="text1" w:themeTint="A6"/>
        </w:rPr>
        <w:t>;</w:t>
      </w:r>
    </w:p>
    <w:p w:rsidR="00FA233D" w:rsidRPr="00EB4FEE" w:rsidRDefault="00A50044">
      <w:pPr>
        <w:pStyle w:val="BodyText"/>
        <w:spacing w:before="0" w:after="12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w:t>
      </w:r>
      <w:r w:rsidR="00FA233D" w:rsidRPr="00EB4FEE">
        <w:rPr>
          <w:rFonts w:asciiTheme="majorHAnsi" w:hAnsiTheme="majorHAnsi" w:cstheme="majorHAnsi"/>
          <w:color w:val="595959" w:themeColor="text1" w:themeTint="A6"/>
        </w:rPr>
        <w:t xml:space="preserve"> poor government buy-in </w:t>
      </w:r>
      <w:r w:rsidRPr="00EB4FEE">
        <w:rPr>
          <w:rFonts w:asciiTheme="majorHAnsi" w:hAnsiTheme="majorHAnsi" w:cstheme="majorHAnsi"/>
          <w:color w:val="595959" w:themeColor="text1" w:themeTint="A6"/>
        </w:rPr>
        <w:t xml:space="preserve">results in failure to address implementation challenges: government interests will be fully reflected by ensuring that the extensive </w:t>
      </w:r>
      <w:r w:rsidR="00FA233D" w:rsidRPr="00EB4FEE">
        <w:rPr>
          <w:rFonts w:asciiTheme="majorHAnsi" w:hAnsiTheme="majorHAnsi" w:cstheme="majorHAnsi"/>
          <w:color w:val="595959" w:themeColor="text1" w:themeTint="A6"/>
        </w:rPr>
        <w:t xml:space="preserve">stakeholder consultation throughout </w:t>
      </w:r>
      <w:r w:rsidR="007D4855" w:rsidRPr="00EB4FEE">
        <w:rPr>
          <w:rFonts w:asciiTheme="majorHAnsi" w:hAnsiTheme="majorHAnsi" w:cstheme="majorHAnsi"/>
          <w:color w:val="595959" w:themeColor="text1" w:themeTint="A6"/>
        </w:rPr>
        <w:t xml:space="preserve">the </w:t>
      </w:r>
      <w:r w:rsidR="00FA233D" w:rsidRPr="00EB4FEE">
        <w:rPr>
          <w:rFonts w:asciiTheme="majorHAnsi" w:hAnsiTheme="majorHAnsi" w:cstheme="majorHAnsi"/>
          <w:color w:val="595959" w:themeColor="text1" w:themeTint="A6"/>
        </w:rPr>
        <w:t>design</w:t>
      </w:r>
      <w:r w:rsidR="007D4855" w:rsidRPr="00EB4FEE">
        <w:rPr>
          <w:rFonts w:asciiTheme="majorHAnsi" w:hAnsiTheme="majorHAnsi" w:cstheme="majorHAnsi"/>
          <w:color w:val="595959" w:themeColor="text1" w:themeTint="A6"/>
        </w:rPr>
        <w:t xml:space="preserve"> process</w:t>
      </w:r>
      <w:r w:rsidR="00FA233D" w:rsidRPr="00EB4FEE">
        <w:rPr>
          <w:rFonts w:asciiTheme="majorHAnsi" w:hAnsiTheme="majorHAnsi" w:cstheme="majorHAnsi"/>
          <w:color w:val="595959" w:themeColor="text1" w:themeTint="A6"/>
        </w:rPr>
        <w:t xml:space="preserve"> </w:t>
      </w:r>
      <w:r w:rsidR="00112748" w:rsidRPr="00EB4FEE">
        <w:rPr>
          <w:rFonts w:asciiTheme="majorHAnsi" w:hAnsiTheme="majorHAnsi" w:cstheme="majorHAnsi"/>
          <w:color w:val="595959" w:themeColor="text1" w:themeTint="A6"/>
        </w:rPr>
        <w:t>is</w:t>
      </w:r>
      <w:r w:rsidRPr="00EB4FEE">
        <w:rPr>
          <w:rFonts w:asciiTheme="majorHAnsi" w:hAnsiTheme="majorHAnsi" w:cstheme="majorHAnsi"/>
          <w:color w:val="595959" w:themeColor="text1" w:themeTint="A6"/>
        </w:rPr>
        <w:t xml:space="preserve"> </w:t>
      </w:r>
      <w:r w:rsidR="00FA233D" w:rsidRPr="00EB4FEE">
        <w:rPr>
          <w:rFonts w:asciiTheme="majorHAnsi" w:hAnsiTheme="majorHAnsi" w:cstheme="majorHAnsi"/>
          <w:color w:val="595959" w:themeColor="text1" w:themeTint="A6"/>
        </w:rPr>
        <w:t xml:space="preserve">continued </w:t>
      </w:r>
      <w:r w:rsidRPr="00EB4FEE">
        <w:rPr>
          <w:rFonts w:asciiTheme="majorHAnsi" w:hAnsiTheme="majorHAnsi" w:cstheme="majorHAnsi"/>
          <w:color w:val="595959" w:themeColor="text1" w:themeTint="A6"/>
        </w:rPr>
        <w:t xml:space="preserve">during </w:t>
      </w:r>
      <w:r w:rsidR="00FA233D" w:rsidRPr="00EB4FEE">
        <w:rPr>
          <w:rFonts w:asciiTheme="majorHAnsi" w:hAnsiTheme="majorHAnsi" w:cstheme="majorHAnsi"/>
          <w:color w:val="595959" w:themeColor="text1" w:themeTint="A6"/>
        </w:rPr>
        <w:t xml:space="preserve">program implementation, </w:t>
      </w:r>
      <w:r w:rsidRPr="00EB4FEE">
        <w:rPr>
          <w:rFonts w:asciiTheme="majorHAnsi" w:hAnsiTheme="majorHAnsi" w:cstheme="majorHAnsi"/>
          <w:color w:val="595959" w:themeColor="text1" w:themeTint="A6"/>
        </w:rPr>
        <w:t xml:space="preserve">by </w:t>
      </w:r>
      <w:r w:rsidR="00FA233D" w:rsidRPr="00EB4FEE">
        <w:rPr>
          <w:rFonts w:asciiTheme="majorHAnsi" w:hAnsiTheme="majorHAnsi" w:cstheme="majorHAnsi"/>
          <w:color w:val="595959" w:themeColor="text1" w:themeTint="A6"/>
        </w:rPr>
        <w:t>ensuring</w:t>
      </w:r>
      <w:r w:rsidRPr="00EB4FEE">
        <w:rPr>
          <w:rFonts w:asciiTheme="majorHAnsi" w:hAnsiTheme="majorHAnsi" w:cstheme="majorHAnsi"/>
          <w:color w:val="595959" w:themeColor="text1" w:themeTint="A6"/>
        </w:rPr>
        <w:t xml:space="preserve"> that</w:t>
      </w:r>
      <w:r w:rsidR="00FA233D" w:rsidRPr="00EB4FEE">
        <w:rPr>
          <w:rFonts w:asciiTheme="majorHAnsi" w:hAnsiTheme="majorHAnsi" w:cstheme="majorHAnsi"/>
          <w:color w:val="595959" w:themeColor="text1" w:themeTint="A6"/>
        </w:rPr>
        <w:t xml:space="preserve"> </w:t>
      </w:r>
      <w:r w:rsidR="003F0EB6" w:rsidRPr="00EB4FEE">
        <w:rPr>
          <w:rFonts w:asciiTheme="majorHAnsi" w:hAnsiTheme="majorHAnsi" w:cstheme="majorHAnsi"/>
          <w:color w:val="595959" w:themeColor="text1" w:themeTint="A6"/>
        </w:rPr>
        <w:t xml:space="preserve">investment criteria </w:t>
      </w:r>
      <w:r w:rsidRPr="00EB4FEE">
        <w:rPr>
          <w:rFonts w:asciiTheme="majorHAnsi" w:hAnsiTheme="majorHAnsi" w:cstheme="majorHAnsi"/>
          <w:color w:val="595959" w:themeColor="text1" w:themeTint="A6"/>
        </w:rPr>
        <w:t xml:space="preserve">are </w:t>
      </w:r>
      <w:r w:rsidR="003F0EB6" w:rsidRPr="00EB4FEE">
        <w:rPr>
          <w:rFonts w:asciiTheme="majorHAnsi" w:hAnsiTheme="majorHAnsi" w:cstheme="majorHAnsi"/>
          <w:color w:val="595959" w:themeColor="text1" w:themeTint="A6"/>
        </w:rPr>
        <w:t>adhered to</w:t>
      </w:r>
      <w:r w:rsidR="00FA233D" w:rsidRPr="00EB4FEE">
        <w:rPr>
          <w:rFonts w:asciiTheme="majorHAnsi" w:hAnsiTheme="majorHAnsi" w:cstheme="majorHAnsi"/>
          <w:color w:val="595959" w:themeColor="text1" w:themeTint="A6"/>
        </w:rPr>
        <w:t>,</w:t>
      </w:r>
      <w:r w:rsidRPr="00EB4FEE">
        <w:rPr>
          <w:rFonts w:asciiTheme="majorHAnsi" w:hAnsiTheme="majorHAnsi" w:cstheme="majorHAnsi"/>
          <w:color w:val="595959" w:themeColor="text1" w:themeTint="A6"/>
        </w:rPr>
        <w:t xml:space="preserve"> through</w:t>
      </w:r>
      <w:r w:rsidR="00FA233D" w:rsidRPr="00EB4FEE">
        <w:rPr>
          <w:rFonts w:asciiTheme="majorHAnsi" w:hAnsiTheme="majorHAnsi" w:cstheme="majorHAnsi"/>
          <w:color w:val="595959" w:themeColor="text1" w:themeTint="A6"/>
        </w:rPr>
        <w:t xml:space="preserve"> inclusive governance mechanisms </w:t>
      </w:r>
      <w:r w:rsidRPr="00EB4FEE">
        <w:rPr>
          <w:rFonts w:asciiTheme="majorHAnsi" w:hAnsiTheme="majorHAnsi" w:cstheme="majorHAnsi"/>
          <w:color w:val="595959" w:themeColor="text1" w:themeTint="A6"/>
        </w:rPr>
        <w:t xml:space="preserve">to </w:t>
      </w:r>
      <w:r w:rsidR="00FA233D" w:rsidRPr="00EB4FEE">
        <w:rPr>
          <w:rFonts w:asciiTheme="majorHAnsi" w:hAnsiTheme="majorHAnsi" w:cstheme="majorHAnsi"/>
          <w:color w:val="595959" w:themeColor="text1" w:themeTint="A6"/>
        </w:rPr>
        <w:t>engage senior-level government officials across ministries, and</w:t>
      </w:r>
      <w:r w:rsidR="003F0EB6" w:rsidRPr="00EB4FEE">
        <w:rPr>
          <w:rFonts w:asciiTheme="majorHAnsi" w:hAnsiTheme="majorHAnsi" w:cstheme="majorHAnsi"/>
          <w:color w:val="595959" w:themeColor="text1" w:themeTint="A6"/>
        </w:rPr>
        <w:t xml:space="preserve"> </w:t>
      </w:r>
      <w:r w:rsidRPr="00EB4FEE">
        <w:rPr>
          <w:rFonts w:asciiTheme="majorHAnsi" w:hAnsiTheme="majorHAnsi" w:cstheme="majorHAnsi"/>
          <w:color w:val="595959" w:themeColor="text1" w:themeTint="A6"/>
        </w:rPr>
        <w:t>through</w:t>
      </w:r>
      <w:r w:rsidR="00FA233D" w:rsidRPr="00EB4FEE">
        <w:rPr>
          <w:rFonts w:asciiTheme="majorHAnsi" w:hAnsiTheme="majorHAnsi" w:cstheme="majorHAnsi"/>
          <w:color w:val="595959" w:themeColor="text1" w:themeTint="A6"/>
        </w:rPr>
        <w:t xml:space="preserve"> </w:t>
      </w:r>
      <w:r w:rsidRPr="00EB4FEE">
        <w:rPr>
          <w:rFonts w:asciiTheme="majorHAnsi" w:hAnsiTheme="majorHAnsi" w:cstheme="majorHAnsi"/>
          <w:color w:val="595959" w:themeColor="text1" w:themeTint="A6"/>
        </w:rPr>
        <w:t xml:space="preserve">a high level of </w:t>
      </w:r>
      <w:r w:rsidR="00FA233D" w:rsidRPr="00EB4FEE">
        <w:rPr>
          <w:rFonts w:asciiTheme="majorHAnsi" w:hAnsiTheme="majorHAnsi" w:cstheme="majorHAnsi"/>
          <w:color w:val="595959" w:themeColor="text1" w:themeTint="A6"/>
        </w:rPr>
        <w:t>DFAT-led policy engagement</w:t>
      </w:r>
      <w:r w:rsidR="00352A08">
        <w:rPr>
          <w:rFonts w:asciiTheme="majorHAnsi" w:hAnsiTheme="majorHAnsi" w:cstheme="majorHAnsi"/>
          <w:color w:val="595959" w:themeColor="text1" w:themeTint="A6"/>
        </w:rPr>
        <w:t>.</w:t>
      </w:r>
    </w:p>
    <w:p w:rsidR="00FA233D" w:rsidRPr="00EB4FEE" w:rsidRDefault="00A50044">
      <w:pPr>
        <w:pStyle w:val="BodyText"/>
        <w:spacing w:before="0" w:after="12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A key</w:t>
      </w:r>
      <w:r w:rsidR="00FA233D" w:rsidRPr="00EB4FEE">
        <w:rPr>
          <w:rFonts w:asciiTheme="majorHAnsi" w:hAnsiTheme="majorHAnsi" w:cstheme="majorHAnsi"/>
          <w:color w:val="595959" w:themeColor="text1" w:themeTint="A6"/>
        </w:rPr>
        <w:t xml:space="preserve"> program transition risk</w:t>
      </w:r>
      <w:r w:rsidRPr="00EB4FEE">
        <w:rPr>
          <w:rFonts w:asciiTheme="majorHAnsi" w:hAnsiTheme="majorHAnsi" w:cstheme="majorHAnsi"/>
          <w:color w:val="595959" w:themeColor="text1" w:themeTint="A6"/>
        </w:rPr>
        <w:t xml:space="preserve"> is </w:t>
      </w:r>
      <w:r w:rsidR="00FA233D" w:rsidRPr="00EB4FEE">
        <w:rPr>
          <w:rFonts w:asciiTheme="majorHAnsi" w:hAnsiTheme="majorHAnsi" w:cstheme="majorHAnsi"/>
          <w:color w:val="595959" w:themeColor="text1" w:themeTint="A6"/>
        </w:rPr>
        <w:t xml:space="preserve">the </w:t>
      </w:r>
      <w:r w:rsidR="0026571D" w:rsidRPr="00EB4FEE">
        <w:rPr>
          <w:rFonts w:asciiTheme="majorHAnsi" w:hAnsiTheme="majorHAnsi" w:cstheme="majorHAnsi"/>
          <w:color w:val="595959" w:themeColor="text1" w:themeTint="A6"/>
        </w:rPr>
        <w:t>MoA</w:t>
      </w:r>
      <w:r w:rsidR="00FA233D" w:rsidRPr="00EB4FEE">
        <w:rPr>
          <w:rFonts w:asciiTheme="majorHAnsi" w:hAnsiTheme="majorHAnsi" w:cstheme="majorHAnsi"/>
          <w:color w:val="595959" w:themeColor="text1" w:themeTint="A6"/>
        </w:rPr>
        <w:t xml:space="preserve"> preference</w:t>
      </w:r>
      <w:r w:rsidRPr="00EB4FEE">
        <w:rPr>
          <w:rFonts w:asciiTheme="majorHAnsi" w:hAnsiTheme="majorHAnsi" w:cstheme="majorHAnsi"/>
          <w:color w:val="595959" w:themeColor="text1" w:themeTint="A6"/>
        </w:rPr>
        <w:t xml:space="preserve"> for</w:t>
      </w:r>
      <w:r w:rsidR="00FA233D" w:rsidRPr="00EB4FEE">
        <w:rPr>
          <w:rFonts w:asciiTheme="majorHAnsi" w:hAnsiTheme="majorHAnsi" w:cstheme="majorHAnsi"/>
          <w:color w:val="595959" w:themeColor="text1" w:themeTint="A6"/>
        </w:rPr>
        <w:t xml:space="preserve"> </w:t>
      </w:r>
      <w:r w:rsidRPr="00EB4FEE">
        <w:rPr>
          <w:rFonts w:asciiTheme="majorHAnsi" w:hAnsiTheme="majorHAnsi" w:cstheme="majorHAnsi"/>
          <w:color w:val="595959" w:themeColor="text1" w:themeTint="A6"/>
        </w:rPr>
        <w:t xml:space="preserve">engagement with </w:t>
      </w:r>
      <w:r w:rsidR="00FA233D" w:rsidRPr="00EB4FEE">
        <w:rPr>
          <w:rFonts w:asciiTheme="majorHAnsi" w:hAnsiTheme="majorHAnsi" w:cstheme="majorHAnsi"/>
          <w:color w:val="595959" w:themeColor="text1" w:themeTint="A6"/>
        </w:rPr>
        <w:t xml:space="preserve">DAWR </w:t>
      </w:r>
      <w:r w:rsidRPr="00EB4FEE">
        <w:rPr>
          <w:rFonts w:asciiTheme="majorHAnsi" w:hAnsiTheme="majorHAnsi" w:cstheme="majorHAnsi"/>
          <w:color w:val="595959" w:themeColor="text1" w:themeTint="A6"/>
        </w:rPr>
        <w:t xml:space="preserve">(rather than </w:t>
      </w:r>
      <w:r w:rsidR="00FA233D" w:rsidRPr="00EB4FEE">
        <w:rPr>
          <w:rFonts w:asciiTheme="majorHAnsi" w:hAnsiTheme="majorHAnsi" w:cstheme="majorHAnsi"/>
          <w:color w:val="595959" w:themeColor="text1" w:themeTint="A6"/>
        </w:rPr>
        <w:t>DFAT</w:t>
      </w:r>
      <w:r w:rsidRPr="00EB4FEE">
        <w:rPr>
          <w:rFonts w:asciiTheme="majorHAnsi" w:hAnsiTheme="majorHAnsi" w:cstheme="majorHAnsi"/>
          <w:color w:val="595959" w:themeColor="text1" w:themeTint="A6"/>
        </w:rPr>
        <w:t>)</w:t>
      </w:r>
      <w:r w:rsidR="00FA233D" w:rsidRPr="00EB4FEE">
        <w:rPr>
          <w:rFonts w:asciiTheme="majorHAnsi" w:hAnsiTheme="majorHAnsi" w:cstheme="majorHAnsi"/>
          <w:color w:val="595959" w:themeColor="text1" w:themeTint="A6"/>
        </w:rPr>
        <w:t xml:space="preserve"> </w:t>
      </w:r>
      <w:r w:rsidRPr="00EB4FEE">
        <w:rPr>
          <w:rFonts w:asciiTheme="majorHAnsi" w:hAnsiTheme="majorHAnsi" w:cstheme="majorHAnsi"/>
          <w:color w:val="595959" w:themeColor="text1" w:themeTint="A6"/>
        </w:rPr>
        <w:t>following</w:t>
      </w:r>
      <w:r w:rsidR="00FA233D" w:rsidRPr="00EB4FEE">
        <w:rPr>
          <w:rFonts w:asciiTheme="majorHAnsi" w:hAnsiTheme="majorHAnsi" w:cstheme="majorHAnsi"/>
          <w:color w:val="595959" w:themeColor="text1" w:themeTint="A6"/>
        </w:rPr>
        <w:t xml:space="preserve"> their longstanding relationship under</w:t>
      </w:r>
      <w:r w:rsidR="007D4855" w:rsidRPr="00EB4FEE">
        <w:rPr>
          <w:rFonts w:asciiTheme="majorHAnsi" w:hAnsiTheme="majorHAnsi" w:cstheme="majorHAnsi"/>
          <w:color w:val="595959" w:themeColor="text1" w:themeTint="A6"/>
        </w:rPr>
        <w:t xml:space="preserve"> </w:t>
      </w:r>
      <w:r w:rsidR="00FA233D" w:rsidRPr="00EB4FEE">
        <w:rPr>
          <w:rFonts w:asciiTheme="majorHAnsi" w:hAnsiTheme="majorHAnsi" w:cstheme="majorHAnsi"/>
          <w:color w:val="595959" w:themeColor="text1" w:themeTint="A6"/>
        </w:rPr>
        <w:t>AIPEID and their in-</w:t>
      </w:r>
      <w:r w:rsidR="00E600CB" w:rsidRPr="00EB4FEE">
        <w:rPr>
          <w:rFonts w:asciiTheme="majorHAnsi" w:hAnsiTheme="majorHAnsi" w:cstheme="majorHAnsi"/>
          <w:color w:val="595959" w:themeColor="text1" w:themeTint="A6"/>
        </w:rPr>
        <w:t xml:space="preserve">house </w:t>
      </w:r>
      <w:r w:rsidR="00FA233D" w:rsidRPr="00EB4FEE">
        <w:rPr>
          <w:rFonts w:asciiTheme="majorHAnsi" w:hAnsiTheme="majorHAnsi" w:cstheme="majorHAnsi"/>
          <w:color w:val="595959" w:themeColor="text1" w:themeTint="A6"/>
        </w:rPr>
        <w:t>veterinary expertise</w:t>
      </w:r>
      <w:r w:rsidR="00352A08">
        <w:rPr>
          <w:rFonts w:asciiTheme="majorHAnsi" w:hAnsiTheme="majorHAnsi" w:cstheme="majorHAnsi"/>
          <w:color w:val="595959" w:themeColor="text1" w:themeTint="A6"/>
        </w:rPr>
        <w:t xml:space="preserve">. </w:t>
      </w:r>
      <w:r w:rsidR="00FA233D" w:rsidRPr="00EB4FEE">
        <w:rPr>
          <w:rFonts w:asciiTheme="majorHAnsi" w:hAnsiTheme="majorHAnsi" w:cstheme="majorHAnsi"/>
          <w:color w:val="595959" w:themeColor="text1" w:themeTint="A6"/>
        </w:rPr>
        <w:t>Early DFAT engagement with MoA has commenced to ensure a smooth transition</w:t>
      </w:r>
      <w:r w:rsidR="00352A08">
        <w:rPr>
          <w:rFonts w:asciiTheme="majorHAnsi" w:hAnsiTheme="majorHAnsi" w:cstheme="majorHAnsi"/>
          <w:color w:val="595959" w:themeColor="text1" w:themeTint="A6"/>
        </w:rPr>
        <w:t xml:space="preserve">. </w:t>
      </w:r>
      <w:r w:rsidR="00FA233D" w:rsidRPr="00EB4FEE">
        <w:rPr>
          <w:rFonts w:asciiTheme="majorHAnsi" w:hAnsiTheme="majorHAnsi" w:cstheme="majorHAnsi"/>
          <w:color w:val="595959" w:themeColor="text1" w:themeTint="A6"/>
        </w:rPr>
        <w:t>MoA will be assured of ongoing DAWR engagement under the new program</w:t>
      </w:r>
      <w:r w:rsidR="00C83B0C" w:rsidRPr="00EB4FEE">
        <w:rPr>
          <w:rFonts w:asciiTheme="majorHAnsi" w:hAnsiTheme="majorHAnsi" w:cstheme="majorHAnsi"/>
          <w:color w:val="595959" w:themeColor="text1" w:themeTint="A6"/>
        </w:rPr>
        <w:t xml:space="preserve">. </w:t>
      </w:r>
      <w:r w:rsidR="00FA233D" w:rsidRPr="00EB4FEE">
        <w:rPr>
          <w:rFonts w:asciiTheme="majorHAnsi" w:hAnsiTheme="majorHAnsi" w:cstheme="majorHAnsi"/>
          <w:color w:val="595959" w:themeColor="text1" w:themeTint="A6"/>
        </w:rPr>
        <w:t>It is expected that the contractor will engage appropriate animal health expertise to ensure credibility and effective engagement with M</w:t>
      </w:r>
      <w:r w:rsidR="0026571D" w:rsidRPr="00EB4FEE">
        <w:rPr>
          <w:rFonts w:asciiTheme="majorHAnsi" w:hAnsiTheme="majorHAnsi" w:cstheme="majorHAnsi"/>
          <w:color w:val="595959" w:themeColor="text1" w:themeTint="A6"/>
        </w:rPr>
        <w:t>o</w:t>
      </w:r>
      <w:r w:rsidR="00FA233D" w:rsidRPr="00EB4FEE">
        <w:rPr>
          <w:rFonts w:asciiTheme="majorHAnsi" w:hAnsiTheme="majorHAnsi" w:cstheme="majorHAnsi"/>
          <w:color w:val="595959" w:themeColor="text1" w:themeTint="A6"/>
        </w:rPr>
        <w:t>A</w:t>
      </w:r>
      <w:r w:rsidR="00352A08">
        <w:rPr>
          <w:rFonts w:asciiTheme="majorHAnsi" w:hAnsiTheme="majorHAnsi" w:cstheme="majorHAnsi"/>
          <w:color w:val="595959" w:themeColor="text1" w:themeTint="A6"/>
        </w:rPr>
        <w:t>.</w:t>
      </w:r>
    </w:p>
    <w:p w:rsidR="00FA233D" w:rsidRPr="00EB4FEE" w:rsidRDefault="00FA233D">
      <w:pPr>
        <w:pStyle w:val="BodyText"/>
        <w:spacing w:before="0" w:after="12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 xml:space="preserve">No ‘work with children’ or ‘child-focused’ organisations are </w:t>
      </w:r>
      <w:r w:rsidR="007D4855" w:rsidRPr="00EB4FEE">
        <w:rPr>
          <w:rFonts w:asciiTheme="majorHAnsi" w:hAnsiTheme="majorHAnsi" w:cstheme="majorHAnsi"/>
          <w:color w:val="595959" w:themeColor="text1" w:themeTint="A6"/>
        </w:rPr>
        <w:t xml:space="preserve">currently </w:t>
      </w:r>
      <w:r w:rsidRPr="00EB4FEE">
        <w:rPr>
          <w:rFonts w:asciiTheme="majorHAnsi" w:hAnsiTheme="majorHAnsi" w:cstheme="majorHAnsi"/>
          <w:color w:val="595959" w:themeColor="text1" w:themeTint="A6"/>
        </w:rPr>
        <w:t>involved in this initiative and are unlikely to be, but this will need to be monitored throughout the program</w:t>
      </w:r>
      <w:r w:rsidR="00352A08">
        <w:rPr>
          <w:rFonts w:asciiTheme="majorHAnsi" w:hAnsiTheme="majorHAnsi" w:cstheme="majorHAnsi"/>
          <w:color w:val="595959" w:themeColor="text1" w:themeTint="A6"/>
        </w:rPr>
        <w:t>.</w:t>
      </w:r>
      <w:r w:rsidR="00C83B0C" w:rsidRPr="00EB4FEE">
        <w:rPr>
          <w:rFonts w:asciiTheme="majorHAnsi" w:hAnsiTheme="majorHAnsi" w:cstheme="majorHAnsi"/>
          <w:color w:val="595959" w:themeColor="text1" w:themeTint="A6"/>
        </w:rPr>
        <w:t xml:space="preserve"> </w:t>
      </w:r>
      <w:r w:rsidRPr="00EB4FEE">
        <w:rPr>
          <w:rFonts w:asciiTheme="majorHAnsi" w:hAnsiTheme="majorHAnsi" w:cstheme="majorHAnsi"/>
          <w:color w:val="595959" w:themeColor="text1" w:themeTint="A6"/>
        </w:rPr>
        <w:t>There are no infrastructure projects planned</w:t>
      </w:r>
      <w:r w:rsidR="00352A08">
        <w:rPr>
          <w:rFonts w:asciiTheme="majorHAnsi" w:hAnsiTheme="majorHAnsi" w:cstheme="majorHAnsi"/>
          <w:color w:val="595959" w:themeColor="text1" w:themeTint="A6"/>
        </w:rPr>
        <w:t>.</w:t>
      </w:r>
      <w:r w:rsidR="00C83B0C" w:rsidRPr="00EB4FEE">
        <w:rPr>
          <w:rFonts w:asciiTheme="majorHAnsi" w:hAnsiTheme="majorHAnsi" w:cstheme="majorHAnsi"/>
          <w:color w:val="595959" w:themeColor="text1" w:themeTint="A6"/>
        </w:rPr>
        <w:t xml:space="preserve"> </w:t>
      </w:r>
      <w:r w:rsidRPr="00EB4FEE">
        <w:rPr>
          <w:rFonts w:asciiTheme="majorHAnsi" w:hAnsiTheme="majorHAnsi" w:cstheme="majorHAnsi"/>
          <w:color w:val="595959" w:themeColor="text1" w:themeTint="A6"/>
        </w:rPr>
        <w:t>As such, the investment is low-risk in relation to child protection, displacement and resettlement and environmental protection issues</w:t>
      </w:r>
      <w:r w:rsidR="00352A08">
        <w:rPr>
          <w:rFonts w:asciiTheme="majorHAnsi" w:hAnsiTheme="majorHAnsi" w:cstheme="majorHAnsi"/>
          <w:color w:val="595959" w:themeColor="text1" w:themeTint="A6"/>
        </w:rPr>
        <w:t>.</w:t>
      </w:r>
    </w:p>
    <w:p w:rsidR="00FA233D" w:rsidRPr="00EB4FEE" w:rsidRDefault="00FA233D">
      <w:pPr>
        <w:pStyle w:val="BodyText"/>
        <w:spacing w:before="0" w:after="12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Risks will continue to be assessed throughout the implementation process as work</w:t>
      </w:r>
      <w:r w:rsidR="00E36F14" w:rsidRPr="00EB4FEE">
        <w:rPr>
          <w:rFonts w:asciiTheme="majorHAnsi" w:hAnsiTheme="majorHAnsi" w:cstheme="majorHAnsi"/>
          <w:color w:val="595959" w:themeColor="text1" w:themeTint="A6"/>
        </w:rPr>
        <w:t xml:space="preserve"> </w:t>
      </w:r>
      <w:r w:rsidRPr="00EB4FEE">
        <w:rPr>
          <w:rFonts w:asciiTheme="majorHAnsi" w:hAnsiTheme="majorHAnsi" w:cstheme="majorHAnsi"/>
          <w:color w:val="595959" w:themeColor="text1" w:themeTint="A6"/>
        </w:rPr>
        <w:t>plans and activities are decided</w:t>
      </w:r>
      <w:r w:rsidR="00352A08">
        <w:rPr>
          <w:rFonts w:asciiTheme="majorHAnsi" w:hAnsiTheme="majorHAnsi" w:cstheme="majorHAnsi"/>
          <w:color w:val="595959" w:themeColor="text1" w:themeTint="A6"/>
        </w:rPr>
        <w:t>.</w:t>
      </w:r>
      <w:r w:rsidR="00C83B0C" w:rsidRPr="00EB4FEE">
        <w:rPr>
          <w:rFonts w:asciiTheme="majorHAnsi" w:hAnsiTheme="majorHAnsi" w:cstheme="majorHAnsi"/>
          <w:color w:val="595959" w:themeColor="text1" w:themeTint="A6"/>
        </w:rPr>
        <w:t xml:space="preserve"> </w:t>
      </w:r>
      <w:r w:rsidRPr="00EB4FEE">
        <w:rPr>
          <w:rFonts w:asciiTheme="majorHAnsi" w:hAnsiTheme="majorHAnsi" w:cstheme="majorHAnsi"/>
          <w:color w:val="595959" w:themeColor="text1" w:themeTint="A6"/>
        </w:rPr>
        <w:t>The contractor will be expected to support partners’ efforts to monitor program risks, including through a “live” risk management plan throughout the life of the investment</w:t>
      </w:r>
      <w:r w:rsidR="00352A08">
        <w:rPr>
          <w:rFonts w:asciiTheme="majorHAnsi" w:hAnsiTheme="majorHAnsi" w:cstheme="majorHAnsi"/>
          <w:color w:val="595959" w:themeColor="text1" w:themeTint="A6"/>
        </w:rPr>
        <w:t>.</w:t>
      </w:r>
      <w:r w:rsidR="00C83B0C" w:rsidRPr="00EB4FEE">
        <w:rPr>
          <w:rFonts w:asciiTheme="majorHAnsi" w:hAnsiTheme="majorHAnsi" w:cstheme="majorHAnsi"/>
          <w:color w:val="595959" w:themeColor="text1" w:themeTint="A6"/>
        </w:rPr>
        <w:t xml:space="preserve"> </w:t>
      </w:r>
      <w:r w:rsidRPr="00EB4FEE">
        <w:rPr>
          <w:rFonts w:asciiTheme="majorHAnsi" w:hAnsiTheme="majorHAnsi" w:cstheme="majorHAnsi"/>
          <w:color w:val="595959" w:themeColor="text1" w:themeTint="A6"/>
        </w:rPr>
        <w:t>In addition, the DFAT program team (Health Unit at Post) will retain its own risk register, with any significant risks to be escalated to the Post development cooperation risk matrix</w:t>
      </w:r>
      <w:r w:rsidR="00352A08">
        <w:rPr>
          <w:rFonts w:asciiTheme="majorHAnsi" w:hAnsiTheme="majorHAnsi" w:cstheme="majorHAnsi"/>
          <w:color w:val="595959" w:themeColor="text1" w:themeTint="A6"/>
        </w:rPr>
        <w:t>.</w:t>
      </w:r>
    </w:p>
    <w:p w:rsidR="001D2A7D" w:rsidRPr="00EB4FEE" w:rsidRDefault="001D2A7D">
      <w:pPr>
        <w:suppressAutoHyphens w:val="0"/>
        <w:spacing w:before="0" w:after="120" w:line="440" w:lineRule="atLeast"/>
        <w:rPr>
          <w:rFonts w:asciiTheme="majorHAnsi" w:hAnsiTheme="majorHAnsi"/>
          <w:color w:val="595959" w:themeColor="text1" w:themeTint="A6"/>
        </w:rPr>
      </w:pPr>
      <w:bookmarkStart w:id="39" w:name="page4"/>
      <w:bookmarkEnd w:id="39"/>
      <w:r w:rsidRPr="00EB4FEE">
        <w:rPr>
          <w:rFonts w:asciiTheme="majorHAnsi" w:hAnsiTheme="majorHAnsi"/>
          <w:color w:val="595959" w:themeColor="text1" w:themeTint="A6"/>
        </w:rPr>
        <w:br w:type="page"/>
      </w:r>
    </w:p>
    <w:p w:rsidR="00FA3EEA" w:rsidRPr="00EB4FEE" w:rsidRDefault="00FA3EEA">
      <w:pPr>
        <w:framePr w:hSpace="180" w:wrap="around" w:vAnchor="text" w:hAnchor="margin" w:xAlign="center" w:y="225"/>
        <w:rPr>
          <w:rFonts w:asciiTheme="majorHAnsi" w:hAnsiTheme="majorHAnsi"/>
        </w:rPr>
      </w:pPr>
    </w:p>
    <w:tbl>
      <w:tblPr>
        <w:tblW w:w="941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9412"/>
      </w:tblGrid>
      <w:tr w:rsidR="001D2A7D" w:rsidRPr="0043356C" w:rsidTr="006C7825">
        <w:trPr>
          <w:trHeight w:val="360"/>
          <w:tblHeader/>
        </w:trPr>
        <w:tc>
          <w:tcPr>
            <w:tcW w:w="9412" w:type="dxa"/>
            <w:shd w:val="clear" w:color="auto" w:fill="C1E7E0" w:themeFill="accent1" w:themeFillTint="66"/>
          </w:tcPr>
          <w:p w:rsidR="001D2A7D" w:rsidRPr="00CB527B" w:rsidRDefault="001D2A7D" w:rsidP="006C7825">
            <w:pPr>
              <w:pStyle w:val="BodyText"/>
              <w:rPr>
                <w:rFonts w:asciiTheme="majorHAnsi" w:hAnsiTheme="majorHAnsi"/>
                <w:b/>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pPr>
            <w:r w:rsidRPr="00CB527B">
              <w:rPr>
                <w:rFonts w:asciiTheme="majorHAnsi" w:hAnsiTheme="majorHAnsi"/>
                <w:b/>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F: Annexes</w:t>
            </w:r>
          </w:p>
        </w:tc>
      </w:tr>
    </w:tbl>
    <w:p w:rsidR="001D2A7D" w:rsidRPr="00EB4FEE" w:rsidRDefault="001D2A7D" w:rsidP="00BF6C52">
      <w:pPr>
        <w:pStyle w:val="BodyText"/>
        <w:spacing w:before="0" w:after="120" w:line="240" w:lineRule="auto"/>
        <w:rPr>
          <w:rFonts w:asciiTheme="majorHAnsi" w:hAnsiTheme="majorHAnsi"/>
        </w:rPr>
      </w:pPr>
    </w:p>
    <w:p w:rsidR="001D2A7D" w:rsidRPr="00EB4FEE" w:rsidRDefault="001D2A7D" w:rsidP="00BF6C52">
      <w:pPr>
        <w:pStyle w:val="BodyText"/>
        <w:spacing w:before="0" w:after="120" w:line="240" w:lineRule="auto"/>
        <w:rPr>
          <w:rFonts w:asciiTheme="majorHAnsi" w:hAnsiTheme="majorHAnsi"/>
        </w:rPr>
      </w:pPr>
    </w:p>
    <w:p w:rsidR="008768BA" w:rsidRPr="00EB4FEE" w:rsidRDefault="00951309" w:rsidP="00BF6C52">
      <w:pPr>
        <w:pStyle w:val="BodyText"/>
        <w:spacing w:before="0" w:after="120" w:line="240" w:lineRule="auto"/>
        <w:rPr>
          <w:rFonts w:asciiTheme="majorHAnsi" w:hAnsiTheme="majorHAnsi"/>
        </w:rPr>
      </w:pPr>
      <w:r w:rsidRPr="00EB4FEE">
        <w:rPr>
          <w:rFonts w:asciiTheme="majorHAnsi" w:hAnsiTheme="majorHAnsi"/>
        </w:rPr>
        <w:t xml:space="preserve">Annex </w:t>
      </w:r>
      <w:r w:rsidR="006256F3">
        <w:rPr>
          <w:rFonts w:asciiTheme="majorHAnsi" w:hAnsiTheme="majorHAnsi"/>
        </w:rPr>
        <w:t>A</w:t>
      </w:r>
      <w:r w:rsidRPr="00EB4FEE">
        <w:rPr>
          <w:rFonts w:asciiTheme="majorHAnsi" w:hAnsiTheme="majorHAnsi"/>
        </w:rPr>
        <w:t xml:space="preserve">: </w:t>
      </w:r>
      <w:r w:rsidR="009C5258" w:rsidRPr="00EB4FEE">
        <w:rPr>
          <w:rFonts w:asciiTheme="majorHAnsi" w:hAnsiTheme="majorHAnsi"/>
        </w:rPr>
        <w:t>Monitoring</w:t>
      </w:r>
      <w:r w:rsidR="009C5258">
        <w:rPr>
          <w:rFonts w:asciiTheme="majorHAnsi" w:hAnsiTheme="majorHAnsi"/>
        </w:rPr>
        <w:t>,</w:t>
      </w:r>
      <w:r w:rsidR="009C5258" w:rsidRPr="00EB4FEE">
        <w:rPr>
          <w:rFonts w:asciiTheme="majorHAnsi" w:hAnsiTheme="majorHAnsi"/>
        </w:rPr>
        <w:t xml:space="preserve"> Evaluation</w:t>
      </w:r>
      <w:r w:rsidR="009C5258">
        <w:rPr>
          <w:rFonts w:asciiTheme="majorHAnsi" w:hAnsiTheme="majorHAnsi"/>
        </w:rPr>
        <w:t xml:space="preserve"> and Learning</w:t>
      </w:r>
      <w:r w:rsidRPr="00EB4FEE">
        <w:rPr>
          <w:rFonts w:asciiTheme="majorHAnsi" w:hAnsiTheme="majorHAnsi"/>
        </w:rPr>
        <w:t xml:space="preserve"> Framework</w:t>
      </w:r>
      <w:r w:rsidR="0094700A">
        <w:rPr>
          <w:rFonts w:asciiTheme="majorHAnsi" w:hAnsiTheme="majorHAnsi"/>
        </w:rPr>
        <w:t xml:space="preserve"> – Preliminary Description</w:t>
      </w:r>
    </w:p>
    <w:p w:rsidR="00762452" w:rsidRPr="00EB4FEE" w:rsidRDefault="008768BA" w:rsidP="00BF6C52">
      <w:pPr>
        <w:pStyle w:val="BodyText"/>
        <w:spacing w:before="0" w:after="120" w:line="240" w:lineRule="auto"/>
        <w:rPr>
          <w:rFonts w:asciiTheme="majorHAnsi" w:hAnsiTheme="majorHAnsi"/>
        </w:rPr>
      </w:pPr>
      <w:r w:rsidRPr="00EB4FEE">
        <w:rPr>
          <w:rFonts w:asciiTheme="majorHAnsi" w:hAnsiTheme="majorHAnsi"/>
        </w:rPr>
        <w:t xml:space="preserve">Annex </w:t>
      </w:r>
      <w:r w:rsidR="006256F3">
        <w:rPr>
          <w:rFonts w:asciiTheme="majorHAnsi" w:hAnsiTheme="majorHAnsi"/>
        </w:rPr>
        <w:t>B</w:t>
      </w:r>
      <w:r w:rsidRPr="00EB4FEE">
        <w:rPr>
          <w:rFonts w:asciiTheme="majorHAnsi" w:hAnsiTheme="majorHAnsi"/>
        </w:rPr>
        <w:t xml:space="preserve">: </w:t>
      </w:r>
      <w:r w:rsidR="00951309" w:rsidRPr="00EB4FEE">
        <w:rPr>
          <w:rFonts w:asciiTheme="majorHAnsi" w:hAnsiTheme="majorHAnsi"/>
        </w:rPr>
        <w:t>Risk Register</w:t>
      </w:r>
    </w:p>
    <w:p w:rsidR="008768BA" w:rsidRPr="00EB4FEE" w:rsidRDefault="008768BA" w:rsidP="00BF6C52">
      <w:pPr>
        <w:pStyle w:val="BodyText"/>
        <w:spacing w:before="0" w:after="120" w:line="240" w:lineRule="auto"/>
        <w:rPr>
          <w:rFonts w:asciiTheme="majorHAnsi" w:hAnsiTheme="majorHAnsi"/>
        </w:rPr>
      </w:pPr>
    </w:p>
    <w:p w:rsidR="008768BA" w:rsidRPr="00EB4FEE" w:rsidRDefault="008768BA" w:rsidP="00BF6C52">
      <w:pPr>
        <w:suppressAutoHyphens w:val="0"/>
        <w:spacing w:before="0" w:after="120" w:line="240" w:lineRule="auto"/>
        <w:rPr>
          <w:rFonts w:asciiTheme="majorHAnsi" w:hAnsiTheme="majorHAnsi"/>
        </w:rPr>
      </w:pPr>
      <w:r w:rsidRPr="00EB4FEE">
        <w:rPr>
          <w:rFonts w:asciiTheme="majorHAnsi" w:hAnsiTheme="majorHAnsi"/>
        </w:rPr>
        <w:br w:type="page"/>
      </w:r>
    </w:p>
    <w:p w:rsidR="00E75F29" w:rsidRPr="00597029" w:rsidRDefault="00E07F0C" w:rsidP="00BF6C52">
      <w:pPr>
        <w:pStyle w:val="Heading2"/>
        <w:spacing w:after="120" w:line="240" w:lineRule="auto"/>
        <w:contextualSpacing w:val="0"/>
        <w:rPr>
          <w:rFonts w:cstheme="majorHAnsi"/>
          <w:sz w:val="22"/>
          <w:szCs w:val="22"/>
        </w:rPr>
      </w:pPr>
      <w:bookmarkStart w:id="40" w:name="_Toc3297020"/>
      <w:r w:rsidRPr="00CB527B">
        <w:rPr>
          <w:rFonts w:cstheme="majorHAnsi"/>
          <w:sz w:val="22"/>
          <w:szCs w:val="22"/>
        </w:rPr>
        <w:t xml:space="preserve">Annex </w:t>
      </w:r>
      <w:r w:rsidR="006256F3">
        <w:rPr>
          <w:rFonts w:cstheme="majorHAnsi"/>
          <w:sz w:val="22"/>
          <w:szCs w:val="22"/>
        </w:rPr>
        <w:t>A</w:t>
      </w:r>
      <w:r w:rsidR="00E75F29" w:rsidRPr="00CB527B">
        <w:rPr>
          <w:rFonts w:cstheme="majorHAnsi"/>
          <w:sz w:val="22"/>
          <w:szCs w:val="22"/>
        </w:rPr>
        <w:t>: Mon</w:t>
      </w:r>
      <w:r w:rsidR="00E75F29" w:rsidRPr="00597029">
        <w:rPr>
          <w:rFonts w:cstheme="majorHAnsi"/>
          <w:sz w:val="22"/>
          <w:szCs w:val="22"/>
        </w:rPr>
        <w:t>itoring</w:t>
      </w:r>
      <w:r w:rsidR="00A35D00">
        <w:rPr>
          <w:rFonts w:cstheme="majorHAnsi"/>
          <w:sz w:val="22"/>
          <w:szCs w:val="22"/>
        </w:rPr>
        <w:t>,</w:t>
      </w:r>
      <w:r w:rsidR="00934426">
        <w:rPr>
          <w:rFonts w:cstheme="majorHAnsi"/>
          <w:sz w:val="22"/>
          <w:szCs w:val="22"/>
        </w:rPr>
        <w:t xml:space="preserve"> </w:t>
      </w:r>
      <w:r w:rsidR="00E75F29" w:rsidRPr="00597029">
        <w:rPr>
          <w:rFonts w:cstheme="majorHAnsi"/>
          <w:sz w:val="22"/>
          <w:szCs w:val="22"/>
        </w:rPr>
        <w:t>Evaluation</w:t>
      </w:r>
      <w:r w:rsidR="00C51D70">
        <w:rPr>
          <w:rFonts w:cstheme="majorHAnsi"/>
          <w:sz w:val="22"/>
          <w:szCs w:val="22"/>
        </w:rPr>
        <w:t xml:space="preserve"> &amp; Learning</w:t>
      </w:r>
      <w:r w:rsidR="00E75F29" w:rsidRPr="00597029">
        <w:rPr>
          <w:rFonts w:cstheme="majorHAnsi"/>
          <w:sz w:val="22"/>
          <w:szCs w:val="22"/>
        </w:rPr>
        <w:t xml:space="preserve"> Framework</w:t>
      </w:r>
      <w:r w:rsidR="009C5258">
        <w:rPr>
          <w:rFonts w:cstheme="majorHAnsi"/>
          <w:sz w:val="22"/>
          <w:szCs w:val="22"/>
        </w:rPr>
        <w:t xml:space="preserve"> (MELF)</w:t>
      </w:r>
      <w:r w:rsidR="007A5F6C">
        <w:rPr>
          <w:rFonts w:cstheme="majorHAnsi"/>
          <w:sz w:val="22"/>
          <w:szCs w:val="22"/>
        </w:rPr>
        <w:t xml:space="preserve"> – </w:t>
      </w:r>
      <w:r w:rsidR="00C51D70">
        <w:rPr>
          <w:rFonts w:cstheme="majorHAnsi"/>
          <w:sz w:val="22"/>
          <w:szCs w:val="22"/>
        </w:rPr>
        <w:t>Preliminary D</w:t>
      </w:r>
      <w:r w:rsidR="007A5F6C">
        <w:rPr>
          <w:rFonts w:cstheme="majorHAnsi"/>
          <w:sz w:val="22"/>
          <w:szCs w:val="22"/>
        </w:rPr>
        <w:t>escription</w:t>
      </w:r>
      <w:bookmarkEnd w:id="40"/>
    </w:p>
    <w:p w:rsidR="00762452" w:rsidRPr="00EB4FEE" w:rsidRDefault="00762452" w:rsidP="00BF6C52">
      <w:pPr>
        <w:spacing w:before="0" w:after="120" w:line="240" w:lineRule="auto"/>
        <w:rPr>
          <w:rFonts w:asciiTheme="majorHAnsi" w:hAnsiTheme="majorHAnsi"/>
        </w:rPr>
      </w:pPr>
    </w:p>
    <w:p w:rsidR="00E75F29" w:rsidRPr="00EB4FEE" w:rsidRDefault="007A5F6C" w:rsidP="00BF6C52">
      <w:pPr>
        <w:tabs>
          <w:tab w:val="left" w:pos="0"/>
        </w:tabs>
        <w:spacing w:before="0" w:after="120" w:line="240" w:lineRule="auto"/>
        <w:rPr>
          <w:rFonts w:asciiTheme="majorHAnsi" w:eastAsia="MS Mincho" w:hAnsiTheme="majorHAnsi" w:cstheme="majorHAnsi"/>
          <w:b/>
          <w:color w:val="595959" w:themeColor="text1" w:themeTint="A6"/>
          <w:lang w:val="en-US"/>
        </w:rPr>
      </w:pPr>
      <w:r>
        <w:rPr>
          <w:rFonts w:asciiTheme="majorHAnsi" w:eastAsia="MS Mincho" w:hAnsiTheme="majorHAnsi" w:cstheme="majorHAnsi"/>
          <w:b/>
          <w:color w:val="595959" w:themeColor="text1" w:themeTint="A6"/>
          <w:lang w:val="en-US"/>
        </w:rPr>
        <w:t>Purpose</w:t>
      </w:r>
    </w:p>
    <w:p w:rsidR="00E75F29" w:rsidRPr="00EB4FEE" w:rsidRDefault="00E75F29" w:rsidP="00BF6C52">
      <w:pPr>
        <w:tabs>
          <w:tab w:val="left" w:pos="0"/>
        </w:tabs>
        <w:spacing w:before="0" w:after="120" w:line="240" w:lineRule="auto"/>
        <w:rPr>
          <w:rFonts w:asciiTheme="majorHAnsi" w:eastAsia="MS Mincho" w:hAnsiTheme="majorHAnsi" w:cstheme="majorHAnsi"/>
          <w:color w:val="595959" w:themeColor="text1" w:themeTint="A6"/>
          <w:lang w:val="en-US"/>
        </w:rPr>
      </w:pPr>
      <w:r w:rsidRPr="00EB4FEE">
        <w:rPr>
          <w:rFonts w:asciiTheme="majorHAnsi" w:eastAsia="MS Mincho" w:hAnsiTheme="majorHAnsi" w:cstheme="majorHAnsi"/>
          <w:color w:val="595959" w:themeColor="text1" w:themeTint="A6"/>
          <w:lang w:val="en-US"/>
        </w:rPr>
        <w:t>The purpose of the ME</w:t>
      </w:r>
      <w:r w:rsidR="009C5258">
        <w:rPr>
          <w:rFonts w:asciiTheme="majorHAnsi" w:eastAsia="MS Mincho" w:hAnsiTheme="majorHAnsi" w:cstheme="majorHAnsi"/>
          <w:color w:val="595959" w:themeColor="text1" w:themeTint="A6"/>
          <w:lang w:val="en-US"/>
        </w:rPr>
        <w:t>L</w:t>
      </w:r>
      <w:r w:rsidRPr="00EB4FEE">
        <w:rPr>
          <w:rFonts w:asciiTheme="majorHAnsi" w:eastAsia="MS Mincho" w:hAnsiTheme="majorHAnsi" w:cstheme="majorHAnsi"/>
          <w:color w:val="595959" w:themeColor="text1" w:themeTint="A6"/>
          <w:lang w:val="en-US"/>
        </w:rPr>
        <w:t>F is to:</w:t>
      </w:r>
    </w:p>
    <w:p w:rsidR="00E75F29" w:rsidRPr="00EB4FEE" w:rsidRDefault="00E75F29" w:rsidP="00BF6C52">
      <w:pPr>
        <w:pStyle w:val="ListParagraph"/>
        <w:numPr>
          <w:ilvl w:val="0"/>
          <w:numId w:val="81"/>
        </w:numPr>
        <w:tabs>
          <w:tab w:val="left" w:pos="0"/>
        </w:tabs>
        <w:spacing w:after="120" w:line="240" w:lineRule="auto"/>
        <w:contextualSpacing w:val="0"/>
        <w:jc w:val="left"/>
        <w:rPr>
          <w:rFonts w:asciiTheme="majorHAnsi" w:eastAsia="MS Mincho" w:hAnsiTheme="majorHAnsi" w:cstheme="majorHAnsi"/>
          <w:color w:val="595959" w:themeColor="text1" w:themeTint="A6"/>
        </w:rPr>
      </w:pPr>
      <w:r w:rsidRPr="00EB4FEE">
        <w:rPr>
          <w:rFonts w:asciiTheme="majorHAnsi" w:eastAsia="MS Mincho" w:hAnsiTheme="majorHAnsi" w:cstheme="majorHAnsi"/>
          <w:color w:val="595959" w:themeColor="text1" w:themeTint="A6"/>
        </w:rPr>
        <w:t>Provide evidence of progress and quality of program delivery so as to be accountable to the PCC and to DFAT</w:t>
      </w:r>
      <w:r w:rsidR="0037083D" w:rsidRPr="00EB4FEE">
        <w:rPr>
          <w:rFonts w:asciiTheme="majorHAnsi" w:eastAsia="MS Mincho" w:hAnsiTheme="majorHAnsi" w:cstheme="majorHAnsi"/>
          <w:color w:val="595959" w:themeColor="text1" w:themeTint="A6"/>
        </w:rPr>
        <w:t>.</w:t>
      </w:r>
      <w:r w:rsidRPr="00EB4FEE">
        <w:rPr>
          <w:rFonts w:asciiTheme="majorHAnsi" w:eastAsia="MS Mincho" w:hAnsiTheme="majorHAnsi" w:cstheme="majorHAnsi"/>
          <w:color w:val="595959" w:themeColor="text1" w:themeTint="A6"/>
        </w:rPr>
        <w:t xml:space="preserve"> </w:t>
      </w:r>
    </w:p>
    <w:p w:rsidR="00E75F29" w:rsidRPr="00EB4FEE" w:rsidRDefault="00E75F29" w:rsidP="00BF6C52">
      <w:pPr>
        <w:pStyle w:val="ListParagraph"/>
        <w:numPr>
          <w:ilvl w:val="0"/>
          <w:numId w:val="81"/>
        </w:numPr>
        <w:tabs>
          <w:tab w:val="left" w:pos="0"/>
        </w:tabs>
        <w:spacing w:after="120" w:line="240" w:lineRule="auto"/>
        <w:contextualSpacing w:val="0"/>
        <w:jc w:val="left"/>
        <w:rPr>
          <w:rFonts w:asciiTheme="majorHAnsi" w:eastAsia="MS Mincho" w:hAnsiTheme="majorHAnsi" w:cstheme="majorHAnsi"/>
          <w:color w:val="595959" w:themeColor="text1" w:themeTint="A6"/>
        </w:rPr>
      </w:pPr>
      <w:r w:rsidRPr="00EB4FEE">
        <w:rPr>
          <w:rFonts w:asciiTheme="majorHAnsi" w:eastAsia="MS Mincho" w:hAnsiTheme="majorHAnsi" w:cstheme="majorHAnsi"/>
          <w:color w:val="595959" w:themeColor="text1" w:themeTint="A6"/>
        </w:rPr>
        <w:t>Provide rigorous data to fuel learning and program improvement for the managing contractor and the partnerships</w:t>
      </w:r>
      <w:r w:rsidR="00795383">
        <w:rPr>
          <w:rFonts w:asciiTheme="majorHAnsi" w:eastAsia="MS Mincho" w:hAnsiTheme="majorHAnsi" w:cstheme="majorHAnsi"/>
          <w:color w:val="595959" w:themeColor="text1" w:themeTint="A6"/>
        </w:rPr>
        <w:t>’</w:t>
      </w:r>
      <w:r w:rsidRPr="00EB4FEE">
        <w:rPr>
          <w:rFonts w:asciiTheme="majorHAnsi" w:eastAsia="MS Mincho" w:hAnsiTheme="majorHAnsi" w:cstheme="majorHAnsi"/>
          <w:color w:val="595959" w:themeColor="text1" w:themeTint="A6"/>
        </w:rPr>
        <w:t xml:space="preserve"> key stakeholders</w:t>
      </w:r>
      <w:r w:rsidR="00352A08">
        <w:rPr>
          <w:rFonts w:asciiTheme="majorHAnsi" w:eastAsia="MS Mincho" w:hAnsiTheme="majorHAnsi" w:cstheme="majorHAnsi"/>
          <w:color w:val="595959" w:themeColor="text1" w:themeTint="A6"/>
        </w:rPr>
        <w:t>.</w:t>
      </w:r>
    </w:p>
    <w:p w:rsidR="00E75F29" w:rsidRPr="00EB4FEE" w:rsidRDefault="00E75F29" w:rsidP="00EB4FEE">
      <w:pPr>
        <w:pStyle w:val="ListParagraph"/>
        <w:numPr>
          <w:ilvl w:val="0"/>
          <w:numId w:val="81"/>
        </w:numPr>
        <w:tabs>
          <w:tab w:val="left" w:pos="0"/>
        </w:tabs>
        <w:spacing w:after="120" w:line="240" w:lineRule="auto"/>
        <w:contextualSpacing w:val="0"/>
        <w:jc w:val="left"/>
        <w:rPr>
          <w:rFonts w:asciiTheme="majorHAnsi" w:eastAsia="MS Mincho" w:hAnsiTheme="majorHAnsi" w:cstheme="majorHAnsi"/>
          <w:color w:val="595959" w:themeColor="text1" w:themeTint="A6"/>
        </w:rPr>
      </w:pPr>
      <w:r w:rsidRPr="00EB4FEE">
        <w:rPr>
          <w:rFonts w:asciiTheme="majorHAnsi" w:eastAsia="MS Mincho" w:hAnsiTheme="majorHAnsi" w:cstheme="majorHAnsi"/>
          <w:color w:val="595959" w:themeColor="text1" w:themeTint="A6"/>
        </w:rPr>
        <w:t xml:space="preserve">To </w:t>
      </w:r>
      <w:r w:rsidR="00795383">
        <w:rPr>
          <w:rFonts w:asciiTheme="majorHAnsi" w:eastAsia="MS Mincho" w:hAnsiTheme="majorHAnsi" w:cstheme="majorHAnsi"/>
          <w:color w:val="595959" w:themeColor="text1" w:themeTint="A6"/>
        </w:rPr>
        <w:t>e</w:t>
      </w:r>
      <w:r w:rsidRPr="00EB4FEE">
        <w:rPr>
          <w:rFonts w:asciiTheme="majorHAnsi" w:eastAsia="MS Mincho" w:hAnsiTheme="majorHAnsi" w:cstheme="majorHAnsi"/>
          <w:color w:val="595959" w:themeColor="text1" w:themeTint="A6"/>
        </w:rPr>
        <w:t>nsure that all funded activities meet investment criteria and are set up for success.</w:t>
      </w:r>
    </w:p>
    <w:p w:rsidR="00E75F29" w:rsidRPr="00EB4FEE" w:rsidRDefault="00E75F29" w:rsidP="00BF6C52">
      <w:pPr>
        <w:tabs>
          <w:tab w:val="left" w:pos="0"/>
        </w:tabs>
        <w:spacing w:before="0" w:after="120" w:line="240" w:lineRule="auto"/>
        <w:rPr>
          <w:rFonts w:asciiTheme="majorHAnsi" w:eastAsia="MS Mincho" w:hAnsiTheme="majorHAnsi" w:cstheme="majorHAnsi"/>
          <w:color w:val="595959" w:themeColor="text1" w:themeTint="A6"/>
          <w:lang w:val="en-US"/>
        </w:rPr>
      </w:pPr>
      <w:r w:rsidRPr="00EB4FEE">
        <w:rPr>
          <w:rFonts w:asciiTheme="majorHAnsi" w:eastAsia="MS Mincho" w:hAnsiTheme="majorHAnsi" w:cstheme="majorHAnsi"/>
          <w:color w:val="595959" w:themeColor="text1" w:themeTint="A6"/>
          <w:lang w:val="en-US"/>
        </w:rPr>
        <w:t>The primary audiences for the ME</w:t>
      </w:r>
      <w:r w:rsidR="009C5258">
        <w:rPr>
          <w:rFonts w:asciiTheme="majorHAnsi" w:eastAsia="MS Mincho" w:hAnsiTheme="majorHAnsi" w:cstheme="majorHAnsi"/>
          <w:color w:val="595959" w:themeColor="text1" w:themeTint="A6"/>
          <w:lang w:val="en-US"/>
        </w:rPr>
        <w:t>L</w:t>
      </w:r>
      <w:r w:rsidRPr="00EB4FEE">
        <w:rPr>
          <w:rFonts w:asciiTheme="majorHAnsi" w:eastAsia="MS Mincho" w:hAnsiTheme="majorHAnsi" w:cstheme="majorHAnsi"/>
          <w:color w:val="595959" w:themeColor="text1" w:themeTint="A6"/>
          <w:lang w:val="en-US"/>
        </w:rPr>
        <w:t xml:space="preserve">F and the results that it will produce are the managing </w:t>
      </w:r>
      <w:r w:rsidR="00ED7EE4" w:rsidRPr="00EB4FEE">
        <w:rPr>
          <w:rFonts w:asciiTheme="majorHAnsi" w:eastAsia="MS Mincho" w:hAnsiTheme="majorHAnsi" w:cstheme="majorHAnsi"/>
          <w:color w:val="595959" w:themeColor="text1" w:themeTint="A6"/>
          <w:lang w:val="en-US"/>
        </w:rPr>
        <w:t>contractor</w:t>
      </w:r>
      <w:r w:rsidRPr="00EB4FEE">
        <w:rPr>
          <w:rFonts w:asciiTheme="majorHAnsi" w:eastAsia="MS Mincho" w:hAnsiTheme="majorHAnsi" w:cstheme="majorHAnsi"/>
          <w:color w:val="595959" w:themeColor="text1" w:themeTint="A6"/>
          <w:lang w:val="en-US"/>
        </w:rPr>
        <w:t>, the PCC, DFAT and the key partners</w:t>
      </w:r>
      <w:r w:rsidR="00352A08">
        <w:rPr>
          <w:rFonts w:asciiTheme="majorHAnsi" w:eastAsia="MS Mincho" w:hAnsiTheme="majorHAnsi" w:cstheme="majorHAnsi"/>
          <w:color w:val="595959" w:themeColor="text1" w:themeTint="A6"/>
          <w:lang w:val="en-US"/>
        </w:rPr>
        <w:t>.</w:t>
      </w:r>
    </w:p>
    <w:p w:rsidR="00E75F29" w:rsidRPr="00EB4FEE" w:rsidRDefault="00E75F29" w:rsidP="00BF6C52">
      <w:pPr>
        <w:tabs>
          <w:tab w:val="left" w:pos="0"/>
        </w:tabs>
        <w:spacing w:before="0" w:after="120" w:line="240" w:lineRule="auto"/>
        <w:rPr>
          <w:rFonts w:asciiTheme="majorHAnsi" w:eastAsia="MS Mincho" w:hAnsiTheme="majorHAnsi" w:cstheme="majorHAnsi"/>
          <w:color w:val="595959" w:themeColor="text1" w:themeTint="A6"/>
          <w:lang w:val="en-US"/>
        </w:rPr>
      </w:pPr>
      <w:r w:rsidRPr="00EB4FEE">
        <w:rPr>
          <w:rFonts w:asciiTheme="majorHAnsi" w:eastAsia="MS Mincho" w:hAnsiTheme="majorHAnsi" w:cstheme="majorHAnsi"/>
          <w:color w:val="595959" w:themeColor="text1" w:themeTint="A6"/>
          <w:lang w:val="en-US"/>
        </w:rPr>
        <w:t xml:space="preserve">Accountability under the </w:t>
      </w:r>
      <w:r w:rsidR="00F93982">
        <w:rPr>
          <w:rFonts w:asciiTheme="majorHAnsi" w:eastAsia="MS Mincho" w:hAnsiTheme="majorHAnsi" w:cstheme="majorHAnsi"/>
          <w:color w:val="595959" w:themeColor="text1" w:themeTint="A6"/>
          <w:lang w:val="en-US"/>
        </w:rPr>
        <w:t>p</w:t>
      </w:r>
      <w:r w:rsidRPr="00EB4FEE">
        <w:rPr>
          <w:rFonts w:asciiTheme="majorHAnsi" w:eastAsia="MS Mincho" w:hAnsiTheme="majorHAnsi" w:cstheme="majorHAnsi"/>
          <w:color w:val="595959" w:themeColor="text1" w:themeTint="A6"/>
          <w:lang w:val="en-US"/>
        </w:rPr>
        <w:t>rogram will be both external (e.g</w:t>
      </w:r>
      <w:r w:rsidR="00C83B0C" w:rsidRPr="00EB4FEE">
        <w:rPr>
          <w:rFonts w:asciiTheme="majorHAnsi" w:eastAsia="MS Mincho" w:hAnsiTheme="majorHAnsi" w:cstheme="majorHAnsi"/>
          <w:color w:val="595959" w:themeColor="text1" w:themeTint="A6"/>
          <w:lang w:val="en-US"/>
        </w:rPr>
        <w:t>.</w:t>
      </w:r>
      <w:r w:rsidR="005C6EFA" w:rsidRPr="00EB4FEE">
        <w:rPr>
          <w:rFonts w:asciiTheme="majorHAnsi" w:eastAsia="MS Mincho" w:hAnsiTheme="majorHAnsi" w:cstheme="majorHAnsi"/>
          <w:color w:val="595959" w:themeColor="text1" w:themeTint="A6"/>
          <w:lang w:val="en-US"/>
        </w:rPr>
        <w:t>,</w:t>
      </w:r>
      <w:r w:rsidR="00C83B0C" w:rsidRPr="00EB4FEE">
        <w:rPr>
          <w:rFonts w:asciiTheme="majorHAnsi" w:eastAsia="MS Mincho" w:hAnsiTheme="majorHAnsi" w:cstheme="majorHAnsi"/>
          <w:color w:val="595959" w:themeColor="text1" w:themeTint="A6"/>
          <w:lang w:val="en-US"/>
        </w:rPr>
        <w:t xml:space="preserve"> </w:t>
      </w:r>
      <w:r w:rsidRPr="00EB4FEE">
        <w:rPr>
          <w:rFonts w:asciiTheme="majorHAnsi" w:eastAsia="MS Mincho" w:hAnsiTheme="majorHAnsi" w:cstheme="majorHAnsi"/>
          <w:color w:val="595959" w:themeColor="text1" w:themeTint="A6"/>
          <w:lang w:val="en-US"/>
        </w:rPr>
        <w:t xml:space="preserve">to Australian taxpayers) and internal (to DFAT Program </w:t>
      </w:r>
      <w:r w:rsidR="00BD2BB4" w:rsidRPr="00EB4FEE">
        <w:rPr>
          <w:rFonts w:asciiTheme="majorHAnsi" w:eastAsia="MS Mincho" w:hAnsiTheme="majorHAnsi" w:cstheme="majorHAnsi"/>
          <w:color w:val="595959" w:themeColor="text1" w:themeTint="A6"/>
          <w:lang w:val="en-US"/>
        </w:rPr>
        <w:t>M</w:t>
      </w:r>
      <w:r w:rsidRPr="00EB4FEE">
        <w:rPr>
          <w:rFonts w:asciiTheme="majorHAnsi" w:eastAsia="MS Mincho" w:hAnsiTheme="majorHAnsi" w:cstheme="majorHAnsi"/>
          <w:color w:val="595959" w:themeColor="text1" w:themeTint="A6"/>
          <w:lang w:val="en-US"/>
        </w:rPr>
        <w:t xml:space="preserve">anagement, and the </w:t>
      </w:r>
      <w:r w:rsidR="00BD2BB4" w:rsidRPr="00EB4FEE">
        <w:rPr>
          <w:rFonts w:asciiTheme="majorHAnsi" w:eastAsia="MS Mincho" w:hAnsiTheme="majorHAnsi" w:cstheme="majorHAnsi"/>
          <w:color w:val="595959" w:themeColor="text1" w:themeTint="A6"/>
          <w:lang w:val="en-US"/>
        </w:rPr>
        <w:t>PCC</w:t>
      </w:r>
      <w:r w:rsidR="00FB1987" w:rsidRPr="00EB4FEE">
        <w:rPr>
          <w:rFonts w:asciiTheme="majorHAnsi" w:eastAsia="MS Mincho" w:hAnsiTheme="majorHAnsi" w:cstheme="majorHAnsi"/>
          <w:color w:val="595959" w:themeColor="text1" w:themeTint="A6"/>
          <w:lang w:val="en-US"/>
        </w:rPr>
        <w:t>)</w:t>
      </w:r>
      <w:r w:rsidR="00352A08">
        <w:rPr>
          <w:rFonts w:asciiTheme="majorHAnsi" w:eastAsia="MS Mincho" w:hAnsiTheme="majorHAnsi" w:cstheme="majorHAnsi"/>
          <w:color w:val="595959" w:themeColor="text1" w:themeTint="A6"/>
          <w:lang w:val="en-US"/>
        </w:rPr>
        <w:t xml:space="preserve">. </w:t>
      </w:r>
      <w:r w:rsidRPr="00EB4FEE">
        <w:rPr>
          <w:rFonts w:asciiTheme="majorHAnsi" w:eastAsia="MS Mincho" w:hAnsiTheme="majorHAnsi" w:cstheme="majorHAnsi"/>
          <w:color w:val="595959" w:themeColor="text1" w:themeTint="A6"/>
          <w:lang w:val="en-US"/>
        </w:rPr>
        <w:t>This will enable progress reports to meet DFAT, GoI and implementing partner needs, report against the ME</w:t>
      </w:r>
      <w:r w:rsidR="009C5258">
        <w:rPr>
          <w:rFonts w:asciiTheme="majorHAnsi" w:eastAsia="MS Mincho" w:hAnsiTheme="majorHAnsi" w:cstheme="majorHAnsi"/>
          <w:color w:val="595959" w:themeColor="text1" w:themeTint="A6"/>
          <w:lang w:val="en-US"/>
        </w:rPr>
        <w:t>L</w:t>
      </w:r>
      <w:r w:rsidRPr="00EB4FEE">
        <w:rPr>
          <w:rFonts w:asciiTheme="majorHAnsi" w:eastAsia="MS Mincho" w:hAnsiTheme="majorHAnsi" w:cstheme="majorHAnsi"/>
          <w:color w:val="595959" w:themeColor="text1" w:themeTint="A6"/>
          <w:lang w:val="en-US"/>
        </w:rPr>
        <w:t>F, have a credible basis for claims, and recommend actions to improve performance</w:t>
      </w:r>
      <w:r w:rsidR="00352A08">
        <w:rPr>
          <w:rFonts w:asciiTheme="majorHAnsi" w:eastAsia="MS Mincho" w:hAnsiTheme="majorHAnsi" w:cstheme="majorHAnsi"/>
          <w:color w:val="595959" w:themeColor="text1" w:themeTint="A6"/>
          <w:lang w:val="en-US"/>
        </w:rPr>
        <w:t xml:space="preserve">. </w:t>
      </w:r>
      <w:r w:rsidRPr="00EB4FEE">
        <w:rPr>
          <w:rFonts w:asciiTheme="majorHAnsi" w:eastAsia="MS Mincho" w:hAnsiTheme="majorHAnsi" w:cstheme="majorHAnsi"/>
          <w:color w:val="595959" w:themeColor="text1" w:themeTint="A6"/>
          <w:lang w:val="en-US"/>
        </w:rPr>
        <w:t>The ME</w:t>
      </w:r>
      <w:r w:rsidR="009C5258">
        <w:rPr>
          <w:rFonts w:asciiTheme="majorHAnsi" w:eastAsia="MS Mincho" w:hAnsiTheme="majorHAnsi" w:cstheme="majorHAnsi"/>
          <w:color w:val="595959" w:themeColor="text1" w:themeTint="A6"/>
          <w:lang w:val="en-US"/>
        </w:rPr>
        <w:t>L</w:t>
      </w:r>
      <w:r w:rsidRPr="00EB4FEE">
        <w:rPr>
          <w:rFonts w:asciiTheme="majorHAnsi" w:eastAsia="MS Mincho" w:hAnsiTheme="majorHAnsi" w:cstheme="majorHAnsi"/>
          <w:color w:val="595959" w:themeColor="text1" w:themeTint="A6"/>
          <w:lang w:val="en-US"/>
        </w:rPr>
        <w:t>F will provide sufficient annual performance information to address DFAT aid quality</w:t>
      </w:r>
      <w:r w:rsidR="00352A08">
        <w:rPr>
          <w:rFonts w:asciiTheme="majorHAnsi" w:eastAsia="MS Mincho" w:hAnsiTheme="majorHAnsi" w:cstheme="majorHAnsi"/>
          <w:color w:val="595959" w:themeColor="text1" w:themeTint="A6"/>
          <w:lang w:val="en-US"/>
        </w:rPr>
        <w:t xml:space="preserve">. </w:t>
      </w:r>
      <w:r w:rsidRPr="00EB4FEE">
        <w:rPr>
          <w:rFonts w:asciiTheme="majorHAnsi" w:eastAsia="MS Mincho" w:hAnsiTheme="majorHAnsi" w:cstheme="majorHAnsi"/>
          <w:color w:val="595959" w:themeColor="text1" w:themeTint="A6"/>
          <w:lang w:val="en-US"/>
        </w:rPr>
        <w:t>DFAT rules and tools, policies and monitoring and evaluation standards will be adhere</w:t>
      </w:r>
      <w:r w:rsidR="00FB1987" w:rsidRPr="00EB4FEE">
        <w:rPr>
          <w:rFonts w:asciiTheme="majorHAnsi" w:eastAsia="MS Mincho" w:hAnsiTheme="majorHAnsi" w:cstheme="majorHAnsi"/>
          <w:color w:val="595959" w:themeColor="text1" w:themeTint="A6"/>
          <w:lang w:val="en-US"/>
        </w:rPr>
        <w:t>d to throughout implementation</w:t>
      </w:r>
      <w:r w:rsidR="00352A08">
        <w:rPr>
          <w:rFonts w:asciiTheme="majorHAnsi" w:eastAsia="MS Mincho" w:hAnsiTheme="majorHAnsi" w:cstheme="majorHAnsi"/>
          <w:color w:val="595959" w:themeColor="text1" w:themeTint="A6"/>
          <w:lang w:val="en-US"/>
        </w:rPr>
        <w:t>.</w:t>
      </w:r>
    </w:p>
    <w:p w:rsidR="00E75F29" w:rsidRPr="00EB4FEE" w:rsidRDefault="00E75F29" w:rsidP="00BF6C52">
      <w:pPr>
        <w:tabs>
          <w:tab w:val="left" w:pos="0"/>
        </w:tabs>
        <w:spacing w:before="0" w:after="120" w:line="240" w:lineRule="auto"/>
        <w:rPr>
          <w:rFonts w:asciiTheme="majorHAnsi" w:eastAsia="MS Mincho" w:hAnsiTheme="majorHAnsi" w:cstheme="majorHAnsi"/>
          <w:b/>
          <w:color w:val="595959" w:themeColor="text1" w:themeTint="A6"/>
          <w:lang w:val="en-US"/>
        </w:rPr>
      </w:pPr>
      <w:r w:rsidRPr="00EB4FEE">
        <w:rPr>
          <w:rFonts w:asciiTheme="majorHAnsi" w:eastAsia="MS Mincho" w:hAnsiTheme="majorHAnsi" w:cstheme="majorHAnsi"/>
          <w:b/>
          <w:color w:val="595959" w:themeColor="text1" w:themeTint="A6"/>
          <w:lang w:val="en-US"/>
        </w:rPr>
        <w:t>Scope</w:t>
      </w:r>
    </w:p>
    <w:p w:rsidR="00E75F29" w:rsidRPr="00EB4FEE" w:rsidRDefault="00E75F29" w:rsidP="00BF6C52">
      <w:pPr>
        <w:tabs>
          <w:tab w:val="left" w:pos="0"/>
        </w:tabs>
        <w:spacing w:before="0" w:after="120" w:line="240" w:lineRule="auto"/>
        <w:rPr>
          <w:rFonts w:asciiTheme="majorHAnsi" w:eastAsia="MS Mincho" w:hAnsiTheme="majorHAnsi" w:cstheme="majorHAnsi"/>
          <w:color w:val="595959" w:themeColor="text1" w:themeTint="A6"/>
          <w:lang w:val="en-US"/>
        </w:rPr>
      </w:pPr>
      <w:r w:rsidRPr="00EB4FEE">
        <w:rPr>
          <w:rFonts w:asciiTheme="majorHAnsi" w:eastAsia="MS Mincho" w:hAnsiTheme="majorHAnsi" w:cstheme="majorHAnsi"/>
          <w:color w:val="595959" w:themeColor="text1" w:themeTint="A6"/>
          <w:lang w:val="en-US"/>
        </w:rPr>
        <w:t>The ME</w:t>
      </w:r>
      <w:r w:rsidR="009C5258">
        <w:rPr>
          <w:rFonts w:asciiTheme="majorHAnsi" w:eastAsia="MS Mincho" w:hAnsiTheme="majorHAnsi" w:cstheme="majorHAnsi"/>
          <w:color w:val="595959" w:themeColor="text1" w:themeTint="A6"/>
          <w:lang w:val="en-US"/>
        </w:rPr>
        <w:t>L</w:t>
      </w:r>
      <w:r w:rsidRPr="00EB4FEE">
        <w:rPr>
          <w:rFonts w:asciiTheme="majorHAnsi" w:eastAsia="MS Mincho" w:hAnsiTheme="majorHAnsi" w:cstheme="majorHAnsi"/>
          <w:color w:val="595959" w:themeColor="text1" w:themeTint="A6"/>
          <w:lang w:val="en-US"/>
        </w:rPr>
        <w:t>F has two key areas of focus</w:t>
      </w:r>
      <w:r w:rsidR="00352A08">
        <w:rPr>
          <w:rFonts w:asciiTheme="majorHAnsi" w:eastAsia="MS Mincho" w:hAnsiTheme="majorHAnsi" w:cstheme="majorHAnsi"/>
          <w:color w:val="595959" w:themeColor="text1" w:themeTint="A6"/>
          <w:lang w:val="en-US"/>
        </w:rPr>
        <w:t>.</w:t>
      </w:r>
      <w:r w:rsidR="00C83B0C" w:rsidRPr="00EB4FEE">
        <w:rPr>
          <w:rFonts w:asciiTheme="majorHAnsi" w:eastAsia="MS Mincho" w:hAnsiTheme="majorHAnsi" w:cstheme="majorHAnsi"/>
          <w:color w:val="595959" w:themeColor="text1" w:themeTint="A6"/>
          <w:lang w:val="en-US"/>
        </w:rPr>
        <w:t xml:space="preserve"> </w:t>
      </w:r>
      <w:r w:rsidRPr="00EB4FEE">
        <w:rPr>
          <w:rFonts w:asciiTheme="majorHAnsi" w:eastAsia="MS Mincho" w:hAnsiTheme="majorHAnsi" w:cstheme="majorHAnsi"/>
          <w:color w:val="595959" w:themeColor="text1" w:themeTint="A6"/>
          <w:lang w:val="en-US"/>
        </w:rPr>
        <w:t>Firstly, it will focus on the performance of the program as a whole, its progress towards end-of-program outcomes and addressing other key evaluation questions at the whole-of program level</w:t>
      </w:r>
      <w:r w:rsidR="00352A08">
        <w:rPr>
          <w:rFonts w:asciiTheme="majorHAnsi" w:eastAsia="MS Mincho" w:hAnsiTheme="majorHAnsi" w:cstheme="majorHAnsi"/>
          <w:color w:val="595959" w:themeColor="text1" w:themeTint="A6"/>
          <w:lang w:val="en-US"/>
        </w:rPr>
        <w:t xml:space="preserve">. </w:t>
      </w:r>
      <w:r w:rsidRPr="00EB4FEE">
        <w:rPr>
          <w:rFonts w:asciiTheme="majorHAnsi" w:eastAsia="MS Mincho" w:hAnsiTheme="majorHAnsi" w:cstheme="majorHAnsi"/>
          <w:color w:val="595959" w:themeColor="text1" w:themeTint="A6"/>
          <w:lang w:val="en-US"/>
        </w:rPr>
        <w:t>Secondly, it will provide a framework for ensuring the upfront quality and selection of investments as well as monitoring their performance</w:t>
      </w:r>
      <w:r w:rsidR="00352A08">
        <w:rPr>
          <w:rFonts w:asciiTheme="majorHAnsi" w:eastAsia="MS Mincho" w:hAnsiTheme="majorHAnsi" w:cstheme="majorHAnsi"/>
          <w:color w:val="595959" w:themeColor="text1" w:themeTint="A6"/>
          <w:lang w:val="en-US"/>
        </w:rPr>
        <w:t>.</w:t>
      </w:r>
    </w:p>
    <w:p w:rsidR="00E75F29" w:rsidRDefault="00E75F29" w:rsidP="00BF6C52">
      <w:pPr>
        <w:tabs>
          <w:tab w:val="left" w:pos="0"/>
        </w:tabs>
        <w:spacing w:before="0" w:after="120" w:line="240" w:lineRule="auto"/>
        <w:rPr>
          <w:rFonts w:asciiTheme="majorHAnsi" w:eastAsia="MS Mincho" w:hAnsiTheme="majorHAnsi" w:cstheme="majorHAnsi"/>
          <w:color w:val="595959" w:themeColor="text1" w:themeTint="A6"/>
          <w:lang w:val="en-US"/>
        </w:rPr>
      </w:pPr>
      <w:r w:rsidRPr="00EB4FEE">
        <w:rPr>
          <w:rFonts w:asciiTheme="majorHAnsi" w:eastAsia="MS Mincho" w:hAnsiTheme="majorHAnsi" w:cstheme="majorHAnsi"/>
          <w:color w:val="595959" w:themeColor="text1" w:themeTint="A6"/>
          <w:lang w:val="en-US"/>
        </w:rPr>
        <w:t>The scope of the ME</w:t>
      </w:r>
      <w:r w:rsidR="009C5258">
        <w:rPr>
          <w:rFonts w:asciiTheme="majorHAnsi" w:eastAsia="MS Mincho" w:hAnsiTheme="majorHAnsi" w:cstheme="majorHAnsi"/>
          <w:color w:val="595959" w:themeColor="text1" w:themeTint="A6"/>
          <w:lang w:val="en-US"/>
        </w:rPr>
        <w:t>L</w:t>
      </w:r>
      <w:r w:rsidRPr="00EB4FEE">
        <w:rPr>
          <w:rFonts w:asciiTheme="majorHAnsi" w:eastAsia="MS Mincho" w:hAnsiTheme="majorHAnsi" w:cstheme="majorHAnsi"/>
          <w:color w:val="595959" w:themeColor="text1" w:themeTint="A6"/>
          <w:lang w:val="en-US"/>
        </w:rPr>
        <w:t>F</w:t>
      </w:r>
      <w:r w:rsidR="00164C17">
        <w:rPr>
          <w:rFonts w:asciiTheme="majorHAnsi" w:eastAsia="MS Mincho" w:hAnsiTheme="majorHAnsi" w:cstheme="majorHAnsi"/>
          <w:color w:val="595959" w:themeColor="text1" w:themeTint="A6"/>
          <w:lang w:val="en-US"/>
        </w:rPr>
        <w:t xml:space="preserve"> includes any potential activities that may be undertaken by WHO, other international organisations, and/or DAWR</w:t>
      </w:r>
      <w:r w:rsidR="00F00CB2">
        <w:rPr>
          <w:rFonts w:asciiTheme="majorHAnsi" w:eastAsia="MS Mincho" w:hAnsiTheme="majorHAnsi" w:cstheme="majorHAnsi"/>
          <w:color w:val="595959" w:themeColor="text1" w:themeTint="A6"/>
          <w:lang w:val="en-US"/>
        </w:rPr>
        <w:t xml:space="preserve"> under the AIHSP</w:t>
      </w:r>
      <w:r w:rsidR="00164C17">
        <w:rPr>
          <w:rFonts w:asciiTheme="majorHAnsi" w:eastAsia="MS Mincho" w:hAnsiTheme="majorHAnsi" w:cstheme="majorHAnsi"/>
          <w:color w:val="595959" w:themeColor="text1" w:themeTint="A6"/>
          <w:lang w:val="en-US"/>
        </w:rPr>
        <w:t>. It</w:t>
      </w:r>
      <w:r w:rsidRPr="00EB4FEE">
        <w:rPr>
          <w:rFonts w:asciiTheme="majorHAnsi" w:eastAsia="MS Mincho" w:hAnsiTheme="majorHAnsi" w:cstheme="majorHAnsi"/>
          <w:color w:val="595959" w:themeColor="text1" w:themeTint="A6"/>
          <w:lang w:val="en-US"/>
        </w:rPr>
        <w:t xml:space="preserve"> does not extend to</w:t>
      </w:r>
      <w:r w:rsidR="00F00CB2">
        <w:rPr>
          <w:rFonts w:asciiTheme="majorHAnsi" w:eastAsia="MS Mincho" w:hAnsiTheme="majorHAnsi" w:cstheme="majorHAnsi"/>
          <w:color w:val="595959" w:themeColor="text1" w:themeTint="A6"/>
          <w:lang w:val="en-US"/>
        </w:rPr>
        <w:t xml:space="preserve"> IPCHS</w:t>
      </w:r>
      <w:r w:rsidRPr="00EB4FEE">
        <w:rPr>
          <w:rFonts w:asciiTheme="majorHAnsi" w:eastAsia="MS Mincho" w:hAnsiTheme="majorHAnsi" w:cstheme="majorHAnsi"/>
          <w:color w:val="595959" w:themeColor="text1" w:themeTint="A6"/>
          <w:lang w:val="en-US"/>
        </w:rPr>
        <w:t xml:space="preserve"> activities</w:t>
      </w:r>
      <w:r w:rsidR="00CE2F87">
        <w:rPr>
          <w:rFonts w:asciiTheme="majorHAnsi" w:eastAsia="MS Mincho" w:hAnsiTheme="majorHAnsi" w:cstheme="majorHAnsi"/>
          <w:color w:val="595959" w:themeColor="text1" w:themeTint="A6"/>
          <w:lang w:val="en-US"/>
        </w:rPr>
        <w:t xml:space="preserve">; M&amp;E for these activities will be undertaken separately. However, given that </w:t>
      </w:r>
      <w:r w:rsidRPr="00EB4FEE">
        <w:rPr>
          <w:rFonts w:asciiTheme="majorHAnsi" w:eastAsia="MS Mincho" w:hAnsiTheme="majorHAnsi" w:cstheme="majorHAnsi"/>
          <w:color w:val="595959" w:themeColor="text1" w:themeTint="A6"/>
          <w:lang w:val="en-US"/>
        </w:rPr>
        <w:t>compl</w:t>
      </w:r>
      <w:r w:rsidR="00795383">
        <w:rPr>
          <w:rFonts w:asciiTheme="majorHAnsi" w:eastAsia="MS Mincho" w:hAnsiTheme="majorHAnsi" w:cstheme="majorHAnsi"/>
          <w:color w:val="595959" w:themeColor="text1" w:themeTint="A6"/>
          <w:lang w:val="en-US"/>
        </w:rPr>
        <w:t>e</w:t>
      </w:r>
      <w:r w:rsidRPr="00EB4FEE">
        <w:rPr>
          <w:rFonts w:asciiTheme="majorHAnsi" w:eastAsia="MS Mincho" w:hAnsiTheme="majorHAnsi" w:cstheme="majorHAnsi"/>
          <w:color w:val="595959" w:themeColor="text1" w:themeTint="A6"/>
          <w:lang w:val="en-US"/>
        </w:rPr>
        <w:t xml:space="preserve">mentary </w:t>
      </w:r>
      <w:r w:rsidR="00CE2F87">
        <w:rPr>
          <w:rFonts w:asciiTheme="majorHAnsi" w:eastAsia="MS Mincho" w:hAnsiTheme="majorHAnsi" w:cstheme="majorHAnsi"/>
          <w:color w:val="595959" w:themeColor="text1" w:themeTint="A6"/>
          <w:lang w:val="en-US"/>
        </w:rPr>
        <w:t xml:space="preserve">IPCHS and AIHSP activities are expected to be coordinated, the MEF should </w:t>
      </w:r>
      <w:r w:rsidR="00164C17">
        <w:rPr>
          <w:rFonts w:asciiTheme="majorHAnsi" w:eastAsia="MS Mincho" w:hAnsiTheme="majorHAnsi" w:cstheme="majorHAnsi"/>
          <w:color w:val="595959" w:themeColor="text1" w:themeTint="A6"/>
          <w:lang w:val="en-US"/>
        </w:rPr>
        <w:t xml:space="preserve">acknowledge and </w:t>
      </w:r>
      <w:r w:rsidR="00CE2F87">
        <w:rPr>
          <w:rFonts w:asciiTheme="majorHAnsi" w:eastAsia="MS Mincho" w:hAnsiTheme="majorHAnsi" w:cstheme="majorHAnsi"/>
          <w:color w:val="595959" w:themeColor="text1" w:themeTint="A6"/>
          <w:lang w:val="en-US"/>
        </w:rPr>
        <w:t>take account of IPCHS planning, activities and M&amp;E outcomes in evaluating the AIHSP</w:t>
      </w:r>
      <w:r w:rsidR="00164C17">
        <w:rPr>
          <w:rFonts w:asciiTheme="majorHAnsi" w:eastAsia="MS Mincho" w:hAnsiTheme="majorHAnsi" w:cstheme="majorHAnsi"/>
          <w:color w:val="595959" w:themeColor="text1" w:themeTint="A6"/>
          <w:lang w:val="en-US"/>
        </w:rPr>
        <w:t xml:space="preserve"> </w:t>
      </w:r>
      <w:r w:rsidR="00F00CB2">
        <w:rPr>
          <w:rFonts w:asciiTheme="majorHAnsi" w:eastAsia="MS Mincho" w:hAnsiTheme="majorHAnsi" w:cstheme="majorHAnsi"/>
          <w:color w:val="595959" w:themeColor="text1" w:themeTint="A6"/>
          <w:lang w:val="en-US"/>
        </w:rPr>
        <w:t>(</w:t>
      </w:r>
      <w:r w:rsidR="00164C17">
        <w:rPr>
          <w:rFonts w:asciiTheme="majorHAnsi" w:eastAsia="MS Mincho" w:hAnsiTheme="majorHAnsi" w:cstheme="majorHAnsi"/>
          <w:color w:val="595959" w:themeColor="text1" w:themeTint="A6"/>
          <w:lang w:val="en-US"/>
        </w:rPr>
        <w:t>where relevant</w:t>
      </w:r>
      <w:r w:rsidR="00F00CB2">
        <w:rPr>
          <w:rFonts w:asciiTheme="majorHAnsi" w:eastAsia="MS Mincho" w:hAnsiTheme="majorHAnsi" w:cstheme="majorHAnsi"/>
          <w:color w:val="595959" w:themeColor="text1" w:themeTint="A6"/>
          <w:lang w:val="en-US"/>
        </w:rPr>
        <w:t>)</w:t>
      </w:r>
      <w:r w:rsidR="00CE2F87">
        <w:rPr>
          <w:rFonts w:asciiTheme="majorHAnsi" w:eastAsia="MS Mincho" w:hAnsiTheme="majorHAnsi" w:cstheme="majorHAnsi"/>
          <w:color w:val="595959" w:themeColor="text1" w:themeTint="A6"/>
          <w:lang w:val="en-US"/>
        </w:rPr>
        <w:t>.</w:t>
      </w:r>
    </w:p>
    <w:p w:rsidR="00E75F29" w:rsidRPr="00EB4FEE" w:rsidRDefault="00E75F29" w:rsidP="00BF6C52">
      <w:pPr>
        <w:tabs>
          <w:tab w:val="left" w:pos="0"/>
        </w:tabs>
        <w:spacing w:before="0" w:after="120" w:line="240" w:lineRule="auto"/>
        <w:rPr>
          <w:rFonts w:asciiTheme="majorHAnsi" w:eastAsia="MS Mincho" w:hAnsiTheme="majorHAnsi" w:cstheme="majorHAnsi"/>
          <w:b/>
          <w:color w:val="595959" w:themeColor="text1" w:themeTint="A6"/>
          <w:lang w:val="en-US"/>
        </w:rPr>
      </w:pPr>
      <w:r w:rsidRPr="00EB4FEE">
        <w:rPr>
          <w:rFonts w:asciiTheme="majorHAnsi" w:eastAsia="MS Mincho" w:hAnsiTheme="majorHAnsi" w:cstheme="majorHAnsi"/>
          <w:b/>
          <w:color w:val="595959" w:themeColor="text1" w:themeTint="A6"/>
          <w:lang w:val="en-US"/>
        </w:rPr>
        <w:t>Approach to M&amp;E</w:t>
      </w:r>
    </w:p>
    <w:p w:rsidR="00E75F29" w:rsidRPr="00EB4FEE" w:rsidRDefault="00E75F29" w:rsidP="00BF6C52">
      <w:pPr>
        <w:tabs>
          <w:tab w:val="left" w:pos="0"/>
        </w:tabs>
        <w:spacing w:before="0" w:after="120" w:line="240" w:lineRule="auto"/>
        <w:rPr>
          <w:rFonts w:asciiTheme="majorHAnsi" w:eastAsia="MS Mincho" w:hAnsiTheme="majorHAnsi" w:cstheme="majorHAnsi"/>
          <w:color w:val="595959" w:themeColor="text1" w:themeTint="A6"/>
          <w:lang w:val="en-US"/>
        </w:rPr>
      </w:pPr>
      <w:r w:rsidRPr="00EB4FEE">
        <w:rPr>
          <w:rFonts w:asciiTheme="majorHAnsi" w:eastAsia="MS Mincho" w:hAnsiTheme="majorHAnsi" w:cstheme="majorHAnsi"/>
          <w:color w:val="595959" w:themeColor="text1" w:themeTint="A6"/>
          <w:lang w:val="en-US"/>
        </w:rPr>
        <w:t xml:space="preserve">AIHSP will </w:t>
      </w:r>
      <w:r w:rsidR="00703BC6" w:rsidRPr="00EB4FEE">
        <w:rPr>
          <w:rFonts w:asciiTheme="majorHAnsi" w:eastAsia="MS Mincho" w:hAnsiTheme="majorHAnsi" w:cstheme="majorHAnsi"/>
          <w:color w:val="595959" w:themeColor="text1" w:themeTint="A6"/>
          <w:lang w:val="en-US"/>
        </w:rPr>
        <w:t xml:space="preserve">be guided by </w:t>
      </w:r>
      <w:r w:rsidR="00BD2BB4" w:rsidRPr="00EB4FEE">
        <w:rPr>
          <w:rFonts w:asciiTheme="majorHAnsi" w:eastAsia="MS Mincho" w:hAnsiTheme="majorHAnsi" w:cstheme="majorHAnsi"/>
          <w:color w:val="595959" w:themeColor="text1" w:themeTint="A6"/>
          <w:lang w:val="en-US"/>
        </w:rPr>
        <w:t xml:space="preserve">a </w:t>
      </w:r>
      <w:r w:rsidR="00703BC6" w:rsidRPr="00EB4FEE">
        <w:rPr>
          <w:rFonts w:asciiTheme="majorHAnsi" w:eastAsia="MS Mincho" w:hAnsiTheme="majorHAnsi" w:cstheme="majorHAnsi"/>
          <w:color w:val="595959" w:themeColor="text1" w:themeTint="A6"/>
          <w:lang w:val="en-US"/>
        </w:rPr>
        <w:t>u</w:t>
      </w:r>
      <w:r w:rsidRPr="00EB4FEE">
        <w:rPr>
          <w:rFonts w:asciiTheme="majorHAnsi" w:eastAsia="MS Mincho" w:hAnsiTheme="majorHAnsi" w:cstheme="majorHAnsi"/>
          <w:color w:val="595959" w:themeColor="text1" w:themeTint="A6"/>
          <w:lang w:val="en-US"/>
        </w:rPr>
        <w:t>tilisation-focused approach, whereby the key stakeholders will be involved in the shaping of the evaluation framework to ensure it fully meets their needs</w:t>
      </w:r>
      <w:r w:rsidR="00352A08">
        <w:rPr>
          <w:rFonts w:asciiTheme="majorHAnsi" w:eastAsia="MS Mincho" w:hAnsiTheme="majorHAnsi" w:cstheme="majorHAnsi"/>
          <w:color w:val="595959" w:themeColor="text1" w:themeTint="A6"/>
          <w:lang w:val="en-US"/>
        </w:rPr>
        <w:t>.</w:t>
      </w:r>
      <w:r w:rsidR="00C83B0C" w:rsidRPr="00EB4FEE">
        <w:rPr>
          <w:rFonts w:asciiTheme="majorHAnsi" w:eastAsia="MS Mincho" w:hAnsiTheme="majorHAnsi" w:cstheme="majorHAnsi"/>
          <w:color w:val="595959" w:themeColor="text1" w:themeTint="A6"/>
          <w:lang w:val="en-US"/>
        </w:rPr>
        <w:t xml:space="preserve"> </w:t>
      </w:r>
      <w:r w:rsidRPr="00EB4FEE">
        <w:rPr>
          <w:rFonts w:asciiTheme="majorHAnsi" w:eastAsia="MS Mincho" w:hAnsiTheme="majorHAnsi" w:cstheme="majorHAnsi"/>
          <w:color w:val="595959" w:themeColor="text1" w:themeTint="A6"/>
          <w:lang w:val="en-US"/>
        </w:rPr>
        <w:t>In the inception phase of the program, the ME</w:t>
      </w:r>
      <w:r w:rsidR="009C5258">
        <w:rPr>
          <w:rFonts w:asciiTheme="majorHAnsi" w:eastAsia="MS Mincho" w:hAnsiTheme="majorHAnsi" w:cstheme="majorHAnsi"/>
          <w:color w:val="595959" w:themeColor="text1" w:themeTint="A6"/>
          <w:lang w:val="en-US"/>
        </w:rPr>
        <w:t>L</w:t>
      </w:r>
      <w:r w:rsidRPr="00EB4FEE">
        <w:rPr>
          <w:rFonts w:asciiTheme="majorHAnsi" w:eastAsia="MS Mincho" w:hAnsiTheme="majorHAnsi" w:cstheme="majorHAnsi"/>
          <w:color w:val="595959" w:themeColor="text1" w:themeTint="A6"/>
          <w:lang w:val="en-US"/>
        </w:rPr>
        <w:t>F will be refined, with</w:t>
      </w:r>
      <w:r w:rsidR="00BD2BB4" w:rsidRPr="00EB4FEE">
        <w:rPr>
          <w:rFonts w:asciiTheme="majorHAnsi" w:eastAsia="MS Mincho" w:hAnsiTheme="majorHAnsi" w:cstheme="majorHAnsi"/>
          <w:color w:val="595959" w:themeColor="text1" w:themeTint="A6"/>
          <w:lang w:val="en-US"/>
        </w:rPr>
        <w:t xml:space="preserve"> input from</w:t>
      </w:r>
      <w:r w:rsidRPr="00EB4FEE">
        <w:rPr>
          <w:rFonts w:asciiTheme="majorHAnsi" w:eastAsia="MS Mincho" w:hAnsiTheme="majorHAnsi" w:cstheme="majorHAnsi"/>
          <w:color w:val="595959" w:themeColor="text1" w:themeTint="A6"/>
          <w:lang w:val="en-US"/>
        </w:rPr>
        <w:t xml:space="preserve"> </w:t>
      </w:r>
      <w:r w:rsidR="00BD2BB4" w:rsidRPr="00EB4FEE">
        <w:rPr>
          <w:rFonts w:asciiTheme="majorHAnsi" w:eastAsia="MS Mincho" w:hAnsiTheme="majorHAnsi" w:cstheme="majorHAnsi"/>
          <w:color w:val="595959" w:themeColor="text1" w:themeTint="A6"/>
          <w:lang w:val="en-US"/>
        </w:rPr>
        <w:t>k</w:t>
      </w:r>
      <w:r w:rsidRPr="00EB4FEE">
        <w:rPr>
          <w:rFonts w:asciiTheme="majorHAnsi" w:eastAsia="MS Mincho" w:hAnsiTheme="majorHAnsi" w:cstheme="majorHAnsi"/>
          <w:color w:val="595959" w:themeColor="text1" w:themeTint="A6"/>
          <w:lang w:val="en-US"/>
        </w:rPr>
        <w:t>ey government partners to ensure it meets needs</w:t>
      </w:r>
      <w:r w:rsidR="00BD2BB4" w:rsidRPr="00EB4FEE">
        <w:rPr>
          <w:rFonts w:asciiTheme="majorHAnsi" w:eastAsia="MS Mincho" w:hAnsiTheme="majorHAnsi" w:cstheme="majorHAnsi"/>
          <w:color w:val="595959" w:themeColor="text1" w:themeTint="A6"/>
          <w:lang w:val="en-US"/>
        </w:rPr>
        <w:t>.</w:t>
      </w:r>
    </w:p>
    <w:p w:rsidR="00E75F29" w:rsidRPr="00EB4FEE" w:rsidRDefault="00E75F29" w:rsidP="00BF6C52">
      <w:pPr>
        <w:tabs>
          <w:tab w:val="left" w:pos="0"/>
        </w:tabs>
        <w:spacing w:before="0" w:after="120" w:line="240" w:lineRule="auto"/>
        <w:rPr>
          <w:rFonts w:asciiTheme="majorHAnsi" w:eastAsia="MS Mincho" w:hAnsiTheme="majorHAnsi" w:cstheme="majorHAnsi"/>
          <w:color w:val="595959" w:themeColor="text1" w:themeTint="A6"/>
          <w:lang w:val="en-US"/>
        </w:rPr>
      </w:pPr>
      <w:r w:rsidRPr="00EB4FEE">
        <w:rPr>
          <w:rFonts w:asciiTheme="majorHAnsi" w:eastAsia="MS Mincho" w:hAnsiTheme="majorHAnsi" w:cstheme="majorHAnsi"/>
          <w:color w:val="595959" w:themeColor="text1" w:themeTint="A6"/>
          <w:lang w:val="en-US"/>
        </w:rPr>
        <w:t xml:space="preserve">A balanced score-card approach will be taken to ensure that as well as focusing on results against targets, we also evaluate the quality of the program delivery, as well </w:t>
      </w:r>
      <w:r w:rsidR="00BD2BB4" w:rsidRPr="00EB4FEE">
        <w:rPr>
          <w:rFonts w:asciiTheme="majorHAnsi" w:eastAsia="MS Mincho" w:hAnsiTheme="majorHAnsi" w:cstheme="majorHAnsi"/>
          <w:color w:val="595959" w:themeColor="text1" w:themeTint="A6"/>
          <w:lang w:val="en-US"/>
        </w:rPr>
        <w:t xml:space="preserve">as </w:t>
      </w:r>
      <w:r w:rsidRPr="00EB4FEE">
        <w:rPr>
          <w:rFonts w:asciiTheme="majorHAnsi" w:eastAsia="MS Mincho" w:hAnsiTheme="majorHAnsi" w:cstheme="majorHAnsi"/>
          <w:color w:val="595959" w:themeColor="text1" w:themeTint="A6"/>
          <w:lang w:val="en-US"/>
        </w:rPr>
        <w:t>whether it is promoting gender</w:t>
      </w:r>
      <w:r w:rsidR="00BD2BB4" w:rsidRPr="00EB4FEE">
        <w:rPr>
          <w:rFonts w:asciiTheme="majorHAnsi" w:eastAsia="MS Mincho" w:hAnsiTheme="majorHAnsi" w:cstheme="majorHAnsi"/>
          <w:color w:val="595959" w:themeColor="text1" w:themeTint="A6"/>
          <w:lang w:val="en-US"/>
        </w:rPr>
        <w:t xml:space="preserve"> equality</w:t>
      </w:r>
      <w:r w:rsidRPr="00EB4FEE">
        <w:rPr>
          <w:rFonts w:asciiTheme="majorHAnsi" w:eastAsia="MS Mincho" w:hAnsiTheme="majorHAnsi" w:cstheme="majorHAnsi"/>
          <w:color w:val="595959" w:themeColor="text1" w:themeTint="A6"/>
          <w:lang w:val="en-US"/>
        </w:rPr>
        <w:t xml:space="preserve"> and inclusion.</w:t>
      </w:r>
    </w:p>
    <w:p w:rsidR="00E75F29" w:rsidRPr="00EB4FEE" w:rsidRDefault="00E75F29" w:rsidP="00BF6C52">
      <w:pPr>
        <w:tabs>
          <w:tab w:val="left" w:pos="0"/>
        </w:tabs>
        <w:spacing w:before="0" w:after="120" w:line="240" w:lineRule="auto"/>
        <w:rPr>
          <w:rFonts w:asciiTheme="majorHAnsi" w:eastAsia="MS Mincho" w:hAnsiTheme="majorHAnsi" w:cstheme="majorHAnsi"/>
          <w:color w:val="595959" w:themeColor="text1" w:themeTint="A6"/>
          <w:lang w:val="en-US"/>
        </w:rPr>
      </w:pPr>
      <w:r w:rsidRPr="00EB4FEE">
        <w:rPr>
          <w:rFonts w:asciiTheme="majorHAnsi" w:eastAsia="MS Mincho" w:hAnsiTheme="majorHAnsi" w:cstheme="majorHAnsi"/>
          <w:color w:val="595959" w:themeColor="text1" w:themeTint="A6"/>
          <w:lang w:val="en-US"/>
        </w:rPr>
        <w:t>Annual progress ma</w:t>
      </w:r>
      <w:r w:rsidR="001126F9" w:rsidRPr="00EB4FEE">
        <w:rPr>
          <w:rFonts w:asciiTheme="majorHAnsi" w:eastAsia="MS Mincho" w:hAnsiTheme="majorHAnsi" w:cstheme="majorHAnsi"/>
          <w:color w:val="595959" w:themeColor="text1" w:themeTint="A6"/>
          <w:lang w:val="en-US"/>
        </w:rPr>
        <w:t>r</w:t>
      </w:r>
      <w:r w:rsidRPr="00EB4FEE">
        <w:rPr>
          <w:rFonts w:asciiTheme="majorHAnsi" w:eastAsia="MS Mincho" w:hAnsiTheme="majorHAnsi" w:cstheme="majorHAnsi"/>
          <w:color w:val="595959" w:themeColor="text1" w:themeTint="A6"/>
          <w:lang w:val="en-US"/>
        </w:rPr>
        <w:t>kers will be set</w:t>
      </w:r>
      <w:r w:rsidR="001126F9" w:rsidRPr="00EB4FEE">
        <w:rPr>
          <w:rFonts w:asciiTheme="majorHAnsi" w:eastAsia="MS Mincho" w:hAnsiTheme="majorHAnsi" w:cstheme="majorHAnsi"/>
          <w:color w:val="595959" w:themeColor="text1" w:themeTint="A6"/>
          <w:lang w:val="en-US"/>
        </w:rPr>
        <w:t>,</w:t>
      </w:r>
      <w:r w:rsidRPr="00EB4FEE">
        <w:rPr>
          <w:rFonts w:asciiTheme="majorHAnsi" w:eastAsia="MS Mincho" w:hAnsiTheme="majorHAnsi" w:cstheme="majorHAnsi"/>
          <w:color w:val="595959" w:themeColor="text1" w:themeTint="A6"/>
          <w:lang w:val="en-US"/>
        </w:rPr>
        <w:t xml:space="preserve"> </w:t>
      </w:r>
      <w:r w:rsidR="001126F9" w:rsidRPr="00EB4FEE">
        <w:rPr>
          <w:rFonts w:asciiTheme="majorHAnsi" w:eastAsia="MS Mincho" w:hAnsiTheme="majorHAnsi" w:cstheme="majorHAnsi"/>
          <w:color w:val="595959" w:themeColor="text1" w:themeTint="A6"/>
          <w:lang w:val="en-US"/>
        </w:rPr>
        <w:t>with input from</w:t>
      </w:r>
      <w:r w:rsidRPr="00EB4FEE">
        <w:rPr>
          <w:rFonts w:asciiTheme="majorHAnsi" w:eastAsia="MS Mincho" w:hAnsiTheme="majorHAnsi" w:cstheme="majorHAnsi"/>
          <w:color w:val="595959" w:themeColor="text1" w:themeTint="A6"/>
          <w:lang w:val="en-US"/>
        </w:rPr>
        <w:t xml:space="preserve"> </w:t>
      </w:r>
      <w:r w:rsidR="001126F9" w:rsidRPr="00EB4FEE">
        <w:rPr>
          <w:rFonts w:asciiTheme="majorHAnsi" w:eastAsia="MS Mincho" w:hAnsiTheme="majorHAnsi" w:cstheme="majorHAnsi"/>
          <w:color w:val="595959" w:themeColor="text1" w:themeTint="A6"/>
          <w:lang w:val="en-US"/>
        </w:rPr>
        <w:t>k</w:t>
      </w:r>
      <w:r w:rsidRPr="00EB4FEE">
        <w:rPr>
          <w:rFonts w:asciiTheme="majorHAnsi" w:eastAsia="MS Mincho" w:hAnsiTheme="majorHAnsi" w:cstheme="majorHAnsi"/>
          <w:color w:val="595959" w:themeColor="text1" w:themeTint="A6"/>
          <w:lang w:val="en-US"/>
        </w:rPr>
        <w:t>ey partners</w:t>
      </w:r>
      <w:r w:rsidR="001126F9" w:rsidRPr="00EB4FEE">
        <w:rPr>
          <w:rFonts w:asciiTheme="majorHAnsi" w:eastAsia="MS Mincho" w:hAnsiTheme="majorHAnsi" w:cstheme="majorHAnsi"/>
          <w:color w:val="595959" w:themeColor="text1" w:themeTint="A6"/>
          <w:lang w:val="en-US"/>
        </w:rPr>
        <w:t>,</w:t>
      </w:r>
      <w:r w:rsidRPr="00EB4FEE">
        <w:rPr>
          <w:rFonts w:asciiTheme="majorHAnsi" w:eastAsia="MS Mincho" w:hAnsiTheme="majorHAnsi" w:cstheme="majorHAnsi"/>
          <w:color w:val="595959" w:themeColor="text1" w:themeTint="A6"/>
          <w:lang w:val="en-US"/>
        </w:rPr>
        <w:t xml:space="preserve"> to ensure accountability, but at the same time allowing for emergence and program adaption</w:t>
      </w:r>
      <w:r w:rsidR="00352A08">
        <w:rPr>
          <w:rFonts w:asciiTheme="majorHAnsi" w:eastAsia="MS Mincho" w:hAnsiTheme="majorHAnsi" w:cstheme="majorHAnsi"/>
          <w:color w:val="595959" w:themeColor="text1" w:themeTint="A6"/>
          <w:lang w:val="en-US"/>
        </w:rPr>
        <w:t xml:space="preserve">. </w:t>
      </w:r>
      <w:r w:rsidRPr="00EB4FEE">
        <w:rPr>
          <w:rFonts w:asciiTheme="majorHAnsi" w:eastAsia="MS Mincho" w:hAnsiTheme="majorHAnsi" w:cstheme="majorHAnsi"/>
          <w:color w:val="595959" w:themeColor="text1" w:themeTint="A6"/>
          <w:lang w:val="en-US"/>
        </w:rPr>
        <w:t>The approach will be guided by the following principles:</w:t>
      </w:r>
    </w:p>
    <w:p w:rsidR="00E75F29" w:rsidRPr="00EB4FEE" w:rsidRDefault="00E75F29" w:rsidP="00BF6C52">
      <w:pPr>
        <w:pStyle w:val="Bullet1normal"/>
        <w:spacing w:before="0" w:line="240" w:lineRule="auto"/>
        <w:rPr>
          <w:rFonts w:asciiTheme="majorHAnsi" w:eastAsia="MS Mincho" w:hAnsiTheme="majorHAnsi" w:cstheme="majorHAnsi"/>
          <w:color w:val="595959" w:themeColor="text1" w:themeTint="A6"/>
          <w:sz w:val="22"/>
          <w:szCs w:val="22"/>
          <w:lang w:val="en-US"/>
        </w:rPr>
      </w:pPr>
      <w:r w:rsidRPr="00EB4FEE">
        <w:rPr>
          <w:rFonts w:asciiTheme="majorHAnsi" w:eastAsia="MS Mincho" w:hAnsiTheme="majorHAnsi" w:cstheme="majorHAnsi"/>
          <w:color w:val="595959" w:themeColor="text1" w:themeTint="A6"/>
          <w:sz w:val="22"/>
          <w:szCs w:val="22"/>
          <w:lang w:val="en-US"/>
        </w:rPr>
        <w:t>Fit for purpose approach that meets needs</w:t>
      </w:r>
    </w:p>
    <w:p w:rsidR="00E75F29" w:rsidRPr="00EB4FEE" w:rsidRDefault="00E75F29" w:rsidP="00BF6C52">
      <w:pPr>
        <w:pStyle w:val="Bullet1normal"/>
        <w:spacing w:before="0" w:line="240" w:lineRule="auto"/>
        <w:rPr>
          <w:rFonts w:asciiTheme="majorHAnsi" w:eastAsia="MS Mincho" w:hAnsiTheme="majorHAnsi" w:cstheme="majorHAnsi"/>
          <w:color w:val="595959" w:themeColor="text1" w:themeTint="A6"/>
          <w:sz w:val="22"/>
          <w:szCs w:val="22"/>
          <w:lang w:val="en-US"/>
        </w:rPr>
      </w:pPr>
      <w:r w:rsidRPr="00EB4FEE">
        <w:rPr>
          <w:rFonts w:asciiTheme="majorHAnsi" w:eastAsia="MS Mincho" w:hAnsiTheme="majorHAnsi" w:cstheme="majorHAnsi"/>
          <w:color w:val="595959" w:themeColor="text1" w:themeTint="A6"/>
          <w:sz w:val="22"/>
          <w:szCs w:val="22"/>
          <w:lang w:val="en-US"/>
        </w:rPr>
        <w:t>Accountab</w:t>
      </w:r>
      <w:r w:rsidR="001126F9" w:rsidRPr="00EB4FEE">
        <w:rPr>
          <w:rFonts w:asciiTheme="majorHAnsi" w:eastAsia="MS Mincho" w:hAnsiTheme="majorHAnsi" w:cstheme="majorHAnsi"/>
          <w:color w:val="595959" w:themeColor="text1" w:themeTint="A6"/>
          <w:sz w:val="22"/>
          <w:szCs w:val="22"/>
          <w:lang w:val="en-US"/>
        </w:rPr>
        <w:t>le</w:t>
      </w:r>
      <w:r w:rsidRPr="00EB4FEE">
        <w:rPr>
          <w:rFonts w:asciiTheme="majorHAnsi" w:eastAsia="MS Mincho" w:hAnsiTheme="majorHAnsi" w:cstheme="majorHAnsi"/>
          <w:color w:val="595959" w:themeColor="text1" w:themeTint="A6"/>
          <w:sz w:val="22"/>
          <w:szCs w:val="22"/>
          <w:lang w:val="en-US"/>
        </w:rPr>
        <w:t xml:space="preserve"> and transparent</w:t>
      </w:r>
    </w:p>
    <w:p w:rsidR="00E75F29" w:rsidRPr="00EB4FEE" w:rsidRDefault="00E75F29" w:rsidP="00BF6C52">
      <w:pPr>
        <w:pStyle w:val="Bullet1normal"/>
        <w:spacing w:before="0" w:line="240" w:lineRule="auto"/>
        <w:rPr>
          <w:rFonts w:asciiTheme="majorHAnsi" w:eastAsia="MS Mincho" w:hAnsiTheme="majorHAnsi" w:cstheme="majorHAnsi"/>
          <w:color w:val="595959" w:themeColor="text1" w:themeTint="A6"/>
          <w:sz w:val="22"/>
          <w:szCs w:val="22"/>
          <w:lang w:val="en-US"/>
        </w:rPr>
      </w:pPr>
      <w:r w:rsidRPr="00EB4FEE">
        <w:rPr>
          <w:rFonts w:asciiTheme="majorHAnsi" w:eastAsia="MS Mincho" w:hAnsiTheme="majorHAnsi" w:cstheme="majorHAnsi"/>
          <w:color w:val="595959" w:themeColor="text1" w:themeTint="A6"/>
          <w:sz w:val="22"/>
          <w:szCs w:val="22"/>
          <w:lang w:val="en-US"/>
        </w:rPr>
        <w:t>Flexible and able to accommodate emergence</w:t>
      </w:r>
    </w:p>
    <w:p w:rsidR="00E75F29" w:rsidRPr="00EB4FEE" w:rsidRDefault="00E75F29" w:rsidP="00BF6C52">
      <w:pPr>
        <w:pStyle w:val="Bullet1normal"/>
        <w:spacing w:before="0" w:line="240" w:lineRule="auto"/>
        <w:rPr>
          <w:rFonts w:asciiTheme="majorHAnsi" w:eastAsia="MS Mincho" w:hAnsiTheme="majorHAnsi" w:cstheme="majorHAnsi"/>
          <w:color w:val="595959" w:themeColor="text1" w:themeTint="A6"/>
          <w:sz w:val="22"/>
          <w:szCs w:val="22"/>
          <w:lang w:val="en-US"/>
        </w:rPr>
      </w:pPr>
      <w:r w:rsidRPr="00EB4FEE">
        <w:rPr>
          <w:rFonts w:asciiTheme="majorHAnsi" w:eastAsia="MS Mincho" w:hAnsiTheme="majorHAnsi" w:cstheme="majorHAnsi"/>
          <w:color w:val="595959" w:themeColor="text1" w:themeTint="A6"/>
          <w:sz w:val="22"/>
          <w:szCs w:val="22"/>
          <w:lang w:val="en-US"/>
        </w:rPr>
        <w:t xml:space="preserve">Learning focused </w:t>
      </w:r>
    </w:p>
    <w:p w:rsidR="00E75F29" w:rsidRPr="00EB4FEE" w:rsidRDefault="00E75F29" w:rsidP="00BF6C52">
      <w:pPr>
        <w:tabs>
          <w:tab w:val="left" w:pos="0"/>
        </w:tabs>
        <w:spacing w:before="0" w:after="120" w:line="240" w:lineRule="auto"/>
        <w:rPr>
          <w:rFonts w:asciiTheme="majorHAnsi" w:eastAsia="MS Mincho" w:hAnsiTheme="majorHAnsi" w:cstheme="majorHAnsi"/>
          <w:b/>
          <w:color w:val="595959" w:themeColor="text1" w:themeTint="A6"/>
          <w:lang w:val="en-US"/>
        </w:rPr>
      </w:pPr>
      <w:r w:rsidRPr="00EB4FEE">
        <w:rPr>
          <w:rFonts w:asciiTheme="majorHAnsi" w:eastAsia="MS Mincho" w:hAnsiTheme="majorHAnsi" w:cstheme="majorHAnsi"/>
          <w:b/>
          <w:color w:val="595959" w:themeColor="text1" w:themeTint="A6"/>
          <w:lang w:val="en-US"/>
        </w:rPr>
        <w:t>Main components of the ME</w:t>
      </w:r>
      <w:r w:rsidR="009C5258">
        <w:rPr>
          <w:rFonts w:asciiTheme="majorHAnsi" w:eastAsia="MS Mincho" w:hAnsiTheme="majorHAnsi" w:cstheme="majorHAnsi"/>
          <w:b/>
          <w:color w:val="595959" w:themeColor="text1" w:themeTint="A6"/>
          <w:lang w:val="en-US"/>
        </w:rPr>
        <w:t>L</w:t>
      </w:r>
      <w:r w:rsidRPr="00EB4FEE">
        <w:rPr>
          <w:rFonts w:asciiTheme="majorHAnsi" w:eastAsia="MS Mincho" w:hAnsiTheme="majorHAnsi" w:cstheme="majorHAnsi"/>
          <w:b/>
          <w:color w:val="595959" w:themeColor="text1" w:themeTint="A6"/>
          <w:lang w:val="en-US"/>
        </w:rPr>
        <w:t>F</w:t>
      </w:r>
    </w:p>
    <w:p w:rsidR="00E75F29" w:rsidRPr="00EB4FEE" w:rsidRDefault="00E75F29" w:rsidP="00BF6C52">
      <w:pPr>
        <w:keepLines/>
        <w:spacing w:before="0" w:after="120" w:line="240" w:lineRule="auto"/>
        <w:jc w:val="both"/>
        <w:rPr>
          <w:rFonts w:asciiTheme="majorHAnsi" w:hAnsiTheme="majorHAnsi" w:cstheme="majorHAnsi"/>
          <w:color w:val="595959" w:themeColor="text1" w:themeTint="A6"/>
        </w:rPr>
      </w:pPr>
      <w:r w:rsidRPr="00EB4FEE">
        <w:rPr>
          <w:rFonts w:asciiTheme="majorHAnsi" w:eastAsia="MS Mincho" w:hAnsiTheme="majorHAnsi" w:cstheme="majorHAnsi"/>
          <w:color w:val="595959" w:themeColor="text1" w:themeTint="A6"/>
          <w:lang w:val="en-US"/>
        </w:rPr>
        <w:t>The ME</w:t>
      </w:r>
      <w:r w:rsidR="009C5258">
        <w:rPr>
          <w:rFonts w:asciiTheme="majorHAnsi" w:eastAsia="MS Mincho" w:hAnsiTheme="majorHAnsi" w:cstheme="majorHAnsi"/>
          <w:color w:val="595959" w:themeColor="text1" w:themeTint="A6"/>
          <w:lang w:val="en-US"/>
        </w:rPr>
        <w:t>L</w:t>
      </w:r>
      <w:r w:rsidRPr="00EB4FEE">
        <w:rPr>
          <w:rFonts w:asciiTheme="majorHAnsi" w:eastAsia="MS Mincho" w:hAnsiTheme="majorHAnsi" w:cstheme="majorHAnsi"/>
          <w:color w:val="595959" w:themeColor="text1" w:themeTint="A6"/>
          <w:lang w:val="en-US"/>
        </w:rPr>
        <w:t xml:space="preserve">F components include: a set of balanced key evaluation questions, a program logic with a matching results framework, and description of investments </w:t>
      </w:r>
      <w:r w:rsidR="00A561C9" w:rsidRPr="00EB4FEE">
        <w:rPr>
          <w:rFonts w:asciiTheme="majorHAnsi" w:eastAsia="MS Mincho" w:hAnsiTheme="majorHAnsi" w:cstheme="majorHAnsi"/>
          <w:color w:val="595959" w:themeColor="text1" w:themeTint="A6"/>
          <w:lang w:val="en-US"/>
        </w:rPr>
        <w:t xml:space="preserve">that </w:t>
      </w:r>
      <w:r w:rsidRPr="00EB4FEE">
        <w:rPr>
          <w:rFonts w:asciiTheme="majorHAnsi" w:eastAsia="MS Mincho" w:hAnsiTheme="majorHAnsi" w:cstheme="majorHAnsi"/>
          <w:color w:val="595959" w:themeColor="text1" w:themeTint="A6"/>
          <w:lang w:val="en-US"/>
        </w:rPr>
        <w:t>will be quality assured and monitored</w:t>
      </w:r>
      <w:r w:rsidR="00352A08">
        <w:rPr>
          <w:rFonts w:asciiTheme="majorHAnsi" w:eastAsia="MS Mincho" w:hAnsiTheme="majorHAnsi" w:cstheme="majorHAnsi"/>
          <w:color w:val="595959" w:themeColor="text1" w:themeTint="A6"/>
          <w:lang w:val="en-US"/>
        </w:rPr>
        <w:t xml:space="preserve">. </w:t>
      </w:r>
      <w:r w:rsidRPr="00EB4FEE">
        <w:rPr>
          <w:rFonts w:asciiTheme="majorHAnsi" w:eastAsia="MS Mincho" w:hAnsiTheme="majorHAnsi" w:cstheme="majorHAnsi"/>
          <w:color w:val="595959" w:themeColor="text1" w:themeTint="A6"/>
          <w:lang w:val="en-US"/>
        </w:rPr>
        <w:t>It also outlines the reporting requirements, roles, responsibilities and resources for implementing the M&amp;E plan</w:t>
      </w:r>
      <w:r w:rsidR="00352A08">
        <w:rPr>
          <w:rFonts w:asciiTheme="majorHAnsi" w:eastAsia="MS Mincho" w:hAnsiTheme="majorHAnsi" w:cstheme="majorHAnsi"/>
          <w:color w:val="595959" w:themeColor="text1" w:themeTint="A6"/>
          <w:lang w:val="en-US"/>
        </w:rPr>
        <w:t>.</w:t>
      </w:r>
    </w:p>
    <w:p w:rsidR="00E75F29" w:rsidRPr="00EB4FEE" w:rsidRDefault="00A561C9" w:rsidP="00BF6C52">
      <w:pPr>
        <w:tabs>
          <w:tab w:val="left" w:pos="0"/>
        </w:tabs>
        <w:spacing w:before="0" w:after="120" w:line="240" w:lineRule="auto"/>
        <w:rPr>
          <w:rFonts w:asciiTheme="majorHAnsi" w:eastAsia="MS Mincho" w:hAnsiTheme="majorHAnsi" w:cstheme="majorHAnsi"/>
          <w:color w:val="595959" w:themeColor="text1" w:themeTint="A6"/>
          <w:lang w:val="en-US"/>
        </w:rPr>
      </w:pPr>
      <w:r w:rsidRPr="00EB4FEE">
        <w:rPr>
          <w:rFonts w:asciiTheme="majorHAnsi" w:eastAsia="MS Mincho" w:hAnsiTheme="majorHAnsi" w:cstheme="majorHAnsi"/>
          <w:b/>
          <w:color w:val="595959" w:themeColor="text1" w:themeTint="A6"/>
          <w:lang w:val="en-US"/>
        </w:rPr>
        <w:t>K</w:t>
      </w:r>
      <w:r w:rsidR="00E75F29" w:rsidRPr="00EB4FEE">
        <w:rPr>
          <w:rFonts w:asciiTheme="majorHAnsi" w:eastAsia="MS Mincho" w:hAnsiTheme="majorHAnsi" w:cstheme="majorHAnsi"/>
          <w:b/>
          <w:color w:val="595959" w:themeColor="text1" w:themeTint="A6"/>
          <w:lang w:val="en-US"/>
        </w:rPr>
        <w:t>ey evaluation questions</w:t>
      </w:r>
    </w:p>
    <w:tbl>
      <w:tblPr>
        <w:tblStyle w:val="TableGrid"/>
        <w:tblW w:w="0" w:type="auto"/>
        <w:tblLook w:val="04A0" w:firstRow="1" w:lastRow="0" w:firstColumn="1" w:lastColumn="0" w:noHBand="0" w:noVBand="1"/>
      </w:tblPr>
      <w:tblGrid>
        <w:gridCol w:w="936"/>
        <w:gridCol w:w="1894"/>
        <w:gridCol w:w="4604"/>
        <w:gridCol w:w="1582"/>
      </w:tblGrid>
      <w:tr w:rsidR="00F93982" w:rsidRPr="00A561C9" w:rsidTr="00EB4FEE">
        <w:tc>
          <w:tcPr>
            <w:tcW w:w="2830" w:type="dxa"/>
            <w:gridSpan w:val="2"/>
          </w:tcPr>
          <w:p w:rsidR="00F93982" w:rsidRPr="00EB4FEE" w:rsidRDefault="00F93982" w:rsidP="002167AE">
            <w:pPr>
              <w:tabs>
                <w:tab w:val="left" w:pos="0"/>
              </w:tabs>
              <w:spacing w:before="0" w:after="120" w:line="240" w:lineRule="auto"/>
              <w:rPr>
                <w:rFonts w:asciiTheme="majorHAnsi" w:eastAsia="MS Mincho" w:hAnsiTheme="majorHAnsi" w:cstheme="majorHAnsi"/>
                <w:color w:val="595959" w:themeColor="text1" w:themeTint="A6"/>
                <w:lang w:val="en-US"/>
              </w:rPr>
            </w:pPr>
            <w:r w:rsidRPr="00EB4FEE">
              <w:rPr>
                <w:rFonts w:asciiTheme="majorHAnsi" w:hAnsiTheme="majorHAnsi" w:cstheme="majorHAnsi"/>
                <w:noProof/>
                <w:color w:val="595959" w:themeColor="text1" w:themeTint="A6"/>
                <w:lang w:val="en-AU" w:eastAsia="en-AU"/>
              </w:rPr>
              <mc:AlternateContent>
                <mc:Choice Requires="wps">
                  <w:drawing>
                    <wp:anchor distT="0" distB="0" distL="114300" distR="114300" simplePos="0" relativeHeight="251665408" behindDoc="0" locked="0" layoutInCell="1" allowOverlap="1" wp14:anchorId="2128BA0E" wp14:editId="32767C16">
                      <wp:simplePos x="0" y="0"/>
                      <wp:positionH relativeFrom="column">
                        <wp:posOffset>9594850</wp:posOffset>
                      </wp:positionH>
                      <wp:positionV relativeFrom="paragraph">
                        <wp:posOffset>-2926715</wp:posOffset>
                      </wp:positionV>
                      <wp:extent cx="1726263" cy="886036"/>
                      <wp:effectExtent l="0" t="0" r="26670" b="28575"/>
                      <wp:wrapNone/>
                      <wp:docPr id="8" name="Text Box 216">
                        <a:extLst xmlns:a="http://schemas.openxmlformats.org/drawingml/2006/main">
                          <a:ext uri="{FF2B5EF4-FFF2-40B4-BE49-F238E27FC236}">
                            <a16:creationId xmlns:a16="http://schemas.microsoft.com/office/drawing/2014/main" id="{32597A76-7305-49EE-B727-466CA3B225A2}"/>
                          </a:ext>
                        </a:extLst>
                      </wp:docPr>
                      <wp:cNvGraphicFramePr/>
                      <a:graphic xmlns:a="http://schemas.openxmlformats.org/drawingml/2006/main">
                        <a:graphicData uri="http://schemas.microsoft.com/office/word/2010/wordprocessingShape">
                          <wps:wsp>
                            <wps:cNvSpPr txBox="1"/>
                            <wps:spPr>
                              <a:xfrm>
                                <a:off x="0" y="0"/>
                                <a:ext cx="1726263" cy="886036"/>
                              </a:xfrm>
                              <a:prstGeom prst="rect">
                                <a:avLst/>
                              </a:prstGeom>
                              <a:solidFill>
                                <a:schemeClr val="lt1"/>
                              </a:solidFill>
                              <a:ln w="6350">
                                <a:solidFill>
                                  <a:prstClr val="black"/>
                                </a:solidFill>
                              </a:ln>
                            </wps:spPr>
                            <wps:txbx>
                              <w:txbxContent>
                                <w:p w:rsidR="00DF10D6" w:rsidRDefault="00DF10D6" w:rsidP="00A848ED">
                                  <w:pPr>
                                    <w:pStyle w:val="NormalWeb"/>
                                  </w:pPr>
                                  <w:r>
                                    <w:rPr>
                                      <w:rFonts w:ascii="Cambria" w:eastAsia="MS Mincho" w:hAnsi="Cambria"/>
                                      <w:color w:val="000000" w:themeColor="text1"/>
                                      <w:kern w:val="24"/>
                                      <w:sz w:val="22"/>
                                      <w:szCs w:val="22"/>
                                    </w:rPr>
                                    <w:t xml:space="preserve">GoI animal and human health surveillance produce useful and relevant </w:t>
                                  </w:r>
                                  <w:r>
                                    <w:rPr>
                                      <w:rFonts w:ascii="Cambria" w:eastAsia="MS Mincho" w:hAnsi="Cambria"/>
                                      <w:b/>
                                      <w:bCs/>
                                      <w:color w:val="000000" w:themeColor="text1"/>
                                      <w:kern w:val="24"/>
                                      <w:sz w:val="22"/>
                                      <w:szCs w:val="22"/>
                                    </w:rPr>
                                    <w:t>information t</w:t>
                                  </w:r>
                                  <w:r>
                                    <w:rPr>
                                      <w:rFonts w:ascii="Cambria" w:eastAsia="MS Mincho" w:hAnsi="Cambria"/>
                                      <w:color w:val="000000" w:themeColor="text1"/>
                                      <w:kern w:val="24"/>
                                      <w:sz w:val="22"/>
                                      <w:szCs w:val="22"/>
                                    </w:rPr>
                                    <w:t xml:space="preserve">o inform decisions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28BA0E" id="_x0000_t202" coordsize="21600,21600" o:spt="202" path="m,l,21600r21600,l21600,xe">
                      <v:stroke joinstyle="miter"/>
                      <v:path gradientshapeok="t" o:connecttype="rect"/>
                    </v:shapetype>
                    <v:shape id="Text Box 216" o:spid="_x0000_s1026" type="#_x0000_t202" style="position:absolute;margin-left:755.5pt;margin-top:-230.45pt;width:135.95pt;height:69.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" fillcolor="white [3201]" strokeweight=".5pt">
                      <v:textbox>
                        <w:txbxContent>
                          <w:p w:rsidR="00DF10D6" w:rsidRDefault="00DF10D6" w:rsidP="00A848ED">
                            <w:pPr>
                              <w:pStyle w:val="NormalWeb"/>
                            </w:pPr>
                            <w:r>
                              <w:rPr>
                                <w:rFonts w:ascii="Cambria" w:eastAsia="MS Mincho" w:hAnsi="Cambria"/>
                                <w:color w:val="000000" w:themeColor="text1"/>
                                <w:kern w:val="24"/>
                                <w:sz w:val="22"/>
                                <w:szCs w:val="22"/>
                              </w:rPr>
                              <w:t xml:space="preserve">GoI animal and human health surveillance produce useful and relevant </w:t>
                            </w:r>
                            <w:r>
                              <w:rPr>
                                <w:rFonts w:ascii="Cambria" w:eastAsia="MS Mincho" w:hAnsi="Cambria"/>
                                <w:b/>
                                <w:bCs/>
                                <w:color w:val="000000" w:themeColor="text1"/>
                                <w:kern w:val="24"/>
                                <w:sz w:val="22"/>
                                <w:szCs w:val="22"/>
                              </w:rPr>
                              <w:t>information t</w:t>
                            </w:r>
                            <w:r>
                              <w:rPr>
                                <w:rFonts w:ascii="Cambria" w:eastAsia="MS Mincho" w:hAnsi="Cambria"/>
                                <w:color w:val="000000" w:themeColor="text1"/>
                                <w:kern w:val="24"/>
                                <w:sz w:val="22"/>
                                <w:szCs w:val="22"/>
                              </w:rPr>
                              <w:t xml:space="preserve">o inform decisions </w:t>
                            </w:r>
                          </w:p>
                        </w:txbxContent>
                      </v:textbox>
                    </v:shape>
                  </w:pict>
                </mc:Fallback>
              </mc:AlternateContent>
            </w:r>
            <w:r w:rsidRPr="00EB4FEE">
              <w:rPr>
                <w:rFonts w:asciiTheme="majorHAnsi" w:hAnsiTheme="majorHAnsi" w:cstheme="majorHAnsi"/>
                <w:noProof/>
                <w:color w:val="595959" w:themeColor="text1" w:themeTint="A6"/>
                <w:lang w:val="en-AU" w:eastAsia="en-AU"/>
              </w:rPr>
              <mc:AlternateContent>
                <mc:Choice Requires="wps">
                  <w:drawing>
                    <wp:anchor distT="0" distB="0" distL="114300" distR="114300" simplePos="0" relativeHeight="251666432" behindDoc="0" locked="0" layoutInCell="1" allowOverlap="1" wp14:anchorId="06831909" wp14:editId="6E6414DB">
                      <wp:simplePos x="0" y="0"/>
                      <wp:positionH relativeFrom="column">
                        <wp:posOffset>15317470</wp:posOffset>
                      </wp:positionH>
                      <wp:positionV relativeFrom="paragraph">
                        <wp:posOffset>-2958465</wp:posOffset>
                      </wp:positionV>
                      <wp:extent cx="1651218" cy="917659"/>
                      <wp:effectExtent l="0" t="0" r="25400" b="15875"/>
                      <wp:wrapNone/>
                      <wp:docPr id="113" name="Text Box 246">
                        <a:extLst xmlns:a="http://schemas.openxmlformats.org/drawingml/2006/main">
                          <a:ext uri="{FF2B5EF4-FFF2-40B4-BE49-F238E27FC236}">
                            <a16:creationId xmlns:a16="http://schemas.microsoft.com/office/drawing/2014/main" id="{198C7DBA-475E-4164-B508-EB0B31D89DAD}"/>
                          </a:ext>
                        </a:extLst>
                      </wp:docPr>
                      <wp:cNvGraphicFramePr/>
                      <a:graphic xmlns:a="http://schemas.openxmlformats.org/drawingml/2006/main">
                        <a:graphicData uri="http://schemas.microsoft.com/office/word/2010/wordprocessingShape">
                          <wps:wsp>
                            <wps:cNvSpPr txBox="1"/>
                            <wps:spPr>
                              <a:xfrm>
                                <a:off x="0" y="0"/>
                                <a:ext cx="1651218" cy="917659"/>
                              </a:xfrm>
                              <a:prstGeom prst="rect">
                                <a:avLst/>
                              </a:prstGeom>
                              <a:solidFill>
                                <a:schemeClr val="accent6">
                                  <a:lumMod val="20000"/>
                                  <a:lumOff val="80000"/>
                                </a:schemeClr>
                              </a:solidFill>
                              <a:ln w="3175">
                                <a:solidFill>
                                  <a:schemeClr val="tx1"/>
                                </a:solidFill>
                                <a:prstDash val="lgDash"/>
                              </a:ln>
                            </wps:spPr>
                            <wps:style>
                              <a:lnRef idx="2">
                                <a:schemeClr val="accent6"/>
                              </a:lnRef>
                              <a:fillRef idx="1">
                                <a:schemeClr val="lt1"/>
                              </a:fillRef>
                              <a:effectRef idx="0">
                                <a:schemeClr val="accent6"/>
                              </a:effectRef>
                              <a:fontRef idx="minor">
                                <a:schemeClr val="dk1"/>
                              </a:fontRef>
                            </wps:style>
                            <wps:txbx>
                              <w:txbxContent>
                                <w:p w:rsidR="00DF10D6" w:rsidRDefault="00DF10D6" w:rsidP="00A848ED">
                                  <w:pPr>
                                    <w:pStyle w:val="NormalWeb"/>
                                  </w:pPr>
                                  <w:r>
                                    <w:rPr>
                                      <w:rFonts w:ascii="Cambria" w:eastAsia="MS Mincho" w:hAnsi="Cambria"/>
                                      <w:color w:val="000000" w:themeColor="dark1"/>
                                      <w:kern w:val="24"/>
                                      <w:sz w:val="20"/>
                                      <w:szCs w:val="20"/>
                                    </w:rPr>
                                    <w:t>Partnerships between regional, Australian, and Indonesian institutions on health security issues are fostered and promoted</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831909" id="Text Box 246" o:spid="_x0000_s1027" type="#_x0000_t202" style="position:absolute;margin-left:1206.1pt;margin-top:-232.95pt;width:130pt;height:72.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" fillcolor="#b4f7ff [665]" strokecolor="black [3213]" strokeweight=".25pt">
                      <v:stroke dashstyle="longDash"/>
                      <v:textbox>
                        <w:txbxContent>
                          <w:p w:rsidR="00DF10D6" w:rsidRDefault="00DF10D6" w:rsidP="00A848ED">
                            <w:pPr>
                              <w:pStyle w:val="NormalWeb"/>
                            </w:pPr>
                            <w:r>
                              <w:rPr>
                                <w:rFonts w:ascii="Cambria" w:eastAsia="MS Mincho" w:hAnsi="Cambria"/>
                                <w:color w:val="000000" w:themeColor="dark1"/>
                                <w:kern w:val="24"/>
                                <w:sz w:val="20"/>
                                <w:szCs w:val="20"/>
                              </w:rPr>
                              <w:t>Partnerships between regional, Australian, and Indonesian institutions on health security issues are fostered and promoted</w:t>
                            </w:r>
                          </w:p>
                        </w:txbxContent>
                      </v:textbox>
                    </v:shape>
                  </w:pict>
                </mc:Fallback>
              </mc:AlternateContent>
            </w:r>
            <w:r w:rsidRPr="00EB4FEE">
              <w:rPr>
                <w:rFonts w:asciiTheme="majorHAnsi" w:eastAsia="MS Mincho" w:hAnsiTheme="majorHAnsi" w:cstheme="majorHAnsi"/>
                <w:color w:val="595959" w:themeColor="text1" w:themeTint="A6"/>
                <w:lang w:val="en-US"/>
              </w:rPr>
              <w:t>Key evaluation questions</w:t>
            </w:r>
          </w:p>
        </w:tc>
        <w:tc>
          <w:tcPr>
            <w:tcW w:w="4604" w:type="dxa"/>
          </w:tcPr>
          <w:p w:rsidR="00F93982" w:rsidRPr="00EB4FEE" w:rsidRDefault="00F93982" w:rsidP="002167AE">
            <w:pPr>
              <w:tabs>
                <w:tab w:val="left" w:pos="0"/>
              </w:tabs>
              <w:spacing w:before="0" w:after="120" w:line="240" w:lineRule="auto"/>
              <w:rPr>
                <w:rFonts w:asciiTheme="majorHAnsi" w:eastAsia="MS Mincho" w:hAnsiTheme="majorHAnsi" w:cstheme="majorHAnsi"/>
                <w:color w:val="595959" w:themeColor="text1" w:themeTint="A6"/>
                <w:lang w:val="en-US"/>
              </w:rPr>
            </w:pPr>
            <w:r w:rsidRPr="00EB4FEE">
              <w:rPr>
                <w:rFonts w:asciiTheme="majorHAnsi" w:eastAsia="MS Mincho" w:hAnsiTheme="majorHAnsi" w:cstheme="majorHAnsi"/>
                <w:color w:val="595959" w:themeColor="text1" w:themeTint="A6"/>
                <w:lang w:val="en-US"/>
              </w:rPr>
              <w:t xml:space="preserve">Evidence needed </w:t>
            </w:r>
          </w:p>
        </w:tc>
        <w:tc>
          <w:tcPr>
            <w:tcW w:w="1582" w:type="dxa"/>
          </w:tcPr>
          <w:p w:rsidR="00F93982" w:rsidRPr="00EB4FEE" w:rsidRDefault="00F93982" w:rsidP="002167AE">
            <w:pPr>
              <w:tabs>
                <w:tab w:val="left" w:pos="0"/>
              </w:tabs>
              <w:spacing w:before="0" w:after="120" w:line="240" w:lineRule="auto"/>
              <w:rPr>
                <w:rFonts w:asciiTheme="majorHAnsi" w:eastAsia="MS Mincho" w:hAnsiTheme="majorHAnsi" w:cstheme="majorHAnsi"/>
                <w:color w:val="595959" w:themeColor="text1" w:themeTint="A6"/>
                <w:lang w:val="en-US"/>
              </w:rPr>
            </w:pPr>
            <w:r w:rsidRPr="00EB4FEE">
              <w:rPr>
                <w:rFonts w:asciiTheme="majorHAnsi" w:eastAsia="MS Mincho" w:hAnsiTheme="majorHAnsi" w:cstheme="majorHAnsi"/>
                <w:color w:val="595959" w:themeColor="text1" w:themeTint="A6"/>
                <w:lang w:val="en-US"/>
              </w:rPr>
              <w:t xml:space="preserve">Score card domain </w:t>
            </w:r>
          </w:p>
        </w:tc>
      </w:tr>
      <w:tr w:rsidR="00F93982" w:rsidRPr="00A561C9" w:rsidTr="00EB4FEE">
        <w:tc>
          <w:tcPr>
            <w:tcW w:w="936" w:type="dxa"/>
          </w:tcPr>
          <w:p w:rsidR="00F93982" w:rsidRPr="00F93982" w:rsidRDefault="00F93982" w:rsidP="00EB4FEE">
            <w:pPr>
              <w:pStyle w:val="NormalWeb"/>
              <w:numPr>
                <w:ilvl w:val="0"/>
                <w:numId w:val="89"/>
              </w:numPr>
              <w:spacing w:after="120"/>
              <w:rPr>
                <w:rFonts w:asciiTheme="majorHAnsi" w:eastAsia="MS Mincho" w:hAnsiTheme="majorHAnsi" w:cstheme="majorHAnsi"/>
                <w:color w:val="595959" w:themeColor="text1" w:themeTint="A6"/>
                <w:sz w:val="22"/>
                <w:szCs w:val="22"/>
              </w:rPr>
            </w:pPr>
          </w:p>
          <w:p w:rsidR="00F93982" w:rsidRPr="00EB4FEE" w:rsidRDefault="00F93982" w:rsidP="002167AE">
            <w:pPr>
              <w:pStyle w:val="NormalWeb"/>
              <w:spacing w:after="120"/>
              <w:rPr>
                <w:rFonts w:asciiTheme="majorHAnsi" w:eastAsia="MS Mincho" w:hAnsiTheme="majorHAnsi" w:cstheme="majorHAnsi"/>
                <w:color w:val="595959" w:themeColor="text1" w:themeTint="A6"/>
                <w:sz w:val="22"/>
                <w:szCs w:val="22"/>
              </w:rPr>
            </w:pPr>
          </w:p>
        </w:tc>
        <w:tc>
          <w:tcPr>
            <w:tcW w:w="1894" w:type="dxa"/>
          </w:tcPr>
          <w:p w:rsidR="00F93982" w:rsidRPr="00EB4FEE" w:rsidRDefault="00F93982" w:rsidP="002167AE">
            <w:pPr>
              <w:pStyle w:val="NormalWeb"/>
              <w:spacing w:after="120"/>
              <w:rPr>
                <w:rFonts w:asciiTheme="majorHAnsi" w:eastAsia="MS Mincho" w:hAnsiTheme="majorHAnsi" w:cstheme="majorHAnsi"/>
                <w:i/>
                <w:color w:val="595959" w:themeColor="text1" w:themeTint="A6"/>
                <w:sz w:val="22"/>
                <w:szCs w:val="22"/>
              </w:rPr>
            </w:pPr>
            <w:r w:rsidRPr="00EB4FEE">
              <w:rPr>
                <w:rFonts w:asciiTheme="majorHAnsi" w:eastAsia="MS Mincho" w:hAnsiTheme="majorHAnsi" w:cstheme="majorHAnsi"/>
                <w:i/>
                <w:color w:val="595959" w:themeColor="text1" w:themeTint="A6"/>
                <w:sz w:val="22"/>
                <w:szCs w:val="22"/>
              </w:rPr>
              <w:t>How effective was AIHSP in helping to improve policies and procedures related to health security sufficiently?</w:t>
            </w:r>
          </w:p>
        </w:tc>
        <w:tc>
          <w:tcPr>
            <w:tcW w:w="4604" w:type="dxa"/>
          </w:tcPr>
          <w:p w:rsidR="00F93982" w:rsidRPr="00EB4FEE" w:rsidRDefault="00F93982" w:rsidP="00A848ED">
            <w:pPr>
              <w:pStyle w:val="ListParagraph"/>
              <w:numPr>
                <w:ilvl w:val="0"/>
                <w:numId w:val="82"/>
              </w:numPr>
              <w:tabs>
                <w:tab w:val="left" w:pos="0"/>
              </w:tabs>
              <w:spacing w:after="120" w:line="240" w:lineRule="auto"/>
              <w:ind w:left="288" w:hanging="283"/>
              <w:contextualSpacing w:val="0"/>
              <w:jc w:val="left"/>
              <w:rPr>
                <w:rFonts w:asciiTheme="majorHAnsi" w:eastAsia="MS Mincho" w:hAnsiTheme="majorHAnsi" w:cstheme="majorHAnsi"/>
                <w:color w:val="595959" w:themeColor="text1" w:themeTint="A6"/>
              </w:rPr>
            </w:pPr>
            <w:r w:rsidRPr="00EB4FEE">
              <w:rPr>
                <w:rFonts w:asciiTheme="majorHAnsi" w:eastAsia="MS Mincho" w:hAnsiTheme="majorHAnsi" w:cstheme="majorHAnsi"/>
                <w:color w:val="595959" w:themeColor="text1" w:themeTint="A6"/>
              </w:rPr>
              <w:t>What policies and procedures were improved?</w:t>
            </w:r>
          </w:p>
          <w:p w:rsidR="00F93982" w:rsidRPr="00EB4FEE" w:rsidRDefault="00F93982" w:rsidP="00A848ED">
            <w:pPr>
              <w:pStyle w:val="ListParagraph"/>
              <w:numPr>
                <w:ilvl w:val="0"/>
                <w:numId w:val="82"/>
              </w:numPr>
              <w:tabs>
                <w:tab w:val="left" w:pos="0"/>
              </w:tabs>
              <w:spacing w:after="120" w:line="240" w:lineRule="auto"/>
              <w:ind w:left="288" w:hanging="283"/>
              <w:contextualSpacing w:val="0"/>
              <w:jc w:val="left"/>
              <w:rPr>
                <w:rFonts w:asciiTheme="majorHAnsi" w:eastAsia="MS Mincho" w:hAnsiTheme="majorHAnsi" w:cstheme="majorHAnsi"/>
                <w:color w:val="595959" w:themeColor="text1" w:themeTint="A6"/>
              </w:rPr>
            </w:pPr>
            <w:r w:rsidRPr="00EB4FEE">
              <w:rPr>
                <w:rFonts w:asciiTheme="majorHAnsi" w:eastAsia="MS Mincho" w:hAnsiTheme="majorHAnsi" w:cstheme="majorHAnsi"/>
                <w:color w:val="595959" w:themeColor="text1" w:themeTint="A6"/>
              </w:rPr>
              <w:t xml:space="preserve">What is the significance of these policy improvements for health security? </w:t>
            </w:r>
          </w:p>
          <w:p w:rsidR="00F93982" w:rsidRPr="00EB4FEE" w:rsidRDefault="00F93982" w:rsidP="00A848ED">
            <w:pPr>
              <w:pStyle w:val="ListParagraph"/>
              <w:numPr>
                <w:ilvl w:val="0"/>
                <w:numId w:val="82"/>
              </w:numPr>
              <w:tabs>
                <w:tab w:val="left" w:pos="0"/>
              </w:tabs>
              <w:spacing w:after="120" w:line="240" w:lineRule="auto"/>
              <w:ind w:left="288" w:hanging="283"/>
              <w:contextualSpacing w:val="0"/>
              <w:jc w:val="left"/>
              <w:rPr>
                <w:rFonts w:asciiTheme="majorHAnsi" w:eastAsia="MS Mincho" w:hAnsiTheme="majorHAnsi" w:cstheme="majorHAnsi"/>
                <w:color w:val="595959" w:themeColor="text1" w:themeTint="A6"/>
              </w:rPr>
            </w:pPr>
            <w:r w:rsidRPr="00EB4FEE">
              <w:rPr>
                <w:rFonts w:asciiTheme="majorHAnsi" w:eastAsia="MS Mincho" w:hAnsiTheme="majorHAnsi" w:cstheme="majorHAnsi"/>
                <w:color w:val="595959" w:themeColor="text1" w:themeTint="A6"/>
              </w:rPr>
              <w:t>To what extent was gender and inclusion considered?</w:t>
            </w:r>
          </w:p>
          <w:p w:rsidR="00F93982" w:rsidRPr="00EB4FEE" w:rsidRDefault="00F93982" w:rsidP="00A848ED">
            <w:pPr>
              <w:pStyle w:val="ListParagraph"/>
              <w:numPr>
                <w:ilvl w:val="0"/>
                <w:numId w:val="82"/>
              </w:numPr>
              <w:tabs>
                <w:tab w:val="left" w:pos="0"/>
              </w:tabs>
              <w:spacing w:after="120" w:line="240" w:lineRule="auto"/>
              <w:ind w:left="288" w:hanging="283"/>
              <w:contextualSpacing w:val="0"/>
              <w:jc w:val="left"/>
              <w:rPr>
                <w:rFonts w:asciiTheme="majorHAnsi" w:eastAsia="MS Mincho" w:hAnsiTheme="majorHAnsi" w:cstheme="majorHAnsi"/>
                <w:color w:val="595959" w:themeColor="text1" w:themeTint="A6"/>
              </w:rPr>
            </w:pPr>
            <w:r w:rsidRPr="00EB4FEE">
              <w:rPr>
                <w:rFonts w:asciiTheme="majorHAnsi" w:eastAsia="MS Mincho" w:hAnsiTheme="majorHAnsi" w:cstheme="majorHAnsi"/>
                <w:color w:val="595959" w:themeColor="text1" w:themeTint="A6"/>
              </w:rPr>
              <w:t>What was the role of AIHSP in this?</w:t>
            </w:r>
          </w:p>
        </w:tc>
        <w:tc>
          <w:tcPr>
            <w:tcW w:w="1582" w:type="dxa"/>
          </w:tcPr>
          <w:p w:rsidR="00F93982" w:rsidRPr="00EB4FEE" w:rsidRDefault="00F93982" w:rsidP="002167AE">
            <w:pPr>
              <w:tabs>
                <w:tab w:val="left" w:pos="0"/>
              </w:tabs>
              <w:spacing w:before="0" w:after="120" w:line="240" w:lineRule="auto"/>
              <w:rPr>
                <w:rFonts w:asciiTheme="majorHAnsi" w:eastAsia="MS Mincho" w:hAnsiTheme="majorHAnsi" w:cstheme="majorHAnsi"/>
                <w:color w:val="595959" w:themeColor="text1" w:themeTint="A6"/>
              </w:rPr>
            </w:pPr>
            <w:r w:rsidRPr="00EB4FEE">
              <w:rPr>
                <w:rFonts w:asciiTheme="majorHAnsi" w:eastAsia="MS Mincho" w:hAnsiTheme="majorHAnsi" w:cstheme="majorHAnsi"/>
                <w:color w:val="595959" w:themeColor="text1" w:themeTint="A6"/>
              </w:rPr>
              <w:t xml:space="preserve">Outcomes </w:t>
            </w:r>
          </w:p>
          <w:p w:rsidR="00F93982" w:rsidRPr="00EB4FEE" w:rsidRDefault="00F93982" w:rsidP="002167AE">
            <w:pPr>
              <w:tabs>
                <w:tab w:val="left" w:pos="0"/>
              </w:tabs>
              <w:spacing w:before="0" w:after="120" w:line="240" w:lineRule="auto"/>
              <w:rPr>
                <w:rFonts w:asciiTheme="majorHAnsi" w:eastAsia="MS Mincho" w:hAnsiTheme="majorHAnsi" w:cstheme="majorHAnsi"/>
                <w:color w:val="595959" w:themeColor="text1" w:themeTint="A6"/>
              </w:rPr>
            </w:pPr>
            <w:r w:rsidRPr="00EB4FEE">
              <w:rPr>
                <w:rFonts w:asciiTheme="majorHAnsi" w:eastAsia="MS Mincho" w:hAnsiTheme="majorHAnsi" w:cstheme="majorHAnsi"/>
                <w:color w:val="595959" w:themeColor="text1" w:themeTint="A6"/>
              </w:rPr>
              <w:t>EOPO1</w:t>
            </w:r>
          </w:p>
        </w:tc>
      </w:tr>
      <w:tr w:rsidR="00F93982" w:rsidRPr="00A561C9" w:rsidTr="00EB4FEE">
        <w:tc>
          <w:tcPr>
            <w:tcW w:w="936" w:type="dxa"/>
          </w:tcPr>
          <w:p w:rsidR="00F93982" w:rsidRPr="00EB4FEE" w:rsidRDefault="00F93982" w:rsidP="00EB4FEE">
            <w:pPr>
              <w:pStyle w:val="NormalWeb"/>
              <w:numPr>
                <w:ilvl w:val="0"/>
                <w:numId w:val="89"/>
              </w:numPr>
              <w:spacing w:after="120"/>
              <w:rPr>
                <w:rFonts w:asciiTheme="majorHAnsi" w:eastAsia="MS Mincho" w:hAnsiTheme="majorHAnsi" w:cstheme="majorHAnsi"/>
                <w:color w:val="595959" w:themeColor="text1" w:themeTint="A6"/>
                <w:sz w:val="22"/>
                <w:szCs w:val="22"/>
              </w:rPr>
            </w:pPr>
          </w:p>
        </w:tc>
        <w:tc>
          <w:tcPr>
            <w:tcW w:w="1894" w:type="dxa"/>
          </w:tcPr>
          <w:p w:rsidR="00F93982" w:rsidRPr="00EB4FEE" w:rsidRDefault="00F93982" w:rsidP="002167AE">
            <w:pPr>
              <w:pStyle w:val="NormalWeb"/>
              <w:spacing w:after="120"/>
              <w:rPr>
                <w:rFonts w:asciiTheme="majorHAnsi" w:eastAsia="MS Mincho" w:hAnsiTheme="majorHAnsi" w:cstheme="majorHAnsi"/>
                <w:i/>
                <w:color w:val="595959" w:themeColor="text1" w:themeTint="A6"/>
                <w:sz w:val="22"/>
                <w:szCs w:val="22"/>
              </w:rPr>
            </w:pPr>
            <w:r w:rsidRPr="00EB4FEE">
              <w:rPr>
                <w:rFonts w:asciiTheme="majorHAnsi" w:eastAsia="MS Mincho" w:hAnsiTheme="majorHAnsi" w:cstheme="majorHAnsi"/>
                <w:i/>
                <w:color w:val="595959" w:themeColor="text1" w:themeTint="A6"/>
                <w:sz w:val="22"/>
                <w:szCs w:val="22"/>
              </w:rPr>
              <w:t>Are key Indonesian agencies routinely coordinating and using formal means of information exchange, and what was the role of AIHSP?</w:t>
            </w:r>
          </w:p>
          <w:p w:rsidR="00F93982" w:rsidRPr="00EB4FEE" w:rsidRDefault="00F93982" w:rsidP="002167AE">
            <w:pPr>
              <w:tabs>
                <w:tab w:val="left" w:pos="0"/>
              </w:tabs>
              <w:spacing w:before="0" w:after="120" w:line="240" w:lineRule="auto"/>
              <w:rPr>
                <w:rFonts w:asciiTheme="majorHAnsi" w:eastAsia="MS Mincho" w:hAnsiTheme="majorHAnsi" w:cstheme="majorHAnsi"/>
                <w:i/>
                <w:color w:val="595959" w:themeColor="text1" w:themeTint="A6"/>
              </w:rPr>
            </w:pPr>
          </w:p>
        </w:tc>
        <w:tc>
          <w:tcPr>
            <w:tcW w:w="4604" w:type="dxa"/>
          </w:tcPr>
          <w:p w:rsidR="00F93982" w:rsidRPr="00EB4FEE" w:rsidRDefault="00F93982" w:rsidP="00A848ED">
            <w:pPr>
              <w:pStyle w:val="ListParagraph"/>
              <w:numPr>
                <w:ilvl w:val="0"/>
                <w:numId w:val="82"/>
              </w:numPr>
              <w:tabs>
                <w:tab w:val="left" w:pos="0"/>
              </w:tabs>
              <w:spacing w:after="120" w:line="240" w:lineRule="auto"/>
              <w:ind w:left="288" w:hanging="283"/>
              <w:contextualSpacing w:val="0"/>
              <w:jc w:val="left"/>
              <w:rPr>
                <w:rFonts w:asciiTheme="majorHAnsi" w:eastAsia="MS Mincho" w:hAnsiTheme="majorHAnsi" w:cstheme="majorHAnsi"/>
                <w:color w:val="595959" w:themeColor="text1" w:themeTint="A6"/>
              </w:rPr>
            </w:pPr>
            <w:r w:rsidRPr="00EB4FEE">
              <w:rPr>
                <w:rFonts w:asciiTheme="majorHAnsi" w:eastAsia="MS Mincho" w:hAnsiTheme="majorHAnsi" w:cstheme="majorHAnsi"/>
                <w:color w:val="595959" w:themeColor="text1" w:themeTint="A6"/>
              </w:rPr>
              <w:t>Who are the key agencies who should be coordinating formally?</w:t>
            </w:r>
          </w:p>
          <w:p w:rsidR="00F93982" w:rsidRPr="00EB4FEE" w:rsidRDefault="00F93982" w:rsidP="00A848ED">
            <w:pPr>
              <w:pStyle w:val="ListParagraph"/>
              <w:numPr>
                <w:ilvl w:val="0"/>
                <w:numId w:val="82"/>
              </w:numPr>
              <w:tabs>
                <w:tab w:val="left" w:pos="0"/>
              </w:tabs>
              <w:spacing w:after="120" w:line="240" w:lineRule="auto"/>
              <w:ind w:left="288" w:hanging="283"/>
              <w:contextualSpacing w:val="0"/>
              <w:jc w:val="left"/>
              <w:rPr>
                <w:rFonts w:asciiTheme="majorHAnsi" w:eastAsia="MS Mincho" w:hAnsiTheme="majorHAnsi" w:cstheme="majorHAnsi"/>
                <w:color w:val="595959" w:themeColor="text1" w:themeTint="A6"/>
              </w:rPr>
            </w:pPr>
            <w:r w:rsidRPr="00EB4FEE">
              <w:rPr>
                <w:rFonts w:asciiTheme="majorHAnsi" w:eastAsia="MS Mincho" w:hAnsiTheme="majorHAnsi" w:cstheme="majorHAnsi"/>
                <w:color w:val="595959" w:themeColor="text1" w:themeTint="A6"/>
              </w:rPr>
              <w:t>What changes occurred with regard to coordination and formal information exchange?</w:t>
            </w:r>
          </w:p>
          <w:p w:rsidR="00F93982" w:rsidRPr="00EB4FEE" w:rsidRDefault="00F93982" w:rsidP="00A848ED">
            <w:pPr>
              <w:pStyle w:val="ListParagraph"/>
              <w:numPr>
                <w:ilvl w:val="0"/>
                <w:numId w:val="82"/>
              </w:numPr>
              <w:tabs>
                <w:tab w:val="left" w:pos="0"/>
              </w:tabs>
              <w:spacing w:after="120" w:line="240" w:lineRule="auto"/>
              <w:ind w:left="288" w:hanging="283"/>
              <w:contextualSpacing w:val="0"/>
              <w:jc w:val="left"/>
              <w:rPr>
                <w:rFonts w:asciiTheme="majorHAnsi" w:eastAsia="MS Mincho" w:hAnsiTheme="majorHAnsi" w:cstheme="majorHAnsi"/>
                <w:color w:val="595959" w:themeColor="text1" w:themeTint="A6"/>
              </w:rPr>
            </w:pPr>
            <w:r w:rsidRPr="00EB4FEE">
              <w:rPr>
                <w:rFonts w:asciiTheme="majorHAnsi" w:eastAsia="MS Mincho" w:hAnsiTheme="majorHAnsi" w:cstheme="majorHAnsi"/>
                <w:color w:val="595959" w:themeColor="text1" w:themeTint="A6"/>
              </w:rPr>
              <w:t>What was the role of AIHSP?</w:t>
            </w:r>
          </w:p>
        </w:tc>
        <w:tc>
          <w:tcPr>
            <w:tcW w:w="1582" w:type="dxa"/>
          </w:tcPr>
          <w:p w:rsidR="00F93982" w:rsidRPr="00EB4FEE" w:rsidRDefault="00F93982" w:rsidP="002167AE">
            <w:pPr>
              <w:tabs>
                <w:tab w:val="left" w:pos="0"/>
              </w:tabs>
              <w:spacing w:before="0" w:after="120" w:line="240" w:lineRule="auto"/>
              <w:rPr>
                <w:rFonts w:asciiTheme="majorHAnsi" w:eastAsia="MS Mincho" w:hAnsiTheme="majorHAnsi" w:cstheme="majorHAnsi"/>
                <w:color w:val="595959" w:themeColor="text1" w:themeTint="A6"/>
              </w:rPr>
            </w:pPr>
            <w:r w:rsidRPr="00EB4FEE">
              <w:rPr>
                <w:rFonts w:asciiTheme="majorHAnsi" w:eastAsia="MS Mincho" w:hAnsiTheme="majorHAnsi" w:cstheme="majorHAnsi"/>
                <w:color w:val="595959" w:themeColor="text1" w:themeTint="A6"/>
              </w:rPr>
              <w:t>Outcomes</w:t>
            </w:r>
          </w:p>
          <w:p w:rsidR="00F93982" w:rsidRPr="00EB4FEE" w:rsidRDefault="00F93982" w:rsidP="002167AE">
            <w:pPr>
              <w:tabs>
                <w:tab w:val="left" w:pos="0"/>
              </w:tabs>
              <w:spacing w:before="0" w:after="120" w:line="240" w:lineRule="auto"/>
              <w:rPr>
                <w:rFonts w:asciiTheme="majorHAnsi" w:eastAsia="MS Mincho" w:hAnsiTheme="majorHAnsi" w:cstheme="majorHAnsi"/>
                <w:color w:val="595959" w:themeColor="text1" w:themeTint="A6"/>
              </w:rPr>
            </w:pPr>
            <w:r w:rsidRPr="00EB4FEE">
              <w:rPr>
                <w:rFonts w:asciiTheme="majorHAnsi" w:eastAsia="MS Mincho" w:hAnsiTheme="majorHAnsi" w:cstheme="majorHAnsi"/>
                <w:color w:val="595959" w:themeColor="text1" w:themeTint="A6"/>
              </w:rPr>
              <w:t>EOPO2</w:t>
            </w:r>
          </w:p>
        </w:tc>
      </w:tr>
      <w:tr w:rsidR="00F93982" w:rsidRPr="00A561C9" w:rsidTr="00EB4FEE">
        <w:tc>
          <w:tcPr>
            <w:tcW w:w="936" w:type="dxa"/>
          </w:tcPr>
          <w:p w:rsidR="00F93982" w:rsidRPr="00EB4FEE" w:rsidRDefault="00F93982" w:rsidP="00EB4FEE">
            <w:pPr>
              <w:pStyle w:val="ListParagraph"/>
              <w:numPr>
                <w:ilvl w:val="0"/>
                <w:numId w:val="89"/>
              </w:numPr>
              <w:tabs>
                <w:tab w:val="left" w:pos="0"/>
              </w:tabs>
              <w:spacing w:after="120" w:line="240" w:lineRule="auto"/>
              <w:rPr>
                <w:rFonts w:asciiTheme="majorHAnsi" w:eastAsia="MS Mincho" w:hAnsiTheme="majorHAnsi" w:cstheme="majorHAnsi"/>
                <w:color w:val="595959" w:themeColor="text1" w:themeTint="A6"/>
              </w:rPr>
            </w:pPr>
          </w:p>
        </w:tc>
        <w:tc>
          <w:tcPr>
            <w:tcW w:w="1894" w:type="dxa"/>
          </w:tcPr>
          <w:p w:rsidR="00F93982" w:rsidRPr="00EB4FEE" w:rsidRDefault="00F93982" w:rsidP="00EB4FEE">
            <w:pPr>
              <w:tabs>
                <w:tab w:val="left" w:pos="0"/>
              </w:tabs>
              <w:spacing w:before="0" w:after="120" w:line="240" w:lineRule="auto"/>
              <w:rPr>
                <w:color w:val="595959" w:themeColor="text1" w:themeTint="A6"/>
                <w:lang w:val="en-US"/>
              </w:rPr>
            </w:pPr>
            <w:r w:rsidRPr="00EB4FEE">
              <w:rPr>
                <w:rFonts w:asciiTheme="majorHAnsi" w:eastAsia="MS Mincho" w:hAnsiTheme="majorHAnsi" w:cstheme="majorHAnsi"/>
                <w:i/>
                <w:color w:val="595959" w:themeColor="text1" w:themeTint="A6"/>
              </w:rPr>
              <w:t xml:space="preserve">Are GoI animal and human health surveillance producing sufficiently useful and relevant </w:t>
            </w:r>
            <w:r w:rsidRPr="00EB4FEE">
              <w:rPr>
                <w:rFonts w:asciiTheme="majorHAnsi" w:eastAsia="MS Mincho" w:hAnsiTheme="majorHAnsi" w:cstheme="majorHAnsi"/>
                <w:bCs/>
                <w:i/>
                <w:color w:val="595959" w:themeColor="text1" w:themeTint="A6"/>
              </w:rPr>
              <w:t>information t</w:t>
            </w:r>
            <w:r w:rsidRPr="00EB4FEE">
              <w:rPr>
                <w:rFonts w:asciiTheme="majorHAnsi" w:eastAsia="MS Mincho" w:hAnsiTheme="majorHAnsi" w:cstheme="majorHAnsi"/>
                <w:i/>
                <w:color w:val="595959" w:themeColor="text1" w:themeTint="A6"/>
              </w:rPr>
              <w:t>o inform decisions, and what was the role of AIHSP?</w:t>
            </w:r>
          </w:p>
        </w:tc>
        <w:tc>
          <w:tcPr>
            <w:tcW w:w="4604" w:type="dxa"/>
          </w:tcPr>
          <w:p w:rsidR="00F93982" w:rsidRPr="00EB4FEE" w:rsidRDefault="00F93982" w:rsidP="002167AE">
            <w:pPr>
              <w:tabs>
                <w:tab w:val="left" w:pos="0"/>
              </w:tabs>
              <w:spacing w:before="0" w:after="120" w:line="240" w:lineRule="auto"/>
              <w:rPr>
                <w:rFonts w:asciiTheme="majorHAnsi" w:eastAsia="MS Mincho" w:hAnsiTheme="majorHAnsi" w:cstheme="majorHAnsi"/>
                <w:color w:val="595959" w:themeColor="text1" w:themeTint="A6"/>
                <w:lang w:val="en-US"/>
              </w:rPr>
            </w:pPr>
            <w:r w:rsidRPr="00EB4FEE">
              <w:rPr>
                <w:rFonts w:asciiTheme="majorHAnsi" w:eastAsia="MS Mincho" w:hAnsiTheme="majorHAnsi" w:cstheme="majorHAnsi"/>
                <w:color w:val="595959" w:themeColor="text1" w:themeTint="A6"/>
                <w:lang w:val="en-US"/>
              </w:rPr>
              <w:t>See intermediate outcomes.</w:t>
            </w:r>
          </w:p>
        </w:tc>
        <w:tc>
          <w:tcPr>
            <w:tcW w:w="1582" w:type="dxa"/>
          </w:tcPr>
          <w:p w:rsidR="00F93982" w:rsidRPr="00EB4FEE" w:rsidRDefault="00F93982" w:rsidP="002167AE">
            <w:pPr>
              <w:tabs>
                <w:tab w:val="left" w:pos="0"/>
              </w:tabs>
              <w:spacing w:before="0" w:after="120" w:line="240" w:lineRule="auto"/>
              <w:rPr>
                <w:rFonts w:asciiTheme="majorHAnsi" w:eastAsia="MS Mincho" w:hAnsiTheme="majorHAnsi" w:cstheme="majorHAnsi"/>
                <w:color w:val="595959" w:themeColor="text1" w:themeTint="A6"/>
              </w:rPr>
            </w:pPr>
            <w:r w:rsidRPr="00EB4FEE">
              <w:rPr>
                <w:rFonts w:asciiTheme="majorHAnsi" w:eastAsia="MS Mincho" w:hAnsiTheme="majorHAnsi" w:cstheme="majorHAnsi"/>
                <w:color w:val="595959" w:themeColor="text1" w:themeTint="A6"/>
              </w:rPr>
              <w:t>Outcomes</w:t>
            </w:r>
          </w:p>
          <w:p w:rsidR="00F93982" w:rsidRPr="00EB4FEE" w:rsidRDefault="00F93982" w:rsidP="002167AE">
            <w:pPr>
              <w:tabs>
                <w:tab w:val="left" w:pos="0"/>
              </w:tabs>
              <w:spacing w:before="0" w:after="120" w:line="240" w:lineRule="auto"/>
              <w:rPr>
                <w:rFonts w:asciiTheme="majorHAnsi" w:eastAsia="MS Mincho" w:hAnsiTheme="majorHAnsi" w:cstheme="majorHAnsi"/>
                <w:color w:val="595959" w:themeColor="text1" w:themeTint="A6"/>
                <w:lang w:val="en-US"/>
              </w:rPr>
            </w:pPr>
            <w:r w:rsidRPr="00EB4FEE">
              <w:rPr>
                <w:rFonts w:asciiTheme="majorHAnsi" w:eastAsia="MS Mincho" w:hAnsiTheme="majorHAnsi" w:cstheme="majorHAnsi"/>
                <w:color w:val="595959" w:themeColor="text1" w:themeTint="A6"/>
                <w:lang w:val="en-US"/>
              </w:rPr>
              <w:t>EOPO3</w:t>
            </w:r>
          </w:p>
        </w:tc>
      </w:tr>
      <w:tr w:rsidR="00F93982" w:rsidRPr="00A561C9" w:rsidTr="00EB4FEE">
        <w:tc>
          <w:tcPr>
            <w:tcW w:w="936" w:type="dxa"/>
          </w:tcPr>
          <w:p w:rsidR="00F93982" w:rsidRPr="00EB4FEE" w:rsidRDefault="00F93982" w:rsidP="00EB4FEE">
            <w:pPr>
              <w:pStyle w:val="ListParagraph"/>
              <w:numPr>
                <w:ilvl w:val="0"/>
                <w:numId w:val="89"/>
              </w:numPr>
              <w:tabs>
                <w:tab w:val="left" w:pos="0"/>
              </w:tabs>
              <w:spacing w:after="120" w:line="240" w:lineRule="auto"/>
              <w:rPr>
                <w:rFonts w:asciiTheme="majorHAnsi" w:eastAsia="MS Mincho" w:hAnsiTheme="majorHAnsi" w:cstheme="majorHAnsi"/>
                <w:color w:val="595959" w:themeColor="text1" w:themeTint="A6"/>
              </w:rPr>
            </w:pPr>
          </w:p>
        </w:tc>
        <w:tc>
          <w:tcPr>
            <w:tcW w:w="1894" w:type="dxa"/>
          </w:tcPr>
          <w:p w:rsidR="00F93982" w:rsidRPr="00EB4FEE" w:rsidRDefault="00F93982" w:rsidP="00EB4FEE">
            <w:pPr>
              <w:tabs>
                <w:tab w:val="left" w:pos="0"/>
              </w:tabs>
              <w:spacing w:before="0" w:after="120" w:line="240" w:lineRule="auto"/>
              <w:rPr>
                <w:color w:val="595959" w:themeColor="text1" w:themeTint="A6"/>
                <w:lang w:val="en-US"/>
              </w:rPr>
            </w:pPr>
            <w:r w:rsidRPr="00EB4FEE">
              <w:rPr>
                <w:rFonts w:asciiTheme="majorHAnsi" w:eastAsia="MS Mincho" w:hAnsiTheme="majorHAnsi" w:cstheme="majorHAnsi"/>
                <w:i/>
                <w:color w:val="595959" w:themeColor="text1" w:themeTint="A6"/>
              </w:rPr>
              <w:t>How effective was AIHSP in strengthening partnerships between regional, Australian, and Indonesian institutions on health security issues?</w:t>
            </w:r>
          </w:p>
        </w:tc>
        <w:tc>
          <w:tcPr>
            <w:tcW w:w="4604" w:type="dxa"/>
          </w:tcPr>
          <w:p w:rsidR="00F93982" w:rsidRPr="00EB4FEE" w:rsidRDefault="00F93982" w:rsidP="00A848ED">
            <w:pPr>
              <w:pStyle w:val="ListParagraph"/>
              <w:numPr>
                <w:ilvl w:val="0"/>
                <w:numId w:val="82"/>
              </w:numPr>
              <w:tabs>
                <w:tab w:val="left" w:pos="0"/>
              </w:tabs>
              <w:spacing w:after="120" w:line="240" w:lineRule="auto"/>
              <w:ind w:left="288" w:hanging="283"/>
              <w:contextualSpacing w:val="0"/>
              <w:jc w:val="left"/>
              <w:rPr>
                <w:rFonts w:asciiTheme="majorHAnsi" w:eastAsia="MS Mincho" w:hAnsiTheme="majorHAnsi" w:cstheme="majorHAnsi"/>
                <w:color w:val="595959" w:themeColor="text1" w:themeTint="A6"/>
              </w:rPr>
            </w:pPr>
            <w:r w:rsidRPr="00EB4FEE">
              <w:rPr>
                <w:rFonts w:asciiTheme="majorHAnsi" w:eastAsia="MS Mincho" w:hAnsiTheme="majorHAnsi" w:cstheme="majorHAnsi"/>
                <w:color w:val="595959" w:themeColor="text1" w:themeTint="A6"/>
              </w:rPr>
              <w:t>What new partnerships were formed?</w:t>
            </w:r>
          </w:p>
          <w:p w:rsidR="00F93982" w:rsidRPr="00EB4FEE" w:rsidRDefault="00F93982" w:rsidP="00A848ED">
            <w:pPr>
              <w:pStyle w:val="ListParagraph"/>
              <w:numPr>
                <w:ilvl w:val="0"/>
                <w:numId w:val="82"/>
              </w:numPr>
              <w:tabs>
                <w:tab w:val="left" w:pos="0"/>
              </w:tabs>
              <w:spacing w:after="120" w:line="240" w:lineRule="auto"/>
              <w:ind w:left="288" w:hanging="283"/>
              <w:contextualSpacing w:val="0"/>
              <w:jc w:val="left"/>
              <w:rPr>
                <w:rFonts w:asciiTheme="majorHAnsi" w:eastAsia="MS Mincho" w:hAnsiTheme="majorHAnsi" w:cstheme="majorHAnsi"/>
                <w:color w:val="595959" w:themeColor="text1" w:themeTint="A6"/>
              </w:rPr>
            </w:pPr>
            <w:r w:rsidRPr="00EB4FEE">
              <w:rPr>
                <w:rFonts w:asciiTheme="majorHAnsi" w:eastAsia="MS Mincho" w:hAnsiTheme="majorHAnsi" w:cstheme="majorHAnsi"/>
                <w:color w:val="595959" w:themeColor="text1" w:themeTint="A6"/>
              </w:rPr>
              <w:t>How sustainable are these partnerships?</w:t>
            </w:r>
          </w:p>
          <w:p w:rsidR="00F93982" w:rsidRPr="00EB4FEE" w:rsidRDefault="00F93982" w:rsidP="00A848ED">
            <w:pPr>
              <w:pStyle w:val="ListParagraph"/>
              <w:numPr>
                <w:ilvl w:val="0"/>
                <w:numId w:val="82"/>
              </w:numPr>
              <w:tabs>
                <w:tab w:val="left" w:pos="0"/>
              </w:tabs>
              <w:spacing w:after="120" w:line="240" w:lineRule="auto"/>
              <w:ind w:left="288" w:hanging="283"/>
              <w:contextualSpacing w:val="0"/>
              <w:jc w:val="left"/>
              <w:rPr>
                <w:rFonts w:asciiTheme="majorHAnsi" w:eastAsia="MS Mincho" w:hAnsiTheme="majorHAnsi" w:cstheme="majorHAnsi"/>
                <w:color w:val="595959" w:themeColor="text1" w:themeTint="A6"/>
              </w:rPr>
            </w:pPr>
            <w:r w:rsidRPr="00EB4FEE">
              <w:rPr>
                <w:rFonts w:asciiTheme="majorHAnsi" w:eastAsia="MS Mincho" w:hAnsiTheme="majorHAnsi" w:cstheme="majorHAnsi"/>
                <w:color w:val="595959" w:themeColor="text1" w:themeTint="A6"/>
              </w:rPr>
              <w:t>What was the role of AIHSP?</w:t>
            </w:r>
          </w:p>
        </w:tc>
        <w:tc>
          <w:tcPr>
            <w:tcW w:w="1582" w:type="dxa"/>
          </w:tcPr>
          <w:p w:rsidR="00F93982" w:rsidRPr="00EB4FEE" w:rsidRDefault="00F93982" w:rsidP="002167AE">
            <w:pPr>
              <w:tabs>
                <w:tab w:val="left" w:pos="0"/>
              </w:tabs>
              <w:spacing w:before="0" w:after="120" w:line="240" w:lineRule="auto"/>
              <w:rPr>
                <w:rFonts w:asciiTheme="majorHAnsi" w:eastAsia="MS Mincho" w:hAnsiTheme="majorHAnsi" w:cstheme="majorHAnsi"/>
                <w:color w:val="595959" w:themeColor="text1" w:themeTint="A6"/>
              </w:rPr>
            </w:pPr>
            <w:r w:rsidRPr="00EB4FEE">
              <w:rPr>
                <w:rFonts w:asciiTheme="majorHAnsi" w:eastAsia="MS Mincho" w:hAnsiTheme="majorHAnsi" w:cstheme="majorHAnsi"/>
                <w:color w:val="595959" w:themeColor="text1" w:themeTint="A6"/>
              </w:rPr>
              <w:t>Outcomes</w:t>
            </w:r>
          </w:p>
          <w:p w:rsidR="00F93982" w:rsidRPr="00EB4FEE" w:rsidRDefault="00F93982" w:rsidP="002167AE">
            <w:pPr>
              <w:tabs>
                <w:tab w:val="left" w:pos="0"/>
              </w:tabs>
              <w:spacing w:before="0" w:after="120" w:line="240" w:lineRule="auto"/>
              <w:rPr>
                <w:rFonts w:asciiTheme="majorHAnsi" w:eastAsia="MS Mincho" w:hAnsiTheme="majorHAnsi" w:cstheme="majorHAnsi"/>
                <w:color w:val="595959" w:themeColor="text1" w:themeTint="A6"/>
                <w:lang w:val="en-US"/>
              </w:rPr>
            </w:pPr>
            <w:r w:rsidRPr="00EB4FEE">
              <w:rPr>
                <w:rFonts w:asciiTheme="majorHAnsi" w:eastAsia="MS Mincho" w:hAnsiTheme="majorHAnsi" w:cstheme="majorHAnsi"/>
                <w:color w:val="595959" w:themeColor="text1" w:themeTint="A6"/>
                <w:lang w:val="en-US"/>
              </w:rPr>
              <w:t>EOPO4</w:t>
            </w:r>
          </w:p>
        </w:tc>
      </w:tr>
      <w:tr w:rsidR="00F93982" w:rsidRPr="00A561C9" w:rsidTr="00EB4FEE">
        <w:tc>
          <w:tcPr>
            <w:tcW w:w="936" w:type="dxa"/>
          </w:tcPr>
          <w:p w:rsidR="00F93982" w:rsidRPr="00EB4FEE" w:rsidRDefault="00F93982" w:rsidP="00EB4FEE">
            <w:pPr>
              <w:pStyle w:val="ListParagraph"/>
              <w:numPr>
                <w:ilvl w:val="0"/>
                <w:numId w:val="89"/>
              </w:numPr>
              <w:tabs>
                <w:tab w:val="left" w:pos="0"/>
              </w:tabs>
              <w:spacing w:after="120" w:line="240" w:lineRule="auto"/>
              <w:rPr>
                <w:rFonts w:asciiTheme="majorHAnsi" w:eastAsia="MS Mincho" w:hAnsiTheme="majorHAnsi" w:cstheme="majorHAnsi"/>
                <w:color w:val="595959" w:themeColor="text1" w:themeTint="A6"/>
              </w:rPr>
            </w:pPr>
          </w:p>
        </w:tc>
        <w:tc>
          <w:tcPr>
            <w:tcW w:w="1894" w:type="dxa"/>
          </w:tcPr>
          <w:p w:rsidR="00F93982" w:rsidRPr="00EB4FEE" w:rsidRDefault="00F93982" w:rsidP="002167AE">
            <w:pPr>
              <w:tabs>
                <w:tab w:val="left" w:pos="0"/>
              </w:tabs>
              <w:spacing w:before="0" w:after="120" w:line="240" w:lineRule="auto"/>
              <w:rPr>
                <w:rFonts w:asciiTheme="majorHAnsi" w:eastAsia="MS Mincho" w:hAnsiTheme="majorHAnsi" w:cstheme="majorHAnsi"/>
                <w:i/>
                <w:color w:val="595959" w:themeColor="text1" w:themeTint="A6"/>
                <w:lang w:val="en-US"/>
              </w:rPr>
            </w:pPr>
            <w:r w:rsidRPr="00EB4FEE">
              <w:rPr>
                <w:rFonts w:asciiTheme="majorHAnsi" w:eastAsia="MS Mincho" w:hAnsiTheme="majorHAnsi" w:cstheme="majorHAnsi"/>
                <w:i/>
                <w:color w:val="595959" w:themeColor="text1" w:themeTint="A6"/>
                <w:lang w:val="en-US"/>
              </w:rPr>
              <w:t>How relevant and strategic are the choice of activities?</w:t>
            </w:r>
          </w:p>
        </w:tc>
        <w:tc>
          <w:tcPr>
            <w:tcW w:w="4604" w:type="dxa"/>
          </w:tcPr>
          <w:p w:rsidR="00F93982" w:rsidRPr="00EB4FEE" w:rsidRDefault="00F93982" w:rsidP="002167AE">
            <w:pPr>
              <w:tabs>
                <w:tab w:val="left" w:pos="0"/>
              </w:tabs>
              <w:spacing w:before="0" w:after="120" w:line="240" w:lineRule="auto"/>
              <w:rPr>
                <w:rFonts w:asciiTheme="majorHAnsi" w:eastAsia="MS Mincho" w:hAnsiTheme="majorHAnsi" w:cstheme="majorHAnsi"/>
                <w:color w:val="595959" w:themeColor="text1" w:themeTint="A6"/>
                <w:highlight w:val="yellow"/>
                <w:lang w:val="en-US"/>
              </w:rPr>
            </w:pPr>
          </w:p>
        </w:tc>
        <w:tc>
          <w:tcPr>
            <w:tcW w:w="1582" w:type="dxa"/>
          </w:tcPr>
          <w:p w:rsidR="00F93982" w:rsidRPr="00EB4FEE" w:rsidRDefault="00F93982" w:rsidP="002167AE">
            <w:pPr>
              <w:tabs>
                <w:tab w:val="left" w:pos="0"/>
              </w:tabs>
              <w:spacing w:before="0" w:after="120" w:line="240" w:lineRule="auto"/>
              <w:rPr>
                <w:rFonts w:asciiTheme="majorHAnsi" w:eastAsia="MS Mincho" w:hAnsiTheme="majorHAnsi" w:cstheme="majorHAnsi"/>
                <w:color w:val="595959" w:themeColor="text1" w:themeTint="A6"/>
                <w:lang w:val="en-US"/>
              </w:rPr>
            </w:pPr>
            <w:r w:rsidRPr="00EB4FEE">
              <w:rPr>
                <w:rFonts w:asciiTheme="majorHAnsi" w:eastAsia="MS Mincho" w:hAnsiTheme="majorHAnsi" w:cstheme="majorHAnsi"/>
                <w:color w:val="595959" w:themeColor="text1" w:themeTint="A6"/>
                <w:lang w:val="en-US"/>
              </w:rPr>
              <w:t>Quality</w:t>
            </w:r>
          </w:p>
        </w:tc>
      </w:tr>
      <w:tr w:rsidR="00F93982" w:rsidRPr="00A561C9" w:rsidTr="00EB4FEE">
        <w:tc>
          <w:tcPr>
            <w:tcW w:w="936" w:type="dxa"/>
          </w:tcPr>
          <w:p w:rsidR="00F93982" w:rsidRPr="00EB4FEE" w:rsidRDefault="00F93982" w:rsidP="00EB4FEE">
            <w:pPr>
              <w:pStyle w:val="ListParagraph"/>
              <w:numPr>
                <w:ilvl w:val="0"/>
                <w:numId w:val="89"/>
              </w:numPr>
              <w:tabs>
                <w:tab w:val="left" w:pos="0"/>
              </w:tabs>
              <w:spacing w:after="120" w:line="240" w:lineRule="auto"/>
              <w:rPr>
                <w:rFonts w:asciiTheme="majorHAnsi" w:eastAsia="MS Mincho" w:hAnsiTheme="majorHAnsi" w:cstheme="majorHAnsi"/>
                <w:color w:val="595959" w:themeColor="text1" w:themeTint="A6"/>
              </w:rPr>
            </w:pPr>
          </w:p>
        </w:tc>
        <w:tc>
          <w:tcPr>
            <w:tcW w:w="1894" w:type="dxa"/>
          </w:tcPr>
          <w:p w:rsidR="00F93982" w:rsidRPr="00EB4FEE" w:rsidRDefault="00F93982" w:rsidP="002167AE">
            <w:pPr>
              <w:tabs>
                <w:tab w:val="left" w:pos="0"/>
              </w:tabs>
              <w:spacing w:before="0" w:after="120" w:line="240" w:lineRule="auto"/>
              <w:rPr>
                <w:rFonts w:asciiTheme="majorHAnsi" w:eastAsia="MS Mincho" w:hAnsiTheme="majorHAnsi" w:cstheme="majorHAnsi"/>
                <w:i/>
                <w:color w:val="595959" w:themeColor="text1" w:themeTint="A6"/>
                <w:lang w:val="en-US"/>
              </w:rPr>
            </w:pPr>
            <w:r w:rsidRPr="00EB4FEE">
              <w:rPr>
                <w:rFonts w:asciiTheme="majorHAnsi" w:eastAsia="MS Mincho" w:hAnsiTheme="majorHAnsi" w:cstheme="majorHAnsi"/>
                <w:i/>
                <w:color w:val="595959" w:themeColor="text1" w:themeTint="A6"/>
                <w:lang w:val="en-US"/>
              </w:rPr>
              <w:t>How well managed is the program?</w:t>
            </w:r>
          </w:p>
        </w:tc>
        <w:tc>
          <w:tcPr>
            <w:tcW w:w="4604" w:type="dxa"/>
          </w:tcPr>
          <w:p w:rsidR="00F93982" w:rsidRPr="00EB4FEE" w:rsidRDefault="00F93982" w:rsidP="00EB4FEE">
            <w:pPr>
              <w:pStyle w:val="ListParagraph"/>
              <w:numPr>
                <w:ilvl w:val="0"/>
                <w:numId w:val="86"/>
              </w:numPr>
              <w:tabs>
                <w:tab w:val="left" w:pos="0"/>
              </w:tabs>
              <w:spacing w:after="120" w:line="240" w:lineRule="auto"/>
              <w:rPr>
                <w:rFonts w:asciiTheme="majorHAnsi" w:eastAsia="MS Mincho" w:hAnsiTheme="majorHAnsi" w:cstheme="majorHAnsi"/>
                <w:color w:val="595959" w:themeColor="text1" w:themeTint="A6"/>
              </w:rPr>
            </w:pPr>
            <w:r w:rsidRPr="00EB4FEE">
              <w:rPr>
                <w:rFonts w:asciiTheme="majorHAnsi" w:eastAsia="MS Mincho" w:hAnsiTheme="majorHAnsi" w:cstheme="majorHAnsi"/>
                <w:color w:val="595959" w:themeColor="text1" w:themeTint="A6"/>
              </w:rPr>
              <w:t>Effectiveness of M&amp;E and learning</w:t>
            </w:r>
            <w:r>
              <w:rPr>
                <w:rFonts w:asciiTheme="majorHAnsi" w:eastAsia="MS Mincho" w:hAnsiTheme="majorHAnsi" w:cstheme="majorHAnsi"/>
                <w:color w:val="595959" w:themeColor="text1" w:themeTint="A6"/>
              </w:rPr>
              <w:t>.</w:t>
            </w:r>
          </w:p>
          <w:p w:rsidR="00F93982" w:rsidRPr="00EB4FEE" w:rsidRDefault="00F93982" w:rsidP="00EB4FEE">
            <w:pPr>
              <w:pStyle w:val="ListParagraph"/>
              <w:numPr>
                <w:ilvl w:val="0"/>
                <w:numId w:val="86"/>
              </w:numPr>
              <w:tabs>
                <w:tab w:val="left" w:pos="0"/>
              </w:tabs>
              <w:spacing w:after="120" w:line="240" w:lineRule="auto"/>
              <w:rPr>
                <w:rFonts w:asciiTheme="majorHAnsi" w:eastAsia="MS Mincho" w:hAnsiTheme="majorHAnsi" w:cstheme="majorHAnsi"/>
                <w:color w:val="595959" w:themeColor="text1" w:themeTint="A6"/>
              </w:rPr>
            </w:pPr>
            <w:r w:rsidRPr="00EB4FEE">
              <w:rPr>
                <w:rFonts w:asciiTheme="majorHAnsi" w:eastAsia="MS Mincho" w:hAnsiTheme="majorHAnsi" w:cstheme="majorHAnsi"/>
                <w:color w:val="595959" w:themeColor="text1" w:themeTint="A6"/>
              </w:rPr>
              <w:t>Partnership and engagement with GoI</w:t>
            </w:r>
            <w:r>
              <w:rPr>
                <w:rFonts w:asciiTheme="majorHAnsi" w:eastAsia="MS Mincho" w:hAnsiTheme="majorHAnsi" w:cstheme="majorHAnsi"/>
                <w:color w:val="595959" w:themeColor="text1" w:themeTint="A6"/>
              </w:rPr>
              <w:t>.</w:t>
            </w:r>
          </w:p>
          <w:p w:rsidR="00F93982" w:rsidRPr="00EB4FEE" w:rsidRDefault="00F93982" w:rsidP="002167AE">
            <w:pPr>
              <w:tabs>
                <w:tab w:val="left" w:pos="0"/>
              </w:tabs>
              <w:spacing w:before="0" w:after="120" w:line="240" w:lineRule="auto"/>
              <w:rPr>
                <w:rFonts w:asciiTheme="majorHAnsi" w:eastAsia="MS Mincho" w:hAnsiTheme="majorHAnsi" w:cstheme="majorHAnsi"/>
                <w:color w:val="595959" w:themeColor="text1" w:themeTint="A6"/>
                <w:lang w:val="en-US"/>
              </w:rPr>
            </w:pPr>
          </w:p>
        </w:tc>
        <w:tc>
          <w:tcPr>
            <w:tcW w:w="1582" w:type="dxa"/>
          </w:tcPr>
          <w:p w:rsidR="00F93982" w:rsidRPr="00EB4FEE" w:rsidRDefault="00F93982" w:rsidP="002167AE">
            <w:pPr>
              <w:tabs>
                <w:tab w:val="left" w:pos="0"/>
              </w:tabs>
              <w:spacing w:before="0" w:after="120" w:line="240" w:lineRule="auto"/>
              <w:rPr>
                <w:rFonts w:asciiTheme="majorHAnsi" w:eastAsia="MS Mincho" w:hAnsiTheme="majorHAnsi" w:cstheme="majorHAnsi"/>
                <w:color w:val="595959" w:themeColor="text1" w:themeTint="A6"/>
                <w:lang w:val="en-US"/>
              </w:rPr>
            </w:pPr>
            <w:r w:rsidRPr="00EB4FEE">
              <w:rPr>
                <w:rFonts w:asciiTheme="majorHAnsi" w:eastAsia="MS Mincho" w:hAnsiTheme="majorHAnsi" w:cstheme="majorHAnsi"/>
                <w:color w:val="595959" w:themeColor="text1" w:themeTint="A6"/>
                <w:lang w:val="en-US"/>
              </w:rPr>
              <w:t xml:space="preserve">Quality </w:t>
            </w:r>
          </w:p>
        </w:tc>
      </w:tr>
      <w:tr w:rsidR="00F93982" w:rsidRPr="00A561C9" w:rsidTr="00EB4FEE">
        <w:tc>
          <w:tcPr>
            <w:tcW w:w="936" w:type="dxa"/>
          </w:tcPr>
          <w:p w:rsidR="00F93982" w:rsidRPr="00EB4FEE" w:rsidRDefault="00F93982" w:rsidP="00EB4FEE">
            <w:pPr>
              <w:pStyle w:val="ListParagraph"/>
              <w:numPr>
                <w:ilvl w:val="0"/>
                <w:numId w:val="89"/>
              </w:numPr>
              <w:tabs>
                <w:tab w:val="left" w:pos="0"/>
              </w:tabs>
              <w:spacing w:after="120" w:line="240" w:lineRule="auto"/>
              <w:rPr>
                <w:rFonts w:asciiTheme="majorHAnsi" w:eastAsia="MS Mincho" w:hAnsiTheme="majorHAnsi" w:cstheme="majorHAnsi"/>
                <w:color w:val="595959" w:themeColor="text1" w:themeTint="A6"/>
              </w:rPr>
            </w:pPr>
          </w:p>
        </w:tc>
        <w:tc>
          <w:tcPr>
            <w:tcW w:w="1894" w:type="dxa"/>
          </w:tcPr>
          <w:p w:rsidR="00F93982" w:rsidRPr="00EB4FEE" w:rsidRDefault="00F93982" w:rsidP="002167AE">
            <w:pPr>
              <w:tabs>
                <w:tab w:val="left" w:pos="0"/>
              </w:tabs>
              <w:spacing w:before="0" w:after="120" w:line="240" w:lineRule="auto"/>
              <w:rPr>
                <w:rFonts w:asciiTheme="majorHAnsi" w:eastAsia="MS Mincho" w:hAnsiTheme="majorHAnsi" w:cstheme="majorHAnsi"/>
                <w:i/>
                <w:color w:val="595959" w:themeColor="text1" w:themeTint="A6"/>
                <w:lang w:val="en-US"/>
              </w:rPr>
            </w:pPr>
            <w:r w:rsidRPr="00EB4FEE">
              <w:rPr>
                <w:rFonts w:asciiTheme="majorHAnsi" w:eastAsia="MS Mincho" w:hAnsiTheme="majorHAnsi" w:cstheme="majorHAnsi"/>
                <w:i/>
                <w:color w:val="595959" w:themeColor="text1" w:themeTint="A6"/>
                <w:lang w:val="en-US"/>
              </w:rPr>
              <w:t xml:space="preserve">How well has the project coordinated with other Australian Government initiatives? </w:t>
            </w:r>
          </w:p>
        </w:tc>
        <w:tc>
          <w:tcPr>
            <w:tcW w:w="4604" w:type="dxa"/>
          </w:tcPr>
          <w:p w:rsidR="00F93982" w:rsidRPr="00EB4FEE" w:rsidRDefault="00F93982" w:rsidP="00A848ED">
            <w:pPr>
              <w:pStyle w:val="ListParagraph"/>
              <w:numPr>
                <w:ilvl w:val="0"/>
                <w:numId w:val="82"/>
              </w:numPr>
              <w:tabs>
                <w:tab w:val="left" w:pos="0"/>
              </w:tabs>
              <w:spacing w:after="120" w:line="240" w:lineRule="auto"/>
              <w:ind w:left="288" w:hanging="283"/>
              <w:contextualSpacing w:val="0"/>
              <w:jc w:val="left"/>
              <w:rPr>
                <w:rFonts w:asciiTheme="majorHAnsi" w:eastAsia="MS Mincho" w:hAnsiTheme="majorHAnsi" w:cstheme="majorHAnsi"/>
                <w:color w:val="595959" w:themeColor="text1" w:themeTint="A6"/>
              </w:rPr>
            </w:pPr>
            <w:r w:rsidRPr="00EB4FEE">
              <w:rPr>
                <w:rFonts w:asciiTheme="majorHAnsi" w:eastAsia="MS Mincho" w:hAnsiTheme="majorHAnsi" w:cstheme="majorHAnsi"/>
                <w:color w:val="595959" w:themeColor="text1" w:themeTint="A6"/>
              </w:rPr>
              <w:t>Has AIHSP coordinated with IPCHS and other Australian Government initiatives/agencies?</w:t>
            </w:r>
          </w:p>
          <w:p w:rsidR="00F93982" w:rsidRPr="00EB4FEE" w:rsidRDefault="00F93982" w:rsidP="00A848ED">
            <w:pPr>
              <w:pStyle w:val="ListParagraph"/>
              <w:numPr>
                <w:ilvl w:val="0"/>
                <w:numId w:val="82"/>
              </w:numPr>
              <w:tabs>
                <w:tab w:val="left" w:pos="0"/>
              </w:tabs>
              <w:spacing w:after="120" w:line="240" w:lineRule="auto"/>
              <w:ind w:left="288" w:hanging="283"/>
              <w:contextualSpacing w:val="0"/>
              <w:jc w:val="left"/>
              <w:rPr>
                <w:rFonts w:asciiTheme="majorHAnsi" w:eastAsia="MS Mincho" w:hAnsiTheme="majorHAnsi" w:cstheme="majorHAnsi"/>
                <w:color w:val="595959" w:themeColor="text1" w:themeTint="A6"/>
              </w:rPr>
            </w:pPr>
            <w:r w:rsidRPr="00EB4FEE">
              <w:rPr>
                <w:rFonts w:asciiTheme="majorHAnsi" w:eastAsia="MS Mincho" w:hAnsiTheme="majorHAnsi" w:cstheme="majorHAnsi"/>
                <w:color w:val="595959" w:themeColor="text1" w:themeTint="A6"/>
              </w:rPr>
              <w:t>Are compl</w:t>
            </w:r>
            <w:r w:rsidR="00795383">
              <w:rPr>
                <w:rFonts w:asciiTheme="majorHAnsi" w:eastAsia="MS Mincho" w:hAnsiTheme="majorHAnsi" w:cstheme="majorHAnsi"/>
                <w:color w:val="595959" w:themeColor="text1" w:themeTint="A6"/>
              </w:rPr>
              <w:t>e</w:t>
            </w:r>
            <w:r w:rsidRPr="00EB4FEE">
              <w:rPr>
                <w:rFonts w:asciiTheme="majorHAnsi" w:eastAsia="MS Mincho" w:hAnsiTheme="majorHAnsi" w:cstheme="majorHAnsi"/>
                <w:color w:val="595959" w:themeColor="text1" w:themeTint="A6"/>
              </w:rPr>
              <w:t>mentary activities being implemented collaboratively?</w:t>
            </w:r>
          </w:p>
          <w:p w:rsidR="00F93982" w:rsidRPr="00EB4FEE" w:rsidRDefault="00F93982" w:rsidP="00A848ED">
            <w:pPr>
              <w:pStyle w:val="ListParagraph"/>
              <w:numPr>
                <w:ilvl w:val="0"/>
                <w:numId w:val="82"/>
              </w:numPr>
              <w:tabs>
                <w:tab w:val="left" w:pos="0"/>
              </w:tabs>
              <w:spacing w:after="120" w:line="240" w:lineRule="auto"/>
              <w:ind w:left="288" w:hanging="283"/>
              <w:contextualSpacing w:val="0"/>
              <w:jc w:val="left"/>
              <w:rPr>
                <w:rFonts w:asciiTheme="majorHAnsi" w:eastAsia="MS Mincho" w:hAnsiTheme="majorHAnsi" w:cstheme="majorHAnsi"/>
                <w:color w:val="595959" w:themeColor="text1" w:themeTint="A6"/>
              </w:rPr>
            </w:pPr>
            <w:r w:rsidRPr="00EB4FEE">
              <w:rPr>
                <w:rFonts w:asciiTheme="majorHAnsi" w:eastAsia="MS Mincho" w:hAnsiTheme="majorHAnsi" w:cstheme="majorHAnsi"/>
                <w:color w:val="595959" w:themeColor="text1" w:themeTint="A6"/>
              </w:rPr>
              <w:t xml:space="preserve">Are resources being leveraged and used efficiently across Australian Government? </w:t>
            </w:r>
          </w:p>
        </w:tc>
        <w:tc>
          <w:tcPr>
            <w:tcW w:w="1582" w:type="dxa"/>
          </w:tcPr>
          <w:p w:rsidR="00F93982" w:rsidRPr="00EB4FEE" w:rsidRDefault="00F93982" w:rsidP="002167AE">
            <w:pPr>
              <w:tabs>
                <w:tab w:val="left" w:pos="0"/>
              </w:tabs>
              <w:spacing w:before="0" w:after="120" w:line="240" w:lineRule="auto"/>
              <w:rPr>
                <w:rFonts w:asciiTheme="majorHAnsi" w:eastAsia="MS Mincho" w:hAnsiTheme="majorHAnsi" w:cstheme="majorHAnsi"/>
                <w:color w:val="595959" w:themeColor="text1" w:themeTint="A6"/>
                <w:lang w:val="en-US"/>
              </w:rPr>
            </w:pPr>
          </w:p>
        </w:tc>
      </w:tr>
      <w:tr w:rsidR="00F93982" w:rsidRPr="00A561C9" w:rsidTr="00EB4FEE">
        <w:tc>
          <w:tcPr>
            <w:tcW w:w="936" w:type="dxa"/>
          </w:tcPr>
          <w:p w:rsidR="00F93982" w:rsidRPr="00EB4FEE" w:rsidRDefault="00F93982" w:rsidP="00EB4FEE">
            <w:pPr>
              <w:pStyle w:val="ListParagraph"/>
              <w:numPr>
                <w:ilvl w:val="0"/>
                <w:numId w:val="89"/>
              </w:numPr>
              <w:tabs>
                <w:tab w:val="left" w:pos="0"/>
              </w:tabs>
              <w:spacing w:after="120" w:line="240" w:lineRule="auto"/>
              <w:rPr>
                <w:rFonts w:asciiTheme="majorHAnsi" w:eastAsia="MS Mincho" w:hAnsiTheme="majorHAnsi" w:cstheme="majorHAnsi"/>
                <w:color w:val="595959" w:themeColor="text1" w:themeTint="A6"/>
              </w:rPr>
            </w:pPr>
          </w:p>
        </w:tc>
        <w:tc>
          <w:tcPr>
            <w:tcW w:w="1894" w:type="dxa"/>
          </w:tcPr>
          <w:p w:rsidR="00F93982" w:rsidRPr="00EB4FEE" w:rsidRDefault="00F93982" w:rsidP="002167AE">
            <w:pPr>
              <w:tabs>
                <w:tab w:val="left" w:pos="0"/>
              </w:tabs>
              <w:spacing w:before="0" w:after="120" w:line="240" w:lineRule="auto"/>
              <w:rPr>
                <w:rFonts w:asciiTheme="majorHAnsi" w:eastAsia="MS Mincho" w:hAnsiTheme="majorHAnsi" w:cstheme="majorHAnsi"/>
                <w:i/>
                <w:color w:val="595959" w:themeColor="text1" w:themeTint="A6"/>
                <w:lang w:val="en-US"/>
              </w:rPr>
            </w:pPr>
            <w:r w:rsidRPr="00EB4FEE">
              <w:rPr>
                <w:rFonts w:asciiTheme="majorHAnsi" w:eastAsia="MS Mincho" w:hAnsiTheme="majorHAnsi" w:cstheme="majorHAnsi"/>
                <w:i/>
                <w:color w:val="595959" w:themeColor="text1" w:themeTint="A6"/>
                <w:lang w:val="en-US"/>
              </w:rPr>
              <w:t>How well are projects achieving their expected outcomes, and what was the quality and reach of outputs?</w:t>
            </w:r>
          </w:p>
        </w:tc>
        <w:tc>
          <w:tcPr>
            <w:tcW w:w="4604" w:type="dxa"/>
          </w:tcPr>
          <w:p w:rsidR="00F93982" w:rsidRPr="00EB4FEE" w:rsidRDefault="00F93982" w:rsidP="002167AE">
            <w:pPr>
              <w:tabs>
                <w:tab w:val="left" w:pos="0"/>
              </w:tabs>
              <w:spacing w:before="0" w:after="120" w:line="240" w:lineRule="auto"/>
              <w:rPr>
                <w:rFonts w:asciiTheme="majorHAnsi" w:eastAsia="MS Mincho" w:hAnsiTheme="majorHAnsi" w:cstheme="majorHAnsi"/>
                <w:color w:val="595959" w:themeColor="text1" w:themeTint="A6"/>
                <w:lang w:val="en-US"/>
              </w:rPr>
            </w:pPr>
          </w:p>
        </w:tc>
        <w:tc>
          <w:tcPr>
            <w:tcW w:w="1582" w:type="dxa"/>
          </w:tcPr>
          <w:p w:rsidR="00F93982" w:rsidRPr="00EB4FEE" w:rsidRDefault="00F93982" w:rsidP="002167AE">
            <w:pPr>
              <w:tabs>
                <w:tab w:val="left" w:pos="0"/>
              </w:tabs>
              <w:spacing w:before="0" w:after="120" w:line="240" w:lineRule="auto"/>
              <w:rPr>
                <w:rFonts w:asciiTheme="majorHAnsi" w:eastAsia="MS Mincho" w:hAnsiTheme="majorHAnsi" w:cstheme="majorHAnsi"/>
                <w:color w:val="595959" w:themeColor="text1" w:themeTint="A6"/>
                <w:lang w:val="en-US"/>
              </w:rPr>
            </w:pPr>
            <w:r w:rsidRPr="00EB4FEE">
              <w:rPr>
                <w:rFonts w:asciiTheme="majorHAnsi" w:eastAsia="MS Mincho" w:hAnsiTheme="majorHAnsi" w:cstheme="majorHAnsi"/>
                <w:color w:val="595959" w:themeColor="text1" w:themeTint="A6"/>
                <w:lang w:val="en-US"/>
              </w:rPr>
              <w:t>Effectiveness of projects</w:t>
            </w:r>
          </w:p>
        </w:tc>
      </w:tr>
      <w:tr w:rsidR="00F93982" w:rsidRPr="00A561C9" w:rsidTr="00EB4FEE">
        <w:tc>
          <w:tcPr>
            <w:tcW w:w="936" w:type="dxa"/>
          </w:tcPr>
          <w:p w:rsidR="00F93982" w:rsidRPr="00EB4FEE" w:rsidRDefault="00F93982" w:rsidP="00EB4FEE">
            <w:pPr>
              <w:pStyle w:val="ListParagraph"/>
              <w:numPr>
                <w:ilvl w:val="0"/>
                <w:numId w:val="89"/>
              </w:numPr>
              <w:tabs>
                <w:tab w:val="left" w:pos="0"/>
              </w:tabs>
              <w:spacing w:after="120" w:line="240" w:lineRule="auto"/>
              <w:rPr>
                <w:rFonts w:asciiTheme="majorHAnsi" w:eastAsia="MS Mincho" w:hAnsiTheme="majorHAnsi" w:cstheme="majorHAnsi"/>
                <w:color w:val="595959" w:themeColor="text1" w:themeTint="A6"/>
              </w:rPr>
            </w:pPr>
          </w:p>
        </w:tc>
        <w:tc>
          <w:tcPr>
            <w:tcW w:w="1894" w:type="dxa"/>
          </w:tcPr>
          <w:p w:rsidR="00F93982" w:rsidRPr="00EB4FEE" w:rsidRDefault="00F93982" w:rsidP="002167AE">
            <w:pPr>
              <w:tabs>
                <w:tab w:val="left" w:pos="0"/>
              </w:tabs>
              <w:spacing w:before="0" w:after="120" w:line="240" w:lineRule="auto"/>
              <w:rPr>
                <w:rFonts w:asciiTheme="majorHAnsi" w:eastAsia="MS Mincho" w:hAnsiTheme="majorHAnsi" w:cstheme="majorHAnsi"/>
                <w:i/>
                <w:color w:val="595959" w:themeColor="text1" w:themeTint="A6"/>
                <w:lang w:val="en-US"/>
              </w:rPr>
            </w:pPr>
            <w:r w:rsidRPr="00EB4FEE">
              <w:rPr>
                <w:rFonts w:asciiTheme="majorHAnsi" w:eastAsia="MS Mincho" w:hAnsiTheme="majorHAnsi" w:cstheme="majorHAnsi"/>
                <w:i/>
                <w:color w:val="595959" w:themeColor="text1" w:themeTint="A6"/>
                <w:lang w:val="en-US"/>
              </w:rPr>
              <w:t>Does the program respond to the findings of the Gender Gap Analysis (to be carried out by the managing contractor during the inception period), and meet DFAT standards for Gender Equality and Social Inclusion?</w:t>
            </w:r>
          </w:p>
        </w:tc>
        <w:tc>
          <w:tcPr>
            <w:tcW w:w="4604" w:type="dxa"/>
          </w:tcPr>
          <w:p w:rsidR="00F93982" w:rsidRPr="00EB4FEE" w:rsidRDefault="00F93982" w:rsidP="002167AE">
            <w:pPr>
              <w:tabs>
                <w:tab w:val="left" w:pos="0"/>
              </w:tabs>
              <w:spacing w:before="0" w:after="120" w:line="240" w:lineRule="auto"/>
              <w:rPr>
                <w:rFonts w:asciiTheme="majorHAnsi" w:eastAsia="MS Mincho" w:hAnsiTheme="majorHAnsi" w:cstheme="majorHAnsi"/>
                <w:color w:val="595959" w:themeColor="text1" w:themeTint="A6"/>
                <w:lang w:val="en-US"/>
              </w:rPr>
            </w:pPr>
          </w:p>
        </w:tc>
        <w:tc>
          <w:tcPr>
            <w:tcW w:w="1582" w:type="dxa"/>
          </w:tcPr>
          <w:p w:rsidR="00F93982" w:rsidRPr="00EB4FEE" w:rsidRDefault="00F93982" w:rsidP="002167AE">
            <w:pPr>
              <w:tabs>
                <w:tab w:val="left" w:pos="0"/>
              </w:tabs>
              <w:spacing w:before="0" w:after="120" w:line="240" w:lineRule="auto"/>
              <w:rPr>
                <w:rFonts w:asciiTheme="majorHAnsi" w:eastAsia="MS Mincho" w:hAnsiTheme="majorHAnsi" w:cstheme="majorHAnsi"/>
                <w:color w:val="595959" w:themeColor="text1" w:themeTint="A6"/>
                <w:lang w:val="en-US"/>
              </w:rPr>
            </w:pPr>
            <w:r w:rsidRPr="00EB4FEE">
              <w:rPr>
                <w:rFonts w:asciiTheme="majorHAnsi" w:eastAsia="MS Mincho" w:hAnsiTheme="majorHAnsi" w:cstheme="majorHAnsi"/>
                <w:color w:val="595959" w:themeColor="text1" w:themeTint="A6"/>
                <w:lang w:val="en-US"/>
              </w:rPr>
              <w:t>Effectiveness of projects</w:t>
            </w:r>
          </w:p>
        </w:tc>
      </w:tr>
    </w:tbl>
    <w:p w:rsidR="00E75F29" w:rsidRPr="00EB4FEE" w:rsidRDefault="00E75F29" w:rsidP="00BF6C52">
      <w:pPr>
        <w:tabs>
          <w:tab w:val="left" w:pos="0"/>
        </w:tabs>
        <w:spacing w:before="0" w:after="120" w:line="240" w:lineRule="auto"/>
        <w:rPr>
          <w:rFonts w:asciiTheme="majorHAnsi" w:eastAsia="MS Mincho" w:hAnsiTheme="majorHAnsi" w:cstheme="majorHAnsi"/>
          <w:color w:val="595959" w:themeColor="text1" w:themeTint="A6"/>
          <w:lang w:val="en-US"/>
        </w:rPr>
      </w:pPr>
    </w:p>
    <w:p w:rsidR="00E75F29" w:rsidRPr="00EB4FEE" w:rsidRDefault="00E75F29" w:rsidP="00BF6C52">
      <w:pPr>
        <w:tabs>
          <w:tab w:val="left" w:pos="0"/>
        </w:tabs>
        <w:spacing w:before="0" w:after="120" w:line="240" w:lineRule="auto"/>
        <w:rPr>
          <w:rFonts w:asciiTheme="majorHAnsi" w:eastAsia="MS Mincho" w:hAnsiTheme="majorHAnsi" w:cstheme="majorHAnsi"/>
          <w:b/>
          <w:color w:val="595959" w:themeColor="text1" w:themeTint="A6"/>
          <w:lang w:val="en-US"/>
        </w:rPr>
      </w:pPr>
      <w:r w:rsidRPr="00EB4FEE">
        <w:rPr>
          <w:rFonts w:asciiTheme="majorHAnsi" w:eastAsia="MS Mincho" w:hAnsiTheme="majorHAnsi" w:cstheme="majorHAnsi"/>
          <w:b/>
          <w:color w:val="595959" w:themeColor="text1" w:themeTint="A6"/>
          <w:lang w:val="en-US"/>
        </w:rPr>
        <w:t>The results framework and how progress will be assessed</w:t>
      </w:r>
    </w:p>
    <w:p w:rsidR="00E75F29" w:rsidRPr="00EB4FEE" w:rsidRDefault="00E75F29" w:rsidP="00BF6C52">
      <w:pPr>
        <w:tabs>
          <w:tab w:val="left" w:pos="0"/>
        </w:tabs>
        <w:spacing w:before="0" w:after="120" w:line="240" w:lineRule="auto"/>
        <w:rPr>
          <w:rFonts w:asciiTheme="majorHAnsi" w:eastAsia="MS Mincho" w:hAnsiTheme="majorHAnsi" w:cstheme="majorHAnsi"/>
          <w:color w:val="595959" w:themeColor="text1" w:themeTint="A6"/>
          <w:lang w:val="en-US"/>
        </w:rPr>
      </w:pPr>
      <w:r w:rsidRPr="00EB4FEE">
        <w:rPr>
          <w:rFonts w:asciiTheme="majorHAnsi" w:eastAsia="MS Mincho" w:hAnsiTheme="majorHAnsi" w:cstheme="majorHAnsi"/>
          <w:color w:val="595959" w:themeColor="text1" w:themeTint="A6"/>
          <w:lang w:val="en-US"/>
        </w:rPr>
        <w:t>To address key evaluation questions 1-3</w:t>
      </w:r>
      <w:r w:rsidR="003C68DD">
        <w:rPr>
          <w:rFonts w:asciiTheme="majorHAnsi" w:eastAsia="MS Mincho" w:hAnsiTheme="majorHAnsi" w:cstheme="majorHAnsi"/>
          <w:color w:val="595959" w:themeColor="text1" w:themeTint="A6"/>
          <w:lang w:val="en-US"/>
        </w:rPr>
        <w:t xml:space="preserve"> (which relate directly to the program’s three intermediate outcomes)</w:t>
      </w:r>
      <w:r w:rsidR="00F93982">
        <w:rPr>
          <w:rFonts w:asciiTheme="majorHAnsi" w:eastAsia="MS Mincho" w:hAnsiTheme="majorHAnsi" w:cstheme="majorHAnsi"/>
          <w:color w:val="595959" w:themeColor="text1" w:themeTint="A6"/>
          <w:lang w:val="en-US"/>
        </w:rPr>
        <w:t xml:space="preserve">, </w:t>
      </w:r>
      <w:r w:rsidRPr="00EB4FEE">
        <w:rPr>
          <w:rFonts w:asciiTheme="majorHAnsi" w:eastAsia="MS Mincho" w:hAnsiTheme="majorHAnsi" w:cstheme="majorHAnsi"/>
          <w:color w:val="595959" w:themeColor="text1" w:themeTint="A6"/>
          <w:lang w:val="en-US"/>
        </w:rPr>
        <w:t xml:space="preserve">an accompanying results framework which details progress markers for 18 months and </w:t>
      </w:r>
      <w:r w:rsidR="00F93982">
        <w:rPr>
          <w:rFonts w:asciiTheme="majorHAnsi" w:eastAsia="MS Mincho" w:hAnsiTheme="majorHAnsi" w:cstheme="majorHAnsi"/>
          <w:color w:val="595959" w:themeColor="text1" w:themeTint="A6"/>
          <w:lang w:val="en-US"/>
        </w:rPr>
        <w:t xml:space="preserve">at the </w:t>
      </w:r>
      <w:r w:rsidRPr="00EB4FEE">
        <w:rPr>
          <w:rFonts w:asciiTheme="majorHAnsi" w:eastAsia="MS Mincho" w:hAnsiTheme="majorHAnsi" w:cstheme="majorHAnsi"/>
          <w:color w:val="595959" w:themeColor="text1" w:themeTint="A6"/>
          <w:lang w:val="en-US"/>
        </w:rPr>
        <w:t xml:space="preserve">end of </w:t>
      </w:r>
      <w:r w:rsidR="00F93982">
        <w:rPr>
          <w:rFonts w:asciiTheme="majorHAnsi" w:eastAsia="MS Mincho" w:hAnsiTheme="majorHAnsi" w:cstheme="majorHAnsi"/>
          <w:color w:val="595959" w:themeColor="text1" w:themeTint="A6"/>
          <w:lang w:val="en-US"/>
        </w:rPr>
        <w:t xml:space="preserve">the </w:t>
      </w:r>
      <w:r w:rsidRPr="00EB4FEE">
        <w:rPr>
          <w:rFonts w:asciiTheme="majorHAnsi" w:eastAsia="MS Mincho" w:hAnsiTheme="majorHAnsi" w:cstheme="majorHAnsi"/>
          <w:color w:val="595959" w:themeColor="text1" w:themeTint="A6"/>
          <w:lang w:val="en-US"/>
        </w:rPr>
        <w:t>program</w:t>
      </w:r>
      <w:r w:rsidR="0084790F">
        <w:rPr>
          <w:rFonts w:asciiTheme="majorHAnsi" w:eastAsia="MS Mincho" w:hAnsiTheme="majorHAnsi" w:cstheme="majorHAnsi"/>
          <w:color w:val="595959" w:themeColor="text1" w:themeTint="A6"/>
          <w:lang w:val="en-US"/>
        </w:rPr>
        <w:t xml:space="preserve"> should</w:t>
      </w:r>
      <w:r w:rsidR="00A42A0C">
        <w:rPr>
          <w:rFonts w:asciiTheme="majorHAnsi" w:eastAsia="MS Mincho" w:hAnsiTheme="majorHAnsi" w:cstheme="majorHAnsi"/>
          <w:color w:val="595959" w:themeColor="text1" w:themeTint="A6"/>
          <w:lang w:val="en-US"/>
        </w:rPr>
        <w:t xml:space="preserve"> be developed</w:t>
      </w:r>
      <w:r w:rsidR="00352A08">
        <w:rPr>
          <w:rFonts w:asciiTheme="majorHAnsi" w:eastAsia="MS Mincho" w:hAnsiTheme="majorHAnsi" w:cstheme="majorHAnsi"/>
          <w:color w:val="595959" w:themeColor="text1" w:themeTint="A6"/>
          <w:lang w:val="en-US"/>
        </w:rPr>
        <w:t xml:space="preserve">. </w:t>
      </w:r>
      <w:r w:rsidRPr="00EB4FEE">
        <w:rPr>
          <w:rFonts w:asciiTheme="majorHAnsi" w:eastAsia="MS Mincho" w:hAnsiTheme="majorHAnsi" w:cstheme="majorHAnsi"/>
          <w:color w:val="595959" w:themeColor="text1" w:themeTint="A6"/>
          <w:lang w:val="en-US"/>
        </w:rPr>
        <w:t>Given that the program is flexible, after the first 18 months, annual progress markers will be developed ahead of the 12 month period and will be used to assess adequacy of progress</w:t>
      </w:r>
      <w:r w:rsidR="00352A08">
        <w:rPr>
          <w:rFonts w:asciiTheme="majorHAnsi" w:eastAsia="MS Mincho" w:hAnsiTheme="majorHAnsi" w:cstheme="majorHAnsi"/>
          <w:color w:val="595959" w:themeColor="text1" w:themeTint="A6"/>
          <w:lang w:val="en-US"/>
        </w:rPr>
        <w:t xml:space="preserve">. </w:t>
      </w:r>
      <w:r w:rsidRPr="00EB4FEE">
        <w:rPr>
          <w:rFonts w:asciiTheme="majorHAnsi" w:eastAsia="MS Mincho" w:hAnsiTheme="majorHAnsi" w:cstheme="majorHAnsi"/>
          <w:color w:val="595959" w:themeColor="text1" w:themeTint="A6"/>
          <w:lang w:val="en-US"/>
        </w:rPr>
        <w:t>Progress markers will form part of the annual work plan and will be identified</w:t>
      </w:r>
      <w:r w:rsidR="00F93982">
        <w:rPr>
          <w:rFonts w:asciiTheme="majorHAnsi" w:eastAsia="MS Mincho" w:hAnsiTheme="majorHAnsi" w:cstheme="majorHAnsi"/>
          <w:color w:val="595959" w:themeColor="text1" w:themeTint="A6"/>
          <w:lang w:val="en-US"/>
        </w:rPr>
        <w:t xml:space="preserve"> and </w:t>
      </w:r>
      <w:r w:rsidRPr="00EB4FEE">
        <w:rPr>
          <w:rFonts w:asciiTheme="majorHAnsi" w:eastAsia="MS Mincho" w:hAnsiTheme="majorHAnsi" w:cstheme="majorHAnsi"/>
          <w:color w:val="595959" w:themeColor="text1" w:themeTint="A6"/>
          <w:lang w:val="en-US"/>
        </w:rPr>
        <w:t>agreed with the PCC.</w:t>
      </w:r>
    </w:p>
    <w:p w:rsidR="00E75F29" w:rsidRPr="00EB4FEE" w:rsidRDefault="00E75F29" w:rsidP="00BF6C52">
      <w:pPr>
        <w:keepLines/>
        <w:spacing w:before="0" w:after="120" w:line="240" w:lineRule="auto"/>
        <w:jc w:val="both"/>
        <w:rPr>
          <w:rFonts w:asciiTheme="majorHAnsi" w:hAnsiTheme="majorHAnsi" w:cstheme="majorHAnsi"/>
          <w:color w:val="595959" w:themeColor="text1" w:themeTint="A6"/>
        </w:rPr>
      </w:pPr>
      <w:r w:rsidRPr="00EB4FEE">
        <w:rPr>
          <w:rFonts w:asciiTheme="majorHAnsi" w:eastAsia="MS Mincho" w:hAnsiTheme="majorHAnsi" w:cstheme="majorHAnsi"/>
          <w:color w:val="595959" w:themeColor="text1" w:themeTint="A6"/>
          <w:lang w:val="en-US"/>
        </w:rPr>
        <w:t>Contributions to AIHSP outcomes and impact will be assessed during a proposed mid-term review of th</w:t>
      </w:r>
      <w:r w:rsidR="00FB1987" w:rsidRPr="00EB4FEE">
        <w:rPr>
          <w:rFonts w:asciiTheme="majorHAnsi" w:eastAsia="MS Mincho" w:hAnsiTheme="majorHAnsi" w:cstheme="majorHAnsi"/>
          <w:color w:val="595959" w:themeColor="text1" w:themeTint="A6"/>
          <w:lang w:val="en-US"/>
        </w:rPr>
        <w:t xml:space="preserve">e </w:t>
      </w:r>
      <w:r w:rsidR="00F93982">
        <w:rPr>
          <w:rFonts w:asciiTheme="majorHAnsi" w:eastAsia="MS Mincho" w:hAnsiTheme="majorHAnsi" w:cstheme="majorHAnsi"/>
          <w:color w:val="595959" w:themeColor="text1" w:themeTint="A6"/>
          <w:lang w:val="en-US"/>
        </w:rPr>
        <w:t>p</w:t>
      </w:r>
      <w:r w:rsidR="00FB1987" w:rsidRPr="00EB4FEE">
        <w:rPr>
          <w:rFonts w:asciiTheme="majorHAnsi" w:eastAsia="MS Mincho" w:hAnsiTheme="majorHAnsi" w:cstheme="majorHAnsi"/>
          <w:color w:val="595959" w:themeColor="text1" w:themeTint="A6"/>
          <w:lang w:val="en-US"/>
        </w:rPr>
        <w:t xml:space="preserve">rogram </w:t>
      </w:r>
      <w:r w:rsidR="00164C17">
        <w:rPr>
          <w:rFonts w:asciiTheme="majorHAnsi" w:eastAsia="MS Mincho" w:hAnsiTheme="majorHAnsi" w:cstheme="majorHAnsi"/>
          <w:color w:val="595959" w:themeColor="text1" w:themeTint="A6"/>
          <w:lang w:val="en-US"/>
        </w:rPr>
        <w:t>during year 3</w:t>
      </w:r>
      <w:r w:rsidR="00352A08">
        <w:rPr>
          <w:rFonts w:asciiTheme="majorHAnsi" w:eastAsia="MS Mincho" w:hAnsiTheme="majorHAnsi" w:cstheme="majorHAnsi"/>
          <w:color w:val="595959" w:themeColor="text1" w:themeTint="A6"/>
          <w:lang w:val="en-US"/>
        </w:rPr>
        <w:t>.</w:t>
      </w:r>
      <w:r w:rsidR="00C83B0C" w:rsidRPr="00EB4FEE">
        <w:rPr>
          <w:rFonts w:asciiTheme="majorHAnsi" w:eastAsia="MS Mincho" w:hAnsiTheme="majorHAnsi" w:cstheme="majorHAnsi"/>
          <w:color w:val="595959" w:themeColor="text1" w:themeTint="A6"/>
          <w:lang w:val="en-US"/>
        </w:rPr>
        <w:t xml:space="preserve"> </w:t>
      </w:r>
      <w:r w:rsidRPr="00EB4FEE">
        <w:rPr>
          <w:rFonts w:asciiTheme="majorHAnsi" w:eastAsia="MS Mincho" w:hAnsiTheme="majorHAnsi" w:cstheme="majorHAnsi"/>
          <w:color w:val="595959" w:themeColor="text1" w:themeTint="A6"/>
          <w:lang w:val="en-US"/>
        </w:rPr>
        <w:t>This review will take stock of progress and help inform decision maki</w:t>
      </w:r>
      <w:r w:rsidR="00FB1987" w:rsidRPr="00EB4FEE">
        <w:rPr>
          <w:rFonts w:asciiTheme="majorHAnsi" w:eastAsia="MS Mincho" w:hAnsiTheme="majorHAnsi" w:cstheme="majorHAnsi"/>
          <w:color w:val="595959" w:themeColor="text1" w:themeTint="A6"/>
          <w:lang w:val="en-US"/>
        </w:rPr>
        <w:t>ng regarding future investment</w:t>
      </w:r>
      <w:r w:rsidR="00352A08">
        <w:rPr>
          <w:rFonts w:asciiTheme="majorHAnsi" w:eastAsia="MS Mincho" w:hAnsiTheme="majorHAnsi" w:cstheme="majorHAnsi"/>
          <w:color w:val="595959" w:themeColor="text1" w:themeTint="A6"/>
          <w:lang w:val="en-US"/>
        </w:rPr>
        <w:t>.</w:t>
      </w:r>
      <w:r w:rsidR="00C83B0C" w:rsidRPr="00EB4FEE">
        <w:rPr>
          <w:rFonts w:asciiTheme="majorHAnsi" w:eastAsia="MS Mincho" w:hAnsiTheme="majorHAnsi" w:cstheme="majorHAnsi"/>
          <w:color w:val="595959" w:themeColor="text1" w:themeTint="A6"/>
          <w:lang w:val="en-US"/>
        </w:rPr>
        <w:t xml:space="preserve"> </w:t>
      </w:r>
      <w:r w:rsidRPr="00EB4FEE">
        <w:rPr>
          <w:rFonts w:asciiTheme="majorHAnsi" w:eastAsia="MS Mincho" w:hAnsiTheme="majorHAnsi" w:cstheme="majorHAnsi"/>
          <w:color w:val="595959" w:themeColor="text1" w:themeTint="A6"/>
          <w:lang w:val="en-US"/>
        </w:rPr>
        <w:t xml:space="preserve">If inadequate progress is being made on developing sound partnerships and securing partner resource commitments, the option of ceasing the </w:t>
      </w:r>
      <w:r w:rsidR="00F93982">
        <w:rPr>
          <w:rFonts w:asciiTheme="majorHAnsi" w:eastAsia="MS Mincho" w:hAnsiTheme="majorHAnsi" w:cstheme="majorHAnsi"/>
          <w:color w:val="595959" w:themeColor="text1" w:themeTint="A6"/>
          <w:lang w:val="en-US"/>
        </w:rPr>
        <w:t>p</w:t>
      </w:r>
      <w:r w:rsidRPr="00EB4FEE">
        <w:rPr>
          <w:rFonts w:asciiTheme="majorHAnsi" w:eastAsia="MS Mincho" w:hAnsiTheme="majorHAnsi" w:cstheme="majorHAnsi"/>
          <w:color w:val="595959" w:themeColor="text1" w:themeTint="A6"/>
          <w:lang w:val="en-US"/>
        </w:rPr>
        <w:t>rogram at this time s</w:t>
      </w:r>
      <w:r w:rsidR="00FB1987" w:rsidRPr="00EB4FEE">
        <w:rPr>
          <w:rFonts w:asciiTheme="majorHAnsi" w:eastAsia="MS Mincho" w:hAnsiTheme="majorHAnsi" w:cstheme="majorHAnsi"/>
          <w:color w:val="595959" w:themeColor="text1" w:themeTint="A6"/>
          <w:lang w:val="en-US"/>
        </w:rPr>
        <w:t>hould be seriously considered</w:t>
      </w:r>
      <w:r w:rsidR="00352A08">
        <w:rPr>
          <w:rFonts w:asciiTheme="majorHAnsi" w:eastAsia="MS Mincho" w:hAnsiTheme="majorHAnsi" w:cstheme="majorHAnsi"/>
          <w:color w:val="595959" w:themeColor="text1" w:themeTint="A6"/>
          <w:lang w:val="en-US"/>
        </w:rPr>
        <w:t>.</w:t>
      </w:r>
      <w:r w:rsidR="00C83B0C" w:rsidRPr="00EB4FEE">
        <w:rPr>
          <w:rFonts w:asciiTheme="majorHAnsi" w:eastAsia="MS Mincho" w:hAnsiTheme="majorHAnsi" w:cstheme="majorHAnsi"/>
          <w:color w:val="595959" w:themeColor="text1" w:themeTint="A6"/>
          <w:lang w:val="en-US"/>
        </w:rPr>
        <w:t xml:space="preserve"> </w:t>
      </w:r>
      <w:r w:rsidRPr="00EB4FEE">
        <w:rPr>
          <w:rFonts w:asciiTheme="majorHAnsi" w:eastAsia="MS Mincho" w:hAnsiTheme="majorHAnsi" w:cstheme="majorHAnsi"/>
          <w:color w:val="595959" w:themeColor="text1" w:themeTint="A6"/>
          <w:lang w:val="en-US"/>
        </w:rPr>
        <w:t xml:space="preserve">Assuming the </w:t>
      </w:r>
      <w:r w:rsidR="00F93982">
        <w:rPr>
          <w:rFonts w:asciiTheme="majorHAnsi" w:eastAsia="MS Mincho" w:hAnsiTheme="majorHAnsi" w:cstheme="majorHAnsi"/>
          <w:color w:val="595959" w:themeColor="text1" w:themeTint="A6"/>
          <w:lang w:val="en-US"/>
        </w:rPr>
        <w:t>p</w:t>
      </w:r>
      <w:r w:rsidRPr="00EB4FEE">
        <w:rPr>
          <w:rFonts w:asciiTheme="majorHAnsi" w:eastAsia="MS Mincho" w:hAnsiTheme="majorHAnsi" w:cstheme="majorHAnsi"/>
          <w:color w:val="595959" w:themeColor="text1" w:themeTint="A6"/>
          <w:lang w:val="en-US"/>
        </w:rPr>
        <w:t>rogram does continue for the full term, an end</w:t>
      </w:r>
      <w:r w:rsidR="00F93982">
        <w:rPr>
          <w:rFonts w:asciiTheme="majorHAnsi" w:eastAsia="MS Mincho" w:hAnsiTheme="majorHAnsi" w:cstheme="majorHAnsi"/>
          <w:color w:val="595959" w:themeColor="text1" w:themeTint="A6"/>
          <w:lang w:val="en-US"/>
        </w:rPr>
        <w:t>-</w:t>
      </w:r>
      <w:r w:rsidRPr="00EB4FEE">
        <w:rPr>
          <w:rFonts w:asciiTheme="majorHAnsi" w:eastAsia="MS Mincho" w:hAnsiTheme="majorHAnsi" w:cstheme="majorHAnsi"/>
          <w:color w:val="595959" w:themeColor="text1" w:themeTint="A6"/>
          <w:lang w:val="en-US"/>
        </w:rPr>
        <w:t>of</w:t>
      </w:r>
      <w:r w:rsidR="00F93982">
        <w:rPr>
          <w:rFonts w:asciiTheme="majorHAnsi" w:eastAsia="MS Mincho" w:hAnsiTheme="majorHAnsi" w:cstheme="majorHAnsi"/>
          <w:color w:val="595959" w:themeColor="text1" w:themeTint="A6"/>
          <w:lang w:val="en-US"/>
        </w:rPr>
        <w:t>-</w:t>
      </w:r>
      <w:r w:rsidRPr="00EB4FEE">
        <w:rPr>
          <w:rFonts w:asciiTheme="majorHAnsi" w:eastAsia="MS Mincho" w:hAnsiTheme="majorHAnsi" w:cstheme="majorHAnsi"/>
          <w:color w:val="595959" w:themeColor="text1" w:themeTint="A6"/>
          <w:lang w:val="en-US"/>
        </w:rPr>
        <w:t>program independent evaluation will also be conducted to independently verify outcomes and inform DFA</w:t>
      </w:r>
      <w:r w:rsidR="00FB1987" w:rsidRPr="00EB4FEE">
        <w:rPr>
          <w:rFonts w:asciiTheme="majorHAnsi" w:eastAsia="MS Mincho" w:hAnsiTheme="majorHAnsi" w:cstheme="majorHAnsi"/>
          <w:color w:val="595959" w:themeColor="text1" w:themeTint="A6"/>
          <w:lang w:val="en-US"/>
        </w:rPr>
        <w:t>T and GoI of future directions.</w:t>
      </w:r>
    </w:p>
    <w:p w:rsidR="00E75F29" w:rsidRPr="00EB4FEE" w:rsidRDefault="00E75F29" w:rsidP="00BF6C52">
      <w:pPr>
        <w:tabs>
          <w:tab w:val="left" w:pos="0"/>
        </w:tabs>
        <w:spacing w:before="0" w:after="120" w:line="240" w:lineRule="auto"/>
        <w:rPr>
          <w:rFonts w:asciiTheme="majorHAnsi" w:eastAsia="MS Mincho" w:hAnsiTheme="majorHAnsi" w:cstheme="majorHAnsi"/>
          <w:b/>
          <w:color w:val="595959" w:themeColor="text1" w:themeTint="A6"/>
          <w:lang w:val="en-US"/>
        </w:rPr>
      </w:pPr>
      <w:r w:rsidRPr="00EB4FEE">
        <w:rPr>
          <w:rFonts w:asciiTheme="majorHAnsi" w:eastAsia="MS Mincho" w:hAnsiTheme="majorHAnsi" w:cstheme="majorHAnsi"/>
          <w:b/>
          <w:color w:val="595959" w:themeColor="text1" w:themeTint="A6"/>
          <w:lang w:val="en-US"/>
        </w:rPr>
        <w:t>Resourcing for ME</w:t>
      </w:r>
      <w:r w:rsidR="009C5258">
        <w:rPr>
          <w:rFonts w:asciiTheme="majorHAnsi" w:eastAsia="MS Mincho" w:hAnsiTheme="majorHAnsi" w:cstheme="majorHAnsi"/>
          <w:b/>
          <w:color w:val="595959" w:themeColor="text1" w:themeTint="A6"/>
          <w:lang w:val="en-US"/>
        </w:rPr>
        <w:t>L</w:t>
      </w:r>
      <w:r w:rsidRPr="00EB4FEE">
        <w:rPr>
          <w:rFonts w:asciiTheme="majorHAnsi" w:eastAsia="MS Mincho" w:hAnsiTheme="majorHAnsi" w:cstheme="majorHAnsi"/>
          <w:b/>
          <w:color w:val="595959" w:themeColor="text1" w:themeTint="A6"/>
          <w:lang w:val="en-US"/>
        </w:rPr>
        <w:t>F</w:t>
      </w:r>
    </w:p>
    <w:p w:rsidR="00E75F29" w:rsidRPr="00EB4FEE" w:rsidRDefault="00E75F29" w:rsidP="00BF6C52">
      <w:pPr>
        <w:tabs>
          <w:tab w:val="left" w:pos="0"/>
        </w:tabs>
        <w:spacing w:before="0" w:after="120" w:line="240" w:lineRule="auto"/>
        <w:rPr>
          <w:rFonts w:asciiTheme="majorHAnsi" w:eastAsia="MS Mincho" w:hAnsiTheme="majorHAnsi" w:cstheme="majorHAnsi"/>
          <w:color w:val="595959" w:themeColor="text1" w:themeTint="A6"/>
          <w:lang w:val="en-US"/>
        </w:rPr>
      </w:pPr>
      <w:r w:rsidRPr="00EB4FEE">
        <w:rPr>
          <w:rFonts w:asciiTheme="majorHAnsi" w:eastAsia="MS Mincho" w:hAnsiTheme="majorHAnsi" w:cstheme="majorHAnsi"/>
          <w:color w:val="595959" w:themeColor="text1" w:themeTint="A6"/>
          <w:lang w:val="en-US"/>
        </w:rPr>
        <w:t>Progress reports will also present how the monitoring and evaluation system will have informed learning, decision-making and action on the part of DFAT, GoI and/or development partners.</w:t>
      </w:r>
    </w:p>
    <w:p w:rsidR="00E75F29" w:rsidRPr="00EB4FEE" w:rsidRDefault="00E75F29" w:rsidP="00BF6C52">
      <w:pPr>
        <w:tabs>
          <w:tab w:val="left" w:pos="0"/>
        </w:tabs>
        <w:spacing w:before="0" w:after="120" w:line="240" w:lineRule="auto"/>
        <w:rPr>
          <w:rFonts w:asciiTheme="majorHAnsi" w:eastAsia="MS Mincho" w:hAnsiTheme="majorHAnsi" w:cstheme="majorHAnsi"/>
          <w:color w:val="595959" w:themeColor="text1" w:themeTint="A6"/>
          <w:lang w:val="en-US"/>
        </w:rPr>
      </w:pPr>
      <w:r w:rsidRPr="00EB4FEE">
        <w:rPr>
          <w:rFonts w:asciiTheme="majorHAnsi" w:eastAsia="MS Mincho" w:hAnsiTheme="majorHAnsi" w:cstheme="majorHAnsi"/>
          <w:color w:val="595959" w:themeColor="text1" w:themeTint="A6"/>
          <w:lang w:val="en-US"/>
        </w:rPr>
        <w:t xml:space="preserve">At </w:t>
      </w:r>
      <w:r w:rsidR="00F93982">
        <w:rPr>
          <w:rFonts w:asciiTheme="majorHAnsi" w:eastAsia="MS Mincho" w:hAnsiTheme="majorHAnsi" w:cstheme="majorHAnsi"/>
          <w:color w:val="595959" w:themeColor="text1" w:themeTint="A6"/>
          <w:lang w:val="en-US"/>
        </w:rPr>
        <w:t xml:space="preserve">the </w:t>
      </w:r>
      <w:r w:rsidRPr="00EB4FEE">
        <w:rPr>
          <w:rFonts w:asciiTheme="majorHAnsi" w:eastAsia="MS Mincho" w:hAnsiTheme="majorHAnsi" w:cstheme="majorHAnsi"/>
          <w:color w:val="595959" w:themeColor="text1" w:themeTint="A6"/>
          <w:lang w:val="en-US"/>
        </w:rPr>
        <w:t>national level, M&amp;E information will be generated through existing or enhanced GoI systems wherever possible</w:t>
      </w:r>
      <w:r w:rsidR="00F93982">
        <w:rPr>
          <w:rFonts w:asciiTheme="majorHAnsi" w:eastAsia="MS Mincho" w:hAnsiTheme="majorHAnsi" w:cstheme="majorHAnsi"/>
          <w:color w:val="595959" w:themeColor="text1" w:themeTint="A6"/>
          <w:lang w:val="en-US"/>
        </w:rPr>
        <w:t>,</w:t>
      </w:r>
      <w:r w:rsidRPr="00EB4FEE">
        <w:rPr>
          <w:rFonts w:asciiTheme="majorHAnsi" w:eastAsia="MS Mincho" w:hAnsiTheme="majorHAnsi" w:cstheme="majorHAnsi"/>
          <w:color w:val="595959" w:themeColor="text1" w:themeTint="A6"/>
          <w:lang w:val="en-US"/>
        </w:rPr>
        <w:t xml:space="preserve"> as part of the institutional strengthening approach</w:t>
      </w:r>
      <w:r w:rsidR="00352A08">
        <w:rPr>
          <w:rFonts w:asciiTheme="majorHAnsi" w:eastAsia="MS Mincho" w:hAnsiTheme="majorHAnsi" w:cstheme="majorHAnsi"/>
          <w:color w:val="595959" w:themeColor="text1" w:themeTint="A6"/>
          <w:lang w:val="en-US"/>
        </w:rPr>
        <w:t xml:space="preserve">. </w:t>
      </w:r>
      <w:r w:rsidRPr="00EB4FEE">
        <w:rPr>
          <w:rFonts w:asciiTheme="majorHAnsi" w:eastAsia="MS Mincho" w:hAnsiTheme="majorHAnsi" w:cstheme="majorHAnsi"/>
          <w:color w:val="595959" w:themeColor="text1" w:themeTint="A6"/>
          <w:lang w:val="en-US"/>
        </w:rPr>
        <w:t xml:space="preserve">Nevertheless, such information will be complemented, as required, by the conduct of additional (mutually agreed) studies/analysis, to be funded by AIHSP through the </w:t>
      </w:r>
      <w:r w:rsidR="0051492D" w:rsidRPr="00EB4FEE">
        <w:rPr>
          <w:rFonts w:asciiTheme="majorHAnsi" w:eastAsia="MS Mincho" w:hAnsiTheme="majorHAnsi" w:cstheme="majorHAnsi"/>
          <w:color w:val="595959" w:themeColor="text1" w:themeTint="A6"/>
          <w:lang w:val="en-US"/>
        </w:rPr>
        <w:t>flexible program</w:t>
      </w:r>
      <w:r w:rsidR="00352A08">
        <w:rPr>
          <w:rFonts w:asciiTheme="majorHAnsi" w:eastAsia="MS Mincho" w:hAnsiTheme="majorHAnsi" w:cstheme="majorHAnsi"/>
          <w:color w:val="595959" w:themeColor="text1" w:themeTint="A6"/>
          <w:lang w:val="en-US"/>
        </w:rPr>
        <w:t>.</w:t>
      </w:r>
    </w:p>
    <w:p w:rsidR="007A5E5A" w:rsidRPr="00EB4FEE" w:rsidRDefault="00E75F29" w:rsidP="00D556C8">
      <w:pPr>
        <w:tabs>
          <w:tab w:val="left" w:pos="0"/>
        </w:tabs>
        <w:spacing w:before="0" w:after="120" w:line="240" w:lineRule="auto"/>
        <w:rPr>
          <w:rFonts w:asciiTheme="majorHAnsi" w:hAnsiTheme="majorHAnsi"/>
          <w:b/>
          <w:caps/>
          <w:color w:val="595959" w:themeColor="text1" w:themeTint="A6"/>
        </w:rPr>
        <w:sectPr w:rsidR="007A5E5A" w:rsidRPr="00EB4FEE" w:rsidSect="005401A7">
          <w:headerReference w:type="first" r:id="rId24"/>
          <w:pgSz w:w="11906" w:h="16838" w:code="9"/>
          <w:pgMar w:top="1440" w:right="1440" w:bottom="1440" w:left="1440" w:header="425" w:footer="493" w:gutter="0"/>
          <w:cols w:space="397"/>
          <w:titlePg/>
          <w:docGrid w:linePitch="360"/>
        </w:sectPr>
      </w:pPr>
      <w:r w:rsidRPr="00EB4FEE">
        <w:rPr>
          <w:rFonts w:asciiTheme="majorHAnsi" w:eastAsia="MS Mincho" w:hAnsiTheme="majorHAnsi" w:cstheme="majorHAnsi"/>
          <w:color w:val="595959" w:themeColor="text1" w:themeTint="A6"/>
          <w:lang w:val="en-US"/>
        </w:rPr>
        <w:t xml:space="preserve">Thereafter, sufficient resources should be allocated for </w:t>
      </w:r>
      <w:r w:rsidR="009C5258">
        <w:rPr>
          <w:rFonts w:asciiTheme="majorHAnsi" w:eastAsia="MS Mincho" w:hAnsiTheme="majorHAnsi" w:cstheme="majorHAnsi"/>
          <w:color w:val="595959" w:themeColor="text1" w:themeTint="A6"/>
          <w:lang w:val="en-US"/>
        </w:rPr>
        <w:t>MEL</w:t>
      </w:r>
      <w:r w:rsidRPr="00EB4FEE">
        <w:rPr>
          <w:rFonts w:asciiTheme="majorHAnsi" w:eastAsia="MS Mincho" w:hAnsiTheme="majorHAnsi" w:cstheme="majorHAnsi"/>
          <w:color w:val="595959" w:themeColor="text1" w:themeTint="A6"/>
          <w:lang w:val="en-US"/>
        </w:rPr>
        <w:t xml:space="preserve"> in the </w:t>
      </w:r>
      <w:r w:rsidR="00F93982">
        <w:rPr>
          <w:rFonts w:asciiTheme="majorHAnsi" w:eastAsia="MS Mincho" w:hAnsiTheme="majorHAnsi" w:cstheme="majorHAnsi"/>
          <w:color w:val="595959" w:themeColor="text1" w:themeTint="A6"/>
          <w:lang w:val="en-US"/>
        </w:rPr>
        <w:t>p</w:t>
      </w:r>
      <w:r w:rsidRPr="00EB4FEE">
        <w:rPr>
          <w:rFonts w:asciiTheme="majorHAnsi" w:eastAsia="MS Mincho" w:hAnsiTheme="majorHAnsi" w:cstheme="majorHAnsi"/>
          <w:color w:val="595959" w:themeColor="text1" w:themeTint="A6"/>
          <w:lang w:val="en-US"/>
        </w:rPr>
        <w:t xml:space="preserve">rogram budget according to identified and scheduled </w:t>
      </w:r>
      <w:r w:rsidR="009C5258">
        <w:rPr>
          <w:rFonts w:asciiTheme="majorHAnsi" w:eastAsia="MS Mincho" w:hAnsiTheme="majorHAnsi" w:cstheme="majorHAnsi"/>
          <w:color w:val="595959" w:themeColor="text1" w:themeTint="A6"/>
          <w:lang w:val="en-US"/>
        </w:rPr>
        <w:t>MEL</w:t>
      </w:r>
      <w:r w:rsidRPr="00EB4FEE">
        <w:rPr>
          <w:rFonts w:asciiTheme="majorHAnsi" w:eastAsia="MS Mincho" w:hAnsiTheme="majorHAnsi" w:cstheme="majorHAnsi"/>
          <w:color w:val="595959" w:themeColor="text1" w:themeTint="A6"/>
          <w:lang w:val="en-US"/>
        </w:rPr>
        <w:t xml:space="preserve"> act</w:t>
      </w:r>
      <w:r w:rsidR="00FB1987" w:rsidRPr="00EB4FEE">
        <w:rPr>
          <w:rFonts w:asciiTheme="majorHAnsi" w:eastAsia="MS Mincho" w:hAnsiTheme="majorHAnsi" w:cstheme="majorHAnsi"/>
          <w:color w:val="595959" w:themeColor="text1" w:themeTint="A6"/>
          <w:lang w:val="en-US"/>
        </w:rPr>
        <w:t>ivities</w:t>
      </w:r>
      <w:r w:rsidR="00352A08">
        <w:rPr>
          <w:rFonts w:asciiTheme="majorHAnsi" w:eastAsia="MS Mincho" w:hAnsiTheme="majorHAnsi" w:cstheme="majorHAnsi"/>
          <w:color w:val="595959" w:themeColor="text1" w:themeTint="A6"/>
          <w:lang w:val="en-US"/>
        </w:rPr>
        <w:t xml:space="preserve">. </w:t>
      </w:r>
      <w:r w:rsidRPr="00EB4FEE">
        <w:rPr>
          <w:rFonts w:asciiTheme="majorHAnsi" w:eastAsia="MS Mincho" w:hAnsiTheme="majorHAnsi" w:cstheme="majorHAnsi"/>
          <w:color w:val="595959" w:themeColor="text1" w:themeTint="A6"/>
          <w:lang w:val="en-US"/>
        </w:rPr>
        <w:t>This may include regular short-term inputs from an M&amp;E practitioner to refine the ME</w:t>
      </w:r>
      <w:r w:rsidR="009C5258">
        <w:rPr>
          <w:rFonts w:asciiTheme="majorHAnsi" w:eastAsia="MS Mincho" w:hAnsiTheme="majorHAnsi" w:cstheme="majorHAnsi"/>
          <w:color w:val="595959" w:themeColor="text1" w:themeTint="A6"/>
          <w:lang w:val="en-US"/>
        </w:rPr>
        <w:t>L</w:t>
      </w:r>
      <w:r w:rsidRPr="00EB4FEE">
        <w:rPr>
          <w:rFonts w:asciiTheme="majorHAnsi" w:eastAsia="MS Mincho" w:hAnsiTheme="majorHAnsi" w:cstheme="majorHAnsi"/>
          <w:color w:val="595959" w:themeColor="text1" w:themeTint="A6"/>
          <w:lang w:val="en-US"/>
        </w:rPr>
        <w:t xml:space="preserve">F during inception and to provide on-going M&amp;E inputs to the </w:t>
      </w:r>
      <w:r w:rsidR="00F93982">
        <w:rPr>
          <w:rFonts w:asciiTheme="majorHAnsi" w:eastAsia="MS Mincho" w:hAnsiTheme="majorHAnsi" w:cstheme="majorHAnsi"/>
          <w:color w:val="595959" w:themeColor="text1" w:themeTint="A6"/>
          <w:lang w:val="en-US"/>
        </w:rPr>
        <w:t>p</w:t>
      </w:r>
      <w:r w:rsidRPr="00EB4FEE">
        <w:rPr>
          <w:rFonts w:asciiTheme="majorHAnsi" w:eastAsia="MS Mincho" w:hAnsiTheme="majorHAnsi" w:cstheme="majorHAnsi"/>
          <w:color w:val="595959" w:themeColor="text1" w:themeTint="A6"/>
          <w:lang w:val="en-US"/>
        </w:rPr>
        <w:t>rogram management team and to government partners throughout th</w:t>
      </w:r>
      <w:r w:rsidR="00FB1987" w:rsidRPr="00EB4FEE">
        <w:rPr>
          <w:rFonts w:asciiTheme="majorHAnsi" w:eastAsia="MS Mincho" w:hAnsiTheme="majorHAnsi" w:cstheme="majorHAnsi"/>
          <w:color w:val="595959" w:themeColor="text1" w:themeTint="A6"/>
          <w:lang w:val="en-US"/>
        </w:rPr>
        <w:t>e entire implementation period</w:t>
      </w:r>
      <w:r w:rsidR="00C83B0C" w:rsidRPr="00EB4FEE">
        <w:rPr>
          <w:rFonts w:asciiTheme="majorHAnsi" w:eastAsia="MS Mincho" w:hAnsiTheme="majorHAnsi" w:cstheme="majorHAnsi"/>
          <w:color w:val="595959" w:themeColor="text1" w:themeTint="A6"/>
          <w:lang w:val="en-US"/>
        </w:rPr>
        <w:t>.</w:t>
      </w:r>
    </w:p>
    <w:p w:rsidR="00E07F0C" w:rsidRPr="00CB527B" w:rsidRDefault="00E07F0C" w:rsidP="00BF6C52">
      <w:pPr>
        <w:pStyle w:val="Heading2"/>
        <w:spacing w:after="120" w:line="240" w:lineRule="auto"/>
        <w:contextualSpacing w:val="0"/>
        <w:rPr>
          <w:rFonts w:cstheme="majorHAnsi"/>
          <w:sz w:val="22"/>
          <w:szCs w:val="22"/>
        </w:rPr>
      </w:pPr>
      <w:bookmarkStart w:id="41" w:name="_Toc3297021"/>
      <w:r w:rsidRPr="00CB527B">
        <w:rPr>
          <w:rFonts w:cstheme="majorHAnsi"/>
          <w:sz w:val="22"/>
          <w:szCs w:val="22"/>
        </w:rPr>
        <w:t xml:space="preserve">Annex </w:t>
      </w:r>
      <w:r w:rsidR="006256F3">
        <w:rPr>
          <w:rFonts w:cstheme="majorHAnsi"/>
          <w:sz w:val="22"/>
          <w:szCs w:val="22"/>
        </w:rPr>
        <w:t>B</w:t>
      </w:r>
      <w:r w:rsidRPr="00CB527B">
        <w:rPr>
          <w:rFonts w:cstheme="majorHAnsi"/>
          <w:sz w:val="22"/>
          <w:szCs w:val="22"/>
        </w:rPr>
        <w:t>: Risk Register</w:t>
      </w:r>
      <w:bookmarkEnd w:id="41"/>
    </w:p>
    <w:p w:rsidR="00E75F29" w:rsidRPr="00597029" w:rsidRDefault="00E75F29" w:rsidP="00BF6C52">
      <w:pPr>
        <w:spacing w:before="0" w:after="120" w:line="240" w:lineRule="auto"/>
        <w:rPr>
          <w:rFonts w:asciiTheme="majorHAnsi" w:hAnsiTheme="majorHAnsi" w:cstheme="majorHAnsi"/>
        </w:rPr>
      </w:pPr>
    </w:p>
    <w:tbl>
      <w:tblPr>
        <w:tblStyle w:val="TableGrid2"/>
        <w:tblW w:w="5000" w:type="pct"/>
        <w:tblLook w:val="04A0" w:firstRow="1" w:lastRow="0" w:firstColumn="1" w:lastColumn="0" w:noHBand="0" w:noVBand="1"/>
      </w:tblPr>
      <w:tblGrid>
        <w:gridCol w:w="1663"/>
        <w:gridCol w:w="2459"/>
        <w:gridCol w:w="4519"/>
        <w:gridCol w:w="1738"/>
        <w:gridCol w:w="1161"/>
        <w:gridCol w:w="1437"/>
        <w:gridCol w:w="971"/>
      </w:tblGrid>
      <w:tr w:rsidR="004916C4" w:rsidRPr="00B12951" w:rsidTr="002167AE">
        <w:tc>
          <w:tcPr>
            <w:tcW w:w="596" w:type="pct"/>
            <w:vMerge w:val="restart"/>
            <w:tcBorders>
              <w:top w:val="single" w:sz="4" w:space="0" w:color="auto"/>
              <w:left w:val="single" w:sz="4" w:space="0" w:color="auto"/>
              <w:bottom w:val="nil"/>
              <w:right w:val="single" w:sz="4" w:space="0" w:color="auto"/>
            </w:tcBorders>
            <w:shd w:val="clear" w:color="auto" w:fill="C1E7E0" w:themeFill="accent1" w:themeFillTint="66"/>
          </w:tcPr>
          <w:p w:rsidR="004916C4" w:rsidRPr="00EB4FEE" w:rsidRDefault="004916C4" w:rsidP="004916C4">
            <w:pPr>
              <w:spacing w:before="0" w:after="0" w:line="240" w:lineRule="auto"/>
              <w:rPr>
                <w:rFonts w:asciiTheme="majorHAnsi" w:hAnsiTheme="majorHAnsi" w:cstheme="majorHAnsi"/>
                <w:color w:val="595959" w:themeColor="text1" w:themeTint="A6"/>
              </w:rPr>
            </w:pPr>
          </w:p>
        </w:tc>
        <w:tc>
          <w:tcPr>
            <w:tcW w:w="882" w:type="pct"/>
            <w:vMerge w:val="restart"/>
            <w:tcBorders>
              <w:left w:val="single" w:sz="4" w:space="0" w:color="auto"/>
            </w:tcBorders>
            <w:shd w:val="clear" w:color="auto" w:fill="C1E7E0" w:themeFill="accent1" w:themeFillTint="66"/>
          </w:tcPr>
          <w:p w:rsidR="004916C4" w:rsidRPr="00EB4FEE" w:rsidRDefault="004916C4" w:rsidP="004916C4">
            <w:pPr>
              <w:spacing w:before="0" w:after="0" w:line="240" w:lineRule="auto"/>
              <w:rPr>
                <w:rFonts w:asciiTheme="majorHAnsi" w:hAnsiTheme="majorHAnsi" w:cstheme="majorHAnsi"/>
                <w:b/>
                <w:color w:val="595959" w:themeColor="text1" w:themeTint="A6"/>
              </w:rPr>
            </w:pPr>
            <w:r w:rsidRPr="00EB4FEE">
              <w:rPr>
                <w:rFonts w:asciiTheme="majorHAnsi" w:hAnsiTheme="majorHAnsi" w:cstheme="majorHAnsi"/>
                <w:b/>
                <w:color w:val="595959" w:themeColor="text1" w:themeTint="A6"/>
              </w:rPr>
              <w:t>Event/Impact</w:t>
            </w:r>
          </w:p>
        </w:tc>
        <w:tc>
          <w:tcPr>
            <w:tcW w:w="1620" w:type="pct"/>
            <w:vMerge w:val="restart"/>
            <w:shd w:val="clear" w:color="auto" w:fill="C1E7E0" w:themeFill="accent1" w:themeFillTint="66"/>
          </w:tcPr>
          <w:p w:rsidR="004916C4" w:rsidRPr="00EB4FEE" w:rsidRDefault="004916C4" w:rsidP="004916C4">
            <w:pPr>
              <w:spacing w:before="0" w:after="0" w:line="240" w:lineRule="auto"/>
              <w:rPr>
                <w:rFonts w:asciiTheme="majorHAnsi" w:hAnsiTheme="majorHAnsi" w:cstheme="majorHAnsi"/>
                <w:b/>
                <w:color w:val="595959" w:themeColor="text1" w:themeTint="A6"/>
              </w:rPr>
            </w:pPr>
            <w:r w:rsidRPr="00EB4FEE">
              <w:rPr>
                <w:rFonts w:asciiTheme="majorHAnsi" w:hAnsiTheme="majorHAnsi" w:cstheme="majorHAnsi"/>
                <w:b/>
                <w:color w:val="595959" w:themeColor="text1" w:themeTint="A6"/>
              </w:rPr>
              <w:t>Mitigation/Treatment</w:t>
            </w:r>
          </w:p>
        </w:tc>
        <w:tc>
          <w:tcPr>
            <w:tcW w:w="623" w:type="pct"/>
            <w:vMerge w:val="restart"/>
            <w:shd w:val="clear" w:color="auto" w:fill="C1E7E0" w:themeFill="accent1" w:themeFillTint="66"/>
          </w:tcPr>
          <w:p w:rsidR="004916C4" w:rsidRPr="00EB4FEE" w:rsidRDefault="004916C4" w:rsidP="004916C4">
            <w:pPr>
              <w:spacing w:before="0" w:after="0" w:line="240" w:lineRule="auto"/>
              <w:rPr>
                <w:rFonts w:asciiTheme="majorHAnsi" w:hAnsiTheme="majorHAnsi" w:cstheme="majorHAnsi"/>
                <w:b/>
                <w:color w:val="595959" w:themeColor="text1" w:themeTint="A6"/>
              </w:rPr>
            </w:pPr>
            <w:r w:rsidRPr="00EB4FEE">
              <w:rPr>
                <w:rFonts w:asciiTheme="majorHAnsi" w:hAnsiTheme="majorHAnsi" w:cstheme="majorHAnsi"/>
                <w:b/>
                <w:color w:val="595959" w:themeColor="text1" w:themeTint="A6"/>
              </w:rPr>
              <w:t>Responsibility</w:t>
            </w:r>
          </w:p>
        </w:tc>
        <w:tc>
          <w:tcPr>
            <w:tcW w:w="1279" w:type="pct"/>
            <w:gridSpan w:val="3"/>
            <w:shd w:val="clear" w:color="auto" w:fill="C1E7E0" w:themeFill="accent1" w:themeFillTint="66"/>
          </w:tcPr>
          <w:p w:rsidR="004916C4" w:rsidRPr="00EB4FEE" w:rsidRDefault="004916C4" w:rsidP="004916C4">
            <w:pPr>
              <w:spacing w:before="0" w:after="0" w:line="240" w:lineRule="auto"/>
              <w:rPr>
                <w:rFonts w:asciiTheme="majorHAnsi" w:hAnsiTheme="majorHAnsi" w:cstheme="majorHAnsi"/>
                <w:b/>
                <w:color w:val="595959" w:themeColor="text1" w:themeTint="A6"/>
              </w:rPr>
            </w:pPr>
            <w:r w:rsidRPr="00EB4FEE">
              <w:rPr>
                <w:rFonts w:asciiTheme="majorHAnsi" w:hAnsiTheme="majorHAnsi" w:cstheme="majorHAnsi"/>
                <w:b/>
                <w:color w:val="595959" w:themeColor="text1" w:themeTint="A6"/>
              </w:rPr>
              <w:t>Rating after Mitigation</w:t>
            </w:r>
          </w:p>
        </w:tc>
      </w:tr>
      <w:tr w:rsidR="004916C4" w:rsidRPr="00B12951" w:rsidTr="002167AE">
        <w:tc>
          <w:tcPr>
            <w:tcW w:w="596" w:type="pct"/>
            <w:vMerge/>
            <w:tcBorders>
              <w:top w:val="nil"/>
              <w:left w:val="single" w:sz="4" w:space="0" w:color="auto"/>
              <w:bottom w:val="nil"/>
              <w:right w:val="single" w:sz="4" w:space="0" w:color="auto"/>
            </w:tcBorders>
            <w:shd w:val="clear" w:color="auto" w:fill="C1E7E0" w:themeFill="accent1" w:themeFillTint="66"/>
          </w:tcPr>
          <w:p w:rsidR="004916C4" w:rsidRPr="00EB4FEE" w:rsidRDefault="004916C4" w:rsidP="004916C4">
            <w:pPr>
              <w:spacing w:before="0" w:after="0" w:line="240" w:lineRule="auto"/>
              <w:rPr>
                <w:rFonts w:asciiTheme="majorHAnsi" w:hAnsiTheme="majorHAnsi" w:cstheme="majorHAnsi"/>
                <w:color w:val="595959" w:themeColor="text1" w:themeTint="A6"/>
              </w:rPr>
            </w:pPr>
          </w:p>
        </w:tc>
        <w:tc>
          <w:tcPr>
            <w:tcW w:w="882" w:type="pct"/>
            <w:vMerge/>
            <w:tcBorders>
              <w:left w:val="single" w:sz="4" w:space="0" w:color="auto"/>
            </w:tcBorders>
            <w:shd w:val="clear" w:color="auto" w:fill="C1E7E0" w:themeFill="accent1" w:themeFillTint="66"/>
          </w:tcPr>
          <w:p w:rsidR="004916C4" w:rsidRPr="00EB4FEE" w:rsidRDefault="004916C4" w:rsidP="004916C4">
            <w:pPr>
              <w:spacing w:before="0" w:after="0" w:line="240" w:lineRule="auto"/>
              <w:rPr>
                <w:rFonts w:asciiTheme="majorHAnsi" w:hAnsiTheme="majorHAnsi" w:cstheme="majorHAnsi"/>
                <w:b/>
                <w:color w:val="595959" w:themeColor="text1" w:themeTint="A6"/>
              </w:rPr>
            </w:pPr>
          </w:p>
        </w:tc>
        <w:tc>
          <w:tcPr>
            <w:tcW w:w="1620" w:type="pct"/>
            <w:vMerge/>
            <w:shd w:val="clear" w:color="auto" w:fill="C1E7E0" w:themeFill="accent1" w:themeFillTint="66"/>
          </w:tcPr>
          <w:p w:rsidR="004916C4" w:rsidRPr="00EB4FEE" w:rsidRDefault="004916C4" w:rsidP="004916C4">
            <w:pPr>
              <w:spacing w:before="0" w:after="0" w:line="240" w:lineRule="auto"/>
              <w:rPr>
                <w:rFonts w:asciiTheme="majorHAnsi" w:hAnsiTheme="majorHAnsi" w:cstheme="majorHAnsi"/>
                <w:b/>
                <w:color w:val="595959" w:themeColor="text1" w:themeTint="A6"/>
              </w:rPr>
            </w:pPr>
          </w:p>
        </w:tc>
        <w:tc>
          <w:tcPr>
            <w:tcW w:w="623" w:type="pct"/>
            <w:vMerge/>
            <w:shd w:val="clear" w:color="auto" w:fill="C1E7E0" w:themeFill="accent1" w:themeFillTint="66"/>
          </w:tcPr>
          <w:p w:rsidR="004916C4" w:rsidRPr="00EB4FEE" w:rsidRDefault="004916C4" w:rsidP="004916C4">
            <w:pPr>
              <w:spacing w:before="0" w:after="0" w:line="240" w:lineRule="auto"/>
              <w:rPr>
                <w:rFonts w:asciiTheme="majorHAnsi" w:hAnsiTheme="majorHAnsi" w:cstheme="majorHAnsi"/>
                <w:b/>
                <w:color w:val="595959" w:themeColor="text1" w:themeTint="A6"/>
              </w:rPr>
            </w:pPr>
          </w:p>
        </w:tc>
        <w:tc>
          <w:tcPr>
            <w:tcW w:w="416" w:type="pct"/>
            <w:shd w:val="clear" w:color="auto" w:fill="C1E7E0" w:themeFill="accent1" w:themeFillTint="66"/>
          </w:tcPr>
          <w:p w:rsidR="004916C4" w:rsidRPr="00EB4FEE" w:rsidRDefault="004916C4" w:rsidP="004916C4">
            <w:pPr>
              <w:spacing w:before="0" w:after="0" w:line="240" w:lineRule="auto"/>
              <w:rPr>
                <w:rFonts w:asciiTheme="majorHAnsi" w:hAnsiTheme="majorHAnsi" w:cstheme="majorHAnsi"/>
                <w:b/>
                <w:color w:val="595959" w:themeColor="text1" w:themeTint="A6"/>
              </w:rPr>
            </w:pPr>
            <w:r w:rsidRPr="00EB4FEE">
              <w:rPr>
                <w:rFonts w:asciiTheme="majorHAnsi" w:hAnsiTheme="majorHAnsi" w:cstheme="majorHAnsi"/>
                <w:b/>
                <w:color w:val="595959" w:themeColor="text1" w:themeTint="A6"/>
              </w:rPr>
              <w:t>Likelihood</w:t>
            </w:r>
          </w:p>
        </w:tc>
        <w:tc>
          <w:tcPr>
            <w:tcW w:w="515" w:type="pct"/>
            <w:shd w:val="clear" w:color="auto" w:fill="C1E7E0" w:themeFill="accent1" w:themeFillTint="66"/>
          </w:tcPr>
          <w:p w:rsidR="004916C4" w:rsidRPr="00EB4FEE" w:rsidRDefault="004916C4" w:rsidP="004916C4">
            <w:pPr>
              <w:spacing w:before="0" w:after="0" w:line="240" w:lineRule="auto"/>
              <w:rPr>
                <w:rFonts w:asciiTheme="majorHAnsi" w:hAnsiTheme="majorHAnsi" w:cstheme="majorHAnsi"/>
                <w:b/>
                <w:color w:val="595959" w:themeColor="text1" w:themeTint="A6"/>
              </w:rPr>
            </w:pPr>
            <w:r w:rsidRPr="00EB4FEE">
              <w:rPr>
                <w:rFonts w:asciiTheme="majorHAnsi" w:hAnsiTheme="majorHAnsi" w:cstheme="majorHAnsi"/>
                <w:b/>
                <w:color w:val="595959" w:themeColor="text1" w:themeTint="A6"/>
              </w:rPr>
              <w:t>Consequence</w:t>
            </w:r>
          </w:p>
        </w:tc>
        <w:tc>
          <w:tcPr>
            <w:tcW w:w="348" w:type="pct"/>
            <w:shd w:val="clear" w:color="auto" w:fill="C1E7E0" w:themeFill="accent1" w:themeFillTint="66"/>
          </w:tcPr>
          <w:p w:rsidR="004916C4" w:rsidRPr="00EB4FEE" w:rsidRDefault="004916C4" w:rsidP="004916C4">
            <w:pPr>
              <w:spacing w:before="0" w:after="0" w:line="240" w:lineRule="auto"/>
              <w:rPr>
                <w:rFonts w:asciiTheme="majorHAnsi" w:hAnsiTheme="majorHAnsi" w:cstheme="majorHAnsi"/>
                <w:b/>
                <w:color w:val="595959" w:themeColor="text1" w:themeTint="A6"/>
              </w:rPr>
            </w:pPr>
            <w:r w:rsidRPr="00EB4FEE">
              <w:rPr>
                <w:rFonts w:asciiTheme="majorHAnsi" w:hAnsiTheme="majorHAnsi" w:cstheme="majorHAnsi"/>
                <w:b/>
                <w:color w:val="595959" w:themeColor="text1" w:themeTint="A6"/>
              </w:rPr>
              <w:t>Rating</w:t>
            </w:r>
          </w:p>
        </w:tc>
      </w:tr>
      <w:tr w:rsidR="004916C4" w:rsidRPr="00B12951" w:rsidTr="002167AE">
        <w:tc>
          <w:tcPr>
            <w:tcW w:w="596" w:type="pct"/>
            <w:tcBorders>
              <w:top w:val="nil"/>
              <w:left w:val="single" w:sz="4" w:space="0" w:color="auto"/>
              <w:bottom w:val="nil"/>
              <w:right w:val="single" w:sz="4" w:space="0" w:color="auto"/>
            </w:tcBorders>
            <w:shd w:val="clear" w:color="auto" w:fill="C1E7E0" w:themeFill="accent1" w:themeFillTint="66"/>
          </w:tcPr>
          <w:p w:rsidR="004916C4" w:rsidRPr="00EB4FEE" w:rsidRDefault="004916C4" w:rsidP="004916C4">
            <w:pPr>
              <w:spacing w:before="0" w:after="0" w:line="240" w:lineRule="auto"/>
              <w:rPr>
                <w:rFonts w:asciiTheme="majorHAnsi" w:hAnsiTheme="majorHAnsi" w:cstheme="majorHAnsi"/>
                <w:b/>
                <w:color w:val="595959" w:themeColor="text1" w:themeTint="A6"/>
              </w:rPr>
            </w:pPr>
          </w:p>
        </w:tc>
        <w:tc>
          <w:tcPr>
            <w:tcW w:w="882" w:type="pct"/>
            <w:tcBorders>
              <w:left w:val="single" w:sz="4" w:space="0" w:color="auto"/>
            </w:tcBorders>
          </w:tcPr>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 xml:space="preserve">Government health expenditure is well below regional and lower middle-income averages which undermines health service </w:t>
            </w:r>
            <w:r w:rsidR="00352A08">
              <w:rPr>
                <w:rFonts w:asciiTheme="majorHAnsi" w:hAnsiTheme="majorHAnsi" w:cstheme="majorHAnsi"/>
                <w:color w:val="595959" w:themeColor="text1" w:themeTint="A6"/>
              </w:rPr>
              <w:t>delivery in Indonesia.</w:t>
            </w:r>
            <w:r w:rsidRPr="00EB4FEE">
              <w:rPr>
                <w:rFonts w:asciiTheme="majorHAnsi" w:hAnsiTheme="majorHAnsi" w:cstheme="majorHAnsi"/>
                <w:color w:val="595959" w:themeColor="text1" w:themeTint="A6"/>
              </w:rPr>
              <w:t xml:space="preserve"> There are limitations in Indonesia’s overall health system capacity, including challenges ass</w:t>
            </w:r>
            <w:r w:rsidR="00352A08">
              <w:rPr>
                <w:rFonts w:asciiTheme="majorHAnsi" w:hAnsiTheme="majorHAnsi" w:cstheme="majorHAnsi"/>
                <w:color w:val="595959" w:themeColor="text1" w:themeTint="A6"/>
              </w:rPr>
              <w:t xml:space="preserve">ociated with decentralisation. </w:t>
            </w:r>
            <w:r w:rsidRPr="00EB4FEE">
              <w:rPr>
                <w:rFonts w:asciiTheme="majorHAnsi" w:hAnsiTheme="majorHAnsi" w:cstheme="majorHAnsi"/>
                <w:color w:val="595959" w:themeColor="text1" w:themeTint="A6"/>
              </w:rPr>
              <w:t xml:space="preserve">There may </w:t>
            </w:r>
            <w:r w:rsidR="002167AE" w:rsidRPr="00EB4FEE">
              <w:rPr>
                <w:rFonts w:asciiTheme="majorHAnsi" w:hAnsiTheme="majorHAnsi" w:cstheme="majorHAnsi"/>
                <w:color w:val="595959" w:themeColor="text1" w:themeTint="A6"/>
              </w:rPr>
              <w:t xml:space="preserve">be </w:t>
            </w:r>
            <w:r w:rsidR="005C6EFA" w:rsidRPr="00EB4FEE">
              <w:rPr>
                <w:rFonts w:asciiTheme="majorHAnsi" w:hAnsiTheme="majorHAnsi" w:cstheme="majorHAnsi"/>
                <w:color w:val="595959" w:themeColor="text1" w:themeTint="A6"/>
              </w:rPr>
              <w:t>a preference</w:t>
            </w:r>
            <w:r w:rsidR="002167AE" w:rsidRPr="00EB4FEE">
              <w:rPr>
                <w:rFonts w:asciiTheme="majorHAnsi" w:hAnsiTheme="majorHAnsi" w:cstheme="majorHAnsi"/>
                <w:color w:val="595959" w:themeColor="text1" w:themeTint="A6"/>
              </w:rPr>
              <w:t xml:space="preserve"> </w:t>
            </w:r>
            <w:r w:rsidRPr="00EB4FEE">
              <w:rPr>
                <w:rFonts w:asciiTheme="majorHAnsi" w:hAnsiTheme="majorHAnsi" w:cstheme="majorHAnsi"/>
                <w:color w:val="595959" w:themeColor="text1" w:themeTint="A6"/>
              </w:rPr>
              <w:t xml:space="preserve">or pressure </w:t>
            </w:r>
            <w:r w:rsidR="002167AE" w:rsidRPr="00EB4FEE">
              <w:rPr>
                <w:rFonts w:asciiTheme="majorHAnsi" w:hAnsiTheme="majorHAnsi" w:cstheme="majorHAnsi"/>
                <w:color w:val="595959" w:themeColor="text1" w:themeTint="A6"/>
              </w:rPr>
              <w:t>deliver</w:t>
            </w:r>
            <w:r w:rsidRPr="00EB4FEE">
              <w:rPr>
                <w:rFonts w:asciiTheme="majorHAnsi" w:hAnsiTheme="majorHAnsi" w:cstheme="majorHAnsi"/>
                <w:color w:val="595959" w:themeColor="text1" w:themeTint="A6"/>
              </w:rPr>
              <w:t xml:space="preserve"> health security activities ‘vertical</w:t>
            </w:r>
            <w:r w:rsidR="002167AE" w:rsidRPr="00EB4FEE">
              <w:rPr>
                <w:rFonts w:asciiTheme="majorHAnsi" w:hAnsiTheme="majorHAnsi" w:cstheme="majorHAnsi"/>
                <w:color w:val="595959" w:themeColor="text1" w:themeTint="A6"/>
              </w:rPr>
              <w:t>ly</w:t>
            </w:r>
            <w:r w:rsidRPr="00EB4FEE">
              <w:rPr>
                <w:rFonts w:asciiTheme="majorHAnsi" w:hAnsiTheme="majorHAnsi" w:cstheme="majorHAnsi"/>
                <w:color w:val="595959" w:themeColor="text1" w:themeTint="A6"/>
              </w:rPr>
              <w:t>’ for expedited results</w:t>
            </w:r>
            <w:r w:rsidR="00352A08">
              <w:rPr>
                <w:rFonts w:asciiTheme="majorHAnsi" w:hAnsiTheme="majorHAnsi" w:cstheme="majorHAnsi"/>
                <w:color w:val="595959" w:themeColor="text1" w:themeTint="A6"/>
              </w:rPr>
              <w:t>.</w:t>
            </w:r>
          </w:p>
        </w:tc>
        <w:tc>
          <w:tcPr>
            <w:tcW w:w="1620" w:type="pct"/>
          </w:tcPr>
          <w:p w:rsidR="004916C4" w:rsidRPr="00EB4FEE" w:rsidRDefault="004916C4" w:rsidP="004916C4">
            <w:pPr>
              <w:numPr>
                <w:ilvl w:val="0"/>
                <w:numId w:val="75"/>
              </w:numPr>
              <w:suppressAutoHyphens w:val="0"/>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 xml:space="preserve">DFAT and the </w:t>
            </w:r>
            <w:r w:rsidR="00B12951" w:rsidRPr="00EB4FEE">
              <w:rPr>
                <w:rFonts w:asciiTheme="majorHAnsi" w:hAnsiTheme="majorHAnsi" w:cstheme="majorHAnsi"/>
                <w:color w:val="595959" w:themeColor="text1" w:themeTint="A6"/>
              </w:rPr>
              <w:t>c</w:t>
            </w:r>
            <w:r w:rsidRPr="00EB4FEE">
              <w:rPr>
                <w:rFonts w:asciiTheme="majorHAnsi" w:hAnsiTheme="majorHAnsi" w:cstheme="majorHAnsi"/>
                <w:color w:val="595959" w:themeColor="text1" w:themeTint="A6"/>
              </w:rPr>
              <w:t>ontractor will work closely with the GoI when negotiating and developing activities to ensure that they are feasible and fit within the investment criteria.</w:t>
            </w:r>
          </w:p>
          <w:p w:rsidR="004916C4" w:rsidRPr="00EB4FEE" w:rsidRDefault="004916C4" w:rsidP="004916C4">
            <w:pPr>
              <w:numPr>
                <w:ilvl w:val="0"/>
                <w:numId w:val="75"/>
              </w:numPr>
              <w:suppressAutoHyphens w:val="0"/>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M&amp;E and how each activity will be reported on will be considered from the outset.</w:t>
            </w:r>
          </w:p>
          <w:p w:rsidR="004916C4" w:rsidRPr="00EB4FEE" w:rsidRDefault="004916C4" w:rsidP="004916C4">
            <w:pPr>
              <w:numPr>
                <w:ilvl w:val="0"/>
                <w:numId w:val="75"/>
              </w:numPr>
              <w:suppressAutoHyphens w:val="0"/>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DFAT will actively advocate for a health systems strengthening approach as outlined in DFAT’s Health for Development Strategy (2015-2020)</w:t>
            </w:r>
            <w:r w:rsidR="005C6EFA" w:rsidRPr="00EB4FEE">
              <w:rPr>
                <w:rFonts w:asciiTheme="majorHAnsi" w:hAnsiTheme="majorHAnsi" w:cstheme="majorHAnsi"/>
                <w:color w:val="595959" w:themeColor="text1" w:themeTint="A6"/>
              </w:rPr>
              <w:t>.</w:t>
            </w:r>
          </w:p>
        </w:tc>
        <w:tc>
          <w:tcPr>
            <w:tcW w:w="623" w:type="pct"/>
          </w:tcPr>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DFAT/Contractor</w:t>
            </w:r>
          </w:p>
        </w:tc>
        <w:tc>
          <w:tcPr>
            <w:tcW w:w="416" w:type="pct"/>
          </w:tcPr>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Possible</w:t>
            </w:r>
          </w:p>
        </w:tc>
        <w:tc>
          <w:tcPr>
            <w:tcW w:w="515" w:type="pct"/>
          </w:tcPr>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Moderate</w:t>
            </w:r>
          </w:p>
        </w:tc>
        <w:tc>
          <w:tcPr>
            <w:tcW w:w="348" w:type="pct"/>
          </w:tcPr>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Medium</w:t>
            </w:r>
          </w:p>
        </w:tc>
      </w:tr>
      <w:tr w:rsidR="004916C4" w:rsidRPr="00B12951" w:rsidTr="002167AE">
        <w:tc>
          <w:tcPr>
            <w:tcW w:w="596" w:type="pct"/>
            <w:tcBorders>
              <w:top w:val="nil"/>
              <w:left w:val="single" w:sz="4" w:space="0" w:color="auto"/>
              <w:bottom w:val="nil"/>
              <w:right w:val="single" w:sz="4" w:space="0" w:color="auto"/>
            </w:tcBorders>
            <w:shd w:val="clear" w:color="auto" w:fill="C1E7E0" w:themeFill="accent1" w:themeFillTint="66"/>
          </w:tcPr>
          <w:p w:rsidR="004916C4" w:rsidRPr="00EB4FEE" w:rsidRDefault="004916C4" w:rsidP="004916C4">
            <w:pPr>
              <w:spacing w:before="0" w:after="0" w:line="240" w:lineRule="auto"/>
              <w:rPr>
                <w:rFonts w:asciiTheme="majorHAnsi" w:hAnsiTheme="majorHAnsi" w:cstheme="majorHAnsi"/>
                <w:b/>
                <w:color w:val="595959" w:themeColor="text1" w:themeTint="A6"/>
              </w:rPr>
            </w:pPr>
            <w:r w:rsidRPr="00EB4FEE">
              <w:rPr>
                <w:rFonts w:asciiTheme="majorHAnsi" w:hAnsiTheme="majorHAnsi" w:cstheme="majorHAnsi"/>
                <w:b/>
                <w:color w:val="595959" w:themeColor="text1" w:themeTint="A6"/>
              </w:rPr>
              <w:t>Operating Environment</w:t>
            </w:r>
          </w:p>
        </w:tc>
        <w:tc>
          <w:tcPr>
            <w:tcW w:w="882" w:type="pct"/>
            <w:tcBorders>
              <w:left w:val="single" w:sz="4" w:space="0" w:color="auto"/>
            </w:tcBorders>
          </w:tcPr>
          <w:p w:rsidR="004916C4" w:rsidRPr="00EB4FEE" w:rsidRDefault="004916C4" w:rsidP="004916C4">
            <w:pPr>
              <w:spacing w:before="0" w:after="0" w:line="240" w:lineRule="auto"/>
              <w:rPr>
                <w:rFonts w:asciiTheme="majorHAnsi" w:hAnsiTheme="majorHAnsi" w:cstheme="majorHAnsi"/>
                <w:color w:val="595959" w:themeColor="text1" w:themeTint="A6"/>
                <w:highlight w:val="yellow"/>
              </w:rPr>
            </w:pPr>
            <w:r w:rsidRPr="00EB4FEE">
              <w:rPr>
                <w:rFonts w:asciiTheme="majorHAnsi" w:hAnsiTheme="majorHAnsi" w:cstheme="majorHAnsi"/>
                <w:color w:val="595959" w:themeColor="text1" w:themeTint="A6"/>
              </w:rPr>
              <w:t>Indonesia faces a health crisis, such as a major outbreak, distracting attention from longer term capacity building and objectives.</w:t>
            </w:r>
          </w:p>
        </w:tc>
        <w:tc>
          <w:tcPr>
            <w:tcW w:w="1620" w:type="pct"/>
          </w:tcPr>
          <w:p w:rsidR="004916C4" w:rsidRPr="00EB4FEE" w:rsidRDefault="004916C4" w:rsidP="004916C4">
            <w:pPr>
              <w:numPr>
                <w:ilvl w:val="0"/>
                <w:numId w:val="75"/>
              </w:numPr>
              <w:suppressAutoHyphens w:val="0"/>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 xml:space="preserve">Given the </w:t>
            </w:r>
            <w:r w:rsidR="002167AE" w:rsidRPr="00EB4FEE">
              <w:rPr>
                <w:rFonts w:asciiTheme="majorHAnsi" w:hAnsiTheme="majorHAnsi" w:cstheme="majorHAnsi"/>
                <w:color w:val="595959" w:themeColor="text1" w:themeTint="A6"/>
              </w:rPr>
              <w:t xml:space="preserve">flexible </w:t>
            </w:r>
            <w:r w:rsidRPr="00EB4FEE">
              <w:rPr>
                <w:rFonts w:asciiTheme="majorHAnsi" w:hAnsiTheme="majorHAnsi" w:cstheme="majorHAnsi"/>
                <w:color w:val="595959" w:themeColor="text1" w:themeTint="A6"/>
              </w:rPr>
              <w:t>nature of the program, attention and investment can be reoriented if deemed necessary</w:t>
            </w:r>
            <w:r w:rsidR="002167AE" w:rsidRPr="00EB4FEE">
              <w:rPr>
                <w:rFonts w:asciiTheme="majorHAnsi" w:hAnsiTheme="majorHAnsi" w:cstheme="majorHAnsi"/>
                <w:color w:val="595959" w:themeColor="text1" w:themeTint="A6"/>
              </w:rPr>
              <w:t xml:space="preserve">; </w:t>
            </w:r>
            <w:r w:rsidRPr="00EB4FEE">
              <w:rPr>
                <w:rFonts w:asciiTheme="majorHAnsi" w:hAnsiTheme="majorHAnsi" w:cstheme="majorHAnsi"/>
                <w:color w:val="595959" w:themeColor="text1" w:themeTint="A6"/>
              </w:rPr>
              <w:t>a crisis could be turned into an opportunity to build capacity in crisis response through Australia a</w:t>
            </w:r>
            <w:r w:rsidR="00352A08">
              <w:rPr>
                <w:rFonts w:asciiTheme="majorHAnsi" w:hAnsiTheme="majorHAnsi" w:cstheme="majorHAnsi"/>
                <w:color w:val="595959" w:themeColor="text1" w:themeTint="A6"/>
              </w:rPr>
              <w:t>nd Indonesia working together.</w:t>
            </w:r>
          </w:p>
          <w:p w:rsidR="004916C4" w:rsidRPr="00EB4FEE" w:rsidRDefault="004916C4">
            <w:pPr>
              <w:numPr>
                <w:ilvl w:val="0"/>
                <w:numId w:val="75"/>
              </w:numPr>
              <w:suppressAutoHyphens w:val="0"/>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 xml:space="preserve">Using the </w:t>
            </w:r>
            <w:r w:rsidR="00B12951">
              <w:rPr>
                <w:rFonts w:asciiTheme="majorHAnsi" w:hAnsiTheme="majorHAnsi" w:cstheme="majorHAnsi"/>
                <w:color w:val="595959" w:themeColor="text1" w:themeTint="A6"/>
              </w:rPr>
              <w:t>NAPHS</w:t>
            </w:r>
            <w:r w:rsidRPr="00EB4FEE">
              <w:rPr>
                <w:rFonts w:asciiTheme="majorHAnsi" w:hAnsiTheme="majorHAnsi" w:cstheme="majorHAnsi"/>
                <w:color w:val="595959" w:themeColor="text1" w:themeTint="A6"/>
              </w:rPr>
              <w:t>, JEE and PVS to guide investments should ensure that program objectives align with GoI’s objectives.</w:t>
            </w:r>
          </w:p>
        </w:tc>
        <w:tc>
          <w:tcPr>
            <w:tcW w:w="623" w:type="pct"/>
          </w:tcPr>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DFAT/ Contractor</w:t>
            </w:r>
          </w:p>
        </w:tc>
        <w:tc>
          <w:tcPr>
            <w:tcW w:w="416" w:type="pct"/>
          </w:tcPr>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Possible</w:t>
            </w:r>
          </w:p>
        </w:tc>
        <w:tc>
          <w:tcPr>
            <w:tcW w:w="515" w:type="pct"/>
          </w:tcPr>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Minor</w:t>
            </w:r>
          </w:p>
        </w:tc>
        <w:tc>
          <w:tcPr>
            <w:tcW w:w="348" w:type="pct"/>
          </w:tcPr>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Medium</w:t>
            </w:r>
          </w:p>
        </w:tc>
      </w:tr>
      <w:tr w:rsidR="004916C4" w:rsidRPr="00B12951" w:rsidTr="002167AE">
        <w:tc>
          <w:tcPr>
            <w:tcW w:w="596" w:type="pct"/>
            <w:tcBorders>
              <w:top w:val="nil"/>
              <w:left w:val="single" w:sz="4" w:space="0" w:color="auto"/>
              <w:bottom w:val="nil"/>
              <w:right w:val="single" w:sz="4" w:space="0" w:color="auto"/>
            </w:tcBorders>
            <w:shd w:val="clear" w:color="auto" w:fill="C1E7E0" w:themeFill="accent1" w:themeFillTint="66"/>
          </w:tcPr>
          <w:p w:rsidR="004916C4" w:rsidRPr="00EB4FEE" w:rsidRDefault="004916C4" w:rsidP="004916C4">
            <w:pPr>
              <w:spacing w:before="0" w:after="0" w:line="240" w:lineRule="auto"/>
              <w:rPr>
                <w:rFonts w:asciiTheme="majorHAnsi" w:hAnsiTheme="majorHAnsi" w:cstheme="majorHAnsi"/>
                <w:color w:val="595959" w:themeColor="text1" w:themeTint="A6"/>
              </w:rPr>
            </w:pPr>
          </w:p>
        </w:tc>
        <w:tc>
          <w:tcPr>
            <w:tcW w:w="882" w:type="pct"/>
            <w:tcBorders>
              <w:left w:val="single" w:sz="4" w:space="0" w:color="auto"/>
            </w:tcBorders>
          </w:tcPr>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GoI or GoA does not want to support or trial certain activities being proposed by respective governments.</w:t>
            </w:r>
          </w:p>
        </w:tc>
        <w:tc>
          <w:tcPr>
            <w:tcW w:w="1620" w:type="pct"/>
          </w:tcPr>
          <w:p w:rsidR="004916C4" w:rsidRPr="00EB4FEE" w:rsidRDefault="004916C4" w:rsidP="004916C4">
            <w:pPr>
              <w:numPr>
                <w:ilvl w:val="0"/>
                <w:numId w:val="76"/>
              </w:numPr>
              <w:suppressAutoHyphens w:val="0"/>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 xml:space="preserve">Ensure that GoI/GoA are consulted on new activities from the outset and ensure there </w:t>
            </w:r>
            <w:r w:rsidR="002167AE" w:rsidRPr="00EB4FEE">
              <w:rPr>
                <w:rFonts w:asciiTheme="majorHAnsi" w:hAnsiTheme="majorHAnsi" w:cstheme="majorHAnsi"/>
                <w:color w:val="595959" w:themeColor="text1" w:themeTint="A6"/>
              </w:rPr>
              <w:t xml:space="preserve">are </w:t>
            </w:r>
            <w:r w:rsidRPr="00EB4FEE">
              <w:rPr>
                <w:rFonts w:asciiTheme="majorHAnsi" w:hAnsiTheme="majorHAnsi" w:cstheme="majorHAnsi"/>
                <w:color w:val="595959" w:themeColor="text1" w:themeTint="A6"/>
              </w:rPr>
              <w:t>clear communications channels between both so there are no surprises when activity plans are si</w:t>
            </w:r>
            <w:r w:rsidR="00352A08">
              <w:rPr>
                <w:rFonts w:asciiTheme="majorHAnsi" w:hAnsiTheme="majorHAnsi" w:cstheme="majorHAnsi"/>
                <w:color w:val="595959" w:themeColor="text1" w:themeTint="A6"/>
              </w:rPr>
              <w:t>gned off in the PCC.</w:t>
            </w:r>
          </w:p>
        </w:tc>
        <w:tc>
          <w:tcPr>
            <w:tcW w:w="623" w:type="pct"/>
          </w:tcPr>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DFAT/Contractor</w:t>
            </w:r>
          </w:p>
        </w:tc>
        <w:tc>
          <w:tcPr>
            <w:tcW w:w="416" w:type="pct"/>
          </w:tcPr>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Possible</w:t>
            </w:r>
          </w:p>
        </w:tc>
        <w:tc>
          <w:tcPr>
            <w:tcW w:w="515" w:type="pct"/>
          </w:tcPr>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Minor</w:t>
            </w:r>
          </w:p>
        </w:tc>
        <w:tc>
          <w:tcPr>
            <w:tcW w:w="348" w:type="pct"/>
          </w:tcPr>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Medium</w:t>
            </w:r>
          </w:p>
        </w:tc>
      </w:tr>
      <w:tr w:rsidR="004916C4" w:rsidRPr="00B12951" w:rsidTr="002167AE">
        <w:tc>
          <w:tcPr>
            <w:tcW w:w="596" w:type="pct"/>
            <w:tcBorders>
              <w:top w:val="nil"/>
              <w:left w:val="single" w:sz="4" w:space="0" w:color="auto"/>
              <w:bottom w:val="nil"/>
              <w:right w:val="single" w:sz="4" w:space="0" w:color="auto"/>
            </w:tcBorders>
            <w:shd w:val="clear" w:color="auto" w:fill="C1E7E0" w:themeFill="accent1" w:themeFillTint="66"/>
          </w:tcPr>
          <w:p w:rsidR="004916C4" w:rsidRPr="00EB4FEE" w:rsidRDefault="004916C4" w:rsidP="004916C4">
            <w:pPr>
              <w:spacing w:before="0" w:after="0" w:line="240" w:lineRule="auto"/>
              <w:rPr>
                <w:rFonts w:asciiTheme="majorHAnsi" w:hAnsiTheme="majorHAnsi" w:cstheme="majorHAnsi"/>
                <w:color w:val="595959" w:themeColor="text1" w:themeTint="A6"/>
              </w:rPr>
            </w:pPr>
          </w:p>
        </w:tc>
        <w:tc>
          <w:tcPr>
            <w:tcW w:w="882" w:type="pct"/>
            <w:tcBorders>
              <w:left w:val="single" w:sz="4" w:space="0" w:color="auto"/>
            </w:tcBorders>
          </w:tcPr>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Change in Government in 2019 in Indonesia results in changes in priorities</w:t>
            </w:r>
            <w:r w:rsidR="00B12951">
              <w:rPr>
                <w:rFonts w:asciiTheme="majorHAnsi" w:hAnsiTheme="majorHAnsi" w:cstheme="majorHAnsi"/>
                <w:color w:val="595959" w:themeColor="text1" w:themeTint="A6"/>
              </w:rPr>
              <w:t>.</w:t>
            </w:r>
          </w:p>
        </w:tc>
        <w:tc>
          <w:tcPr>
            <w:tcW w:w="1620" w:type="pct"/>
          </w:tcPr>
          <w:p w:rsidR="004916C4" w:rsidRPr="00EB4FEE" w:rsidRDefault="002167AE" w:rsidP="004916C4">
            <w:pPr>
              <w:numPr>
                <w:ilvl w:val="0"/>
                <w:numId w:val="76"/>
              </w:numPr>
              <w:suppressAutoHyphens w:val="0"/>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T</w:t>
            </w:r>
            <w:r w:rsidR="004916C4" w:rsidRPr="00EB4FEE">
              <w:rPr>
                <w:rFonts w:asciiTheme="majorHAnsi" w:hAnsiTheme="majorHAnsi" w:cstheme="majorHAnsi"/>
                <w:color w:val="595959" w:themeColor="text1" w:themeTint="A6"/>
              </w:rPr>
              <w:t>he</w:t>
            </w:r>
            <w:r w:rsidRPr="00EB4FEE">
              <w:rPr>
                <w:rFonts w:asciiTheme="majorHAnsi" w:hAnsiTheme="majorHAnsi" w:cstheme="majorHAnsi"/>
                <w:color w:val="595959" w:themeColor="text1" w:themeTint="A6"/>
              </w:rPr>
              <w:t xml:space="preserve"> flexible</w:t>
            </w:r>
            <w:r w:rsidR="004916C4" w:rsidRPr="00EB4FEE">
              <w:rPr>
                <w:rFonts w:asciiTheme="majorHAnsi" w:hAnsiTheme="majorHAnsi" w:cstheme="majorHAnsi"/>
                <w:color w:val="595959" w:themeColor="text1" w:themeTint="A6"/>
              </w:rPr>
              <w:t xml:space="preserve"> program</w:t>
            </w:r>
            <w:r w:rsidRPr="00EB4FEE">
              <w:rPr>
                <w:rFonts w:asciiTheme="majorHAnsi" w:hAnsiTheme="majorHAnsi" w:cstheme="majorHAnsi"/>
                <w:color w:val="595959" w:themeColor="text1" w:themeTint="A6"/>
              </w:rPr>
              <w:t xml:space="preserve"> design</w:t>
            </w:r>
            <w:r w:rsidR="004916C4" w:rsidRPr="00EB4FEE">
              <w:rPr>
                <w:rFonts w:asciiTheme="majorHAnsi" w:hAnsiTheme="majorHAnsi" w:cstheme="majorHAnsi"/>
                <w:color w:val="595959" w:themeColor="text1" w:themeTint="A6"/>
              </w:rPr>
              <w:t xml:space="preserve">, with annual work plans </w:t>
            </w:r>
            <w:r w:rsidRPr="00EB4FEE">
              <w:rPr>
                <w:rFonts w:asciiTheme="majorHAnsi" w:hAnsiTheme="majorHAnsi" w:cstheme="majorHAnsi"/>
                <w:color w:val="595959" w:themeColor="text1" w:themeTint="A6"/>
              </w:rPr>
              <w:t xml:space="preserve">will </w:t>
            </w:r>
            <w:r w:rsidR="004916C4" w:rsidRPr="00EB4FEE">
              <w:rPr>
                <w:rFonts w:asciiTheme="majorHAnsi" w:hAnsiTheme="majorHAnsi" w:cstheme="majorHAnsi"/>
                <w:color w:val="595959" w:themeColor="text1" w:themeTint="A6"/>
              </w:rPr>
              <w:t>allows for adjust</w:t>
            </w:r>
            <w:r w:rsidRPr="00EB4FEE">
              <w:rPr>
                <w:rFonts w:asciiTheme="majorHAnsi" w:hAnsiTheme="majorHAnsi" w:cstheme="majorHAnsi"/>
                <w:color w:val="595959" w:themeColor="text1" w:themeTint="A6"/>
              </w:rPr>
              <w:t>ment</w:t>
            </w:r>
            <w:r w:rsidR="004916C4" w:rsidRPr="00EB4FEE">
              <w:rPr>
                <w:rFonts w:asciiTheme="majorHAnsi" w:hAnsiTheme="majorHAnsi" w:cstheme="majorHAnsi"/>
                <w:color w:val="595959" w:themeColor="text1" w:themeTint="A6"/>
              </w:rPr>
              <w:t xml:space="preserve"> to changed priorities if considered ne</w:t>
            </w:r>
            <w:r w:rsidR="00352A08">
              <w:rPr>
                <w:rFonts w:asciiTheme="majorHAnsi" w:hAnsiTheme="majorHAnsi" w:cstheme="majorHAnsi"/>
                <w:color w:val="595959" w:themeColor="text1" w:themeTint="A6"/>
              </w:rPr>
              <w:t>cessary.</w:t>
            </w:r>
            <w:r w:rsidR="004916C4" w:rsidRPr="00EB4FEE">
              <w:rPr>
                <w:rFonts w:asciiTheme="majorHAnsi" w:hAnsiTheme="majorHAnsi" w:cstheme="majorHAnsi"/>
                <w:color w:val="595959" w:themeColor="text1" w:themeTint="A6"/>
              </w:rPr>
              <w:t xml:space="preserve"> </w:t>
            </w:r>
          </w:p>
          <w:p w:rsidR="002167AE" w:rsidRPr="00EB4FEE" w:rsidRDefault="004916C4" w:rsidP="004916C4">
            <w:pPr>
              <w:numPr>
                <w:ilvl w:val="0"/>
                <w:numId w:val="76"/>
              </w:numPr>
              <w:suppressAutoHyphens w:val="0"/>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 xml:space="preserve">Indonesia has undertaken a JEE and is developing a </w:t>
            </w:r>
            <w:r w:rsidR="00B12951">
              <w:rPr>
                <w:rFonts w:asciiTheme="majorHAnsi" w:hAnsiTheme="majorHAnsi" w:cstheme="majorHAnsi"/>
                <w:color w:val="595959" w:themeColor="text1" w:themeTint="A6"/>
              </w:rPr>
              <w:t>NAPHS</w:t>
            </w:r>
            <w:r w:rsidRPr="00EB4FEE">
              <w:rPr>
                <w:rFonts w:asciiTheme="majorHAnsi" w:hAnsiTheme="majorHAnsi" w:cstheme="majorHAnsi"/>
                <w:color w:val="595959" w:themeColor="text1" w:themeTint="A6"/>
              </w:rPr>
              <w:t xml:space="preserve"> so it is unlikely that momentum </w:t>
            </w:r>
            <w:r w:rsidR="002167AE" w:rsidRPr="00EB4FEE">
              <w:rPr>
                <w:rFonts w:asciiTheme="majorHAnsi" w:hAnsiTheme="majorHAnsi" w:cstheme="majorHAnsi"/>
                <w:color w:val="595959" w:themeColor="text1" w:themeTint="A6"/>
              </w:rPr>
              <w:t xml:space="preserve">will be </w:t>
            </w:r>
            <w:r w:rsidRPr="00EB4FEE">
              <w:rPr>
                <w:rFonts w:asciiTheme="majorHAnsi" w:hAnsiTheme="majorHAnsi" w:cstheme="majorHAnsi"/>
                <w:color w:val="595959" w:themeColor="text1" w:themeTint="A6"/>
              </w:rPr>
              <w:t xml:space="preserve">lost. </w:t>
            </w:r>
          </w:p>
          <w:p w:rsidR="004916C4" w:rsidRPr="00EB4FEE" w:rsidRDefault="002167AE" w:rsidP="004916C4">
            <w:pPr>
              <w:numPr>
                <w:ilvl w:val="0"/>
                <w:numId w:val="76"/>
              </w:numPr>
              <w:suppressAutoHyphens w:val="0"/>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T</w:t>
            </w:r>
            <w:r w:rsidR="004916C4" w:rsidRPr="00EB4FEE">
              <w:rPr>
                <w:rFonts w:asciiTheme="majorHAnsi" w:hAnsiTheme="majorHAnsi" w:cstheme="majorHAnsi"/>
                <w:color w:val="595959" w:themeColor="text1" w:themeTint="A6"/>
              </w:rPr>
              <w:t xml:space="preserve">he international </w:t>
            </w:r>
            <w:r w:rsidRPr="00EB4FEE">
              <w:rPr>
                <w:rFonts w:asciiTheme="majorHAnsi" w:hAnsiTheme="majorHAnsi" w:cstheme="majorHAnsi"/>
                <w:color w:val="595959" w:themeColor="text1" w:themeTint="A6"/>
              </w:rPr>
              <w:t xml:space="preserve">momentum </w:t>
            </w:r>
            <w:r w:rsidR="004916C4" w:rsidRPr="00EB4FEE">
              <w:rPr>
                <w:rFonts w:asciiTheme="majorHAnsi" w:hAnsiTheme="majorHAnsi" w:cstheme="majorHAnsi"/>
                <w:color w:val="595959" w:themeColor="text1" w:themeTint="A6"/>
              </w:rPr>
              <w:t xml:space="preserve">around health security and the economic </w:t>
            </w:r>
            <w:r w:rsidRPr="00EB4FEE">
              <w:rPr>
                <w:rFonts w:asciiTheme="majorHAnsi" w:hAnsiTheme="majorHAnsi" w:cstheme="majorHAnsi"/>
                <w:color w:val="595959" w:themeColor="text1" w:themeTint="A6"/>
              </w:rPr>
              <w:t xml:space="preserve">impact of </w:t>
            </w:r>
            <w:r w:rsidR="004916C4" w:rsidRPr="00EB4FEE">
              <w:rPr>
                <w:rFonts w:asciiTheme="majorHAnsi" w:hAnsiTheme="majorHAnsi" w:cstheme="majorHAnsi"/>
                <w:color w:val="595959" w:themeColor="text1" w:themeTint="A6"/>
              </w:rPr>
              <w:t xml:space="preserve">a potential epidemic/pandemic </w:t>
            </w:r>
            <w:r w:rsidRPr="00EB4FEE">
              <w:rPr>
                <w:rFonts w:asciiTheme="majorHAnsi" w:hAnsiTheme="majorHAnsi" w:cstheme="majorHAnsi"/>
                <w:color w:val="595959" w:themeColor="text1" w:themeTint="A6"/>
              </w:rPr>
              <w:t>are likely to ensure that health security remains a priority</w:t>
            </w:r>
            <w:r w:rsidR="005C6EFA" w:rsidRPr="00EB4FEE">
              <w:rPr>
                <w:rFonts w:asciiTheme="majorHAnsi" w:hAnsiTheme="majorHAnsi" w:cstheme="majorHAnsi"/>
                <w:color w:val="595959" w:themeColor="text1" w:themeTint="A6"/>
              </w:rPr>
              <w:t>.</w:t>
            </w:r>
          </w:p>
          <w:p w:rsidR="004916C4" w:rsidRPr="00EB4FEE" w:rsidRDefault="004916C4" w:rsidP="004916C4">
            <w:pPr>
              <w:numPr>
                <w:ilvl w:val="0"/>
                <w:numId w:val="76"/>
              </w:numPr>
              <w:suppressAutoHyphens w:val="0"/>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 xml:space="preserve">DFAT is working with other donors on the Health Sector Review which will </w:t>
            </w:r>
            <w:r w:rsidR="002167AE" w:rsidRPr="00EB4FEE">
              <w:rPr>
                <w:rFonts w:asciiTheme="majorHAnsi" w:hAnsiTheme="majorHAnsi" w:cstheme="majorHAnsi"/>
                <w:color w:val="595959" w:themeColor="text1" w:themeTint="A6"/>
              </w:rPr>
              <w:t>inform</w:t>
            </w:r>
            <w:r w:rsidRPr="00EB4FEE">
              <w:rPr>
                <w:rFonts w:asciiTheme="majorHAnsi" w:hAnsiTheme="majorHAnsi" w:cstheme="majorHAnsi"/>
                <w:color w:val="595959" w:themeColor="text1" w:themeTint="A6"/>
              </w:rPr>
              <w:t xml:space="preserve"> the RPJMN and health strategy under the new president.</w:t>
            </w:r>
          </w:p>
        </w:tc>
        <w:tc>
          <w:tcPr>
            <w:tcW w:w="623" w:type="pct"/>
          </w:tcPr>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DFAT</w:t>
            </w:r>
          </w:p>
        </w:tc>
        <w:tc>
          <w:tcPr>
            <w:tcW w:w="416" w:type="pct"/>
          </w:tcPr>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Possible</w:t>
            </w:r>
          </w:p>
        </w:tc>
        <w:tc>
          <w:tcPr>
            <w:tcW w:w="515" w:type="pct"/>
          </w:tcPr>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Moderate</w:t>
            </w:r>
          </w:p>
        </w:tc>
        <w:tc>
          <w:tcPr>
            <w:tcW w:w="348" w:type="pct"/>
          </w:tcPr>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Medium</w:t>
            </w:r>
          </w:p>
        </w:tc>
      </w:tr>
      <w:tr w:rsidR="004916C4" w:rsidRPr="00B12951" w:rsidTr="002167AE">
        <w:tc>
          <w:tcPr>
            <w:tcW w:w="596" w:type="pct"/>
            <w:tcBorders>
              <w:top w:val="nil"/>
              <w:left w:val="single" w:sz="4" w:space="0" w:color="auto"/>
              <w:bottom w:val="nil"/>
              <w:right w:val="single" w:sz="4" w:space="0" w:color="auto"/>
            </w:tcBorders>
            <w:shd w:val="clear" w:color="auto" w:fill="C1E7E0" w:themeFill="accent1" w:themeFillTint="66"/>
          </w:tcPr>
          <w:p w:rsidR="004916C4" w:rsidRPr="00EB4FEE" w:rsidRDefault="004916C4" w:rsidP="004916C4">
            <w:pPr>
              <w:spacing w:before="0" w:after="0" w:line="240" w:lineRule="auto"/>
              <w:rPr>
                <w:rFonts w:asciiTheme="majorHAnsi" w:hAnsiTheme="majorHAnsi" w:cstheme="majorHAnsi"/>
                <w:color w:val="595959" w:themeColor="text1" w:themeTint="A6"/>
              </w:rPr>
            </w:pPr>
          </w:p>
        </w:tc>
        <w:tc>
          <w:tcPr>
            <w:tcW w:w="882" w:type="pct"/>
            <w:tcBorders>
              <w:left w:val="single" w:sz="4" w:space="0" w:color="auto"/>
            </w:tcBorders>
          </w:tcPr>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High turn-over of staff resulting in reduced capacity, understanding of the pr</w:t>
            </w:r>
            <w:r w:rsidR="00352A08">
              <w:rPr>
                <w:rFonts w:asciiTheme="majorHAnsi" w:hAnsiTheme="majorHAnsi" w:cstheme="majorHAnsi"/>
                <w:color w:val="595959" w:themeColor="text1" w:themeTint="A6"/>
              </w:rPr>
              <w:t>ogram objectives and momentum.</w:t>
            </w:r>
          </w:p>
        </w:tc>
        <w:tc>
          <w:tcPr>
            <w:tcW w:w="1620" w:type="pct"/>
          </w:tcPr>
          <w:p w:rsidR="002167AE" w:rsidRPr="00EB4FEE" w:rsidRDefault="004916C4" w:rsidP="004916C4">
            <w:pPr>
              <w:numPr>
                <w:ilvl w:val="0"/>
                <w:numId w:val="76"/>
              </w:numPr>
              <w:suppressAutoHyphens w:val="0"/>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 xml:space="preserve">DFAT </w:t>
            </w:r>
            <w:r w:rsidR="002167AE" w:rsidRPr="00EB4FEE">
              <w:rPr>
                <w:rFonts w:asciiTheme="majorHAnsi" w:hAnsiTheme="majorHAnsi" w:cstheme="majorHAnsi"/>
                <w:color w:val="595959" w:themeColor="text1" w:themeTint="A6"/>
              </w:rPr>
              <w:t xml:space="preserve">will ensure </w:t>
            </w:r>
            <w:r w:rsidRPr="00EB4FEE">
              <w:rPr>
                <w:rFonts w:asciiTheme="majorHAnsi" w:hAnsiTheme="majorHAnsi" w:cstheme="majorHAnsi"/>
                <w:color w:val="595959" w:themeColor="text1" w:themeTint="A6"/>
              </w:rPr>
              <w:t xml:space="preserve">that its program aligns with the JEE and PVS </w:t>
            </w:r>
            <w:r w:rsidR="002167AE" w:rsidRPr="00EB4FEE">
              <w:rPr>
                <w:rFonts w:asciiTheme="majorHAnsi" w:hAnsiTheme="majorHAnsi" w:cstheme="majorHAnsi"/>
                <w:color w:val="595959" w:themeColor="text1" w:themeTint="A6"/>
              </w:rPr>
              <w:t>recommendations</w:t>
            </w:r>
            <w:r w:rsidR="005C6EFA" w:rsidRPr="00EB4FEE">
              <w:rPr>
                <w:rFonts w:asciiTheme="majorHAnsi" w:hAnsiTheme="majorHAnsi" w:cstheme="majorHAnsi"/>
                <w:color w:val="595959" w:themeColor="text1" w:themeTint="A6"/>
              </w:rPr>
              <w:t>.</w:t>
            </w:r>
          </w:p>
          <w:p w:rsidR="004916C4" w:rsidRPr="00EB4FEE" w:rsidRDefault="004916C4" w:rsidP="004916C4">
            <w:pPr>
              <w:numPr>
                <w:ilvl w:val="0"/>
                <w:numId w:val="76"/>
              </w:numPr>
              <w:suppressAutoHyphens w:val="0"/>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DFAT and</w:t>
            </w:r>
            <w:r w:rsidR="002167AE" w:rsidRPr="00EB4FEE">
              <w:rPr>
                <w:rFonts w:asciiTheme="majorHAnsi" w:hAnsiTheme="majorHAnsi" w:cstheme="majorHAnsi"/>
                <w:color w:val="595959" w:themeColor="text1" w:themeTint="A6"/>
              </w:rPr>
              <w:t xml:space="preserve"> the managing</w:t>
            </w:r>
            <w:r w:rsidRPr="00EB4FEE">
              <w:rPr>
                <w:rFonts w:asciiTheme="majorHAnsi" w:hAnsiTheme="majorHAnsi" w:cstheme="majorHAnsi"/>
                <w:color w:val="595959" w:themeColor="text1" w:themeTint="A6"/>
              </w:rPr>
              <w:t xml:space="preserve"> contractor will </w:t>
            </w:r>
            <w:r w:rsidR="002167AE" w:rsidRPr="00EB4FEE">
              <w:rPr>
                <w:rFonts w:asciiTheme="majorHAnsi" w:hAnsiTheme="majorHAnsi" w:cstheme="majorHAnsi"/>
                <w:color w:val="595959" w:themeColor="text1" w:themeTint="A6"/>
              </w:rPr>
              <w:t>take note of</w:t>
            </w:r>
            <w:r w:rsidRPr="00EB4FEE">
              <w:rPr>
                <w:rFonts w:asciiTheme="majorHAnsi" w:hAnsiTheme="majorHAnsi" w:cstheme="majorHAnsi"/>
                <w:color w:val="595959" w:themeColor="text1" w:themeTint="A6"/>
              </w:rPr>
              <w:t xml:space="preserve"> new strategic documents as they emerge, ensuring that even if staff turn-over, their</w:t>
            </w:r>
            <w:r w:rsidR="00352A08">
              <w:rPr>
                <w:rFonts w:asciiTheme="majorHAnsi" w:hAnsiTheme="majorHAnsi" w:cstheme="majorHAnsi"/>
                <w:color w:val="595959" w:themeColor="text1" w:themeTint="A6"/>
              </w:rPr>
              <w:t xml:space="preserve"> commitments remain unchanged.</w:t>
            </w:r>
          </w:p>
        </w:tc>
        <w:tc>
          <w:tcPr>
            <w:tcW w:w="623" w:type="pct"/>
          </w:tcPr>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DFAT/Contractor</w:t>
            </w:r>
          </w:p>
        </w:tc>
        <w:tc>
          <w:tcPr>
            <w:tcW w:w="416" w:type="pct"/>
          </w:tcPr>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Possible</w:t>
            </w:r>
          </w:p>
        </w:tc>
        <w:tc>
          <w:tcPr>
            <w:tcW w:w="515" w:type="pct"/>
          </w:tcPr>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Moderate</w:t>
            </w:r>
          </w:p>
        </w:tc>
        <w:tc>
          <w:tcPr>
            <w:tcW w:w="348" w:type="pct"/>
          </w:tcPr>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Medium</w:t>
            </w:r>
          </w:p>
        </w:tc>
      </w:tr>
      <w:tr w:rsidR="004916C4" w:rsidRPr="00B12951" w:rsidTr="002167AE">
        <w:tc>
          <w:tcPr>
            <w:tcW w:w="596" w:type="pct"/>
            <w:tcBorders>
              <w:top w:val="nil"/>
              <w:left w:val="single" w:sz="4" w:space="0" w:color="auto"/>
              <w:bottom w:val="nil"/>
              <w:right w:val="single" w:sz="4" w:space="0" w:color="auto"/>
            </w:tcBorders>
            <w:shd w:val="clear" w:color="auto" w:fill="C1E7E0" w:themeFill="accent1" w:themeFillTint="66"/>
          </w:tcPr>
          <w:p w:rsidR="004916C4" w:rsidRPr="00EB4FEE" w:rsidRDefault="004916C4" w:rsidP="004916C4">
            <w:pPr>
              <w:spacing w:before="0" w:after="0" w:line="240" w:lineRule="auto"/>
              <w:rPr>
                <w:rFonts w:asciiTheme="majorHAnsi" w:hAnsiTheme="majorHAnsi" w:cstheme="majorHAnsi"/>
                <w:color w:val="595959" w:themeColor="text1" w:themeTint="A6"/>
              </w:rPr>
            </w:pPr>
          </w:p>
        </w:tc>
        <w:tc>
          <w:tcPr>
            <w:tcW w:w="882" w:type="pct"/>
            <w:tcBorders>
              <w:left w:val="single" w:sz="4" w:space="0" w:color="auto"/>
            </w:tcBorders>
          </w:tcPr>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National and subnational policy-making processes do not use evidence from research and health systems programs to inform future polic</w:t>
            </w:r>
            <w:r w:rsidR="00352A08">
              <w:rPr>
                <w:rFonts w:asciiTheme="majorHAnsi" w:hAnsiTheme="majorHAnsi" w:cstheme="majorHAnsi"/>
                <w:color w:val="595959" w:themeColor="text1" w:themeTint="A6"/>
              </w:rPr>
              <w:t>ies and policy implementation.</w:t>
            </w:r>
          </w:p>
        </w:tc>
        <w:tc>
          <w:tcPr>
            <w:tcW w:w="1620" w:type="pct"/>
          </w:tcPr>
          <w:p w:rsidR="004916C4" w:rsidRPr="00EB4FEE" w:rsidRDefault="002167AE" w:rsidP="004916C4">
            <w:pPr>
              <w:numPr>
                <w:ilvl w:val="0"/>
                <w:numId w:val="76"/>
              </w:numPr>
              <w:suppressAutoHyphens w:val="0"/>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 xml:space="preserve">The managing contractor </w:t>
            </w:r>
            <w:r w:rsidR="004916C4" w:rsidRPr="00EB4FEE">
              <w:rPr>
                <w:rFonts w:asciiTheme="majorHAnsi" w:hAnsiTheme="majorHAnsi" w:cstheme="majorHAnsi"/>
                <w:color w:val="595959" w:themeColor="text1" w:themeTint="A6"/>
              </w:rPr>
              <w:t xml:space="preserve">and DFAT Health Unit </w:t>
            </w:r>
            <w:r w:rsidRPr="00EB4FEE">
              <w:rPr>
                <w:rFonts w:asciiTheme="majorHAnsi" w:hAnsiTheme="majorHAnsi" w:cstheme="majorHAnsi"/>
                <w:color w:val="595959" w:themeColor="text1" w:themeTint="A6"/>
              </w:rPr>
              <w:t xml:space="preserve">will </w:t>
            </w:r>
            <w:r w:rsidR="004916C4" w:rsidRPr="00EB4FEE">
              <w:rPr>
                <w:rFonts w:asciiTheme="majorHAnsi" w:hAnsiTheme="majorHAnsi" w:cstheme="majorHAnsi"/>
                <w:color w:val="595959" w:themeColor="text1" w:themeTint="A6"/>
              </w:rPr>
              <w:t xml:space="preserve">draw from evidence in policy dialogue; advocate for use of evidence; and work </w:t>
            </w:r>
            <w:r w:rsidR="00352A08">
              <w:rPr>
                <w:rFonts w:asciiTheme="majorHAnsi" w:hAnsiTheme="majorHAnsi" w:cstheme="majorHAnsi"/>
                <w:color w:val="595959" w:themeColor="text1" w:themeTint="A6"/>
              </w:rPr>
              <w:t>to create demand for evidence.</w:t>
            </w:r>
          </w:p>
          <w:p w:rsidR="004916C4" w:rsidRPr="00EB4FEE" w:rsidRDefault="004916C4" w:rsidP="004916C4">
            <w:pPr>
              <w:numPr>
                <w:ilvl w:val="0"/>
                <w:numId w:val="76"/>
              </w:numPr>
              <w:suppressAutoHyphens w:val="0"/>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Possible linkages with KSI will also support evidence-based policy making.</w:t>
            </w:r>
          </w:p>
        </w:tc>
        <w:tc>
          <w:tcPr>
            <w:tcW w:w="623" w:type="pct"/>
          </w:tcPr>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DFAT/Contractor</w:t>
            </w:r>
          </w:p>
        </w:tc>
        <w:tc>
          <w:tcPr>
            <w:tcW w:w="416" w:type="pct"/>
          </w:tcPr>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Moderate</w:t>
            </w:r>
          </w:p>
        </w:tc>
        <w:tc>
          <w:tcPr>
            <w:tcW w:w="515" w:type="pct"/>
          </w:tcPr>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Moderate</w:t>
            </w:r>
          </w:p>
        </w:tc>
        <w:tc>
          <w:tcPr>
            <w:tcW w:w="348" w:type="pct"/>
          </w:tcPr>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Medium</w:t>
            </w:r>
          </w:p>
        </w:tc>
      </w:tr>
      <w:tr w:rsidR="004916C4" w:rsidRPr="00B12951" w:rsidTr="002167AE">
        <w:tc>
          <w:tcPr>
            <w:tcW w:w="596" w:type="pct"/>
            <w:vMerge w:val="restart"/>
            <w:tcBorders>
              <w:top w:val="single" w:sz="4" w:space="0" w:color="auto"/>
              <w:left w:val="single" w:sz="4" w:space="0" w:color="auto"/>
              <w:right w:val="single" w:sz="4" w:space="0" w:color="auto"/>
            </w:tcBorders>
            <w:shd w:val="clear" w:color="auto" w:fill="C1E7E0" w:themeFill="accent1" w:themeFillTint="66"/>
          </w:tcPr>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b/>
                <w:color w:val="595959" w:themeColor="text1" w:themeTint="A6"/>
              </w:rPr>
              <w:t>Management</w:t>
            </w:r>
          </w:p>
        </w:tc>
        <w:tc>
          <w:tcPr>
            <w:tcW w:w="882" w:type="pct"/>
            <w:tcBorders>
              <w:left w:val="single" w:sz="4" w:space="0" w:color="auto"/>
            </w:tcBorders>
          </w:tcPr>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 xml:space="preserve">The transition to a new style of programming (from DAWR as a manager for the Animal Health component of the AIPEID) to a contractor responsible for the implementation of the new program </w:t>
            </w:r>
            <w:r w:rsidR="008140E9" w:rsidRPr="00EB4FEE">
              <w:rPr>
                <w:rFonts w:asciiTheme="majorHAnsi" w:hAnsiTheme="majorHAnsi" w:cstheme="majorHAnsi"/>
                <w:color w:val="595959" w:themeColor="text1" w:themeTint="A6"/>
              </w:rPr>
              <w:t xml:space="preserve">will damage </w:t>
            </w:r>
            <w:r w:rsidRPr="00EB4FEE">
              <w:rPr>
                <w:rFonts w:asciiTheme="majorHAnsi" w:hAnsiTheme="majorHAnsi" w:cstheme="majorHAnsi"/>
                <w:color w:val="595959" w:themeColor="text1" w:themeTint="A6"/>
              </w:rPr>
              <w:t>relationships with counter</w:t>
            </w:r>
            <w:r w:rsidR="00352A08">
              <w:rPr>
                <w:rFonts w:asciiTheme="majorHAnsi" w:hAnsiTheme="majorHAnsi" w:cstheme="majorHAnsi"/>
                <w:color w:val="595959" w:themeColor="text1" w:themeTint="A6"/>
              </w:rPr>
              <w:t>parts, processes and momentum.</w:t>
            </w:r>
          </w:p>
          <w:p w:rsidR="004916C4" w:rsidRPr="00EB4FEE" w:rsidRDefault="004916C4" w:rsidP="004916C4">
            <w:pPr>
              <w:spacing w:before="0" w:after="0" w:line="240" w:lineRule="auto"/>
              <w:rPr>
                <w:rFonts w:asciiTheme="majorHAnsi" w:hAnsiTheme="majorHAnsi" w:cstheme="majorHAnsi"/>
                <w:color w:val="595959" w:themeColor="text1" w:themeTint="A6"/>
                <w:highlight w:val="yellow"/>
              </w:rPr>
            </w:pPr>
          </w:p>
        </w:tc>
        <w:tc>
          <w:tcPr>
            <w:tcW w:w="1620" w:type="pct"/>
          </w:tcPr>
          <w:p w:rsidR="008140E9" w:rsidRPr="00EB4FEE" w:rsidRDefault="004916C4" w:rsidP="008140E9">
            <w:pPr>
              <w:numPr>
                <w:ilvl w:val="0"/>
                <w:numId w:val="77"/>
              </w:numPr>
              <w:suppressAutoHyphens w:val="0"/>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 xml:space="preserve">Changes clearly communicated to GoI throughout the process and consultations will continue </w:t>
            </w:r>
            <w:r w:rsidR="008140E9" w:rsidRPr="00EB4FEE">
              <w:rPr>
                <w:rFonts w:asciiTheme="majorHAnsi" w:hAnsiTheme="majorHAnsi" w:cstheme="majorHAnsi"/>
                <w:color w:val="595959" w:themeColor="text1" w:themeTint="A6"/>
              </w:rPr>
              <w:t>when</w:t>
            </w:r>
            <w:r w:rsidRPr="00EB4FEE">
              <w:rPr>
                <w:rFonts w:asciiTheme="majorHAnsi" w:hAnsiTheme="majorHAnsi" w:cstheme="majorHAnsi"/>
                <w:color w:val="595959" w:themeColor="text1" w:themeTint="A6"/>
              </w:rPr>
              <w:t xml:space="preserve"> establishing </w:t>
            </w:r>
            <w:r w:rsidR="008140E9" w:rsidRPr="00EB4FEE">
              <w:rPr>
                <w:rFonts w:asciiTheme="majorHAnsi" w:hAnsiTheme="majorHAnsi" w:cstheme="majorHAnsi"/>
                <w:color w:val="595959" w:themeColor="text1" w:themeTint="A6"/>
              </w:rPr>
              <w:t xml:space="preserve">program </w:t>
            </w:r>
            <w:r w:rsidRPr="00EB4FEE">
              <w:rPr>
                <w:rFonts w:asciiTheme="majorHAnsi" w:hAnsiTheme="majorHAnsi" w:cstheme="majorHAnsi"/>
                <w:color w:val="595959" w:themeColor="text1" w:themeTint="A6"/>
              </w:rPr>
              <w:t>work procedures and processes</w:t>
            </w:r>
            <w:r w:rsidR="005C6EFA" w:rsidRPr="00EB4FEE">
              <w:rPr>
                <w:rFonts w:asciiTheme="majorHAnsi" w:hAnsiTheme="majorHAnsi" w:cstheme="majorHAnsi"/>
                <w:color w:val="595959" w:themeColor="text1" w:themeTint="A6"/>
              </w:rPr>
              <w:t>.</w:t>
            </w:r>
          </w:p>
          <w:p w:rsidR="004916C4" w:rsidRPr="00EB4FEE" w:rsidRDefault="005C6EFA">
            <w:pPr>
              <w:numPr>
                <w:ilvl w:val="0"/>
                <w:numId w:val="77"/>
              </w:numPr>
              <w:suppressAutoHyphens w:val="0"/>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D</w:t>
            </w:r>
            <w:r w:rsidR="008140E9" w:rsidRPr="00EB4FEE">
              <w:rPr>
                <w:rFonts w:asciiTheme="majorHAnsi" w:hAnsiTheme="majorHAnsi" w:cstheme="majorHAnsi"/>
                <w:color w:val="595959" w:themeColor="text1" w:themeTint="A6"/>
              </w:rPr>
              <w:t xml:space="preserve">evelopment </w:t>
            </w:r>
            <w:r w:rsidR="004916C4" w:rsidRPr="00EB4FEE">
              <w:rPr>
                <w:rFonts w:asciiTheme="majorHAnsi" w:hAnsiTheme="majorHAnsi" w:cstheme="majorHAnsi"/>
                <w:color w:val="595959" w:themeColor="text1" w:themeTint="A6"/>
              </w:rPr>
              <w:t xml:space="preserve">of </w:t>
            </w:r>
            <w:r w:rsidR="008140E9" w:rsidRPr="00EB4FEE">
              <w:rPr>
                <w:rFonts w:asciiTheme="majorHAnsi" w:hAnsiTheme="majorHAnsi" w:cstheme="majorHAnsi"/>
                <w:color w:val="595959" w:themeColor="text1" w:themeTint="A6"/>
              </w:rPr>
              <w:t xml:space="preserve">a </w:t>
            </w:r>
            <w:r w:rsidR="004916C4" w:rsidRPr="00EB4FEE">
              <w:rPr>
                <w:rFonts w:asciiTheme="majorHAnsi" w:hAnsiTheme="majorHAnsi" w:cstheme="majorHAnsi"/>
                <w:color w:val="595959" w:themeColor="text1" w:themeTint="A6"/>
              </w:rPr>
              <w:t xml:space="preserve">clear transition approach and communication processes </w:t>
            </w:r>
            <w:r w:rsidR="008140E9" w:rsidRPr="00EB4FEE">
              <w:rPr>
                <w:rFonts w:asciiTheme="majorHAnsi" w:hAnsiTheme="majorHAnsi" w:cstheme="majorHAnsi"/>
                <w:color w:val="595959" w:themeColor="text1" w:themeTint="A6"/>
              </w:rPr>
              <w:t xml:space="preserve">will </w:t>
            </w:r>
            <w:r w:rsidR="004916C4" w:rsidRPr="00EB4FEE">
              <w:rPr>
                <w:rFonts w:asciiTheme="majorHAnsi" w:hAnsiTheme="majorHAnsi" w:cstheme="majorHAnsi"/>
                <w:color w:val="595959" w:themeColor="text1" w:themeTint="A6"/>
              </w:rPr>
              <w:t>ensure effective management</w:t>
            </w:r>
            <w:r w:rsidR="008140E9" w:rsidRPr="00EB4FEE">
              <w:rPr>
                <w:rFonts w:asciiTheme="majorHAnsi" w:hAnsiTheme="majorHAnsi" w:cstheme="majorHAnsi"/>
                <w:color w:val="595959" w:themeColor="text1" w:themeTint="A6"/>
              </w:rPr>
              <w:t xml:space="preserve"> and </w:t>
            </w:r>
            <w:r w:rsidR="004916C4" w:rsidRPr="00EB4FEE">
              <w:rPr>
                <w:rFonts w:asciiTheme="majorHAnsi" w:hAnsiTheme="majorHAnsi" w:cstheme="majorHAnsi"/>
                <w:color w:val="595959" w:themeColor="text1" w:themeTint="A6"/>
              </w:rPr>
              <w:t>continuity</w:t>
            </w:r>
            <w:r w:rsidR="008140E9" w:rsidRPr="00EB4FEE">
              <w:rPr>
                <w:rFonts w:asciiTheme="majorHAnsi" w:hAnsiTheme="majorHAnsi" w:cstheme="majorHAnsi"/>
                <w:color w:val="595959" w:themeColor="text1" w:themeTint="A6"/>
              </w:rPr>
              <w:t>,</w:t>
            </w:r>
            <w:r w:rsidR="004916C4" w:rsidRPr="00EB4FEE">
              <w:rPr>
                <w:rFonts w:asciiTheme="majorHAnsi" w:hAnsiTheme="majorHAnsi" w:cstheme="majorHAnsi"/>
                <w:color w:val="595959" w:themeColor="text1" w:themeTint="A6"/>
              </w:rPr>
              <w:t xml:space="preserve"> and </w:t>
            </w:r>
            <w:r w:rsidR="008140E9" w:rsidRPr="00EB4FEE">
              <w:rPr>
                <w:rFonts w:asciiTheme="majorHAnsi" w:hAnsiTheme="majorHAnsi" w:cstheme="majorHAnsi"/>
                <w:color w:val="595959" w:themeColor="text1" w:themeTint="A6"/>
              </w:rPr>
              <w:t xml:space="preserve">will </w:t>
            </w:r>
            <w:r w:rsidR="00352A08">
              <w:rPr>
                <w:rFonts w:asciiTheme="majorHAnsi" w:hAnsiTheme="majorHAnsi" w:cstheme="majorHAnsi"/>
                <w:color w:val="595959" w:themeColor="text1" w:themeTint="A6"/>
              </w:rPr>
              <w:t>maintain momentum from AIPEID.</w:t>
            </w:r>
          </w:p>
        </w:tc>
        <w:tc>
          <w:tcPr>
            <w:tcW w:w="623" w:type="pct"/>
          </w:tcPr>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DFAT/Contractor</w:t>
            </w:r>
          </w:p>
        </w:tc>
        <w:tc>
          <w:tcPr>
            <w:tcW w:w="416" w:type="pct"/>
          </w:tcPr>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Possible</w:t>
            </w:r>
          </w:p>
        </w:tc>
        <w:tc>
          <w:tcPr>
            <w:tcW w:w="515" w:type="pct"/>
          </w:tcPr>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Minor</w:t>
            </w:r>
          </w:p>
        </w:tc>
        <w:tc>
          <w:tcPr>
            <w:tcW w:w="348" w:type="pct"/>
          </w:tcPr>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Medium</w:t>
            </w:r>
          </w:p>
        </w:tc>
      </w:tr>
      <w:tr w:rsidR="004916C4" w:rsidRPr="00B12951" w:rsidTr="002167AE">
        <w:tc>
          <w:tcPr>
            <w:tcW w:w="596" w:type="pct"/>
            <w:vMerge/>
            <w:tcBorders>
              <w:left w:val="single" w:sz="4" w:space="0" w:color="auto"/>
              <w:right w:val="single" w:sz="4" w:space="0" w:color="auto"/>
            </w:tcBorders>
            <w:shd w:val="clear" w:color="auto" w:fill="C1E7E0" w:themeFill="accent1" w:themeFillTint="66"/>
          </w:tcPr>
          <w:p w:rsidR="004916C4" w:rsidRPr="00EB4FEE" w:rsidRDefault="004916C4" w:rsidP="004916C4">
            <w:pPr>
              <w:spacing w:before="0" w:after="0" w:line="240" w:lineRule="auto"/>
              <w:rPr>
                <w:rFonts w:asciiTheme="majorHAnsi" w:hAnsiTheme="majorHAnsi" w:cstheme="majorHAnsi"/>
                <w:b/>
                <w:color w:val="595959" w:themeColor="text1" w:themeTint="A6"/>
              </w:rPr>
            </w:pPr>
          </w:p>
        </w:tc>
        <w:tc>
          <w:tcPr>
            <w:tcW w:w="882" w:type="pct"/>
            <w:tcBorders>
              <w:left w:val="single" w:sz="4" w:space="0" w:color="auto"/>
            </w:tcBorders>
          </w:tcPr>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Program leadership of different components is uncoordinated.</w:t>
            </w:r>
          </w:p>
        </w:tc>
        <w:tc>
          <w:tcPr>
            <w:tcW w:w="1620" w:type="pct"/>
          </w:tcPr>
          <w:p w:rsidR="004916C4" w:rsidRPr="00EB4FEE" w:rsidRDefault="004916C4" w:rsidP="004916C4">
            <w:pPr>
              <w:numPr>
                <w:ilvl w:val="0"/>
                <w:numId w:val="77"/>
              </w:numPr>
              <w:suppressAutoHyphens w:val="0"/>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Figure 3 sets out the governance structure agreed with GoI stakehol</w:t>
            </w:r>
            <w:r w:rsidR="00352A08">
              <w:rPr>
                <w:rFonts w:asciiTheme="majorHAnsi" w:hAnsiTheme="majorHAnsi" w:cstheme="majorHAnsi"/>
                <w:color w:val="595959" w:themeColor="text1" w:themeTint="A6"/>
              </w:rPr>
              <w:t>ders to ensure coordination.</w:t>
            </w:r>
          </w:p>
          <w:p w:rsidR="004916C4" w:rsidRPr="00EB4FEE" w:rsidRDefault="00CB597A" w:rsidP="004916C4">
            <w:pPr>
              <w:numPr>
                <w:ilvl w:val="0"/>
                <w:numId w:val="77"/>
              </w:numPr>
              <w:suppressAutoHyphens w:val="0"/>
              <w:spacing w:before="0" w:after="0" w:line="240" w:lineRule="auto"/>
              <w:rPr>
                <w:rFonts w:asciiTheme="majorHAnsi" w:hAnsiTheme="majorHAnsi" w:cstheme="majorHAnsi"/>
                <w:color w:val="595959" w:themeColor="text1" w:themeTint="A6"/>
              </w:rPr>
            </w:pPr>
            <w:r>
              <w:rPr>
                <w:rFonts w:asciiTheme="majorHAnsi" w:hAnsiTheme="majorHAnsi" w:cstheme="majorHAnsi"/>
                <w:color w:val="595959" w:themeColor="text1" w:themeTint="A6"/>
              </w:rPr>
              <w:t>Ensure oversight so a</w:t>
            </w:r>
            <w:r w:rsidR="004916C4" w:rsidRPr="00EB4FEE">
              <w:rPr>
                <w:rFonts w:asciiTheme="majorHAnsi" w:hAnsiTheme="majorHAnsi" w:cstheme="majorHAnsi"/>
                <w:color w:val="595959" w:themeColor="text1" w:themeTint="A6"/>
              </w:rPr>
              <w:t xml:space="preserve">ll program components are contributing to shared </w:t>
            </w:r>
            <w:r w:rsidR="008140E9" w:rsidRPr="00EB4FEE">
              <w:rPr>
                <w:rFonts w:asciiTheme="majorHAnsi" w:hAnsiTheme="majorHAnsi" w:cstheme="majorHAnsi"/>
                <w:color w:val="595959" w:themeColor="text1" w:themeTint="A6"/>
              </w:rPr>
              <w:t xml:space="preserve">program </w:t>
            </w:r>
            <w:r w:rsidR="004916C4" w:rsidRPr="00EB4FEE">
              <w:rPr>
                <w:rFonts w:asciiTheme="majorHAnsi" w:hAnsiTheme="majorHAnsi" w:cstheme="majorHAnsi"/>
                <w:color w:val="595959" w:themeColor="text1" w:themeTint="A6"/>
              </w:rPr>
              <w:t>outcomes.</w:t>
            </w:r>
          </w:p>
          <w:p w:rsidR="004916C4" w:rsidRPr="00EB4FEE" w:rsidRDefault="008140E9">
            <w:pPr>
              <w:numPr>
                <w:ilvl w:val="0"/>
                <w:numId w:val="77"/>
              </w:numPr>
              <w:suppressAutoHyphens w:val="0"/>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 xml:space="preserve">The </w:t>
            </w:r>
            <w:r w:rsidR="00B12951" w:rsidRPr="00EB4FEE">
              <w:rPr>
                <w:rFonts w:asciiTheme="majorHAnsi" w:hAnsiTheme="majorHAnsi" w:cstheme="majorHAnsi"/>
                <w:color w:val="595959" w:themeColor="text1" w:themeTint="A6"/>
              </w:rPr>
              <w:t>m</w:t>
            </w:r>
            <w:r w:rsidRPr="00EB4FEE">
              <w:rPr>
                <w:rFonts w:asciiTheme="majorHAnsi" w:hAnsiTheme="majorHAnsi" w:cstheme="majorHAnsi"/>
                <w:color w:val="595959" w:themeColor="text1" w:themeTint="A6"/>
              </w:rPr>
              <w:t xml:space="preserve">anaging </w:t>
            </w:r>
            <w:r w:rsidR="00B12951" w:rsidRPr="00EB4FEE">
              <w:rPr>
                <w:rFonts w:asciiTheme="majorHAnsi" w:hAnsiTheme="majorHAnsi" w:cstheme="majorHAnsi"/>
                <w:color w:val="595959" w:themeColor="text1" w:themeTint="A6"/>
              </w:rPr>
              <w:t>c</w:t>
            </w:r>
            <w:r w:rsidR="004916C4" w:rsidRPr="00EB4FEE">
              <w:rPr>
                <w:rFonts w:asciiTheme="majorHAnsi" w:hAnsiTheme="majorHAnsi" w:cstheme="majorHAnsi"/>
                <w:color w:val="595959" w:themeColor="text1" w:themeTint="A6"/>
              </w:rPr>
              <w:t xml:space="preserve">ontractor </w:t>
            </w:r>
            <w:r w:rsidRPr="00EB4FEE">
              <w:rPr>
                <w:rFonts w:asciiTheme="majorHAnsi" w:hAnsiTheme="majorHAnsi" w:cstheme="majorHAnsi"/>
                <w:color w:val="595959" w:themeColor="text1" w:themeTint="A6"/>
              </w:rPr>
              <w:t xml:space="preserve">will be </w:t>
            </w:r>
            <w:r w:rsidR="004916C4" w:rsidRPr="00EB4FEE">
              <w:rPr>
                <w:rFonts w:asciiTheme="majorHAnsi" w:hAnsiTheme="majorHAnsi" w:cstheme="majorHAnsi"/>
                <w:color w:val="595959" w:themeColor="text1" w:themeTint="A6"/>
              </w:rPr>
              <w:t>responsible for ensuring coordination within and between PCC and PSCs.</w:t>
            </w:r>
          </w:p>
        </w:tc>
        <w:tc>
          <w:tcPr>
            <w:tcW w:w="623" w:type="pct"/>
          </w:tcPr>
          <w:p w:rsidR="004916C4" w:rsidRPr="00EB4FEE" w:rsidRDefault="00CB597A" w:rsidP="004916C4">
            <w:pPr>
              <w:spacing w:before="0" w:after="0" w:line="240" w:lineRule="auto"/>
              <w:rPr>
                <w:rFonts w:asciiTheme="majorHAnsi" w:hAnsiTheme="majorHAnsi" w:cstheme="majorHAnsi"/>
                <w:color w:val="595959" w:themeColor="text1" w:themeTint="A6"/>
              </w:rPr>
            </w:pPr>
            <w:r>
              <w:rPr>
                <w:rFonts w:asciiTheme="majorHAnsi" w:hAnsiTheme="majorHAnsi" w:cstheme="majorHAnsi"/>
                <w:color w:val="595959" w:themeColor="text1" w:themeTint="A6"/>
              </w:rPr>
              <w:t>DFAT/</w:t>
            </w:r>
            <w:r w:rsidR="004916C4" w:rsidRPr="00EB4FEE">
              <w:rPr>
                <w:rFonts w:asciiTheme="majorHAnsi" w:hAnsiTheme="majorHAnsi" w:cstheme="majorHAnsi"/>
                <w:color w:val="595959" w:themeColor="text1" w:themeTint="A6"/>
              </w:rPr>
              <w:t>Contractor</w:t>
            </w:r>
          </w:p>
        </w:tc>
        <w:tc>
          <w:tcPr>
            <w:tcW w:w="416" w:type="pct"/>
          </w:tcPr>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Possible</w:t>
            </w:r>
          </w:p>
        </w:tc>
        <w:tc>
          <w:tcPr>
            <w:tcW w:w="515" w:type="pct"/>
          </w:tcPr>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Moderate</w:t>
            </w:r>
          </w:p>
        </w:tc>
        <w:tc>
          <w:tcPr>
            <w:tcW w:w="348" w:type="pct"/>
          </w:tcPr>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Medium</w:t>
            </w:r>
          </w:p>
        </w:tc>
      </w:tr>
      <w:tr w:rsidR="004916C4" w:rsidRPr="00B12951" w:rsidTr="002167AE">
        <w:tc>
          <w:tcPr>
            <w:tcW w:w="596" w:type="pct"/>
            <w:tcBorders>
              <w:top w:val="single" w:sz="4" w:space="0" w:color="auto"/>
              <w:left w:val="single" w:sz="4" w:space="0" w:color="auto"/>
              <w:bottom w:val="nil"/>
              <w:right w:val="single" w:sz="4" w:space="0" w:color="auto"/>
            </w:tcBorders>
            <w:shd w:val="clear" w:color="auto" w:fill="C1E7E0" w:themeFill="accent1" w:themeFillTint="66"/>
          </w:tcPr>
          <w:p w:rsidR="004916C4" w:rsidRPr="00EB4FEE" w:rsidRDefault="004916C4" w:rsidP="004916C4">
            <w:pPr>
              <w:spacing w:before="0" w:after="0" w:line="240" w:lineRule="auto"/>
              <w:rPr>
                <w:rFonts w:asciiTheme="majorHAnsi" w:hAnsiTheme="majorHAnsi" w:cstheme="majorHAnsi"/>
                <w:b/>
                <w:color w:val="595959" w:themeColor="text1" w:themeTint="A6"/>
              </w:rPr>
            </w:pPr>
            <w:r w:rsidRPr="00EB4FEE">
              <w:rPr>
                <w:rFonts w:asciiTheme="majorHAnsi" w:hAnsiTheme="majorHAnsi" w:cstheme="majorHAnsi"/>
                <w:b/>
                <w:color w:val="595959" w:themeColor="text1" w:themeTint="A6"/>
              </w:rPr>
              <w:t>Results</w:t>
            </w:r>
          </w:p>
        </w:tc>
        <w:tc>
          <w:tcPr>
            <w:tcW w:w="882" w:type="pct"/>
            <w:tcBorders>
              <w:left w:val="single" w:sz="4" w:space="0" w:color="auto"/>
            </w:tcBorders>
          </w:tcPr>
          <w:p w:rsidR="004916C4" w:rsidRPr="00EB4FEE" w:rsidRDefault="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 xml:space="preserve">Activities and investments taken forward under the program are ad hoc and lack congruity, compromising strategic </w:t>
            </w:r>
            <w:r w:rsidR="00352A08">
              <w:rPr>
                <w:rFonts w:asciiTheme="majorHAnsi" w:hAnsiTheme="majorHAnsi" w:cstheme="majorHAnsi"/>
                <w:color w:val="595959" w:themeColor="text1" w:themeTint="A6"/>
              </w:rPr>
              <w:t>focus.</w:t>
            </w:r>
            <w:r w:rsidRPr="00EB4FEE">
              <w:rPr>
                <w:rFonts w:asciiTheme="majorHAnsi" w:hAnsiTheme="majorHAnsi" w:cstheme="majorHAnsi"/>
                <w:color w:val="595959" w:themeColor="text1" w:themeTint="A6"/>
              </w:rPr>
              <w:t xml:space="preserve"> Working multi-sectorally with a ‘</w:t>
            </w:r>
            <w:r w:rsidR="00562277">
              <w:rPr>
                <w:rFonts w:asciiTheme="majorHAnsi" w:hAnsiTheme="majorHAnsi" w:cstheme="majorHAnsi"/>
                <w:color w:val="595959" w:themeColor="text1" w:themeTint="A6"/>
              </w:rPr>
              <w:t>O</w:t>
            </w:r>
            <w:r w:rsidRPr="00EB4FEE">
              <w:rPr>
                <w:rFonts w:asciiTheme="majorHAnsi" w:hAnsiTheme="majorHAnsi" w:cstheme="majorHAnsi"/>
                <w:color w:val="595959" w:themeColor="text1" w:themeTint="A6"/>
              </w:rPr>
              <w:t xml:space="preserve">ne </w:t>
            </w:r>
            <w:r w:rsidR="00562277">
              <w:rPr>
                <w:rFonts w:asciiTheme="majorHAnsi" w:hAnsiTheme="majorHAnsi" w:cstheme="majorHAnsi"/>
                <w:color w:val="595959" w:themeColor="text1" w:themeTint="A6"/>
              </w:rPr>
              <w:t>H</w:t>
            </w:r>
            <w:r w:rsidRPr="00EB4FEE">
              <w:rPr>
                <w:rFonts w:asciiTheme="majorHAnsi" w:hAnsiTheme="majorHAnsi" w:cstheme="majorHAnsi"/>
                <w:color w:val="595959" w:themeColor="text1" w:themeTint="A6"/>
              </w:rPr>
              <w:t>eal</w:t>
            </w:r>
            <w:r w:rsidR="00352A08">
              <w:rPr>
                <w:rFonts w:asciiTheme="majorHAnsi" w:hAnsiTheme="majorHAnsi" w:cstheme="majorHAnsi"/>
                <w:color w:val="595959" w:themeColor="text1" w:themeTint="A6"/>
              </w:rPr>
              <w:t xml:space="preserve">th’ outlook is too cumbersome. </w:t>
            </w:r>
            <w:r w:rsidRPr="00EB4FEE">
              <w:rPr>
                <w:rFonts w:asciiTheme="majorHAnsi" w:hAnsiTheme="majorHAnsi" w:cstheme="majorHAnsi"/>
                <w:color w:val="595959" w:themeColor="text1" w:themeTint="A6"/>
              </w:rPr>
              <w:t>Key partners fail to engage in activities and the desired results are not achieved.</w:t>
            </w:r>
          </w:p>
        </w:tc>
        <w:tc>
          <w:tcPr>
            <w:tcW w:w="1620" w:type="pct"/>
          </w:tcPr>
          <w:p w:rsidR="004916C4" w:rsidRPr="00EB4FEE" w:rsidRDefault="004916C4" w:rsidP="004916C4">
            <w:pPr>
              <w:numPr>
                <w:ilvl w:val="0"/>
                <w:numId w:val="78"/>
              </w:numPr>
              <w:suppressAutoHyphens w:val="0"/>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The goal of the program is in direct alignment with the Indo Pacific Initiative for Health Security and in accordance with global, regional and domesti</w:t>
            </w:r>
            <w:r w:rsidR="00352A08">
              <w:rPr>
                <w:rFonts w:asciiTheme="majorHAnsi" w:hAnsiTheme="majorHAnsi" w:cstheme="majorHAnsi"/>
                <w:color w:val="595959" w:themeColor="text1" w:themeTint="A6"/>
              </w:rPr>
              <w:t>c thinking on health security.</w:t>
            </w:r>
          </w:p>
          <w:p w:rsidR="004916C4" w:rsidRPr="00EB4FEE" w:rsidRDefault="004916C4" w:rsidP="004916C4">
            <w:pPr>
              <w:numPr>
                <w:ilvl w:val="0"/>
                <w:numId w:val="78"/>
              </w:numPr>
              <w:suppressAutoHyphens w:val="0"/>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 xml:space="preserve">Coordination was a key result requiring work noted by the JEE </w:t>
            </w:r>
            <w:r w:rsidR="008140E9" w:rsidRPr="00EB4FEE">
              <w:rPr>
                <w:rFonts w:asciiTheme="majorHAnsi" w:hAnsiTheme="majorHAnsi" w:cstheme="majorHAnsi"/>
                <w:color w:val="595959" w:themeColor="text1" w:themeTint="A6"/>
              </w:rPr>
              <w:t xml:space="preserve">and is expected to be </w:t>
            </w:r>
            <w:r w:rsidRPr="00EB4FEE">
              <w:rPr>
                <w:rFonts w:asciiTheme="majorHAnsi" w:hAnsiTheme="majorHAnsi" w:cstheme="majorHAnsi"/>
                <w:color w:val="595959" w:themeColor="text1" w:themeTint="A6"/>
              </w:rPr>
              <w:t xml:space="preserve">a </w:t>
            </w:r>
            <w:r w:rsidR="008140E9" w:rsidRPr="00EB4FEE">
              <w:rPr>
                <w:rFonts w:asciiTheme="majorHAnsi" w:hAnsiTheme="majorHAnsi" w:cstheme="majorHAnsi"/>
                <w:color w:val="595959" w:themeColor="text1" w:themeTint="A6"/>
              </w:rPr>
              <w:t xml:space="preserve">GoI </w:t>
            </w:r>
            <w:r w:rsidRPr="00EB4FEE">
              <w:rPr>
                <w:rFonts w:asciiTheme="majorHAnsi" w:hAnsiTheme="majorHAnsi" w:cstheme="majorHAnsi"/>
                <w:color w:val="595959" w:themeColor="text1" w:themeTint="A6"/>
              </w:rPr>
              <w:t>priority</w:t>
            </w:r>
            <w:r w:rsidR="005C6EFA" w:rsidRPr="00EB4FEE">
              <w:rPr>
                <w:rFonts w:asciiTheme="majorHAnsi" w:hAnsiTheme="majorHAnsi" w:cstheme="majorHAnsi"/>
                <w:color w:val="595959" w:themeColor="text1" w:themeTint="A6"/>
              </w:rPr>
              <w:t>.</w:t>
            </w:r>
          </w:p>
          <w:p w:rsidR="004916C4" w:rsidRPr="00EB4FEE" w:rsidRDefault="004916C4" w:rsidP="004916C4">
            <w:pPr>
              <w:numPr>
                <w:ilvl w:val="0"/>
                <w:numId w:val="78"/>
              </w:numPr>
              <w:suppressAutoHyphens w:val="0"/>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 xml:space="preserve">Clear policy outcomes and investment criteria have been developed to inform the design of specific activities and the measurement of their success </w:t>
            </w:r>
            <w:r w:rsidR="008140E9" w:rsidRPr="00EB4FEE">
              <w:rPr>
                <w:rFonts w:asciiTheme="majorHAnsi" w:hAnsiTheme="majorHAnsi" w:cstheme="majorHAnsi"/>
                <w:color w:val="595959" w:themeColor="text1" w:themeTint="A6"/>
              </w:rPr>
              <w:t>and</w:t>
            </w:r>
            <w:r w:rsidRPr="00EB4FEE">
              <w:rPr>
                <w:rFonts w:asciiTheme="majorHAnsi" w:hAnsiTheme="majorHAnsi" w:cstheme="majorHAnsi"/>
                <w:color w:val="595959" w:themeColor="text1" w:themeTint="A6"/>
              </w:rPr>
              <w:t xml:space="preserve"> to ensure cohesion</w:t>
            </w:r>
            <w:r w:rsidR="008140E9" w:rsidRPr="00EB4FEE">
              <w:rPr>
                <w:rFonts w:asciiTheme="majorHAnsi" w:hAnsiTheme="majorHAnsi" w:cstheme="majorHAnsi"/>
                <w:color w:val="595959" w:themeColor="text1" w:themeTint="A6"/>
              </w:rPr>
              <w:t xml:space="preserve"> across sectors</w:t>
            </w:r>
            <w:r w:rsidR="00352A08">
              <w:rPr>
                <w:rFonts w:asciiTheme="majorHAnsi" w:hAnsiTheme="majorHAnsi" w:cstheme="majorHAnsi"/>
                <w:color w:val="595959" w:themeColor="text1" w:themeTint="A6"/>
              </w:rPr>
              <w:t>.</w:t>
            </w:r>
          </w:p>
          <w:p w:rsidR="004916C4" w:rsidRPr="00EB4FEE" w:rsidRDefault="008140E9" w:rsidP="004916C4">
            <w:pPr>
              <w:numPr>
                <w:ilvl w:val="0"/>
                <w:numId w:val="78"/>
              </w:numPr>
              <w:suppressAutoHyphens w:val="0"/>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F</w:t>
            </w:r>
            <w:r w:rsidR="004916C4" w:rsidRPr="00EB4FEE">
              <w:rPr>
                <w:rFonts w:asciiTheme="majorHAnsi" w:hAnsiTheme="majorHAnsi" w:cstheme="majorHAnsi"/>
                <w:color w:val="595959" w:themeColor="text1" w:themeTint="A6"/>
              </w:rPr>
              <w:t>lexible program</w:t>
            </w:r>
            <w:r w:rsidRPr="00EB4FEE">
              <w:rPr>
                <w:rFonts w:asciiTheme="majorHAnsi" w:hAnsiTheme="majorHAnsi" w:cstheme="majorHAnsi"/>
                <w:color w:val="595959" w:themeColor="text1" w:themeTint="A6"/>
              </w:rPr>
              <w:t>ming</w:t>
            </w:r>
            <w:r w:rsidR="004916C4" w:rsidRPr="00EB4FEE">
              <w:rPr>
                <w:rFonts w:asciiTheme="majorHAnsi" w:hAnsiTheme="majorHAnsi" w:cstheme="majorHAnsi"/>
                <w:color w:val="595959" w:themeColor="text1" w:themeTint="A6"/>
              </w:rPr>
              <w:t xml:space="preserve"> will </w:t>
            </w:r>
            <w:r w:rsidRPr="00EB4FEE">
              <w:rPr>
                <w:rFonts w:asciiTheme="majorHAnsi" w:hAnsiTheme="majorHAnsi" w:cstheme="majorHAnsi"/>
                <w:color w:val="595959" w:themeColor="text1" w:themeTint="A6"/>
              </w:rPr>
              <w:t>support</w:t>
            </w:r>
            <w:r w:rsidR="004916C4" w:rsidRPr="00EB4FEE">
              <w:rPr>
                <w:rFonts w:asciiTheme="majorHAnsi" w:hAnsiTheme="majorHAnsi" w:cstheme="majorHAnsi"/>
                <w:color w:val="595959" w:themeColor="text1" w:themeTint="A6"/>
              </w:rPr>
              <w:t xml:space="preserve"> align</w:t>
            </w:r>
            <w:r w:rsidRPr="00EB4FEE">
              <w:rPr>
                <w:rFonts w:asciiTheme="majorHAnsi" w:hAnsiTheme="majorHAnsi" w:cstheme="majorHAnsi"/>
                <w:color w:val="595959" w:themeColor="text1" w:themeTint="A6"/>
              </w:rPr>
              <w:t>ment</w:t>
            </w:r>
            <w:r w:rsidR="004916C4" w:rsidRPr="00EB4FEE">
              <w:rPr>
                <w:rFonts w:asciiTheme="majorHAnsi" w:hAnsiTheme="majorHAnsi" w:cstheme="majorHAnsi"/>
                <w:color w:val="595959" w:themeColor="text1" w:themeTint="A6"/>
              </w:rPr>
              <w:t xml:space="preserve"> with GoI priorities (across multiple ministries) and work being carried out </w:t>
            </w:r>
            <w:r w:rsidR="00352A08">
              <w:rPr>
                <w:rFonts w:asciiTheme="majorHAnsi" w:hAnsiTheme="majorHAnsi" w:cstheme="majorHAnsi"/>
                <w:color w:val="595959" w:themeColor="text1" w:themeTint="A6"/>
              </w:rPr>
              <w:t>by other development partners.</w:t>
            </w:r>
          </w:p>
        </w:tc>
        <w:tc>
          <w:tcPr>
            <w:tcW w:w="623" w:type="pct"/>
          </w:tcPr>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Contractor</w:t>
            </w:r>
          </w:p>
        </w:tc>
        <w:tc>
          <w:tcPr>
            <w:tcW w:w="416" w:type="pct"/>
          </w:tcPr>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Possible</w:t>
            </w:r>
          </w:p>
        </w:tc>
        <w:tc>
          <w:tcPr>
            <w:tcW w:w="515" w:type="pct"/>
          </w:tcPr>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Moderate</w:t>
            </w:r>
          </w:p>
        </w:tc>
        <w:tc>
          <w:tcPr>
            <w:tcW w:w="348" w:type="pct"/>
          </w:tcPr>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Medium</w:t>
            </w:r>
          </w:p>
        </w:tc>
      </w:tr>
      <w:tr w:rsidR="004916C4" w:rsidRPr="00B12951" w:rsidTr="002167AE">
        <w:tc>
          <w:tcPr>
            <w:tcW w:w="596" w:type="pct"/>
            <w:tcBorders>
              <w:top w:val="single" w:sz="4" w:space="0" w:color="auto"/>
              <w:left w:val="single" w:sz="4" w:space="0" w:color="auto"/>
              <w:bottom w:val="nil"/>
              <w:right w:val="single" w:sz="4" w:space="0" w:color="auto"/>
            </w:tcBorders>
            <w:shd w:val="clear" w:color="auto" w:fill="C1E7E0" w:themeFill="accent1" w:themeFillTint="66"/>
          </w:tcPr>
          <w:p w:rsidR="004916C4" w:rsidRPr="00EB4FEE" w:rsidRDefault="004916C4" w:rsidP="004916C4">
            <w:pPr>
              <w:spacing w:before="0" w:after="0" w:line="240" w:lineRule="auto"/>
              <w:rPr>
                <w:rFonts w:asciiTheme="majorHAnsi" w:hAnsiTheme="majorHAnsi" w:cstheme="majorHAnsi"/>
                <w:b/>
                <w:color w:val="595959" w:themeColor="text1" w:themeTint="A6"/>
              </w:rPr>
            </w:pPr>
            <w:r w:rsidRPr="00EB4FEE">
              <w:rPr>
                <w:rFonts w:asciiTheme="majorHAnsi" w:hAnsiTheme="majorHAnsi" w:cstheme="majorHAnsi"/>
                <w:b/>
                <w:color w:val="595959" w:themeColor="text1" w:themeTint="A6"/>
              </w:rPr>
              <w:t>Safeguards</w:t>
            </w:r>
          </w:p>
        </w:tc>
        <w:tc>
          <w:tcPr>
            <w:tcW w:w="882" w:type="pct"/>
            <w:tcBorders>
              <w:left w:val="single" w:sz="4" w:space="0" w:color="auto"/>
            </w:tcBorders>
          </w:tcPr>
          <w:p w:rsidR="004916C4" w:rsidRPr="00EB4FEE" w:rsidRDefault="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While children are not the target of activities anticipated under this new program, any activities at the local level can involve contact with children, therefore, t</w:t>
            </w:r>
            <w:r w:rsidR="00352A08">
              <w:rPr>
                <w:rFonts w:asciiTheme="majorHAnsi" w:hAnsiTheme="majorHAnsi" w:cstheme="majorHAnsi"/>
                <w:color w:val="595959" w:themeColor="text1" w:themeTint="A6"/>
              </w:rPr>
              <w:t xml:space="preserve">here is a possibility of harm. </w:t>
            </w:r>
            <w:r w:rsidRPr="00EB4FEE">
              <w:rPr>
                <w:rFonts w:asciiTheme="majorHAnsi" w:hAnsiTheme="majorHAnsi" w:cstheme="majorHAnsi"/>
                <w:color w:val="595959" w:themeColor="text1" w:themeTint="A6"/>
              </w:rPr>
              <w:t>With regard to the environment, activities prioritised under this investment would more like</w:t>
            </w:r>
            <w:r w:rsidR="00352A08">
              <w:rPr>
                <w:rFonts w:asciiTheme="majorHAnsi" w:hAnsiTheme="majorHAnsi" w:cstheme="majorHAnsi"/>
                <w:color w:val="595959" w:themeColor="text1" w:themeTint="A6"/>
              </w:rPr>
              <w:t xml:space="preserve">ly serve to protect than harm. </w:t>
            </w:r>
            <w:r w:rsidRPr="00EB4FEE">
              <w:rPr>
                <w:rFonts w:asciiTheme="majorHAnsi" w:hAnsiTheme="majorHAnsi" w:cstheme="majorHAnsi"/>
                <w:color w:val="595959" w:themeColor="text1" w:themeTint="A6"/>
              </w:rPr>
              <w:t>No infrastructure related activities are expected as part of this initiative, therefore resettlement and dis</w:t>
            </w:r>
            <w:r w:rsidR="00352A08">
              <w:rPr>
                <w:rFonts w:asciiTheme="majorHAnsi" w:hAnsiTheme="majorHAnsi" w:cstheme="majorHAnsi"/>
                <w:color w:val="595959" w:themeColor="text1" w:themeTint="A6"/>
              </w:rPr>
              <w:t>placement are highly unlikely.</w:t>
            </w:r>
          </w:p>
        </w:tc>
        <w:tc>
          <w:tcPr>
            <w:tcW w:w="1620" w:type="pct"/>
          </w:tcPr>
          <w:p w:rsidR="004916C4" w:rsidRPr="00EB4FEE" w:rsidRDefault="004916C4" w:rsidP="004916C4">
            <w:pPr>
              <w:numPr>
                <w:ilvl w:val="0"/>
                <w:numId w:val="78"/>
              </w:numPr>
              <w:suppressAutoHyphens w:val="0"/>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The contractor will need to be aware of DFAT’s requirements on safeguards and fulfil all requirements including for child protection.</w:t>
            </w:r>
          </w:p>
          <w:p w:rsidR="004916C4" w:rsidRPr="00EB4FEE" w:rsidRDefault="004916C4" w:rsidP="004916C4">
            <w:pPr>
              <w:numPr>
                <w:ilvl w:val="0"/>
                <w:numId w:val="78"/>
              </w:numPr>
              <w:suppressAutoHyphens w:val="0"/>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 xml:space="preserve">Throughout implementation and once activities have been selected for funding under the program, </w:t>
            </w:r>
            <w:r w:rsidR="005C6EFA" w:rsidRPr="00EB4FEE">
              <w:rPr>
                <w:rFonts w:asciiTheme="majorHAnsi" w:hAnsiTheme="majorHAnsi" w:cstheme="majorHAnsi"/>
                <w:color w:val="595959" w:themeColor="text1" w:themeTint="A6"/>
              </w:rPr>
              <w:t>c</w:t>
            </w:r>
            <w:r w:rsidRPr="00EB4FEE">
              <w:rPr>
                <w:rFonts w:asciiTheme="majorHAnsi" w:hAnsiTheme="majorHAnsi" w:cstheme="majorHAnsi"/>
                <w:color w:val="595959" w:themeColor="text1" w:themeTint="A6"/>
              </w:rPr>
              <w:t>hild protection policies will be revisited.</w:t>
            </w:r>
          </w:p>
          <w:p w:rsidR="004916C4" w:rsidRPr="00EB4FEE" w:rsidRDefault="004916C4" w:rsidP="004916C4">
            <w:pPr>
              <w:numPr>
                <w:ilvl w:val="0"/>
                <w:numId w:val="78"/>
              </w:numPr>
              <w:suppressAutoHyphens w:val="0"/>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DFAT’s child protection policy extends to all contractors, multil</w:t>
            </w:r>
            <w:r w:rsidR="00352A08">
              <w:rPr>
                <w:rFonts w:asciiTheme="majorHAnsi" w:hAnsiTheme="majorHAnsi" w:cstheme="majorHAnsi"/>
                <w:color w:val="595959" w:themeColor="text1" w:themeTint="A6"/>
              </w:rPr>
              <w:t>ateral organisations and CSOs.</w:t>
            </w:r>
          </w:p>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 xml:space="preserve"> </w:t>
            </w:r>
          </w:p>
        </w:tc>
        <w:tc>
          <w:tcPr>
            <w:tcW w:w="623" w:type="pct"/>
          </w:tcPr>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DFAT/Contractor</w:t>
            </w:r>
          </w:p>
        </w:tc>
        <w:tc>
          <w:tcPr>
            <w:tcW w:w="416" w:type="pct"/>
          </w:tcPr>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Unlikely</w:t>
            </w:r>
          </w:p>
        </w:tc>
        <w:tc>
          <w:tcPr>
            <w:tcW w:w="515" w:type="pct"/>
          </w:tcPr>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Major</w:t>
            </w:r>
          </w:p>
        </w:tc>
        <w:tc>
          <w:tcPr>
            <w:tcW w:w="348" w:type="pct"/>
          </w:tcPr>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Medium</w:t>
            </w:r>
          </w:p>
        </w:tc>
      </w:tr>
      <w:tr w:rsidR="004916C4" w:rsidRPr="00B12951" w:rsidTr="002167AE">
        <w:tc>
          <w:tcPr>
            <w:tcW w:w="596" w:type="pct"/>
            <w:tcBorders>
              <w:top w:val="single" w:sz="4" w:space="0" w:color="auto"/>
              <w:left w:val="single" w:sz="4" w:space="0" w:color="auto"/>
              <w:bottom w:val="nil"/>
              <w:right w:val="single" w:sz="4" w:space="0" w:color="auto"/>
            </w:tcBorders>
            <w:shd w:val="clear" w:color="auto" w:fill="C1E7E0" w:themeFill="accent1" w:themeFillTint="66"/>
          </w:tcPr>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b/>
                <w:color w:val="595959" w:themeColor="text1" w:themeTint="A6"/>
              </w:rPr>
              <w:t>Fraud/Fiduciary</w:t>
            </w:r>
          </w:p>
        </w:tc>
        <w:tc>
          <w:tcPr>
            <w:tcW w:w="882" w:type="pct"/>
            <w:tcBorders>
              <w:left w:val="single" w:sz="4" w:space="0" w:color="auto"/>
            </w:tcBorders>
          </w:tcPr>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Partners engaged in the program or staff act fraudulently leading t</w:t>
            </w:r>
            <w:r w:rsidR="00352A08">
              <w:rPr>
                <w:rFonts w:asciiTheme="majorHAnsi" w:hAnsiTheme="majorHAnsi" w:cstheme="majorHAnsi"/>
                <w:color w:val="595959" w:themeColor="text1" w:themeTint="A6"/>
              </w:rPr>
              <w:t>o the misuse of program funds.</w:t>
            </w:r>
          </w:p>
        </w:tc>
        <w:tc>
          <w:tcPr>
            <w:tcW w:w="1620" w:type="pct"/>
          </w:tcPr>
          <w:p w:rsidR="004916C4" w:rsidRPr="00EB4FEE" w:rsidRDefault="004916C4" w:rsidP="004916C4">
            <w:pPr>
              <w:numPr>
                <w:ilvl w:val="0"/>
                <w:numId w:val="78"/>
              </w:numPr>
              <w:suppressAutoHyphens w:val="0"/>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 xml:space="preserve">Risk and fraud training </w:t>
            </w:r>
            <w:r w:rsidR="003F71CC">
              <w:rPr>
                <w:rFonts w:asciiTheme="majorHAnsi" w:hAnsiTheme="majorHAnsi" w:cstheme="majorHAnsi"/>
                <w:color w:val="595959" w:themeColor="text1" w:themeTint="A6"/>
              </w:rPr>
              <w:t xml:space="preserve">provided </w:t>
            </w:r>
            <w:r w:rsidRPr="00EB4FEE">
              <w:rPr>
                <w:rFonts w:asciiTheme="majorHAnsi" w:hAnsiTheme="majorHAnsi" w:cstheme="majorHAnsi"/>
                <w:color w:val="595959" w:themeColor="text1" w:themeTint="A6"/>
              </w:rPr>
              <w:t>for all program personnel including fraud awareness training at induction and regular refresher training for personnel throughout implementation.</w:t>
            </w:r>
          </w:p>
          <w:p w:rsidR="004916C4" w:rsidRPr="00EB4FEE" w:rsidRDefault="004916C4" w:rsidP="004916C4">
            <w:pPr>
              <w:numPr>
                <w:ilvl w:val="0"/>
                <w:numId w:val="78"/>
              </w:numPr>
              <w:suppressAutoHyphens w:val="0"/>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Regular financial audits of program expenditure conducted throughout implementation.</w:t>
            </w:r>
          </w:p>
          <w:p w:rsidR="004916C4" w:rsidRPr="00EB4FEE" w:rsidRDefault="004916C4" w:rsidP="004916C4">
            <w:pPr>
              <w:numPr>
                <w:ilvl w:val="0"/>
                <w:numId w:val="78"/>
              </w:numPr>
              <w:suppressAutoHyphens w:val="0"/>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Measurement of value-for-money measures across portfolio, regular benchmarking using comparative analysis and investigation of outliers.</w:t>
            </w:r>
          </w:p>
          <w:p w:rsidR="004916C4" w:rsidRPr="00EB4FEE" w:rsidRDefault="004916C4" w:rsidP="004916C4">
            <w:pPr>
              <w:numPr>
                <w:ilvl w:val="0"/>
                <w:numId w:val="78"/>
              </w:numPr>
              <w:suppressAutoHyphens w:val="0"/>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Adequate resourcing within operational team for conducting partner audits, spot-checks and training for program personnel and key partners in identifying and managing risk a</w:t>
            </w:r>
            <w:r w:rsidR="00352A08">
              <w:rPr>
                <w:rFonts w:asciiTheme="majorHAnsi" w:hAnsiTheme="majorHAnsi" w:cstheme="majorHAnsi"/>
                <w:color w:val="595959" w:themeColor="text1" w:themeTint="A6"/>
              </w:rPr>
              <w:t>nd fraud.</w:t>
            </w:r>
          </w:p>
          <w:p w:rsidR="004916C4" w:rsidRPr="00EB4FEE" w:rsidRDefault="004916C4" w:rsidP="004916C4">
            <w:pPr>
              <w:numPr>
                <w:ilvl w:val="0"/>
                <w:numId w:val="78"/>
              </w:numPr>
              <w:suppressAutoHyphens w:val="0"/>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Clear and robust fraud reporting systems and processes aligned with DFAT policies on financial management and fraud.</w:t>
            </w:r>
          </w:p>
        </w:tc>
        <w:tc>
          <w:tcPr>
            <w:tcW w:w="623" w:type="pct"/>
          </w:tcPr>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 xml:space="preserve">Contractor </w:t>
            </w:r>
          </w:p>
        </w:tc>
        <w:tc>
          <w:tcPr>
            <w:tcW w:w="416" w:type="pct"/>
          </w:tcPr>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Possible</w:t>
            </w:r>
          </w:p>
        </w:tc>
        <w:tc>
          <w:tcPr>
            <w:tcW w:w="515" w:type="pct"/>
          </w:tcPr>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 xml:space="preserve">Moderate </w:t>
            </w:r>
          </w:p>
        </w:tc>
        <w:tc>
          <w:tcPr>
            <w:tcW w:w="348" w:type="pct"/>
          </w:tcPr>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Minor</w:t>
            </w:r>
          </w:p>
        </w:tc>
      </w:tr>
      <w:tr w:rsidR="004916C4" w:rsidRPr="00B12951" w:rsidTr="002167AE">
        <w:tc>
          <w:tcPr>
            <w:tcW w:w="596" w:type="pct"/>
            <w:tcBorders>
              <w:top w:val="single" w:sz="4" w:space="0" w:color="auto"/>
              <w:left w:val="single" w:sz="4" w:space="0" w:color="auto"/>
              <w:bottom w:val="nil"/>
              <w:right w:val="single" w:sz="4" w:space="0" w:color="auto"/>
            </w:tcBorders>
            <w:shd w:val="clear" w:color="auto" w:fill="C1E7E0" w:themeFill="accent1" w:themeFillTint="66"/>
          </w:tcPr>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b/>
                <w:color w:val="595959" w:themeColor="text1" w:themeTint="A6"/>
              </w:rPr>
              <w:t>Reputation</w:t>
            </w:r>
          </w:p>
        </w:tc>
        <w:tc>
          <w:tcPr>
            <w:tcW w:w="882" w:type="pct"/>
            <w:tcBorders>
              <w:left w:val="single" w:sz="4" w:space="0" w:color="auto"/>
            </w:tcBorders>
          </w:tcPr>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DFAT commits to a health security program and later decides not to proceed with the program or to cut the program budget resulting in distrust and reduced collaboration.</w:t>
            </w:r>
          </w:p>
        </w:tc>
        <w:tc>
          <w:tcPr>
            <w:tcW w:w="1620" w:type="pct"/>
          </w:tcPr>
          <w:p w:rsidR="004916C4" w:rsidRPr="00EB4FEE" w:rsidRDefault="004916C4" w:rsidP="004916C4">
            <w:pPr>
              <w:numPr>
                <w:ilvl w:val="0"/>
                <w:numId w:val="79"/>
              </w:numPr>
              <w:suppressAutoHyphens w:val="0"/>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 xml:space="preserve">Consideration needs to be given to raising expectations within </w:t>
            </w:r>
            <w:r w:rsidR="003F71CC" w:rsidRPr="00EB4FEE">
              <w:rPr>
                <w:rFonts w:asciiTheme="majorHAnsi" w:hAnsiTheme="majorHAnsi" w:cstheme="majorHAnsi"/>
                <w:color w:val="595959" w:themeColor="text1" w:themeTint="A6"/>
              </w:rPr>
              <w:t>G</w:t>
            </w:r>
            <w:r w:rsidR="003F71CC">
              <w:rPr>
                <w:rFonts w:asciiTheme="majorHAnsi" w:hAnsiTheme="majorHAnsi" w:cstheme="majorHAnsi"/>
                <w:color w:val="595959" w:themeColor="text1" w:themeTint="A6"/>
              </w:rPr>
              <w:t>oI</w:t>
            </w:r>
            <w:r w:rsidR="003F71CC" w:rsidRPr="00EB4FEE">
              <w:rPr>
                <w:rFonts w:asciiTheme="majorHAnsi" w:hAnsiTheme="majorHAnsi" w:cstheme="majorHAnsi"/>
                <w:color w:val="595959" w:themeColor="text1" w:themeTint="A6"/>
              </w:rPr>
              <w:t xml:space="preserve"> </w:t>
            </w:r>
            <w:r w:rsidRPr="00EB4FEE">
              <w:rPr>
                <w:rFonts w:asciiTheme="majorHAnsi" w:hAnsiTheme="majorHAnsi" w:cstheme="majorHAnsi"/>
                <w:color w:val="595959" w:themeColor="text1" w:themeTint="A6"/>
              </w:rPr>
              <w:t>unless fi</w:t>
            </w:r>
            <w:r w:rsidR="00352A08">
              <w:rPr>
                <w:rFonts w:asciiTheme="majorHAnsi" w:hAnsiTheme="majorHAnsi" w:cstheme="majorHAnsi"/>
                <w:color w:val="595959" w:themeColor="text1" w:themeTint="A6"/>
              </w:rPr>
              <w:t>rm commitments have been made.</w:t>
            </w:r>
          </w:p>
          <w:p w:rsidR="004916C4" w:rsidRPr="00EB4FEE" w:rsidRDefault="004916C4" w:rsidP="00705640">
            <w:pPr>
              <w:numPr>
                <w:ilvl w:val="0"/>
                <w:numId w:val="79"/>
              </w:numPr>
              <w:suppressAutoHyphens w:val="0"/>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Health security is a key focus of the Australian government and is an issue that was canva</w:t>
            </w:r>
            <w:r w:rsidR="00164C17">
              <w:rPr>
                <w:rFonts w:asciiTheme="majorHAnsi" w:hAnsiTheme="majorHAnsi" w:cstheme="majorHAnsi"/>
                <w:color w:val="595959" w:themeColor="text1" w:themeTint="A6"/>
              </w:rPr>
              <w:t>s</w:t>
            </w:r>
            <w:r w:rsidRPr="00EB4FEE">
              <w:rPr>
                <w:rFonts w:asciiTheme="majorHAnsi" w:hAnsiTheme="majorHAnsi" w:cstheme="majorHAnsi"/>
                <w:color w:val="595959" w:themeColor="text1" w:themeTint="A6"/>
              </w:rPr>
              <w:t xml:space="preserve">sed in the </w:t>
            </w:r>
            <w:r w:rsidR="00352A08">
              <w:rPr>
                <w:rFonts w:asciiTheme="majorHAnsi" w:hAnsiTheme="majorHAnsi" w:cstheme="majorHAnsi"/>
                <w:color w:val="595959" w:themeColor="text1" w:themeTint="A6"/>
              </w:rPr>
              <w:t>Foreign Policy White Paper.</w:t>
            </w:r>
          </w:p>
        </w:tc>
        <w:tc>
          <w:tcPr>
            <w:tcW w:w="623" w:type="pct"/>
          </w:tcPr>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DFAT</w:t>
            </w:r>
          </w:p>
        </w:tc>
        <w:tc>
          <w:tcPr>
            <w:tcW w:w="416" w:type="pct"/>
          </w:tcPr>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Unlikely</w:t>
            </w:r>
          </w:p>
        </w:tc>
        <w:tc>
          <w:tcPr>
            <w:tcW w:w="515" w:type="pct"/>
          </w:tcPr>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Major</w:t>
            </w:r>
          </w:p>
        </w:tc>
        <w:tc>
          <w:tcPr>
            <w:tcW w:w="348" w:type="pct"/>
          </w:tcPr>
          <w:p w:rsidR="004916C4" w:rsidRPr="00EB4FEE" w:rsidRDefault="004916C4" w:rsidP="004916C4">
            <w:pPr>
              <w:spacing w:before="0" w:after="0" w:line="240" w:lineRule="auto"/>
              <w:rPr>
                <w:rFonts w:asciiTheme="majorHAnsi" w:hAnsiTheme="majorHAnsi" w:cstheme="majorHAnsi"/>
                <w:color w:val="595959" w:themeColor="text1" w:themeTint="A6"/>
              </w:rPr>
            </w:pPr>
            <w:r w:rsidRPr="00EB4FEE">
              <w:rPr>
                <w:rFonts w:asciiTheme="majorHAnsi" w:hAnsiTheme="majorHAnsi" w:cstheme="majorHAnsi"/>
                <w:color w:val="595959" w:themeColor="text1" w:themeTint="A6"/>
              </w:rPr>
              <w:t>Medium</w:t>
            </w:r>
          </w:p>
        </w:tc>
      </w:tr>
    </w:tbl>
    <w:p w:rsidR="00951309" w:rsidRPr="00EB4FEE" w:rsidRDefault="00951309">
      <w:pPr>
        <w:spacing w:before="0" w:after="120" w:line="240" w:lineRule="auto"/>
        <w:rPr>
          <w:rFonts w:asciiTheme="majorHAnsi" w:hAnsiTheme="majorHAnsi"/>
        </w:rPr>
      </w:pPr>
    </w:p>
    <w:sectPr w:rsidR="00951309" w:rsidRPr="00EB4FEE" w:rsidSect="00D556C8">
      <w:pgSz w:w="16838" w:h="11906" w:orient="landscape" w:code="9"/>
      <w:pgMar w:top="1440" w:right="1440" w:bottom="1440" w:left="1440"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5AB" w:rsidRDefault="000345AB" w:rsidP="00D37B04">
      <w:r>
        <w:separator/>
      </w:r>
    </w:p>
  </w:endnote>
  <w:endnote w:type="continuationSeparator" w:id="0">
    <w:p w:rsidR="000345AB" w:rsidRDefault="000345AB"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B5B" w:rsidRDefault="00511B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1610769"/>
      <w:docPartObj>
        <w:docPartGallery w:val="Page Numbers (Bottom of Page)"/>
        <w:docPartUnique/>
      </w:docPartObj>
    </w:sdtPr>
    <w:sdtEndPr>
      <w:rPr>
        <w:noProof/>
      </w:rPr>
    </w:sdtEndPr>
    <w:sdtContent>
      <w:p w:rsidR="00DF10D6" w:rsidRDefault="00DF10D6">
        <w:pPr>
          <w:pStyle w:val="Footer"/>
          <w:jc w:val="right"/>
        </w:pPr>
        <w:r>
          <w:fldChar w:fldCharType="begin"/>
        </w:r>
        <w:r>
          <w:instrText xml:space="preserve"> PAGE   \* MERGEFORMAT </w:instrText>
        </w:r>
        <w:r>
          <w:fldChar w:fldCharType="separate"/>
        </w:r>
        <w:r w:rsidR="00511B5B">
          <w:rPr>
            <w:noProof/>
          </w:rPr>
          <w:t>2</w:t>
        </w:r>
        <w:r>
          <w:rPr>
            <w:noProof/>
          </w:rPr>
          <w:fldChar w:fldCharType="end"/>
        </w:r>
      </w:p>
    </w:sdtContent>
  </w:sdt>
  <w:p w:rsidR="00DF10D6" w:rsidRPr="00FC322F" w:rsidRDefault="00DF10D6" w:rsidP="00FC322F">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0D6" w:rsidRPr="00FC322F" w:rsidRDefault="00DF10D6" w:rsidP="00FC322F">
    <w:pPr>
      <w:pStyle w:val="Footer"/>
      <w:rPr>
        <w:b/>
      </w:rPr>
    </w:pPr>
    <w:r w:rsidRPr="00FC322F">
      <w:rPr>
        <w:b/>
        <w:noProof/>
        <w:lang w:val="en-AU" w:eastAsia="en-AU"/>
      </w:rPr>
      <w:drawing>
        <wp:inline distT="0" distB="0" distL="0" distR="0" wp14:anchorId="7C041A8F" wp14:editId="447BD177">
          <wp:extent cx="108000" cy="87480"/>
          <wp:effectExtent l="0" t="0" r="635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5AB" w:rsidRPr="008C5A0E" w:rsidRDefault="000345AB" w:rsidP="00D37B04">
      <w:pPr>
        <w:pStyle w:val="Footer"/>
      </w:pPr>
    </w:p>
  </w:footnote>
  <w:footnote w:type="continuationSeparator" w:id="0">
    <w:p w:rsidR="000345AB" w:rsidRDefault="000345AB" w:rsidP="00D37B04">
      <w:r>
        <w:continuationSeparator/>
      </w:r>
    </w:p>
  </w:footnote>
  <w:footnote w:id="1">
    <w:p w:rsidR="00DF10D6" w:rsidRPr="00EB4FEE" w:rsidRDefault="00DF10D6" w:rsidP="00981913">
      <w:pPr>
        <w:pStyle w:val="FootnoteText"/>
        <w:rPr>
          <w:color w:val="595959" w:themeColor="text1" w:themeTint="A6"/>
          <w:sz w:val="18"/>
          <w:szCs w:val="18"/>
          <w:lang w:val="en-AU"/>
        </w:rPr>
      </w:pPr>
      <w:r w:rsidRPr="00EB4FEE">
        <w:rPr>
          <w:rStyle w:val="FootnoteReference"/>
          <w:color w:val="595959" w:themeColor="text1" w:themeTint="A6"/>
          <w:sz w:val="18"/>
          <w:szCs w:val="18"/>
        </w:rPr>
        <w:footnoteRef/>
      </w:r>
      <w:r w:rsidRPr="00EB4FEE">
        <w:rPr>
          <w:color w:val="595959" w:themeColor="text1" w:themeTint="A6"/>
          <w:sz w:val="18"/>
          <w:szCs w:val="18"/>
        </w:rPr>
        <w:t xml:space="preserve"> National priority diseases are stipulated in Presidential Regulation no 30/ 2011: rabies; anthrax; bird flu; brucellosis; and leptospirosis.</w:t>
      </w:r>
    </w:p>
  </w:footnote>
  <w:footnote w:id="2">
    <w:p w:rsidR="00DF10D6" w:rsidRPr="00BF6C52" w:rsidRDefault="00DF10D6" w:rsidP="00274574">
      <w:pPr>
        <w:pStyle w:val="FootnoteText"/>
        <w:rPr>
          <w:sz w:val="18"/>
          <w:szCs w:val="18"/>
          <w:lang w:val="en-AU"/>
        </w:rPr>
      </w:pPr>
      <w:r w:rsidRPr="00EB4FEE">
        <w:rPr>
          <w:rStyle w:val="FootnoteReference"/>
          <w:color w:val="595959" w:themeColor="text1" w:themeTint="A6"/>
          <w:sz w:val="18"/>
          <w:szCs w:val="18"/>
        </w:rPr>
        <w:footnoteRef/>
      </w:r>
      <w:r w:rsidRPr="00EB4FEE">
        <w:rPr>
          <w:color w:val="595959" w:themeColor="text1" w:themeTint="A6"/>
          <w:sz w:val="18"/>
          <w:szCs w:val="18"/>
        </w:rPr>
        <w:t xml:space="preserve"> </w:t>
      </w:r>
      <w:r w:rsidRPr="00EB4FEE">
        <w:rPr>
          <w:color w:val="595959" w:themeColor="text1" w:themeTint="A6"/>
          <w:sz w:val="18"/>
          <w:szCs w:val="18"/>
          <w:lang w:val="en-AU"/>
        </w:rPr>
        <w:t>Indonesia</w:t>
      </w:r>
      <w:r w:rsidRPr="00A11F64">
        <w:rPr>
          <w:rFonts w:cs="Arial"/>
          <w:color w:val="595959" w:themeColor="text1" w:themeTint="A6"/>
          <w:sz w:val="18"/>
          <w:szCs w:val="18"/>
          <w:lang w:val="en-US"/>
        </w:rPr>
        <w:t xml:space="preserve"> was declared polio-free in 2014 but</w:t>
      </w:r>
      <w:r>
        <w:rPr>
          <w:rFonts w:cs="Arial"/>
          <w:color w:val="595959" w:themeColor="text1" w:themeTint="A6"/>
          <w:sz w:val="18"/>
          <w:szCs w:val="18"/>
          <w:lang w:val="en-US"/>
        </w:rPr>
        <w:t xml:space="preserve"> a case of circulating vaccine-derived polio was identified in Papua in late 2018.</w:t>
      </w:r>
      <w:r w:rsidRPr="00A11F64">
        <w:rPr>
          <w:rFonts w:cs="Arial"/>
          <w:color w:val="595959" w:themeColor="text1" w:themeTint="A6"/>
          <w:sz w:val="18"/>
          <w:szCs w:val="18"/>
          <w:lang w:val="en-US"/>
        </w:rPr>
        <w:t xml:space="preserve"> </w:t>
      </w:r>
      <w:r>
        <w:rPr>
          <w:rFonts w:cs="Arial"/>
          <w:color w:val="595959" w:themeColor="text1" w:themeTint="A6"/>
          <w:sz w:val="18"/>
          <w:szCs w:val="18"/>
          <w:lang w:val="en-US"/>
        </w:rPr>
        <w:t>A</w:t>
      </w:r>
      <w:r w:rsidRPr="00EB4FEE">
        <w:rPr>
          <w:color w:val="595959" w:themeColor="text1" w:themeTint="A6"/>
          <w:sz w:val="18"/>
          <w:szCs w:val="18"/>
        </w:rPr>
        <w:t xml:space="preserve"> polio outbreak</w:t>
      </w:r>
      <w:r>
        <w:rPr>
          <w:color w:val="595959" w:themeColor="text1" w:themeTint="A6"/>
          <w:sz w:val="18"/>
          <w:szCs w:val="18"/>
        </w:rPr>
        <w:t xml:space="preserve"> was also </w:t>
      </w:r>
      <w:r w:rsidRPr="00EB4FEE">
        <w:rPr>
          <w:color w:val="595959" w:themeColor="text1" w:themeTint="A6"/>
          <w:sz w:val="18"/>
          <w:szCs w:val="18"/>
        </w:rPr>
        <w:t xml:space="preserve">reported in Papua New Guinea in mid-2018 </w:t>
      </w:r>
      <w:r>
        <w:rPr>
          <w:color w:val="595959" w:themeColor="text1" w:themeTint="A6"/>
          <w:sz w:val="18"/>
          <w:szCs w:val="18"/>
        </w:rPr>
        <w:t>– which has not been identified as being related to the case in Papua –</w:t>
      </w:r>
      <w:r w:rsidRPr="00EB4FEE">
        <w:rPr>
          <w:color w:val="595959" w:themeColor="text1" w:themeTint="A6"/>
          <w:sz w:val="18"/>
          <w:szCs w:val="18"/>
        </w:rPr>
        <w:t xml:space="preserve"> </w:t>
      </w:r>
      <w:r>
        <w:rPr>
          <w:color w:val="595959" w:themeColor="text1" w:themeTint="A6"/>
          <w:sz w:val="18"/>
          <w:szCs w:val="18"/>
        </w:rPr>
        <w:t xml:space="preserve">and </w:t>
      </w:r>
      <w:r w:rsidRPr="00EB4FEE">
        <w:rPr>
          <w:color w:val="595959" w:themeColor="text1" w:themeTint="A6"/>
          <w:sz w:val="18"/>
          <w:szCs w:val="18"/>
        </w:rPr>
        <w:t>is at risk of crossing the border to the</w:t>
      </w:r>
      <w:r>
        <w:rPr>
          <w:color w:val="595959" w:themeColor="text1" w:themeTint="A6"/>
          <w:sz w:val="18"/>
          <w:szCs w:val="18"/>
        </w:rPr>
        <w:t xml:space="preserve"> Indonesian</w:t>
      </w:r>
      <w:r w:rsidRPr="00EB4FEE">
        <w:rPr>
          <w:color w:val="595959" w:themeColor="text1" w:themeTint="A6"/>
          <w:sz w:val="18"/>
          <w:szCs w:val="18"/>
        </w:rPr>
        <w:t xml:space="preserve"> Papuan Provinces.</w:t>
      </w:r>
    </w:p>
  </w:footnote>
  <w:footnote w:id="3">
    <w:p w:rsidR="00DF10D6" w:rsidRPr="00BD2D83" w:rsidRDefault="00DF10D6" w:rsidP="000F6754">
      <w:pPr>
        <w:pStyle w:val="FootnoteText"/>
        <w:rPr>
          <w:sz w:val="18"/>
          <w:szCs w:val="18"/>
        </w:rPr>
      </w:pPr>
      <w:r w:rsidRPr="00EB4FEE">
        <w:rPr>
          <w:rStyle w:val="FootnoteReference"/>
          <w:color w:val="595959" w:themeColor="text1" w:themeTint="A6"/>
        </w:rPr>
        <w:footnoteRef/>
      </w:r>
      <w:r w:rsidRPr="00EB4FEE">
        <w:rPr>
          <w:color w:val="595959" w:themeColor="text1" w:themeTint="A6"/>
        </w:rPr>
        <w:t xml:space="preserve"> </w:t>
      </w:r>
      <w:r w:rsidRPr="00EB4FEE">
        <w:rPr>
          <w:color w:val="595959" w:themeColor="text1" w:themeTint="A6"/>
          <w:sz w:val="18"/>
          <w:szCs w:val="18"/>
        </w:rPr>
        <w:t>The Coalition's Policy for a Safe and Prosperous Australia, Liberal Party of Australia, June 2016</w:t>
      </w:r>
    </w:p>
    <w:p w:rsidR="00DF10D6" w:rsidRDefault="00DF10D6">
      <w:pPr>
        <w:pStyle w:val="FootnoteText"/>
      </w:pPr>
    </w:p>
  </w:footnote>
  <w:footnote w:id="4">
    <w:p w:rsidR="00DF10D6" w:rsidRPr="00EB4FEE" w:rsidRDefault="00DF10D6">
      <w:pPr>
        <w:pStyle w:val="FootnoteText"/>
        <w:rPr>
          <w:color w:val="595959" w:themeColor="text1" w:themeTint="A6"/>
          <w:lang w:val="en-AU"/>
        </w:rPr>
      </w:pPr>
      <w:r w:rsidRPr="00EB4FEE">
        <w:rPr>
          <w:rStyle w:val="FootnoteReference"/>
          <w:color w:val="595959" w:themeColor="text1" w:themeTint="A6"/>
          <w:sz w:val="18"/>
          <w:szCs w:val="18"/>
        </w:rPr>
        <w:footnoteRef/>
      </w:r>
      <w:r w:rsidRPr="00EB4FEE">
        <w:rPr>
          <w:color w:val="595959" w:themeColor="text1" w:themeTint="A6"/>
          <w:sz w:val="18"/>
          <w:szCs w:val="18"/>
        </w:rPr>
        <w:t xml:space="preserve"> DFAT. </w:t>
      </w:r>
      <w:r w:rsidRPr="00EB4FEE">
        <w:rPr>
          <w:i/>
          <w:color w:val="595959" w:themeColor="text1" w:themeTint="A6"/>
          <w:sz w:val="18"/>
          <w:szCs w:val="18"/>
        </w:rPr>
        <w:t>Indonesia AIPEID II Strategic Review and Options Development</w:t>
      </w:r>
      <w:r>
        <w:rPr>
          <w:i/>
          <w:color w:val="595959" w:themeColor="text1" w:themeTint="A6"/>
          <w:sz w:val="18"/>
          <w:szCs w:val="18"/>
        </w:rPr>
        <w:t xml:space="preserve"> Paper and management response.</w:t>
      </w:r>
      <w:r w:rsidRPr="00EB4FEE">
        <w:rPr>
          <w:i/>
          <w:color w:val="595959" w:themeColor="text1" w:themeTint="A6"/>
          <w:sz w:val="18"/>
          <w:szCs w:val="18"/>
        </w:rPr>
        <w:t xml:space="preserve"> </w:t>
      </w:r>
      <w:r>
        <w:rPr>
          <w:color w:val="595959" w:themeColor="text1" w:themeTint="A6"/>
          <w:sz w:val="18"/>
          <w:szCs w:val="18"/>
        </w:rPr>
        <w:t xml:space="preserve">2017. </w:t>
      </w:r>
      <w:r w:rsidRPr="00EB4FEE">
        <w:rPr>
          <w:color w:val="595959" w:themeColor="text1" w:themeTint="A6"/>
          <w:sz w:val="18"/>
          <w:szCs w:val="18"/>
        </w:rPr>
        <w:t>https://dfat.gov.au/about-us/publications/Pages/indonesia-aiped-strategic-review-options-development-paper.aspx</w:t>
      </w:r>
    </w:p>
  </w:footnote>
  <w:footnote w:id="5">
    <w:p w:rsidR="00DF10D6" w:rsidRPr="00E14997" w:rsidRDefault="00DF10D6">
      <w:pPr>
        <w:pStyle w:val="FootnoteText"/>
        <w:rPr>
          <w:sz w:val="18"/>
          <w:szCs w:val="18"/>
          <w:lang w:val="en-AU"/>
        </w:rPr>
      </w:pPr>
      <w:r w:rsidRPr="00EB4FEE">
        <w:rPr>
          <w:rStyle w:val="FootnoteReference"/>
          <w:color w:val="595959" w:themeColor="text1" w:themeTint="A6"/>
          <w:sz w:val="18"/>
          <w:szCs w:val="18"/>
        </w:rPr>
        <w:footnoteRef/>
      </w:r>
      <w:r>
        <w:rPr>
          <w:color w:val="595959" w:themeColor="text1" w:themeTint="A6"/>
          <w:sz w:val="18"/>
          <w:szCs w:val="18"/>
        </w:rPr>
        <w:t xml:space="preserve"> DFAT.</w:t>
      </w:r>
      <w:r w:rsidRPr="00EB4FEE">
        <w:rPr>
          <w:color w:val="595959" w:themeColor="text1" w:themeTint="A6"/>
          <w:sz w:val="18"/>
          <w:szCs w:val="18"/>
        </w:rPr>
        <w:t xml:space="preserve"> </w:t>
      </w:r>
      <w:r w:rsidRPr="00EB4FEE">
        <w:rPr>
          <w:i/>
          <w:color w:val="595959" w:themeColor="text1" w:themeTint="A6"/>
          <w:sz w:val="18"/>
          <w:szCs w:val="18"/>
        </w:rPr>
        <w:t xml:space="preserve">Health Security Initiative for the Indo-Pacific region. </w:t>
      </w:r>
      <w:r>
        <w:rPr>
          <w:color w:val="595959" w:themeColor="text1" w:themeTint="A6"/>
          <w:sz w:val="18"/>
          <w:szCs w:val="18"/>
        </w:rPr>
        <w:t>2017.</w:t>
      </w:r>
      <w:r w:rsidRPr="00EB4FEE">
        <w:rPr>
          <w:color w:val="595959" w:themeColor="text1" w:themeTint="A6"/>
          <w:sz w:val="18"/>
          <w:szCs w:val="18"/>
        </w:rPr>
        <w:t xml:space="preserve"> https://dfat.gov.au/aid/topics/investment-priorities/education-health/health/Pages/health-security-initiative-indo-pacific-region.aspx</w:t>
      </w:r>
    </w:p>
  </w:footnote>
  <w:footnote w:id="6">
    <w:p w:rsidR="00DF10D6" w:rsidRPr="009B5EAF" w:rsidRDefault="00DF10D6">
      <w:pPr>
        <w:pStyle w:val="FootnoteText"/>
        <w:rPr>
          <w:sz w:val="18"/>
          <w:szCs w:val="18"/>
        </w:rPr>
      </w:pPr>
      <w:r w:rsidRPr="00EB4FEE">
        <w:rPr>
          <w:rStyle w:val="FootnoteReference"/>
          <w:color w:val="595959" w:themeColor="text1" w:themeTint="A6"/>
          <w:sz w:val="18"/>
          <w:szCs w:val="18"/>
        </w:rPr>
        <w:footnoteRef/>
      </w:r>
      <w:r w:rsidRPr="00EB4FEE">
        <w:rPr>
          <w:color w:val="595959" w:themeColor="text1" w:themeTint="A6"/>
          <w:sz w:val="18"/>
          <w:szCs w:val="18"/>
        </w:rPr>
        <w:t xml:space="preserve"> Infectious disease outbreaks are considered to be ‘non-natural’ disasters.</w:t>
      </w:r>
    </w:p>
  </w:footnote>
  <w:footnote w:id="7">
    <w:p w:rsidR="00DF10D6" w:rsidRPr="00EB4FEE" w:rsidRDefault="00DF10D6">
      <w:pPr>
        <w:pStyle w:val="FootnoteText"/>
        <w:rPr>
          <w:color w:val="595959" w:themeColor="text1" w:themeTint="A6"/>
          <w:sz w:val="18"/>
          <w:szCs w:val="18"/>
          <w:lang w:val="en-AU"/>
        </w:rPr>
      </w:pPr>
      <w:r w:rsidRPr="00EB4FEE">
        <w:rPr>
          <w:rStyle w:val="FootnoteReference"/>
          <w:color w:val="595959" w:themeColor="text1" w:themeTint="A6"/>
          <w:sz w:val="18"/>
          <w:szCs w:val="18"/>
        </w:rPr>
        <w:footnoteRef/>
      </w:r>
      <w:r w:rsidRPr="00EB4FEE">
        <w:rPr>
          <w:color w:val="595959" w:themeColor="text1" w:themeTint="A6"/>
          <w:sz w:val="18"/>
          <w:szCs w:val="18"/>
        </w:rPr>
        <w:t xml:space="preserve"> Ghebreyesus, TA. </w:t>
      </w:r>
      <w:r w:rsidRPr="00EB4FEE">
        <w:rPr>
          <w:color w:val="595959" w:themeColor="text1" w:themeTint="A6"/>
          <w:sz w:val="18"/>
          <w:szCs w:val="18"/>
          <w:lang w:val="en-AU"/>
        </w:rPr>
        <w:t xml:space="preserve">All roads lead to universal health coverage. </w:t>
      </w:r>
      <w:r w:rsidRPr="00EB4FEE">
        <w:rPr>
          <w:i/>
          <w:color w:val="595959" w:themeColor="text1" w:themeTint="A6"/>
          <w:sz w:val="18"/>
          <w:szCs w:val="18"/>
          <w:lang w:val="en-AU"/>
        </w:rPr>
        <w:t>The Lancet Global Health</w:t>
      </w:r>
      <w:r>
        <w:rPr>
          <w:color w:val="595959" w:themeColor="text1" w:themeTint="A6"/>
          <w:sz w:val="18"/>
          <w:szCs w:val="18"/>
          <w:lang w:val="en-AU"/>
        </w:rPr>
        <w:t xml:space="preserve">. </w:t>
      </w:r>
      <w:r w:rsidRPr="00EB4FEE">
        <w:rPr>
          <w:color w:val="595959" w:themeColor="text1" w:themeTint="A6"/>
          <w:sz w:val="18"/>
          <w:szCs w:val="18"/>
          <w:lang w:val="en-AU"/>
        </w:rPr>
        <w:t>2017: 5(9): e839-840.</w:t>
      </w:r>
    </w:p>
  </w:footnote>
  <w:footnote w:id="8">
    <w:p w:rsidR="00DF10D6" w:rsidRPr="00EB4FEE" w:rsidRDefault="00DF10D6">
      <w:pPr>
        <w:pStyle w:val="FootnoteText"/>
        <w:rPr>
          <w:color w:val="595959" w:themeColor="text1" w:themeTint="A6"/>
          <w:sz w:val="18"/>
          <w:szCs w:val="18"/>
          <w:lang w:val="en-AU"/>
        </w:rPr>
      </w:pPr>
      <w:r w:rsidRPr="00EB4FEE">
        <w:rPr>
          <w:rStyle w:val="FootnoteReference"/>
          <w:color w:val="595959" w:themeColor="text1" w:themeTint="A6"/>
          <w:sz w:val="18"/>
          <w:szCs w:val="18"/>
        </w:rPr>
        <w:footnoteRef/>
      </w:r>
      <w:r w:rsidRPr="00EB4FEE">
        <w:rPr>
          <w:color w:val="595959" w:themeColor="text1" w:themeTint="A6"/>
          <w:sz w:val="18"/>
          <w:szCs w:val="18"/>
        </w:rPr>
        <w:t xml:space="preserve"> </w:t>
      </w:r>
      <w:r>
        <w:rPr>
          <w:color w:val="595959" w:themeColor="text1" w:themeTint="A6"/>
          <w:sz w:val="18"/>
          <w:szCs w:val="18"/>
          <w:lang w:val="en-AU"/>
        </w:rPr>
        <w:t>Kluge H, et al.</w:t>
      </w:r>
      <w:r w:rsidRPr="00EB4FEE">
        <w:rPr>
          <w:color w:val="595959" w:themeColor="text1" w:themeTint="A6"/>
          <w:sz w:val="18"/>
          <w:szCs w:val="18"/>
          <w:lang w:val="en-AU"/>
        </w:rPr>
        <w:t xml:space="preserve"> Strengthening global health security by embedding the International Health Regulations requirements into national health systems. </w:t>
      </w:r>
      <w:r w:rsidRPr="00EB4FEE">
        <w:rPr>
          <w:i/>
          <w:color w:val="595959" w:themeColor="text1" w:themeTint="A6"/>
          <w:sz w:val="18"/>
          <w:szCs w:val="18"/>
          <w:lang w:val="en-AU"/>
        </w:rPr>
        <w:t>BMJ Global Health</w:t>
      </w:r>
      <w:r w:rsidRPr="00EB4FEE">
        <w:rPr>
          <w:color w:val="595959" w:themeColor="text1" w:themeTint="A6"/>
          <w:sz w:val="18"/>
          <w:szCs w:val="18"/>
          <w:lang w:val="en-AU"/>
        </w:rPr>
        <w:t xml:space="preserve"> 2018: 3: e000656.</w:t>
      </w:r>
    </w:p>
  </w:footnote>
  <w:footnote w:id="9">
    <w:p w:rsidR="00DF10D6" w:rsidRPr="00EB4FEE" w:rsidRDefault="00DF10D6">
      <w:pPr>
        <w:pStyle w:val="FootnoteText"/>
        <w:rPr>
          <w:color w:val="595959" w:themeColor="text1" w:themeTint="A6"/>
          <w:sz w:val="18"/>
          <w:szCs w:val="18"/>
          <w:lang w:val="en-AU"/>
        </w:rPr>
      </w:pPr>
      <w:r w:rsidRPr="00EB4FEE">
        <w:rPr>
          <w:rStyle w:val="FootnoteReference"/>
          <w:color w:val="595959" w:themeColor="text1" w:themeTint="A6"/>
          <w:sz w:val="18"/>
          <w:szCs w:val="18"/>
        </w:rPr>
        <w:footnoteRef/>
      </w:r>
      <w:r w:rsidRPr="00EB4FEE">
        <w:rPr>
          <w:color w:val="595959" w:themeColor="text1" w:themeTint="A6"/>
          <w:sz w:val="18"/>
          <w:szCs w:val="18"/>
        </w:rPr>
        <w:t xml:space="preserve"> DFAT </w:t>
      </w:r>
      <w:r w:rsidRPr="00EB4FEE">
        <w:rPr>
          <w:color w:val="595959" w:themeColor="text1" w:themeTint="A6"/>
          <w:sz w:val="18"/>
          <w:szCs w:val="18"/>
          <w:lang w:val="en-AU"/>
        </w:rPr>
        <w:t>Offic</w:t>
      </w:r>
      <w:r>
        <w:rPr>
          <w:color w:val="595959" w:themeColor="text1" w:themeTint="A6"/>
          <w:sz w:val="18"/>
          <w:szCs w:val="18"/>
          <w:lang w:val="en-AU"/>
        </w:rPr>
        <w:t>e of Development Effectiveness.</w:t>
      </w:r>
      <w:r w:rsidRPr="00EB4FEE">
        <w:rPr>
          <w:color w:val="595959" w:themeColor="text1" w:themeTint="A6"/>
          <w:sz w:val="18"/>
          <w:szCs w:val="18"/>
          <w:lang w:val="en-AU"/>
        </w:rPr>
        <w:t xml:space="preserve"> </w:t>
      </w:r>
      <w:r w:rsidRPr="00EB4FEE">
        <w:rPr>
          <w:i/>
          <w:color w:val="595959" w:themeColor="text1" w:themeTint="A6"/>
          <w:sz w:val="18"/>
          <w:szCs w:val="18"/>
          <w:lang w:val="en-AU"/>
        </w:rPr>
        <w:t>Evaluating a decade of Australia’s efforts to combat pandemics and emerging infectious diseases in Asia and the Pacific 2006-2015: Are health systems stronger?</w:t>
      </w:r>
      <w:r w:rsidRPr="00EB4FEE">
        <w:rPr>
          <w:color w:val="595959" w:themeColor="text1" w:themeTint="A6"/>
          <w:sz w:val="18"/>
          <w:szCs w:val="18"/>
          <w:lang w:val="en-AU"/>
        </w:rPr>
        <w:t xml:space="preserve"> 2017.</w:t>
      </w:r>
    </w:p>
  </w:footnote>
  <w:footnote w:id="10">
    <w:p w:rsidR="00DF10D6" w:rsidRPr="00BF6C52" w:rsidRDefault="00DF10D6" w:rsidP="009336CF">
      <w:pPr>
        <w:pStyle w:val="FootnoteText"/>
        <w:rPr>
          <w:sz w:val="18"/>
          <w:szCs w:val="18"/>
          <w:lang w:val="en-AU"/>
        </w:rPr>
      </w:pPr>
      <w:r w:rsidRPr="00EB4FEE">
        <w:rPr>
          <w:color w:val="595959" w:themeColor="text1" w:themeTint="A6"/>
          <w:lang w:val="en-AU"/>
        </w:rPr>
        <w:footnoteRef/>
      </w:r>
      <w:r>
        <w:rPr>
          <w:color w:val="595959" w:themeColor="text1" w:themeTint="A6"/>
          <w:sz w:val="18"/>
          <w:szCs w:val="18"/>
          <w:lang w:val="en-AU"/>
        </w:rPr>
        <w:t xml:space="preserve"> IPCHS.</w:t>
      </w:r>
      <w:r w:rsidRPr="00EB4FEE">
        <w:rPr>
          <w:color w:val="595959" w:themeColor="text1" w:themeTint="A6"/>
          <w:sz w:val="18"/>
          <w:szCs w:val="18"/>
          <w:lang w:val="en-AU"/>
        </w:rPr>
        <w:t xml:space="preserve"> </w:t>
      </w:r>
      <w:r w:rsidRPr="00EB4FEE">
        <w:rPr>
          <w:i/>
          <w:color w:val="595959" w:themeColor="text1" w:themeTint="A6"/>
          <w:sz w:val="18"/>
          <w:szCs w:val="18"/>
          <w:lang w:val="en-AU"/>
        </w:rPr>
        <w:t>Investment Design Health Security Workforce Program</w:t>
      </w:r>
      <w:r>
        <w:rPr>
          <w:color w:val="595959" w:themeColor="text1" w:themeTint="A6"/>
          <w:sz w:val="18"/>
          <w:szCs w:val="18"/>
          <w:lang w:val="en-AU"/>
        </w:rPr>
        <w:t xml:space="preserve"> (draft). </w:t>
      </w:r>
      <w:r w:rsidRPr="00EB4FEE">
        <w:rPr>
          <w:color w:val="595959" w:themeColor="text1" w:themeTint="A6"/>
          <w:sz w:val="18"/>
          <w:szCs w:val="18"/>
          <w:lang w:val="en-AU"/>
        </w:rPr>
        <w:t>15 November 2018.</w:t>
      </w:r>
    </w:p>
  </w:footnote>
  <w:footnote w:id="11">
    <w:p w:rsidR="00DF10D6" w:rsidRPr="00EB4FEE" w:rsidRDefault="00DF10D6">
      <w:pPr>
        <w:pStyle w:val="FootnoteText"/>
        <w:rPr>
          <w:color w:val="595959" w:themeColor="text1" w:themeTint="A6"/>
          <w:sz w:val="18"/>
          <w:szCs w:val="18"/>
          <w:lang w:val="en-AU"/>
        </w:rPr>
      </w:pPr>
      <w:r w:rsidRPr="00EB4FEE">
        <w:rPr>
          <w:rStyle w:val="FootnoteReference"/>
          <w:color w:val="595959" w:themeColor="text1" w:themeTint="A6"/>
          <w:sz w:val="18"/>
          <w:szCs w:val="18"/>
        </w:rPr>
        <w:footnoteRef/>
      </w:r>
      <w:r w:rsidRPr="00EB4FEE">
        <w:rPr>
          <w:color w:val="595959" w:themeColor="text1" w:themeTint="A6"/>
          <w:sz w:val="18"/>
          <w:szCs w:val="18"/>
        </w:rPr>
        <w:t xml:space="preserve"> </w:t>
      </w:r>
      <w:r>
        <w:rPr>
          <w:color w:val="595959" w:themeColor="text1" w:themeTint="A6"/>
          <w:sz w:val="18"/>
          <w:szCs w:val="18"/>
          <w:lang w:val="en-AU"/>
        </w:rPr>
        <w:t>WHO.</w:t>
      </w:r>
      <w:r w:rsidRPr="00EB4FEE">
        <w:rPr>
          <w:color w:val="595959" w:themeColor="text1" w:themeTint="A6"/>
          <w:sz w:val="18"/>
          <w:szCs w:val="18"/>
          <w:lang w:val="en-AU"/>
        </w:rPr>
        <w:t xml:space="preserve"> </w:t>
      </w:r>
      <w:r w:rsidRPr="00EB4FEE">
        <w:rPr>
          <w:i/>
          <w:color w:val="595959" w:themeColor="text1" w:themeTint="A6"/>
          <w:sz w:val="18"/>
          <w:szCs w:val="18"/>
          <w:lang w:val="en-AU"/>
        </w:rPr>
        <w:t xml:space="preserve">Taking sex and gender into account in emerging infectious disease programmes: an analytical framework. </w:t>
      </w:r>
      <w:r>
        <w:rPr>
          <w:color w:val="595959" w:themeColor="text1" w:themeTint="A6"/>
          <w:sz w:val="18"/>
          <w:szCs w:val="18"/>
          <w:lang w:val="en-AU"/>
        </w:rPr>
        <w:t>2011.</w:t>
      </w:r>
      <w:r w:rsidRPr="00EB4FEE">
        <w:rPr>
          <w:color w:val="595959" w:themeColor="text1" w:themeTint="A6"/>
          <w:sz w:val="18"/>
          <w:szCs w:val="18"/>
          <w:lang w:val="en-AU"/>
        </w:rPr>
        <w:t xml:space="preserve"> http://www.wpro.who.int/topics/gender_issues/Takingsexandgenderintoaccount.pdf</w:t>
      </w:r>
    </w:p>
  </w:footnote>
  <w:footnote w:id="12">
    <w:p w:rsidR="00DF10D6" w:rsidRPr="004B3A27" w:rsidRDefault="00DF10D6" w:rsidP="0059166D">
      <w:pPr>
        <w:pStyle w:val="FootnoteText"/>
        <w:rPr>
          <w:lang w:val="en-AU"/>
        </w:rPr>
      </w:pPr>
      <w:r w:rsidRPr="00EB4FEE">
        <w:rPr>
          <w:rStyle w:val="FootnoteReference"/>
          <w:color w:val="595959" w:themeColor="text1" w:themeTint="A6"/>
          <w:sz w:val="18"/>
          <w:szCs w:val="18"/>
        </w:rPr>
        <w:footnoteRef/>
      </w:r>
      <w:r w:rsidRPr="00EB4FEE">
        <w:rPr>
          <w:color w:val="595959" w:themeColor="text1" w:themeTint="A6"/>
          <w:sz w:val="18"/>
          <w:szCs w:val="18"/>
        </w:rPr>
        <w:t xml:space="preserve"> </w:t>
      </w:r>
      <w:r w:rsidRPr="00EB4FEE">
        <w:rPr>
          <w:color w:val="595959" w:themeColor="text1" w:themeTint="A6"/>
          <w:sz w:val="18"/>
          <w:szCs w:val="18"/>
          <w:lang w:val="en-AU"/>
        </w:rPr>
        <w:t xml:space="preserve">WHO. </w:t>
      </w:r>
      <w:r w:rsidRPr="00EB4FEE">
        <w:rPr>
          <w:i/>
          <w:color w:val="595959" w:themeColor="text1" w:themeTint="A6"/>
          <w:sz w:val="18"/>
          <w:szCs w:val="18"/>
          <w:lang w:val="en-AU"/>
        </w:rPr>
        <w:t>Health and Disability: Key facts</w:t>
      </w:r>
      <w:r>
        <w:rPr>
          <w:color w:val="595959" w:themeColor="text1" w:themeTint="A6"/>
          <w:sz w:val="18"/>
          <w:szCs w:val="18"/>
          <w:lang w:val="en-AU"/>
        </w:rPr>
        <w:t>. 2018.</w:t>
      </w:r>
      <w:r w:rsidRPr="00EB4FEE">
        <w:rPr>
          <w:color w:val="595959" w:themeColor="text1" w:themeTint="A6"/>
          <w:sz w:val="18"/>
          <w:szCs w:val="18"/>
          <w:lang w:val="en-AU"/>
        </w:rPr>
        <w:t xml:space="preserve"> http://www.who.int/news-room/fact-sheets/detail/disability-and-health</w:t>
      </w:r>
      <w:r w:rsidRPr="00EB4FEE">
        <w:rPr>
          <w:color w:val="595959" w:themeColor="text1" w:themeTint="A6"/>
          <w:lang w:val="en-AU"/>
        </w:rPr>
        <w:t xml:space="preserve"> </w:t>
      </w:r>
    </w:p>
  </w:footnote>
  <w:footnote w:id="13">
    <w:p w:rsidR="00DF10D6" w:rsidRPr="00E14997" w:rsidRDefault="00DF10D6" w:rsidP="00054254">
      <w:pPr>
        <w:pStyle w:val="FootnoteText"/>
        <w:rPr>
          <w:sz w:val="18"/>
          <w:szCs w:val="18"/>
        </w:rPr>
      </w:pPr>
      <w:r w:rsidRPr="00E14997">
        <w:rPr>
          <w:rStyle w:val="FootnoteReference"/>
          <w:sz w:val="18"/>
          <w:szCs w:val="18"/>
        </w:rPr>
        <w:footnoteRef/>
      </w:r>
      <w:r w:rsidRPr="00E14997">
        <w:rPr>
          <w:sz w:val="18"/>
          <w:szCs w:val="18"/>
        </w:rPr>
        <w:t xml:space="preserve"> This is an important general lesson which is underlined in</w:t>
      </w:r>
      <w:r>
        <w:rPr>
          <w:sz w:val="18"/>
          <w:szCs w:val="18"/>
        </w:rPr>
        <w:t xml:space="preserve">: DFAT. </w:t>
      </w:r>
      <w:r w:rsidRPr="00E14997">
        <w:rPr>
          <w:i/>
          <w:sz w:val="18"/>
          <w:szCs w:val="18"/>
        </w:rPr>
        <w:t>Effective Governance: Strategy for Australia’s aid investments</w:t>
      </w:r>
      <w:r>
        <w:rPr>
          <w:sz w:val="18"/>
          <w:szCs w:val="18"/>
        </w:rPr>
        <w:t xml:space="preserve">. </w:t>
      </w:r>
      <w:r w:rsidRPr="00E14997">
        <w:rPr>
          <w:sz w:val="18"/>
          <w:szCs w:val="18"/>
        </w:rPr>
        <w:t>2015</w:t>
      </w:r>
      <w:r>
        <w:rPr>
          <w:sz w:val="18"/>
          <w:szCs w:val="18"/>
        </w:rPr>
        <w:t xml:space="preserve">. </w:t>
      </w:r>
      <w:r w:rsidRPr="00657FA3">
        <w:rPr>
          <w:sz w:val="18"/>
          <w:szCs w:val="18"/>
        </w:rPr>
        <w:t>https://dfat.gov.au/about-us/publications/Pages/effective-governance-strategy-for-australias-aid-investments.aspx</w:t>
      </w:r>
    </w:p>
  </w:footnote>
  <w:footnote w:id="14">
    <w:p w:rsidR="00DF10D6" w:rsidRPr="009B5EAF" w:rsidRDefault="00DF10D6">
      <w:pPr>
        <w:pStyle w:val="FootnoteText"/>
        <w:rPr>
          <w:color w:val="595959" w:themeColor="text1" w:themeTint="A6"/>
          <w:sz w:val="18"/>
          <w:szCs w:val="18"/>
          <w:lang w:val="en-AU"/>
        </w:rPr>
      </w:pPr>
      <w:r w:rsidRPr="009B5EAF">
        <w:rPr>
          <w:rStyle w:val="FootnoteReference"/>
          <w:color w:val="595959" w:themeColor="text1" w:themeTint="A6"/>
          <w:sz w:val="18"/>
          <w:szCs w:val="18"/>
        </w:rPr>
        <w:footnoteRef/>
      </w:r>
      <w:r w:rsidRPr="009B5EAF">
        <w:rPr>
          <w:color w:val="595959" w:themeColor="text1" w:themeTint="A6"/>
          <w:sz w:val="18"/>
          <w:szCs w:val="18"/>
        </w:rPr>
        <w:t xml:space="preserve"> </w:t>
      </w:r>
      <w:r>
        <w:rPr>
          <w:color w:val="595959" w:themeColor="text1" w:themeTint="A6"/>
          <w:sz w:val="18"/>
          <w:szCs w:val="18"/>
          <w:lang w:val="en-AU"/>
        </w:rPr>
        <w:t>WHO.</w:t>
      </w:r>
      <w:r w:rsidRPr="009B5EAF">
        <w:rPr>
          <w:color w:val="595959" w:themeColor="text1" w:themeTint="A6"/>
          <w:sz w:val="18"/>
          <w:szCs w:val="18"/>
          <w:lang w:val="en-AU"/>
        </w:rPr>
        <w:t xml:space="preserve"> </w:t>
      </w:r>
      <w:r w:rsidRPr="009B5EAF">
        <w:rPr>
          <w:i/>
          <w:color w:val="595959" w:themeColor="text1" w:themeTint="A6"/>
          <w:sz w:val="18"/>
          <w:szCs w:val="18"/>
          <w:lang w:val="en-AU"/>
        </w:rPr>
        <w:t>Joint External Evaluation of IHR core capacities</w:t>
      </w:r>
      <w:r>
        <w:rPr>
          <w:i/>
          <w:color w:val="595959" w:themeColor="text1" w:themeTint="A6"/>
          <w:sz w:val="18"/>
          <w:szCs w:val="18"/>
          <w:lang w:val="en-AU"/>
        </w:rPr>
        <w:t xml:space="preserve"> of the Republic of Indonesia. </w:t>
      </w:r>
      <w:r w:rsidRPr="009B5EAF">
        <w:rPr>
          <w:i/>
          <w:color w:val="595959" w:themeColor="text1" w:themeTint="A6"/>
          <w:sz w:val="18"/>
          <w:szCs w:val="18"/>
          <w:lang w:val="en-AU"/>
        </w:rPr>
        <w:t>Mission Report: 20-24 November 2017</w:t>
      </w:r>
      <w:r>
        <w:rPr>
          <w:color w:val="595959" w:themeColor="text1" w:themeTint="A6"/>
          <w:sz w:val="18"/>
          <w:szCs w:val="18"/>
          <w:lang w:val="en-AU"/>
        </w:rPr>
        <w:t xml:space="preserve">. 2018. </w:t>
      </w:r>
      <w:r w:rsidRPr="009B5EAF">
        <w:rPr>
          <w:color w:val="595959" w:themeColor="text1" w:themeTint="A6"/>
          <w:sz w:val="18"/>
          <w:szCs w:val="18"/>
          <w:lang w:val="en-AU"/>
        </w:rPr>
        <w:t>http://www.who.int/ihr/publications/WHO-WHE-CPI-REP-2018.9/en/</w:t>
      </w:r>
    </w:p>
  </w:footnote>
  <w:footnote w:id="15">
    <w:p w:rsidR="00DF10D6" w:rsidRPr="00D556C8" w:rsidRDefault="00DF10D6" w:rsidP="00D556C8">
      <w:pPr>
        <w:pStyle w:val="FootnoteText"/>
        <w:rPr>
          <w:sz w:val="18"/>
          <w:szCs w:val="18"/>
          <w:lang w:val="en-AU"/>
        </w:rPr>
      </w:pPr>
      <w:r w:rsidRPr="009B5EAF">
        <w:rPr>
          <w:rStyle w:val="FootnoteReference"/>
          <w:color w:val="595959" w:themeColor="text1" w:themeTint="A6"/>
          <w:sz w:val="18"/>
          <w:szCs w:val="18"/>
        </w:rPr>
        <w:footnoteRef/>
      </w:r>
      <w:r w:rsidRPr="009B5EAF">
        <w:rPr>
          <w:color w:val="595959" w:themeColor="text1" w:themeTint="A6"/>
          <w:sz w:val="18"/>
          <w:szCs w:val="18"/>
        </w:rPr>
        <w:t xml:space="preserve"> </w:t>
      </w:r>
      <w:r w:rsidRPr="009B5EAF">
        <w:rPr>
          <w:rFonts w:eastAsia="Calibri" w:cstheme="majorHAnsi"/>
          <w:color w:val="595959" w:themeColor="text1" w:themeTint="A6"/>
          <w:sz w:val="18"/>
          <w:szCs w:val="18"/>
          <w:lang w:val="en-AU"/>
        </w:rPr>
        <w:t>While FETP is already well established and institutionalised in Indonesia, due in part to GoA support, optimal human resource placements and career progression for all graduates h</w:t>
      </w:r>
      <w:r>
        <w:rPr>
          <w:rFonts w:eastAsia="Calibri" w:cstheme="majorHAnsi"/>
          <w:color w:val="595959" w:themeColor="text1" w:themeTint="A6"/>
          <w:sz w:val="18"/>
          <w:szCs w:val="18"/>
          <w:lang w:val="en-AU"/>
        </w:rPr>
        <w:t>ave not yet been achieved.</w:t>
      </w:r>
      <w:r w:rsidRPr="009B5EAF">
        <w:rPr>
          <w:rFonts w:eastAsia="Calibri" w:cstheme="majorHAnsi"/>
          <w:color w:val="595959" w:themeColor="text1" w:themeTint="A6"/>
          <w:sz w:val="18"/>
          <w:szCs w:val="18"/>
          <w:lang w:val="en-AU"/>
        </w:rPr>
        <w:t xml:space="preserve"> </w:t>
      </w:r>
      <w:r w:rsidRPr="009B5EAF">
        <w:rPr>
          <w:color w:val="595959" w:themeColor="text1" w:themeTint="A6"/>
          <w:sz w:val="18"/>
          <w:szCs w:val="18"/>
        </w:rPr>
        <w:t xml:space="preserve">DFAT </w:t>
      </w:r>
      <w:r w:rsidRPr="009B5EAF">
        <w:rPr>
          <w:color w:val="595959" w:themeColor="text1" w:themeTint="A6"/>
          <w:sz w:val="18"/>
          <w:szCs w:val="18"/>
          <w:lang w:val="en-AU"/>
        </w:rPr>
        <w:t xml:space="preserve">Office of Development Effectiveness. </w:t>
      </w:r>
      <w:r w:rsidRPr="009B5EAF">
        <w:rPr>
          <w:i/>
          <w:color w:val="595959" w:themeColor="text1" w:themeTint="A6"/>
          <w:sz w:val="18"/>
          <w:szCs w:val="18"/>
          <w:lang w:val="en-AU"/>
        </w:rPr>
        <w:t>Evaluating a decade of Australia’s efforts to combat pandemics and emerging infectious diseases in Asia and the Pacific 2006-2015: Are health systems stronger?</w:t>
      </w:r>
      <w:r w:rsidRPr="009B5EAF">
        <w:rPr>
          <w:color w:val="595959" w:themeColor="text1" w:themeTint="A6"/>
          <w:sz w:val="18"/>
          <w:szCs w:val="18"/>
          <w:lang w:val="en-AU"/>
        </w:rPr>
        <w:t xml:space="preserve"> 2017.</w:t>
      </w:r>
    </w:p>
  </w:footnote>
  <w:footnote w:id="16">
    <w:p w:rsidR="00DF10D6" w:rsidRPr="00E14997" w:rsidRDefault="00DF10D6">
      <w:pPr>
        <w:pStyle w:val="FootnoteText"/>
        <w:rPr>
          <w:sz w:val="18"/>
          <w:szCs w:val="18"/>
          <w:lang w:val="en-AU"/>
        </w:rPr>
      </w:pPr>
      <w:r w:rsidRPr="00EB4FEE">
        <w:rPr>
          <w:rStyle w:val="FootnoteReference"/>
          <w:color w:val="595959" w:themeColor="text1" w:themeTint="A6"/>
          <w:sz w:val="18"/>
          <w:szCs w:val="18"/>
        </w:rPr>
        <w:footnoteRef/>
      </w:r>
      <w:r w:rsidRPr="00EB4FEE">
        <w:rPr>
          <w:color w:val="595959" w:themeColor="text1" w:themeTint="A6"/>
          <w:sz w:val="18"/>
          <w:szCs w:val="18"/>
        </w:rPr>
        <w:t xml:space="preserve"> </w:t>
      </w:r>
      <w:r w:rsidRPr="00EB4FEE">
        <w:rPr>
          <w:color w:val="595959" w:themeColor="text1" w:themeTint="A6"/>
          <w:sz w:val="18"/>
          <w:szCs w:val="18"/>
          <w:lang w:val="en-AU"/>
        </w:rPr>
        <w:t>DAWR has indicated they are happy to provide appropriate levels of technical assistance to the program.</w:t>
      </w:r>
    </w:p>
  </w:footnote>
  <w:footnote w:id="17">
    <w:p w:rsidR="00DF10D6" w:rsidRPr="009B5EAF" w:rsidRDefault="00DF10D6" w:rsidP="00F62715">
      <w:pPr>
        <w:pStyle w:val="FootnoteText"/>
        <w:rPr>
          <w:color w:val="595959" w:themeColor="text1" w:themeTint="A6"/>
          <w:sz w:val="18"/>
          <w:szCs w:val="18"/>
          <w:lang w:val="en-AU"/>
        </w:rPr>
      </w:pPr>
      <w:r w:rsidRPr="009B5EAF">
        <w:rPr>
          <w:rStyle w:val="FootnoteReference"/>
          <w:color w:val="595959" w:themeColor="text1" w:themeTint="A6"/>
          <w:sz w:val="18"/>
          <w:szCs w:val="18"/>
        </w:rPr>
        <w:footnoteRef/>
      </w:r>
      <w:r w:rsidRPr="009B5EAF">
        <w:rPr>
          <w:color w:val="595959" w:themeColor="text1" w:themeTint="A6"/>
          <w:sz w:val="18"/>
          <w:szCs w:val="18"/>
        </w:rPr>
        <w:t xml:space="preserve"> </w:t>
      </w:r>
      <w:r w:rsidRPr="009B5EAF">
        <w:rPr>
          <w:color w:val="595959" w:themeColor="text1" w:themeTint="A6"/>
          <w:sz w:val="18"/>
          <w:szCs w:val="18"/>
          <w:lang w:val="en-AU"/>
        </w:rPr>
        <w:t>DFAT representation w</w:t>
      </w:r>
      <w:r>
        <w:rPr>
          <w:color w:val="595959" w:themeColor="text1" w:themeTint="A6"/>
          <w:sz w:val="18"/>
          <w:szCs w:val="18"/>
          <w:lang w:val="en-AU"/>
        </w:rPr>
        <w:t>ill include Post and the IPCHS.</w:t>
      </w:r>
      <w:r w:rsidRPr="009B5EAF">
        <w:rPr>
          <w:color w:val="595959" w:themeColor="text1" w:themeTint="A6"/>
          <w:sz w:val="18"/>
          <w:szCs w:val="18"/>
          <w:lang w:val="en-AU"/>
        </w:rPr>
        <w:t xml:space="preserve"> DoH have indicated an interest in engaging but limitations in resources – if so, they could be represented through the IPCHS.</w:t>
      </w:r>
    </w:p>
  </w:footnote>
  <w:footnote w:id="18">
    <w:p w:rsidR="00DF10D6" w:rsidRPr="00E14997" w:rsidRDefault="00DF10D6" w:rsidP="00F62715">
      <w:pPr>
        <w:pStyle w:val="FootnoteText"/>
        <w:rPr>
          <w:sz w:val="18"/>
          <w:szCs w:val="18"/>
          <w:lang w:val="en-AU"/>
        </w:rPr>
      </w:pPr>
      <w:r w:rsidRPr="009B5EAF">
        <w:rPr>
          <w:rStyle w:val="FootnoteReference"/>
          <w:color w:val="595959" w:themeColor="text1" w:themeTint="A6"/>
          <w:sz w:val="18"/>
          <w:szCs w:val="18"/>
        </w:rPr>
        <w:footnoteRef/>
      </w:r>
      <w:r w:rsidRPr="009B5EAF">
        <w:rPr>
          <w:color w:val="595959" w:themeColor="text1" w:themeTint="A6"/>
          <w:sz w:val="18"/>
          <w:szCs w:val="18"/>
        </w:rPr>
        <w:t xml:space="preserve"> </w:t>
      </w:r>
      <w:r w:rsidRPr="009B5EAF">
        <w:rPr>
          <w:color w:val="595959" w:themeColor="text1" w:themeTint="A6"/>
          <w:sz w:val="18"/>
          <w:szCs w:val="18"/>
          <w:lang w:val="en-AU"/>
        </w:rPr>
        <w:t>Post is also undertaking a design for a new five year “Australia Indonesia Disaster Risk Management program” (2018-2023) in partnership with BNPB.</w:t>
      </w:r>
    </w:p>
  </w:footnote>
  <w:footnote w:id="19">
    <w:p w:rsidR="00DF10D6" w:rsidRPr="00E14997" w:rsidRDefault="00DF10D6" w:rsidP="00043806">
      <w:pPr>
        <w:pStyle w:val="FootnoteText"/>
        <w:rPr>
          <w:color w:val="auto"/>
          <w:sz w:val="18"/>
          <w:szCs w:val="18"/>
          <w:lang w:val="en-AU"/>
        </w:rPr>
      </w:pPr>
      <w:r w:rsidRPr="00EB4FEE">
        <w:rPr>
          <w:color w:val="595959" w:themeColor="text1" w:themeTint="A6"/>
          <w:sz w:val="18"/>
          <w:szCs w:val="18"/>
          <w:vertAlign w:val="superscript"/>
          <w:lang w:val="en-AU"/>
        </w:rPr>
        <w:footnoteRef/>
      </w:r>
      <w:r w:rsidRPr="009B5EAF">
        <w:rPr>
          <w:color w:val="595959" w:themeColor="text1" w:themeTint="A6"/>
          <w:sz w:val="18"/>
          <w:szCs w:val="18"/>
          <w:lang w:val="en-AU"/>
        </w:rPr>
        <w:t xml:space="preserve"> DFAT. </w:t>
      </w:r>
      <w:r w:rsidRPr="009B5EAF">
        <w:rPr>
          <w:i/>
          <w:color w:val="595959" w:themeColor="text1" w:themeTint="A6"/>
          <w:sz w:val="18"/>
          <w:szCs w:val="18"/>
          <w:lang w:val="en-AU"/>
        </w:rPr>
        <w:t>DFAT Monitoring and Evaluation Standards</w:t>
      </w:r>
      <w:r>
        <w:rPr>
          <w:color w:val="595959" w:themeColor="text1" w:themeTint="A6"/>
          <w:sz w:val="18"/>
          <w:szCs w:val="18"/>
          <w:lang w:val="en-AU"/>
        </w:rPr>
        <w:t>. April 2017.</w:t>
      </w:r>
      <w:r w:rsidRPr="009B5EAF">
        <w:rPr>
          <w:color w:val="595959" w:themeColor="text1" w:themeTint="A6"/>
          <w:sz w:val="18"/>
          <w:szCs w:val="18"/>
          <w:lang w:val="en-AU"/>
        </w:rPr>
        <w:t xml:space="preserve"> https://dfat.gov.au/about-us/publications/Documents/monitoring-evaluation-standards.pdf</w:t>
      </w:r>
    </w:p>
  </w:footnote>
  <w:footnote w:id="20">
    <w:p w:rsidR="00DF10D6" w:rsidRPr="00D556C8" w:rsidRDefault="00DF10D6">
      <w:pPr>
        <w:pStyle w:val="FootnoteText"/>
        <w:rPr>
          <w:color w:val="595959" w:themeColor="text1" w:themeTint="A6"/>
          <w:sz w:val="18"/>
          <w:szCs w:val="18"/>
          <w:lang w:val="en-AU"/>
        </w:rPr>
      </w:pPr>
      <w:r w:rsidRPr="00D556C8">
        <w:rPr>
          <w:rStyle w:val="FootnoteReference"/>
          <w:color w:val="595959" w:themeColor="text1" w:themeTint="A6"/>
          <w:sz w:val="18"/>
          <w:szCs w:val="18"/>
        </w:rPr>
        <w:footnoteRef/>
      </w:r>
      <w:r w:rsidRPr="00D556C8">
        <w:rPr>
          <w:color w:val="595959" w:themeColor="text1" w:themeTint="A6"/>
          <w:sz w:val="18"/>
          <w:szCs w:val="18"/>
        </w:rPr>
        <w:t xml:space="preserve"> </w:t>
      </w:r>
      <w:r w:rsidRPr="00D556C8">
        <w:rPr>
          <w:color w:val="595959" w:themeColor="text1" w:themeTint="A6"/>
          <w:sz w:val="18"/>
          <w:szCs w:val="18"/>
          <w:lang w:val="en-AU"/>
        </w:rPr>
        <w:t>Wirawan, MA</w:t>
      </w:r>
      <w:r>
        <w:rPr>
          <w:color w:val="595959" w:themeColor="text1" w:themeTint="A6"/>
          <w:sz w:val="18"/>
          <w:szCs w:val="18"/>
          <w:lang w:val="en-AU"/>
        </w:rPr>
        <w:t xml:space="preserve">. </w:t>
      </w:r>
      <w:r w:rsidRPr="00D556C8">
        <w:rPr>
          <w:color w:val="595959" w:themeColor="text1" w:themeTint="A6"/>
          <w:sz w:val="18"/>
          <w:szCs w:val="18"/>
          <w:lang w:val="en-AU"/>
        </w:rPr>
        <w:t>Public health responses to climate change health impacts in Indonesia</w:t>
      </w:r>
      <w:r>
        <w:rPr>
          <w:color w:val="595959" w:themeColor="text1" w:themeTint="A6"/>
          <w:sz w:val="18"/>
          <w:szCs w:val="18"/>
          <w:lang w:val="en-AU"/>
        </w:rPr>
        <w:t xml:space="preserve">. </w:t>
      </w:r>
      <w:r w:rsidRPr="00D556C8">
        <w:rPr>
          <w:i/>
          <w:color w:val="595959" w:themeColor="text1" w:themeTint="A6"/>
          <w:sz w:val="18"/>
          <w:szCs w:val="18"/>
          <w:lang w:val="en-AU"/>
        </w:rPr>
        <w:t>Asia Pacific Journal of Public Health</w:t>
      </w:r>
      <w:r w:rsidRPr="00D556C8">
        <w:rPr>
          <w:color w:val="595959" w:themeColor="text1" w:themeTint="A6"/>
          <w:sz w:val="18"/>
          <w:szCs w:val="18"/>
          <w:lang w:val="en-AU"/>
        </w:rPr>
        <w:t xml:space="preserve"> 2010</w:t>
      </w:r>
      <w:r w:rsidRPr="0002771E">
        <w:rPr>
          <w:color w:val="595959" w:themeColor="text1" w:themeTint="A6"/>
          <w:sz w:val="18"/>
          <w:szCs w:val="18"/>
          <w:lang w:val="en-AU"/>
        </w:rPr>
        <w:t>: 22(1): 25-31</w:t>
      </w:r>
      <w:r w:rsidRPr="00D556C8">
        <w:rPr>
          <w:color w:val="595959" w:themeColor="text1" w:themeTint="A6"/>
          <w:sz w:val="18"/>
          <w:szCs w:val="18"/>
          <w:lang w:val="en-AU"/>
        </w:rPr>
        <w:t>.</w:t>
      </w:r>
    </w:p>
  </w:footnote>
  <w:footnote w:id="21">
    <w:p w:rsidR="00DF10D6" w:rsidRPr="00D556C8" w:rsidRDefault="00DF10D6">
      <w:pPr>
        <w:pStyle w:val="FootnoteText"/>
        <w:rPr>
          <w:lang w:val="en-AU"/>
        </w:rPr>
      </w:pPr>
      <w:r w:rsidRPr="00D556C8">
        <w:rPr>
          <w:rStyle w:val="FootnoteReference"/>
          <w:color w:val="595959" w:themeColor="text1" w:themeTint="A6"/>
          <w:sz w:val="18"/>
          <w:szCs w:val="18"/>
        </w:rPr>
        <w:footnoteRef/>
      </w:r>
      <w:r w:rsidRPr="00D556C8">
        <w:rPr>
          <w:color w:val="595959" w:themeColor="text1" w:themeTint="A6"/>
          <w:sz w:val="18"/>
          <w:szCs w:val="18"/>
        </w:rPr>
        <w:t xml:space="preserve"> </w:t>
      </w:r>
      <w:r w:rsidRPr="00D556C8">
        <w:rPr>
          <w:color w:val="595959" w:themeColor="text1" w:themeTint="A6"/>
          <w:sz w:val="18"/>
          <w:szCs w:val="18"/>
          <w:lang w:val="en-AU"/>
        </w:rPr>
        <w:t>Haryanto B</w:t>
      </w:r>
      <w:r>
        <w:rPr>
          <w:color w:val="595959" w:themeColor="text1" w:themeTint="A6"/>
          <w:sz w:val="18"/>
          <w:szCs w:val="18"/>
          <w:lang w:val="en-AU"/>
        </w:rPr>
        <w:t xml:space="preserve">. </w:t>
      </w:r>
      <w:r w:rsidRPr="00D556C8">
        <w:rPr>
          <w:color w:val="595959" w:themeColor="text1" w:themeTint="A6"/>
          <w:sz w:val="18"/>
          <w:szCs w:val="18"/>
          <w:lang w:val="en-AU"/>
        </w:rPr>
        <w:t>Health Adaptation Scenario and Dengue Fever Vulnerability Asse</w:t>
      </w:r>
      <w:r w:rsidRPr="0002771E">
        <w:rPr>
          <w:color w:val="595959" w:themeColor="text1" w:themeTint="A6"/>
          <w:sz w:val="18"/>
          <w:szCs w:val="18"/>
          <w:lang w:val="en-AU"/>
        </w:rPr>
        <w:t>ssment in Indonesia</w:t>
      </w:r>
      <w:r>
        <w:rPr>
          <w:color w:val="595959" w:themeColor="text1" w:themeTint="A6"/>
          <w:sz w:val="18"/>
          <w:szCs w:val="18"/>
          <w:lang w:val="en-AU"/>
        </w:rPr>
        <w:t xml:space="preserve">. </w:t>
      </w:r>
      <w:r w:rsidRPr="0002771E">
        <w:rPr>
          <w:color w:val="595959" w:themeColor="text1" w:themeTint="A6"/>
          <w:sz w:val="18"/>
          <w:szCs w:val="18"/>
          <w:lang w:val="en-AU"/>
        </w:rPr>
        <w:t>In</w:t>
      </w:r>
      <w:r w:rsidRPr="00D556C8">
        <w:rPr>
          <w:color w:val="595959" w:themeColor="text1" w:themeTint="A6"/>
          <w:sz w:val="18"/>
          <w:szCs w:val="18"/>
          <w:lang w:val="en-AU"/>
        </w:rPr>
        <w:t xml:space="preserve"> R Akhtar (ed.) </w:t>
      </w:r>
      <w:r w:rsidRPr="00D556C8">
        <w:rPr>
          <w:i/>
          <w:color w:val="595959" w:themeColor="text1" w:themeTint="A6"/>
          <w:sz w:val="18"/>
          <w:szCs w:val="18"/>
          <w:lang w:val="en-AU"/>
        </w:rPr>
        <w:t>Climate Change and Human Health Scenario in South and Southeast Asia</w:t>
      </w:r>
      <w:r>
        <w:rPr>
          <w:color w:val="595959" w:themeColor="text1" w:themeTint="A6"/>
          <w:sz w:val="18"/>
          <w:szCs w:val="18"/>
          <w:lang w:val="en-AU"/>
        </w:rPr>
        <w:t xml:space="preserve">. </w:t>
      </w:r>
      <w:r w:rsidRPr="00D556C8">
        <w:rPr>
          <w:color w:val="595959" w:themeColor="text1" w:themeTint="A6"/>
          <w:sz w:val="18"/>
          <w:szCs w:val="18"/>
          <w:lang w:val="en-AU"/>
        </w:rPr>
        <w:t>Springer</w:t>
      </w:r>
      <w:r>
        <w:rPr>
          <w:color w:val="595959" w:themeColor="text1" w:themeTint="A6"/>
          <w:sz w:val="18"/>
          <w:szCs w:val="18"/>
          <w:lang w:val="en-AU"/>
        </w:rPr>
        <w: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B5B" w:rsidRDefault="00511B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0D6" w:rsidRPr="00B11680" w:rsidRDefault="00DF10D6" w:rsidP="00B11680">
    <w:pPr>
      <w:pStyle w:val="Header"/>
    </w:pPr>
    <w:r w:rsidRPr="00943730">
      <w:fldChar w:fldCharType="begin"/>
    </w:r>
    <w:r w:rsidRPr="00943730">
      <w:instrText xml:space="preserve"> DATE  \@ "MMMM yyyy"  \* MERGEFORMAT </w:instrText>
    </w:r>
    <w:r w:rsidRPr="00943730">
      <w:fldChar w:fldCharType="separate"/>
    </w:r>
    <w:r w:rsidR="00511B5B">
      <w:rPr>
        <w:noProof/>
      </w:rPr>
      <w:t>July 2020</w:t>
    </w:r>
    <w:r w:rsidRPr="00943730">
      <w:fldChar w:fldCharType="end"/>
    </w:r>
    <w:r w:rsidRPr="00943730">
      <w:rPr>
        <w:noProof/>
        <w:lang w:val="en-AU" w:eastAsia="en-AU"/>
      </w:rPr>
      <w:drawing>
        <wp:anchor distT="0" distB="0" distL="114300" distR="114300" simplePos="0" relativeHeight="251659264" behindDoc="1" locked="1" layoutInCell="1" allowOverlap="1" wp14:anchorId="525B446B" wp14:editId="750A1A6F">
          <wp:simplePos x="0" y="0"/>
          <wp:positionH relativeFrom="page">
            <wp:posOffset>-1064895</wp:posOffset>
          </wp:positionH>
          <wp:positionV relativeFrom="page">
            <wp:posOffset>-39370</wp:posOffset>
          </wp:positionV>
          <wp:extent cx="10773410" cy="10692130"/>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773410" cy="10692130"/>
                  </a:xfrm>
                  <a:prstGeom prst="rect">
                    <a:avLst/>
                  </a:prstGeom>
                </pic:spPr>
              </pic:pic>
            </a:graphicData>
          </a:graphic>
          <wp14:sizeRelH relativeFrom="margin">
            <wp14:pctWidth>0</wp14:pctWidth>
          </wp14:sizeRelH>
          <wp14:sizeRelV relativeFrom="margin">
            <wp14:pctHeight>0</wp14:pctHeight>
          </wp14:sizeRelV>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0D6" w:rsidRPr="00943730" w:rsidRDefault="00DF10D6" w:rsidP="00943730">
    <w:pPr>
      <w:pStyle w:val="Header"/>
    </w:pPr>
    <w:r w:rsidRPr="00943730">
      <w:fldChar w:fldCharType="begin"/>
    </w:r>
    <w:r w:rsidRPr="00943730">
      <w:instrText xml:space="preserve"> DATE  \@ "MMMM yyyy"  \* MERGEFORMAT </w:instrText>
    </w:r>
    <w:r w:rsidRPr="00943730">
      <w:fldChar w:fldCharType="separate"/>
    </w:r>
    <w:r w:rsidR="00511B5B">
      <w:rPr>
        <w:noProof/>
      </w:rPr>
      <w:t>July 2020</w:t>
    </w:r>
    <w:r w:rsidRPr="00943730">
      <w:fldChar w:fldCharType="end"/>
    </w:r>
    <w:r w:rsidRPr="00943730">
      <w:rPr>
        <w:noProof/>
        <w:lang w:val="en-AU" w:eastAsia="en-AU"/>
      </w:rPr>
      <w:drawing>
        <wp:anchor distT="0" distB="0" distL="114300" distR="114300" simplePos="0" relativeHeight="251656192" behindDoc="1" locked="1" layoutInCell="1" allowOverlap="1" wp14:anchorId="2F069040" wp14:editId="5047CE18">
          <wp:simplePos x="0" y="0"/>
          <wp:positionH relativeFrom="page">
            <wp:posOffset>-850265</wp:posOffset>
          </wp:positionH>
          <wp:positionV relativeFrom="page">
            <wp:posOffset>47625</wp:posOffset>
          </wp:positionV>
          <wp:extent cx="9298940" cy="106229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9298940" cy="10622915"/>
                  </a:xfrm>
                  <a:prstGeom prst="rect">
                    <a:avLst/>
                  </a:prstGeom>
                </pic:spPr>
              </pic:pic>
            </a:graphicData>
          </a:graphic>
          <wp14:sizeRelH relativeFrom="margin">
            <wp14:pctWidth>0</wp14:pctWidth>
          </wp14:sizeRelH>
          <wp14:sizeRelV relativeFrom="margin">
            <wp14:pctHeight>0</wp14:pctHeight>
          </wp14:sizeRelV>
        </wp:anchor>
      </w:drawing>
    </w: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0D6" w:rsidRPr="00B11680" w:rsidRDefault="00DF10D6" w:rsidP="00B11680">
    <w:pPr>
      <w:pStyle w:val="Header"/>
    </w:pPr>
    <w:r w:rsidRPr="00943730">
      <w:fldChar w:fldCharType="begin"/>
    </w:r>
    <w:r w:rsidRPr="00943730">
      <w:instrText xml:space="preserve"> DATE  \@ "MMMM yyyy"  \* MERGEFORMAT </w:instrText>
    </w:r>
    <w:r w:rsidRPr="00943730">
      <w:fldChar w:fldCharType="separate"/>
    </w:r>
    <w:r w:rsidR="00511B5B">
      <w:rPr>
        <w:noProof/>
      </w:rPr>
      <w:t>July 2020</w:t>
    </w:r>
    <w:r w:rsidRPr="00943730">
      <w:fldChar w:fldCharType="end"/>
    </w:r>
    <w:r w:rsidRPr="00943730">
      <w:rPr>
        <w:noProof/>
        <w:lang w:val="en-AU" w:eastAsia="en-AU"/>
      </w:rPr>
      <w:drawing>
        <wp:anchor distT="0" distB="0" distL="114300" distR="114300" simplePos="0" relativeHeight="251663360" behindDoc="1" locked="1" layoutInCell="1" allowOverlap="1" wp14:anchorId="23D8D534" wp14:editId="3B06567B">
          <wp:simplePos x="0" y="0"/>
          <wp:positionH relativeFrom="page">
            <wp:posOffset>-850265</wp:posOffset>
          </wp:positionH>
          <wp:positionV relativeFrom="page">
            <wp:posOffset>39370</wp:posOffset>
          </wp:positionV>
          <wp:extent cx="9271000" cy="10692130"/>
          <wp:effectExtent l="0" t="0" r="635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9271000" cy="10692130"/>
                  </a:xfrm>
                  <a:prstGeom prst="rect">
                    <a:avLst/>
                  </a:prstGeom>
                </pic:spPr>
              </pic:pic>
            </a:graphicData>
          </a:graphic>
          <wp14:sizeRelH relativeFrom="margin">
            <wp14:pctWidth>0</wp14:pctWidth>
          </wp14:sizeRelH>
          <wp14:sizeRelV relativeFrom="margin">
            <wp14:pctHeight>0</wp14:pctHeight>
          </wp14:sizeRelV>
        </wp:anchor>
      </w:drawing>
    </w:r>
    <w:r>
      <w:tab/>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0D6" w:rsidRPr="00943730" w:rsidRDefault="00DF10D6" w:rsidP="00943730">
    <w:pPr>
      <w:pStyle w:val="Header"/>
    </w:pPr>
    <w:r w:rsidRPr="00943730">
      <w:fldChar w:fldCharType="begin"/>
    </w:r>
    <w:r w:rsidRPr="00943730">
      <w:instrText xml:space="preserve"> DATE  \@ "MMMM yyyy"  \* MERGEFORMAT </w:instrText>
    </w:r>
    <w:r w:rsidRPr="00943730">
      <w:fldChar w:fldCharType="separate"/>
    </w:r>
    <w:r w:rsidR="00511B5B">
      <w:rPr>
        <w:noProof/>
      </w:rPr>
      <w:t>July 2020</w:t>
    </w:r>
    <w:r w:rsidRPr="00943730">
      <w:fldChar w:fldCharType="end"/>
    </w:r>
    <w:r w:rsidRPr="00943730">
      <w:rPr>
        <w:noProof/>
        <w:lang w:val="en-AU" w:eastAsia="en-AU"/>
      </w:rPr>
      <w:drawing>
        <wp:anchor distT="0" distB="0" distL="114300" distR="114300" simplePos="0" relativeHeight="251661312" behindDoc="1" locked="1" layoutInCell="1" allowOverlap="1" wp14:anchorId="55256D59" wp14:editId="17E0DDEE">
          <wp:simplePos x="0" y="0"/>
          <wp:positionH relativeFrom="page">
            <wp:posOffset>-850265</wp:posOffset>
          </wp:positionH>
          <wp:positionV relativeFrom="page">
            <wp:posOffset>47625</wp:posOffset>
          </wp:positionV>
          <wp:extent cx="9298940" cy="10622915"/>
          <wp:effectExtent l="0" t="0" r="0" b="698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9298940" cy="10622915"/>
                  </a:xfrm>
                  <a:prstGeom prst="rect">
                    <a:avLst/>
                  </a:prstGeom>
                </pic:spPr>
              </pic:pic>
            </a:graphicData>
          </a:graphic>
          <wp14:sizeRelH relativeFrom="margin">
            <wp14:pctWidth>0</wp14:pctWidth>
          </wp14:sizeRelH>
          <wp14:sizeRelV relativeFrom="margin">
            <wp14:pctHeight>0</wp14:pctHeight>
          </wp14:sizeRelV>
        </wp:anchor>
      </w:drawing>
    </w:r>
    <w:r>
      <w:tab/>
    </w: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0D6" w:rsidRPr="00943730" w:rsidRDefault="00DF10D6" w:rsidP="00943730">
    <w:pPr>
      <w:pStyle w:val="Header"/>
    </w:pPr>
    <w:r w:rsidRPr="00943730">
      <w:fldChar w:fldCharType="begin"/>
    </w:r>
    <w:r w:rsidRPr="00943730">
      <w:instrText xml:space="preserve"> DATE  \@ "MMMM yyyy"  \* MERGEFORMAT </w:instrText>
    </w:r>
    <w:r w:rsidRPr="00943730">
      <w:fldChar w:fldCharType="separate"/>
    </w:r>
    <w:r w:rsidR="00511B5B">
      <w:rPr>
        <w:noProof/>
      </w:rPr>
      <w:t>July 2020</w:t>
    </w:r>
    <w:r w:rsidRPr="00943730">
      <w:fldChar w:fldCharType="end"/>
    </w:r>
    <w:r w:rsidRPr="00943730">
      <w:rPr>
        <w:noProof/>
        <w:lang w:val="en-AU" w:eastAsia="en-AU"/>
      </w:rPr>
      <w:drawing>
        <wp:anchor distT="0" distB="0" distL="114300" distR="114300" simplePos="0" relativeHeight="251665408" behindDoc="1" locked="1" layoutInCell="1" allowOverlap="1" wp14:anchorId="76E3A94C" wp14:editId="53052CA1">
          <wp:simplePos x="0" y="0"/>
          <wp:positionH relativeFrom="page">
            <wp:posOffset>-1041400</wp:posOffset>
          </wp:positionH>
          <wp:positionV relativeFrom="page">
            <wp:posOffset>31115</wp:posOffset>
          </wp:positionV>
          <wp:extent cx="10327640" cy="10622915"/>
          <wp:effectExtent l="0" t="0" r="0" b="698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327640" cy="10622915"/>
                  </a:xfrm>
                  <a:prstGeom prst="rect">
                    <a:avLst/>
                  </a:prstGeom>
                </pic:spPr>
              </pic:pic>
            </a:graphicData>
          </a:graphic>
          <wp14:sizeRelH relativeFrom="margin">
            <wp14:pctWidth>0</wp14:pctWidth>
          </wp14:sizeRelH>
          <wp14:sizeRelV relativeFrom="margin">
            <wp14:pctHeight>0</wp14:pctHeight>
          </wp14:sizeRelV>
        </wp:anchor>
      </w:drawing>
    </w:r>
    <w:r>
      <w:tab/>
    </w:r>
    <w: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0D6" w:rsidRPr="00943730" w:rsidRDefault="00DF10D6" w:rsidP="00943730">
    <w:pPr>
      <w:pStyle w:val="Header"/>
    </w:pPr>
    <w:r w:rsidRPr="00943730">
      <w:fldChar w:fldCharType="begin"/>
    </w:r>
    <w:r w:rsidRPr="00943730">
      <w:instrText xml:space="preserve"> DATE  \@ "MMMM yyyy"  \* MERGEFORMAT </w:instrText>
    </w:r>
    <w:r w:rsidRPr="00943730">
      <w:fldChar w:fldCharType="separate"/>
    </w:r>
    <w:r w:rsidR="00511B5B">
      <w:rPr>
        <w:noProof/>
      </w:rPr>
      <w:t>July 2020</w:t>
    </w:r>
    <w:r w:rsidRPr="00943730">
      <w:fldChar w:fldCharType="end"/>
    </w:r>
    <w:r w:rsidRPr="00943730">
      <w:rPr>
        <w:noProof/>
        <w:lang w:val="en-AU" w:eastAsia="en-AU"/>
      </w:rPr>
      <w:drawing>
        <wp:anchor distT="0" distB="0" distL="114300" distR="114300" simplePos="0" relativeHeight="251667456" behindDoc="1" locked="1" layoutInCell="1" allowOverlap="1" wp14:anchorId="7B6E8F94" wp14:editId="27D119FC">
          <wp:simplePos x="0" y="0"/>
          <wp:positionH relativeFrom="page">
            <wp:posOffset>-1311275</wp:posOffset>
          </wp:positionH>
          <wp:positionV relativeFrom="page">
            <wp:posOffset>31750</wp:posOffset>
          </wp:positionV>
          <wp:extent cx="12753340" cy="10622915"/>
          <wp:effectExtent l="0" t="0" r="0" b="69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2753340" cy="10622915"/>
                  </a:xfrm>
                  <a:prstGeom prst="rect">
                    <a:avLst/>
                  </a:prstGeom>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889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CE8E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92C3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41E3C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0DA35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9C62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A61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9A2B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CE94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781D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21661"/>
    <w:multiLevelType w:val="hybridMultilevel"/>
    <w:tmpl w:val="660A09AC"/>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03700E32"/>
    <w:multiLevelType w:val="multilevel"/>
    <w:tmpl w:val="7E58591E"/>
    <w:lvl w:ilvl="0">
      <w:start w:val="1"/>
      <w:numFmt w:val="decimal"/>
      <w:lvlText w:val="%1."/>
      <w:lvlJc w:val="left"/>
      <w:pPr>
        <w:ind w:left="720" w:hanging="360"/>
      </w:pPr>
      <w:rPr>
        <w:rFonts w:hint="default"/>
        <w:color w:val="FF000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05303F22"/>
    <w:multiLevelType w:val="multilevel"/>
    <w:tmpl w:val="5F9E944E"/>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05C761CF"/>
    <w:multiLevelType w:val="hybridMultilevel"/>
    <w:tmpl w:val="4086A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6437421"/>
    <w:multiLevelType w:val="hybridMultilevel"/>
    <w:tmpl w:val="D374C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9121718"/>
    <w:multiLevelType w:val="hybridMultilevel"/>
    <w:tmpl w:val="1ABE2B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0A3A0C3D"/>
    <w:multiLevelType w:val="hybridMultilevel"/>
    <w:tmpl w:val="48901E96"/>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8" w15:restartNumberingAfterBreak="0">
    <w:nsid w:val="0C1A611A"/>
    <w:multiLevelType w:val="multilevel"/>
    <w:tmpl w:val="B6DEF962"/>
    <w:lvl w:ilvl="0">
      <w:start w:val="1"/>
      <w:numFmt w:val="decimal"/>
      <w:lvlText w:val="%1."/>
      <w:lvlJc w:val="left"/>
      <w:pPr>
        <w:ind w:left="360" w:hanging="360"/>
      </w:pPr>
      <w:rPr>
        <w:rFonts w:asciiTheme="minorHAnsi" w:hAnsiTheme="minorHAnsi" w:cstheme="minorHAnsi" w:hint="default"/>
        <w:b w:val="0"/>
        <w:sz w:val="24"/>
      </w:rPr>
    </w:lvl>
    <w:lvl w:ilvl="1">
      <w:start w:val="1"/>
      <w:numFmt w:val="lowerRoman"/>
      <w:lvlText w:val="(%2)"/>
      <w:lvlJc w:val="left"/>
      <w:pPr>
        <w:ind w:left="858" w:hanging="432"/>
      </w:pPr>
      <w:rPr>
        <w:rFonts w:hint="default"/>
        <w:b w:val="0"/>
        <w:i w:val="0"/>
        <w:color w:val="auto"/>
        <w:sz w:val="24"/>
      </w:rPr>
    </w:lvl>
    <w:lvl w:ilvl="2">
      <w:start w:val="1"/>
      <w:numFmt w:val="lowerRoman"/>
      <w:lvlText w:val="(%3)"/>
      <w:lvlJc w:val="left"/>
      <w:pPr>
        <w:ind w:left="1781" w:hanging="504"/>
      </w:pPr>
      <w:rPr>
        <w:rFonts w:hint="default"/>
        <w:b w:val="0"/>
        <w:color w:val="FF0000"/>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04727BD"/>
    <w:multiLevelType w:val="hybridMultilevel"/>
    <w:tmpl w:val="FD58C04A"/>
    <w:lvl w:ilvl="0" w:tplc="34DC4C28">
      <w:start w:val="60"/>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0C640BB"/>
    <w:multiLevelType w:val="hybridMultilevel"/>
    <w:tmpl w:val="F8EAC3E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23" w15:restartNumberingAfterBreak="0">
    <w:nsid w:val="174C6AD7"/>
    <w:multiLevelType w:val="hybridMultilevel"/>
    <w:tmpl w:val="749050A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8425C83"/>
    <w:multiLevelType w:val="hybridMultilevel"/>
    <w:tmpl w:val="9E2ED9D6"/>
    <w:lvl w:ilvl="0" w:tplc="F65CD1B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8506F54"/>
    <w:multiLevelType w:val="hybridMultilevel"/>
    <w:tmpl w:val="098CA298"/>
    <w:lvl w:ilvl="0" w:tplc="54C2F7F4">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86E6690"/>
    <w:multiLevelType w:val="hybridMultilevel"/>
    <w:tmpl w:val="361C3344"/>
    <w:lvl w:ilvl="0" w:tplc="31167C70">
      <w:start w:val="50"/>
      <w:numFmt w:val="bullet"/>
      <w:lvlText w:val="-"/>
      <w:lvlJc w:val="left"/>
      <w:pPr>
        <w:ind w:left="1080" w:hanging="720"/>
      </w:pPr>
      <w:rPr>
        <w:rFonts w:ascii="Calibri" w:eastAsiaTheme="minorEastAsia" w:hAnsi="Calibri" w:cs="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E1B37D5"/>
    <w:multiLevelType w:val="hybridMultilevel"/>
    <w:tmpl w:val="621AD5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F2B798C"/>
    <w:multiLevelType w:val="hybridMultilevel"/>
    <w:tmpl w:val="69042CAC"/>
    <w:lvl w:ilvl="0" w:tplc="A120C8FE">
      <w:start w:val="1"/>
      <w:numFmt w:val="bullet"/>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29" w15:restartNumberingAfterBreak="0">
    <w:nsid w:val="1F984A05"/>
    <w:multiLevelType w:val="hybridMultilevel"/>
    <w:tmpl w:val="74E631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1C41B9D"/>
    <w:multiLevelType w:val="hybridMultilevel"/>
    <w:tmpl w:val="13ECB88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24B62678"/>
    <w:multiLevelType w:val="hybridMultilevel"/>
    <w:tmpl w:val="CFF43F9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25E61A31"/>
    <w:multiLevelType w:val="hybridMultilevel"/>
    <w:tmpl w:val="F204065A"/>
    <w:lvl w:ilvl="0" w:tplc="04C44B9A">
      <w:start w:val="1"/>
      <w:numFmt w:val="decimal"/>
      <w:lvlText w:val="%1."/>
      <w:lvlJc w:val="left"/>
      <w:pPr>
        <w:ind w:left="720" w:hanging="360"/>
      </w:pPr>
      <w:rPr>
        <w:color w:val="595959" w:themeColor="text1" w:themeTint="A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4" w15:restartNumberingAfterBreak="0">
    <w:nsid w:val="2DED0892"/>
    <w:multiLevelType w:val="hybridMultilevel"/>
    <w:tmpl w:val="05084FD8"/>
    <w:lvl w:ilvl="0" w:tplc="BFB40430">
      <w:start w:val="1"/>
      <w:numFmt w:val="bullet"/>
      <w:lvlText w:val=""/>
      <w:lvlJc w:val="left"/>
      <w:pPr>
        <w:tabs>
          <w:tab w:val="num" w:pos="927"/>
        </w:tabs>
        <w:ind w:left="927" w:hanging="360"/>
      </w:pPr>
      <w:rPr>
        <w:rFonts w:ascii="Symbol" w:hAnsi="Symbol" w:hint="default"/>
        <w:sz w:val="20"/>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31D736FB"/>
    <w:multiLevelType w:val="multilevel"/>
    <w:tmpl w:val="7CA8AED8"/>
    <w:lvl w:ilvl="0">
      <w:start w:val="3"/>
      <w:numFmt w:val="decimal"/>
      <w:lvlText w:val="%1."/>
      <w:lvlJc w:val="left"/>
      <w:pPr>
        <w:ind w:left="360" w:hanging="360"/>
      </w:pPr>
      <w:rPr>
        <w:rFonts w:cstheme="minorHAnsi" w:hint="default"/>
        <w:b/>
        <w:color w:val="495965" w:themeColor="text2"/>
      </w:rPr>
    </w:lvl>
    <w:lvl w:ilvl="1">
      <w:start w:val="1"/>
      <w:numFmt w:val="decimal"/>
      <w:lvlText w:val="%1.%2."/>
      <w:lvlJc w:val="left"/>
      <w:pPr>
        <w:ind w:left="360" w:hanging="360"/>
      </w:pPr>
      <w:rPr>
        <w:rFonts w:asciiTheme="minorHAnsi" w:hAnsiTheme="minorHAnsi" w:cstheme="minorHAnsi" w:hint="default"/>
        <w:b w:val="0"/>
        <w:i w:val="0"/>
        <w:sz w:val="22"/>
        <w:szCs w:val="22"/>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6" w15:restartNumberingAfterBreak="0">
    <w:nsid w:val="32436F17"/>
    <w:multiLevelType w:val="hybridMultilevel"/>
    <w:tmpl w:val="27684B7E"/>
    <w:lvl w:ilvl="0" w:tplc="D4763A5C">
      <w:start w:val="1"/>
      <w:numFmt w:val="bullet"/>
      <w:lvlText w:val=""/>
      <w:lvlJc w:val="left"/>
      <w:pPr>
        <w:ind w:left="720" w:hanging="360"/>
      </w:pPr>
      <w:rPr>
        <w:rFonts w:ascii="Wingdings" w:hAnsi="Wingdings" w:hint="default"/>
        <w:b/>
        <w:bCs/>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2F403F4"/>
    <w:multiLevelType w:val="hybridMultilevel"/>
    <w:tmpl w:val="AA3E9E62"/>
    <w:lvl w:ilvl="0" w:tplc="894A3B36">
      <w:start w:val="1"/>
      <w:numFmt w:val="bullet"/>
      <w:lvlText w:val="•"/>
      <w:lvlJc w:val="left"/>
      <w:pPr>
        <w:tabs>
          <w:tab w:val="num" w:pos="720"/>
        </w:tabs>
        <w:ind w:left="720" w:hanging="360"/>
      </w:pPr>
      <w:rPr>
        <w:rFonts w:ascii="Arial" w:hAnsi="Arial" w:hint="default"/>
      </w:rPr>
    </w:lvl>
    <w:lvl w:ilvl="1" w:tplc="02DC27E8" w:tentative="1">
      <w:start w:val="1"/>
      <w:numFmt w:val="bullet"/>
      <w:lvlText w:val="•"/>
      <w:lvlJc w:val="left"/>
      <w:pPr>
        <w:tabs>
          <w:tab w:val="num" w:pos="1440"/>
        </w:tabs>
        <w:ind w:left="1440" w:hanging="360"/>
      </w:pPr>
      <w:rPr>
        <w:rFonts w:ascii="Arial" w:hAnsi="Arial" w:hint="default"/>
      </w:rPr>
    </w:lvl>
    <w:lvl w:ilvl="2" w:tplc="33F22346" w:tentative="1">
      <w:start w:val="1"/>
      <w:numFmt w:val="bullet"/>
      <w:lvlText w:val="•"/>
      <w:lvlJc w:val="left"/>
      <w:pPr>
        <w:tabs>
          <w:tab w:val="num" w:pos="2160"/>
        </w:tabs>
        <w:ind w:left="2160" w:hanging="360"/>
      </w:pPr>
      <w:rPr>
        <w:rFonts w:ascii="Arial" w:hAnsi="Arial" w:hint="default"/>
      </w:rPr>
    </w:lvl>
    <w:lvl w:ilvl="3" w:tplc="87D211C4" w:tentative="1">
      <w:start w:val="1"/>
      <w:numFmt w:val="bullet"/>
      <w:lvlText w:val="•"/>
      <w:lvlJc w:val="left"/>
      <w:pPr>
        <w:tabs>
          <w:tab w:val="num" w:pos="2880"/>
        </w:tabs>
        <w:ind w:left="2880" w:hanging="360"/>
      </w:pPr>
      <w:rPr>
        <w:rFonts w:ascii="Arial" w:hAnsi="Arial" w:hint="default"/>
      </w:rPr>
    </w:lvl>
    <w:lvl w:ilvl="4" w:tplc="E35A9130" w:tentative="1">
      <w:start w:val="1"/>
      <w:numFmt w:val="bullet"/>
      <w:lvlText w:val="•"/>
      <w:lvlJc w:val="left"/>
      <w:pPr>
        <w:tabs>
          <w:tab w:val="num" w:pos="3600"/>
        </w:tabs>
        <w:ind w:left="3600" w:hanging="360"/>
      </w:pPr>
      <w:rPr>
        <w:rFonts w:ascii="Arial" w:hAnsi="Arial" w:hint="default"/>
      </w:rPr>
    </w:lvl>
    <w:lvl w:ilvl="5" w:tplc="4A60CDD4" w:tentative="1">
      <w:start w:val="1"/>
      <w:numFmt w:val="bullet"/>
      <w:lvlText w:val="•"/>
      <w:lvlJc w:val="left"/>
      <w:pPr>
        <w:tabs>
          <w:tab w:val="num" w:pos="4320"/>
        </w:tabs>
        <w:ind w:left="4320" w:hanging="360"/>
      </w:pPr>
      <w:rPr>
        <w:rFonts w:ascii="Arial" w:hAnsi="Arial" w:hint="default"/>
      </w:rPr>
    </w:lvl>
    <w:lvl w:ilvl="6" w:tplc="BA54D000" w:tentative="1">
      <w:start w:val="1"/>
      <w:numFmt w:val="bullet"/>
      <w:lvlText w:val="•"/>
      <w:lvlJc w:val="left"/>
      <w:pPr>
        <w:tabs>
          <w:tab w:val="num" w:pos="5040"/>
        </w:tabs>
        <w:ind w:left="5040" w:hanging="360"/>
      </w:pPr>
      <w:rPr>
        <w:rFonts w:ascii="Arial" w:hAnsi="Arial" w:hint="default"/>
      </w:rPr>
    </w:lvl>
    <w:lvl w:ilvl="7" w:tplc="293E835C" w:tentative="1">
      <w:start w:val="1"/>
      <w:numFmt w:val="bullet"/>
      <w:lvlText w:val="•"/>
      <w:lvlJc w:val="left"/>
      <w:pPr>
        <w:tabs>
          <w:tab w:val="num" w:pos="5760"/>
        </w:tabs>
        <w:ind w:left="5760" w:hanging="360"/>
      </w:pPr>
      <w:rPr>
        <w:rFonts w:ascii="Arial" w:hAnsi="Arial" w:hint="default"/>
      </w:rPr>
    </w:lvl>
    <w:lvl w:ilvl="8" w:tplc="C1BCFC4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335F10F9"/>
    <w:multiLevelType w:val="hybridMultilevel"/>
    <w:tmpl w:val="BA12B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6215A54"/>
    <w:multiLevelType w:val="hybridMultilevel"/>
    <w:tmpl w:val="7EBA15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AED4C97"/>
    <w:multiLevelType w:val="hybridMultilevel"/>
    <w:tmpl w:val="5380A5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B9747F8"/>
    <w:multiLevelType w:val="hybridMultilevel"/>
    <w:tmpl w:val="52AE3F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CD33401"/>
    <w:multiLevelType w:val="hybridMultilevel"/>
    <w:tmpl w:val="4D60CB8E"/>
    <w:lvl w:ilvl="0" w:tplc="457C3D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D120E80"/>
    <w:multiLevelType w:val="hybridMultilevel"/>
    <w:tmpl w:val="044AC9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1010F32"/>
    <w:multiLevelType w:val="multilevel"/>
    <w:tmpl w:val="3B9A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3E02314"/>
    <w:multiLevelType w:val="hybridMultilevel"/>
    <w:tmpl w:val="4F2A565C"/>
    <w:lvl w:ilvl="0" w:tplc="43EE97C8">
      <w:start w:val="2006"/>
      <w:numFmt w:val="bullet"/>
      <w:lvlText w:val="-"/>
      <w:lvlJc w:val="left"/>
      <w:pPr>
        <w:ind w:left="1080" w:hanging="72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503874"/>
    <w:multiLevelType w:val="hybridMultilevel"/>
    <w:tmpl w:val="DCD2F5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15:restartNumberingAfterBreak="0">
    <w:nsid w:val="47D211D8"/>
    <w:multiLevelType w:val="hybridMultilevel"/>
    <w:tmpl w:val="77A8093C"/>
    <w:lvl w:ilvl="0" w:tplc="BEA8C336">
      <w:start w:val="50"/>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A351E75"/>
    <w:multiLevelType w:val="hybridMultilevel"/>
    <w:tmpl w:val="A3BC0CB8"/>
    <w:lvl w:ilvl="0" w:tplc="AC967688">
      <w:start w:val="2006"/>
      <w:numFmt w:val="bullet"/>
      <w:lvlText w:val="-"/>
      <w:lvlJc w:val="left"/>
      <w:pPr>
        <w:ind w:left="1080" w:hanging="72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A36444E"/>
    <w:multiLevelType w:val="multilevel"/>
    <w:tmpl w:val="1CAC771A"/>
    <w:lvl w:ilvl="0">
      <w:start w:val="1"/>
      <w:numFmt w:val="decimal"/>
      <w:lvlText w:val="%1."/>
      <w:lvlJc w:val="left"/>
      <w:pPr>
        <w:ind w:left="360" w:hanging="360"/>
      </w:pPr>
      <w:rPr>
        <w:rFonts w:asciiTheme="minorHAnsi" w:hAnsiTheme="minorHAnsi" w:cstheme="minorHAnsi" w:hint="default"/>
        <w:b w:val="0"/>
        <w:sz w:val="24"/>
      </w:rPr>
    </w:lvl>
    <w:lvl w:ilvl="1">
      <w:start w:val="1"/>
      <w:numFmt w:val="decimal"/>
      <w:lvlText w:val="%1.%2."/>
      <w:lvlJc w:val="left"/>
      <w:pPr>
        <w:ind w:left="858" w:hanging="432"/>
      </w:pPr>
      <w:rPr>
        <w:rFonts w:asciiTheme="minorHAnsi" w:hAnsiTheme="minorHAnsi" w:cstheme="minorHAnsi" w:hint="default"/>
        <w:b w:val="0"/>
        <w:i w:val="0"/>
        <w:sz w:val="24"/>
      </w:rPr>
    </w:lvl>
    <w:lvl w:ilvl="2">
      <w:start w:val="1"/>
      <w:numFmt w:val="lowerLetter"/>
      <w:lvlText w:val="(%3)"/>
      <w:lvlJc w:val="left"/>
      <w:pPr>
        <w:ind w:left="1781" w:hanging="504"/>
      </w:pPr>
      <w:rPr>
        <w:rFonts w:hint="default"/>
        <w:b w:val="0"/>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AB255A2"/>
    <w:multiLevelType w:val="hybridMultilevel"/>
    <w:tmpl w:val="FBBC1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AE90F11"/>
    <w:multiLevelType w:val="hybridMultilevel"/>
    <w:tmpl w:val="7C1A66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4C9B13C2"/>
    <w:multiLevelType w:val="multilevel"/>
    <w:tmpl w:val="7E58591E"/>
    <w:lvl w:ilvl="0">
      <w:start w:val="1"/>
      <w:numFmt w:val="decimal"/>
      <w:lvlText w:val="%1."/>
      <w:lvlJc w:val="left"/>
      <w:pPr>
        <w:ind w:left="720" w:hanging="360"/>
      </w:pPr>
      <w:rPr>
        <w:rFonts w:hint="default"/>
        <w:color w:val="FF000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3" w15:restartNumberingAfterBreak="0">
    <w:nsid w:val="523F7455"/>
    <w:multiLevelType w:val="hybridMultilevel"/>
    <w:tmpl w:val="7F267D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65F407A"/>
    <w:multiLevelType w:val="hybridMultilevel"/>
    <w:tmpl w:val="8C1EBEEA"/>
    <w:lvl w:ilvl="0" w:tplc="AC469EE0">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5" w15:restartNumberingAfterBreak="0">
    <w:nsid w:val="56CF7A6B"/>
    <w:multiLevelType w:val="hybridMultilevel"/>
    <w:tmpl w:val="57886E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7C73517"/>
    <w:multiLevelType w:val="hybridMultilevel"/>
    <w:tmpl w:val="7AA47124"/>
    <w:lvl w:ilvl="0" w:tplc="270656F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58" w15:restartNumberingAfterBreak="0">
    <w:nsid w:val="599E47FF"/>
    <w:multiLevelType w:val="hybridMultilevel"/>
    <w:tmpl w:val="6ADC05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5D3C1EA7"/>
    <w:multiLevelType w:val="multilevel"/>
    <w:tmpl w:val="43428892"/>
    <w:numStyleLink w:val="BulletsList"/>
  </w:abstractNum>
  <w:abstractNum w:abstractNumId="6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61" w15:restartNumberingAfterBreak="0">
    <w:nsid w:val="62005F02"/>
    <w:multiLevelType w:val="multilevel"/>
    <w:tmpl w:val="CA9413E2"/>
    <w:lvl w:ilvl="0">
      <w:start w:val="1"/>
      <w:numFmt w:val="decimal"/>
      <w:pStyle w:val="CONLevel1"/>
      <w:lvlText w:val="%1."/>
      <w:lvlJc w:val="left"/>
      <w:pPr>
        <w:tabs>
          <w:tab w:val="num" w:pos="2280"/>
        </w:tabs>
        <w:ind w:left="2280" w:hanging="720"/>
      </w:pPr>
      <w:rPr>
        <w:rFonts w:ascii="Times New Roman" w:hAnsi="Times New Roman" w:hint="default"/>
        <w:b/>
        <w:i w:val="0"/>
        <w:sz w:val="24"/>
      </w:rPr>
    </w:lvl>
    <w:lvl w:ilvl="1">
      <w:start w:val="1"/>
      <w:numFmt w:val="decimal"/>
      <w:pStyle w:val="CONLevel11"/>
      <w:lvlText w:val="%1.%2"/>
      <w:lvlJc w:val="left"/>
      <w:pPr>
        <w:tabs>
          <w:tab w:val="num" w:pos="1699"/>
        </w:tabs>
        <w:ind w:left="1699" w:hanging="706"/>
      </w:pPr>
      <w:rPr>
        <w:rFonts w:ascii="Times New Roman" w:hAnsi="Times New Roman" w:hint="default"/>
        <w:b w:val="0"/>
        <w:i w:val="0"/>
        <w:sz w:val="24"/>
      </w:rPr>
    </w:lvl>
    <w:lvl w:ilvl="2">
      <w:start w:val="1"/>
      <w:numFmt w:val="lowerLetter"/>
      <w:pStyle w:val="CONLevela"/>
      <w:lvlText w:val="(%3)"/>
      <w:lvlJc w:val="left"/>
      <w:pPr>
        <w:tabs>
          <w:tab w:val="num" w:pos="4410"/>
        </w:tabs>
        <w:ind w:left="4410" w:hanging="720"/>
      </w:pPr>
      <w:rPr>
        <w:rFonts w:ascii="Times New Roman" w:hAnsi="Times New Roman" w:hint="default"/>
        <w:b w:val="0"/>
        <w:i w:val="0"/>
        <w:sz w:val="24"/>
      </w:rPr>
    </w:lvl>
    <w:lvl w:ilvl="3">
      <w:start w:val="1"/>
      <w:numFmt w:val="lowerRoman"/>
      <w:pStyle w:val="Leveli"/>
      <w:lvlText w:val="(%4)"/>
      <w:lvlJc w:val="left"/>
      <w:pPr>
        <w:tabs>
          <w:tab w:val="num" w:pos="2160"/>
        </w:tabs>
        <w:ind w:left="2160" w:hanging="720"/>
      </w:pPr>
      <w:rPr>
        <w:rFonts w:ascii="Times New Roman" w:hAnsi="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hint="default"/>
        <w:b w:val="0"/>
        <w:i w:val="0"/>
        <w:sz w:val="24"/>
      </w:rPr>
    </w:lvl>
    <w:lvl w:ilvl="5">
      <w:start w:val="1"/>
      <w:numFmt w:val="upperRoman"/>
      <w:pStyle w:val="CONLevelI"/>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2" w15:restartNumberingAfterBreak="0">
    <w:nsid w:val="63D5211E"/>
    <w:multiLevelType w:val="hybridMultilevel"/>
    <w:tmpl w:val="2FF40FF8"/>
    <w:lvl w:ilvl="0" w:tplc="04C44B9A">
      <w:start w:val="1"/>
      <w:numFmt w:val="decimal"/>
      <w:lvlText w:val="%1."/>
      <w:lvlJc w:val="left"/>
      <w:pPr>
        <w:ind w:left="720" w:hanging="360"/>
      </w:pPr>
      <w:rPr>
        <w:color w:val="595959" w:themeColor="text1" w:themeTint="A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7C70797"/>
    <w:multiLevelType w:val="hybridMultilevel"/>
    <w:tmpl w:val="B6D69DA6"/>
    <w:lvl w:ilvl="0" w:tplc="7B642ED6">
      <w:start w:val="1"/>
      <w:numFmt w:val="bullet"/>
      <w:pStyle w:val="Bullet1normal"/>
      <w:lvlText w:val=""/>
      <w:lvlJc w:val="left"/>
      <w:pPr>
        <w:ind w:left="720" w:hanging="360"/>
      </w:pPr>
      <w:rPr>
        <w:rFonts w:ascii="Symbol" w:hAnsi="Symbol" w:hint="default"/>
        <w:color w:val="003D44" w:themeColor="accent6" w:themeShade="80"/>
        <w:sz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8443DE3"/>
    <w:multiLevelType w:val="hybridMultilevel"/>
    <w:tmpl w:val="EBE414F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8B23EF0"/>
    <w:multiLevelType w:val="hybridMultilevel"/>
    <w:tmpl w:val="A8EE1CC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695C4C05"/>
    <w:multiLevelType w:val="hybridMultilevel"/>
    <w:tmpl w:val="1F40457E"/>
    <w:lvl w:ilvl="0" w:tplc="5498E72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9860046"/>
    <w:multiLevelType w:val="multilevel"/>
    <w:tmpl w:val="7E58591E"/>
    <w:lvl w:ilvl="0">
      <w:start w:val="1"/>
      <w:numFmt w:val="decimal"/>
      <w:lvlText w:val="%1."/>
      <w:lvlJc w:val="left"/>
      <w:pPr>
        <w:ind w:left="720" w:hanging="360"/>
      </w:pPr>
      <w:rPr>
        <w:rFonts w:hint="default"/>
        <w:color w:val="FF000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8" w15:restartNumberingAfterBreak="0">
    <w:nsid w:val="6AED63E2"/>
    <w:multiLevelType w:val="hybridMultilevel"/>
    <w:tmpl w:val="CC16F3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DD0061F"/>
    <w:multiLevelType w:val="multilevel"/>
    <w:tmpl w:val="0DDCF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EEE7EA9"/>
    <w:multiLevelType w:val="hybridMultilevel"/>
    <w:tmpl w:val="93E08474"/>
    <w:lvl w:ilvl="0" w:tplc="E2A6A814">
      <w:numFmt w:val="bullet"/>
      <w:lvlText w:val="-"/>
      <w:lvlJc w:val="left"/>
      <w:pPr>
        <w:ind w:left="1440" w:hanging="1440"/>
      </w:pPr>
      <w:rPr>
        <w:rFonts w:ascii="Calibri" w:eastAsiaTheme="minorEastAsia" w:hAnsi="Calibri"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2FA1FC4"/>
    <w:multiLevelType w:val="multilevel"/>
    <w:tmpl w:val="B616DC80"/>
    <w:lvl w:ilvl="0">
      <w:start w:val="10"/>
      <w:numFmt w:val="decimal"/>
      <w:lvlText w:val="%1."/>
      <w:lvlJc w:val="left"/>
      <w:pPr>
        <w:ind w:left="720" w:hanging="360"/>
      </w:pPr>
      <w:rPr>
        <w:rFonts w:hint="default"/>
        <w:color w:val="FF0000"/>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2"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3"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4" w15:restartNumberingAfterBreak="0">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5" w15:restartNumberingAfterBreak="0">
    <w:nsid w:val="7A9F70FC"/>
    <w:multiLevelType w:val="hybridMultilevel"/>
    <w:tmpl w:val="80EC6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B89097A"/>
    <w:multiLevelType w:val="hybridMultilevel"/>
    <w:tmpl w:val="8A008F38"/>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7BAB1EF9"/>
    <w:multiLevelType w:val="hybridMultilevel"/>
    <w:tmpl w:val="E0E42F9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7DA02887"/>
    <w:multiLevelType w:val="multilevel"/>
    <w:tmpl w:val="7E58591E"/>
    <w:lvl w:ilvl="0">
      <w:start w:val="1"/>
      <w:numFmt w:val="decimal"/>
      <w:lvlText w:val="%1."/>
      <w:lvlJc w:val="left"/>
      <w:pPr>
        <w:ind w:left="720" w:hanging="360"/>
      </w:pPr>
      <w:rPr>
        <w:rFonts w:hint="default"/>
        <w:color w:val="FF000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9" w15:restartNumberingAfterBreak="0">
    <w:nsid w:val="7F7A528B"/>
    <w:multiLevelType w:val="hybridMultilevel"/>
    <w:tmpl w:val="A39658C0"/>
    <w:lvl w:ilvl="0" w:tplc="7B640FF6">
      <w:start w:val="1"/>
      <w:numFmt w:val="bullet"/>
      <w:pStyle w:val="ListBullet"/>
      <w:lvlText w:val="›"/>
      <w:lvlJc w:val="left"/>
      <w:pPr>
        <w:ind w:left="644" w:hanging="360"/>
      </w:pPr>
      <w:rPr>
        <w:rFonts w:ascii="Times New Roman" w:hAnsi="Times New Roman" w:cs="Times New Roman" w:hint="default"/>
        <w:color w:val="auto"/>
        <w:position w:val="3"/>
      </w:rPr>
    </w:lvl>
    <w:lvl w:ilvl="1" w:tplc="FFFFFFFF">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80" w15:restartNumberingAfterBreak="0">
    <w:nsid w:val="7FF40927"/>
    <w:multiLevelType w:val="hybridMultilevel"/>
    <w:tmpl w:val="78CEEAA2"/>
    <w:lvl w:ilvl="0" w:tplc="D4763A5C">
      <w:start w:val="1"/>
      <w:numFmt w:val="bullet"/>
      <w:lvlText w:val=""/>
      <w:lvlJc w:val="left"/>
      <w:pPr>
        <w:ind w:left="360" w:hanging="360"/>
      </w:pPr>
      <w:rPr>
        <w:rFonts w:ascii="Wingdings" w:hAnsi="Wingdings" w:hint="default"/>
        <w:b/>
        <w:bCs/>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2"/>
  </w:num>
  <w:num w:numId="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57"/>
  </w:num>
  <w:num w:numId="10">
    <w:abstractNumId w:val="6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59"/>
  </w:num>
  <w:num w:numId="22">
    <w:abstractNumId w:val="33"/>
  </w:num>
  <w:num w:numId="23">
    <w:abstractNumId w:val="33"/>
  </w:num>
  <w:num w:numId="24">
    <w:abstractNumId w:val="59"/>
  </w:num>
  <w:num w:numId="25">
    <w:abstractNumId w:val="59"/>
  </w:num>
  <w:num w:numId="26">
    <w:abstractNumId w:val="59"/>
  </w:num>
  <w:num w:numId="27">
    <w:abstractNumId w:val="57"/>
  </w:num>
  <w:num w:numId="28">
    <w:abstractNumId w:val="16"/>
  </w:num>
  <w:num w:numId="29">
    <w:abstractNumId w:val="16"/>
  </w:num>
  <w:num w:numId="30">
    <w:abstractNumId w:val="16"/>
  </w:num>
  <w:num w:numId="31">
    <w:abstractNumId w:val="22"/>
  </w:num>
  <w:num w:numId="32">
    <w:abstractNumId w:val="73"/>
  </w:num>
  <w:num w:numId="33">
    <w:abstractNumId w:val="74"/>
  </w:num>
  <w:num w:numId="34">
    <w:abstractNumId w:val="79"/>
  </w:num>
  <w:num w:numId="35">
    <w:abstractNumId w:val="48"/>
  </w:num>
  <w:num w:numId="36">
    <w:abstractNumId w:val="70"/>
  </w:num>
  <w:num w:numId="37">
    <w:abstractNumId w:val="45"/>
  </w:num>
  <w:num w:numId="38">
    <w:abstractNumId w:val="56"/>
  </w:num>
  <w:num w:numId="39">
    <w:abstractNumId w:val="50"/>
  </w:num>
  <w:num w:numId="40">
    <w:abstractNumId w:val="26"/>
  </w:num>
  <w:num w:numId="41">
    <w:abstractNumId w:val="47"/>
  </w:num>
  <w:num w:numId="42">
    <w:abstractNumId w:val="23"/>
  </w:num>
  <w:num w:numId="43">
    <w:abstractNumId w:val="79"/>
  </w:num>
  <w:num w:numId="44">
    <w:abstractNumId w:val="79"/>
  </w:num>
  <w:num w:numId="45">
    <w:abstractNumId w:val="79"/>
  </w:num>
  <w:num w:numId="46">
    <w:abstractNumId w:val="76"/>
  </w:num>
  <w:num w:numId="47">
    <w:abstractNumId w:val="54"/>
  </w:num>
  <w:num w:numId="48">
    <w:abstractNumId w:val="24"/>
  </w:num>
  <w:num w:numId="49">
    <w:abstractNumId w:val="44"/>
  </w:num>
  <w:num w:numId="50">
    <w:abstractNumId w:val="53"/>
  </w:num>
  <w:num w:numId="51">
    <w:abstractNumId w:val="75"/>
  </w:num>
  <w:num w:numId="52">
    <w:abstractNumId w:val="68"/>
  </w:num>
  <w:num w:numId="53">
    <w:abstractNumId w:val="39"/>
  </w:num>
  <w:num w:numId="54">
    <w:abstractNumId w:val="46"/>
  </w:num>
  <w:num w:numId="55">
    <w:abstractNumId w:val="36"/>
  </w:num>
  <w:num w:numId="56">
    <w:abstractNumId w:val="80"/>
  </w:num>
  <w:num w:numId="57">
    <w:abstractNumId w:val="28"/>
  </w:num>
  <w:num w:numId="58">
    <w:abstractNumId w:val="11"/>
  </w:num>
  <w:num w:numId="59">
    <w:abstractNumId w:val="67"/>
  </w:num>
  <w:num w:numId="60">
    <w:abstractNumId w:val="78"/>
  </w:num>
  <w:num w:numId="61">
    <w:abstractNumId w:val="52"/>
  </w:num>
  <w:num w:numId="62">
    <w:abstractNumId w:val="71"/>
  </w:num>
  <w:num w:numId="63">
    <w:abstractNumId w:val="12"/>
  </w:num>
  <w:num w:numId="64">
    <w:abstractNumId w:val="17"/>
  </w:num>
  <w:num w:numId="65">
    <w:abstractNumId w:val="61"/>
  </w:num>
  <w:num w:numId="66">
    <w:abstractNumId w:val="66"/>
  </w:num>
  <w:num w:numId="67">
    <w:abstractNumId w:val="49"/>
  </w:num>
  <w:num w:numId="68">
    <w:abstractNumId w:val="42"/>
  </w:num>
  <w:num w:numId="69">
    <w:abstractNumId w:val="25"/>
  </w:num>
  <w:num w:numId="70">
    <w:abstractNumId w:val="18"/>
  </w:num>
  <w:num w:numId="71">
    <w:abstractNumId w:val="58"/>
  </w:num>
  <w:num w:numId="72">
    <w:abstractNumId w:val="27"/>
  </w:num>
  <w:num w:numId="73">
    <w:abstractNumId w:val="69"/>
  </w:num>
  <w:num w:numId="74">
    <w:abstractNumId w:val="34"/>
  </w:num>
  <w:num w:numId="75">
    <w:abstractNumId w:val="31"/>
  </w:num>
  <w:num w:numId="76">
    <w:abstractNumId w:val="65"/>
  </w:num>
  <w:num w:numId="77">
    <w:abstractNumId w:val="77"/>
  </w:num>
  <w:num w:numId="78">
    <w:abstractNumId w:val="21"/>
  </w:num>
  <w:num w:numId="79">
    <w:abstractNumId w:val="30"/>
  </w:num>
  <w:num w:numId="80">
    <w:abstractNumId w:val="63"/>
  </w:num>
  <w:num w:numId="81">
    <w:abstractNumId w:val="14"/>
  </w:num>
  <w:num w:numId="82">
    <w:abstractNumId w:val="13"/>
  </w:num>
  <w:num w:numId="83">
    <w:abstractNumId w:val="20"/>
  </w:num>
  <w:num w:numId="84">
    <w:abstractNumId w:val="10"/>
  </w:num>
  <w:num w:numId="85">
    <w:abstractNumId w:val="38"/>
  </w:num>
  <w:num w:numId="86">
    <w:abstractNumId w:val="51"/>
  </w:num>
  <w:num w:numId="87">
    <w:abstractNumId w:val="40"/>
  </w:num>
  <w:num w:numId="88">
    <w:abstractNumId w:val="43"/>
  </w:num>
  <w:num w:numId="89">
    <w:abstractNumId w:val="29"/>
  </w:num>
  <w:num w:numId="90">
    <w:abstractNumId w:val="15"/>
  </w:num>
  <w:num w:numId="91">
    <w:abstractNumId w:val="41"/>
  </w:num>
  <w:num w:numId="92">
    <w:abstractNumId w:val="62"/>
  </w:num>
  <w:num w:numId="93">
    <w:abstractNumId w:val="32"/>
  </w:num>
  <w:num w:numId="94">
    <w:abstractNumId w:val="37"/>
  </w:num>
  <w:num w:numId="95">
    <w:abstractNumId w:val="55"/>
  </w:num>
  <w:num w:numId="96">
    <w:abstractNumId w:val="64"/>
  </w:num>
  <w:num w:numId="97">
    <w:abstractNumId w:val="35"/>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D46"/>
    <w:rsid w:val="00001DA8"/>
    <w:rsid w:val="000020C1"/>
    <w:rsid w:val="0000256D"/>
    <w:rsid w:val="0000274B"/>
    <w:rsid w:val="0000321E"/>
    <w:rsid w:val="000070B0"/>
    <w:rsid w:val="000125A1"/>
    <w:rsid w:val="000175F5"/>
    <w:rsid w:val="0002080A"/>
    <w:rsid w:val="00025EB1"/>
    <w:rsid w:val="0002771E"/>
    <w:rsid w:val="0002782F"/>
    <w:rsid w:val="00030A47"/>
    <w:rsid w:val="000345AB"/>
    <w:rsid w:val="00035BBF"/>
    <w:rsid w:val="000360D9"/>
    <w:rsid w:val="00040DCE"/>
    <w:rsid w:val="00043806"/>
    <w:rsid w:val="00044F37"/>
    <w:rsid w:val="00045309"/>
    <w:rsid w:val="0004540D"/>
    <w:rsid w:val="00045DC0"/>
    <w:rsid w:val="000465C2"/>
    <w:rsid w:val="00050806"/>
    <w:rsid w:val="00051312"/>
    <w:rsid w:val="000530B4"/>
    <w:rsid w:val="000531A8"/>
    <w:rsid w:val="00054254"/>
    <w:rsid w:val="000546D9"/>
    <w:rsid w:val="00054E4D"/>
    <w:rsid w:val="00057A18"/>
    <w:rsid w:val="00060073"/>
    <w:rsid w:val="000616C6"/>
    <w:rsid w:val="00063855"/>
    <w:rsid w:val="000642FE"/>
    <w:rsid w:val="00070B4A"/>
    <w:rsid w:val="00070E78"/>
    <w:rsid w:val="00077792"/>
    <w:rsid w:val="00077AAB"/>
    <w:rsid w:val="000810A3"/>
    <w:rsid w:val="00083406"/>
    <w:rsid w:val="00084FEB"/>
    <w:rsid w:val="000854FD"/>
    <w:rsid w:val="00095B8E"/>
    <w:rsid w:val="000975BE"/>
    <w:rsid w:val="000975E8"/>
    <w:rsid w:val="000A55C4"/>
    <w:rsid w:val="000A57D0"/>
    <w:rsid w:val="000A6D9A"/>
    <w:rsid w:val="000B1F0C"/>
    <w:rsid w:val="000B37F5"/>
    <w:rsid w:val="000B3D37"/>
    <w:rsid w:val="000B3FE8"/>
    <w:rsid w:val="000B69AD"/>
    <w:rsid w:val="000C1D52"/>
    <w:rsid w:val="000C22ED"/>
    <w:rsid w:val="000C3BA6"/>
    <w:rsid w:val="000C45EC"/>
    <w:rsid w:val="000C56AE"/>
    <w:rsid w:val="000C66E2"/>
    <w:rsid w:val="000C6A6D"/>
    <w:rsid w:val="000C7C14"/>
    <w:rsid w:val="000D2D76"/>
    <w:rsid w:val="000D3305"/>
    <w:rsid w:val="000D47FF"/>
    <w:rsid w:val="000D6654"/>
    <w:rsid w:val="000D6682"/>
    <w:rsid w:val="000D66D6"/>
    <w:rsid w:val="000E40E7"/>
    <w:rsid w:val="000E543B"/>
    <w:rsid w:val="000E7960"/>
    <w:rsid w:val="000F162D"/>
    <w:rsid w:val="000F2F58"/>
    <w:rsid w:val="000F6754"/>
    <w:rsid w:val="000F71BF"/>
    <w:rsid w:val="00100146"/>
    <w:rsid w:val="00102201"/>
    <w:rsid w:val="00104434"/>
    <w:rsid w:val="00110BC9"/>
    <w:rsid w:val="00111113"/>
    <w:rsid w:val="001126AC"/>
    <w:rsid w:val="001126F9"/>
    <w:rsid w:val="00112748"/>
    <w:rsid w:val="00113288"/>
    <w:rsid w:val="001145F9"/>
    <w:rsid w:val="00120A8C"/>
    <w:rsid w:val="00120E03"/>
    <w:rsid w:val="001214BE"/>
    <w:rsid w:val="0012213F"/>
    <w:rsid w:val="00123237"/>
    <w:rsid w:val="0012387C"/>
    <w:rsid w:val="0013101C"/>
    <w:rsid w:val="0014073A"/>
    <w:rsid w:val="0014242B"/>
    <w:rsid w:val="00142AD8"/>
    <w:rsid w:val="00144BAA"/>
    <w:rsid w:val="00145397"/>
    <w:rsid w:val="00145C98"/>
    <w:rsid w:val="001461D6"/>
    <w:rsid w:val="001504BF"/>
    <w:rsid w:val="001541EA"/>
    <w:rsid w:val="00154834"/>
    <w:rsid w:val="00154DA0"/>
    <w:rsid w:val="00157A5C"/>
    <w:rsid w:val="00162056"/>
    <w:rsid w:val="001620C9"/>
    <w:rsid w:val="00164C17"/>
    <w:rsid w:val="00170CC8"/>
    <w:rsid w:val="001719A5"/>
    <w:rsid w:val="00171A57"/>
    <w:rsid w:val="00172432"/>
    <w:rsid w:val="00175D11"/>
    <w:rsid w:val="00177261"/>
    <w:rsid w:val="00180E67"/>
    <w:rsid w:val="00181CD9"/>
    <w:rsid w:val="00183EBB"/>
    <w:rsid w:val="00184AED"/>
    <w:rsid w:val="00185716"/>
    <w:rsid w:val="00190768"/>
    <w:rsid w:val="00196B0E"/>
    <w:rsid w:val="001A12FC"/>
    <w:rsid w:val="001A27F7"/>
    <w:rsid w:val="001A5322"/>
    <w:rsid w:val="001A57CB"/>
    <w:rsid w:val="001B0F91"/>
    <w:rsid w:val="001B1A1C"/>
    <w:rsid w:val="001B2156"/>
    <w:rsid w:val="001B2CE3"/>
    <w:rsid w:val="001B4A25"/>
    <w:rsid w:val="001B5632"/>
    <w:rsid w:val="001C104C"/>
    <w:rsid w:val="001C3661"/>
    <w:rsid w:val="001C4257"/>
    <w:rsid w:val="001C5AB0"/>
    <w:rsid w:val="001D1579"/>
    <w:rsid w:val="001D1FFB"/>
    <w:rsid w:val="001D28AC"/>
    <w:rsid w:val="001D2A7D"/>
    <w:rsid w:val="001D2BE6"/>
    <w:rsid w:val="001D663E"/>
    <w:rsid w:val="001E13E2"/>
    <w:rsid w:val="001E1C6C"/>
    <w:rsid w:val="001E1DC0"/>
    <w:rsid w:val="001E3C42"/>
    <w:rsid w:val="001E4070"/>
    <w:rsid w:val="001E5B47"/>
    <w:rsid w:val="001E6519"/>
    <w:rsid w:val="001E7194"/>
    <w:rsid w:val="001F11A4"/>
    <w:rsid w:val="001F1B2E"/>
    <w:rsid w:val="001F3580"/>
    <w:rsid w:val="00202AA4"/>
    <w:rsid w:val="00203277"/>
    <w:rsid w:val="002039FA"/>
    <w:rsid w:val="00204B9E"/>
    <w:rsid w:val="00205B24"/>
    <w:rsid w:val="002065BC"/>
    <w:rsid w:val="00207810"/>
    <w:rsid w:val="00210B70"/>
    <w:rsid w:val="00213F6E"/>
    <w:rsid w:val="00215729"/>
    <w:rsid w:val="002167AE"/>
    <w:rsid w:val="00220801"/>
    <w:rsid w:val="0022191F"/>
    <w:rsid w:val="00221CB6"/>
    <w:rsid w:val="00225133"/>
    <w:rsid w:val="00225936"/>
    <w:rsid w:val="00227FC3"/>
    <w:rsid w:val="00230A9F"/>
    <w:rsid w:val="002328FC"/>
    <w:rsid w:val="00241D53"/>
    <w:rsid w:val="00252C04"/>
    <w:rsid w:val="00253FF8"/>
    <w:rsid w:val="002549BA"/>
    <w:rsid w:val="00254F6B"/>
    <w:rsid w:val="00256AB6"/>
    <w:rsid w:val="00256ACD"/>
    <w:rsid w:val="00260581"/>
    <w:rsid w:val="00261499"/>
    <w:rsid w:val="00263EF2"/>
    <w:rsid w:val="002646FF"/>
    <w:rsid w:val="0026571D"/>
    <w:rsid w:val="002664DC"/>
    <w:rsid w:val="00271BC0"/>
    <w:rsid w:val="00272061"/>
    <w:rsid w:val="0027222F"/>
    <w:rsid w:val="00274574"/>
    <w:rsid w:val="00276389"/>
    <w:rsid w:val="00276447"/>
    <w:rsid w:val="0028602A"/>
    <w:rsid w:val="00286647"/>
    <w:rsid w:val="002870D5"/>
    <w:rsid w:val="00287DEF"/>
    <w:rsid w:val="0029468B"/>
    <w:rsid w:val="00295D90"/>
    <w:rsid w:val="002A06F7"/>
    <w:rsid w:val="002A0CF8"/>
    <w:rsid w:val="002A29DF"/>
    <w:rsid w:val="002A3A6B"/>
    <w:rsid w:val="002A3C75"/>
    <w:rsid w:val="002A60A3"/>
    <w:rsid w:val="002A739B"/>
    <w:rsid w:val="002A7C55"/>
    <w:rsid w:val="002B0B92"/>
    <w:rsid w:val="002B343A"/>
    <w:rsid w:val="002B5E10"/>
    <w:rsid w:val="002B71BF"/>
    <w:rsid w:val="002C080B"/>
    <w:rsid w:val="002C47DC"/>
    <w:rsid w:val="002C6614"/>
    <w:rsid w:val="002C793D"/>
    <w:rsid w:val="002D30FB"/>
    <w:rsid w:val="002D5B25"/>
    <w:rsid w:val="002D68FD"/>
    <w:rsid w:val="002E069D"/>
    <w:rsid w:val="002E1DE7"/>
    <w:rsid w:val="002E3EBD"/>
    <w:rsid w:val="002F4F2B"/>
    <w:rsid w:val="002F71B3"/>
    <w:rsid w:val="002F7ED6"/>
    <w:rsid w:val="003002C0"/>
    <w:rsid w:val="00301144"/>
    <w:rsid w:val="00303134"/>
    <w:rsid w:val="003031C6"/>
    <w:rsid w:val="00304984"/>
    <w:rsid w:val="00304FD0"/>
    <w:rsid w:val="00305395"/>
    <w:rsid w:val="00305C15"/>
    <w:rsid w:val="003076E2"/>
    <w:rsid w:val="00312BF8"/>
    <w:rsid w:val="00313FA3"/>
    <w:rsid w:val="003148B7"/>
    <w:rsid w:val="003149E0"/>
    <w:rsid w:val="0031581E"/>
    <w:rsid w:val="003158C3"/>
    <w:rsid w:val="00320945"/>
    <w:rsid w:val="003211E0"/>
    <w:rsid w:val="00321408"/>
    <w:rsid w:val="00321869"/>
    <w:rsid w:val="00322DAF"/>
    <w:rsid w:val="003247B1"/>
    <w:rsid w:val="003252B4"/>
    <w:rsid w:val="003255CC"/>
    <w:rsid w:val="003274CD"/>
    <w:rsid w:val="003330E1"/>
    <w:rsid w:val="00333501"/>
    <w:rsid w:val="00335079"/>
    <w:rsid w:val="00340266"/>
    <w:rsid w:val="003415DD"/>
    <w:rsid w:val="003457BA"/>
    <w:rsid w:val="003457C4"/>
    <w:rsid w:val="00346390"/>
    <w:rsid w:val="00347DEB"/>
    <w:rsid w:val="00350331"/>
    <w:rsid w:val="00350C73"/>
    <w:rsid w:val="0035119D"/>
    <w:rsid w:val="0035143D"/>
    <w:rsid w:val="00351B5C"/>
    <w:rsid w:val="0035290E"/>
    <w:rsid w:val="00352A08"/>
    <w:rsid w:val="0035342E"/>
    <w:rsid w:val="00353F3D"/>
    <w:rsid w:val="00355929"/>
    <w:rsid w:val="00356345"/>
    <w:rsid w:val="00357D69"/>
    <w:rsid w:val="00363370"/>
    <w:rsid w:val="00364439"/>
    <w:rsid w:val="0037083D"/>
    <w:rsid w:val="00370E31"/>
    <w:rsid w:val="00372C89"/>
    <w:rsid w:val="00376D94"/>
    <w:rsid w:val="00384D40"/>
    <w:rsid w:val="00391012"/>
    <w:rsid w:val="00391FFA"/>
    <w:rsid w:val="0039344A"/>
    <w:rsid w:val="00393B74"/>
    <w:rsid w:val="00394517"/>
    <w:rsid w:val="00394F83"/>
    <w:rsid w:val="00395163"/>
    <w:rsid w:val="003A0CE9"/>
    <w:rsid w:val="003A2331"/>
    <w:rsid w:val="003A24AE"/>
    <w:rsid w:val="003A4AE5"/>
    <w:rsid w:val="003A79C1"/>
    <w:rsid w:val="003B1EAA"/>
    <w:rsid w:val="003B24F2"/>
    <w:rsid w:val="003B2D8B"/>
    <w:rsid w:val="003B4F12"/>
    <w:rsid w:val="003B6144"/>
    <w:rsid w:val="003C4425"/>
    <w:rsid w:val="003C4C20"/>
    <w:rsid w:val="003C6473"/>
    <w:rsid w:val="003C68DD"/>
    <w:rsid w:val="003C7580"/>
    <w:rsid w:val="003E28B1"/>
    <w:rsid w:val="003E380F"/>
    <w:rsid w:val="003E5180"/>
    <w:rsid w:val="003E791E"/>
    <w:rsid w:val="003F0C80"/>
    <w:rsid w:val="003F0EB6"/>
    <w:rsid w:val="003F1494"/>
    <w:rsid w:val="003F14C6"/>
    <w:rsid w:val="003F16C3"/>
    <w:rsid w:val="003F2033"/>
    <w:rsid w:val="003F2041"/>
    <w:rsid w:val="003F71CC"/>
    <w:rsid w:val="00402ACC"/>
    <w:rsid w:val="00407D29"/>
    <w:rsid w:val="00411C46"/>
    <w:rsid w:val="004120EC"/>
    <w:rsid w:val="00412958"/>
    <w:rsid w:val="00415EE2"/>
    <w:rsid w:val="00416533"/>
    <w:rsid w:val="00423F31"/>
    <w:rsid w:val="00431899"/>
    <w:rsid w:val="0043356C"/>
    <w:rsid w:val="00433A2D"/>
    <w:rsid w:val="00437E34"/>
    <w:rsid w:val="0044141B"/>
    <w:rsid w:val="00442055"/>
    <w:rsid w:val="004433DB"/>
    <w:rsid w:val="00445056"/>
    <w:rsid w:val="00451188"/>
    <w:rsid w:val="00454A77"/>
    <w:rsid w:val="00455A64"/>
    <w:rsid w:val="00456B44"/>
    <w:rsid w:val="00456D7B"/>
    <w:rsid w:val="0046057C"/>
    <w:rsid w:val="00460F1C"/>
    <w:rsid w:val="00465F29"/>
    <w:rsid w:val="0046702E"/>
    <w:rsid w:val="004709D9"/>
    <w:rsid w:val="0047630A"/>
    <w:rsid w:val="00477E16"/>
    <w:rsid w:val="00477EDF"/>
    <w:rsid w:val="00482AE8"/>
    <w:rsid w:val="004854AB"/>
    <w:rsid w:val="00486804"/>
    <w:rsid w:val="00486B9F"/>
    <w:rsid w:val="00487299"/>
    <w:rsid w:val="004874F1"/>
    <w:rsid w:val="004916C4"/>
    <w:rsid w:val="00492553"/>
    <w:rsid w:val="00494255"/>
    <w:rsid w:val="004962D8"/>
    <w:rsid w:val="004A266A"/>
    <w:rsid w:val="004A4A09"/>
    <w:rsid w:val="004B1BB6"/>
    <w:rsid w:val="004B204B"/>
    <w:rsid w:val="004B3775"/>
    <w:rsid w:val="004B3A27"/>
    <w:rsid w:val="004B3EEE"/>
    <w:rsid w:val="004B4144"/>
    <w:rsid w:val="004B5B25"/>
    <w:rsid w:val="004B7DED"/>
    <w:rsid w:val="004C3499"/>
    <w:rsid w:val="004C523A"/>
    <w:rsid w:val="004C5DBD"/>
    <w:rsid w:val="004D0BA0"/>
    <w:rsid w:val="004D696A"/>
    <w:rsid w:val="004E058F"/>
    <w:rsid w:val="004E3664"/>
    <w:rsid w:val="004E3B87"/>
    <w:rsid w:val="004E61DB"/>
    <w:rsid w:val="004E6B5A"/>
    <w:rsid w:val="004F2553"/>
    <w:rsid w:val="004F2EF6"/>
    <w:rsid w:val="004F4B7F"/>
    <w:rsid w:val="004F5EEA"/>
    <w:rsid w:val="004F774C"/>
    <w:rsid w:val="0050392A"/>
    <w:rsid w:val="005077C8"/>
    <w:rsid w:val="00510921"/>
    <w:rsid w:val="00510AD3"/>
    <w:rsid w:val="0051138A"/>
    <w:rsid w:val="00511B5B"/>
    <w:rsid w:val="0051254F"/>
    <w:rsid w:val="00513348"/>
    <w:rsid w:val="00513AD8"/>
    <w:rsid w:val="0051492D"/>
    <w:rsid w:val="00517D47"/>
    <w:rsid w:val="005204D2"/>
    <w:rsid w:val="00520A22"/>
    <w:rsid w:val="00522396"/>
    <w:rsid w:val="00523162"/>
    <w:rsid w:val="00523C42"/>
    <w:rsid w:val="00524B7A"/>
    <w:rsid w:val="005250E6"/>
    <w:rsid w:val="005274B3"/>
    <w:rsid w:val="00533B5D"/>
    <w:rsid w:val="00535D18"/>
    <w:rsid w:val="00537C66"/>
    <w:rsid w:val="005401A7"/>
    <w:rsid w:val="00542597"/>
    <w:rsid w:val="00550469"/>
    <w:rsid w:val="00552DB7"/>
    <w:rsid w:val="00553FD3"/>
    <w:rsid w:val="00556171"/>
    <w:rsid w:val="005571A6"/>
    <w:rsid w:val="00560B32"/>
    <w:rsid w:val="00562277"/>
    <w:rsid w:val="0056281F"/>
    <w:rsid w:val="00563A7C"/>
    <w:rsid w:val="00565541"/>
    <w:rsid w:val="0057006C"/>
    <w:rsid w:val="005707F0"/>
    <w:rsid w:val="00571C46"/>
    <w:rsid w:val="00572498"/>
    <w:rsid w:val="00573F3C"/>
    <w:rsid w:val="00583112"/>
    <w:rsid w:val="00585F58"/>
    <w:rsid w:val="00587FC7"/>
    <w:rsid w:val="0059166D"/>
    <w:rsid w:val="00591997"/>
    <w:rsid w:val="00593C95"/>
    <w:rsid w:val="00594650"/>
    <w:rsid w:val="00597029"/>
    <w:rsid w:val="00597429"/>
    <w:rsid w:val="0059785D"/>
    <w:rsid w:val="005A1165"/>
    <w:rsid w:val="005A20F6"/>
    <w:rsid w:val="005A681E"/>
    <w:rsid w:val="005A6A7D"/>
    <w:rsid w:val="005B43D1"/>
    <w:rsid w:val="005B5FE2"/>
    <w:rsid w:val="005C1BEE"/>
    <w:rsid w:val="005C6EFA"/>
    <w:rsid w:val="005D3655"/>
    <w:rsid w:val="005D5EC4"/>
    <w:rsid w:val="005D6787"/>
    <w:rsid w:val="005E4830"/>
    <w:rsid w:val="005E4BB0"/>
    <w:rsid w:val="005E50AE"/>
    <w:rsid w:val="005E5192"/>
    <w:rsid w:val="005F2A43"/>
    <w:rsid w:val="005F7200"/>
    <w:rsid w:val="00603B8F"/>
    <w:rsid w:val="00604A49"/>
    <w:rsid w:val="00605C0F"/>
    <w:rsid w:val="00610898"/>
    <w:rsid w:val="00611F53"/>
    <w:rsid w:val="0061215C"/>
    <w:rsid w:val="00617B45"/>
    <w:rsid w:val="006225BD"/>
    <w:rsid w:val="00622B86"/>
    <w:rsid w:val="0062352C"/>
    <w:rsid w:val="00623BA1"/>
    <w:rsid w:val="00624E73"/>
    <w:rsid w:val="006256F3"/>
    <w:rsid w:val="00632963"/>
    <w:rsid w:val="0063328F"/>
    <w:rsid w:val="00633623"/>
    <w:rsid w:val="006346BC"/>
    <w:rsid w:val="006354E5"/>
    <w:rsid w:val="006365AD"/>
    <w:rsid w:val="00636D6E"/>
    <w:rsid w:val="0064162B"/>
    <w:rsid w:val="00643B91"/>
    <w:rsid w:val="0064443A"/>
    <w:rsid w:val="00646DD2"/>
    <w:rsid w:val="00650281"/>
    <w:rsid w:val="00657FA3"/>
    <w:rsid w:val="006620A0"/>
    <w:rsid w:val="00662C7E"/>
    <w:rsid w:val="0066652A"/>
    <w:rsid w:val="00666EFD"/>
    <w:rsid w:val="006719C3"/>
    <w:rsid w:val="00672B4B"/>
    <w:rsid w:val="0067418C"/>
    <w:rsid w:val="00680522"/>
    <w:rsid w:val="00682167"/>
    <w:rsid w:val="00683CB2"/>
    <w:rsid w:val="00684D67"/>
    <w:rsid w:val="00686714"/>
    <w:rsid w:val="00687605"/>
    <w:rsid w:val="00694677"/>
    <w:rsid w:val="006962CB"/>
    <w:rsid w:val="006A3A9A"/>
    <w:rsid w:val="006A546B"/>
    <w:rsid w:val="006A6C46"/>
    <w:rsid w:val="006A71B8"/>
    <w:rsid w:val="006B0A5F"/>
    <w:rsid w:val="006B19D8"/>
    <w:rsid w:val="006B7525"/>
    <w:rsid w:val="006C046C"/>
    <w:rsid w:val="006C1C2C"/>
    <w:rsid w:val="006C3359"/>
    <w:rsid w:val="006C42AF"/>
    <w:rsid w:val="006C5172"/>
    <w:rsid w:val="006C7825"/>
    <w:rsid w:val="006D05D9"/>
    <w:rsid w:val="006D1B16"/>
    <w:rsid w:val="006D31F7"/>
    <w:rsid w:val="006D510C"/>
    <w:rsid w:val="006D5CB9"/>
    <w:rsid w:val="006E0DF8"/>
    <w:rsid w:val="006E1ECF"/>
    <w:rsid w:val="006E3009"/>
    <w:rsid w:val="006F016D"/>
    <w:rsid w:val="006F29F9"/>
    <w:rsid w:val="006F2B2E"/>
    <w:rsid w:val="00701372"/>
    <w:rsid w:val="00703BC6"/>
    <w:rsid w:val="00704061"/>
    <w:rsid w:val="00705640"/>
    <w:rsid w:val="0071045F"/>
    <w:rsid w:val="007111EC"/>
    <w:rsid w:val="00711D8E"/>
    <w:rsid w:val="00712672"/>
    <w:rsid w:val="00712CF7"/>
    <w:rsid w:val="007155ED"/>
    <w:rsid w:val="00720F2C"/>
    <w:rsid w:val="00721933"/>
    <w:rsid w:val="00721A5F"/>
    <w:rsid w:val="00722EBE"/>
    <w:rsid w:val="00725FE1"/>
    <w:rsid w:val="0072601F"/>
    <w:rsid w:val="00726CF2"/>
    <w:rsid w:val="0072719D"/>
    <w:rsid w:val="007309EC"/>
    <w:rsid w:val="00734B4D"/>
    <w:rsid w:val="00734E3F"/>
    <w:rsid w:val="00736985"/>
    <w:rsid w:val="0074163B"/>
    <w:rsid w:val="00742ECA"/>
    <w:rsid w:val="00743CF2"/>
    <w:rsid w:val="00744B7C"/>
    <w:rsid w:val="007455A9"/>
    <w:rsid w:val="00745DF5"/>
    <w:rsid w:val="007465D2"/>
    <w:rsid w:val="007500AC"/>
    <w:rsid w:val="00752FAA"/>
    <w:rsid w:val="00753998"/>
    <w:rsid w:val="0075399D"/>
    <w:rsid w:val="00753F65"/>
    <w:rsid w:val="00753FE5"/>
    <w:rsid w:val="0076066C"/>
    <w:rsid w:val="00762452"/>
    <w:rsid w:val="0076250F"/>
    <w:rsid w:val="00765ACD"/>
    <w:rsid w:val="0076622D"/>
    <w:rsid w:val="00771275"/>
    <w:rsid w:val="00776C6E"/>
    <w:rsid w:val="007809A4"/>
    <w:rsid w:val="00780BFC"/>
    <w:rsid w:val="00780FA5"/>
    <w:rsid w:val="00781406"/>
    <w:rsid w:val="00794BDF"/>
    <w:rsid w:val="00794C57"/>
    <w:rsid w:val="00795383"/>
    <w:rsid w:val="00796BE5"/>
    <w:rsid w:val="007975C4"/>
    <w:rsid w:val="00797D23"/>
    <w:rsid w:val="007A374A"/>
    <w:rsid w:val="007A3FDA"/>
    <w:rsid w:val="007A5E5A"/>
    <w:rsid w:val="007A5F6C"/>
    <w:rsid w:val="007B213E"/>
    <w:rsid w:val="007B2C4E"/>
    <w:rsid w:val="007B3D1B"/>
    <w:rsid w:val="007B58D2"/>
    <w:rsid w:val="007B6200"/>
    <w:rsid w:val="007B62FD"/>
    <w:rsid w:val="007C089F"/>
    <w:rsid w:val="007C098F"/>
    <w:rsid w:val="007C3985"/>
    <w:rsid w:val="007C505D"/>
    <w:rsid w:val="007C65F8"/>
    <w:rsid w:val="007D029C"/>
    <w:rsid w:val="007D035A"/>
    <w:rsid w:val="007D4855"/>
    <w:rsid w:val="007D4CE4"/>
    <w:rsid w:val="007D7B41"/>
    <w:rsid w:val="007E1A21"/>
    <w:rsid w:val="007E46E4"/>
    <w:rsid w:val="007E5149"/>
    <w:rsid w:val="007E6DE6"/>
    <w:rsid w:val="007E7336"/>
    <w:rsid w:val="007F2AA0"/>
    <w:rsid w:val="007F310D"/>
    <w:rsid w:val="007F3395"/>
    <w:rsid w:val="007F62DF"/>
    <w:rsid w:val="007F75E2"/>
    <w:rsid w:val="00801B9F"/>
    <w:rsid w:val="0080204D"/>
    <w:rsid w:val="00802BD7"/>
    <w:rsid w:val="00805F56"/>
    <w:rsid w:val="00806CF3"/>
    <w:rsid w:val="008078B9"/>
    <w:rsid w:val="00810E90"/>
    <w:rsid w:val="008111A7"/>
    <w:rsid w:val="00813B81"/>
    <w:rsid w:val="008140E9"/>
    <w:rsid w:val="0081490C"/>
    <w:rsid w:val="0081553F"/>
    <w:rsid w:val="0082342C"/>
    <w:rsid w:val="00823E6F"/>
    <w:rsid w:val="00830850"/>
    <w:rsid w:val="008322CC"/>
    <w:rsid w:val="00846950"/>
    <w:rsid w:val="008475F0"/>
    <w:rsid w:val="0084790F"/>
    <w:rsid w:val="0085189E"/>
    <w:rsid w:val="00852280"/>
    <w:rsid w:val="00852EA1"/>
    <w:rsid w:val="0085429E"/>
    <w:rsid w:val="008552E8"/>
    <w:rsid w:val="008557A7"/>
    <w:rsid w:val="008563D9"/>
    <w:rsid w:val="00857220"/>
    <w:rsid w:val="00860533"/>
    <w:rsid w:val="00863BBB"/>
    <w:rsid w:val="00863E71"/>
    <w:rsid w:val="00866DCD"/>
    <w:rsid w:val="00867A7B"/>
    <w:rsid w:val="00870928"/>
    <w:rsid w:val="00871D92"/>
    <w:rsid w:val="00873691"/>
    <w:rsid w:val="00874680"/>
    <w:rsid w:val="008768BA"/>
    <w:rsid w:val="00880B3C"/>
    <w:rsid w:val="00881229"/>
    <w:rsid w:val="008821FD"/>
    <w:rsid w:val="00886C5F"/>
    <w:rsid w:val="00887827"/>
    <w:rsid w:val="008905BB"/>
    <w:rsid w:val="008935AA"/>
    <w:rsid w:val="008939EC"/>
    <w:rsid w:val="0089405C"/>
    <w:rsid w:val="0089778F"/>
    <w:rsid w:val="00897FA2"/>
    <w:rsid w:val="008A1497"/>
    <w:rsid w:val="008A1F01"/>
    <w:rsid w:val="008A3F70"/>
    <w:rsid w:val="008A56F7"/>
    <w:rsid w:val="008A5AFE"/>
    <w:rsid w:val="008A7BCA"/>
    <w:rsid w:val="008B589D"/>
    <w:rsid w:val="008B639E"/>
    <w:rsid w:val="008B752D"/>
    <w:rsid w:val="008C4F11"/>
    <w:rsid w:val="008C5A0E"/>
    <w:rsid w:val="008C6280"/>
    <w:rsid w:val="008D10E9"/>
    <w:rsid w:val="008D1859"/>
    <w:rsid w:val="008D6463"/>
    <w:rsid w:val="008D6780"/>
    <w:rsid w:val="008E1A1E"/>
    <w:rsid w:val="008E3163"/>
    <w:rsid w:val="008F6471"/>
    <w:rsid w:val="00902B8E"/>
    <w:rsid w:val="00906511"/>
    <w:rsid w:val="0091121E"/>
    <w:rsid w:val="00912829"/>
    <w:rsid w:val="009146F3"/>
    <w:rsid w:val="00914A19"/>
    <w:rsid w:val="00917548"/>
    <w:rsid w:val="00923D51"/>
    <w:rsid w:val="00924BEC"/>
    <w:rsid w:val="009256A3"/>
    <w:rsid w:val="009259F9"/>
    <w:rsid w:val="00932482"/>
    <w:rsid w:val="00933355"/>
    <w:rsid w:val="009336CF"/>
    <w:rsid w:val="00934426"/>
    <w:rsid w:val="00936E66"/>
    <w:rsid w:val="00943272"/>
    <w:rsid w:val="00943280"/>
    <w:rsid w:val="00943730"/>
    <w:rsid w:val="00944DB6"/>
    <w:rsid w:val="00945682"/>
    <w:rsid w:val="0094700A"/>
    <w:rsid w:val="00951309"/>
    <w:rsid w:val="009547F8"/>
    <w:rsid w:val="009552A5"/>
    <w:rsid w:val="00955D42"/>
    <w:rsid w:val="00956BA2"/>
    <w:rsid w:val="00961765"/>
    <w:rsid w:val="00963C90"/>
    <w:rsid w:val="00963FF6"/>
    <w:rsid w:val="00972397"/>
    <w:rsid w:val="00975CA5"/>
    <w:rsid w:val="00975F2E"/>
    <w:rsid w:val="0098112A"/>
    <w:rsid w:val="00981913"/>
    <w:rsid w:val="00986590"/>
    <w:rsid w:val="00987934"/>
    <w:rsid w:val="00992C76"/>
    <w:rsid w:val="0099560B"/>
    <w:rsid w:val="009969D6"/>
    <w:rsid w:val="009A03F0"/>
    <w:rsid w:val="009A2041"/>
    <w:rsid w:val="009A3625"/>
    <w:rsid w:val="009B1BF2"/>
    <w:rsid w:val="009B4D3B"/>
    <w:rsid w:val="009B56BF"/>
    <w:rsid w:val="009B5EAF"/>
    <w:rsid w:val="009B7019"/>
    <w:rsid w:val="009C1CE9"/>
    <w:rsid w:val="009C29BC"/>
    <w:rsid w:val="009C2B6D"/>
    <w:rsid w:val="009C2D83"/>
    <w:rsid w:val="009C5258"/>
    <w:rsid w:val="009C5D32"/>
    <w:rsid w:val="009C6F3C"/>
    <w:rsid w:val="009D029C"/>
    <w:rsid w:val="009D145A"/>
    <w:rsid w:val="009D3DAD"/>
    <w:rsid w:val="009D7407"/>
    <w:rsid w:val="009D76B8"/>
    <w:rsid w:val="009E0866"/>
    <w:rsid w:val="009E1BF7"/>
    <w:rsid w:val="009E273C"/>
    <w:rsid w:val="009E3DDE"/>
    <w:rsid w:val="009E5510"/>
    <w:rsid w:val="009E5B16"/>
    <w:rsid w:val="009E6298"/>
    <w:rsid w:val="009E6C14"/>
    <w:rsid w:val="009F030D"/>
    <w:rsid w:val="009F1350"/>
    <w:rsid w:val="009F360A"/>
    <w:rsid w:val="009F629E"/>
    <w:rsid w:val="009F6423"/>
    <w:rsid w:val="009F6DB5"/>
    <w:rsid w:val="00A002DA"/>
    <w:rsid w:val="00A0248C"/>
    <w:rsid w:val="00A07788"/>
    <w:rsid w:val="00A10B47"/>
    <w:rsid w:val="00A11643"/>
    <w:rsid w:val="00A118C4"/>
    <w:rsid w:val="00A11CF4"/>
    <w:rsid w:val="00A11F64"/>
    <w:rsid w:val="00A1779A"/>
    <w:rsid w:val="00A2103D"/>
    <w:rsid w:val="00A24A62"/>
    <w:rsid w:val="00A256D0"/>
    <w:rsid w:val="00A26279"/>
    <w:rsid w:val="00A27817"/>
    <w:rsid w:val="00A3083D"/>
    <w:rsid w:val="00A31519"/>
    <w:rsid w:val="00A31C9F"/>
    <w:rsid w:val="00A321CC"/>
    <w:rsid w:val="00A338B5"/>
    <w:rsid w:val="00A35D00"/>
    <w:rsid w:val="00A3601E"/>
    <w:rsid w:val="00A4144F"/>
    <w:rsid w:val="00A42A0C"/>
    <w:rsid w:val="00A43258"/>
    <w:rsid w:val="00A43641"/>
    <w:rsid w:val="00A45ED0"/>
    <w:rsid w:val="00A467B8"/>
    <w:rsid w:val="00A50044"/>
    <w:rsid w:val="00A5012B"/>
    <w:rsid w:val="00A561C9"/>
    <w:rsid w:val="00A579C5"/>
    <w:rsid w:val="00A61B4D"/>
    <w:rsid w:val="00A62314"/>
    <w:rsid w:val="00A64D3D"/>
    <w:rsid w:val="00A652E0"/>
    <w:rsid w:val="00A65459"/>
    <w:rsid w:val="00A74DB6"/>
    <w:rsid w:val="00A7740E"/>
    <w:rsid w:val="00A80F95"/>
    <w:rsid w:val="00A816E5"/>
    <w:rsid w:val="00A823D9"/>
    <w:rsid w:val="00A832D1"/>
    <w:rsid w:val="00A83F84"/>
    <w:rsid w:val="00A848ED"/>
    <w:rsid w:val="00A93914"/>
    <w:rsid w:val="00A93E78"/>
    <w:rsid w:val="00A97BF1"/>
    <w:rsid w:val="00AA298A"/>
    <w:rsid w:val="00AB4739"/>
    <w:rsid w:val="00AB51A3"/>
    <w:rsid w:val="00AB548E"/>
    <w:rsid w:val="00AC1550"/>
    <w:rsid w:val="00AC164A"/>
    <w:rsid w:val="00AC2F40"/>
    <w:rsid w:val="00AC691D"/>
    <w:rsid w:val="00AC72C2"/>
    <w:rsid w:val="00AD3138"/>
    <w:rsid w:val="00AD3A37"/>
    <w:rsid w:val="00AE1048"/>
    <w:rsid w:val="00AE179A"/>
    <w:rsid w:val="00AE4376"/>
    <w:rsid w:val="00AE448A"/>
    <w:rsid w:val="00AE50CC"/>
    <w:rsid w:val="00AE6283"/>
    <w:rsid w:val="00AE7259"/>
    <w:rsid w:val="00AF2050"/>
    <w:rsid w:val="00AF4D59"/>
    <w:rsid w:val="00AF6EB9"/>
    <w:rsid w:val="00B00F2C"/>
    <w:rsid w:val="00B02D7F"/>
    <w:rsid w:val="00B0382E"/>
    <w:rsid w:val="00B03CA8"/>
    <w:rsid w:val="00B0549F"/>
    <w:rsid w:val="00B072E1"/>
    <w:rsid w:val="00B07696"/>
    <w:rsid w:val="00B11680"/>
    <w:rsid w:val="00B12951"/>
    <w:rsid w:val="00B16A47"/>
    <w:rsid w:val="00B2179D"/>
    <w:rsid w:val="00B233E9"/>
    <w:rsid w:val="00B23ADB"/>
    <w:rsid w:val="00B26D65"/>
    <w:rsid w:val="00B30F4E"/>
    <w:rsid w:val="00B31EBF"/>
    <w:rsid w:val="00B32886"/>
    <w:rsid w:val="00B33C0A"/>
    <w:rsid w:val="00B345E1"/>
    <w:rsid w:val="00B35DB9"/>
    <w:rsid w:val="00B35DFA"/>
    <w:rsid w:val="00B35F43"/>
    <w:rsid w:val="00B36AF4"/>
    <w:rsid w:val="00B4045A"/>
    <w:rsid w:val="00B43E35"/>
    <w:rsid w:val="00B54437"/>
    <w:rsid w:val="00B55E19"/>
    <w:rsid w:val="00B55E68"/>
    <w:rsid w:val="00B56440"/>
    <w:rsid w:val="00B620BD"/>
    <w:rsid w:val="00B62931"/>
    <w:rsid w:val="00B64B72"/>
    <w:rsid w:val="00B67786"/>
    <w:rsid w:val="00B67EA2"/>
    <w:rsid w:val="00B738DD"/>
    <w:rsid w:val="00B779AC"/>
    <w:rsid w:val="00B81E5A"/>
    <w:rsid w:val="00B85F28"/>
    <w:rsid w:val="00B87D58"/>
    <w:rsid w:val="00B900C3"/>
    <w:rsid w:val="00B9045B"/>
    <w:rsid w:val="00B913C2"/>
    <w:rsid w:val="00B92485"/>
    <w:rsid w:val="00B93BFC"/>
    <w:rsid w:val="00B94758"/>
    <w:rsid w:val="00B948E8"/>
    <w:rsid w:val="00BA00DC"/>
    <w:rsid w:val="00BA0D4E"/>
    <w:rsid w:val="00BA0E34"/>
    <w:rsid w:val="00BA4578"/>
    <w:rsid w:val="00BA4B6D"/>
    <w:rsid w:val="00BB0E5C"/>
    <w:rsid w:val="00BB1A79"/>
    <w:rsid w:val="00BB26C5"/>
    <w:rsid w:val="00BB28F5"/>
    <w:rsid w:val="00BB2997"/>
    <w:rsid w:val="00BC0371"/>
    <w:rsid w:val="00BC367E"/>
    <w:rsid w:val="00BC556E"/>
    <w:rsid w:val="00BC5F2C"/>
    <w:rsid w:val="00BC7BAB"/>
    <w:rsid w:val="00BD2BB4"/>
    <w:rsid w:val="00BD33CA"/>
    <w:rsid w:val="00BD3CF5"/>
    <w:rsid w:val="00BD52B5"/>
    <w:rsid w:val="00BD5FF2"/>
    <w:rsid w:val="00BE255B"/>
    <w:rsid w:val="00BE3322"/>
    <w:rsid w:val="00BE6B25"/>
    <w:rsid w:val="00BF1C72"/>
    <w:rsid w:val="00BF2A8C"/>
    <w:rsid w:val="00BF2F0F"/>
    <w:rsid w:val="00BF4B78"/>
    <w:rsid w:val="00BF4DE6"/>
    <w:rsid w:val="00BF6C52"/>
    <w:rsid w:val="00C05582"/>
    <w:rsid w:val="00C06B13"/>
    <w:rsid w:val="00C076F7"/>
    <w:rsid w:val="00C1134F"/>
    <w:rsid w:val="00C1503F"/>
    <w:rsid w:val="00C16F59"/>
    <w:rsid w:val="00C20786"/>
    <w:rsid w:val="00C21F0B"/>
    <w:rsid w:val="00C23857"/>
    <w:rsid w:val="00C2496D"/>
    <w:rsid w:val="00C25945"/>
    <w:rsid w:val="00C25FEA"/>
    <w:rsid w:val="00C27D25"/>
    <w:rsid w:val="00C30579"/>
    <w:rsid w:val="00C31B9B"/>
    <w:rsid w:val="00C345A5"/>
    <w:rsid w:val="00C34877"/>
    <w:rsid w:val="00C353DD"/>
    <w:rsid w:val="00C36348"/>
    <w:rsid w:val="00C37680"/>
    <w:rsid w:val="00C42541"/>
    <w:rsid w:val="00C42CDE"/>
    <w:rsid w:val="00C44C28"/>
    <w:rsid w:val="00C45CC6"/>
    <w:rsid w:val="00C46945"/>
    <w:rsid w:val="00C477DD"/>
    <w:rsid w:val="00C5182A"/>
    <w:rsid w:val="00C51D70"/>
    <w:rsid w:val="00C52AF4"/>
    <w:rsid w:val="00C5794B"/>
    <w:rsid w:val="00C60F38"/>
    <w:rsid w:val="00C621E9"/>
    <w:rsid w:val="00C63EE9"/>
    <w:rsid w:val="00C651C0"/>
    <w:rsid w:val="00C66070"/>
    <w:rsid w:val="00C67235"/>
    <w:rsid w:val="00C672D5"/>
    <w:rsid w:val="00C67DFC"/>
    <w:rsid w:val="00C708E3"/>
    <w:rsid w:val="00C71AB2"/>
    <w:rsid w:val="00C71CF9"/>
    <w:rsid w:val="00C720AC"/>
    <w:rsid w:val="00C72347"/>
    <w:rsid w:val="00C75344"/>
    <w:rsid w:val="00C7788E"/>
    <w:rsid w:val="00C80F0D"/>
    <w:rsid w:val="00C83B0C"/>
    <w:rsid w:val="00C84CB8"/>
    <w:rsid w:val="00C96F6B"/>
    <w:rsid w:val="00C972DC"/>
    <w:rsid w:val="00CA0A41"/>
    <w:rsid w:val="00CA16F3"/>
    <w:rsid w:val="00CA37B1"/>
    <w:rsid w:val="00CA4B88"/>
    <w:rsid w:val="00CB1959"/>
    <w:rsid w:val="00CB527B"/>
    <w:rsid w:val="00CB597A"/>
    <w:rsid w:val="00CB5F0A"/>
    <w:rsid w:val="00CC2B6B"/>
    <w:rsid w:val="00CC4668"/>
    <w:rsid w:val="00CC6B60"/>
    <w:rsid w:val="00CC741B"/>
    <w:rsid w:val="00CD0E4B"/>
    <w:rsid w:val="00CD472B"/>
    <w:rsid w:val="00CD61B4"/>
    <w:rsid w:val="00CE182A"/>
    <w:rsid w:val="00CE2F87"/>
    <w:rsid w:val="00CE4146"/>
    <w:rsid w:val="00CE4C89"/>
    <w:rsid w:val="00CE78DA"/>
    <w:rsid w:val="00CF07BA"/>
    <w:rsid w:val="00CF45B2"/>
    <w:rsid w:val="00CF7326"/>
    <w:rsid w:val="00D0296C"/>
    <w:rsid w:val="00D02AD9"/>
    <w:rsid w:val="00D047EC"/>
    <w:rsid w:val="00D079B1"/>
    <w:rsid w:val="00D1545B"/>
    <w:rsid w:val="00D205BA"/>
    <w:rsid w:val="00D22B2E"/>
    <w:rsid w:val="00D24F8A"/>
    <w:rsid w:val="00D2648E"/>
    <w:rsid w:val="00D27E72"/>
    <w:rsid w:val="00D27F31"/>
    <w:rsid w:val="00D30917"/>
    <w:rsid w:val="00D31CEB"/>
    <w:rsid w:val="00D31E79"/>
    <w:rsid w:val="00D32D6F"/>
    <w:rsid w:val="00D37B04"/>
    <w:rsid w:val="00D40A5C"/>
    <w:rsid w:val="00D4243C"/>
    <w:rsid w:val="00D43EF9"/>
    <w:rsid w:val="00D44952"/>
    <w:rsid w:val="00D45D0B"/>
    <w:rsid w:val="00D46198"/>
    <w:rsid w:val="00D52609"/>
    <w:rsid w:val="00D53066"/>
    <w:rsid w:val="00D533EE"/>
    <w:rsid w:val="00D537C6"/>
    <w:rsid w:val="00D540C6"/>
    <w:rsid w:val="00D556C8"/>
    <w:rsid w:val="00D567CC"/>
    <w:rsid w:val="00D56A22"/>
    <w:rsid w:val="00D62757"/>
    <w:rsid w:val="00D62C3A"/>
    <w:rsid w:val="00D64BD1"/>
    <w:rsid w:val="00D70CDB"/>
    <w:rsid w:val="00D71029"/>
    <w:rsid w:val="00D77701"/>
    <w:rsid w:val="00D80244"/>
    <w:rsid w:val="00D8381D"/>
    <w:rsid w:val="00D874F1"/>
    <w:rsid w:val="00D92254"/>
    <w:rsid w:val="00D92C51"/>
    <w:rsid w:val="00D93425"/>
    <w:rsid w:val="00D93B9B"/>
    <w:rsid w:val="00D93CD9"/>
    <w:rsid w:val="00D941DE"/>
    <w:rsid w:val="00D97A89"/>
    <w:rsid w:val="00DA0AF7"/>
    <w:rsid w:val="00DA3E26"/>
    <w:rsid w:val="00DA67BF"/>
    <w:rsid w:val="00DB019E"/>
    <w:rsid w:val="00DB18CC"/>
    <w:rsid w:val="00DB42ED"/>
    <w:rsid w:val="00DB7241"/>
    <w:rsid w:val="00DC13E0"/>
    <w:rsid w:val="00DD3A6F"/>
    <w:rsid w:val="00DD63C1"/>
    <w:rsid w:val="00DE084C"/>
    <w:rsid w:val="00DE15A7"/>
    <w:rsid w:val="00DE31EB"/>
    <w:rsid w:val="00DE3743"/>
    <w:rsid w:val="00DE3CEF"/>
    <w:rsid w:val="00DE4A65"/>
    <w:rsid w:val="00DE7A89"/>
    <w:rsid w:val="00DF0C7E"/>
    <w:rsid w:val="00DF10D6"/>
    <w:rsid w:val="00DF3800"/>
    <w:rsid w:val="00DF5993"/>
    <w:rsid w:val="00E01000"/>
    <w:rsid w:val="00E029E9"/>
    <w:rsid w:val="00E07F0C"/>
    <w:rsid w:val="00E14997"/>
    <w:rsid w:val="00E14F51"/>
    <w:rsid w:val="00E20760"/>
    <w:rsid w:val="00E20ABF"/>
    <w:rsid w:val="00E22793"/>
    <w:rsid w:val="00E22CEE"/>
    <w:rsid w:val="00E24F20"/>
    <w:rsid w:val="00E27518"/>
    <w:rsid w:val="00E3131F"/>
    <w:rsid w:val="00E35407"/>
    <w:rsid w:val="00E357B7"/>
    <w:rsid w:val="00E36F14"/>
    <w:rsid w:val="00E3704F"/>
    <w:rsid w:val="00E37549"/>
    <w:rsid w:val="00E421DB"/>
    <w:rsid w:val="00E42FCE"/>
    <w:rsid w:val="00E46AB6"/>
    <w:rsid w:val="00E5209F"/>
    <w:rsid w:val="00E52E29"/>
    <w:rsid w:val="00E53800"/>
    <w:rsid w:val="00E538E0"/>
    <w:rsid w:val="00E600CB"/>
    <w:rsid w:val="00E6081F"/>
    <w:rsid w:val="00E628D8"/>
    <w:rsid w:val="00E65EE4"/>
    <w:rsid w:val="00E67C37"/>
    <w:rsid w:val="00E71492"/>
    <w:rsid w:val="00E75053"/>
    <w:rsid w:val="00E75396"/>
    <w:rsid w:val="00E75B5D"/>
    <w:rsid w:val="00E75F29"/>
    <w:rsid w:val="00E77AAD"/>
    <w:rsid w:val="00E8296D"/>
    <w:rsid w:val="00E83E65"/>
    <w:rsid w:val="00E8457B"/>
    <w:rsid w:val="00E87AFD"/>
    <w:rsid w:val="00E97451"/>
    <w:rsid w:val="00EA04B2"/>
    <w:rsid w:val="00EA08E0"/>
    <w:rsid w:val="00EA14FC"/>
    <w:rsid w:val="00EA16DF"/>
    <w:rsid w:val="00EA20F3"/>
    <w:rsid w:val="00EA3934"/>
    <w:rsid w:val="00EA5DBC"/>
    <w:rsid w:val="00EA707F"/>
    <w:rsid w:val="00EB029C"/>
    <w:rsid w:val="00EB230F"/>
    <w:rsid w:val="00EB3F89"/>
    <w:rsid w:val="00EB4BCB"/>
    <w:rsid w:val="00EB4FEE"/>
    <w:rsid w:val="00EB5D12"/>
    <w:rsid w:val="00EB788B"/>
    <w:rsid w:val="00EC15F5"/>
    <w:rsid w:val="00EC294D"/>
    <w:rsid w:val="00EC3FA8"/>
    <w:rsid w:val="00EC6A79"/>
    <w:rsid w:val="00ED0EBE"/>
    <w:rsid w:val="00ED2831"/>
    <w:rsid w:val="00ED43D1"/>
    <w:rsid w:val="00ED6F66"/>
    <w:rsid w:val="00ED7877"/>
    <w:rsid w:val="00ED7BD7"/>
    <w:rsid w:val="00ED7EE4"/>
    <w:rsid w:val="00EE1B8D"/>
    <w:rsid w:val="00EE2E62"/>
    <w:rsid w:val="00EE4EE1"/>
    <w:rsid w:val="00EE6917"/>
    <w:rsid w:val="00EF10AB"/>
    <w:rsid w:val="00EF233B"/>
    <w:rsid w:val="00EF4574"/>
    <w:rsid w:val="00EF461C"/>
    <w:rsid w:val="00EF4D7E"/>
    <w:rsid w:val="00EF7E46"/>
    <w:rsid w:val="00F00CB2"/>
    <w:rsid w:val="00F028C7"/>
    <w:rsid w:val="00F028E9"/>
    <w:rsid w:val="00F07ABF"/>
    <w:rsid w:val="00F10420"/>
    <w:rsid w:val="00F127CA"/>
    <w:rsid w:val="00F13132"/>
    <w:rsid w:val="00F15134"/>
    <w:rsid w:val="00F20E46"/>
    <w:rsid w:val="00F24055"/>
    <w:rsid w:val="00F24285"/>
    <w:rsid w:val="00F248FC"/>
    <w:rsid w:val="00F25A93"/>
    <w:rsid w:val="00F2684E"/>
    <w:rsid w:val="00F34301"/>
    <w:rsid w:val="00F34A7D"/>
    <w:rsid w:val="00F352C2"/>
    <w:rsid w:val="00F3684B"/>
    <w:rsid w:val="00F43B00"/>
    <w:rsid w:val="00F44836"/>
    <w:rsid w:val="00F469BA"/>
    <w:rsid w:val="00F4707A"/>
    <w:rsid w:val="00F476C4"/>
    <w:rsid w:val="00F47CF5"/>
    <w:rsid w:val="00F52160"/>
    <w:rsid w:val="00F522BF"/>
    <w:rsid w:val="00F530D4"/>
    <w:rsid w:val="00F5404C"/>
    <w:rsid w:val="00F62715"/>
    <w:rsid w:val="00F640AD"/>
    <w:rsid w:val="00F6445A"/>
    <w:rsid w:val="00F729EF"/>
    <w:rsid w:val="00F753E5"/>
    <w:rsid w:val="00F772C0"/>
    <w:rsid w:val="00F77CAE"/>
    <w:rsid w:val="00F80197"/>
    <w:rsid w:val="00F808BF"/>
    <w:rsid w:val="00F82271"/>
    <w:rsid w:val="00F82823"/>
    <w:rsid w:val="00F83428"/>
    <w:rsid w:val="00F8440B"/>
    <w:rsid w:val="00F92387"/>
    <w:rsid w:val="00F93982"/>
    <w:rsid w:val="00F94B33"/>
    <w:rsid w:val="00F96BB9"/>
    <w:rsid w:val="00F97F5B"/>
    <w:rsid w:val="00FA0CBB"/>
    <w:rsid w:val="00FA22BD"/>
    <w:rsid w:val="00FA233D"/>
    <w:rsid w:val="00FA3EEA"/>
    <w:rsid w:val="00FA4ACD"/>
    <w:rsid w:val="00FA7E9F"/>
    <w:rsid w:val="00FB195D"/>
    <w:rsid w:val="00FB1987"/>
    <w:rsid w:val="00FB309A"/>
    <w:rsid w:val="00FC322F"/>
    <w:rsid w:val="00FD3958"/>
    <w:rsid w:val="00FD4B22"/>
    <w:rsid w:val="00FE2D79"/>
    <w:rsid w:val="00FE4D42"/>
    <w:rsid w:val="00FE6D51"/>
    <w:rsid w:val="00FE6F2A"/>
    <w:rsid w:val="00FF3BD5"/>
    <w:rsid w:val="00FF5FF0"/>
    <w:rsid w:val="00FF667E"/>
    <w:rsid w:val="00FF79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7F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0175F5"/>
    <w:pPr>
      <w:suppressAutoHyphens/>
      <w:spacing w:before="120" w:after="60" w:line="260" w:lineRule="atLeast"/>
    </w:pPr>
    <w:rPr>
      <w:color w:val="495965" w:themeColor="text2"/>
      <w:lang w:val="en-GB"/>
    </w:rPr>
  </w:style>
  <w:style w:type="paragraph" w:styleId="Heading1">
    <w:name w:val="heading 1"/>
    <w:basedOn w:val="Normal"/>
    <w:next w:val="Normal"/>
    <w:link w:val="Heading1Char"/>
    <w:qFormat/>
    <w:rsid w:val="00D2648E"/>
    <w:pPr>
      <w:keepNext/>
      <w:keepLines/>
      <w:spacing w:before="240" w:after="240" w:line="360" w:lineRule="auto"/>
      <w:contextualSpacing/>
      <w:outlineLvl w:val="0"/>
    </w:pPr>
    <w:rPr>
      <w:rFonts w:asciiTheme="majorHAnsi" w:eastAsiaTheme="majorEastAsia" w:hAnsiTheme="majorHAnsi" w:cstheme="majorBidi"/>
      <w:b/>
      <w:bCs/>
      <w:caps/>
      <w:color w:val="auto"/>
      <w:sz w:val="28"/>
      <w:szCs w:val="28"/>
    </w:rPr>
  </w:style>
  <w:style w:type="paragraph" w:styleId="Heading2">
    <w:name w:val="heading 2"/>
    <w:basedOn w:val="Heading1"/>
    <w:next w:val="Normal"/>
    <w:link w:val="Heading2Char"/>
    <w:unhideWhenUsed/>
    <w:qFormat/>
    <w:rsid w:val="00D2648E"/>
    <w:pPr>
      <w:spacing w:after="0"/>
      <w:outlineLvl w:val="1"/>
    </w:pPr>
    <w:rPr>
      <w:bCs w:val="0"/>
      <w:sz w:val="24"/>
      <w:szCs w:val="26"/>
      <w:u w:val="single"/>
    </w:rPr>
  </w:style>
  <w:style w:type="paragraph" w:styleId="Heading3">
    <w:name w:val="heading 3"/>
    <w:basedOn w:val="Heading2"/>
    <w:next w:val="Normal"/>
    <w:link w:val="Heading3Char"/>
    <w:unhideWhenUsed/>
    <w:qFormat/>
    <w:rsid w:val="00D2648E"/>
    <w:pPr>
      <w:outlineLvl w:val="2"/>
    </w:pPr>
    <w:rPr>
      <w:b w:val="0"/>
      <w:bCs/>
      <w:caps w:val="0"/>
      <w:sz w:val="22"/>
    </w:rPr>
  </w:style>
  <w:style w:type="paragraph" w:styleId="Heading4">
    <w:name w:val="heading 4"/>
    <w:basedOn w:val="Heading3"/>
    <w:next w:val="Normal"/>
    <w:link w:val="Heading4Char"/>
    <w:unhideWhenUsed/>
    <w:qFormat/>
    <w:rsid w:val="00A4144F"/>
    <w:pPr>
      <w:spacing w:line="280" w:lineRule="atLeast"/>
      <w:outlineLvl w:val="3"/>
    </w:pPr>
    <w:rPr>
      <w:iCs/>
    </w:rPr>
  </w:style>
  <w:style w:type="paragraph" w:styleId="Heading5">
    <w:name w:val="heading 5"/>
    <w:basedOn w:val="Heading4"/>
    <w:next w:val="Normal"/>
    <w:link w:val="Heading5Char"/>
    <w:unhideWhenUsed/>
    <w:qFormat/>
    <w:rsid w:val="00A4144F"/>
    <w:pPr>
      <w:spacing w:line="200" w:lineRule="atLeast"/>
      <w:outlineLvl w:val="4"/>
    </w:pPr>
    <w:rPr>
      <w:b/>
      <w:sz w:val="16"/>
    </w:rPr>
  </w:style>
  <w:style w:type="paragraph" w:styleId="Heading6">
    <w:name w:val="heading 6"/>
    <w:basedOn w:val="Heading5"/>
    <w:next w:val="Normal"/>
    <w:link w:val="Heading6Char"/>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nhideWhenUsed/>
    <w:qFormat/>
    <w:locked/>
    <w:rsid w:val="00486804"/>
    <w:pPr>
      <w:outlineLvl w:val="6"/>
    </w:pPr>
    <w:rPr>
      <w:i/>
      <w:iCs w:val="0"/>
    </w:rPr>
  </w:style>
  <w:style w:type="paragraph" w:styleId="Heading8">
    <w:name w:val="heading 8"/>
    <w:basedOn w:val="Heading7"/>
    <w:next w:val="Normal"/>
    <w:link w:val="Heading8Char"/>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648E"/>
    <w:rPr>
      <w:rFonts w:asciiTheme="majorHAnsi" w:eastAsiaTheme="majorEastAsia" w:hAnsiTheme="majorHAnsi" w:cstheme="majorBidi"/>
      <w:b/>
      <w:bCs/>
      <w:caps/>
      <w:sz w:val="28"/>
      <w:szCs w:val="28"/>
      <w:lang w:val="en-GB"/>
    </w:rPr>
  </w:style>
  <w:style w:type="character" w:customStyle="1" w:styleId="Heading2Char">
    <w:name w:val="Heading 2 Char"/>
    <w:basedOn w:val="DefaultParagraphFont"/>
    <w:link w:val="Heading2"/>
    <w:rsid w:val="00D2648E"/>
    <w:rPr>
      <w:rFonts w:asciiTheme="majorHAnsi" w:eastAsiaTheme="majorEastAsia" w:hAnsiTheme="majorHAnsi" w:cstheme="majorBidi"/>
      <w:b/>
      <w:caps/>
      <w:sz w:val="24"/>
      <w:szCs w:val="26"/>
      <w:u w:val="single"/>
      <w:lang w:val="en-GB"/>
    </w:rPr>
  </w:style>
  <w:style w:type="character" w:customStyle="1" w:styleId="Heading3Char">
    <w:name w:val="Heading 3 Char"/>
    <w:basedOn w:val="DefaultParagraphFont"/>
    <w:link w:val="Heading3"/>
    <w:rsid w:val="00D2648E"/>
    <w:rPr>
      <w:rFonts w:asciiTheme="majorHAnsi" w:eastAsiaTheme="majorEastAsia" w:hAnsiTheme="majorHAnsi" w:cstheme="majorBidi"/>
      <w:bCs/>
      <w:szCs w:val="26"/>
      <w:u w:val="single"/>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qFormat/>
    <w:rsid w:val="00D64BD1"/>
    <w:pPr>
      <w:spacing w:after="0"/>
    </w:pPr>
    <w:rPr>
      <w:spacing w:val="-10"/>
      <w:kern w:val="28"/>
      <w:szCs w:val="52"/>
    </w:rPr>
  </w:style>
  <w:style w:type="character" w:customStyle="1" w:styleId="TitleChar">
    <w:name w:val="Title Char"/>
    <w:basedOn w:val="DefaultParagraphFont"/>
    <w:link w:val="Title"/>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391012"/>
    <w:pPr>
      <w:spacing w:after="120"/>
    </w:pPr>
    <w:rPr>
      <w:rFonts w:cstheme="minorHAnsi"/>
      <w:b/>
      <w:bCs/>
      <w:caps/>
      <w:sz w:val="20"/>
      <w:szCs w:val="20"/>
    </w:rPr>
  </w:style>
  <w:style w:type="paragraph" w:styleId="TOC2">
    <w:name w:val="toc 2"/>
    <w:basedOn w:val="Normal"/>
    <w:next w:val="Normal"/>
    <w:autoRedefine/>
    <w:uiPriority w:val="39"/>
    <w:unhideWhenUsed/>
    <w:rsid w:val="00F6445A"/>
    <w:pPr>
      <w:spacing w:before="0" w:after="0"/>
      <w:ind w:left="220"/>
    </w:pPr>
    <w:rPr>
      <w:rFonts w:cstheme="minorHAnsi"/>
      <w:smallCaps/>
      <w:sz w:val="20"/>
      <w:szCs w:val="20"/>
    </w:rPr>
  </w:style>
  <w:style w:type="paragraph" w:styleId="TOC3">
    <w:name w:val="toc 3"/>
    <w:basedOn w:val="Normal"/>
    <w:next w:val="Normal"/>
    <w:autoRedefine/>
    <w:uiPriority w:val="39"/>
    <w:unhideWhenUsed/>
    <w:rsid w:val="00F6445A"/>
    <w:pPr>
      <w:spacing w:before="0" w:after="0"/>
      <w:ind w:left="440"/>
    </w:pPr>
    <w:rPr>
      <w:rFonts w:cstheme="minorHAnsi"/>
      <w:i/>
      <w:iCs/>
      <w:sz w:val="20"/>
      <w:szCs w:val="20"/>
    </w:r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pacing w:before="0" w:after="0"/>
      <w:ind w:left="660"/>
    </w:pPr>
    <w:rPr>
      <w:rFonts w:cstheme="minorHAnsi"/>
      <w:sz w:val="18"/>
      <w:szCs w:val="18"/>
    </w:rPr>
  </w:style>
  <w:style w:type="paragraph" w:styleId="TOC5">
    <w:name w:val="toc 5"/>
    <w:basedOn w:val="Normal"/>
    <w:next w:val="Normal"/>
    <w:autoRedefine/>
    <w:uiPriority w:val="39"/>
    <w:unhideWhenUsed/>
    <w:locked/>
    <w:rsid w:val="0035119D"/>
    <w:pPr>
      <w:spacing w:before="0" w:after="0"/>
      <w:ind w:left="880"/>
    </w:pPr>
    <w:rPr>
      <w:rFonts w:cstheme="minorHAnsi"/>
      <w:sz w:val="18"/>
      <w:szCs w:val="18"/>
    </w:rPr>
  </w:style>
  <w:style w:type="paragraph" w:styleId="TOC6">
    <w:name w:val="toc 6"/>
    <w:basedOn w:val="Normal"/>
    <w:next w:val="Normal"/>
    <w:autoRedefine/>
    <w:uiPriority w:val="39"/>
    <w:unhideWhenUsed/>
    <w:locked/>
    <w:rsid w:val="0035119D"/>
    <w:pPr>
      <w:spacing w:before="0" w:after="0"/>
      <w:ind w:left="1100"/>
    </w:pPr>
    <w:rPr>
      <w:rFonts w:cstheme="minorHAnsi"/>
      <w:sz w:val="18"/>
      <w:szCs w:val="18"/>
    </w:rPr>
  </w:style>
  <w:style w:type="paragraph" w:styleId="TOC7">
    <w:name w:val="toc 7"/>
    <w:basedOn w:val="Normal"/>
    <w:next w:val="Normal"/>
    <w:autoRedefine/>
    <w:uiPriority w:val="39"/>
    <w:unhideWhenUsed/>
    <w:locked/>
    <w:rsid w:val="0035119D"/>
    <w:pPr>
      <w:spacing w:before="0" w:after="0"/>
      <w:ind w:left="1320"/>
    </w:pPr>
    <w:rPr>
      <w:rFonts w:cstheme="minorHAnsi"/>
      <w:sz w:val="18"/>
      <w:szCs w:val="18"/>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pacing w:before="0" w:after="0"/>
      <w:ind w:left="1540"/>
    </w:pPr>
    <w:rPr>
      <w:rFonts w:cstheme="minorHAnsi"/>
      <w:sz w:val="18"/>
      <w:szCs w:val="18"/>
    </w:rPr>
  </w:style>
  <w:style w:type="paragraph" w:styleId="TOC9">
    <w:name w:val="toc 9"/>
    <w:basedOn w:val="Normal"/>
    <w:next w:val="Normal"/>
    <w:autoRedefine/>
    <w:uiPriority w:val="39"/>
    <w:unhideWhenUsed/>
    <w:locked/>
    <w:rsid w:val="0035119D"/>
    <w:pPr>
      <w:spacing w:before="0" w:after="0"/>
      <w:ind w:left="1760"/>
    </w:pPr>
    <w:rPr>
      <w:rFonts w:cstheme="minorHAnsi"/>
      <w:sz w:val="18"/>
      <w:szCs w:val="18"/>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01000"/>
    <w:pPr>
      <w:spacing w:before="400" w:after="400" w:line="280" w:lineRule="exact"/>
    </w:pPr>
    <w:rPr>
      <w:b/>
      <w:caps/>
      <w:color w:val="ACD08C" w:themeColor="accent2"/>
      <w:sz w:val="28"/>
    </w:rPr>
  </w:style>
  <w:style w:type="table" w:styleId="TableGrid">
    <w:name w:val="Table Grid"/>
    <w:basedOn w:val="TableNormal"/>
    <w:uiPriority w:val="3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aliases w:val="Char Char,Char,ft,single space,footnote text,fn,Footnote Text Char Char Char Char,FOOTNOTES,Footnote Text Char Char Char,Footnote Text Char Char,ft Char Char Char,ADB,(NECG) Footnote Text,Char Char Char Char,Footnote Text Char2,f"/>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aliases w:val="Char Char Char,Char Char1,ft Char,single space Char,footnote text Char,fn Char,Footnote Text Char Char Char Char Char,FOOTNOTES Char,Footnote Text Char Char Char Char1,Footnote Text Char Char Char1,ft Char Char Char Char,ADB Char"/>
    <w:basedOn w:val="DefaultParagraphFont"/>
    <w:link w:val="FootnoteText"/>
    <w:uiPriority w:val="99"/>
    <w:rsid w:val="008C5A0E"/>
    <w:rPr>
      <w:color w:val="495965" w:themeColor="text2"/>
      <w:sz w:val="12"/>
      <w:szCs w:val="20"/>
    </w:rPr>
  </w:style>
  <w:style w:type="character" w:styleId="FootnoteReference">
    <w:name w:val="footnote reference"/>
    <w:aliases w:val="Normal + Font:9 Point,Superscript 3 Point Times,ftref,(NECG) Footnote Reference,Ref,de nota al pie,FnR-ANZDEC,Fußnotenzeichen DISS,fr,16 Point,Superscript 6 Point,Footnote Ref in FtNote,SUPERS,BVI fnr,Footnote Reference1,ASI Footer"/>
    <w:basedOn w:val="DefaultParagraphFont"/>
    <w:uiPriority w:val="99"/>
    <w:unhideWhenUsed/>
    <w:qFormat/>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B900C3"/>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BB2997"/>
    <w:pPr>
      <w:spacing w:before="60"/>
    </w:pPr>
    <w:rPr>
      <w:rFonts w:ascii="Calibri" w:hAnsi="Calibri"/>
      <w:b/>
      <w:color w:val="auto"/>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qFormat/>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Bullet">
    <w:name w:val="List Bullet"/>
    <w:basedOn w:val="BodyText"/>
    <w:qFormat/>
    <w:locked/>
    <w:rsid w:val="00963C90"/>
    <w:pPr>
      <w:numPr>
        <w:numId w:val="34"/>
      </w:numPr>
      <w:tabs>
        <w:tab w:val="left" w:pos="284"/>
      </w:tabs>
      <w:suppressAutoHyphens w:val="0"/>
      <w:spacing w:before="0" w:after="120" w:line="280" w:lineRule="exact"/>
    </w:pPr>
    <w:rPr>
      <w:rFonts w:ascii="Franklin Gothic Book" w:eastAsia="Times New Roman" w:hAnsi="Franklin Gothic Book" w:cs="Times New Roman"/>
      <w:sz w:val="21"/>
      <w:szCs w:val="24"/>
      <w:lang w:val="en-AU" w:eastAsia="en-AU"/>
    </w:rPr>
  </w:style>
  <w:style w:type="paragraph" w:styleId="ListNumber2">
    <w:name w:val="List Number 2"/>
    <w:basedOn w:val="ListNumber"/>
    <w:qFormat/>
    <w:locked/>
    <w:rsid w:val="00963C90"/>
    <w:pPr>
      <w:numPr>
        <w:numId w:val="33"/>
      </w:numPr>
      <w:tabs>
        <w:tab w:val="clear" w:pos="567"/>
        <w:tab w:val="left" w:pos="284"/>
        <w:tab w:val="num" w:pos="360"/>
      </w:tabs>
      <w:suppressAutoHyphens w:val="0"/>
      <w:spacing w:before="0" w:after="120" w:line="280" w:lineRule="exact"/>
      <w:ind w:left="568" w:hanging="284"/>
      <w:contextualSpacing w:val="0"/>
    </w:pPr>
    <w:rPr>
      <w:rFonts w:ascii="Franklin Gothic Book" w:eastAsia="Times New Roman" w:hAnsi="Franklin Gothic Book" w:cs="Times New Roman"/>
      <w:color w:val="auto"/>
      <w:sz w:val="21"/>
      <w:szCs w:val="24"/>
      <w:lang w:val="en-AU" w:eastAsia="en-AU"/>
    </w:rPr>
  </w:style>
  <w:style w:type="character" w:customStyle="1" w:styleId="apple-converted-space">
    <w:name w:val="apple-converted-space"/>
    <w:basedOn w:val="DefaultParagraphFont"/>
    <w:rsid w:val="00963C90"/>
  </w:style>
  <w:style w:type="paragraph" w:styleId="ListNumber">
    <w:name w:val="List Number"/>
    <w:basedOn w:val="Normal"/>
    <w:uiPriority w:val="99"/>
    <w:semiHidden/>
    <w:unhideWhenUsed/>
    <w:locked/>
    <w:rsid w:val="00963C90"/>
    <w:pPr>
      <w:numPr>
        <w:numId w:val="16"/>
      </w:numPr>
      <w:contextualSpacing/>
    </w:pPr>
  </w:style>
  <w:style w:type="character" w:styleId="FollowedHyperlink">
    <w:name w:val="FollowedHyperlink"/>
    <w:basedOn w:val="DefaultParagraphFont"/>
    <w:uiPriority w:val="99"/>
    <w:semiHidden/>
    <w:unhideWhenUsed/>
    <w:rsid w:val="002870D5"/>
    <w:rPr>
      <w:color w:val="800080" w:themeColor="followedHyperlink"/>
      <w:u w:val="single"/>
    </w:rPr>
  </w:style>
  <w:style w:type="paragraph" w:styleId="ListParagraph">
    <w:name w:val="List Paragraph"/>
    <w:aliases w:val="List Paragraph1,List Paragraph11,L,Recommendation,CV text,Table text,Colorful List - Accent 11,COOP,Primary Bullet List,List Paragraph (numbered (a)),MCHIP_list paragraph,Bullet List,FooterText,F5 List Paragraph,Dot pt,No Spacing1"/>
    <w:basedOn w:val="Normal"/>
    <w:link w:val="ListParagraphChar"/>
    <w:uiPriority w:val="34"/>
    <w:qFormat/>
    <w:locked/>
    <w:rsid w:val="005E4BB0"/>
    <w:pPr>
      <w:suppressAutoHyphens w:val="0"/>
      <w:spacing w:before="0" w:after="200" w:line="276" w:lineRule="auto"/>
      <w:ind w:left="720"/>
      <w:contextualSpacing/>
      <w:jc w:val="both"/>
    </w:pPr>
    <w:rPr>
      <w:rFonts w:ascii="Calibri" w:eastAsia="Calibri" w:hAnsi="Calibri" w:cs="Times New Roman"/>
      <w:color w:val="auto"/>
      <w:lang w:val="en-US"/>
    </w:rPr>
  </w:style>
  <w:style w:type="character" w:customStyle="1" w:styleId="ListParagraphChar">
    <w:name w:val="List Paragraph Char"/>
    <w:aliases w:val="List Paragraph1 Char,List Paragraph11 Char,L Char,Recommendation Char,CV text Char,Table text Char,Colorful List - Accent 11 Char,COOP Char,Primary Bullet List Char,List Paragraph (numbered (a)) Char,MCHIP_list paragraph Char"/>
    <w:basedOn w:val="DefaultParagraphFont"/>
    <w:link w:val="ListParagraph"/>
    <w:uiPriority w:val="34"/>
    <w:qFormat/>
    <w:rsid w:val="005E4BB0"/>
    <w:rPr>
      <w:rFonts w:ascii="Calibri" w:eastAsia="Calibri" w:hAnsi="Calibri" w:cs="Times New Roman"/>
      <w:lang w:val="en-US"/>
    </w:rPr>
  </w:style>
  <w:style w:type="paragraph" w:customStyle="1" w:styleId="Default">
    <w:name w:val="Default"/>
    <w:rsid w:val="005E4BB0"/>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styleId="NormalWeb">
    <w:name w:val="Normal (Web)"/>
    <w:basedOn w:val="Normal"/>
    <w:uiPriority w:val="99"/>
    <w:unhideWhenUsed/>
    <w:rsid w:val="005E4BB0"/>
    <w:pPr>
      <w:suppressAutoHyphens w:val="0"/>
      <w:spacing w:before="0" w:after="0" w:line="240" w:lineRule="auto"/>
    </w:pPr>
    <w:rPr>
      <w:rFonts w:ascii="Times New Roman" w:eastAsiaTheme="minorEastAsia" w:hAnsi="Times New Roman" w:cs="Times New Roman"/>
      <w:color w:val="auto"/>
      <w:sz w:val="24"/>
      <w:szCs w:val="24"/>
    </w:rPr>
  </w:style>
  <w:style w:type="character" w:customStyle="1" w:styleId="UnresolvedMention1">
    <w:name w:val="Unresolved Mention1"/>
    <w:basedOn w:val="DefaultParagraphFont"/>
    <w:uiPriority w:val="99"/>
    <w:semiHidden/>
    <w:unhideWhenUsed/>
    <w:rsid w:val="00E77AAD"/>
    <w:rPr>
      <w:color w:val="605E5C"/>
      <w:shd w:val="clear" w:color="auto" w:fill="E1DFDD"/>
    </w:rPr>
  </w:style>
  <w:style w:type="table" w:customStyle="1" w:styleId="TableGrid0">
    <w:name w:val="TableGrid"/>
    <w:rsid w:val="008111A7"/>
    <w:pPr>
      <w:spacing w:after="0" w:line="240" w:lineRule="auto"/>
    </w:pPr>
    <w:rPr>
      <w:rFonts w:eastAsiaTheme="minorEastAsia"/>
      <w:lang w:val="en-GB" w:eastAsia="en-GB"/>
    </w:rPr>
    <w:tblPr>
      <w:tblCellMar>
        <w:top w:w="0" w:type="dxa"/>
        <w:left w:w="0" w:type="dxa"/>
        <w:bottom w:w="0" w:type="dxa"/>
        <w:right w:w="0" w:type="dxa"/>
      </w:tblCellMar>
    </w:tblPr>
  </w:style>
  <w:style w:type="paragraph" w:customStyle="1" w:styleId="CONLevel11textonly">
    <w:name w:val=".CON Level   1.1 (text only)"/>
    <w:basedOn w:val="Normal"/>
    <w:link w:val="CONLevel11textonlyChar"/>
    <w:rsid w:val="0057006C"/>
    <w:pPr>
      <w:suppressAutoHyphens w:val="0"/>
      <w:spacing w:before="240" w:after="0" w:line="240" w:lineRule="auto"/>
      <w:ind w:left="720"/>
    </w:pPr>
    <w:rPr>
      <w:rFonts w:ascii="Times New Roman" w:eastAsia="Times New Roman" w:hAnsi="Times New Roman" w:cs="Times New Roman"/>
      <w:color w:val="auto"/>
      <w:sz w:val="24"/>
      <w:lang w:val="en-AU"/>
    </w:rPr>
  </w:style>
  <w:style w:type="paragraph" w:customStyle="1" w:styleId="CONLevela">
    <w:name w:val=".CON  Level  (a)"/>
    <w:basedOn w:val="Normal"/>
    <w:next w:val="Normal"/>
    <w:rsid w:val="0057006C"/>
    <w:pPr>
      <w:numPr>
        <w:ilvl w:val="2"/>
        <w:numId w:val="65"/>
      </w:numPr>
      <w:suppressAutoHyphens w:val="0"/>
      <w:spacing w:before="240" w:after="0" w:line="240" w:lineRule="auto"/>
      <w:outlineLvl w:val="3"/>
    </w:pPr>
    <w:rPr>
      <w:rFonts w:ascii="Times New Roman" w:eastAsia="Times New Roman" w:hAnsi="Times New Roman" w:cs="Times New Roman"/>
      <w:color w:val="auto"/>
      <w:sz w:val="24"/>
      <w:lang w:val="en-AU"/>
    </w:rPr>
  </w:style>
  <w:style w:type="paragraph" w:customStyle="1" w:styleId="CONLevel1">
    <w:name w:val=".CON  Level   1."/>
    <w:basedOn w:val="Normal"/>
    <w:next w:val="Normal"/>
    <w:rsid w:val="0057006C"/>
    <w:pPr>
      <w:keepNext/>
      <w:numPr>
        <w:numId w:val="65"/>
      </w:numPr>
      <w:tabs>
        <w:tab w:val="clear" w:pos="2280"/>
        <w:tab w:val="num" w:pos="720"/>
      </w:tabs>
      <w:suppressAutoHyphens w:val="0"/>
      <w:spacing w:before="240" w:after="0" w:line="240" w:lineRule="auto"/>
      <w:ind w:left="720" w:right="1701"/>
      <w:outlineLvl w:val="1"/>
    </w:pPr>
    <w:rPr>
      <w:rFonts w:ascii="Times New Roman" w:eastAsia="Times New Roman" w:hAnsi="Times New Roman" w:cs="Times New Roman"/>
      <w:b/>
      <w:color w:val="auto"/>
      <w:sz w:val="24"/>
      <w:lang w:val="en-AU"/>
    </w:rPr>
  </w:style>
  <w:style w:type="paragraph" w:customStyle="1" w:styleId="CONLevel11">
    <w:name w:val=".CON  Level   1.1"/>
    <w:basedOn w:val="Normal"/>
    <w:next w:val="Normal"/>
    <w:link w:val="CONLevel11Char"/>
    <w:rsid w:val="0057006C"/>
    <w:pPr>
      <w:numPr>
        <w:ilvl w:val="1"/>
        <w:numId w:val="65"/>
      </w:numPr>
      <w:tabs>
        <w:tab w:val="clear" w:pos="1699"/>
        <w:tab w:val="num" w:pos="2550"/>
      </w:tabs>
      <w:suppressAutoHyphens w:val="0"/>
      <w:spacing w:before="240" w:after="0" w:line="240" w:lineRule="auto"/>
      <w:ind w:left="2550"/>
      <w:outlineLvl w:val="2"/>
    </w:pPr>
    <w:rPr>
      <w:rFonts w:ascii="Times New Roman" w:eastAsia="Times New Roman" w:hAnsi="Times New Roman" w:cs="Times New Roman"/>
      <w:color w:val="auto"/>
      <w:sz w:val="24"/>
      <w:lang w:val="en-AU"/>
    </w:rPr>
  </w:style>
  <w:style w:type="paragraph" w:customStyle="1" w:styleId="CONLevelA0">
    <w:name w:val=".CON  Level (A)"/>
    <w:basedOn w:val="Normal"/>
    <w:next w:val="Normal"/>
    <w:rsid w:val="0057006C"/>
    <w:pPr>
      <w:numPr>
        <w:ilvl w:val="4"/>
        <w:numId w:val="65"/>
      </w:numPr>
      <w:suppressAutoHyphens w:val="0"/>
      <w:spacing w:before="240" w:after="0" w:line="240" w:lineRule="auto"/>
      <w:outlineLvl w:val="5"/>
    </w:pPr>
    <w:rPr>
      <w:rFonts w:ascii="Times New Roman" w:eastAsia="Times New Roman" w:hAnsi="Times New Roman" w:cs="Times New Roman"/>
      <w:color w:val="auto"/>
      <w:sz w:val="24"/>
      <w:lang w:val="en-AU"/>
    </w:rPr>
  </w:style>
  <w:style w:type="paragraph" w:customStyle="1" w:styleId="CONLevelI">
    <w:name w:val=".CON  Level (I)"/>
    <w:basedOn w:val="Normal"/>
    <w:next w:val="Normal"/>
    <w:rsid w:val="0057006C"/>
    <w:pPr>
      <w:numPr>
        <w:ilvl w:val="5"/>
        <w:numId w:val="65"/>
      </w:numPr>
      <w:suppressAutoHyphens w:val="0"/>
      <w:spacing w:before="240" w:after="0" w:line="240" w:lineRule="auto"/>
      <w:outlineLvl w:val="6"/>
    </w:pPr>
    <w:rPr>
      <w:rFonts w:ascii="Times New Roman" w:eastAsia="Times New Roman" w:hAnsi="Times New Roman" w:cs="Times New Roman"/>
      <w:color w:val="auto"/>
      <w:sz w:val="24"/>
      <w:lang w:val="en-AU"/>
    </w:rPr>
  </w:style>
  <w:style w:type="character" w:customStyle="1" w:styleId="CONLevel11textonlyChar">
    <w:name w:val=".CON Level   1.1 (text only) Char"/>
    <w:basedOn w:val="DefaultParagraphFont"/>
    <w:link w:val="CONLevel11textonly"/>
    <w:rsid w:val="0057006C"/>
    <w:rPr>
      <w:rFonts w:ascii="Times New Roman" w:eastAsia="Times New Roman" w:hAnsi="Times New Roman" w:cs="Times New Roman"/>
      <w:sz w:val="24"/>
    </w:rPr>
  </w:style>
  <w:style w:type="character" w:customStyle="1" w:styleId="CONLevel11Char">
    <w:name w:val=".CON  Level   1.1 Char"/>
    <w:basedOn w:val="DefaultParagraphFont"/>
    <w:link w:val="CONLevel11"/>
    <w:locked/>
    <w:rsid w:val="0057006C"/>
    <w:rPr>
      <w:rFonts w:ascii="Times New Roman" w:eastAsia="Times New Roman" w:hAnsi="Times New Roman" w:cs="Times New Roman"/>
      <w:sz w:val="24"/>
    </w:rPr>
  </w:style>
  <w:style w:type="paragraph" w:customStyle="1" w:styleId="Leveli">
    <w:name w:val="Level (i)"/>
    <w:basedOn w:val="Normal"/>
    <w:rsid w:val="0057006C"/>
    <w:pPr>
      <w:numPr>
        <w:ilvl w:val="3"/>
        <w:numId w:val="65"/>
      </w:numPr>
      <w:suppressAutoHyphens w:val="0"/>
      <w:spacing w:before="240" w:after="0" w:line="240" w:lineRule="auto"/>
    </w:pPr>
    <w:rPr>
      <w:rFonts w:ascii="Times New Roman" w:eastAsia="Times New Roman" w:hAnsi="Times New Roman" w:cs="Times New Roman"/>
      <w:color w:val="auto"/>
      <w:sz w:val="24"/>
      <w:lang w:val="en-AU"/>
    </w:rPr>
  </w:style>
  <w:style w:type="character" w:customStyle="1" w:styleId="st1">
    <w:name w:val="st1"/>
    <w:basedOn w:val="DefaultParagraphFont"/>
    <w:rsid w:val="00CE78DA"/>
  </w:style>
  <w:style w:type="paragraph" w:customStyle="1" w:styleId="Bullet1normal">
    <w:name w:val="Bullet 1 (normal)"/>
    <w:basedOn w:val="ListParagraph"/>
    <w:link w:val="Bullet1normalChar"/>
    <w:uiPriority w:val="1"/>
    <w:qFormat/>
    <w:rsid w:val="00E75F29"/>
    <w:pPr>
      <w:numPr>
        <w:numId w:val="80"/>
      </w:numPr>
      <w:spacing w:before="120" w:after="120" w:line="264" w:lineRule="auto"/>
      <w:contextualSpacing w:val="0"/>
      <w:jc w:val="left"/>
    </w:pPr>
    <w:rPr>
      <w:rFonts w:ascii="Arial" w:eastAsia="Arial" w:hAnsi="Arial"/>
      <w:sz w:val="24"/>
      <w:szCs w:val="24"/>
      <w:lang w:val="en-GB"/>
    </w:rPr>
  </w:style>
  <w:style w:type="character" w:customStyle="1" w:styleId="Bullet1normalChar">
    <w:name w:val="Bullet 1 (normal) Char"/>
    <w:basedOn w:val="ListParagraphChar"/>
    <w:link w:val="Bullet1normal"/>
    <w:uiPriority w:val="1"/>
    <w:rsid w:val="00E75F29"/>
    <w:rPr>
      <w:rFonts w:ascii="Arial" w:eastAsia="Arial" w:hAnsi="Arial" w:cs="Times New Roman"/>
      <w:sz w:val="24"/>
      <w:szCs w:val="24"/>
      <w:lang w:val="en-GB"/>
    </w:rPr>
  </w:style>
  <w:style w:type="paragraph" w:customStyle="1" w:styleId="Figure">
    <w:name w:val="Figure"/>
    <w:basedOn w:val="Normal"/>
    <w:link w:val="FigureChar"/>
    <w:qFormat/>
    <w:rsid w:val="00BB2997"/>
    <w:pPr>
      <w:suppressAutoHyphens w:val="0"/>
      <w:spacing w:after="0" w:line="360" w:lineRule="auto"/>
      <w:jc w:val="center"/>
    </w:pPr>
    <w:rPr>
      <w:rFonts w:asciiTheme="majorHAnsi" w:hAnsiTheme="majorHAnsi" w:cs="Arial"/>
      <w:b/>
      <w:color w:val="595959" w:themeColor="text1" w:themeTint="A6"/>
      <w:sz w:val="24"/>
      <w:lang w:val="en-AU"/>
    </w:rPr>
  </w:style>
  <w:style w:type="paragraph" w:styleId="Revision">
    <w:name w:val="Revision"/>
    <w:hidden/>
    <w:uiPriority w:val="99"/>
    <w:semiHidden/>
    <w:rsid w:val="00E14997"/>
    <w:pPr>
      <w:spacing w:after="0" w:line="240" w:lineRule="auto"/>
    </w:pPr>
    <w:rPr>
      <w:color w:val="495965" w:themeColor="text2"/>
      <w:lang w:val="en-GB"/>
    </w:rPr>
  </w:style>
  <w:style w:type="character" w:customStyle="1" w:styleId="FigureChar">
    <w:name w:val="Figure Char"/>
    <w:basedOn w:val="DefaultParagraphFont"/>
    <w:link w:val="Figure"/>
    <w:rsid w:val="00BB2997"/>
    <w:rPr>
      <w:rFonts w:asciiTheme="majorHAnsi" w:hAnsiTheme="majorHAnsi" w:cs="Arial"/>
      <w:b/>
      <w:color w:val="595959" w:themeColor="text1" w:themeTint="A6"/>
      <w:sz w:val="24"/>
    </w:rPr>
  </w:style>
  <w:style w:type="paragraph" w:styleId="EndnoteText">
    <w:name w:val="endnote text"/>
    <w:basedOn w:val="Normal"/>
    <w:link w:val="EndnoteTextChar"/>
    <w:uiPriority w:val="99"/>
    <w:semiHidden/>
    <w:unhideWhenUsed/>
    <w:rsid w:val="001E4070"/>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E4070"/>
    <w:rPr>
      <w:color w:val="495965" w:themeColor="text2"/>
      <w:sz w:val="20"/>
      <w:szCs w:val="20"/>
      <w:lang w:val="en-GB"/>
    </w:rPr>
  </w:style>
  <w:style w:type="character" w:styleId="EndnoteReference">
    <w:name w:val="endnote reference"/>
    <w:basedOn w:val="DefaultParagraphFont"/>
    <w:uiPriority w:val="99"/>
    <w:semiHidden/>
    <w:unhideWhenUsed/>
    <w:rsid w:val="001E4070"/>
    <w:rPr>
      <w:vertAlign w:val="superscript"/>
    </w:rPr>
  </w:style>
  <w:style w:type="table" w:customStyle="1" w:styleId="TableGrid1">
    <w:name w:val="Table Grid1"/>
    <w:basedOn w:val="TableNormal"/>
    <w:next w:val="TableGrid"/>
    <w:uiPriority w:val="39"/>
    <w:rsid w:val="00054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61765"/>
    <w:pPr>
      <w:spacing w:after="0" w:line="240" w:lineRule="auto"/>
    </w:pPr>
    <w:rPr>
      <w:rFonts w:eastAsia="Times New Roman"/>
      <w:lang w:val="en-GB" w:eastAsia="en-GB"/>
    </w:rPr>
    <w:tblPr>
      <w:tblCellMar>
        <w:top w:w="0" w:type="dxa"/>
        <w:left w:w="0" w:type="dxa"/>
        <w:bottom w:w="0" w:type="dxa"/>
        <w:right w:w="0" w:type="dxa"/>
      </w:tblCellMar>
    </w:tblPr>
  </w:style>
  <w:style w:type="table" w:customStyle="1" w:styleId="TableGrid2">
    <w:name w:val="Table Grid2"/>
    <w:basedOn w:val="TableNormal"/>
    <w:next w:val="TableGrid"/>
    <w:uiPriority w:val="39"/>
    <w:locked/>
    <w:rsid w:val="00491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CONLevel11"/>
    <w:qFormat/>
    <w:rsid w:val="003E380F"/>
    <w:pPr>
      <w:numPr>
        <w:ilvl w:val="0"/>
        <w:numId w:val="0"/>
      </w:numPr>
      <w:ind w:left="720" w:hanging="70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948354">
      <w:bodyDiv w:val="1"/>
      <w:marLeft w:val="0"/>
      <w:marRight w:val="0"/>
      <w:marTop w:val="0"/>
      <w:marBottom w:val="0"/>
      <w:divBdr>
        <w:top w:val="none" w:sz="0" w:space="0" w:color="auto"/>
        <w:left w:val="none" w:sz="0" w:space="0" w:color="auto"/>
        <w:bottom w:val="none" w:sz="0" w:space="0" w:color="auto"/>
        <w:right w:val="none" w:sz="0" w:space="0" w:color="auto"/>
      </w:divBdr>
      <w:divsChild>
        <w:div w:id="1278828764">
          <w:marLeft w:val="274"/>
          <w:marRight w:val="0"/>
          <w:marTop w:val="0"/>
          <w:marBottom w:val="0"/>
          <w:divBdr>
            <w:top w:val="none" w:sz="0" w:space="0" w:color="auto"/>
            <w:left w:val="none" w:sz="0" w:space="0" w:color="auto"/>
            <w:bottom w:val="none" w:sz="0" w:space="0" w:color="auto"/>
            <w:right w:val="none" w:sz="0" w:space="0" w:color="auto"/>
          </w:divBdr>
        </w:div>
        <w:div w:id="1483079827">
          <w:marLeft w:val="274"/>
          <w:marRight w:val="0"/>
          <w:marTop w:val="0"/>
          <w:marBottom w:val="0"/>
          <w:divBdr>
            <w:top w:val="none" w:sz="0" w:space="0" w:color="auto"/>
            <w:left w:val="none" w:sz="0" w:space="0" w:color="auto"/>
            <w:bottom w:val="none" w:sz="0" w:space="0" w:color="auto"/>
            <w:right w:val="none" w:sz="0" w:space="0" w:color="auto"/>
          </w:divBdr>
        </w:div>
        <w:div w:id="1991404408">
          <w:marLeft w:val="274"/>
          <w:marRight w:val="0"/>
          <w:marTop w:val="0"/>
          <w:marBottom w:val="0"/>
          <w:divBdr>
            <w:top w:val="none" w:sz="0" w:space="0" w:color="auto"/>
            <w:left w:val="none" w:sz="0" w:space="0" w:color="auto"/>
            <w:bottom w:val="none" w:sz="0" w:space="0" w:color="auto"/>
            <w:right w:val="none" w:sz="0" w:space="0" w:color="auto"/>
          </w:divBdr>
        </w:div>
        <w:div w:id="51201499">
          <w:marLeft w:val="274"/>
          <w:marRight w:val="0"/>
          <w:marTop w:val="0"/>
          <w:marBottom w:val="0"/>
          <w:divBdr>
            <w:top w:val="none" w:sz="0" w:space="0" w:color="auto"/>
            <w:left w:val="none" w:sz="0" w:space="0" w:color="auto"/>
            <w:bottom w:val="none" w:sz="0" w:space="0" w:color="auto"/>
            <w:right w:val="none" w:sz="0" w:space="0" w:color="auto"/>
          </w:divBdr>
        </w:div>
        <w:div w:id="220991197">
          <w:marLeft w:val="274"/>
          <w:marRight w:val="0"/>
          <w:marTop w:val="0"/>
          <w:marBottom w:val="0"/>
          <w:divBdr>
            <w:top w:val="none" w:sz="0" w:space="0" w:color="auto"/>
            <w:left w:val="none" w:sz="0" w:space="0" w:color="auto"/>
            <w:bottom w:val="none" w:sz="0" w:space="0" w:color="auto"/>
            <w:right w:val="none" w:sz="0" w:space="0" w:color="auto"/>
          </w:divBdr>
        </w:div>
        <w:div w:id="1546478260">
          <w:marLeft w:val="274"/>
          <w:marRight w:val="0"/>
          <w:marTop w:val="0"/>
          <w:marBottom w:val="0"/>
          <w:divBdr>
            <w:top w:val="none" w:sz="0" w:space="0" w:color="auto"/>
            <w:left w:val="none" w:sz="0" w:space="0" w:color="auto"/>
            <w:bottom w:val="none" w:sz="0" w:space="0" w:color="auto"/>
            <w:right w:val="none" w:sz="0" w:space="0" w:color="auto"/>
          </w:divBdr>
        </w:div>
        <w:div w:id="989821077">
          <w:marLeft w:val="274"/>
          <w:marRight w:val="0"/>
          <w:marTop w:val="0"/>
          <w:marBottom w:val="0"/>
          <w:divBdr>
            <w:top w:val="none" w:sz="0" w:space="0" w:color="auto"/>
            <w:left w:val="none" w:sz="0" w:space="0" w:color="auto"/>
            <w:bottom w:val="none" w:sz="0" w:space="0" w:color="auto"/>
            <w:right w:val="none" w:sz="0" w:space="0" w:color="auto"/>
          </w:divBdr>
        </w:div>
      </w:divsChild>
    </w:div>
    <w:div w:id="824663953">
      <w:bodyDiv w:val="1"/>
      <w:marLeft w:val="0"/>
      <w:marRight w:val="0"/>
      <w:marTop w:val="0"/>
      <w:marBottom w:val="0"/>
      <w:divBdr>
        <w:top w:val="none" w:sz="0" w:space="0" w:color="auto"/>
        <w:left w:val="none" w:sz="0" w:space="0" w:color="auto"/>
        <w:bottom w:val="none" w:sz="0" w:space="0" w:color="auto"/>
        <w:right w:val="none" w:sz="0" w:space="0" w:color="auto"/>
      </w:divBdr>
    </w:div>
    <w:div w:id="1030688610">
      <w:bodyDiv w:val="1"/>
      <w:marLeft w:val="0"/>
      <w:marRight w:val="0"/>
      <w:marTop w:val="0"/>
      <w:marBottom w:val="0"/>
      <w:divBdr>
        <w:top w:val="none" w:sz="0" w:space="0" w:color="auto"/>
        <w:left w:val="none" w:sz="0" w:space="0" w:color="auto"/>
        <w:bottom w:val="none" w:sz="0" w:space="0" w:color="auto"/>
        <w:right w:val="none" w:sz="0" w:space="0" w:color="auto"/>
      </w:divBdr>
    </w:div>
    <w:div w:id="1280183136">
      <w:bodyDiv w:val="1"/>
      <w:marLeft w:val="0"/>
      <w:marRight w:val="0"/>
      <w:marTop w:val="0"/>
      <w:marBottom w:val="0"/>
      <w:divBdr>
        <w:top w:val="none" w:sz="0" w:space="0" w:color="auto"/>
        <w:left w:val="none" w:sz="0" w:space="0" w:color="auto"/>
        <w:bottom w:val="none" w:sz="0" w:space="0" w:color="auto"/>
        <w:right w:val="none" w:sz="0" w:space="0" w:color="auto"/>
      </w:divBdr>
    </w:div>
    <w:div w:id="1543596187">
      <w:bodyDiv w:val="1"/>
      <w:marLeft w:val="0"/>
      <w:marRight w:val="0"/>
      <w:marTop w:val="0"/>
      <w:marBottom w:val="0"/>
      <w:divBdr>
        <w:top w:val="none" w:sz="0" w:space="0" w:color="auto"/>
        <w:left w:val="none" w:sz="0" w:space="0" w:color="auto"/>
        <w:bottom w:val="none" w:sz="0" w:space="0" w:color="auto"/>
        <w:right w:val="none" w:sz="0" w:space="0" w:color="auto"/>
      </w:divBdr>
    </w:div>
    <w:div w:id="1726643164">
      <w:bodyDiv w:val="1"/>
      <w:marLeft w:val="0"/>
      <w:marRight w:val="0"/>
      <w:marTop w:val="0"/>
      <w:marBottom w:val="0"/>
      <w:divBdr>
        <w:top w:val="none" w:sz="0" w:space="0" w:color="auto"/>
        <w:left w:val="none" w:sz="0" w:space="0" w:color="auto"/>
        <w:bottom w:val="none" w:sz="0" w:space="0" w:color="auto"/>
        <w:right w:val="none" w:sz="0" w:space="0" w:color="auto"/>
      </w:divBdr>
    </w:div>
    <w:div w:id="2094740835">
      <w:bodyDiv w:val="1"/>
      <w:marLeft w:val="0"/>
      <w:marRight w:val="0"/>
      <w:marTop w:val="0"/>
      <w:marBottom w:val="0"/>
      <w:divBdr>
        <w:top w:val="none" w:sz="0" w:space="0" w:color="auto"/>
        <w:left w:val="none" w:sz="0" w:space="0" w:color="auto"/>
        <w:bottom w:val="none" w:sz="0" w:space="0" w:color="auto"/>
        <w:right w:val="none" w:sz="0" w:space="0" w:color="auto"/>
      </w:divBdr>
      <w:divsChild>
        <w:div w:id="1008749243">
          <w:marLeft w:val="0"/>
          <w:marRight w:val="0"/>
          <w:marTop w:val="0"/>
          <w:marBottom w:val="0"/>
          <w:divBdr>
            <w:top w:val="none" w:sz="0" w:space="0" w:color="auto"/>
            <w:left w:val="none" w:sz="0" w:space="0" w:color="auto"/>
            <w:bottom w:val="none" w:sz="0" w:space="0" w:color="auto"/>
            <w:right w:val="none" w:sz="0" w:space="0" w:color="auto"/>
          </w:divBdr>
          <w:divsChild>
            <w:div w:id="1641156107">
              <w:marLeft w:val="0"/>
              <w:marRight w:val="0"/>
              <w:marTop w:val="0"/>
              <w:marBottom w:val="0"/>
              <w:divBdr>
                <w:top w:val="none" w:sz="0" w:space="0" w:color="auto"/>
                <w:left w:val="none" w:sz="0" w:space="0" w:color="auto"/>
                <w:bottom w:val="none" w:sz="0" w:space="0" w:color="auto"/>
                <w:right w:val="none" w:sz="0" w:space="0" w:color="auto"/>
              </w:divBdr>
              <w:divsChild>
                <w:div w:id="1918787983">
                  <w:marLeft w:val="0"/>
                  <w:marRight w:val="0"/>
                  <w:marTop w:val="375"/>
                  <w:marBottom w:val="375"/>
                  <w:divBdr>
                    <w:top w:val="none" w:sz="0" w:space="0" w:color="auto"/>
                    <w:left w:val="none" w:sz="0" w:space="0" w:color="auto"/>
                    <w:bottom w:val="none" w:sz="0" w:space="0" w:color="auto"/>
                    <w:right w:val="none" w:sz="0" w:space="0" w:color="auto"/>
                  </w:divBdr>
                  <w:divsChild>
                    <w:div w:id="318391170">
                      <w:marLeft w:val="0"/>
                      <w:marRight w:val="0"/>
                      <w:marTop w:val="0"/>
                      <w:marBottom w:val="0"/>
                      <w:divBdr>
                        <w:top w:val="none" w:sz="0" w:space="0" w:color="auto"/>
                        <w:left w:val="none" w:sz="0" w:space="0" w:color="auto"/>
                        <w:bottom w:val="none" w:sz="0" w:space="0" w:color="auto"/>
                        <w:right w:val="none" w:sz="0" w:space="0" w:color="auto"/>
                      </w:divBdr>
                      <w:divsChild>
                        <w:div w:id="1031879998">
                          <w:marLeft w:val="0"/>
                          <w:marRight w:val="0"/>
                          <w:marTop w:val="0"/>
                          <w:marBottom w:val="0"/>
                          <w:divBdr>
                            <w:top w:val="none" w:sz="0" w:space="0" w:color="auto"/>
                            <w:left w:val="none" w:sz="0" w:space="0" w:color="auto"/>
                            <w:bottom w:val="none" w:sz="0" w:space="0" w:color="auto"/>
                            <w:right w:val="none" w:sz="0" w:space="0" w:color="auto"/>
                          </w:divBdr>
                          <w:divsChild>
                            <w:div w:id="1939672747">
                              <w:marLeft w:val="0"/>
                              <w:marRight w:val="0"/>
                              <w:marTop w:val="0"/>
                              <w:marBottom w:val="0"/>
                              <w:divBdr>
                                <w:top w:val="none" w:sz="0" w:space="0" w:color="auto"/>
                                <w:left w:val="none" w:sz="0" w:space="0" w:color="auto"/>
                                <w:bottom w:val="none" w:sz="0" w:space="0" w:color="auto"/>
                                <w:right w:val="none" w:sz="0" w:space="0" w:color="auto"/>
                              </w:divBdr>
                              <w:divsChild>
                                <w:div w:id="222449452">
                                  <w:marLeft w:val="0"/>
                                  <w:marRight w:val="0"/>
                                  <w:marTop w:val="0"/>
                                  <w:marBottom w:val="0"/>
                                  <w:divBdr>
                                    <w:top w:val="none" w:sz="0" w:space="0" w:color="auto"/>
                                    <w:left w:val="none" w:sz="0" w:space="0" w:color="auto"/>
                                    <w:bottom w:val="none" w:sz="0" w:space="0" w:color="auto"/>
                                    <w:right w:val="none" w:sz="0" w:space="0" w:color="auto"/>
                                  </w:divBdr>
                                  <w:divsChild>
                                    <w:div w:id="547109942">
                                      <w:marLeft w:val="0"/>
                                      <w:marRight w:val="0"/>
                                      <w:marTop w:val="0"/>
                                      <w:marBottom w:val="0"/>
                                      <w:divBdr>
                                        <w:top w:val="none" w:sz="0" w:space="0" w:color="auto"/>
                                        <w:left w:val="none" w:sz="0" w:space="0" w:color="auto"/>
                                        <w:bottom w:val="none" w:sz="0" w:space="0" w:color="auto"/>
                                        <w:right w:val="none" w:sz="0" w:space="0" w:color="auto"/>
                                      </w:divBdr>
                                      <w:divsChild>
                                        <w:div w:id="1742868315">
                                          <w:marLeft w:val="0"/>
                                          <w:marRight w:val="0"/>
                                          <w:marTop w:val="0"/>
                                          <w:marBottom w:val="0"/>
                                          <w:divBdr>
                                            <w:top w:val="none" w:sz="0" w:space="0" w:color="auto"/>
                                            <w:left w:val="none" w:sz="0" w:space="0" w:color="auto"/>
                                            <w:bottom w:val="none" w:sz="0" w:space="0" w:color="auto"/>
                                            <w:right w:val="none" w:sz="0" w:space="0" w:color="auto"/>
                                          </w:divBdr>
                                          <w:divsChild>
                                            <w:div w:id="5712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68D47A3238F547F295FC4399B890905A000057D07EC2249C4CA112EDC6CF75835C" ma:contentTypeVersion="2" ma:contentTypeDescription="Intranet document content" ma:contentTypeScope="" ma:versionID="6c1b2bf41f1f98798367d2572a17bb79">
  <xsd:schema xmlns:xsd="http://www.w3.org/2001/XMLSchema" xmlns:xs="http://www.w3.org/2001/XMLSchema" xmlns:p="http://schemas.microsoft.com/office/2006/metadata/properties" xmlns:ns2="349e11ad-1311-4134-818c-bb844dbfed54" xmlns:ns3="23b8bd0e-8792-4ade-9a33-54492c012639" targetNamespace="http://schemas.microsoft.com/office/2006/metadata/properties" ma:root="true" ma:fieldsID="6d70b2d3ece71617e3d705845e75cdbe" ns2:_="" ns3:_="">
    <xsd:import namespace="349e11ad-1311-4134-818c-bb844dbfed54"/>
    <xsd:import namespace="23b8bd0e-8792-4ade-9a33-54492c012639"/>
    <xsd:element name="properties">
      <xsd:complexType>
        <xsd:sequence>
          <xsd:element name="documentManagement">
            <xsd:complexType>
              <xsd:all>
                <xsd:element ref="ns2:PageKeywords" minOccurs="0"/>
                <xsd:element ref="ns2:PageKeywordsID" minOccurs="0"/>
                <xsd:element ref="ns2:PageDescription" minOccurs="0"/>
                <xsd:element ref="ns3:ItemActive" minOccurs="0"/>
                <xsd:element ref="ns2:PageAuthor" minOccurs="0"/>
                <xsd:element ref="ns2:ReviewDate" minOccurs="0"/>
                <xsd:element ref="ns2:ExpiryDate" minOccurs="0"/>
                <xsd:element ref="ns2:TRIMReferenceNumber" minOccurs="0"/>
                <xsd:element ref="ns2:OrganisationalUnit" minOccurs="0"/>
                <xsd:element ref="ns2:OrgUnitAcronym" minOccurs="0"/>
                <xsd:element ref="ns2:OrgUnitHierarchy" minOccurs="0"/>
                <xsd:element ref="ns2:OrgUni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e11ad-1311-4134-818c-bb844dbfed54" elementFormDefault="qualified">
    <xsd:import namespace="http://schemas.microsoft.com/office/2006/documentManagement/types"/>
    <xsd:import namespace="http://schemas.microsoft.com/office/infopath/2007/PartnerControls"/>
    <xsd:element name="PageKeywords" ma:index="8" nillable="true" ma:displayName="Document Keywords" ma:description="A list of keywords that describe or categorise this content." ma:list="{eab2c9c2-b0b6-4ae5-8920-98e40a79bc84}" ma:internalName="PageKeywords" ma:showField="Title"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KeywordsID" ma:index="9" nillable="true" ma:displayName="Document Keywords ID" ma:hidden="true" ma:list="{9c550a34-8561-4159-9314-549d682ef06c}" ma:internalName="PageKeywordsID" ma:readOnly="true" ma:showField="ID"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Description" ma:index="10" nillable="true" ma:displayName="Document Description" ma:description="A description of the page content." ma:internalName="PageDescription">
      <xsd:simpleType>
        <xsd:restriction base="dms:Note">
          <xsd:maxLength value="255"/>
        </xsd:restriction>
      </xsd:simpleType>
    </xsd:element>
    <xsd:element name="PageAuthor" ma:index="12" nillable="true" ma:displayName="Document Author" ma:list="UserInfo" ma:SharePointGroup="0" ma:internalName="Page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13" nillable="true" ma:displayName="Review Date" ma:description="The date a content item is due to be reviewed." ma:format="DateOnly" ma:internalName="ReviewDate">
      <xsd:simpleType>
        <xsd:restriction base="dms:DateTime"/>
      </xsd:simpleType>
    </xsd:element>
    <xsd:element name="ExpiryDate" ma:index="14" nillable="true" ma:displayName="Expiry Date" ma:description="Identifies the date this content is due to expire." ma:format="DateOnly" ma:internalName="ExpiryDate">
      <xsd:simpleType>
        <xsd:restriction base="dms:DateTime"/>
      </xsd:simpleType>
    </xsd:element>
    <xsd:element name="TRIMReferenceNumber" ma:index="15" nillable="true" ma:displayName="TRIM Reference Number" ma:description="A TRIM document or container reference number." ma:internalName="TRIMReferenceNumber">
      <xsd:simpleType>
        <xsd:restriction base="dms:Text">
          <xsd:maxLength value="15"/>
        </xsd:restriction>
      </xsd:simpleType>
    </xsd:element>
    <xsd:element name="OrganisationalUnit" ma:index="16" nillable="true" ma:displayName="Organisational Unit" ma:description="Identifies the DFAT branch responsible for the associated content." ma:list="{1dbeb31a-adcd-4bd0-b7cd-7455aacb1af5}" ma:internalName="OrganisationalUnit" ma:showField="Title" ma:web="{349e11ad-1311-4134-818c-bb844dbfed54}">
      <xsd:simpleType>
        <xsd:restriction base="dms:Lookup"/>
      </xsd:simpleType>
    </xsd:element>
    <xsd:element name="OrgUnitAcronym" ma:index="17" nillable="true" ma:displayName="Organisational Unit:OrgUnitAcronym" ma:list="{473c9002-2f9a-44a9-9783-6a6e2cdff1ea}" ma:internalName="OrgUnitAcronym" ma:readOnly="true" ma:showField="DfatOrgUnitAcronym" ma:web="{349e11ad-1311-4134-818c-bb844dbfed54}">
      <xsd:simpleType>
        <xsd:restriction base="dms:Lookup"/>
      </xsd:simpleType>
    </xsd:element>
    <xsd:element name="OrgUnitHierarchy" ma:index="18" nillable="true" ma:displayName="Organisational Unit:OrgUnitHierarchy" ma:list="{473c9002-2f9a-44a9-9783-6a6e2cdff1ea}" ma:internalName="OrgUnitHierarchy" ma:readOnly="true" ma:showField="DfatOrgUnitHierarchy" ma:web="{349e11ad-1311-4134-818c-bb844dbfed54}">
      <xsd:simpleType>
        <xsd:restriction base="dms:Lookup"/>
      </xsd:simpleType>
    </xsd:element>
    <xsd:element name="OrgUnitType" ma:index="19" nillable="true" ma:displayName="Organisational Unit:OrgUnitType" ma:list="{473c9002-2f9a-44a9-9783-6a6e2cdff1ea}" ma:internalName="OrhUnitType" ma:readOnly="true" ma:showField="DfatOrgUnitType" ma:web="{349e11ad-1311-4134-818c-bb844dbfed5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23b8bd0e-8792-4ade-9a33-54492c012639" elementFormDefault="qualified">
    <xsd:import namespace="http://schemas.microsoft.com/office/2006/documentManagement/types"/>
    <xsd:import namespace="http://schemas.microsoft.com/office/infopath/2007/PartnerControls"/>
    <xsd:element name="ItemActive" ma:index="11" nillable="true" ma:displayName="Document Active" ma:default="1" ma:description="Identifies whether this value is currently used within the site." ma:internalName="ItemAct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ageKeywords xmlns="349e11ad-1311-4134-818c-bb844dbfed54"/>
    <ExpiryDate xmlns="349e11ad-1311-4134-818c-bb844dbfed54" xsi:nil="true"/>
    <OrganisationalUnit xmlns="349e11ad-1311-4134-818c-bb844dbfed54" xsi:nil="true"/>
    <PageDescription xmlns="349e11ad-1311-4134-818c-bb844dbfed54" xsi:nil="true"/>
    <PageAuthor xmlns="349e11ad-1311-4134-818c-bb844dbfed54">
      <UserInfo>
        <DisplayName/>
        <AccountId xsi:nil="true"/>
        <AccountType/>
      </UserInfo>
    </PageAuthor>
    <ReviewDate xmlns="349e11ad-1311-4134-818c-bb844dbfed54" xsi:nil="true"/>
    <TRIMReferenceNumber xmlns="349e11ad-1311-4134-818c-bb844dbfed54" xsi:nil="true"/>
    <ItemActive xmlns="23b8bd0e-8792-4ade-9a33-54492c012639">true</ItemActiv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5FEF3-636D-4AFE-BB07-37B6CE9B52EC}">
  <ds:schemaRefs>
    <ds:schemaRef ds:uri="http://schemas.microsoft.com/sharepoint/v3/contenttype/forms"/>
  </ds:schemaRefs>
</ds:datastoreItem>
</file>

<file path=customXml/itemProps2.xml><?xml version="1.0" encoding="utf-8"?>
<ds:datastoreItem xmlns:ds="http://schemas.openxmlformats.org/officeDocument/2006/customXml" ds:itemID="{579BE5CE-1DB2-4BC3-9F70-082EAD30C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e11ad-1311-4134-818c-bb844dbfed54"/>
    <ds:schemaRef ds:uri="23b8bd0e-8792-4ade-9a33-54492c012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A8F58C-A1DA-451C-AB0C-48E3DECE79D4}">
  <ds:schemaRefs>
    <ds:schemaRef ds:uri="http://schemas.microsoft.com/office/2006/metadata/properties"/>
    <ds:schemaRef ds:uri="http://schemas.microsoft.com/office/infopath/2007/PartnerControls"/>
    <ds:schemaRef ds:uri="349e11ad-1311-4134-818c-bb844dbfed54"/>
    <ds:schemaRef ds:uri="23b8bd0e-8792-4ade-9a33-54492c012639"/>
  </ds:schemaRefs>
</ds:datastoreItem>
</file>

<file path=customXml/itemProps4.xml><?xml version="1.0" encoding="utf-8"?>
<ds:datastoreItem xmlns:ds="http://schemas.openxmlformats.org/officeDocument/2006/customXml" ds:itemID="{2E98274D-9431-46C3-9EF3-999DA77CB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15388</Words>
  <Characters>90796</Characters>
  <Application>Microsoft Office Word</Application>
  <DocSecurity>0</DocSecurity>
  <Lines>1278</Lines>
  <Paragraphs>372</Paragraphs>
  <ScaleCrop>false</ScaleCrop>
  <Company/>
  <LinksUpToDate>false</LinksUpToDate>
  <CharactersWithSpaces>105812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AIHSP Design Document</dc:title>
  <dc:subject/>
  <dc:creator>Joe Settree</dc:creator>
  <cp:keywords/>
  <dc:description/>
  <cp:lastModifiedBy/>
  <cp:revision>1</cp:revision>
  <dcterms:created xsi:type="dcterms:W3CDTF">2020-07-21T05:20:00Z</dcterms:created>
  <dcterms:modified xsi:type="dcterms:W3CDTF">2020-07-21T05:20:00Z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db7dac3c-1ac6-4577-bcb8-c42c60de6bc4</vt:lpwstr>
  </property>
  <property fmtid="{D5CDD505-2E9C-101B-9397-08002B2CF9AE}" pid="3" name="SEC">
    <vt:lpwstr>UNOFFICIAL</vt:lpwstr>
  </property>
</Properties>
</file>