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EA" w:rsidRPr="00966957" w:rsidRDefault="004C10EA" w:rsidP="004C10EA">
      <w:pPr>
        <w:pStyle w:val="Heading2"/>
        <w:rPr>
          <w:szCs w:val="24"/>
        </w:rPr>
      </w:pPr>
      <w:bookmarkStart w:id="0" w:name="_Toc399508768"/>
      <w:bookmarkStart w:id="1" w:name="_Toc399508866"/>
      <w:bookmarkStart w:id="2" w:name="_Toc416685112"/>
      <w:bookmarkStart w:id="3" w:name="_GoBack"/>
      <w:bookmarkEnd w:id="3"/>
      <w:r w:rsidRPr="00966957">
        <w:rPr>
          <w:szCs w:val="24"/>
        </w:rPr>
        <w:t xml:space="preserve">Investment Concept </w:t>
      </w:r>
      <w:bookmarkEnd w:id="0"/>
      <w:bookmarkEnd w:id="1"/>
      <w:bookmarkEnd w:id="2"/>
    </w:p>
    <w:tbl>
      <w:tblPr>
        <w:tblStyle w:val="Tablewithnoheader"/>
        <w:tblW w:w="0" w:type="auto"/>
        <w:tblInd w:w="-34" w:type="dxa"/>
        <w:shd w:val="clear" w:color="auto" w:fill="E0F3EF" w:themeFill="accent1" w:themeFillTint="33"/>
        <w:tblLook w:val="04A0" w:firstRow="1" w:lastRow="0" w:firstColumn="1" w:lastColumn="0" w:noHBand="0" w:noVBand="1"/>
      </w:tblPr>
      <w:tblGrid>
        <w:gridCol w:w="9640"/>
      </w:tblGrid>
      <w:tr w:rsidR="004C10EA" w:rsidRPr="00966957" w:rsidTr="00BF5BBC">
        <w:trPr>
          <w:cantSplit w:val="0"/>
          <w:trHeight w:val="404"/>
        </w:trPr>
        <w:tc>
          <w:tcPr>
            <w:tcW w:w="9640" w:type="dxa"/>
            <w:tcBorders>
              <w:bottom w:val="single" w:sz="4" w:space="0" w:color="808080"/>
            </w:tcBorders>
            <w:shd w:val="clear" w:color="auto" w:fill="E0F3EF" w:themeFill="accent1" w:themeFillTint="33"/>
          </w:tcPr>
          <w:p w:rsidR="004C10EA" w:rsidRPr="00D46D6E" w:rsidRDefault="00D46D6E" w:rsidP="00BF5BBC">
            <w:pPr>
              <w:tabs>
                <w:tab w:val="num" w:pos="568"/>
              </w:tabs>
              <w:spacing w:before="40" w:after="40" w:line="240" w:lineRule="auto"/>
              <w:rPr>
                <w:rFonts w:asciiTheme="majorHAnsi" w:hAnsiTheme="majorHAnsi" w:cs="Arial"/>
                <w:b/>
                <w:sz w:val="28"/>
                <w:szCs w:val="28"/>
                <w:lang w:eastAsia="en-US"/>
              </w:rPr>
            </w:pPr>
            <w:r w:rsidRPr="00D46D6E">
              <w:rPr>
                <w:rFonts w:asciiTheme="majorHAnsi" w:hAnsiTheme="majorHAnsi" w:cs="Arial"/>
                <w:b/>
                <w:sz w:val="28"/>
                <w:szCs w:val="28"/>
                <w:lang w:eastAsia="en-US"/>
              </w:rPr>
              <w:t>The Australia-Indonesia Health Security Partnership</w:t>
            </w:r>
          </w:p>
        </w:tc>
      </w:tr>
      <w:tr w:rsidR="004C10EA" w:rsidRPr="00966957" w:rsidTr="005166B1">
        <w:trPr>
          <w:cantSplit w:val="0"/>
        </w:trPr>
        <w:tc>
          <w:tcPr>
            <w:tcW w:w="9640" w:type="dxa"/>
            <w:shd w:val="clear" w:color="auto" w:fill="E0F3EF" w:themeFill="accent1" w:themeFillTint="33"/>
          </w:tcPr>
          <w:p w:rsidR="004C10EA" w:rsidRPr="00966957" w:rsidRDefault="004C10EA" w:rsidP="00F759AF">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Proposed </w:t>
            </w:r>
            <w:r w:rsidR="00966957" w:rsidRPr="00966957">
              <w:rPr>
                <w:rFonts w:asciiTheme="majorHAnsi" w:hAnsiTheme="majorHAnsi" w:cs="Arial"/>
                <w:b/>
                <w:sz w:val="22"/>
                <w:szCs w:val="22"/>
                <w:lang w:eastAsia="en-US"/>
              </w:rPr>
              <w:t>start date:</w:t>
            </w:r>
            <w:r w:rsidR="00F22B86">
              <w:rPr>
                <w:rFonts w:asciiTheme="majorHAnsi" w:hAnsiTheme="majorHAnsi" w:cs="Arial"/>
                <w:b/>
                <w:sz w:val="22"/>
                <w:szCs w:val="22"/>
                <w:lang w:eastAsia="en-US"/>
              </w:rPr>
              <w:t xml:space="preserve"> </w:t>
            </w:r>
            <w:r w:rsidR="000A42B8" w:rsidRPr="00F22B86">
              <w:rPr>
                <w:rFonts w:asciiTheme="majorHAnsi" w:hAnsiTheme="majorHAnsi" w:cs="Arial"/>
                <w:sz w:val="22"/>
                <w:szCs w:val="22"/>
                <w:lang w:eastAsia="en-US"/>
              </w:rPr>
              <w:t>2019</w:t>
            </w:r>
            <w:r w:rsidR="000A42B8">
              <w:rPr>
                <w:rFonts w:asciiTheme="majorHAnsi" w:hAnsiTheme="majorHAnsi" w:cs="Arial"/>
                <w:b/>
                <w:sz w:val="22"/>
                <w:szCs w:val="22"/>
                <w:lang w:eastAsia="en-US"/>
              </w:rPr>
              <w:t xml:space="preserve"> </w:t>
            </w:r>
            <w:r w:rsidR="00966957" w:rsidRPr="00966957">
              <w:rPr>
                <w:rFonts w:asciiTheme="majorHAnsi" w:hAnsiTheme="majorHAnsi" w:cs="Arial"/>
                <w:b/>
                <w:sz w:val="22"/>
                <w:szCs w:val="22"/>
                <w:lang w:eastAsia="en-US"/>
              </w:rPr>
              <w:t>End Date:</w:t>
            </w:r>
            <w:r w:rsidR="00D46D6E">
              <w:rPr>
                <w:rFonts w:asciiTheme="majorHAnsi" w:hAnsiTheme="majorHAnsi" w:cs="Arial"/>
                <w:b/>
                <w:sz w:val="22"/>
                <w:szCs w:val="22"/>
                <w:lang w:eastAsia="en-US"/>
              </w:rPr>
              <w:t xml:space="preserve"> </w:t>
            </w:r>
            <w:r w:rsidR="000A42B8" w:rsidRPr="00F22B86">
              <w:rPr>
                <w:rFonts w:asciiTheme="majorHAnsi" w:hAnsiTheme="majorHAnsi" w:cs="Arial"/>
                <w:sz w:val="22"/>
                <w:szCs w:val="22"/>
                <w:lang w:eastAsia="en-US"/>
              </w:rPr>
              <w:t>2024</w:t>
            </w:r>
          </w:p>
        </w:tc>
      </w:tr>
      <w:tr w:rsidR="004C10EA" w:rsidRPr="00966957" w:rsidTr="005166B1">
        <w:trPr>
          <w:cantSplit w:val="0"/>
        </w:trPr>
        <w:tc>
          <w:tcPr>
            <w:tcW w:w="9640" w:type="dxa"/>
            <w:shd w:val="clear" w:color="auto" w:fill="E0F3EF" w:themeFill="accent1" w:themeFillTint="33"/>
          </w:tcPr>
          <w:p w:rsidR="004C10EA" w:rsidRPr="00966957" w:rsidRDefault="00D46D6E" w:rsidP="00D92626">
            <w:pPr>
              <w:tabs>
                <w:tab w:val="num" w:pos="568"/>
              </w:tabs>
              <w:spacing w:before="40" w:after="40" w:line="240" w:lineRule="auto"/>
              <w:rPr>
                <w:rFonts w:asciiTheme="majorHAnsi" w:hAnsiTheme="majorHAnsi" w:cs="Arial"/>
                <w:b/>
                <w:sz w:val="22"/>
                <w:szCs w:val="22"/>
                <w:lang w:eastAsia="en-US"/>
              </w:rPr>
            </w:pPr>
            <w:r>
              <w:rPr>
                <w:rFonts w:asciiTheme="majorHAnsi" w:hAnsiTheme="majorHAnsi" w:cs="Arial"/>
                <w:b/>
                <w:sz w:val="22"/>
                <w:szCs w:val="22"/>
                <w:lang w:eastAsia="en-US"/>
              </w:rPr>
              <w:t>Total</w:t>
            </w:r>
            <w:r w:rsidR="004C10EA" w:rsidRPr="00966957">
              <w:rPr>
                <w:rFonts w:asciiTheme="majorHAnsi" w:hAnsiTheme="majorHAnsi" w:cs="Arial"/>
                <w:b/>
                <w:sz w:val="22"/>
                <w:szCs w:val="22"/>
                <w:lang w:eastAsia="en-US"/>
              </w:rPr>
              <w:t xml:space="preserve"> </w:t>
            </w:r>
            <w:r w:rsidR="00966957">
              <w:rPr>
                <w:rFonts w:asciiTheme="majorHAnsi" w:hAnsiTheme="majorHAnsi" w:cs="Arial"/>
                <w:b/>
                <w:sz w:val="22"/>
                <w:szCs w:val="22"/>
                <w:lang w:eastAsia="en-US"/>
              </w:rPr>
              <w:t xml:space="preserve">DFAT </w:t>
            </w:r>
            <w:r w:rsidR="004C10EA" w:rsidRPr="00966957">
              <w:rPr>
                <w:rFonts w:asciiTheme="majorHAnsi" w:hAnsiTheme="majorHAnsi" w:cs="Arial"/>
                <w:b/>
                <w:sz w:val="22"/>
                <w:szCs w:val="22"/>
                <w:lang w:eastAsia="en-US"/>
              </w:rPr>
              <w:t>funding allocation</w:t>
            </w:r>
            <w:r w:rsidR="007B147F" w:rsidRPr="00966957">
              <w:rPr>
                <w:rFonts w:asciiTheme="majorHAnsi" w:hAnsiTheme="majorHAnsi" w:cs="Arial"/>
                <w:b/>
                <w:sz w:val="22"/>
                <w:szCs w:val="22"/>
                <w:lang w:eastAsia="en-US"/>
              </w:rPr>
              <w:t>:</w:t>
            </w:r>
            <w:r w:rsidR="00966957">
              <w:rPr>
                <w:rFonts w:asciiTheme="majorHAnsi" w:hAnsiTheme="majorHAnsi" w:cs="Arial"/>
                <w:b/>
                <w:sz w:val="22"/>
                <w:szCs w:val="22"/>
                <w:lang w:eastAsia="en-US"/>
              </w:rPr>
              <w:t xml:space="preserve"> </w:t>
            </w:r>
            <w:r w:rsidR="001C0410">
              <w:rPr>
                <w:rFonts w:asciiTheme="majorHAnsi" w:hAnsiTheme="majorHAnsi" w:cs="Arial"/>
                <w:sz w:val="22"/>
                <w:szCs w:val="22"/>
                <w:lang w:eastAsia="en-US"/>
              </w:rPr>
              <w:t>$</w:t>
            </w:r>
            <w:r w:rsidR="00214E6F">
              <w:rPr>
                <w:rFonts w:asciiTheme="majorHAnsi" w:hAnsiTheme="majorHAnsi" w:cs="Arial"/>
                <w:sz w:val="22"/>
                <w:szCs w:val="22"/>
                <w:lang w:eastAsia="en-US"/>
              </w:rPr>
              <w:t xml:space="preserve">20 million </w:t>
            </w:r>
            <w:r w:rsidR="00D92626">
              <w:rPr>
                <w:rFonts w:asciiTheme="majorHAnsi" w:hAnsiTheme="majorHAnsi" w:cs="Arial"/>
                <w:sz w:val="22"/>
                <w:szCs w:val="22"/>
                <w:lang w:eastAsia="en-US"/>
              </w:rPr>
              <w:t xml:space="preserve">- $35 million </w:t>
            </w:r>
            <w:r w:rsidR="00214E6F">
              <w:rPr>
                <w:rFonts w:asciiTheme="majorHAnsi" w:hAnsiTheme="majorHAnsi" w:cs="Arial"/>
                <w:sz w:val="22"/>
                <w:szCs w:val="22"/>
                <w:lang w:eastAsia="en-US"/>
              </w:rPr>
              <w:t xml:space="preserve">over </w:t>
            </w:r>
            <w:r w:rsidR="00C6757C">
              <w:rPr>
                <w:rFonts w:asciiTheme="majorHAnsi" w:hAnsiTheme="majorHAnsi" w:cs="Arial"/>
                <w:sz w:val="22"/>
                <w:szCs w:val="22"/>
                <w:lang w:eastAsia="en-US"/>
              </w:rPr>
              <w:t>five years</w:t>
            </w:r>
            <w:r w:rsidR="001C0410">
              <w:rPr>
                <w:rFonts w:asciiTheme="majorHAnsi" w:hAnsiTheme="majorHAnsi" w:cs="Arial"/>
                <w:sz w:val="22"/>
                <w:szCs w:val="22"/>
                <w:lang w:eastAsia="en-US"/>
              </w:rPr>
              <w:t xml:space="preserve"> </w:t>
            </w:r>
          </w:p>
        </w:tc>
      </w:tr>
      <w:tr w:rsidR="004C10EA" w:rsidRPr="00966957" w:rsidTr="005166B1">
        <w:trPr>
          <w:cantSplit w:val="0"/>
        </w:trPr>
        <w:tc>
          <w:tcPr>
            <w:tcW w:w="9640" w:type="dxa"/>
            <w:shd w:val="clear" w:color="auto" w:fill="E0F3EF" w:themeFill="accent1" w:themeFillTint="33"/>
          </w:tcPr>
          <w:p w:rsidR="004C10EA" w:rsidRPr="00966957" w:rsidRDefault="004C10EA" w:rsidP="0043696E">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Risk and Value </w:t>
            </w:r>
            <w:r w:rsidR="00966957" w:rsidRPr="00966957">
              <w:rPr>
                <w:rFonts w:asciiTheme="majorHAnsi" w:hAnsiTheme="majorHAnsi" w:cs="Arial"/>
                <w:b/>
                <w:sz w:val="22"/>
                <w:szCs w:val="22"/>
                <w:lang w:eastAsia="en-US"/>
              </w:rPr>
              <w:t>Profile</w:t>
            </w:r>
            <w:r w:rsidRPr="00966957">
              <w:rPr>
                <w:rFonts w:asciiTheme="majorHAnsi" w:hAnsiTheme="majorHAnsi" w:cs="Arial"/>
                <w:b/>
                <w:sz w:val="22"/>
                <w:szCs w:val="22"/>
                <w:lang w:eastAsia="en-US"/>
              </w:rPr>
              <w:t>:</w:t>
            </w:r>
            <w:r w:rsidRPr="00966957">
              <w:rPr>
                <w:rFonts w:asciiTheme="majorHAnsi" w:hAnsiTheme="majorHAnsi" w:cs="Arial"/>
                <w:b/>
                <w:sz w:val="22"/>
                <w:szCs w:val="22"/>
                <w:lang w:eastAsia="en-US"/>
              </w:rPr>
              <w:tab/>
            </w:r>
            <w:r w:rsidR="00D46D6E" w:rsidRPr="009845E8">
              <w:rPr>
                <w:rFonts w:asciiTheme="majorHAnsi" w:hAnsiTheme="majorHAnsi" w:cs="Arial"/>
                <w:sz w:val="22"/>
                <w:szCs w:val="22"/>
                <w:lang w:eastAsia="en-US"/>
              </w:rPr>
              <w:t xml:space="preserve">Low </w:t>
            </w:r>
            <w:r w:rsidRPr="009845E8">
              <w:rPr>
                <w:rFonts w:asciiTheme="majorHAnsi" w:hAnsiTheme="majorHAnsi" w:cs="Arial"/>
                <w:sz w:val="22"/>
                <w:szCs w:val="22"/>
                <w:lang w:eastAsia="en-US"/>
              </w:rPr>
              <w:t xml:space="preserve">Risk / </w:t>
            </w:r>
            <w:r w:rsidR="0043696E" w:rsidRPr="006A1534">
              <w:rPr>
                <w:rFonts w:asciiTheme="majorHAnsi" w:hAnsiTheme="majorHAnsi" w:cs="Arial"/>
                <w:sz w:val="22"/>
                <w:szCs w:val="22"/>
                <w:lang w:eastAsia="en-US"/>
              </w:rPr>
              <w:t>Low Value</w:t>
            </w:r>
          </w:p>
        </w:tc>
      </w:tr>
      <w:tr w:rsidR="004C10EA" w:rsidRPr="00966957" w:rsidTr="005166B1">
        <w:trPr>
          <w:cantSplit w:val="0"/>
        </w:trPr>
        <w:tc>
          <w:tcPr>
            <w:tcW w:w="9640" w:type="dxa"/>
            <w:shd w:val="clear" w:color="auto" w:fill="E0F3EF" w:themeFill="accent1" w:themeFillTint="33"/>
          </w:tcPr>
          <w:p w:rsidR="004C10EA" w:rsidRPr="008A24F9" w:rsidRDefault="004C10EA" w:rsidP="00214E6F">
            <w:pPr>
              <w:tabs>
                <w:tab w:val="num" w:pos="568"/>
              </w:tabs>
              <w:spacing w:before="40" w:after="40" w:line="240" w:lineRule="auto"/>
              <w:rPr>
                <w:rFonts w:asciiTheme="majorHAnsi" w:hAnsiTheme="majorHAnsi" w:cs="Arial"/>
                <w:sz w:val="22"/>
                <w:szCs w:val="22"/>
                <w:lang w:eastAsia="en-US"/>
              </w:rPr>
            </w:pPr>
            <w:r w:rsidRPr="00966957">
              <w:rPr>
                <w:rFonts w:asciiTheme="majorHAnsi" w:hAnsiTheme="majorHAnsi" w:cs="Arial"/>
                <w:b/>
                <w:sz w:val="22"/>
                <w:szCs w:val="22"/>
                <w:lang w:eastAsia="en-US"/>
              </w:rPr>
              <w:t xml:space="preserve">Proposed Design Pathway: </w:t>
            </w:r>
            <w:r w:rsidR="008A24F9">
              <w:rPr>
                <w:rFonts w:asciiTheme="majorHAnsi" w:hAnsiTheme="majorHAnsi" w:cs="Arial"/>
                <w:b/>
                <w:sz w:val="22"/>
                <w:szCs w:val="22"/>
                <w:lang w:eastAsia="en-US"/>
              </w:rPr>
              <w:t xml:space="preserve"> </w:t>
            </w:r>
            <w:r w:rsidR="008A24F9">
              <w:rPr>
                <w:rFonts w:asciiTheme="majorHAnsi" w:hAnsiTheme="majorHAnsi" w:cs="Arial"/>
                <w:sz w:val="22"/>
                <w:szCs w:val="22"/>
                <w:lang w:eastAsia="en-US"/>
              </w:rPr>
              <w:t>DFAT-</w:t>
            </w:r>
            <w:r w:rsidR="00214E6F">
              <w:rPr>
                <w:rFonts w:asciiTheme="majorHAnsi" w:hAnsiTheme="majorHAnsi" w:cs="Arial"/>
                <w:sz w:val="22"/>
                <w:szCs w:val="22"/>
                <w:lang w:eastAsia="en-US"/>
              </w:rPr>
              <w:t>facilitated</w:t>
            </w:r>
            <w:r w:rsidR="008A24F9">
              <w:rPr>
                <w:rFonts w:asciiTheme="majorHAnsi" w:hAnsiTheme="majorHAnsi" w:cs="Arial"/>
                <w:sz w:val="22"/>
                <w:szCs w:val="22"/>
                <w:lang w:eastAsia="en-US"/>
              </w:rPr>
              <w:t xml:space="preserve"> design</w:t>
            </w:r>
          </w:p>
        </w:tc>
      </w:tr>
      <w:tr w:rsidR="00966957" w:rsidRPr="00966957" w:rsidTr="005166B1">
        <w:tblPrEx>
          <w:shd w:val="clear" w:color="auto" w:fill="auto"/>
        </w:tblPrEx>
        <w:trPr>
          <w:trHeight w:val="360"/>
        </w:trPr>
        <w:tc>
          <w:tcPr>
            <w:tcW w:w="9640" w:type="dxa"/>
            <w:shd w:val="clear" w:color="auto" w:fill="E0F3EF" w:themeFill="accent1" w:themeFillTint="33"/>
          </w:tcPr>
          <w:p w:rsidR="00D46D6E" w:rsidRDefault="00966957" w:rsidP="00BF5BBC">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Delegate approving concept at post: </w:t>
            </w:r>
          </w:p>
          <w:p w:rsidR="00966957" w:rsidRPr="009845E8" w:rsidRDefault="00D46D6E" w:rsidP="00BF5BBC">
            <w:pPr>
              <w:tabs>
                <w:tab w:val="num" w:pos="568"/>
              </w:tabs>
              <w:spacing w:before="40" w:after="40" w:line="240" w:lineRule="auto"/>
              <w:rPr>
                <w:rFonts w:asciiTheme="majorHAnsi" w:hAnsiTheme="majorHAnsi" w:cs="Arial"/>
                <w:sz w:val="22"/>
                <w:szCs w:val="22"/>
                <w:lang w:eastAsia="en-US"/>
              </w:rPr>
            </w:pPr>
            <w:r w:rsidRPr="009845E8">
              <w:rPr>
                <w:rFonts w:asciiTheme="majorHAnsi" w:hAnsiTheme="majorHAnsi" w:cs="Arial"/>
                <w:sz w:val="22"/>
                <w:szCs w:val="22"/>
                <w:lang w:eastAsia="en-US"/>
              </w:rPr>
              <w:t>Minister Counsellor Governance and Human Development</w:t>
            </w:r>
            <w:r w:rsidR="00966957" w:rsidRPr="009845E8">
              <w:rPr>
                <w:rFonts w:asciiTheme="majorHAnsi" w:hAnsiTheme="majorHAnsi" w:cs="Arial"/>
                <w:sz w:val="22"/>
                <w:szCs w:val="22"/>
                <w:lang w:eastAsia="en-US"/>
              </w:rPr>
              <w:t xml:space="preserve">                                       </w:t>
            </w:r>
          </w:p>
        </w:tc>
      </w:tr>
      <w:tr w:rsidR="00966957" w:rsidRPr="00966957" w:rsidTr="005166B1">
        <w:tblPrEx>
          <w:shd w:val="clear" w:color="auto" w:fill="auto"/>
        </w:tblPrEx>
        <w:trPr>
          <w:trHeight w:val="360"/>
        </w:trPr>
        <w:tc>
          <w:tcPr>
            <w:tcW w:w="9640" w:type="dxa"/>
            <w:shd w:val="clear" w:color="auto" w:fill="E0F3EF" w:themeFill="accent1" w:themeFillTint="33"/>
          </w:tcPr>
          <w:p w:rsidR="00B16B74" w:rsidRDefault="00966957" w:rsidP="00BF5BBC">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Delegate approving concept at desk/in Canberra: </w:t>
            </w:r>
          </w:p>
          <w:p w:rsidR="00B16B74" w:rsidRDefault="00B16B74" w:rsidP="00BF5BBC">
            <w:pPr>
              <w:tabs>
                <w:tab w:val="num" w:pos="568"/>
              </w:tabs>
              <w:spacing w:before="40" w:after="40" w:line="240" w:lineRule="auto"/>
              <w:rPr>
                <w:rFonts w:asciiTheme="majorHAnsi" w:hAnsiTheme="majorHAnsi" w:cs="Arial"/>
                <w:sz w:val="22"/>
                <w:szCs w:val="22"/>
                <w:lang w:eastAsia="en-US"/>
              </w:rPr>
            </w:pPr>
            <w:r>
              <w:rPr>
                <w:rFonts w:asciiTheme="majorHAnsi" w:hAnsiTheme="majorHAnsi" w:cs="Arial"/>
                <w:sz w:val="22"/>
                <w:szCs w:val="22"/>
                <w:lang w:eastAsia="en-US"/>
              </w:rPr>
              <w:t>Assistant Secretary Indonesia Branch</w:t>
            </w:r>
          </w:p>
          <w:p w:rsidR="00966957" w:rsidRPr="00BF5BBC" w:rsidRDefault="00CD40A9" w:rsidP="00BF3663">
            <w:pPr>
              <w:tabs>
                <w:tab w:val="num" w:pos="568"/>
              </w:tabs>
              <w:spacing w:before="40" w:after="40" w:line="240" w:lineRule="auto"/>
              <w:rPr>
                <w:rFonts w:asciiTheme="majorHAnsi" w:hAnsiTheme="majorHAnsi" w:cs="Arial"/>
                <w:sz w:val="22"/>
                <w:szCs w:val="22"/>
                <w:lang w:eastAsia="en-US"/>
              </w:rPr>
            </w:pPr>
            <w:r>
              <w:rPr>
                <w:rFonts w:asciiTheme="majorHAnsi" w:hAnsiTheme="majorHAnsi" w:cs="Arial"/>
                <w:sz w:val="22"/>
                <w:szCs w:val="22"/>
                <w:lang w:eastAsia="en-US"/>
              </w:rPr>
              <w:t xml:space="preserve">Head </w:t>
            </w:r>
            <w:r w:rsidR="00F759AF">
              <w:rPr>
                <w:rFonts w:asciiTheme="majorHAnsi" w:hAnsiTheme="majorHAnsi" w:cs="Arial"/>
                <w:sz w:val="22"/>
                <w:szCs w:val="22"/>
                <w:lang w:eastAsia="en-US"/>
              </w:rPr>
              <w:t xml:space="preserve">of Indo-Pacific </w:t>
            </w:r>
            <w:r>
              <w:rPr>
                <w:rFonts w:asciiTheme="majorHAnsi" w:hAnsiTheme="majorHAnsi" w:cs="Arial"/>
                <w:sz w:val="22"/>
                <w:szCs w:val="22"/>
                <w:lang w:eastAsia="en-US"/>
              </w:rPr>
              <w:t>Centre for Health Security</w:t>
            </w:r>
          </w:p>
        </w:tc>
      </w:tr>
    </w:tbl>
    <w:p w:rsidR="004C10EA" w:rsidRPr="00966957" w:rsidRDefault="004C10EA" w:rsidP="004C10EA">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966957" w:rsidRDefault="004C10EA" w:rsidP="001D16D2">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t xml:space="preserve">B: Problem/Issue definition and rationale for investment (Why)  </w:t>
            </w:r>
          </w:p>
        </w:tc>
      </w:tr>
      <w:tr w:rsidR="004C10EA" w:rsidRPr="00966957" w:rsidTr="00264300">
        <w:trPr>
          <w:cantSplit w:val="0"/>
        </w:trPr>
        <w:tc>
          <w:tcPr>
            <w:tcW w:w="9606" w:type="dxa"/>
          </w:tcPr>
          <w:p w:rsidR="0086261E" w:rsidRPr="00BF5BBC" w:rsidRDefault="00B1358C"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AU"/>
              </w:rPr>
              <w:t>The threat of current and emerging infectious dis</w:t>
            </w:r>
            <w:r w:rsidR="00264300" w:rsidRPr="00BF5BBC">
              <w:rPr>
                <w:rFonts w:asciiTheme="majorHAnsi" w:hAnsiTheme="majorHAnsi" w:cs="Arial"/>
                <w:color w:val="595959" w:themeColor="text1" w:themeTint="A6"/>
                <w:sz w:val="21"/>
                <w:szCs w:val="21"/>
                <w:lang w:val="en-AU"/>
              </w:rPr>
              <w:t>eases rema</w:t>
            </w:r>
            <w:r w:rsidR="00E959D6" w:rsidRPr="00BF5BBC">
              <w:rPr>
                <w:rFonts w:asciiTheme="majorHAnsi" w:hAnsiTheme="majorHAnsi" w:cs="Arial"/>
                <w:color w:val="595959" w:themeColor="text1" w:themeTint="A6"/>
                <w:sz w:val="21"/>
                <w:szCs w:val="21"/>
                <w:lang w:val="en-AU"/>
              </w:rPr>
              <w:t>ins high in Indonesia, posing</w:t>
            </w:r>
            <w:r w:rsidRPr="00BF5BBC">
              <w:rPr>
                <w:rFonts w:asciiTheme="majorHAnsi" w:hAnsiTheme="majorHAnsi" w:cs="Arial"/>
                <w:color w:val="595959" w:themeColor="text1" w:themeTint="A6"/>
                <w:sz w:val="21"/>
                <w:szCs w:val="21"/>
                <w:lang w:val="en-AU"/>
              </w:rPr>
              <w:t xml:space="preserve"> risk</w:t>
            </w:r>
            <w:r w:rsidR="00E959D6" w:rsidRPr="00BF5BBC">
              <w:rPr>
                <w:rFonts w:asciiTheme="majorHAnsi" w:hAnsiTheme="majorHAnsi" w:cs="Arial"/>
                <w:color w:val="595959" w:themeColor="text1" w:themeTint="A6"/>
                <w:sz w:val="21"/>
                <w:szCs w:val="21"/>
                <w:lang w:val="en-AU"/>
              </w:rPr>
              <w:t>s</w:t>
            </w:r>
            <w:r w:rsidRPr="00BF5BBC">
              <w:rPr>
                <w:rFonts w:asciiTheme="majorHAnsi" w:hAnsiTheme="majorHAnsi" w:cs="Arial"/>
                <w:color w:val="595959" w:themeColor="text1" w:themeTint="A6"/>
                <w:sz w:val="21"/>
                <w:szCs w:val="21"/>
                <w:lang w:val="en-AU"/>
              </w:rPr>
              <w:t xml:space="preserve"> for Australia and the region. </w:t>
            </w:r>
            <w:r w:rsidR="0003793A" w:rsidRPr="00BF5BBC">
              <w:rPr>
                <w:rFonts w:asciiTheme="majorHAnsi" w:hAnsiTheme="majorHAnsi" w:cs="Arial"/>
                <w:color w:val="595959" w:themeColor="text1" w:themeTint="A6"/>
                <w:sz w:val="21"/>
                <w:szCs w:val="21"/>
                <w:lang w:val="en-US"/>
              </w:rPr>
              <w:t xml:space="preserve">Many of the drivers for the emergence of disease and their rapid spread are prevalent in Indonesia, making it </w:t>
            </w:r>
            <w:r w:rsidR="001F528D" w:rsidRPr="00BF5BBC">
              <w:rPr>
                <w:rFonts w:asciiTheme="majorHAnsi" w:hAnsiTheme="majorHAnsi" w:cs="Arial"/>
                <w:color w:val="595959" w:themeColor="text1" w:themeTint="A6"/>
                <w:sz w:val="21"/>
                <w:szCs w:val="21"/>
                <w:lang w:val="en-US"/>
              </w:rPr>
              <w:t>an ongoing</w:t>
            </w:r>
            <w:r w:rsidR="0003793A" w:rsidRPr="00BF5BBC">
              <w:rPr>
                <w:rFonts w:asciiTheme="majorHAnsi" w:hAnsiTheme="majorHAnsi" w:cs="Arial"/>
                <w:color w:val="595959" w:themeColor="text1" w:themeTint="A6"/>
                <w:sz w:val="21"/>
                <w:szCs w:val="21"/>
                <w:lang w:val="en-US"/>
              </w:rPr>
              <w:t xml:space="preserve"> focus of Australia’s health security efforts. </w:t>
            </w:r>
            <w:r w:rsidRPr="00BF5BBC">
              <w:rPr>
                <w:rFonts w:asciiTheme="majorHAnsi" w:hAnsiTheme="majorHAnsi" w:cs="Arial"/>
                <w:color w:val="595959" w:themeColor="text1" w:themeTint="A6"/>
                <w:sz w:val="21"/>
                <w:szCs w:val="21"/>
                <w:lang w:val="en-US"/>
              </w:rPr>
              <w:t xml:space="preserve">A major disease outbreak in Indonesia, and into </w:t>
            </w:r>
            <w:r w:rsidR="00D20B98" w:rsidRPr="00BF5BBC">
              <w:rPr>
                <w:rFonts w:asciiTheme="majorHAnsi" w:hAnsiTheme="majorHAnsi" w:cs="Arial"/>
                <w:color w:val="595959" w:themeColor="text1" w:themeTint="A6"/>
                <w:sz w:val="21"/>
                <w:szCs w:val="21"/>
                <w:lang w:val="en-US"/>
              </w:rPr>
              <w:t xml:space="preserve">the </w:t>
            </w:r>
            <w:r w:rsidR="00C91F35" w:rsidRPr="00BF5BBC">
              <w:rPr>
                <w:rFonts w:asciiTheme="majorHAnsi" w:hAnsiTheme="majorHAnsi" w:cs="Arial"/>
                <w:color w:val="595959" w:themeColor="text1" w:themeTint="A6"/>
                <w:sz w:val="21"/>
                <w:szCs w:val="21"/>
                <w:lang w:val="en-US"/>
              </w:rPr>
              <w:t>Indo-</w:t>
            </w:r>
            <w:r w:rsidR="00D20B98" w:rsidRPr="00BF5BBC">
              <w:rPr>
                <w:rFonts w:asciiTheme="majorHAnsi" w:hAnsiTheme="majorHAnsi" w:cs="Arial"/>
                <w:color w:val="595959" w:themeColor="text1" w:themeTint="A6"/>
                <w:sz w:val="21"/>
                <w:szCs w:val="21"/>
                <w:lang w:val="en-US"/>
              </w:rPr>
              <w:t>Pacific</w:t>
            </w:r>
            <w:r w:rsidRPr="00BF5BBC">
              <w:rPr>
                <w:rFonts w:asciiTheme="majorHAnsi" w:hAnsiTheme="majorHAnsi" w:cs="Arial"/>
                <w:color w:val="595959" w:themeColor="text1" w:themeTint="A6"/>
                <w:sz w:val="21"/>
                <w:szCs w:val="21"/>
                <w:lang w:val="en-US"/>
              </w:rPr>
              <w:t xml:space="preserve">, would have severe health and economic implications– costing lives, disrupting trade, investment and people movement. </w:t>
            </w:r>
          </w:p>
          <w:p w:rsidR="00064266" w:rsidRDefault="001F528D"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w:t>
            </w:r>
            <w:r w:rsidR="00264300" w:rsidRPr="00BF5BBC">
              <w:rPr>
                <w:rFonts w:asciiTheme="majorHAnsi" w:hAnsiTheme="majorHAnsi" w:cs="Arial"/>
                <w:color w:val="595959" w:themeColor="text1" w:themeTint="A6"/>
                <w:sz w:val="21"/>
                <w:szCs w:val="21"/>
                <w:lang w:val="en-US"/>
              </w:rPr>
              <w:t xml:space="preserve">nfectious diseases </w:t>
            </w:r>
            <w:r w:rsidR="00B865D8" w:rsidRPr="00BF5BBC">
              <w:rPr>
                <w:rFonts w:asciiTheme="majorHAnsi" w:hAnsiTheme="majorHAnsi" w:cs="Arial"/>
                <w:color w:val="595959" w:themeColor="text1" w:themeTint="A6"/>
                <w:sz w:val="21"/>
                <w:szCs w:val="21"/>
                <w:lang w:val="en-US"/>
              </w:rPr>
              <w:t xml:space="preserve">continue to contribute to </w:t>
            </w:r>
            <w:r w:rsidR="00264300" w:rsidRPr="00BF5BBC">
              <w:rPr>
                <w:rFonts w:asciiTheme="majorHAnsi" w:hAnsiTheme="majorHAnsi" w:cs="Arial"/>
                <w:color w:val="595959" w:themeColor="text1" w:themeTint="A6"/>
                <w:sz w:val="21"/>
                <w:szCs w:val="21"/>
                <w:lang w:val="en-US"/>
              </w:rPr>
              <w:t>mo</w:t>
            </w:r>
            <w:r w:rsidR="00E959D6" w:rsidRPr="00BF5BBC">
              <w:rPr>
                <w:rFonts w:asciiTheme="majorHAnsi" w:hAnsiTheme="majorHAnsi" w:cs="Arial"/>
                <w:color w:val="595959" w:themeColor="text1" w:themeTint="A6"/>
                <w:sz w:val="21"/>
                <w:szCs w:val="21"/>
                <w:lang w:val="en-US"/>
              </w:rPr>
              <w:t>rbidity and premature mortality</w:t>
            </w:r>
            <w:r w:rsidRPr="00BF5BBC">
              <w:rPr>
                <w:rFonts w:asciiTheme="majorHAnsi" w:hAnsiTheme="majorHAnsi" w:cs="Arial"/>
                <w:color w:val="595959" w:themeColor="text1" w:themeTint="A6"/>
                <w:sz w:val="21"/>
                <w:szCs w:val="21"/>
                <w:lang w:val="en-US"/>
              </w:rPr>
              <w:t xml:space="preserve"> in Indonesia</w:t>
            </w:r>
            <w:r w:rsidR="00264300" w:rsidRPr="00BF5BBC">
              <w:rPr>
                <w:rFonts w:asciiTheme="majorHAnsi" w:hAnsiTheme="majorHAnsi" w:cs="Arial"/>
                <w:color w:val="595959" w:themeColor="text1" w:themeTint="A6"/>
                <w:sz w:val="21"/>
                <w:szCs w:val="21"/>
                <w:lang w:val="en-US"/>
              </w:rPr>
              <w:t xml:space="preserve">. </w:t>
            </w:r>
            <w:r w:rsidR="00AD52CB" w:rsidRPr="00AD52CB">
              <w:rPr>
                <w:rFonts w:asciiTheme="majorHAnsi" w:hAnsiTheme="majorHAnsi" w:cs="Arial"/>
                <w:color w:val="595959" w:themeColor="text1" w:themeTint="A6"/>
                <w:sz w:val="21"/>
                <w:szCs w:val="21"/>
                <w:lang w:val="en-US"/>
              </w:rPr>
              <w:t>Indonesia has the second highest</w:t>
            </w:r>
            <w:r w:rsidR="00B7735D">
              <w:rPr>
                <w:rFonts w:asciiTheme="majorHAnsi" w:hAnsiTheme="majorHAnsi" w:cs="Arial"/>
                <w:color w:val="595959" w:themeColor="text1" w:themeTint="A6"/>
                <w:sz w:val="21"/>
                <w:szCs w:val="21"/>
                <w:lang w:val="en-US"/>
              </w:rPr>
              <w:t xml:space="preserve"> (after </w:t>
            </w:r>
            <w:r w:rsidR="00C6757C">
              <w:rPr>
                <w:rFonts w:asciiTheme="majorHAnsi" w:hAnsiTheme="majorHAnsi" w:cs="Arial"/>
                <w:color w:val="595959" w:themeColor="text1" w:themeTint="A6"/>
                <w:sz w:val="21"/>
                <w:szCs w:val="21"/>
                <w:lang w:val="en-US"/>
              </w:rPr>
              <w:t>India</w:t>
            </w:r>
            <w:r w:rsidR="00B7735D">
              <w:rPr>
                <w:rFonts w:asciiTheme="majorHAnsi" w:hAnsiTheme="majorHAnsi" w:cs="Arial"/>
                <w:color w:val="595959" w:themeColor="text1" w:themeTint="A6"/>
                <w:sz w:val="21"/>
                <w:szCs w:val="21"/>
                <w:lang w:val="en-US"/>
              </w:rPr>
              <w:t>)</w:t>
            </w:r>
            <w:r w:rsidR="00AD52CB" w:rsidRPr="00AD52CB">
              <w:rPr>
                <w:rFonts w:asciiTheme="majorHAnsi" w:hAnsiTheme="majorHAnsi" w:cs="Arial"/>
                <w:color w:val="595959" w:themeColor="text1" w:themeTint="A6"/>
                <w:sz w:val="21"/>
                <w:szCs w:val="21"/>
                <w:lang w:val="en-US"/>
              </w:rPr>
              <w:t xml:space="preserve"> </w:t>
            </w:r>
            <w:r w:rsidR="00AD52CB">
              <w:rPr>
                <w:rFonts w:asciiTheme="majorHAnsi" w:hAnsiTheme="majorHAnsi" w:cs="Arial"/>
                <w:color w:val="595959" w:themeColor="text1" w:themeTint="A6"/>
                <w:sz w:val="21"/>
                <w:szCs w:val="21"/>
                <w:lang w:val="en-US"/>
              </w:rPr>
              <w:t>t</w:t>
            </w:r>
            <w:r w:rsidR="00AD52CB" w:rsidRPr="00AD52CB">
              <w:rPr>
                <w:rFonts w:asciiTheme="majorHAnsi" w:hAnsiTheme="majorHAnsi" w:cs="Arial"/>
                <w:color w:val="595959" w:themeColor="text1" w:themeTint="A6"/>
                <w:sz w:val="21"/>
                <w:szCs w:val="21"/>
                <w:lang w:val="en-US"/>
              </w:rPr>
              <w:t>uberculosis (TB) burden in the world</w:t>
            </w:r>
            <w:r w:rsidR="00EA1844">
              <w:rPr>
                <w:rFonts w:asciiTheme="majorHAnsi" w:hAnsiTheme="majorHAnsi" w:cs="Arial"/>
                <w:color w:val="595959" w:themeColor="text1" w:themeTint="A6"/>
                <w:sz w:val="21"/>
                <w:szCs w:val="21"/>
                <w:lang w:val="en-US"/>
              </w:rPr>
              <w:t xml:space="preserve"> (1.6 million cases in 2016) and </w:t>
            </w:r>
            <w:r w:rsidR="00EA1844" w:rsidRPr="00EA1844">
              <w:rPr>
                <w:rFonts w:asciiTheme="majorHAnsi" w:hAnsiTheme="majorHAnsi" w:cs="Arial"/>
                <w:color w:val="595959" w:themeColor="text1" w:themeTint="A6"/>
                <w:sz w:val="21"/>
                <w:szCs w:val="21"/>
                <w:lang w:val="en-US"/>
              </w:rPr>
              <w:t xml:space="preserve">has one of the highest burdens </w:t>
            </w:r>
            <w:r w:rsidR="00EA1844">
              <w:rPr>
                <w:rFonts w:asciiTheme="majorHAnsi" w:hAnsiTheme="majorHAnsi" w:cs="Arial"/>
                <w:color w:val="595959" w:themeColor="text1" w:themeTint="A6"/>
                <w:sz w:val="21"/>
                <w:szCs w:val="21"/>
                <w:lang w:val="en-US"/>
              </w:rPr>
              <w:t>of multidrug resistant (MDR) TB.</w:t>
            </w:r>
            <w:r w:rsidR="00AD52CB" w:rsidRPr="00AD52CB">
              <w:rPr>
                <w:rFonts w:asciiTheme="majorHAnsi" w:hAnsiTheme="majorHAnsi" w:cs="Arial"/>
                <w:color w:val="595959" w:themeColor="text1" w:themeTint="A6"/>
                <w:sz w:val="21"/>
                <w:szCs w:val="21"/>
                <w:lang w:val="en-US"/>
              </w:rPr>
              <w:t xml:space="preserve">  </w:t>
            </w:r>
            <w:r w:rsidR="00064266">
              <w:rPr>
                <w:rFonts w:asciiTheme="majorHAnsi" w:hAnsiTheme="majorHAnsi" w:cs="Arial"/>
                <w:color w:val="595959" w:themeColor="text1" w:themeTint="A6"/>
                <w:sz w:val="21"/>
                <w:szCs w:val="21"/>
                <w:lang w:val="en-US"/>
              </w:rPr>
              <w:t xml:space="preserve">MDR-TB is one example of antimicrobial resistance (AMR) – a growing threat to Indonesia and beyond. AMR </w:t>
            </w:r>
            <w:r w:rsidR="00064266" w:rsidRPr="00064266">
              <w:rPr>
                <w:rFonts w:asciiTheme="majorHAnsi" w:hAnsiTheme="majorHAnsi" w:cs="Arial"/>
                <w:color w:val="595959" w:themeColor="text1" w:themeTint="A6"/>
                <w:sz w:val="21"/>
                <w:szCs w:val="21"/>
                <w:lang w:val="en-US"/>
              </w:rPr>
              <w:t>develops when micro-organisms – bacteria, parasites or viruses – no longer respond to the drug or drugs designed to treat them.</w:t>
            </w:r>
          </w:p>
          <w:p w:rsidR="00AD52CB" w:rsidRDefault="00AD52CB" w:rsidP="00BF5BBC">
            <w:pPr>
              <w:suppressAutoHyphens w:val="0"/>
              <w:spacing w:after="0" w:line="240" w:lineRule="auto"/>
              <w:rPr>
                <w:rFonts w:asciiTheme="majorHAnsi" w:hAnsiTheme="majorHAnsi" w:cs="Arial"/>
                <w:color w:val="595959" w:themeColor="text1" w:themeTint="A6"/>
                <w:sz w:val="21"/>
                <w:szCs w:val="21"/>
                <w:lang w:val="en-US"/>
              </w:rPr>
            </w:pPr>
            <w:r w:rsidRPr="00AD52CB">
              <w:rPr>
                <w:rFonts w:asciiTheme="majorHAnsi" w:hAnsiTheme="majorHAnsi" w:cs="Arial"/>
                <w:color w:val="595959" w:themeColor="text1" w:themeTint="A6"/>
                <w:sz w:val="21"/>
                <w:szCs w:val="21"/>
                <w:lang w:val="en-US"/>
              </w:rPr>
              <w:t xml:space="preserve">Indonesia is among few countries in the world that </w:t>
            </w:r>
            <w:r w:rsidR="00B7735D">
              <w:rPr>
                <w:rFonts w:asciiTheme="majorHAnsi" w:hAnsiTheme="majorHAnsi" w:cs="Arial"/>
                <w:color w:val="595959" w:themeColor="text1" w:themeTint="A6"/>
                <w:sz w:val="21"/>
                <w:szCs w:val="21"/>
                <w:lang w:val="en-US"/>
              </w:rPr>
              <w:t xml:space="preserve">have </w:t>
            </w:r>
            <w:r w:rsidRPr="00AD52CB">
              <w:rPr>
                <w:rFonts w:asciiTheme="majorHAnsi" w:hAnsiTheme="majorHAnsi" w:cs="Arial"/>
                <w:color w:val="595959" w:themeColor="text1" w:themeTint="A6"/>
                <w:sz w:val="21"/>
                <w:szCs w:val="21"/>
                <w:lang w:val="en-US"/>
              </w:rPr>
              <w:t>reported a</w:t>
            </w:r>
            <w:r w:rsidR="00B7735D">
              <w:rPr>
                <w:rFonts w:asciiTheme="majorHAnsi" w:hAnsiTheme="majorHAnsi" w:cs="Arial"/>
                <w:color w:val="595959" w:themeColor="text1" w:themeTint="A6"/>
                <w:sz w:val="21"/>
                <w:szCs w:val="21"/>
                <w:lang w:val="en-US"/>
              </w:rPr>
              <w:t xml:space="preserve"> recent </w:t>
            </w:r>
            <w:r w:rsidRPr="00AD52CB">
              <w:rPr>
                <w:rFonts w:asciiTheme="majorHAnsi" w:hAnsiTheme="majorHAnsi" w:cs="Arial"/>
                <w:color w:val="595959" w:themeColor="text1" w:themeTint="A6"/>
                <w:sz w:val="21"/>
                <w:szCs w:val="21"/>
                <w:lang w:val="en-US"/>
              </w:rPr>
              <w:t>increase of HIV incidence among key affected population groups</w:t>
            </w:r>
            <w:r>
              <w:rPr>
                <w:rFonts w:asciiTheme="majorHAnsi" w:hAnsiTheme="majorHAnsi" w:cs="Arial"/>
                <w:color w:val="595959" w:themeColor="text1" w:themeTint="A6"/>
                <w:sz w:val="21"/>
                <w:szCs w:val="21"/>
                <w:lang w:val="en-US"/>
              </w:rPr>
              <w:t xml:space="preserve"> (KAP)</w:t>
            </w:r>
            <w:r w:rsidRPr="00AD52CB">
              <w:rPr>
                <w:rFonts w:asciiTheme="majorHAnsi" w:hAnsiTheme="majorHAnsi" w:cs="Arial"/>
                <w:color w:val="595959" w:themeColor="text1" w:themeTint="A6"/>
                <w:sz w:val="21"/>
                <w:szCs w:val="21"/>
                <w:lang w:val="en-US"/>
              </w:rPr>
              <w:t>. Although the epidemic i</w:t>
            </w:r>
            <w:r w:rsidR="00B7735D">
              <w:rPr>
                <w:rFonts w:asciiTheme="majorHAnsi" w:hAnsiTheme="majorHAnsi" w:cs="Arial"/>
                <w:color w:val="595959" w:themeColor="text1" w:themeTint="A6"/>
                <w:sz w:val="21"/>
                <w:szCs w:val="21"/>
                <w:lang w:val="en-US"/>
              </w:rPr>
              <w:t>s</w:t>
            </w:r>
            <w:r w:rsidRPr="00AD52CB">
              <w:rPr>
                <w:rFonts w:asciiTheme="majorHAnsi" w:hAnsiTheme="majorHAnsi" w:cs="Arial"/>
                <w:color w:val="595959" w:themeColor="text1" w:themeTint="A6"/>
                <w:sz w:val="21"/>
                <w:szCs w:val="21"/>
                <w:lang w:val="en-US"/>
              </w:rPr>
              <w:t xml:space="preserve"> concentrated in </w:t>
            </w:r>
            <w:r>
              <w:rPr>
                <w:rFonts w:asciiTheme="majorHAnsi" w:hAnsiTheme="majorHAnsi" w:cs="Arial"/>
                <w:color w:val="595959" w:themeColor="text1" w:themeTint="A6"/>
                <w:sz w:val="21"/>
                <w:szCs w:val="21"/>
                <w:lang w:val="en-US"/>
              </w:rPr>
              <w:t>KAP</w:t>
            </w:r>
            <w:r w:rsidRPr="00AD52CB">
              <w:rPr>
                <w:rFonts w:asciiTheme="majorHAnsi" w:hAnsiTheme="majorHAnsi" w:cs="Arial"/>
                <w:color w:val="595959" w:themeColor="text1" w:themeTint="A6"/>
                <w:sz w:val="21"/>
                <w:szCs w:val="21"/>
                <w:lang w:val="en-US"/>
              </w:rPr>
              <w:t xml:space="preserve">s, there is </w:t>
            </w:r>
            <w:r w:rsidR="00B7735D">
              <w:rPr>
                <w:rFonts w:asciiTheme="majorHAnsi" w:hAnsiTheme="majorHAnsi" w:cs="Arial"/>
                <w:color w:val="595959" w:themeColor="text1" w:themeTint="A6"/>
                <w:sz w:val="21"/>
                <w:szCs w:val="21"/>
                <w:lang w:val="en-US"/>
              </w:rPr>
              <w:t xml:space="preserve">a </w:t>
            </w:r>
            <w:r w:rsidRPr="00AD52CB">
              <w:rPr>
                <w:rFonts w:asciiTheme="majorHAnsi" w:hAnsiTheme="majorHAnsi" w:cs="Arial"/>
                <w:color w:val="595959" w:themeColor="text1" w:themeTint="A6"/>
                <w:sz w:val="21"/>
                <w:szCs w:val="21"/>
                <w:lang w:val="en-US"/>
              </w:rPr>
              <w:t xml:space="preserve">generalized HIV epidemic in Papua and West Papua.  Despite good levels of immunisation coverage, vaccine preventable infections and outbreaks continue to be reported, most recently </w:t>
            </w:r>
            <w:r w:rsidR="00B7735D">
              <w:rPr>
                <w:rFonts w:asciiTheme="majorHAnsi" w:hAnsiTheme="majorHAnsi" w:cs="Arial"/>
                <w:color w:val="595959" w:themeColor="text1" w:themeTint="A6"/>
                <w:sz w:val="21"/>
                <w:szCs w:val="21"/>
                <w:lang w:val="en-US"/>
              </w:rPr>
              <w:t xml:space="preserve">(in 2017) </w:t>
            </w:r>
            <w:r w:rsidRPr="00AD52CB">
              <w:rPr>
                <w:rFonts w:asciiTheme="majorHAnsi" w:hAnsiTheme="majorHAnsi" w:cs="Arial"/>
                <w:color w:val="595959" w:themeColor="text1" w:themeTint="A6"/>
                <w:sz w:val="21"/>
                <w:szCs w:val="21"/>
                <w:lang w:val="en-US"/>
              </w:rPr>
              <w:t>for measles and diphtheria.</w:t>
            </w:r>
            <w:r>
              <w:t xml:space="preserve"> </w:t>
            </w:r>
            <w:r w:rsidRPr="00AD52CB">
              <w:rPr>
                <w:rFonts w:asciiTheme="majorHAnsi" w:hAnsiTheme="majorHAnsi" w:cs="Arial"/>
                <w:color w:val="595959" w:themeColor="text1" w:themeTint="A6"/>
                <w:sz w:val="21"/>
                <w:szCs w:val="21"/>
                <w:lang w:val="en-US"/>
              </w:rPr>
              <w:t>Mosquito borne infections are also a key challenge, with an increase in reported cases of dengue (to 130,000 in 2015) and around 152 million people living in malaria transmission areas.</w:t>
            </w:r>
          </w:p>
          <w:p w:rsidR="00E959D6" w:rsidRPr="00BF5BBC" w:rsidRDefault="00932BB5"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Indonesia is </w:t>
            </w:r>
            <w:r w:rsidR="00183AE9" w:rsidRPr="00BF5BBC">
              <w:rPr>
                <w:rFonts w:asciiTheme="majorHAnsi" w:hAnsiTheme="majorHAnsi" w:cs="Arial"/>
                <w:color w:val="595959" w:themeColor="text1" w:themeTint="A6"/>
                <w:sz w:val="21"/>
                <w:szCs w:val="21"/>
                <w:lang w:val="en-US"/>
              </w:rPr>
              <w:t>a ‘hot spot’ for emerging infectious diseases</w:t>
            </w:r>
            <w:r w:rsidR="00FC01D2" w:rsidRPr="00BF5BBC">
              <w:rPr>
                <w:rFonts w:asciiTheme="majorHAnsi" w:hAnsiTheme="majorHAnsi" w:cs="Arial"/>
                <w:color w:val="595959" w:themeColor="text1" w:themeTint="A6"/>
                <w:sz w:val="21"/>
                <w:szCs w:val="21"/>
                <w:lang w:val="en-US"/>
              </w:rPr>
              <w:t xml:space="preserve"> (EIDs) due to </w:t>
            </w:r>
            <w:r w:rsidR="003D4F02" w:rsidRPr="00BF5BBC">
              <w:rPr>
                <w:rFonts w:asciiTheme="majorHAnsi" w:hAnsiTheme="majorHAnsi" w:cs="Arial"/>
                <w:color w:val="595959" w:themeColor="text1" w:themeTint="A6"/>
                <w:sz w:val="21"/>
                <w:szCs w:val="21"/>
                <w:lang w:val="en-US"/>
              </w:rPr>
              <w:t xml:space="preserve">the close proximity between humans and animals through poultry and livestock management practices, increased cross-border travel and trade, and weaknesses in human and animal health systems. </w:t>
            </w:r>
            <w:r w:rsidR="00FC01D2" w:rsidRPr="00BF5BBC">
              <w:rPr>
                <w:rFonts w:asciiTheme="majorHAnsi" w:hAnsiTheme="majorHAnsi" w:cs="Arial"/>
                <w:color w:val="595959" w:themeColor="text1" w:themeTint="A6"/>
                <w:sz w:val="21"/>
                <w:szCs w:val="21"/>
                <w:lang w:val="en-US"/>
              </w:rPr>
              <w:t xml:space="preserve">The majority (75 per cent) of EIDs are zoonoses—animal diseases that can infect humans. </w:t>
            </w:r>
            <w:r w:rsidR="00264300" w:rsidRPr="00BF5BBC">
              <w:rPr>
                <w:rFonts w:asciiTheme="majorHAnsi" w:hAnsiTheme="majorHAnsi" w:cs="Arial"/>
                <w:color w:val="595959" w:themeColor="text1" w:themeTint="A6"/>
                <w:sz w:val="21"/>
                <w:szCs w:val="21"/>
                <w:lang w:val="en-US"/>
              </w:rPr>
              <w:t>The main zoonoses continuing to occur in Indonesia are avian influenza, rabies, leptospirosis and anthrax</w:t>
            </w:r>
            <w:r w:rsidR="00AE63E7" w:rsidRPr="00BF5BBC">
              <w:rPr>
                <w:rStyle w:val="FootnoteReference"/>
                <w:rFonts w:asciiTheme="majorHAnsi" w:hAnsiTheme="majorHAnsi" w:cs="Arial"/>
                <w:color w:val="595959" w:themeColor="text1" w:themeTint="A6"/>
                <w:sz w:val="21"/>
                <w:szCs w:val="21"/>
                <w:lang w:val="en-US"/>
              </w:rPr>
              <w:footnoteReference w:id="1"/>
            </w:r>
            <w:r w:rsidR="00264300" w:rsidRPr="00BF5BBC">
              <w:rPr>
                <w:rFonts w:asciiTheme="majorHAnsi" w:hAnsiTheme="majorHAnsi" w:cs="Arial"/>
                <w:color w:val="595959" w:themeColor="text1" w:themeTint="A6"/>
                <w:sz w:val="21"/>
                <w:szCs w:val="21"/>
                <w:lang w:val="en-US"/>
              </w:rPr>
              <w:t xml:space="preserve">. Highly pathogenic avian </w:t>
            </w:r>
            <w:r w:rsidR="0099444E" w:rsidRPr="00BF5BBC">
              <w:rPr>
                <w:rFonts w:asciiTheme="majorHAnsi" w:hAnsiTheme="majorHAnsi" w:cs="Arial"/>
                <w:color w:val="595959" w:themeColor="text1" w:themeTint="A6"/>
                <w:sz w:val="21"/>
                <w:szCs w:val="21"/>
                <w:lang w:val="en-US"/>
              </w:rPr>
              <w:t>influenza is endemic in poultry</w:t>
            </w:r>
            <w:r w:rsidR="003D4F02" w:rsidRPr="00BF5BBC">
              <w:rPr>
                <w:rFonts w:asciiTheme="majorHAnsi" w:hAnsiTheme="majorHAnsi" w:cs="Arial"/>
                <w:color w:val="595959" w:themeColor="text1" w:themeTint="A6"/>
                <w:sz w:val="21"/>
                <w:szCs w:val="21"/>
                <w:lang w:val="en-US"/>
              </w:rPr>
              <w:t xml:space="preserve"> in Indonesia</w:t>
            </w:r>
            <w:r w:rsidR="00264300" w:rsidRPr="00BF5BBC">
              <w:rPr>
                <w:rFonts w:asciiTheme="majorHAnsi" w:hAnsiTheme="majorHAnsi" w:cs="Arial"/>
                <w:color w:val="595959" w:themeColor="text1" w:themeTint="A6"/>
                <w:sz w:val="21"/>
                <w:szCs w:val="21"/>
                <w:lang w:val="en-US"/>
              </w:rPr>
              <w:t xml:space="preserve">. </w:t>
            </w:r>
            <w:r w:rsidR="0099444E" w:rsidRPr="00BF5BBC">
              <w:rPr>
                <w:rFonts w:asciiTheme="majorHAnsi" w:hAnsiTheme="majorHAnsi" w:cs="Arial"/>
                <w:color w:val="595959" w:themeColor="text1" w:themeTint="A6"/>
                <w:sz w:val="21"/>
                <w:szCs w:val="21"/>
                <w:lang w:val="en-US"/>
              </w:rPr>
              <w:t xml:space="preserve">Backyard poultry practice and contaminated Live Bird Markets are risk factors for transmission of avian influenza from poultry to humans.  To date, 200 human cases with </w:t>
            </w:r>
            <w:r w:rsidR="003D4F02" w:rsidRPr="00BF5BBC">
              <w:rPr>
                <w:rFonts w:asciiTheme="majorHAnsi" w:hAnsiTheme="majorHAnsi" w:cs="Arial"/>
                <w:color w:val="595959" w:themeColor="text1" w:themeTint="A6"/>
                <w:sz w:val="21"/>
                <w:szCs w:val="21"/>
                <w:lang w:val="en-US"/>
              </w:rPr>
              <w:t xml:space="preserve">an </w:t>
            </w:r>
            <w:r w:rsidR="0099444E" w:rsidRPr="00BF5BBC">
              <w:rPr>
                <w:rFonts w:asciiTheme="majorHAnsi" w:hAnsiTheme="majorHAnsi" w:cs="Arial"/>
                <w:color w:val="595959" w:themeColor="text1" w:themeTint="A6"/>
                <w:sz w:val="21"/>
                <w:szCs w:val="21"/>
                <w:lang w:val="en-US"/>
              </w:rPr>
              <w:t xml:space="preserve">84% </w:t>
            </w:r>
            <w:r w:rsidR="003D4F02" w:rsidRPr="00BF5BBC">
              <w:rPr>
                <w:rFonts w:asciiTheme="majorHAnsi" w:hAnsiTheme="majorHAnsi" w:cs="Arial"/>
                <w:color w:val="595959" w:themeColor="text1" w:themeTint="A6"/>
                <w:sz w:val="21"/>
                <w:szCs w:val="21"/>
                <w:lang w:val="en-US"/>
              </w:rPr>
              <w:t>fatality rate</w:t>
            </w:r>
            <w:r w:rsidR="0099444E" w:rsidRPr="00BF5BBC">
              <w:rPr>
                <w:rFonts w:asciiTheme="majorHAnsi" w:hAnsiTheme="majorHAnsi" w:cs="Arial"/>
                <w:color w:val="595959" w:themeColor="text1" w:themeTint="A6"/>
                <w:sz w:val="21"/>
                <w:szCs w:val="21"/>
                <w:lang w:val="en-US"/>
              </w:rPr>
              <w:t xml:space="preserve"> have been reported from 15 provinces in Indonesia. </w:t>
            </w:r>
            <w:r w:rsidR="00B7735D">
              <w:rPr>
                <w:rFonts w:asciiTheme="majorHAnsi" w:hAnsiTheme="majorHAnsi" w:cs="Arial"/>
                <w:color w:val="595959" w:themeColor="text1" w:themeTint="A6"/>
                <w:sz w:val="21"/>
                <w:szCs w:val="21"/>
                <w:lang w:val="en-US"/>
              </w:rPr>
              <w:t xml:space="preserve">DKI </w:t>
            </w:r>
            <w:r w:rsidR="0099444E" w:rsidRPr="00BF5BBC">
              <w:rPr>
                <w:rFonts w:asciiTheme="majorHAnsi" w:hAnsiTheme="majorHAnsi" w:cs="Arial"/>
                <w:color w:val="595959" w:themeColor="text1" w:themeTint="A6"/>
                <w:sz w:val="21"/>
                <w:szCs w:val="21"/>
                <w:lang w:val="en-US"/>
              </w:rPr>
              <w:t xml:space="preserve">Jakarta, West Java, Banten, Bali are considered high risk </w:t>
            </w:r>
            <w:r w:rsidR="0099444E" w:rsidRPr="00BF5BBC">
              <w:rPr>
                <w:rFonts w:asciiTheme="majorHAnsi" w:hAnsiTheme="majorHAnsi" w:cs="Arial"/>
                <w:color w:val="595959" w:themeColor="text1" w:themeTint="A6"/>
                <w:sz w:val="21"/>
                <w:szCs w:val="21"/>
                <w:lang w:val="en-US"/>
              </w:rPr>
              <w:lastRenderedPageBreak/>
              <w:t xml:space="preserve">provinces. Indonesia is also </w:t>
            </w:r>
            <w:r w:rsidR="00C6757C">
              <w:rPr>
                <w:rFonts w:asciiTheme="majorHAnsi" w:hAnsiTheme="majorHAnsi" w:cs="Arial"/>
                <w:color w:val="595959" w:themeColor="text1" w:themeTint="A6"/>
                <w:sz w:val="21"/>
                <w:szCs w:val="21"/>
                <w:lang w:val="en-US"/>
              </w:rPr>
              <w:t>at risk of</w:t>
            </w:r>
            <w:r w:rsidR="0099444E" w:rsidRPr="00BF5BBC">
              <w:rPr>
                <w:rFonts w:asciiTheme="majorHAnsi" w:hAnsiTheme="majorHAnsi" w:cs="Arial"/>
                <w:color w:val="595959" w:themeColor="text1" w:themeTint="A6"/>
                <w:sz w:val="21"/>
                <w:szCs w:val="21"/>
                <w:lang w:val="en-US"/>
              </w:rPr>
              <w:t xml:space="preserve"> Middle East Respiratory Syndrome transmission (also zoonotic) due to a high number of hajj</w:t>
            </w:r>
            <w:r w:rsidR="001C24C0" w:rsidRPr="00BF5BBC">
              <w:rPr>
                <w:rFonts w:asciiTheme="majorHAnsi" w:hAnsiTheme="majorHAnsi" w:cs="Arial"/>
                <w:color w:val="595959" w:themeColor="text1" w:themeTint="A6"/>
                <w:sz w:val="21"/>
                <w:szCs w:val="21"/>
                <w:lang w:val="en-US"/>
              </w:rPr>
              <w:t xml:space="preserve"> and </w:t>
            </w:r>
            <w:r w:rsidR="0099444E" w:rsidRPr="00BF5BBC">
              <w:rPr>
                <w:rFonts w:asciiTheme="majorHAnsi" w:hAnsiTheme="majorHAnsi" w:cs="Arial"/>
                <w:color w:val="595959" w:themeColor="text1" w:themeTint="A6"/>
                <w:sz w:val="21"/>
                <w:szCs w:val="21"/>
                <w:lang w:val="en-US"/>
              </w:rPr>
              <w:t>umrah pilgrimages from Indonesia to</w:t>
            </w:r>
            <w:r w:rsidR="006E101A" w:rsidRPr="00BF5BBC">
              <w:rPr>
                <w:rFonts w:asciiTheme="majorHAnsi" w:hAnsiTheme="majorHAnsi" w:cs="Arial"/>
                <w:color w:val="595959" w:themeColor="text1" w:themeTint="A6"/>
                <w:sz w:val="21"/>
                <w:szCs w:val="21"/>
                <w:lang w:val="en-US"/>
              </w:rPr>
              <w:t xml:space="preserve"> the</w:t>
            </w:r>
            <w:r w:rsidR="0099444E" w:rsidRPr="00BF5BBC">
              <w:rPr>
                <w:rFonts w:asciiTheme="majorHAnsi" w:hAnsiTheme="majorHAnsi" w:cs="Arial"/>
                <w:color w:val="595959" w:themeColor="text1" w:themeTint="A6"/>
                <w:sz w:val="21"/>
                <w:szCs w:val="21"/>
                <w:lang w:val="en-US"/>
              </w:rPr>
              <w:t xml:space="preserve"> Middle East</w:t>
            </w:r>
            <w:r w:rsidR="00264300" w:rsidRPr="00BF5BBC">
              <w:rPr>
                <w:rFonts w:asciiTheme="majorHAnsi" w:hAnsiTheme="majorHAnsi" w:cs="Arial"/>
                <w:color w:val="595959" w:themeColor="text1" w:themeTint="A6"/>
                <w:sz w:val="21"/>
                <w:szCs w:val="21"/>
                <w:lang w:val="en-US"/>
              </w:rPr>
              <w:t xml:space="preserve">. </w:t>
            </w:r>
          </w:p>
          <w:p w:rsidR="009C65C5" w:rsidRPr="00BF5BBC" w:rsidRDefault="006E101A"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P</w:t>
            </w:r>
            <w:r w:rsidR="009C65C5" w:rsidRPr="00BF5BBC">
              <w:rPr>
                <w:rFonts w:asciiTheme="majorHAnsi" w:hAnsiTheme="majorHAnsi" w:cs="Arial"/>
                <w:color w:val="595959" w:themeColor="text1" w:themeTint="A6"/>
                <w:sz w:val="21"/>
                <w:szCs w:val="21"/>
                <w:lang w:val="en-US"/>
              </w:rPr>
              <w:t>rogress has been made in building Indo</w:t>
            </w:r>
            <w:r w:rsidR="00387234" w:rsidRPr="00BF5BBC">
              <w:rPr>
                <w:rFonts w:asciiTheme="majorHAnsi" w:hAnsiTheme="majorHAnsi" w:cs="Arial"/>
                <w:color w:val="595959" w:themeColor="text1" w:themeTint="A6"/>
                <w:sz w:val="21"/>
                <w:szCs w:val="21"/>
                <w:lang w:val="en-US"/>
              </w:rPr>
              <w:t>nesia’s emerging infectious disease</w:t>
            </w:r>
            <w:r w:rsidR="009C65C5" w:rsidRPr="00BF5BBC">
              <w:rPr>
                <w:rFonts w:asciiTheme="majorHAnsi" w:hAnsiTheme="majorHAnsi" w:cs="Arial"/>
                <w:color w:val="595959" w:themeColor="text1" w:themeTint="A6"/>
                <w:sz w:val="21"/>
                <w:szCs w:val="21"/>
                <w:lang w:val="en-US"/>
              </w:rPr>
              <w:t xml:space="preserve"> preparedness, detection and response capacities, but many challenges remain. These include limited human resources, unclear policies, governance</w:t>
            </w:r>
            <w:r w:rsidR="00DB2A19" w:rsidRPr="00BF5BBC">
              <w:rPr>
                <w:rFonts w:asciiTheme="majorHAnsi" w:hAnsiTheme="majorHAnsi" w:cs="Arial"/>
                <w:color w:val="595959" w:themeColor="text1" w:themeTint="A6"/>
                <w:sz w:val="21"/>
                <w:szCs w:val="21"/>
                <w:lang w:val="en-US"/>
              </w:rPr>
              <w:t xml:space="preserve"> constraints</w:t>
            </w:r>
            <w:r w:rsidR="009C65C5" w:rsidRPr="00BF5BBC">
              <w:rPr>
                <w:rFonts w:asciiTheme="majorHAnsi" w:hAnsiTheme="majorHAnsi" w:cs="Arial"/>
                <w:color w:val="595959" w:themeColor="text1" w:themeTint="A6"/>
                <w:sz w:val="21"/>
                <w:szCs w:val="21"/>
                <w:lang w:val="en-US"/>
              </w:rPr>
              <w:t xml:space="preserve">, </w:t>
            </w:r>
            <w:r w:rsidR="00DB2A19" w:rsidRPr="00BF5BBC">
              <w:rPr>
                <w:rFonts w:asciiTheme="majorHAnsi" w:hAnsiTheme="majorHAnsi" w:cs="Arial"/>
                <w:color w:val="595959" w:themeColor="text1" w:themeTint="A6"/>
                <w:sz w:val="21"/>
                <w:szCs w:val="21"/>
                <w:lang w:val="en-US"/>
              </w:rPr>
              <w:t>as well as</w:t>
            </w:r>
            <w:r w:rsidR="009C65C5" w:rsidRPr="00BF5BBC">
              <w:rPr>
                <w:rFonts w:asciiTheme="majorHAnsi" w:hAnsiTheme="majorHAnsi" w:cs="Arial"/>
                <w:color w:val="595959" w:themeColor="text1" w:themeTint="A6"/>
                <w:sz w:val="21"/>
                <w:szCs w:val="21"/>
                <w:lang w:val="en-US"/>
              </w:rPr>
              <w:t xml:space="preserve"> infrastructure and operational resource </w:t>
            </w:r>
            <w:r w:rsidR="00DB2A19" w:rsidRPr="00BF5BBC">
              <w:rPr>
                <w:rFonts w:asciiTheme="majorHAnsi" w:hAnsiTheme="majorHAnsi" w:cs="Arial"/>
                <w:color w:val="595959" w:themeColor="text1" w:themeTint="A6"/>
                <w:sz w:val="21"/>
                <w:szCs w:val="21"/>
                <w:lang w:val="en-US"/>
              </w:rPr>
              <w:t>limitation</w:t>
            </w:r>
            <w:r w:rsidR="009C65C5" w:rsidRPr="00BF5BBC">
              <w:rPr>
                <w:rFonts w:asciiTheme="majorHAnsi" w:hAnsiTheme="majorHAnsi" w:cs="Arial"/>
                <w:color w:val="595959" w:themeColor="text1" w:themeTint="A6"/>
                <w:sz w:val="21"/>
                <w:szCs w:val="21"/>
                <w:lang w:val="en-US"/>
              </w:rPr>
              <w:t xml:space="preserve">s. Disease response efforts are hampered by a myriad of policies </w:t>
            </w:r>
            <w:r w:rsidR="00DB2A19" w:rsidRPr="00BF5BBC">
              <w:rPr>
                <w:rFonts w:asciiTheme="majorHAnsi" w:hAnsiTheme="majorHAnsi" w:cs="Arial"/>
                <w:color w:val="595959" w:themeColor="text1" w:themeTint="A6"/>
                <w:sz w:val="21"/>
                <w:szCs w:val="21"/>
                <w:lang w:val="en-US"/>
              </w:rPr>
              <w:t>and coordinating mechanisms</w:t>
            </w:r>
            <w:r w:rsidR="009C65C5" w:rsidRPr="00BF5BBC">
              <w:rPr>
                <w:rFonts w:asciiTheme="majorHAnsi" w:hAnsiTheme="majorHAnsi" w:cs="Arial"/>
                <w:color w:val="595959" w:themeColor="text1" w:themeTint="A6"/>
                <w:sz w:val="21"/>
                <w:szCs w:val="21"/>
                <w:lang w:val="en-US"/>
              </w:rPr>
              <w:t xml:space="preserve">. Moreover, since the majority of EIDs are of animal origin, an increased attention to the animal-human interface and strengthening of the cross-cutting capacities of </w:t>
            </w:r>
            <w:r w:rsidR="007F1CB7" w:rsidRPr="00BF5BBC">
              <w:rPr>
                <w:rFonts w:asciiTheme="majorHAnsi" w:hAnsiTheme="majorHAnsi" w:cs="Arial"/>
                <w:color w:val="595959" w:themeColor="text1" w:themeTint="A6"/>
                <w:sz w:val="21"/>
                <w:szCs w:val="21"/>
                <w:lang w:val="en-US"/>
              </w:rPr>
              <w:t>line and coordinating ministries</w:t>
            </w:r>
            <w:r w:rsidR="009C65C5" w:rsidRPr="00BF5BBC">
              <w:rPr>
                <w:rFonts w:asciiTheme="majorHAnsi" w:hAnsiTheme="majorHAnsi" w:cs="Arial"/>
                <w:color w:val="595959" w:themeColor="text1" w:themeTint="A6"/>
                <w:sz w:val="21"/>
                <w:szCs w:val="21"/>
                <w:lang w:val="en-US"/>
              </w:rPr>
              <w:t xml:space="preserve"> to deal with zoonotic diseases is needed.</w:t>
            </w:r>
            <w:r w:rsidR="00DB2A19" w:rsidRPr="00BF5BBC">
              <w:rPr>
                <w:rFonts w:asciiTheme="majorHAnsi" w:hAnsiTheme="majorHAnsi" w:cs="Arial"/>
                <w:color w:val="595959" w:themeColor="text1" w:themeTint="A6"/>
                <w:sz w:val="21"/>
                <w:szCs w:val="21"/>
                <w:lang w:val="en-US"/>
              </w:rPr>
              <w:t xml:space="preserve"> This aligns with the globally supported</w:t>
            </w:r>
            <w:r w:rsidR="009C65C5" w:rsidRPr="00BF5BBC">
              <w:rPr>
                <w:rFonts w:asciiTheme="majorHAnsi" w:hAnsiTheme="majorHAnsi" w:cs="Arial"/>
                <w:color w:val="595959" w:themeColor="text1" w:themeTint="A6"/>
                <w:sz w:val="21"/>
                <w:szCs w:val="21"/>
                <w:lang w:val="en-US"/>
              </w:rPr>
              <w:t xml:space="preserve"> “One Health” approach that encourages multi-sectoral ap</w:t>
            </w:r>
            <w:r w:rsidRPr="00BF5BBC">
              <w:rPr>
                <w:rFonts w:asciiTheme="majorHAnsi" w:hAnsiTheme="majorHAnsi" w:cs="Arial"/>
                <w:color w:val="595959" w:themeColor="text1" w:themeTint="A6"/>
                <w:sz w:val="21"/>
                <w:szCs w:val="21"/>
                <w:lang w:val="en-US"/>
              </w:rPr>
              <w:t xml:space="preserve">proaches to address </w:t>
            </w:r>
            <w:r w:rsidR="009C65C5" w:rsidRPr="00BF5BBC">
              <w:rPr>
                <w:rFonts w:asciiTheme="majorHAnsi" w:hAnsiTheme="majorHAnsi" w:cs="Arial"/>
                <w:color w:val="595959" w:themeColor="text1" w:themeTint="A6"/>
                <w:sz w:val="21"/>
                <w:szCs w:val="21"/>
                <w:lang w:val="en-US"/>
              </w:rPr>
              <w:t xml:space="preserve">zoonotic diseases. </w:t>
            </w:r>
          </w:p>
          <w:p w:rsidR="001F528D" w:rsidRPr="00BF5BBC" w:rsidRDefault="00E959D6"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Indonesia’s</w:t>
            </w:r>
            <w:r w:rsidR="009503B3" w:rsidRPr="00BF5BBC">
              <w:rPr>
                <w:rFonts w:asciiTheme="majorHAnsi" w:hAnsiTheme="majorHAnsi" w:cs="Arial"/>
                <w:color w:val="595959" w:themeColor="text1" w:themeTint="A6"/>
                <w:sz w:val="21"/>
                <w:szCs w:val="21"/>
                <w:lang w:val="en-US"/>
              </w:rPr>
              <w:t xml:space="preserve"> decentrali</w:t>
            </w:r>
            <w:r w:rsidR="001C24C0" w:rsidRPr="00BF5BBC">
              <w:rPr>
                <w:rFonts w:asciiTheme="majorHAnsi" w:hAnsiTheme="majorHAnsi" w:cs="Arial"/>
                <w:color w:val="595959" w:themeColor="text1" w:themeTint="A6"/>
                <w:sz w:val="21"/>
                <w:szCs w:val="21"/>
                <w:lang w:val="en-US"/>
              </w:rPr>
              <w:t>s</w:t>
            </w:r>
            <w:r w:rsidR="009503B3" w:rsidRPr="00BF5BBC">
              <w:rPr>
                <w:rFonts w:asciiTheme="majorHAnsi" w:hAnsiTheme="majorHAnsi" w:cs="Arial"/>
                <w:color w:val="595959" w:themeColor="text1" w:themeTint="A6"/>
                <w:sz w:val="21"/>
                <w:szCs w:val="21"/>
                <w:lang w:val="en-US"/>
              </w:rPr>
              <w:t xml:space="preserve">ed system of government </w:t>
            </w:r>
            <w:r w:rsidRPr="00BF5BBC">
              <w:rPr>
                <w:rFonts w:asciiTheme="majorHAnsi" w:hAnsiTheme="majorHAnsi" w:cs="Arial"/>
                <w:color w:val="595959" w:themeColor="text1" w:themeTint="A6"/>
                <w:sz w:val="21"/>
                <w:szCs w:val="21"/>
                <w:lang w:val="en-US"/>
              </w:rPr>
              <w:t>has devolved</w:t>
            </w:r>
            <w:r w:rsidR="009503B3" w:rsidRPr="00BF5BBC">
              <w:rPr>
                <w:rFonts w:asciiTheme="majorHAnsi" w:hAnsiTheme="majorHAnsi" w:cs="Arial"/>
                <w:color w:val="595959" w:themeColor="text1" w:themeTint="A6"/>
                <w:sz w:val="21"/>
                <w:szCs w:val="21"/>
                <w:lang w:val="en-US"/>
              </w:rPr>
              <w:t xml:space="preserve"> responsibility for the management and response to animal and human infectious disease </w:t>
            </w:r>
            <w:r w:rsidRPr="00BF5BBC">
              <w:rPr>
                <w:rFonts w:asciiTheme="majorHAnsi" w:hAnsiTheme="majorHAnsi" w:cs="Arial"/>
                <w:color w:val="595959" w:themeColor="text1" w:themeTint="A6"/>
                <w:sz w:val="21"/>
                <w:szCs w:val="21"/>
                <w:lang w:val="en-US"/>
              </w:rPr>
              <w:t>to the subnational level (district and provincial governments)</w:t>
            </w:r>
            <w:r w:rsidR="009503B3" w:rsidRPr="00BF5BBC">
              <w:rPr>
                <w:rFonts w:asciiTheme="majorHAnsi" w:hAnsiTheme="majorHAnsi" w:cs="Arial"/>
                <w:color w:val="595959" w:themeColor="text1" w:themeTint="A6"/>
                <w:sz w:val="21"/>
                <w:szCs w:val="21"/>
                <w:lang w:val="en-US"/>
              </w:rPr>
              <w:t>, with the central government’s role limited to oversight, support and manageme</w:t>
            </w:r>
            <w:r w:rsidRPr="00BF5BBC">
              <w:rPr>
                <w:rFonts w:asciiTheme="majorHAnsi" w:hAnsiTheme="majorHAnsi" w:cs="Arial"/>
                <w:color w:val="595959" w:themeColor="text1" w:themeTint="A6"/>
                <w:sz w:val="21"/>
                <w:szCs w:val="21"/>
                <w:lang w:val="en-US"/>
              </w:rPr>
              <w:t>nt only in the case of national-</w:t>
            </w:r>
            <w:r w:rsidR="005166B1" w:rsidRPr="00BF5BBC">
              <w:rPr>
                <w:rFonts w:asciiTheme="majorHAnsi" w:hAnsiTheme="majorHAnsi" w:cs="Arial"/>
                <w:color w:val="595959" w:themeColor="text1" w:themeTint="A6"/>
                <w:sz w:val="21"/>
                <w:szCs w:val="21"/>
                <w:lang w:val="en-US"/>
              </w:rPr>
              <w:t xml:space="preserve">level outbreaks. </w:t>
            </w:r>
            <w:r w:rsidR="001F528D" w:rsidRPr="00BF5BBC">
              <w:rPr>
                <w:rFonts w:asciiTheme="majorHAnsi" w:hAnsiTheme="majorHAnsi" w:cs="Arial"/>
                <w:color w:val="595959" w:themeColor="text1" w:themeTint="A6"/>
                <w:sz w:val="21"/>
                <w:szCs w:val="21"/>
                <w:lang w:val="en-US"/>
              </w:rPr>
              <w:t xml:space="preserve">While Indonesia has developed the basic legal and policy framework which provides the basis for effective programs, the division of responsibilities between central and local levels, the </w:t>
            </w:r>
            <w:r w:rsidR="00EB13F6" w:rsidRPr="00BF5BBC">
              <w:rPr>
                <w:rFonts w:asciiTheme="majorHAnsi" w:hAnsiTheme="majorHAnsi" w:cs="Arial"/>
                <w:color w:val="595959" w:themeColor="text1" w:themeTint="A6"/>
                <w:sz w:val="21"/>
                <w:szCs w:val="21"/>
                <w:lang w:val="en-US"/>
              </w:rPr>
              <w:t xml:space="preserve">sheer </w:t>
            </w:r>
            <w:r w:rsidR="001F528D" w:rsidRPr="00BF5BBC">
              <w:rPr>
                <w:rFonts w:asciiTheme="majorHAnsi" w:hAnsiTheme="majorHAnsi" w:cs="Arial"/>
                <w:color w:val="595959" w:themeColor="text1" w:themeTint="A6"/>
                <w:sz w:val="21"/>
                <w:szCs w:val="21"/>
                <w:lang w:val="en-US"/>
              </w:rPr>
              <w:t xml:space="preserve">number of institutions involved, </w:t>
            </w:r>
            <w:r w:rsidR="00EB13F6" w:rsidRPr="00BF5BBC">
              <w:rPr>
                <w:rFonts w:asciiTheme="majorHAnsi" w:hAnsiTheme="majorHAnsi" w:cs="Arial"/>
                <w:color w:val="595959" w:themeColor="text1" w:themeTint="A6"/>
                <w:sz w:val="21"/>
                <w:szCs w:val="21"/>
                <w:lang w:val="en-US"/>
              </w:rPr>
              <w:t xml:space="preserve">and the varying capacity between levels of government, </w:t>
            </w:r>
            <w:r w:rsidR="001F528D" w:rsidRPr="00BF5BBC">
              <w:rPr>
                <w:rFonts w:asciiTheme="majorHAnsi" w:hAnsiTheme="majorHAnsi" w:cs="Arial"/>
                <w:color w:val="595959" w:themeColor="text1" w:themeTint="A6"/>
                <w:sz w:val="21"/>
                <w:szCs w:val="21"/>
                <w:lang w:val="en-US"/>
              </w:rPr>
              <w:t xml:space="preserve">presents </w:t>
            </w:r>
            <w:r w:rsidR="00EB13F6" w:rsidRPr="00BF5BBC">
              <w:rPr>
                <w:rFonts w:asciiTheme="majorHAnsi" w:hAnsiTheme="majorHAnsi" w:cs="Arial"/>
                <w:color w:val="595959" w:themeColor="text1" w:themeTint="A6"/>
                <w:sz w:val="21"/>
                <w:szCs w:val="21"/>
                <w:lang w:val="en-US"/>
              </w:rPr>
              <w:t xml:space="preserve">major </w:t>
            </w:r>
            <w:r w:rsidR="001F528D" w:rsidRPr="00BF5BBC">
              <w:rPr>
                <w:rFonts w:asciiTheme="majorHAnsi" w:hAnsiTheme="majorHAnsi" w:cs="Arial"/>
                <w:color w:val="595959" w:themeColor="text1" w:themeTint="A6"/>
                <w:sz w:val="21"/>
                <w:szCs w:val="21"/>
                <w:lang w:val="en-US"/>
              </w:rPr>
              <w:t>challenges.</w:t>
            </w:r>
            <w:r w:rsidR="00EB13F6" w:rsidRPr="00BF5BBC">
              <w:rPr>
                <w:rFonts w:asciiTheme="majorHAnsi" w:hAnsiTheme="majorHAnsi" w:cs="Arial"/>
                <w:color w:val="595959" w:themeColor="text1" w:themeTint="A6"/>
                <w:sz w:val="21"/>
                <w:szCs w:val="21"/>
                <w:lang w:val="en-US"/>
              </w:rPr>
              <w:t xml:space="preserve"> </w:t>
            </w:r>
            <w:r w:rsidR="00EB13F6" w:rsidRPr="00BF5BBC">
              <w:rPr>
                <w:rFonts w:asciiTheme="majorHAnsi" w:hAnsiTheme="majorHAnsi" w:cs="Arial"/>
                <w:color w:val="595959" w:themeColor="text1" w:themeTint="A6"/>
                <w:sz w:val="21"/>
                <w:szCs w:val="21"/>
              </w:rPr>
              <w:t>There is a need to improve</w:t>
            </w:r>
            <w:r w:rsidR="001F528D" w:rsidRPr="00BF5BBC">
              <w:rPr>
                <w:rFonts w:asciiTheme="majorHAnsi" w:hAnsiTheme="majorHAnsi" w:cs="Arial"/>
                <w:color w:val="595959" w:themeColor="text1" w:themeTint="A6"/>
                <w:sz w:val="21"/>
                <w:szCs w:val="21"/>
              </w:rPr>
              <w:t xml:space="preserve"> decision making structures, not only between the national and sub-national levels, but also at the national level.  </w:t>
            </w:r>
          </w:p>
          <w:p w:rsidR="00643121" w:rsidRPr="00BF5BBC" w:rsidRDefault="007A3CAD" w:rsidP="00BF5BBC">
            <w:pPr>
              <w:suppressAutoHyphens w:val="0"/>
              <w:spacing w:after="0" w:line="240" w:lineRule="auto"/>
              <w:rPr>
                <w:rFonts w:asciiTheme="majorHAnsi" w:hAnsiTheme="majorHAnsi" w:cs="Arial"/>
                <w:color w:val="595959" w:themeColor="text1" w:themeTint="A6"/>
                <w:sz w:val="21"/>
                <w:szCs w:val="21"/>
                <w:u w:val="single"/>
                <w:lang w:val="en-AU"/>
              </w:rPr>
            </w:pPr>
            <w:r w:rsidRPr="00BF5BBC">
              <w:rPr>
                <w:rFonts w:asciiTheme="majorHAnsi" w:hAnsiTheme="majorHAnsi" w:cs="Arial"/>
                <w:color w:val="595959" w:themeColor="text1" w:themeTint="A6"/>
                <w:sz w:val="21"/>
                <w:szCs w:val="21"/>
                <w:u w:val="single"/>
                <w:lang w:val="en-AU"/>
              </w:rPr>
              <w:t>Health Security: A priority for the Australian Government</w:t>
            </w:r>
          </w:p>
          <w:p w:rsidR="00BA5990" w:rsidRPr="00BF5BBC" w:rsidRDefault="00563FAF"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Building regional preparedness and capacity to respond to emerging health threats is one of the two strategic priorities of DFAT’s </w:t>
            </w:r>
            <w:r w:rsidRPr="00BF5BBC">
              <w:rPr>
                <w:rFonts w:asciiTheme="majorHAnsi" w:hAnsiTheme="majorHAnsi" w:cs="Arial"/>
                <w:i/>
                <w:iCs/>
                <w:color w:val="595959" w:themeColor="text1" w:themeTint="A6"/>
                <w:sz w:val="21"/>
                <w:szCs w:val="21"/>
                <w:lang w:val="en-US"/>
              </w:rPr>
              <w:t>Health for Development Strategy 2015-2020</w:t>
            </w:r>
            <w:r w:rsidRPr="00BF5BBC">
              <w:rPr>
                <w:rFonts w:asciiTheme="majorHAnsi" w:hAnsiTheme="majorHAnsi" w:cs="Arial"/>
                <w:color w:val="595959" w:themeColor="text1" w:themeTint="A6"/>
                <w:sz w:val="21"/>
                <w:szCs w:val="21"/>
                <w:lang w:val="en-US"/>
              </w:rPr>
              <w:t>, along with building country</w:t>
            </w:r>
            <w:r w:rsidR="00EB13F6" w:rsidRPr="00BF5BBC">
              <w:rPr>
                <w:rFonts w:asciiTheme="majorHAnsi" w:hAnsiTheme="majorHAnsi" w:cs="Arial"/>
                <w:color w:val="595959" w:themeColor="text1" w:themeTint="A6"/>
                <w:sz w:val="21"/>
                <w:szCs w:val="21"/>
                <w:lang w:val="en-US"/>
              </w:rPr>
              <w:t>-</w:t>
            </w:r>
            <w:r w:rsidRPr="00BF5BBC">
              <w:rPr>
                <w:rFonts w:asciiTheme="majorHAnsi" w:hAnsiTheme="majorHAnsi" w:cs="Arial"/>
                <w:color w:val="595959" w:themeColor="text1" w:themeTint="A6"/>
                <w:sz w:val="21"/>
                <w:szCs w:val="21"/>
                <w:lang w:val="en-US"/>
              </w:rPr>
              <w:t xml:space="preserve">level health systems that are responsive to people’s needs. </w:t>
            </w:r>
            <w:r w:rsidR="008105E6" w:rsidRPr="00BF5BBC">
              <w:rPr>
                <w:rFonts w:asciiTheme="majorHAnsi" w:hAnsiTheme="majorHAnsi" w:cs="Arial"/>
                <w:color w:val="595959" w:themeColor="text1" w:themeTint="A6"/>
                <w:sz w:val="21"/>
                <w:szCs w:val="21"/>
                <w:lang w:val="en-US"/>
              </w:rPr>
              <w:t xml:space="preserve">In June 2016, the Government made a pre-election </w:t>
            </w:r>
            <w:r w:rsidR="00CC13D5" w:rsidRPr="00BF5BBC">
              <w:rPr>
                <w:rFonts w:asciiTheme="majorHAnsi" w:hAnsiTheme="majorHAnsi" w:cs="Arial"/>
                <w:color w:val="595959" w:themeColor="text1" w:themeTint="A6"/>
                <w:sz w:val="21"/>
                <w:szCs w:val="21"/>
                <w:lang w:val="en-US"/>
              </w:rPr>
              <w:t>commitment under </w:t>
            </w:r>
            <w:r w:rsidR="00CC13D5" w:rsidRPr="00BF5BBC">
              <w:rPr>
                <w:rFonts w:asciiTheme="majorHAnsi" w:hAnsiTheme="majorHAnsi" w:cs="Arial"/>
                <w:i/>
                <w:iCs/>
                <w:color w:val="595959" w:themeColor="text1" w:themeTint="A6"/>
                <w:sz w:val="21"/>
                <w:szCs w:val="21"/>
                <w:lang w:val="en-US"/>
              </w:rPr>
              <w:t>The Coalition's Policy for a Safe and Prosperous Australia</w:t>
            </w:r>
            <w:r w:rsidR="00CC13D5" w:rsidRPr="00BF5BBC">
              <w:rPr>
                <w:rFonts w:asciiTheme="majorHAnsi" w:hAnsiTheme="majorHAnsi" w:cs="Arial"/>
                <w:color w:val="595959" w:themeColor="text1" w:themeTint="A6"/>
                <w:sz w:val="21"/>
                <w:szCs w:val="21"/>
                <w:lang w:val="en-US"/>
              </w:rPr>
              <w:t> </w:t>
            </w:r>
            <w:r w:rsidR="008105E6" w:rsidRPr="00BF5BBC">
              <w:rPr>
                <w:rFonts w:asciiTheme="majorHAnsi" w:hAnsiTheme="majorHAnsi" w:cs="Arial"/>
                <w:color w:val="595959" w:themeColor="text1" w:themeTint="A6"/>
                <w:sz w:val="21"/>
                <w:szCs w:val="21"/>
                <w:lang w:val="en-US"/>
              </w:rPr>
              <w:t>to invest in regional health security</w:t>
            </w:r>
            <w:r w:rsidR="00BA5990" w:rsidRPr="00BF5BBC">
              <w:rPr>
                <w:rFonts w:asciiTheme="majorHAnsi" w:hAnsiTheme="majorHAnsi" w:cs="Arial"/>
                <w:color w:val="595959" w:themeColor="text1" w:themeTint="A6"/>
                <w:sz w:val="21"/>
                <w:szCs w:val="21"/>
                <w:lang w:val="en-US"/>
              </w:rPr>
              <w:t>. Foreign Minister Julie Bishop</w:t>
            </w:r>
            <w:r w:rsidR="007F1CB7" w:rsidRPr="00BF5BBC">
              <w:rPr>
                <w:rFonts w:asciiTheme="majorHAnsi" w:hAnsiTheme="majorHAnsi" w:cs="Arial"/>
                <w:color w:val="595959" w:themeColor="text1" w:themeTint="A6"/>
                <w:sz w:val="21"/>
                <w:szCs w:val="21"/>
                <w:lang w:val="en-US"/>
              </w:rPr>
              <w:t xml:space="preserve"> subsequently</w:t>
            </w:r>
            <w:r w:rsidR="00BA5990" w:rsidRPr="00BF5BBC">
              <w:rPr>
                <w:rFonts w:asciiTheme="majorHAnsi" w:hAnsiTheme="majorHAnsi" w:cs="Arial"/>
                <w:color w:val="595959" w:themeColor="text1" w:themeTint="A6"/>
                <w:sz w:val="21"/>
                <w:szCs w:val="21"/>
                <w:lang w:val="en-US"/>
              </w:rPr>
              <w:t xml:space="preserve"> launched the Australian Government’s $300 million Indo-Pacific Health Security Initiative </w:t>
            </w:r>
            <w:r w:rsidR="007F1CB7" w:rsidRPr="00BF5BBC">
              <w:rPr>
                <w:rFonts w:asciiTheme="majorHAnsi" w:hAnsiTheme="majorHAnsi" w:cs="Arial"/>
                <w:color w:val="595959" w:themeColor="text1" w:themeTint="A6"/>
                <w:sz w:val="21"/>
                <w:szCs w:val="21"/>
                <w:lang w:val="en-US"/>
              </w:rPr>
              <w:t xml:space="preserve">on 8 October 2017 </w:t>
            </w:r>
            <w:r w:rsidR="00BA5990" w:rsidRPr="00BF5BBC">
              <w:rPr>
                <w:rFonts w:asciiTheme="majorHAnsi" w:hAnsiTheme="majorHAnsi" w:cs="Arial"/>
                <w:color w:val="595959" w:themeColor="text1" w:themeTint="A6"/>
                <w:sz w:val="21"/>
                <w:szCs w:val="21"/>
                <w:lang w:val="en-US"/>
              </w:rPr>
              <w:t xml:space="preserve">to </w:t>
            </w:r>
            <w:r w:rsidR="007F1CB7" w:rsidRPr="00BF5BBC">
              <w:rPr>
                <w:rFonts w:asciiTheme="majorHAnsi" w:hAnsiTheme="majorHAnsi" w:cs="Arial"/>
                <w:color w:val="595959" w:themeColor="text1" w:themeTint="A6"/>
                <w:sz w:val="21"/>
                <w:szCs w:val="21"/>
                <w:lang w:val="en-US"/>
              </w:rPr>
              <w:t xml:space="preserve">help </w:t>
            </w:r>
            <w:r w:rsidR="00BA5990" w:rsidRPr="00BF5BBC">
              <w:rPr>
                <w:rFonts w:asciiTheme="majorHAnsi" w:hAnsiTheme="majorHAnsi" w:cs="Arial"/>
                <w:color w:val="595959" w:themeColor="text1" w:themeTint="A6"/>
                <w:sz w:val="21"/>
                <w:szCs w:val="21"/>
                <w:lang w:val="en-US"/>
              </w:rPr>
              <w:t xml:space="preserve">combat the challenges of existing and emerging infectious diseases for our region. The initiative recognises that Australia’s health security is </w:t>
            </w:r>
            <w:r w:rsidR="002828A7" w:rsidRPr="00BF5BBC">
              <w:rPr>
                <w:rFonts w:asciiTheme="majorHAnsi" w:hAnsiTheme="majorHAnsi" w:cs="Arial"/>
                <w:color w:val="595959" w:themeColor="text1" w:themeTint="A6"/>
                <w:sz w:val="21"/>
                <w:szCs w:val="21"/>
                <w:lang w:val="en-US"/>
              </w:rPr>
              <w:t xml:space="preserve">closely </w:t>
            </w:r>
            <w:r w:rsidR="00BA5990" w:rsidRPr="00BF5BBC">
              <w:rPr>
                <w:rFonts w:asciiTheme="majorHAnsi" w:hAnsiTheme="majorHAnsi" w:cs="Arial"/>
                <w:color w:val="595959" w:themeColor="text1" w:themeTint="A6"/>
                <w:sz w:val="21"/>
                <w:szCs w:val="21"/>
                <w:lang w:val="en-US"/>
              </w:rPr>
              <w:t>linked to the health security of coun</w:t>
            </w:r>
            <w:r w:rsidR="002828A7" w:rsidRPr="00BF5BBC">
              <w:rPr>
                <w:rFonts w:asciiTheme="majorHAnsi" w:hAnsiTheme="majorHAnsi" w:cs="Arial"/>
                <w:color w:val="595959" w:themeColor="text1" w:themeTint="A6"/>
                <w:sz w:val="21"/>
                <w:szCs w:val="21"/>
                <w:lang w:val="en-US"/>
              </w:rPr>
              <w:t xml:space="preserve">tries in our region, and that strengthening health systems and investing in research and partnerships can help mitigate the social and economic risks of a major disease outbreak. </w:t>
            </w:r>
            <w:r w:rsidR="00BA5990" w:rsidRPr="00BF5BBC">
              <w:rPr>
                <w:rFonts w:asciiTheme="majorHAnsi" w:hAnsiTheme="majorHAnsi" w:cs="Arial"/>
                <w:color w:val="595959" w:themeColor="text1" w:themeTint="A6"/>
                <w:sz w:val="21"/>
                <w:szCs w:val="21"/>
                <w:lang w:val="en-US"/>
              </w:rPr>
              <w:t xml:space="preserve">The importance of managing </w:t>
            </w:r>
            <w:r w:rsidR="002828A7" w:rsidRPr="00BF5BBC">
              <w:rPr>
                <w:rFonts w:asciiTheme="majorHAnsi" w:hAnsiTheme="majorHAnsi" w:cs="Arial"/>
                <w:color w:val="595959" w:themeColor="text1" w:themeTint="A6"/>
                <w:sz w:val="21"/>
                <w:szCs w:val="21"/>
                <w:lang w:val="en-US"/>
              </w:rPr>
              <w:t xml:space="preserve">health security risks was also </w:t>
            </w:r>
            <w:r w:rsidR="00BA5990" w:rsidRPr="00BF5BBC">
              <w:rPr>
                <w:rFonts w:asciiTheme="majorHAnsi" w:hAnsiTheme="majorHAnsi" w:cs="Arial"/>
                <w:color w:val="595959" w:themeColor="text1" w:themeTint="A6"/>
                <w:sz w:val="21"/>
                <w:szCs w:val="21"/>
                <w:lang w:val="en-US"/>
              </w:rPr>
              <w:t>reflected in</w:t>
            </w:r>
            <w:r w:rsidR="00BA5990" w:rsidRPr="00BF5BBC">
              <w:rPr>
                <w:rFonts w:asciiTheme="majorHAnsi" w:hAnsiTheme="majorHAnsi" w:cs="Arial"/>
                <w:color w:val="595959" w:themeColor="text1" w:themeTint="A6"/>
                <w:sz w:val="21"/>
                <w:szCs w:val="21"/>
                <w:lang w:val="en-AU"/>
              </w:rPr>
              <w:t xml:space="preserve"> the </w:t>
            </w:r>
            <w:r w:rsidRPr="00BF5BBC">
              <w:rPr>
                <w:rFonts w:asciiTheme="majorHAnsi" w:hAnsiTheme="majorHAnsi" w:cs="Arial"/>
                <w:i/>
                <w:color w:val="595959" w:themeColor="text1" w:themeTint="A6"/>
                <w:sz w:val="21"/>
                <w:szCs w:val="21"/>
                <w:lang w:val="en-AU"/>
              </w:rPr>
              <w:t>Foreign Policy White P</w:t>
            </w:r>
            <w:r w:rsidR="00BA5990" w:rsidRPr="00BF5BBC">
              <w:rPr>
                <w:rFonts w:asciiTheme="majorHAnsi" w:hAnsiTheme="majorHAnsi" w:cs="Arial"/>
                <w:i/>
                <w:color w:val="595959" w:themeColor="text1" w:themeTint="A6"/>
                <w:sz w:val="21"/>
                <w:szCs w:val="21"/>
                <w:lang w:val="en-AU"/>
              </w:rPr>
              <w:t>aper</w:t>
            </w:r>
            <w:r w:rsidR="00BA5990" w:rsidRPr="00BF5BBC">
              <w:rPr>
                <w:rFonts w:asciiTheme="majorHAnsi" w:hAnsiTheme="majorHAnsi" w:cs="Arial"/>
                <w:color w:val="595959" w:themeColor="text1" w:themeTint="A6"/>
                <w:sz w:val="21"/>
                <w:szCs w:val="21"/>
                <w:lang w:val="en-AU"/>
              </w:rPr>
              <w:t xml:space="preserve"> released by Minister Bishop on 23 November 2017. </w:t>
            </w:r>
          </w:p>
          <w:p w:rsidR="00AE58F5" w:rsidRPr="00BF5BBC" w:rsidRDefault="00DD2BB6"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H</w:t>
            </w:r>
            <w:r w:rsidR="00B1358C" w:rsidRPr="00BF5BBC">
              <w:rPr>
                <w:rFonts w:asciiTheme="majorHAnsi" w:hAnsiTheme="majorHAnsi" w:cs="Arial"/>
                <w:color w:val="595959" w:themeColor="text1" w:themeTint="A6"/>
                <w:sz w:val="21"/>
                <w:szCs w:val="21"/>
                <w:lang w:val="en-AU"/>
              </w:rPr>
              <w:t xml:space="preserve">ealth security is </w:t>
            </w:r>
            <w:r w:rsidR="007F1CB7" w:rsidRPr="00BF5BBC">
              <w:rPr>
                <w:rFonts w:asciiTheme="majorHAnsi" w:hAnsiTheme="majorHAnsi" w:cs="Arial"/>
                <w:color w:val="595959" w:themeColor="text1" w:themeTint="A6"/>
                <w:sz w:val="21"/>
                <w:szCs w:val="21"/>
                <w:lang w:val="en-AU"/>
              </w:rPr>
              <w:t>a</w:t>
            </w:r>
            <w:r w:rsidR="00B1358C" w:rsidRPr="00BF5BBC">
              <w:rPr>
                <w:rFonts w:asciiTheme="majorHAnsi" w:hAnsiTheme="majorHAnsi" w:cs="Arial"/>
                <w:color w:val="595959" w:themeColor="text1" w:themeTint="A6"/>
                <w:sz w:val="21"/>
                <w:szCs w:val="21"/>
                <w:lang w:val="en-AU"/>
              </w:rPr>
              <w:t xml:space="preserve"> key priori</w:t>
            </w:r>
            <w:r w:rsidR="007F1CB7" w:rsidRPr="00BF5BBC">
              <w:rPr>
                <w:rFonts w:asciiTheme="majorHAnsi" w:hAnsiTheme="majorHAnsi" w:cs="Arial"/>
                <w:color w:val="595959" w:themeColor="text1" w:themeTint="A6"/>
                <w:sz w:val="21"/>
                <w:szCs w:val="21"/>
                <w:lang w:val="en-AU"/>
              </w:rPr>
              <w:t>ty area</w:t>
            </w:r>
            <w:r w:rsidR="00B1358C" w:rsidRPr="00BF5BBC">
              <w:rPr>
                <w:rFonts w:asciiTheme="majorHAnsi" w:hAnsiTheme="majorHAnsi" w:cs="Arial"/>
                <w:color w:val="595959" w:themeColor="text1" w:themeTint="A6"/>
                <w:sz w:val="21"/>
                <w:szCs w:val="21"/>
                <w:lang w:val="en-AU"/>
              </w:rPr>
              <w:t xml:space="preserve"> for Australia’s ongoing health program and policy engagement in Indonesia</w:t>
            </w:r>
            <w:r w:rsidR="00563FAF" w:rsidRPr="00BF5BBC">
              <w:rPr>
                <w:rStyle w:val="FootnoteReference"/>
                <w:rFonts w:asciiTheme="majorHAnsi" w:hAnsiTheme="majorHAnsi" w:cs="Arial"/>
                <w:color w:val="595959" w:themeColor="text1" w:themeTint="A6"/>
                <w:sz w:val="21"/>
                <w:szCs w:val="21"/>
                <w:lang w:val="en-AU"/>
              </w:rPr>
              <w:footnoteReference w:id="2"/>
            </w:r>
            <w:r w:rsidR="00B1358C" w:rsidRPr="00BF5BBC">
              <w:rPr>
                <w:rFonts w:asciiTheme="majorHAnsi" w:hAnsiTheme="majorHAnsi" w:cs="Arial"/>
                <w:color w:val="595959" w:themeColor="text1" w:themeTint="A6"/>
                <w:sz w:val="21"/>
                <w:szCs w:val="21"/>
                <w:lang w:val="en-AU"/>
              </w:rPr>
              <w:t>.</w:t>
            </w:r>
            <w:r w:rsidR="009A37CF" w:rsidRPr="00BF5BBC">
              <w:rPr>
                <w:rFonts w:asciiTheme="majorHAnsi" w:hAnsiTheme="majorHAnsi" w:cs="Arial"/>
                <w:color w:val="595959" w:themeColor="text1" w:themeTint="A6"/>
                <w:sz w:val="21"/>
                <w:szCs w:val="21"/>
                <w:lang w:val="en-AU"/>
              </w:rPr>
              <w:t xml:space="preserve"> </w:t>
            </w:r>
            <w:r w:rsidR="00B1358C" w:rsidRPr="00BF5BBC">
              <w:rPr>
                <w:rFonts w:asciiTheme="majorHAnsi" w:hAnsiTheme="majorHAnsi" w:cs="Arial"/>
                <w:color w:val="595959" w:themeColor="text1" w:themeTint="A6"/>
                <w:sz w:val="21"/>
                <w:szCs w:val="21"/>
                <w:lang w:val="en-AU"/>
              </w:rPr>
              <w:t xml:space="preserve">Australia has provided long-standing support to Indonesia on health security, including under the current </w:t>
            </w:r>
            <w:r w:rsidR="00B1358C" w:rsidRPr="00BF5BBC">
              <w:rPr>
                <w:rFonts w:asciiTheme="majorHAnsi" w:hAnsiTheme="majorHAnsi" w:cs="Arial"/>
                <w:i/>
                <w:color w:val="595959" w:themeColor="text1" w:themeTint="A6"/>
                <w:sz w:val="21"/>
                <w:szCs w:val="21"/>
                <w:lang w:val="en-AU"/>
              </w:rPr>
              <w:t>Australia Indonesia Partnership for Emerging Infectious Diseases</w:t>
            </w:r>
            <w:r w:rsidR="00B1358C" w:rsidRPr="00BF5BBC">
              <w:rPr>
                <w:rFonts w:asciiTheme="majorHAnsi" w:hAnsiTheme="majorHAnsi" w:cs="Arial"/>
                <w:color w:val="595959" w:themeColor="text1" w:themeTint="A6"/>
                <w:sz w:val="21"/>
                <w:szCs w:val="21"/>
                <w:lang w:val="en-AU"/>
              </w:rPr>
              <w:t xml:space="preserve"> (AIPEID), which commenced in 2010. </w:t>
            </w:r>
            <w:r w:rsidR="00B1358C" w:rsidRPr="00BF5BBC">
              <w:rPr>
                <w:rFonts w:asciiTheme="majorHAnsi" w:hAnsiTheme="majorHAnsi" w:cs="Arial"/>
                <w:color w:val="595959" w:themeColor="text1" w:themeTint="A6"/>
                <w:sz w:val="21"/>
                <w:szCs w:val="21"/>
                <w:lang w:val="en-US"/>
              </w:rPr>
              <w:t xml:space="preserve">The AIPEID supports the World Health Organisation (WHO) to work with the Indonesian Ministry of Health (MoH) to improve public health emergency preparedness and risk management. In addition, the Australian Department of Agriculture and Water Resources (DAWR) works with the Indonesian Ministry of Agriculture (MoA) to strengthen emergency management systems and veterinary leadership, as well as enhance Indonesia's animal health information systems. </w:t>
            </w:r>
            <w:r w:rsidR="00B1358C" w:rsidRPr="00BF5BBC">
              <w:rPr>
                <w:rFonts w:asciiTheme="majorHAnsi" w:hAnsiTheme="majorHAnsi" w:cs="Arial"/>
                <w:color w:val="595959" w:themeColor="text1" w:themeTint="A6"/>
                <w:sz w:val="21"/>
                <w:szCs w:val="21"/>
                <w:lang w:val="en-AU"/>
              </w:rPr>
              <w:t xml:space="preserve">The second phase of AIPEID ($9.9 million) which commenced in 2015, aimed to work synergistically in both animal health and human health sectors. </w:t>
            </w:r>
            <w:r w:rsidR="00264300" w:rsidRPr="00BF5BBC">
              <w:rPr>
                <w:rFonts w:asciiTheme="majorHAnsi" w:hAnsiTheme="majorHAnsi" w:cs="Arial"/>
                <w:color w:val="595959" w:themeColor="text1" w:themeTint="A6"/>
                <w:sz w:val="21"/>
                <w:szCs w:val="21"/>
                <w:lang w:val="en-US"/>
              </w:rPr>
              <w:t xml:space="preserve">Australian support has been well received by the Government of Indonesia. It has supported Indonesia to increasingly comply with its international obligations under WHO’s International Health Regulations (IHR) as well as building national human and animal disease surveillance systems and emergency response mechanisms. </w:t>
            </w:r>
            <w:r w:rsidR="00B1358C" w:rsidRPr="00BF5BBC">
              <w:rPr>
                <w:rFonts w:asciiTheme="majorHAnsi" w:hAnsiTheme="majorHAnsi" w:cs="Arial"/>
                <w:color w:val="595959" w:themeColor="text1" w:themeTint="A6"/>
                <w:sz w:val="21"/>
                <w:szCs w:val="21"/>
                <w:lang w:val="en-AU"/>
              </w:rPr>
              <w:t>This program is e</w:t>
            </w:r>
            <w:r w:rsidR="00470218">
              <w:rPr>
                <w:rFonts w:asciiTheme="majorHAnsi" w:hAnsiTheme="majorHAnsi" w:cs="Arial"/>
                <w:color w:val="595959" w:themeColor="text1" w:themeTint="A6"/>
                <w:sz w:val="21"/>
                <w:szCs w:val="21"/>
                <w:lang w:val="en-AU"/>
              </w:rPr>
              <w:t>xpected to end in December 2018</w:t>
            </w:r>
            <w:r w:rsidR="00B1358C" w:rsidRPr="00BF5BBC">
              <w:rPr>
                <w:rFonts w:asciiTheme="majorHAnsi" w:hAnsiTheme="majorHAnsi" w:cs="Arial"/>
                <w:color w:val="595959" w:themeColor="text1" w:themeTint="A6"/>
                <w:sz w:val="21"/>
                <w:szCs w:val="21"/>
                <w:lang w:val="en-AU"/>
              </w:rPr>
              <w:t>.</w:t>
            </w:r>
          </w:p>
          <w:p w:rsidR="009D5FE2" w:rsidRPr="00BF5BBC" w:rsidRDefault="00466BD4"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w:t>
            </w:r>
            <w:r w:rsidR="00B1358C" w:rsidRPr="00BF5BBC">
              <w:rPr>
                <w:rFonts w:asciiTheme="majorHAnsi" w:hAnsiTheme="majorHAnsi" w:cs="Arial"/>
                <w:i/>
                <w:color w:val="595959" w:themeColor="text1" w:themeTint="A6"/>
                <w:sz w:val="21"/>
                <w:szCs w:val="21"/>
                <w:lang w:val="en-AU"/>
              </w:rPr>
              <w:t>Australia-Indonesia Health</w:t>
            </w:r>
            <w:r w:rsidRPr="00BF5BBC">
              <w:rPr>
                <w:rFonts w:asciiTheme="majorHAnsi" w:hAnsiTheme="majorHAnsi" w:cs="Arial"/>
                <w:i/>
                <w:color w:val="595959" w:themeColor="text1" w:themeTint="A6"/>
                <w:sz w:val="21"/>
                <w:szCs w:val="21"/>
                <w:lang w:val="en-AU"/>
              </w:rPr>
              <w:t xml:space="preserve"> Security Partnership</w:t>
            </w:r>
            <w:r w:rsidRPr="00BF5BBC">
              <w:rPr>
                <w:rFonts w:asciiTheme="majorHAnsi" w:hAnsiTheme="majorHAnsi" w:cs="Arial"/>
                <w:color w:val="595959" w:themeColor="text1" w:themeTint="A6"/>
                <w:sz w:val="21"/>
                <w:szCs w:val="21"/>
                <w:lang w:val="en-AU"/>
              </w:rPr>
              <w:t xml:space="preserve"> </w:t>
            </w:r>
            <w:r w:rsidR="001658CC" w:rsidRPr="00BF5BBC">
              <w:rPr>
                <w:rFonts w:asciiTheme="majorHAnsi" w:hAnsiTheme="majorHAnsi" w:cs="Arial"/>
                <w:color w:val="595959" w:themeColor="text1" w:themeTint="A6"/>
                <w:sz w:val="21"/>
                <w:szCs w:val="21"/>
                <w:lang w:val="en-AU"/>
              </w:rPr>
              <w:t xml:space="preserve">(AIHSP) </w:t>
            </w:r>
            <w:r w:rsidR="00B1358C" w:rsidRPr="00BF5BBC">
              <w:rPr>
                <w:rFonts w:asciiTheme="majorHAnsi" w:hAnsiTheme="majorHAnsi" w:cs="Arial"/>
                <w:color w:val="595959" w:themeColor="text1" w:themeTint="A6"/>
                <w:sz w:val="21"/>
                <w:szCs w:val="21"/>
                <w:lang w:val="en-AU"/>
              </w:rPr>
              <w:t xml:space="preserve">will continue to help strengthen Indonesia’s ability to mitigate, detect and respond to health emergencies and reduce the threat posed by emerging infectious diseases. </w:t>
            </w:r>
            <w:r w:rsidR="00745395" w:rsidRPr="00BF5BBC">
              <w:rPr>
                <w:rFonts w:asciiTheme="majorHAnsi" w:hAnsiTheme="majorHAnsi" w:cs="Arial"/>
                <w:color w:val="595959" w:themeColor="text1" w:themeTint="A6"/>
                <w:sz w:val="21"/>
                <w:szCs w:val="21"/>
              </w:rPr>
              <w:t xml:space="preserve">The new program will help </w:t>
            </w:r>
            <w:r w:rsidR="00964209" w:rsidRPr="00BF5BBC">
              <w:rPr>
                <w:rFonts w:asciiTheme="majorHAnsi" w:hAnsiTheme="majorHAnsi" w:cs="Arial"/>
                <w:color w:val="595959" w:themeColor="text1" w:themeTint="A6"/>
                <w:sz w:val="21"/>
                <w:szCs w:val="21"/>
              </w:rPr>
              <w:t xml:space="preserve">curb </w:t>
            </w:r>
            <w:r w:rsidR="00745395" w:rsidRPr="00BF5BBC">
              <w:rPr>
                <w:rFonts w:asciiTheme="majorHAnsi" w:hAnsiTheme="majorHAnsi" w:cs="Arial"/>
                <w:color w:val="595959" w:themeColor="text1" w:themeTint="A6"/>
                <w:sz w:val="21"/>
                <w:szCs w:val="21"/>
              </w:rPr>
              <w:t>potential threats to Australia</w:t>
            </w:r>
            <w:r w:rsidR="00494846" w:rsidRPr="00BF5BBC">
              <w:rPr>
                <w:rFonts w:asciiTheme="majorHAnsi" w:hAnsiTheme="majorHAnsi" w:cs="Arial"/>
                <w:color w:val="595959" w:themeColor="text1" w:themeTint="A6"/>
                <w:sz w:val="21"/>
                <w:szCs w:val="21"/>
              </w:rPr>
              <w:t xml:space="preserve"> and beyond</w:t>
            </w:r>
            <w:r w:rsidR="00745395" w:rsidRPr="00BF5BBC">
              <w:rPr>
                <w:rFonts w:asciiTheme="majorHAnsi" w:hAnsiTheme="majorHAnsi" w:cs="Arial"/>
                <w:color w:val="595959" w:themeColor="text1" w:themeTint="A6"/>
                <w:sz w:val="21"/>
                <w:szCs w:val="21"/>
              </w:rPr>
              <w:t xml:space="preserve">. It will facilitate better access to senior levels within Indonesian government agencies, particularly in the event of an emerging </w:t>
            </w:r>
            <w:r w:rsidR="00745395" w:rsidRPr="00BF5BBC">
              <w:rPr>
                <w:rFonts w:asciiTheme="majorHAnsi" w:hAnsiTheme="majorHAnsi" w:cs="Arial"/>
                <w:color w:val="595959" w:themeColor="text1" w:themeTint="A6"/>
                <w:sz w:val="21"/>
                <w:szCs w:val="21"/>
              </w:rPr>
              <w:lastRenderedPageBreak/>
              <w:t xml:space="preserve">infectious disease threat. </w:t>
            </w:r>
            <w:r w:rsidR="00DD3836" w:rsidRPr="00BF5BBC">
              <w:rPr>
                <w:rFonts w:asciiTheme="majorHAnsi" w:hAnsiTheme="majorHAnsi" w:cs="Arial"/>
                <w:color w:val="595959" w:themeColor="text1" w:themeTint="A6"/>
                <w:sz w:val="21"/>
                <w:szCs w:val="21"/>
                <w:lang w:val="en-AU"/>
              </w:rPr>
              <w:t xml:space="preserve">It will support Indonesia to better equip itself </w:t>
            </w:r>
            <w:r w:rsidR="009D5FE2" w:rsidRPr="00BF5BBC">
              <w:rPr>
                <w:rFonts w:asciiTheme="majorHAnsi" w:hAnsiTheme="majorHAnsi" w:cs="Arial"/>
                <w:color w:val="595959" w:themeColor="text1" w:themeTint="A6"/>
                <w:sz w:val="21"/>
                <w:szCs w:val="21"/>
                <w:lang w:val="en-AU"/>
              </w:rPr>
              <w:t>to detect and control pandem</w:t>
            </w:r>
            <w:r w:rsidR="00470218">
              <w:rPr>
                <w:rFonts w:asciiTheme="majorHAnsi" w:hAnsiTheme="majorHAnsi" w:cs="Arial"/>
                <w:color w:val="595959" w:themeColor="text1" w:themeTint="A6"/>
                <w:sz w:val="21"/>
                <w:szCs w:val="21"/>
                <w:lang w:val="en-AU"/>
              </w:rPr>
              <w:t>ic threats to the region</w:t>
            </w:r>
            <w:r w:rsidR="009D5FE2" w:rsidRPr="00BF5BBC">
              <w:rPr>
                <w:rFonts w:asciiTheme="majorHAnsi" w:hAnsiTheme="majorHAnsi" w:cs="Arial"/>
                <w:color w:val="595959" w:themeColor="text1" w:themeTint="A6"/>
                <w:sz w:val="21"/>
                <w:szCs w:val="21"/>
                <w:lang w:val="en-AU"/>
              </w:rPr>
              <w:t xml:space="preserve">. </w:t>
            </w:r>
          </w:p>
          <w:p w:rsidR="00AE58F5" w:rsidRDefault="00AE58F5"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new partnership will build on lessons from the two phases of the AIPEID program, including the program review finalised in June 2017. The primary purpose of the review was to make recommendations on options for Australia’s future bilateral programmatic support in the area of health security beyond 2018. Extensive consultation was undertaken by the review team – including across whole-of-government partners (DFAT, DAWR and the Department of Health), the Indonesian Ministries of Health and Agriculture and other key stakeholders in Indonesia. The review strongly recommended the Australian Government continue to provide Indonesia with assistance in the area of detection and response to emerging infectious diseases. It urged DFAT to maintain certain elements of the existing program (particularly in relation to surveillance systems), to strengthen strategic high-level engagement with the Indonesian Government, and to increase ‘one-health’ efforts under a new program. </w:t>
            </w:r>
          </w:p>
          <w:p w:rsidR="00204043" w:rsidRDefault="00CB0BA5" w:rsidP="00BF5BB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lang w:val="en-AU"/>
              </w:rPr>
              <w:t xml:space="preserve">As highlighted in the Regional Health Security Initiative Design Concept, there are challenges to regional collaboration on health security. </w:t>
            </w:r>
            <w:r w:rsidR="005035E0" w:rsidRPr="00BF5BBC">
              <w:rPr>
                <w:rFonts w:asciiTheme="majorHAnsi" w:hAnsiTheme="majorHAnsi" w:cs="Arial"/>
                <w:color w:val="595959" w:themeColor="text1" w:themeTint="A6"/>
                <w:sz w:val="21"/>
                <w:szCs w:val="21"/>
                <w:lang w:val="en-US"/>
              </w:rPr>
              <w:t>The</w:t>
            </w:r>
            <w:r w:rsidR="00563FAF" w:rsidRPr="00BF5BBC">
              <w:rPr>
                <w:rFonts w:asciiTheme="majorHAnsi" w:hAnsiTheme="majorHAnsi" w:cs="Arial"/>
                <w:color w:val="595959" w:themeColor="text1" w:themeTint="A6"/>
                <w:sz w:val="21"/>
                <w:szCs w:val="21"/>
                <w:lang w:val="en-US"/>
              </w:rPr>
              <w:t xml:space="preserve"> </w:t>
            </w:r>
            <w:r w:rsidR="001658CC" w:rsidRPr="00BF5BBC">
              <w:rPr>
                <w:rFonts w:asciiTheme="majorHAnsi" w:hAnsiTheme="majorHAnsi" w:cs="Arial"/>
                <w:color w:val="595959" w:themeColor="text1" w:themeTint="A6"/>
                <w:sz w:val="21"/>
                <w:szCs w:val="21"/>
                <w:lang w:val="en-US"/>
              </w:rPr>
              <w:t>AIHSP</w:t>
            </w:r>
            <w:r>
              <w:rPr>
                <w:rFonts w:asciiTheme="majorHAnsi" w:hAnsiTheme="majorHAnsi" w:cs="Arial"/>
                <w:color w:val="595959" w:themeColor="text1" w:themeTint="A6"/>
                <w:sz w:val="21"/>
                <w:szCs w:val="21"/>
                <w:lang w:val="en-AU"/>
              </w:rPr>
              <w:t xml:space="preserve"> will help address some of those challenges when it comes to Indonesia’s engagement. </w:t>
            </w:r>
            <w:r w:rsidR="007F1CB7" w:rsidRPr="00BF5BBC">
              <w:rPr>
                <w:rFonts w:asciiTheme="majorHAnsi" w:hAnsiTheme="majorHAnsi" w:cs="Arial"/>
                <w:color w:val="595959" w:themeColor="text1" w:themeTint="A6"/>
                <w:sz w:val="21"/>
                <w:szCs w:val="21"/>
                <w:lang w:val="en-AU"/>
              </w:rPr>
              <w:t>It</w:t>
            </w:r>
            <w:r w:rsidR="00563FAF" w:rsidRPr="00BF5BBC">
              <w:rPr>
                <w:rFonts w:asciiTheme="majorHAnsi" w:hAnsiTheme="majorHAnsi" w:cs="Arial"/>
                <w:color w:val="595959" w:themeColor="text1" w:themeTint="A6"/>
                <w:sz w:val="21"/>
                <w:szCs w:val="21"/>
                <w:lang w:val="en-AU"/>
              </w:rPr>
              <w:t xml:space="preserve"> will help ensure oversight and buy-in, at senior levels</w:t>
            </w:r>
            <w:r w:rsidR="00470218">
              <w:rPr>
                <w:rFonts w:asciiTheme="majorHAnsi" w:hAnsiTheme="majorHAnsi" w:cs="Arial"/>
                <w:color w:val="595959" w:themeColor="text1" w:themeTint="A6"/>
                <w:sz w:val="21"/>
                <w:szCs w:val="21"/>
                <w:lang w:val="en-AU"/>
              </w:rPr>
              <w:t xml:space="preserve"> of Government</w:t>
            </w:r>
            <w:r w:rsidR="00563FAF" w:rsidRPr="00BF5BBC">
              <w:rPr>
                <w:rFonts w:asciiTheme="majorHAnsi" w:hAnsiTheme="majorHAnsi" w:cs="Arial"/>
                <w:color w:val="595959" w:themeColor="text1" w:themeTint="A6"/>
                <w:sz w:val="21"/>
                <w:szCs w:val="21"/>
                <w:lang w:val="en-AU"/>
              </w:rPr>
              <w:t>, for initiatives and activities funded regional</w:t>
            </w:r>
            <w:r w:rsidR="001658CC" w:rsidRPr="00BF5BBC">
              <w:rPr>
                <w:rFonts w:asciiTheme="majorHAnsi" w:hAnsiTheme="majorHAnsi" w:cs="Arial"/>
                <w:color w:val="595959" w:themeColor="text1" w:themeTint="A6"/>
                <w:sz w:val="21"/>
                <w:szCs w:val="21"/>
                <w:lang w:val="en-AU"/>
              </w:rPr>
              <w:t>ly</w:t>
            </w:r>
            <w:r w:rsidR="00563FAF" w:rsidRPr="00BF5BBC">
              <w:rPr>
                <w:rFonts w:asciiTheme="majorHAnsi" w:hAnsiTheme="majorHAnsi" w:cs="Arial"/>
                <w:color w:val="595959" w:themeColor="text1" w:themeTint="A6"/>
                <w:sz w:val="21"/>
                <w:szCs w:val="21"/>
                <w:lang w:val="en-AU"/>
              </w:rPr>
              <w:t xml:space="preserve">. </w:t>
            </w:r>
            <w:r w:rsidR="00563FAF" w:rsidRPr="00BF5BBC">
              <w:rPr>
                <w:rFonts w:asciiTheme="majorHAnsi" w:hAnsiTheme="majorHAnsi" w:cs="Arial"/>
                <w:color w:val="595959" w:themeColor="text1" w:themeTint="A6"/>
                <w:sz w:val="21"/>
                <w:szCs w:val="21"/>
              </w:rPr>
              <w:t xml:space="preserve">An effective bilateral program is integral to the success of any regional initiative that seeks to establish partnerships and build health system capacity to respond to health security threats. Without this investment, it will be difficult for </w:t>
            </w:r>
            <w:r w:rsidR="001C24C0" w:rsidRPr="00BF5BBC">
              <w:rPr>
                <w:rFonts w:asciiTheme="majorHAnsi" w:hAnsiTheme="majorHAnsi" w:cs="Arial"/>
                <w:color w:val="595959" w:themeColor="text1" w:themeTint="A6"/>
                <w:sz w:val="21"/>
                <w:szCs w:val="21"/>
              </w:rPr>
              <w:t>regional i</w:t>
            </w:r>
            <w:r w:rsidR="00563FAF" w:rsidRPr="00BF5BBC">
              <w:rPr>
                <w:rFonts w:asciiTheme="majorHAnsi" w:hAnsiTheme="majorHAnsi" w:cs="Arial"/>
                <w:color w:val="595959" w:themeColor="text1" w:themeTint="A6"/>
                <w:sz w:val="21"/>
                <w:szCs w:val="21"/>
              </w:rPr>
              <w:t>nitiative</w:t>
            </w:r>
            <w:r w:rsidR="001C24C0" w:rsidRPr="00BF5BBC">
              <w:rPr>
                <w:rFonts w:asciiTheme="majorHAnsi" w:hAnsiTheme="majorHAnsi" w:cs="Arial"/>
                <w:color w:val="595959" w:themeColor="text1" w:themeTint="A6"/>
                <w:sz w:val="21"/>
                <w:szCs w:val="21"/>
              </w:rPr>
              <w:t>s</w:t>
            </w:r>
            <w:r w:rsidR="00563FAF" w:rsidRPr="00BF5BBC">
              <w:rPr>
                <w:rFonts w:asciiTheme="majorHAnsi" w:hAnsiTheme="majorHAnsi" w:cs="Arial"/>
                <w:color w:val="595959" w:themeColor="text1" w:themeTint="A6"/>
                <w:sz w:val="21"/>
                <w:szCs w:val="21"/>
              </w:rPr>
              <w:t xml:space="preserve"> to get traction in Indonesia. </w:t>
            </w:r>
          </w:p>
          <w:p w:rsidR="005035E0" w:rsidRPr="00BF5BBC" w:rsidRDefault="005035E0"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The </w:t>
            </w:r>
            <w:r w:rsidR="001658CC" w:rsidRPr="00BF5BBC">
              <w:rPr>
                <w:rFonts w:asciiTheme="majorHAnsi" w:hAnsiTheme="majorHAnsi" w:cs="Arial"/>
                <w:color w:val="595959" w:themeColor="text1" w:themeTint="A6"/>
                <w:sz w:val="21"/>
                <w:szCs w:val="21"/>
              </w:rPr>
              <w:t xml:space="preserve">new </w:t>
            </w:r>
            <w:r w:rsidR="00DB2A19" w:rsidRPr="00BF5BBC">
              <w:rPr>
                <w:rFonts w:asciiTheme="majorHAnsi" w:hAnsiTheme="majorHAnsi" w:cs="Arial"/>
                <w:color w:val="595959" w:themeColor="text1" w:themeTint="A6"/>
                <w:sz w:val="21"/>
                <w:szCs w:val="21"/>
              </w:rPr>
              <w:t xml:space="preserve">program will also help the </w:t>
            </w:r>
            <w:r w:rsidRPr="00BF5BBC">
              <w:rPr>
                <w:rFonts w:asciiTheme="majorHAnsi" w:hAnsiTheme="majorHAnsi" w:cs="Arial"/>
                <w:color w:val="595959" w:themeColor="text1" w:themeTint="A6"/>
                <w:sz w:val="21"/>
                <w:szCs w:val="21"/>
              </w:rPr>
              <w:t>Australian Government</w:t>
            </w:r>
            <w:r w:rsidR="00DB2A19" w:rsidRPr="00BF5BBC">
              <w:rPr>
                <w:rFonts w:asciiTheme="majorHAnsi" w:hAnsiTheme="majorHAnsi" w:cs="Arial"/>
                <w:color w:val="595959" w:themeColor="text1" w:themeTint="A6"/>
                <w:sz w:val="21"/>
                <w:szCs w:val="21"/>
              </w:rPr>
              <w:t>’s</w:t>
            </w:r>
            <w:r w:rsidRPr="00BF5BBC">
              <w:rPr>
                <w:rFonts w:asciiTheme="majorHAnsi" w:hAnsiTheme="majorHAnsi" w:cs="Arial"/>
                <w:color w:val="595959" w:themeColor="text1" w:themeTint="A6"/>
                <w:sz w:val="21"/>
                <w:szCs w:val="21"/>
              </w:rPr>
              <w:t xml:space="preserve"> broader</w:t>
            </w:r>
            <w:r w:rsidRPr="00BF5BBC">
              <w:rPr>
                <w:rFonts w:asciiTheme="majorHAnsi" w:hAnsiTheme="majorHAnsi" w:cs="Arial"/>
                <w:color w:val="595959" w:themeColor="text1" w:themeTint="A6"/>
                <w:sz w:val="21"/>
                <w:szCs w:val="21"/>
                <w:lang w:val="en-US"/>
              </w:rPr>
              <w:t xml:space="preserve"> interests in protecting Australian livestock from infectious diseases that might enter Australia through Indonesia, as well as keeping communication channels open for trade dialogue.</w:t>
            </w:r>
          </w:p>
          <w:p w:rsidR="005C2E4A" w:rsidRPr="00BF5BBC" w:rsidRDefault="002828A7" w:rsidP="00BF5BBC">
            <w:pPr>
              <w:suppressAutoHyphens w:val="0"/>
              <w:spacing w:after="0" w:line="240" w:lineRule="auto"/>
              <w:rPr>
                <w:rFonts w:asciiTheme="majorHAnsi" w:hAnsiTheme="majorHAnsi" w:cs="Arial"/>
                <w:color w:val="595959" w:themeColor="text1" w:themeTint="A6"/>
                <w:sz w:val="21"/>
                <w:szCs w:val="21"/>
                <w:u w:val="single"/>
              </w:rPr>
            </w:pPr>
            <w:r w:rsidRPr="00BF5BBC">
              <w:rPr>
                <w:rFonts w:asciiTheme="majorHAnsi" w:hAnsiTheme="majorHAnsi" w:cs="Arial"/>
                <w:color w:val="595959" w:themeColor="text1" w:themeTint="A6"/>
                <w:sz w:val="21"/>
                <w:szCs w:val="21"/>
                <w:u w:val="single"/>
              </w:rPr>
              <w:t>Indonesia’s</w:t>
            </w:r>
            <w:r w:rsidR="005C2E4A" w:rsidRPr="00BF5BBC">
              <w:rPr>
                <w:rFonts w:asciiTheme="majorHAnsi" w:hAnsiTheme="majorHAnsi" w:cs="Arial"/>
                <w:color w:val="595959" w:themeColor="text1" w:themeTint="A6"/>
                <w:sz w:val="21"/>
                <w:szCs w:val="21"/>
                <w:u w:val="single"/>
              </w:rPr>
              <w:t xml:space="preserve"> commitment to Health Security</w:t>
            </w:r>
          </w:p>
          <w:p w:rsidR="00FE4A00" w:rsidRPr="00BF5BBC" w:rsidRDefault="00FE4A00"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w:t>
            </w:r>
            <w:r w:rsidR="00ED379B" w:rsidRPr="00BF5BBC">
              <w:rPr>
                <w:rFonts w:asciiTheme="majorHAnsi" w:hAnsiTheme="majorHAnsi" w:cs="Arial"/>
                <w:color w:val="595959" w:themeColor="text1" w:themeTint="A6"/>
                <w:sz w:val="21"/>
                <w:szCs w:val="21"/>
                <w:lang w:val="en-US"/>
              </w:rPr>
              <w:t xml:space="preserve">2003 </w:t>
            </w:r>
            <w:r w:rsidRPr="00BF5BBC">
              <w:rPr>
                <w:rFonts w:asciiTheme="majorHAnsi" w:hAnsiTheme="majorHAnsi" w:cs="Arial"/>
                <w:color w:val="595959" w:themeColor="text1" w:themeTint="A6"/>
                <w:sz w:val="21"/>
                <w:szCs w:val="21"/>
                <w:lang w:val="en-US"/>
              </w:rPr>
              <w:t>avian influenza outbreak</w:t>
            </w:r>
            <w:r w:rsidR="00ED379B" w:rsidRPr="00BF5BBC">
              <w:rPr>
                <w:rFonts w:asciiTheme="majorHAnsi" w:hAnsiTheme="majorHAnsi" w:cs="Arial"/>
                <w:color w:val="595959" w:themeColor="text1" w:themeTint="A6"/>
                <w:sz w:val="21"/>
                <w:szCs w:val="21"/>
                <w:lang w:val="en-US"/>
              </w:rPr>
              <w:t xml:space="preserve"> experience</w:t>
            </w:r>
            <w:r w:rsidRPr="00BF5BBC">
              <w:rPr>
                <w:rFonts w:asciiTheme="majorHAnsi" w:hAnsiTheme="majorHAnsi" w:cs="Arial"/>
                <w:color w:val="595959" w:themeColor="text1" w:themeTint="A6"/>
                <w:sz w:val="21"/>
                <w:szCs w:val="21"/>
                <w:lang w:val="en-US"/>
              </w:rPr>
              <w:t>,</w:t>
            </w:r>
            <w:r w:rsidR="00ED379B" w:rsidRPr="00BF5BBC">
              <w:rPr>
                <w:rFonts w:asciiTheme="majorHAnsi" w:hAnsiTheme="majorHAnsi" w:cs="Arial"/>
                <w:color w:val="595959" w:themeColor="text1" w:themeTint="A6"/>
                <w:sz w:val="21"/>
                <w:szCs w:val="21"/>
                <w:lang w:val="en-US"/>
              </w:rPr>
              <w:t xml:space="preserve"> along with periodic infectious disease alerts such as Zika, has helped </w:t>
            </w:r>
            <w:r w:rsidR="00F24DE6" w:rsidRPr="00BF5BBC">
              <w:rPr>
                <w:rFonts w:asciiTheme="majorHAnsi" w:hAnsiTheme="majorHAnsi" w:cs="Arial"/>
                <w:color w:val="595959" w:themeColor="text1" w:themeTint="A6"/>
                <w:sz w:val="21"/>
                <w:szCs w:val="21"/>
                <w:lang w:val="en-US"/>
              </w:rPr>
              <w:t>keep</w:t>
            </w:r>
            <w:r w:rsidRPr="00BF5BBC">
              <w:rPr>
                <w:rFonts w:asciiTheme="majorHAnsi" w:hAnsiTheme="majorHAnsi" w:cs="Arial"/>
                <w:color w:val="595959" w:themeColor="text1" w:themeTint="A6"/>
                <w:sz w:val="21"/>
                <w:szCs w:val="21"/>
                <w:lang w:val="en-US"/>
              </w:rPr>
              <w:t xml:space="preserve"> </w:t>
            </w:r>
            <w:r w:rsidR="00ED379B" w:rsidRPr="00BF5BBC">
              <w:rPr>
                <w:rFonts w:asciiTheme="majorHAnsi" w:hAnsiTheme="majorHAnsi" w:cs="Arial"/>
                <w:color w:val="595959" w:themeColor="text1" w:themeTint="A6"/>
                <w:sz w:val="21"/>
                <w:szCs w:val="21"/>
                <w:lang w:val="en-US"/>
              </w:rPr>
              <w:t xml:space="preserve">health security </w:t>
            </w:r>
            <w:r w:rsidRPr="00BF5BBC">
              <w:rPr>
                <w:rFonts w:asciiTheme="majorHAnsi" w:hAnsiTheme="majorHAnsi" w:cs="Arial"/>
                <w:color w:val="595959" w:themeColor="text1" w:themeTint="A6"/>
                <w:sz w:val="21"/>
                <w:szCs w:val="21"/>
                <w:lang w:val="en-US"/>
              </w:rPr>
              <w:t xml:space="preserve">on </w:t>
            </w:r>
            <w:r w:rsidR="000014EA" w:rsidRPr="00BF5BBC">
              <w:rPr>
                <w:rFonts w:asciiTheme="majorHAnsi" w:hAnsiTheme="majorHAnsi" w:cs="Arial"/>
                <w:color w:val="595959" w:themeColor="text1" w:themeTint="A6"/>
                <w:sz w:val="21"/>
                <w:szCs w:val="21"/>
                <w:lang w:val="en-US"/>
              </w:rPr>
              <w:t>Indonesia’s</w:t>
            </w:r>
            <w:r w:rsidRPr="00BF5BBC">
              <w:rPr>
                <w:rFonts w:asciiTheme="majorHAnsi" w:hAnsiTheme="majorHAnsi" w:cs="Arial"/>
                <w:color w:val="595959" w:themeColor="text1" w:themeTint="A6"/>
                <w:sz w:val="21"/>
                <w:szCs w:val="21"/>
                <w:lang w:val="en-US"/>
              </w:rPr>
              <w:t xml:space="preserve"> political agenda. I</w:t>
            </w:r>
            <w:r w:rsidR="000014EA" w:rsidRPr="00BF5BBC">
              <w:rPr>
                <w:rFonts w:asciiTheme="majorHAnsi" w:hAnsiTheme="majorHAnsi" w:cs="Arial"/>
                <w:color w:val="595959" w:themeColor="text1" w:themeTint="A6"/>
                <w:sz w:val="21"/>
                <w:szCs w:val="21"/>
                <w:lang w:val="en-US"/>
              </w:rPr>
              <w:t>n recent years, I</w:t>
            </w:r>
            <w:r w:rsidRPr="00BF5BBC">
              <w:rPr>
                <w:rFonts w:asciiTheme="majorHAnsi" w:hAnsiTheme="majorHAnsi" w:cs="Arial"/>
                <w:color w:val="595959" w:themeColor="text1" w:themeTint="A6"/>
                <w:sz w:val="21"/>
                <w:szCs w:val="21"/>
                <w:lang w:val="en-US"/>
              </w:rPr>
              <w:t xml:space="preserve">ndonesia has demonstrated </w:t>
            </w:r>
            <w:r w:rsidR="00ED379B" w:rsidRPr="00BF5BBC">
              <w:rPr>
                <w:rFonts w:asciiTheme="majorHAnsi" w:hAnsiTheme="majorHAnsi" w:cs="Arial"/>
                <w:color w:val="595959" w:themeColor="text1" w:themeTint="A6"/>
                <w:sz w:val="21"/>
                <w:szCs w:val="21"/>
                <w:lang w:val="en-US"/>
              </w:rPr>
              <w:t>its preparedness</w:t>
            </w:r>
            <w:r w:rsidR="007F1CB7" w:rsidRPr="00BF5BBC">
              <w:rPr>
                <w:rFonts w:asciiTheme="majorHAnsi" w:hAnsiTheme="majorHAnsi" w:cs="Arial"/>
                <w:color w:val="595959" w:themeColor="text1" w:themeTint="A6"/>
                <w:sz w:val="21"/>
                <w:szCs w:val="21"/>
                <w:lang w:val="en-US"/>
              </w:rPr>
              <w:t xml:space="preserve"> to take an active</w:t>
            </w:r>
            <w:r w:rsidR="00ED379B" w:rsidRPr="00BF5BBC">
              <w:rPr>
                <w:rFonts w:asciiTheme="majorHAnsi" w:hAnsiTheme="majorHAnsi" w:cs="Arial"/>
                <w:color w:val="595959" w:themeColor="text1" w:themeTint="A6"/>
                <w:sz w:val="21"/>
                <w:szCs w:val="21"/>
                <w:lang w:val="en-US"/>
              </w:rPr>
              <w:t xml:space="preserve"> role</w:t>
            </w:r>
            <w:r w:rsidR="007F1CB7" w:rsidRPr="00BF5BBC">
              <w:rPr>
                <w:rFonts w:asciiTheme="majorHAnsi" w:hAnsiTheme="majorHAnsi" w:cs="Arial"/>
                <w:color w:val="595959" w:themeColor="text1" w:themeTint="A6"/>
                <w:sz w:val="21"/>
                <w:szCs w:val="21"/>
                <w:lang w:val="en-US"/>
              </w:rPr>
              <w:t>, globally,</w:t>
            </w:r>
            <w:r w:rsidR="00ED379B" w:rsidRPr="00BF5BBC">
              <w:rPr>
                <w:rFonts w:asciiTheme="majorHAnsi" w:hAnsiTheme="majorHAnsi" w:cs="Arial"/>
                <w:color w:val="595959" w:themeColor="text1" w:themeTint="A6"/>
                <w:sz w:val="21"/>
                <w:szCs w:val="21"/>
                <w:lang w:val="en-US"/>
              </w:rPr>
              <w:t xml:space="preserve"> on the issue</w:t>
            </w:r>
            <w:r w:rsidRPr="00BF5BBC">
              <w:rPr>
                <w:rFonts w:asciiTheme="majorHAnsi" w:hAnsiTheme="majorHAnsi" w:cs="Arial"/>
                <w:color w:val="595959" w:themeColor="text1" w:themeTint="A6"/>
                <w:sz w:val="21"/>
                <w:szCs w:val="21"/>
                <w:lang w:val="en-US"/>
              </w:rPr>
              <w:t xml:space="preserve">. </w:t>
            </w:r>
          </w:p>
          <w:p w:rsidR="000014EA" w:rsidRPr="00BF5BBC" w:rsidRDefault="000014EA"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Indonesia is </w:t>
            </w:r>
            <w:r w:rsidR="007F1CB7" w:rsidRPr="00BF5BBC">
              <w:rPr>
                <w:rFonts w:asciiTheme="majorHAnsi" w:hAnsiTheme="majorHAnsi" w:cs="Arial"/>
                <w:color w:val="595959" w:themeColor="text1" w:themeTint="A6"/>
                <w:sz w:val="21"/>
                <w:szCs w:val="21"/>
              </w:rPr>
              <w:t>closely engaged</w:t>
            </w:r>
            <w:r w:rsidR="00ED379B" w:rsidRPr="00BF5BBC">
              <w:rPr>
                <w:rFonts w:asciiTheme="majorHAnsi" w:hAnsiTheme="majorHAnsi" w:cs="Arial"/>
                <w:color w:val="595959" w:themeColor="text1" w:themeTint="A6"/>
                <w:sz w:val="21"/>
                <w:szCs w:val="21"/>
              </w:rPr>
              <w:t xml:space="preserve"> on the Global Health Security Agenda (GHSA)– having served as Steering Committee Chair in 2016 (followed by Korea in 2017 and Italy in 2018), and </w:t>
            </w:r>
            <w:r w:rsidR="00ED379B" w:rsidRPr="00BF5BBC">
              <w:rPr>
                <w:rFonts w:asciiTheme="majorHAnsi" w:hAnsiTheme="majorHAnsi" w:cs="Arial"/>
                <w:color w:val="595959" w:themeColor="text1" w:themeTint="A6"/>
                <w:sz w:val="21"/>
                <w:szCs w:val="21"/>
                <w:lang w:val="en-US"/>
              </w:rPr>
              <w:t xml:space="preserve">is leading on </w:t>
            </w:r>
            <w:r w:rsidRPr="00BF5BBC">
              <w:rPr>
                <w:rFonts w:asciiTheme="majorHAnsi" w:hAnsiTheme="majorHAnsi" w:cs="Arial"/>
                <w:color w:val="595959" w:themeColor="text1" w:themeTint="A6"/>
                <w:sz w:val="21"/>
                <w:szCs w:val="21"/>
                <w:lang w:val="en-US"/>
              </w:rPr>
              <w:t xml:space="preserve">the </w:t>
            </w:r>
            <w:r w:rsidR="00ED379B" w:rsidRPr="00BF5BBC">
              <w:rPr>
                <w:rFonts w:asciiTheme="majorHAnsi" w:hAnsiTheme="majorHAnsi" w:cs="Arial"/>
                <w:color w:val="595959" w:themeColor="text1" w:themeTint="A6"/>
                <w:sz w:val="21"/>
                <w:szCs w:val="21"/>
                <w:lang w:val="en-US"/>
              </w:rPr>
              <w:t>GHSA A</w:t>
            </w:r>
            <w:r w:rsidR="00F24DE6" w:rsidRPr="00BF5BBC">
              <w:rPr>
                <w:rFonts w:asciiTheme="majorHAnsi" w:hAnsiTheme="majorHAnsi" w:cs="Arial"/>
                <w:color w:val="595959" w:themeColor="text1" w:themeTint="A6"/>
                <w:sz w:val="21"/>
                <w:szCs w:val="21"/>
                <w:lang w:val="en-US"/>
              </w:rPr>
              <w:t>ction Package 2, Zoonotic Disease</w:t>
            </w:r>
            <w:r w:rsidR="00ED379B" w:rsidRPr="00BF5BBC">
              <w:rPr>
                <w:rFonts w:asciiTheme="majorHAnsi" w:hAnsiTheme="majorHAnsi" w:cs="Arial"/>
                <w:color w:val="595959" w:themeColor="text1" w:themeTint="A6"/>
                <w:sz w:val="21"/>
                <w:szCs w:val="21"/>
                <w:lang w:val="en-US"/>
              </w:rPr>
              <w:t xml:space="preserve">. </w:t>
            </w:r>
            <w:r w:rsidR="00F24DE6" w:rsidRPr="00BF5BBC">
              <w:rPr>
                <w:rFonts w:asciiTheme="majorHAnsi" w:hAnsiTheme="majorHAnsi" w:cs="Arial"/>
                <w:color w:val="595959" w:themeColor="text1" w:themeTint="A6"/>
                <w:sz w:val="21"/>
                <w:szCs w:val="21"/>
                <w:lang w:val="en-US"/>
              </w:rPr>
              <w:t xml:space="preserve">Domestically, it has also established working groups to address each </w:t>
            </w:r>
            <w:r w:rsidR="007F1CB7" w:rsidRPr="00BF5BBC">
              <w:rPr>
                <w:rFonts w:asciiTheme="majorHAnsi" w:hAnsiTheme="majorHAnsi" w:cs="Arial"/>
                <w:color w:val="595959" w:themeColor="text1" w:themeTint="A6"/>
                <w:sz w:val="21"/>
                <w:szCs w:val="21"/>
                <w:lang w:val="en-US"/>
              </w:rPr>
              <w:t xml:space="preserve">GHSA </w:t>
            </w:r>
            <w:r w:rsidR="00F24DE6" w:rsidRPr="00BF5BBC">
              <w:rPr>
                <w:rFonts w:asciiTheme="majorHAnsi" w:hAnsiTheme="majorHAnsi" w:cs="Arial"/>
                <w:color w:val="595959" w:themeColor="text1" w:themeTint="A6"/>
                <w:sz w:val="21"/>
                <w:szCs w:val="21"/>
                <w:lang w:val="en-US"/>
              </w:rPr>
              <w:t xml:space="preserve">action package. </w:t>
            </w:r>
            <w:r w:rsidR="00ED379B" w:rsidRPr="00BF5BBC">
              <w:rPr>
                <w:rFonts w:asciiTheme="majorHAnsi" w:hAnsiTheme="majorHAnsi" w:cs="Arial"/>
                <w:color w:val="595959" w:themeColor="text1" w:themeTint="A6"/>
                <w:sz w:val="21"/>
                <w:szCs w:val="21"/>
                <w:lang w:val="en-US"/>
              </w:rPr>
              <w:t>I</w:t>
            </w:r>
            <w:r w:rsidR="00F24DE6" w:rsidRPr="00BF5BBC">
              <w:rPr>
                <w:rFonts w:asciiTheme="majorHAnsi" w:hAnsiTheme="majorHAnsi" w:cs="Arial"/>
                <w:color w:val="595959" w:themeColor="text1" w:themeTint="A6"/>
                <w:sz w:val="21"/>
                <w:szCs w:val="21"/>
                <w:lang w:val="en-US"/>
              </w:rPr>
              <w:t>ndonesia is set to</w:t>
            </w:r>
            <w:r w:rsidR="00ED379B" w:rsidRPr="00BF5BBC">
              <w:rPr>
                <w:rFonts w:asciiTheme="majorHAnsi" w:hAnsiTheme="majorHAnsi" w:cs="Arial"/>
                <w:color w:val="595959" w:themeColor="text1" w:themeTint="A6"/>
                <w:sz w:val="21"/>
                <w:szCs w:val="21"/>
                <w:lang w:val="en-US"/>
              </w:rPr>
              <w:t xml:space="preserve"> host the next High-Level GHSA Ministerial Meeting in November 2018 in Bali.</w:t>
            </w:r>
            <w:r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color w:val="595959" w:themeColor="text1" w:themeTint="A6"/>
                <w:sz w:val="21"/>
                <w:szCs w:val="21"/>
              </w:rPr>
              <w:t xml:space="preserve">Indonesia is also a member of the JEE Alliance for Country Assessment (which Australia currently co-chairs) and leads the JEE Alliance’s subgroup for ‘Harnessing Regional Capacity’. </w:t>
            </w:r>
            <w:r w:rsidR="00F24DE6" w:rsidRPr="00BF5BBC">
              <w:rPr>
                <w:rFonts w:asciiTheme="majorHAnsi" w:hAnsiTheme="majorHAnsi" w:cs="Arial"/>
                <w:color w:val="595959" w:themeColor="text1" w:themeTint="A6"/>
                <w:sz w:val="21"/>
                <w:szCs w:val="21"/>
              </w:rPr>
              <w:t>A</w:t>
            </w:r>
            <w:r w:rsidRPr="00BF5BBC">
              <w:rPr>
                <w:rFonts w:asciiTheme="majorHAnsi" w:hAnsiTheme="majorHAnsi" w:cs="Arial"/>
                <w:color w:val="595959" w:themeColor="text1" w:themeTint="A6"/>
                <w:sz w:val="21"/>
                <w:szCs w:val="21"/>
              </w:rPr>
              <w:t xml:space="preserve">s Chair of the International Committee of Military Medicine, </w:t>
            </w:r>
            <w:r w:rsidR="00F24DE6" w:rsidRPr="00BF5BBC">
              <w:rPr>
                <w:rFonts w:asciiTheme="majorHAnsi" w:hAnsiTheme="majorHAnsi" w:cs="Arial"/>
                <w:color w:val="595959" w:themeColor="text1" w:themeTint="A6"/>
                <w:sz w:val="21"/>
                <w:szCs w:val="21"/>
              </w:rPr>
              <w:t xml:space="preserve">Indonesia </w:t>
            </w:r>
            <w:r w:rsidRPr="00BF5BBC">
              <w:rPr>
                <w:rFonts w:asciiTheme="majorHAnsi" w:hAnsiTheme="majorHAnsi" w:cs="Arial"/>
                <w:color w:val="595959" w:themeColor="text1" w:themeTint="A6"/>
                <w:sz w:val="21"/>
                <w:szCs w:val="21"/>
              </w:rPr>
              <w:t xml:space="preserve">co-hosted alongside WHO a “Managing Future Global Health Risks” conference from 24-26 October 2017 in Jakarta. This conference was opened by President Widodo at the state palace. </w:t>
            </w:r>
          </w:p>
          <w:p w:rsidR="00F74BBC" w:rsidRPr="00BF5BBC" w:rsidRDefault="00463625"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SEARO (including Indonesia) </w:t>
            </w:r>
            <w:r w:rsidR="000061AF" w:rsidRPr="00BF5BBC">
              <w:rPr>
                <w:rFonts w:asciiTheme="majorHAnsi" w:hAnsiTheme="majorHAnsi" w:cs="Arial"/>
                <w:color w:val="595959" w:themeColor="text1" w:themeTint="A6"/>
                <w:sz w:val="21"/>
                <w:szCs w:val="21"/>
              </w:rPr>
              <w:t>and WPRO countries</w:t>
            </w:r>
            <w:r w:rsidRPr="00BF5BBC">
              <w:rPr>
                <w:rFonts w:asciiTheme="majorHAnsi" w:hAnsiTheme="majorHAnsi" w:cs="Arial"/>
                <w:color w:val="595959" w:themeColor="text1" w:themeTint="A6"/>
                <w:sz w:val="21"/>
                <w:szCs w:val="21"/>
              </w:rPr>
              <w:t xml:space="preserve"> developed the Asia Pacific Strategy for Emerging Diseases (APSED) in 2005. The strategy addresses eight focus areas: surveillance, risk assessment and response; laboratories; zoonoses; infection prevention and control; risk communication; public health emergency preparedness; regional preparedness; and monitoring and evaluation. </w:t>
            </w:r>
            <w:r w:rsidR="006C3E4B" w:rsidRPr="00BF5BBC">
              <w:rPr>
                <w:rFonts w:asciiTheme="majorHAnsi" w:hAnsiTheme="majorHAnsi" w:cs="Arial"/>
                <w:color w:val="595959" w:themeColor="text1" w:themeTint="A6"/>
                <w:sz w:val="21"/>
                <w:szCs w:val="21"/>
              </w:rPr>
              <w:t>Ind</w:t>
            </w:r>
            <w:r w:rsidR="00DE5369" w:rsidRPr="00BF5BBC">
              <w:rPr>
                <w:rFonts w:asciiTheme="majorHAnsi" w:hAnsiTheme="majorHAnsi" w:cs="Arial"/>
                <w:color w:val="595959" w:themeColor="text1" w:themeTint="A6"/>
                <w:sz w:val="21"/>
                <w:szCs w:val="21"/>
              </w:rPr>
              <w:t xml:space="preserve">onesia and countries across our </w:t>
            </w:r>
            <w:r w:rsidR="006C3E4B" w:rsidRPr="00BF5BBC">
              <w:rPr>
                <w:rFonts w:asciiTheme="majorHAnsi" w:hAnsiTheme="majorHAnsi" w:cs="Arial"/>
                <w:color w:val="595959" w:themeColor="text1" w:themeTint="A6"/>
                <w:sz w:val="21"/>
                <w:szCs w:val="21"/>
              </w:rPr>
              <w:t xml:space="preserve">region are using </w:t>
            </w:r>
            <w:r w:rsidR="00F74BBC" w:rsidRPr="00BF5BBC">
              <w:rPr>
                <w:rFonts w:asciiTheme="majorHAnsi" w:hAnsiTheme="majorHAnsi" w:cs="Arial"/>
                <w:color w:val="595959" w:themeColor="text1" w:themeTint="A6"/>
                <w:sz w:val="21"/>
                <w:szCs w:val="21"/>
              </w:rPr>
              <w:t xml:space="preserve">APSED III </w:t>
            </w:r>
            <w:r w:rsidR="006C3E4B" w:rsidRPr="00BF5BBC">
              <w:rPr>
                <w:rFonts w:asciiTheme="majorHAnsi" w:hAnsiTheme="majorHAnsi" w:cs="Arial"/>
                <w:color w:val="595959" w:themeColor="text1" w:themeTint="A6"/>
                <w:sz w:val="21"/>
                <w:szCs w:val="21"/>
              </w:rPr>
              <w:t xml:space="preserve">as the </w:t>
            </w:r>
            <w:r w:rsidR="00F74BBC" w:rsidRPr="00BF5BBC">
              <w:rPr>
                <w:rFonts w:asciiTheme="majorHAnsi" w:hAnsiTheme="majorHAnsi" w:cs="Arial"/>
                <w:color w:val="595959" w:themeColor="text1" w:themeTint="A6"/>
                <w:sz w:val="21"/>
                <w:szCs w:val="21"/>
              </w:rPr>
              <w:t xml:space="preserve">framework of action for working towards the IHR core capacities, building national capacity to prevent, detect, respond to and mitigate health security threats through an all-hazards approach.  </w:t>
            </w:r>
          </w:p>
          <w:p w:rsidR="001C24C0" w:rsidRPr="00BF5BBC" w:rsidRDefault="00ED379B"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Indonesia undertook the WHO-supported</w:t>
            </w:r>
            <w:r w:rsidR="009A37CF" w:rsidRPr="00BF5BBC">
              <w:rPr>
                <w:rFonts w:asciiTheme="majorHAnsi" w:hAnsiTheme="majorHAnsi" w:cs="Arial"/>
                <w:color w:val="595959" w:themeColor="text1" w:themeTint="A6"/>
                <w:sz w:val="21"/>
                <w:szCs w:val="21"/>
                <w:lang w:val="en-AU"/>
              </w:rPr>
              <w:t xml:space="preserve"> Joint External Evaluation (JEE) on 20-24 November 2017 to assess its health security capacity including gaps when it comes to </w:t>
            </w:r>
            <w:r w:rsidR="009A37CF" w:rsidRPr="00BF5BBC">
              <w:rPr>
                <w:rFonts w:asciiTheme="majorHAnsi" w:hAnsiTheme="majorHAnsi" w:cs="Arial"/>
                <w:color w:val="595959" w:themeColor="text1" w:themeTint="A6"/>
                <w:sz w:val="21"/>
                <w:szCs w:val="21"/>
                <w:lang w:val="en-US"/>
              </w:rPr>
              <w:t>preparedness, detection and response systems. There were a number of areas where Indonesia was identified to have limited capacity</w:t>
            </w:r>
            <w:r w:rsidR="00470218">
              <w:rPr>
                <w:rFonts w:asciiTheme="majorHAnsi" w:hAnsiTheme="majorHAnsi" w:cs="Arial"/>
                <w:color w:val="595959" w:themeColor="text1" w:themeTint="A6"/>
                <w:sz w:val="21"/>
                <w:szCs w:val="21"/>
                <w:lang w:val="en-US"/>
              </w:rPr>
              <w:t xml:space="preserve"> </w:t>
            </w:r>
            <w:r w:rsidR="009A37CF" w:rsidRPr="00BF5BBC">
              <w:rPr>
                <w:rFonts w:asciiTheme="majorHAnsi" w:hAnsiTheme="majorHAnsi" w:cs="Arial"/>
                <w:color w:val="595959" w:themeColor="text1" w:themeTint="A6"/>
                <w:sz w:val="21"/>
                <w:szCs w:val="21"/>
                <w:lang w:val="en-US"/>
              </w:rPr>
              <w:t xml:space="preserve">by </w:t>
            </w:r>
            <w:r w:rsidR="009A37CF" w:rsidRPr="00BF5BBC">
              <w:rPr>
                <w:rFonts w:asciiTheme="majorHAnsi" w:hAnsiTheme="majorHAnsi" w:cs="Arial"/>
                <w:color w:val="595959" w:themeColor="text1" w:themeTint="A6"/>
                <w:sz w:val="21"/>
                <w:szCs w:val="21"/>
                <w:lang w:val="en-AU"/>
              </w:rPr>
              <w:t>the multi-sectoral external review team, including on “established and functional mechanisms for responding to infectious diseases”; and “integration and analysis of surveillance data”.</w:t>
            </w:r>
            <w:r w:rsidR="009215F2" w:rsidRPr="00BF5BBC">
              <w:rPr>
                <w:rFonts w:asciiTheme="majorHAnsi" w:hAnsiTheme="majorHAnsi" w:cs="Arial"/>
                <w:color w:val="595959" w:themeColor="text1" w:themeTint="A6"/>
                <w:sz w:val="21"/>
                <w:szCs w:val="21"/>
                <w:lang w:val="en-AU"/>
              </w:rPr>
              <w:t xml:space="preserve"> </w:t>
            </w:r>
            <w:r w:rsidR="0003590E" w:rsidRPr="00BF5BBC">
              <w:rPr>
                <w:rFonts w:asciiTheme="majorHAnsi" w:hAnsiTheme="majorHAnsi" w:cs="Arial"/>
                <w:color w:val="595959" w:themeColor="text1" w:themeTint="A6"/>
                <w:sz w:val="21"/>
                <w:szCs w:val="21"/>
                <w:lang w:val="en-AU"/>
              </w:rPr>
              <w:t xml:space="preserve">The JEE provided recommendations to enhance information sharing between human and animal health at all levels, and strengthening event-based surveillance and risk assessment. The team also recommended capacity building through training including for surveillance, laboratory, case management, infection control, and risk communication. </w:t>
            </w:r>
          </w:p>
          <w:p w:rsidR="009A37CF" w:rsidRPr="00BF5BBC" w:rsidRDefault="009215F2"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rPr>
              <w:lastRenderedPageBreak/>
              <w:t>The JEE’s overarching recommendations, however, largely related to issues of governance and coordination. These were; (1) Develop and implement a fully integrated, multi-sectoral National Action Plan for IHR implementation, facilitated by a presidential level</w:t>
            </w:r>
            <w:r w:rsidR="00CF2F11">
              <w:rPr>
                <w:rFonts w:asciiTheme="majorHAnsi" w:hAnsiTheme="majorHAnsi" w:cs="Arial"/>
                <w:color w:val="595959" w:themeColor="text1" w:themeTint="A6"/>
                <w:sz w:val="21"/>
                <w:szCs w:val="21"/>
              </w:rPr>
              <w:t xml:space="preserve"> decree</w:t>
            </w:r>
            <w:r w:rsidRPr="00BF5BBC">
              <w:rPr>
                <w:rFonts w:asciiTheme="majorHAnsi" w:hAnsiTheme="majorHAnsi" w:cs="Arial"/>
                <w:color w:val="595959" w:themeColor="text1" w:themeTint="A6"/>
                <w:sz w:val="21"/>
                <w:szCs w:val="21"/>
              </w:rPr>
              <w:t xml:space="preserve">; (2) Establish a mechanism to coordinate the IHR and global health security work of all relevant ministries, agencies and institutions; and (3) Evaluate and improve decision-making structures and delegation of authority and responsibility to act, not only between the national and sub-national levels, but also at the national level.  </w:t>
            </w:r>
          </w:p>
          <w:p w:rsidR="00DB2A19" w:rsidRPr="00BF5BBC" w:rsidRDefault="00DB2A19"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lang w:val="en-AU"/>
              </w:rPr>
              <w:t xml:space="preserve">Some of these issues were highlighted during </w:t>
            </w:r>
            <w:r w:rsidRPr="00BF5BBC">
              <w:rPr>
                <w:rFonts w:asciiTheme="majorHAnsi" w:hAnsiTheme="majorHAnsi" w:cs="Arial"/>
                <w:color w:val="595959" w:themeColor="text1" w:themeTint="A6"/>
                <w:sz w:val="21"/>
                <w:szCs w:val="21"/>
              </w:rPr>
              <w:t xml:space="preserve">the National Pandemic Influenza Simulation conducted by the Indonesian government in September 2017. It was led by the Health Ministry in coordination with the Ministry of Agriculture, the National Disaster Management Agency (BNPB), the Indonesian Army (TNI), PMK, local government (South Tangerang, Banten) and health service providers. </w:t>
            </w:r>
            <w:r w:rsidR="00576D2F" w:rsidRPr="00BF5BBC">
              <w:rPr>
                <w:rFonts w:asciiTheme="majorHAnsi" w:hAnsiTheme="majorHAnsi" w:cs="Arial"/>
                <w:color w:val="595959" w:themeColor="text1" w:themeTint="A6"/>
                <w:sz w:val="21"/>
                <w:szCs w:val="21"/>
              </w:rPr>
              <w:t>It</w:t>
            </w:r>
            <w:r w:rsidRPr="00BF5BBC">
              <w:rPr>
                <w:rFonts w:asciiTheme="majorHAnsi" w:hAnsiTheme="majorHAnsi" w:cs="Arial"/>
                <w:color w:val="595959" w:themeColor="text1" w:themeTint="A6"/>
                <w:sz w:val="21"/>
                <w:szCs w:val="21"/>
              </w:rPr>
              <w:t xml:space="preserve"> is the third exercise of its kind, with previous simulations taking place in South Sulawesi in 2009 and Bali in 2008.</w:t>
            </w:r>
          </w:p>
          <w:p w:rsidR="00E61F48" w:rsidRPr="00BF5BBC" w:rsidRDefault="007F1CB7"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Responsibility for </w:t>
            </w:r>
            <w:r w:rsidR="00064266">
              <w:rPr>
                <w:rFonts w:asciiTheme="majorHAnsi" w:hAnsiTheme="majorHAnsi" w:cs="Arial"/>
                <w:color w:val="595959" w:themeColor="text1" w:themeTint="A6"/>
                <w:sz w:val="21"/>
                <w:szCs w:val="21"/>
                <w:lang w:val="en-US"/>
              </w:rPr>
              <w:t xml:space="preserve">disease control in </w:t>
            </w:r>
            <w:r w:rsidRPr="00BF5BBC">
              <w:rPr>
                <w:rFonts w:asciiTheme="majorHAnsi" w:hAnsiTheme="majorHAnsi" w:cs="Arial"/>
                <w:color w:val="595959" w:themeColor="text1" w:themeTint="A6"/>
                <w:sz w:val="21"/>
                <w:szCs w:val="21"/>
                <w:lang w:val="en-US"/>
              </w:rPr>
              <w:t xml:space="preserve">public health lies with the Ministry of Health, Directorate-General of Disease Control, and the provincial and </w:t>
            </w:r>
            <w:r w:rsidR="00932BB5" w:rsidRPr="00BF5BBC">
              <w:rPr>
                <w:rFonts w:asciiTheme="majorHAnsi" w:hAnsiTheme="majorHAnsi" w:cs="Arial"/>
                <w:color w:val="595959" w:themeColor="text1" w:themeTint="A6"/>
                <w:sz w:val="21"/>
                <w:szCs w:val="21"/>
                <w:lang w:val="en-US"/>
              </w:rPr>
              <w:t>district health offices</w:t>
            </w:r>
            <w:r w:rsidR="00416708" w:rsidRPr="00BF5BBC">
              <w:rPr>
                <w:rFonts w:asciiTheme="majorHAnsi" w:hAnsiTheme="majorHAnsi" w:cs="Arial"/>
                <w:color w:val="595959" w:themeColor="text1" w:themeTint="A6"/>
                <w:sz w:val="21"/>
                <w:szCs w:val="21"/>
                <w:lang w:val="en-US"/>
              </w:rPr>
              <w:t xml:space="preserve">. The DG of Disease Control has been appointed as the IHR National Focal Point (IHR NFP) for Indonesia. </w:t>
            </w:r>
            <w:r w:rsidR="00932BB5" w:rsidRPr="00BF5BBC">
              <w:rPr>
                <w:rFonts w:asciiTheme="majorHAnsi" w:hAnsiTheme="majorHAnsi" w:cs="Arial"/>
                <w:color w:val="595959" w:themeColor="text1" w:themeTint="A6"/>
                <w:sz w:val="21"/>
                <w:szCs w:val="21"/>
                <w:lang w:val="en-AU"/>
              </w:rPr>
              <w:t xml:space="preserve">In 2016, the Ministry established an EID sub-directorate </w:t>
            </w:r>
            <w:r w:rsidR="00E61F48" w:rsidRPr="00BF5BBC">
              <w:rPr>
                <w:rFonts w:asciiTheme="majorHAnsi" w:hAnsiTheme="majorHAnsi" w:cs="Arial"/>
                <w:color w:val="595959" w:themeColor="text1" w:themeTint="A6"/>
                <w:sz w:val="21"/>
                <w:szCs w:val="21"/>
                <w:lang w:val="en-AU"/>
              </w:rPr>
              <w:t xml:space="preserve">and a Public Health Emergency Operations Centre (PHEOC) – both sit under the </w:t>
            </w:r>
            <w:r w:rsidR="00932BB5" w:rsidRPr="00BF5BBC">
              <w:rPr>
                <w:rFonts w:asciiTheme="majorHAnsi" w:hAnsiTheme="majorHAnsi" w:cs="Arial"/>
                <w:color w:val="595959" w:themeColor="text1" w:themeTint="A6"/>
                <w:sz w:val="21"/>
                <w:szCs w:val="21"/>
                <w:lang w:val="en-AU"/>
              </w:rPr>
              <w:t>Directorate of Surveillance and Health Quarantine (</w:t>
            </w:r>
            <w:r w:rsidR="00E61F48" w:rsidRPr="00BF5BBC">
              <w:rPr>
                <w:rFonts w:asciiTheme="majorHAnsi" w:hAnsiTheme="majorHAnsi" w:cs="Arial"/>
                <w:color w:val="595959" w:themeColor="text1" w:themeTint="A6"/>
                <w:sz w:val="21"/>
                <w:szCs w:val="21"/>
                <w:lang w:val="en-AU"/>
              </w:rPr>
              <w:t>beneath the</w:t>
            </w:r>
            <w:r w:rsidR="00932BB5" w:rsidRPr="00BF5BBC">
              <w:rPr>
                <w:rFonts w:asciiTheme="majorHAnsi" w:hAnsiTheme="majorHAnsi" w:cs="Arial"/>
                <w:color w:val="595959" w:themeColor="text1" w:themeTint="A6"/>
                <w:sz w:val="21"/>
                <w:szCs w:val="21"/>
                <w:lang w:val="en-AU"/>
              </w:rPr>
              <w:t xml:space="preserve"> Directorate General of </w:t>
            </w:r>
            <w:r w:rsidR="00E61F48" w:rsidRPr="00BF5BBC">
              <w:rPr>
                <w:rFonts w:asciiTheme="majorHAnsi" w:hAnsiTheme="majorHAnsi" w:cs="Arial"/>
                <w:color w:val="595959" w:themeColor="text1" w:themeTint="A6"/>
                <w:sz w:val="21"/>
                <w:szCs w:val="21"/>
                <w:lang w:val="en-AU"/>
              </w:rPr>
              <w:t xml:space="preserve">Disease Prevention and Control). </w:t>
            </w:r>
            <w:r w:rsidR="00932BB5" w:rsidRPr="00BF5BBC">
              <w:rPr>
                <w:rFonts w:asciiTheme="majorHAnsi" w:hAnsiTheme="majorHAnsi" w:cs="Arial"/>
                <w:color w:val="595959" w:themeColor="text1" w:themeTint="A6"/>
                <w:sz w:val="21"/>
                <w:szCs w:val="21"/>
                <w:lang w:val="en-US"/>
              </w:rPr>
              <w:t>R</w:t>
            </w:r>
            <w:r w:rsidRPr="00BF5BBC">
              <w:rPr>
                <w:rFonts w:asciiTheme="majorHAnsi" w:hAnsiTheme="majorHAnsi" w:cs="Arial"/>
                <w:color w:val="595959" w:themeColor="text1" w:themeTint="A6"/>
                <w:sz w:val="21"/>
                <w:szCs w:val="21"/>
                <w:lang w:val="en-US"/>
              </w:rPr>
              <w:t xml:space="preserve">esponsibility for animal health lies with the Ministry of Agriculture, Directorate-General of Livestock and Animal Health Services (DGLAHS). </w:t>
            </w:r>
          </w:p>
          <w:p w:rsidR="00E61F48" w:rsidRPr="00BF5BBC" w:rsidRDefault="00E61F48"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Since November 2016, t</w:t>
            </w:r>
            <w:r w:rsidR="007F1CB7" w:rsidRPr="00BF5BBC">
              <w:rPr>
                <w:rFonts w:asciiTheme="majorHAnsi" w:hAnsiTheme="majorHAnsi" w:cs="Arial"/>
                <w:color w:val="595959" w:themeColor="text1" w:themeTint="A6"/>
                <w:sz w:val="21"/>
                <w:szCs w:val="21"/>
                <w:lang w:val="en-US"/>
              </w:rPr>
              <w:t xml:space="preserve">he Coordinating Ministry for Human Development and Cultural Affairs (PMK) </w:t>
            </w:r>
            <w:r w:rsidR="009520DF" w:rsidRPr="00BF5BBC">
              <w:rPr>
                <w:rFonts w:asciiTheme="majorHAnsi" w:hAnsiTheme="majorHAnsi" w:cs="Arial"/>
                <w:color w:val="595959" w:themeColor="text1" w:themeTint="A6"/>
                <w:sz w:val="21"/>
                <w:szCs w:val="21"/>
                <w:lang w:val="en-US"/>
              </w:rPr>
              <w:t>took</w:t>
            </w:r>
            <w:r w:rsidR="007F1CB7" w:rsidRPr="00BF5BBC">
              <w:rPr>
                <w:rFonts w:asciiTheme="majorHAnsi" w:hAnsiTheme="majorHAnsi" w:cs="Arial"/>
                <w:color w:val="595959" w:themeColor="text1" w:themeTint="A6"/>
                <w:sz w:val="21"/>
                <w:szCs w:val="21"/>
                <w:lang w:val="en-US"/>
              </w:rPr>
              <w:t xml:space="preserve"> over the national coordination function in relation to zoonoses</w:t>
            </w:r>
            <w:r w:rsidRPr="00BF5BBC">
              <w:rPr>
                <w:rFonts w:asciiTheme="majorHAnsi" w:hAnsiTheme="majorHAnsi" w:cs="Arial"/>
                <w:color w:val="595959" w:themeColor="text1" w:themeTint="A6"/>
                <w:sz w:val="21"/>
                <w:szCs w:val="21"/>
                <w:lang w:val="en-US"/>
              </w:rPr>
              <w:t xml:space="preserve"> (</w:t>
            </w:r>
            <w:r w:rsidR="009520DF" w:rsidRPr="00BF5BBC">
              <w:rPr>
                <w:rFonts w:asciiTheme="majorHAnsi" w:hAnsiTheme="majorHAnsi" w:cs="Arial"/>
                <w:color w:val="595959" w:themeColor="text1" w:themeTint="A6"/>
                <w:sz w:val="21"/>
                <w:szCs w:val="21"/>
                <w:lang w:val="en-US"/>
              </w:rPr>
              <w:t>previously managed by</w:t>
            </w:r>
            <w:r w:rsidRPr="00BF5BBC">
              <w:rPr>
                <w:rFonts w:asciiTheme="majorHAnsi" w:hAnsiTheme="majorHAnsi" w:cs="Arial"/>
                <w:color w:val="595959" w:themeColor="text1" w:themeTint="A6"/>
                <w:sz w:val="21"/>
                <w:szCs w:val="21"/>
                <w:lang w:val="en-US"/>
              </w:rPr>
              <w:t xml:space="preserve"> Komnas zoonosis</w:t>
            </w:r>
            <w:r w:rsidR="009520DF" w:rsidRPr="00BF5BBC">
              <w:rPr>
                <w:rFonts w:asciiTheme="majorHAnsi" w:hAnsiTheme="majorHAnsi" w:cs="Arial"/>
                <w:color w:val="595959" w:themeColor="text1" w:themeTint="A6"/>
                <w:sz w:val="21"/>
                <w:szCs w:val="21"/>
                <w:lang w:val="en-US"/>
              </w:rPr>
              <w:t xml:space="preserve">). </w:t>
            </w:r>
            <w:r w:rsidR="00F76532" w:rsidRPr="00BF5BBC">
              <w:rPr>
                <w:rFonts w:asciiTheme="majorHAnsi" w:hAnsiTheme="majorHAnsi" w:cs="Arial"/>
                <w:color w:val="595959" w:themeColor="text1" w:themeTint="A6"/>
                <w:sz w:val="21"/>
                <w:szCs w:val="21"/>
                <w:lang w:val="en-US"/>
              </w:rPr>
              <w:t xml:space="preserve">PMK’s role includes </w:t>
            </w:r>
            <w:r w:rsidRPr="00BF5BBC">
              <w:rPr>
                <w:rFonts w:asciiTheme="majorHAnsi" w:hAnsiTheme="majorHAnsi" w:cs="Arial"/>
                <w:color w:val="595959" w:themeColor="text1" w:themeTint="A6"/>
                <w:sz w:val="21"/>
                <w:szCs w:val="21"/>
                <w:lang w:val="en-US"/>
              </w:rPr>
              <w:t>devising a health security action plan</w:t>
            </w:r>
            <w:r w:rsidR="00F76532"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color w:val="595959" w:themeColor="text1" w:themeTint="A6"/>
                <w:sz w:val="21"/>
                <w:szCs w:val="21"/>
                <w:lang w:val="en-US"/>
              </w:rPr>
              <w:t xml:space="preserve">which includes </w:t>
            </w:r>
            <w:r w:rsidR="00F76532" w:rsidRPr="00BF5BBC">
              <w:rPr>
                <w:rFonts w:asciiTheme="majorHAnsi" w:hAnsiTheme="majorHAnsi" w:cs="Arial"/>
                <w:color w:val="595959" w:themeColor="text1" w:themeTint="A6"/>
                <w:sz w:val="21"/>
                <w:szCs w:val="21"/>
                <w:lang w:val="en-US"/>
              </w:rPr>
              <w:t>a</w:t>
            </w:r>
            <w:r w:rsidRPr="00BF5BBC">
              <w:rPr>
                <w:rFonts w:asciiTheme="majorHAnsi" w:hAnsiTheme="majorHAnsi" w:cs="Arial"/>
                <w:color w:val="595959" w:themeColor="text1" w:themeTint="A6"/>
                <w:sz w:val="21"/>
                <w:szCs w:val="21"/>
                <w:lang w:val="en-US"/>
              </w:rPr>
              <w:t xml:space="preserve"> n</w:t>
            </w:r>
            <w:r w:rsidR="00F76532" w:rsidRPr="00BF5BBC">
              <w:rPr>
                <w:rFonts w:asciiTheme="majorHAnsi" w:hAnsiTheme="majorHAnsi" w:cs="Arial"/>
                <w:color w:val="595959" w:themeColor="text1" w:themeTint="A6"/>
                <w:sz w:val="21"/>
                <w:szCs w:val="21"/>
                <w:lang w:val="en-US"/>
              </w:rPr>
              <w:t xml:space="preserve">on-natural disaster risk map), </w:t>
            </w:r>
            <w:r w:rsidRPr="00BF5BBC">
              <w:rPr>
                <w:rFonts w:asciiTheme="majorHAnsi" w:hAnsiTheme="majorHAnsi" w:cs="Arial"/>
                <w:color w:val="595959" w:themeColor="text1" w:themeTint="A6"/>
                <w:sz w:val="21"/>
                <w:szCs w:val="21"/>
                <w:lang w:val="en-US"/>
              </w:rPr>
              <w:t xml:space="preserve">continuing the development of </w:t>
            </w:r>
            <w:r w:rsidR="00F76532" w:rsidRPr="00BF5BBC">
              <w:rPr>
                <w:rFonts w:asciiTheme="majorHAnsi" w:hAnsiTheme="majorHAnsi" w:cs="Arial"/>
                <w:color w:val="595959" w:themeColor="text1" w:themeTint="A6"/>
                <w:sz w:val="21"/>
                <w:szCs w:val="21"/>
                <w:lang w:val="en-US"/>
              </w:rPr>
              <w:t xml:space="preserve">SIZE which </w:t>
            </w:r>
            <w:r w:rsidR="00064266">
              <w:rPr>
                <w:rFonts w:asciiTheme="majorHAnsi" w:hAnsiTheme="majorHAnsi" w:cs="Arial"/>
                <w:color w:val="595959" w:themeColor="text1" w:themeTint="A6"/>
                <w:sz w:val="21"/>
                <w:szCs w:val="21"/>
                <w:lang w:val="en-US"/>
              </w:rPr>
              <w:t xml:space="preserve">draws information from </w:t>
            </w:r>
            <w:r w:rsidR="00F76532" w:rsidRPr="00BF5BBC">
              <w:rPr>
                <w:rFonts w:asciiTheme="majorHAnsi" w:hAnsiTheme="majorHAnsi" w:cs="Arial"/>
                <w:color w:val="595959" w:themeColor="text1" w:themeTint="A6"/>
                <w:sz w:val="21"/>
                <w:szCs w:val="21"/>
                <w:lang w:val="en-US"/>
              </w:rPr>
              <w:t>both animal and human health</w:t>
            </w:r>
            <w:r w:rsidRPr="00BF5BBC">
              <w:rPr>
                <w:rFonts w:asciiTheme="majorHAnsi" w:hAnsiTheme="majorHAnsi" w:cs="Arial"/>
                <w:color w:val="595959" w:themeColor="text1" w:themeTint="A6"/>
                <w:sz w:val="21"/>
                <w:szCs w:val="21"/>
                <w:lang w:val="en-US"/>
              </w:rPr>
              <w:t xml:space="preserve"> informatio</w:t>
            </w:r>
            <w:r w:rsidR="00F76532" w:rsidRPr="00BF5BBC">
              <w:rPr>
                <w:rFonts w:asciiTheme="majorHAnsi" w:hAnsiTheme="majorHAnsi" w:cs="Arial"/>
                <w:color w:val="595959" w:themeColor="text1" w:themeTint="A6"/>
                <w:sz w:val="21"/>
                <w:szCs w:val="21"/>
                <w:lang w:val="en-US"/>
              </w:rPr>
              <w:t>n systems (iSIKHNAS and EWARS respectively)</w:t>
            </w:r>
            <w:r w:rsidRPr="00BF5BBC">
              <w:rPr>
                <w:rFonts w:asciiTheme="majorHAnsi" w:hAnsiTheme="majorHAnsi" w:cs="Arial"/>
                <w:color w:val="595959" w:themeColor="text1" w:themeTint="A6"/>
                <w:sz w:val="21"/>
                <w:szCs w:val="21"/>
                <w:lang w:val="en-US"/>
              </w:rPr>
              <w:t xml:space="preserve">, as well as the development of joint protocols with </w:t>
            </w:r>
            <w:r w:rsidR="00F76532" w:rsidRPr="00BF5BBC">
              <w:rPr>
                <w:rFonts w:asciiTheme="majorHAnsi" w:hAnsiTheme="majorHAnsi" w:cs="Arial"/>
                <w:color w:val="595959" w:themeColor="text1" w:themeTint="A6"/>
                <w:sz w:val="21"/>
                <w:szCs w:val="21"/>
                <w:lang w:val="en-US"/>
              </w:rPr>
              <w:t xml:space="preserve">Indonesia’s </w:t>
            </w:r>
            <w:r w:rsidRPr="00BF5BBC">
              <w:rPr>
                <w:rFonts w:asciiTheme="majorHAnsi" w:hAnsiTheme="majorHAnsi" w:cs="Arial"/>
                <w:color w:val="595959" w:themeColor="text1" w:themeTint="A6"/>
                <w:sz w:val="21"/>
                <w:szCs w:val="21"/>
                <w:lang w:val="en-US"/>
              </w:rPr>
              <w:t>National Disaster Management Agency</w:t>
            </w:r>
            <w:r w:rsidR="00F76532" w:rsidRPr="00BF5BBC">
              <w:rPr>
                <w:rFonts w:asciiTheme="majorHAnsi" w:hAnsiTheme="majorHAnsi" w:cs="Arial"/>
                <w:color w:val="595959" w:themeColor="text1" w:themeTint="A6"/>
                <w:sz w:val="21"/>
                <w:szCs w:val="21"/>
                <w:lang w:val="en-US"/>
              </w:rPr>
              <w:t xml:space="preserve"> (BNPB). </w:t>
            </w:r>
            <w:r w:rsidR="00064266">
              <w:rPr>
                <w:rFonts w:asciiTheme="majorHAnsi" w:hAnsiTheme="majorHAnsi" w:cs="Arial"/>
                <w:color w:val="595959" w:themeColor="text1" w:themeTint="A6"/>
                <w:sz w:val="21"/>
                <w:szCs w:val="21"/>
                <w:lang w:val="en-US"/>
              </w:rPr>
              <w:t>Further work is needed for n</w:t>
            </w:r>
            <w:r w:rsidRPr="00BF5BBC">
              <w:rPr>
                <w:rFonts w:asciiTheme="majorHAnsi" w:hAnsiTheme="majorHAnsi" w:cs="Arial"/>
                <w:color w:val="595959" w:themeColor="text1" w:themeTint="A6"/>
                <w:sz w:val="21"/>
                <w:szCs w:val="21"/>
                <w:lang w:val="en-US"/>
              </w:rPr>
              <w:t xml:space="preserve">ational and district levels of </w:t>
            </w:r>
            <w:r w:rsidR="00F76532" w:rsidRPr="00BF5BBC">
              <w:rPr>
                <w:rFonts w:asciiTheme="majorHAnsi" w:hAnsiTheme="majorHAnsi" w:cs="Arial"/>
                <w:color w:val="595959" w:themeColor="text1" w:themeTint="A6"/>
                <w:sz w:val="21"/>
                <w:szCs w:val="21"/>
                <w:lang w:val="en-US"/>
              </w:rPr>
              <w:t>BNPB</w:t>
            </w:r>
            <w:r w:rsidRPr="00BF5BBC">
              <w:rPr>
                <w:rFonts w:asciiTheme="majorHAnsi" w:hAnsiTheme="majorHAnsi" w:cs="Arial"/>
                <w:color w:val="595959" w:themeColor="text1" w:themeTint="A6"/>
                <w:sz w:val="21"/>
                <w:szCs w:val="21"/>
                <w:lang w:val="en-US"/>
              </w:rPr>
              <w:t xml:space="preserve"> </w:t>
            </w:r>
            <w:r w:rsidR="00064266">
              <w:rPr>
                <w:rFonts w:asciiTheme="majorHAnsi" w:hAnsiTheme="majorHAnsi" w:cs="Arial"/>
                <w:color w:val="595959" w:themeColor="text1" w:themeTint="A6"/>
                <w:sz w:val="21"/>
                <w:szCs w:val="21"/>
                <w:lang w:val="en-US"/>
              </w:rPr>
              <w:t xml:space="preserve">to fulfil their role when it comes to </w:t>
            </w:r>
            <w:r w:rsidRPr="00BF5BBC">
              <w:rPr>
                <w:rFonts w:asciiTheme="majorHAnsi" w:hAnsiTheme="majorHAnsi" w:cs="Arial"/>
                <w:color w:val="595959" w:themeColor="text1" w:themeTint="A6"/>
                <w:sz w:val="21"/>
                <w:szCs w:val="21"/>
                <w:lang w:val="en-US"/>
              </w:rPr>
              <w:t xml:space="preserve">responding to an outbreak if declared a disaster (infectious diseases outbreaks are termed ‘‘non-natural’ disasters). </w:t>
            </w:r>
          </w:p>
          <w:p w:rsidR="003270C2" w:rsidRPr="00BF5BBC" w:rsidRDefault="00C153A4"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Indonesia’s</w:t>
            </w:r>
            <w:r w:rsidR="003270C2" w:rsidRPr="00BF5BBC">
              <w:rPr>
                <w:rFonts w:asciiTheme="majorHAnsi" w:hAnsiTheme="majorHAnsi" w:cs="Arial"/>
                <w:color w:val="595959" w:themeColor="text1" w:themeTint="A6"/>
                <w:sz w:val="21"/>
                <w:szCs w:val="21"/>
                <w:lang w:val="en-US"/>
              </w:rPr>
              <w:t xml:space="preserve"> national medium term strategic plan (RPJMN</w:t>
            </w:r>
            <w:r w:rsidRPr="00BF5BBC">
              <w:rPr>
                <w:rFonts w:asciiTheme="majorHAnsi" w:hAnsiTheme="majorHAnsi" w:cs="Arial"/>
                <w:color w:val="595959" w:themeColor="text1" w:themeTint="A6"/>
                <w:sz w:val="21"/>
                <w:szCs w:val="21"/>
                <w:lang w:val="en-US"/>
              </w:rPr>
              <w:t>)</w:t>
            </w:r>
            <w:r w:rsidR="003270C2" w:rsidRPr="00BF5BBC">
              <w:rPr>
                <w:rFonts w:asciiTheme="majorHAnsi" w:hAnsiTheme="majorHAnsi" w:cs="Arial"/>
                <w:color w:val="595959" w:themeColor="text1" w:themeTint="A6"/>
                <w:sz w:val="21"/>
                <w:szCs w:val="21"/>
                <w:lang w:val="en-US"/>
              </w:rPr>
              <w:t xml:space="preserve"> sets national priorities and targets for all ministries and levels of government. The current RPJMN (2015-2019) identifies improving the availability and coverage of basic services for poor communities as the priority. In the health sector, priority co</w:t>
            </w:r>
            <w:r w:rsidR="00576D2F" w:rsidRPr="00BF5BBC">
              <w:rPr>
                <w:rFonts w:asciiTheme="majorHAnsi" w:hAnsiTheme="majorHAnsi" w:cs="Arial"/>
                <w:color w:val="595959" w:themeColor="text1" w:themeTint="A6"/>
                <w:sz w:val="21"/>
                <w:szCs w:val="21"/>
                <w:lang w:val="en-US"/>
              </w:rPr>
              <w:t>ntinues to be given to maternal</w:t>
            </w:r>
            <w:r w:rsidR="003270C2" w:rsidRPr="00BF5BBC">
              <w:rPr>
                <w:rFonts w:asciiTheme="majorHAnsi" w:hAnsiTheme="majorHAnsi" w:cs="Arial"/>
                <w:color w:val="595959" w:themeColor="text1" w:themeTint="A6"/>
                <w:sz w:val="21"/>
                <w:szCs w:val="21"/>
                <w:lang w:val="en-US"/>
              </w:rPr>
              <w:t xml:space="preserve"> and child health, and nutrition, as well as to the implementation and expansion of the national health insurance program (JKN). In the livestock / animal health sector, priority is given to food security, increasing production and protecting the livelihoods of farmers.</w:t>
            </w:r>
            <w:r w:rsidR="003270C2" w:rsidRPr="00BF5BBC">
              <w:rPr>
                <w:rFonts w:asciiTheme="majorHAnsi" w:hAnsiTheme="majorHAnsi" w:cs="Arial"/>
                <w:i/>
                <w:color w:val="595959" w:themeColor="text1" w:themeTint="A6"/>
                <w:sz w:val="21"/>
                <w:szCs w:val="21"/>
                <w:lang w:val="en-US"/>
              </w:rPr>
              <w:t xml:space="preserve"> </w:t>
            </w:r>
            <w:r w:rsidR="003270C2" w:rsidRPr="00BF5BBC">
              <w:rPr>
                <w:rFonts w:asciiTheme="majorHAnsi" w:hAnsiTheme="majorHAnsi" w:cs="Arial"/>
                <w:color w:val="595959" w:themeColor="text1" w:themeTint="A6"/>
                <w:sz w:val="21"/>
                <w:szCs w:val="21"/>
                <w:lang w:val="en-US"/>
              </w:rPr>
              <w:t>DFAT is supporting the Indonesian government</w:t>
            </w:r>
            <w:r w:rsidR="007662E7">
              <w:rPr>
                <w:rFonts w:asciiTheme="majorHAnsi" w:hAnsiTheme="majorHAnsi" w:cs="Arial"/>
                <w:color w:val="595959" w:themeColor="text1" w:themeTint="A6"/>
                <w:sz w:val="21"/>
                <w:szCs w:val="21"/>
                <w:lang w:val="en-US"/>
              </w:rPr>
              <w:t xml:space="preserve"> to</w:t>
            </w:r>
            <w:r w:rsidR="003270C2" w:rsidRPr="00BF5BBC">
              <w:rPr>
                <w:rFonts w:asciiTheme="majorHAnsi" w:hAnsiTheme="majorHAnsi" w:cs="Arial"/>
                <w:color w:val="595959" w:themeColor="text1" w:themeTint="A6"/>
                <w:sz w:val="21"/>
                <w:szCs w:val="21"/>
                <w:lang w:val="en-US"/>
              </w:rPr>
              <w:t xml:space="preserve"> undertake its 2018 Health Sector Review which will serve as an input to the new RPJMN (2020-2024) and will work to help </w:t>
            </w:r>
            <w:r w:rsidRPr="00BF5BBC">
              <w:rPr>
                <w:rFonts w:asciiTheme="majorHAnsi" w:hAnsiTheme="majorHAnsi" w:cs="Arial"/>
                <w:color w:val="595959" w:themeColor="text1" w:themeTint="A6"/>
                <w:sz w:val="21"/>
                <w:szCs w:val="21"/>
                <w:lang w:val="en-US"/>
              </w:rPr>
              <w:t xml:space="preserve">elevate issues pertaining to </w:t>
            </w:r>
            <w:r w:rsidR="003270C2" w:rsidRPr="00BF5BBC">
              <w:rPr>
                <w:rFonts w:asciiTheme="majorHAnsi" w:hAnsiTheme="majorHAnsi" w:cs="Arial"/>
                <w:color w:val="595959" w:themeColor="text1" w:themeTint="A6"/>
                <w:sz w:val="21"/>
                <w:szCs w:val="21"/>
                <w:lang w:val="en-US"/>
              </w:rPr>
              <w:t xml:space="preserve">health security. </w:t>
            </w:r>
          </w:p>
          <w:p w:rsidR="00DD2BB6" w:rsidRPr="00BF5BBC" w:rsidRDefault="00DD2BB6" w:rsidP="00BF5BBC">
            <w:pPr>
              <w:suppressAutoHyphens w:val="0"/>
              <w:spacing w:after="0" w:line="240" w:lineRule="auto"/>
              <w:rPr>
                <w:rFonts w:asciiTheme="majorHAnsi" w:hAnsiTheme="majorHAnsi" w:cs="Arial"/>
                <w:color w:val="595959" w:themeColor="text1" w:themeTint="A6"/>
                <w:sz w:val="21"/>
                <w:szCs w:val="21"/>
                <w:u w:val="single"/>
                <w:lang w:val="en-US"/>
              </w:rPr>
            </w:pPr>
            <w:r w:rsidRPr="00BF5BBC">
              <w:rPr>
                <w:rFonts w:asciiTheme="majorHAnsi" w:hAnsiTheme="majorHAnsi" w:cs="Arial"/>
                <w:color w:val="595959" w:themeColor="text1" w:themeTint="A6"/>
                <w:sz w:val="21"/>
                <w:szCs w:val="21"/>
                <w:u w:val="single"/>
                <w:lang w:val="en-US"/>
              </w:rPr>
              <w:t>Development Partners</w:t>
            </w:r>
          </w:p>
          <w:p w:rsidR="00DD2BB6" w:rsidRDefault="00DD2BB6"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A select number of development partners are </w:t>
            </w:r>
            <w:r w:rsidR="008958B6" w:rsidRPr="00BF5BBC">
              <w:rPr>
                <w:rFonts w:asciiTheme="majorHAnsi" w:hAnsiTheme="majorHAnsi" w:cs="Arial"/>
                <w:color w:val="595959" w:themeColor="text1" w:themeTint="A6"/>
                <w:sz w:val="21"/>
                <w:szCs w:val="21"/>
                <w:lang w:val="en-US"/>
              </w:rPr>
              <w:t>supporting</w:t>
            </w:r>
            <w:r w:rsidR="00A91F55" w:rsidRPr="00BF5BBC">
              <w:rPr>
                <w:rFonts w:asciiTheme="majorHAnsi" w:hAnsiTheme="majorHAnsi" w:cs="Arial"/>
                <w:color w:val="595959" w:themeColor="text1" w:themeTint="A6"/>
                <w:sz w:val="21"/>
                <w:szCs w:val="21"/>
                <w:lang w:val="en-US"/>
              </w:rPr>
              <w:t xml:space="preserve"> health security related</w:t>
            </w:r>
            <w:r w:rsidRPr="00BF5BBC">
              <w:rPr>
                <w:rFonts w:asciiTheme="majorHAnsi" w:hAnsiTheme="majorHAnsi" w:cs="Arial"/>
                <w:color w:val="595959" w:themeColor="text1" w:themeTint="A6"/>
                <w:sz w:val="21"/>
                <w:szCs w:val="21"/>
                <w:lang w:val="en-US"/>
              </w:rPr>
              <w:t xml:space="preserve"> activities </w:t>
            </w:r>
            <w:r w:rsidR="00D75948" w:rsidRPr="00BF5BBC">
              <w:rPr>
                <w:rFonts w:asciiTheme="majorHAnsi" w:hAnsiTheme="majorHAnsi" w:cs="Arial"/>
                <w:color w:val="595959" w:themeColor="text1" w:themeTint="A6"/>
                <w:sz w:val="21"/>
                <w:szCs w:val="21"/>
                <w:lang w:val="en-US"/>
              </w:rPr>
              <w:t>in Indonesia.</w:t>
            </w:r>
            <w:r w:rsidR="00C153A4" w:rsidRPr="00BF5BBC">
              <w:rPr>
                <w:rFonts w:asciiTheme="majorHAnsi" w:hAnsiTheme="majorHAnsi" w:cs="Arial"/>
                <w:color w:val="595959" w:themeColor="text1" w:themeTint="A6"/>
                <w:sz w:val="21"/>
                <w:szCs w:val="21"/>
                <w:lang w:val="en-US"/>
              </w:rPr>
              <w:t xml:space="preserve"> </w:t>
            </w:r>
            <w:r w:rsidR="00D75948" w:rsidRPr="00BF5BBC">
              <w:rPr>
                <w:rFonts w:asciiTheme="majorHAnsi" w:hAnsiTheme="majorHAnsi" w:cs="Arial"/>
                <w:color w:val="595959" w:themeColor="text1" w:themeTint="A6"/>
                <w:sz w:val="21"/>
                <w:szCs w:val="21"/>
                <w:lang w:val="en-US"/>
              </w:rPr>
              <w:t>The WHO Indonesia country program</w:t>
            </w:r>
            <w:r w:rsidR="00D75948" w:rsidRPr="00BF5BBC">
              <w:rPr>
                <w:rFonts w:asciiTheme="majorHAnsi" w:hAnsiTheme="majorHAnsi" w:cs="Arial"/>
                <w:b/>
                <w:color w:val="595959" w:themeColor="text1" w:themeTint="A6"/>
                <w:sz w:val="21"/>
                <w:szCs w:val="21"/>
                <w:lang w:val="en-US"/>
              </w:rPr>
              <w:t xml:space="preserve"> </w:t>
            </w:r>
            <w:r w:rsidR="00D75948" w:rsidRPr="00BF5BBC">
              <w:rPr>
                <w:rFonts w:asciiTheme="majorHAnsi" w:hAnsiTheme="majorHAnsi" w:cs="Arial"/>
                <w:color w:val="595959" w:themeColor="text1" w:themeTint="A6"/>
                <w:sz w:val="21"/>
                <w:szCs w:val="21"/>
                <w:lang w:val="en-US"/>
              </w:rPr>
              <w:t>is s</w:t>
            </w:r>
            <w:r w:rsidRPr="00BF5BBC">
              <w:rPr>
                <w:rFonts w:asciiTheme="majorHAnsi" w:hAnsiTheme="majorHAnsi" w:cs="Arial"/>
                <w:color w:val="595959" w:themeColor="text1" w:themeTint="A6"/>
                <w:sz w:val="21"/>
                <w:szCs w:val="21"/>
                <w:lang w:val="en-US"/>
              </w:rPr>
              <w:t xml:space="preserve">upporting </w:t>
            </w:r>
            <w:r w:rsidR="005049AF" w:rsidRPr="00BF5BBC">
              <w:rPr>
                <w:rFonts w:asciiTheme="majorHAnsi" w:hAnsiTheme="majorHAnsi" w:cs="Arial"/>
                <w:color w:val="595959" w:themeColor="text1" w:themeTint="A6"/>
                <w:sz w:val="21"/>
                <w:szCs w:val="21"/>
                <w:lang w:val="en-US"/>
              </w:rPr>
              <w:t>Indonesia’s</w:t>
            </w:r>
            <w:r w:rsidRPr="00BF5BBC">
              <w:rPr>
                <w:rFonts w:asciiTheme="majorHAnsi" w:hAnsiTheme="majorHAnsi" w:cs="Arial"/>
                <w:color w:val="595959" w:themeColor="text1" w:themeTint="A6"/>
                <w:sz w:val="21"/>
                <w:szCs w:val="21"/>
                <w:lang w:val="en-US"/>
              </w:rPr>
              <w:t xml:space="preserve"> M</w:t>
            </w:r>
            <w:r w:rsidR="00D75948" w:rsidRPr="00BF5BBC">
              <w:rPr>
                <w:rFonts w:asciiTheme="majorHAnsi" w:hAnsiTheme="majorHAnsi" w:cs="Arial"/>
                <w:color w:val="595959" w:themeColor="text1" w:themeTint="A6"/>
                <w:sz w:val="21"/>
                <w:szCs w:val="21"/>
                <w:lang w:val="en-US"/>
              </w:rPr>
              <w:t xml:space="preserve">inistry of Health </w:t>
            </w:r>
            <w:r w:rsidR="005049AF" w:rsidRPr="00BF5BBC">
              <w:rPr>
                <w:rFonts w:asciiTheme="majorHAnsi" w:hAnsiTheme="majorHAnsi" w:cs="Arial"/>
                <w:color w:val="595959" w:themeColor="text1" w:themeTint="A6"/>
                <w:sz w:val="21"/>
                <w:szCs w:val="21"/>
                <w:lang w:val="en-US"/>
              </w:rPr>
              <w:t>to achieve its</w:t>
            </w:r>
            <w:r w:rsidRPr="00BF5BBC">
              <w:rPr>
                <w:rFonts w:asciiTheme="majorHAnsi" w:hAnsiTheme="majorHAnsi" w:cs="Arial"/>
                <w:color w:val="595959" w:themeColor="text1" w:themeTint="A6"/>
                <w:sz w:val="21"/>
                <w:szCs w:val="21"/>
                <w:lang w:val="en-US"/>
              </w:rPr>
              <w:t xml:space="preserve"> I</w:t>
            </w:r>
            <w:r w:rsidR="00D75948" w:rsidRPr="00BF5BBC">
              <w:rPr>
                <w:rFonts w:asciiTheme="majorHAnsi" w:hAnsiTheme="majorHAnsi" w:cs="Arial"/>
                <w:color w:val="595959" w:themeColor="text1" w:themeTint="A6"/>
                <w:sz w:val="21"/>
                <w:szCs w:val="21"/>
                <w:lang w:val="en-US"/>
              </w:rPr>
              <w:t>nternational Health Regulation (I</w:t>
            </w:r>
            <w:r w:rsidRPr="00BF5BBC">
              <w:rPr>
                <w:rFonts w:asciiTheme="majorHAnsi" w:hAnsiTheme="majorHAnsi" w:cs="Arial"/>
                <w:color w:val="595959" w:themeColor="text1" w:themeTint="A6"/>
                <w:sz w:val="21"/>
                <w:szCs w:val="21"/>
                <w:lang w:val="en-US"/>
              </w:rPr>
              <w:t>HR</w:t>
            </w:r>
            <w:r w:rsidR="00D75948" w:rsidRPr="00BF5BBC">
              <w:rPr>
                <w:rFonts w:asciiTheme="majorHAnsi" w:hAnsiTheme="majorHAnsi" w:cs="Arial"/>
                <w:color w:val="595959" w:themeColor="text1" w:themeTint="A6"/>
                <w:sz w:val="21"/>
                <w:szCs w:val="21"/>
                <w:lang w:val="en-US"/>
              </w:rPr>
              <w:t>)</w:t>
            </w:r>
            <w:r w:rsidRPr="00BF5BBC">
              <w:rPr>
                <w:rFonts w:asciiTheme="majorHAnsi" w:hAnsiTheme="majorHAnsi" w:cs="Arial"/>
                <w:color w:val="595959" w:themeColor="text1" w:themeTint="A6"/>
                <w:sz w:val="21"/>
                <w:szCs w:val="21"/>
                <w:lang w:val="en-US"/>
              </w:rPr>
              <w:t xml:space="preserve"> requirements. </w:t>
            </w:r>
            <w:r w:rsidR="00D75948" w:rsidRPr="00BF5BBC">
              <w:rPr>
                <w:rFonts w:asciiTheme="majorHAnsi" w:hAnsiTheme="majorHAnsi" w:cs="Arial"/>
                <w:color w:val="595959" w:themeColor="text1" w:themeTint="A6"/>
                <w:sz w:val="21"/>
                <w:szCs w:val="21"/>
                <w:lang w:val="en-US"/>
              </w:rPr>
              <w:t>The WHO’s current work</w:t>
            </w:r>
            <w:r w:rsidR="00786BB7" w:rsidRPr="00BF5BBC">
              <w:rPr>
                <w:rFonts w:asciiTheme="majorHAnsi" w:hAnsiTheme="majorHAnsi" w:cs="Arial"/>
                <w:color w:val="595959" w:themeColor="text1" w:themeTint="A6"/>
                <w:sz w:val="21"/>
                <w:szCs w:val="21"/>
                <w:lang w:val="en-US"/>
              </w:rPr>
              <w:t>-</w:t>
            </w:r>
            <w:r w:rsidR="00D75948" w:rsidRPr="00BF5BBC">
              <w:rPr>
                <w:rFonts w:asciiTheme="majorHAnsi" w:hAnsiTheme="majorHAnsi" w:cs="Arial"/>
                <w:color w:val="595959" w:themeColor="text1" w:themeTint="A6"/>
                <w:sz w:val="21"/>
                <w:szCs w:val="21"/>
                <w:lang w:val="en-US"/>
              </w:rPr>
              <w:t>plan</w:t>
            </w:r>
            <w:r w:rsidRPr="00BF5BBC">
              <w:rPr>
                <w:rFonts w:asciiTheme="majorHAnsi" w:hAnsiTheme="majorHAnsi" w:cs="Arial"/>
                <w:color w:val="595959" w:themeColor="text1" w:themeTint="A6"/>
                <w:sz w:val="21"/>
                <w:szCs w:val="21"/>
                <w:lang w:val="en-US"/>
              </w:rPr>
              <w:t xml:space="preserve"> is financed </w:t>
            </w:r>
            <w:r w:rsidR="00D75948" w:rsidRPr="00BF5BBC">
              <w:rPr>
                <w:rFonts w:asciiTheme="majorHAnsi" w:hAnsiTheme="majorHAnsi" w:cs="Arial"/>
                <w:color w:val="595959" w:themeColor="text1" w:themeTint="A6"/>
                <w:sz w:val="21"/>
                <w:szCs w:val="21"/>
                <w:lang w:val="en-US"/>
              </w:rPr>
              <w:t>through core funding as well as contributions from DFAT</w:t>
            </w:r>
            <w:r w:rsidR="000014EA" w:rsidRPr="00BF5BBC">
              <w:rPr>
                <w:rFonts w:asciiTheme="majorHAnsi" w:hAnsiTheme="majorHAnsi" w:cs="Arial"/>
                <w:color w:val="595959" w:themeColor="text1" w:themeTint="A6"/>
                <w:sz w:val="21"/>
                <w:szCs w:val="21"/>
                <w:lang w:val="en-US"/>
              </w:rPr>
              <w:t>’s AIPEID program</w:t>
            </w:r>
            <w:r w:rsidR="00786BB7" w:rsidRPr="00BF5BBC">
              <w:rPr>
                <w:rFonts w:asciiTheme="majorHAnsi" w:hAnsiTheme="majorHAnsi" w:cs="Arial"/>
                <w:color w:val="595959" w:themeColor="text1" w:themeTint="A6"/>
                <w:sz w:val="21"/>
                <w:szCs w:val="21"/>
                <w:lang w:val="en-US"/>
              </w:rPr>
              <w:t>, USAID and CDC</w:t>
            </w:r>
            <w:r w:rsidR="00064266">
              <w:rPr>
                <w:rFonts w:asciiTheme="majorHAnsi" w:hAnsiTheme="majorHAnsi" w:cs="Arial"/>
                <w:color w:val="595959" w:themeColor="text1" w:themeTint="A6"/>
                <w:sz w:val="21"/>
                <w:szCs w:val="21"/>
                <w:lang w:val="en-US"/>
              </w:rPr>
              <w:t xml:space="preserve"> (DFAT funds approximately 50% of WHO’s workplan)</w:t>
            </w:r>
            <w:r w:rsidR="00D75948" w:rsidRPr="00BF5BBC">
              <w:rPr>
                <w:rFonts w:asciiTheme="majorHAnsi" w:hAnsiTheme="majorHAnsi" w:cs="Arial"/>
                <w:color w:val="595959" w:themeColor="text1" w:themeTint="A6"/>
                <w:sz w:val="21"/>
                <w:szCs w:val="21"/>
                <w:lang w:val="en-US"/>
              </w:rPr>
              <w:t xml:space="preserve">. </w:t>
            </w:r>
          </w:p>
          <w:p w:rsidR="00AA37F4" w:rsidRDefault="00AA37F4"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Indonesia is a focal country under the </w:t>
            </w:r>
            <w:r w:rsidR="009852C9" w:rsidRPr="00BF5BBC">
              <w:rPr>
                <w:rFonts w:asciiTheme="majorHAnsi" w:hAnsiTheme="majorHAnsi" w:cs="Arial"/>
                <w:color w:val="595959" w:themeColor="text1" w:themeTint="A6"/>
                <w:sz w:val="21"/>
                <w:szCs w:val="21"/>
                <w:lang w:val="en-US"/>
              </w:rPr>
              <w:t>World Bank</w:t>
            </w:r>
            <w:r w:rsidRPr="00BF5BBC">
              <w:rPr>
                <w:rFonts w:asciiTheme="majorHAnsi" w:hAnsiTheme="majorHAnsi" w:cs="Arial"/>
                <w:color w:val="595959" w:themeColor="text1" w:themeTint="A6"/>
                <w:sz w:val="21"/>
                <w:szCs w:val="21"/>
                <w:lang w:val="en-US"/>
              </w:rPr>
              <w:t xml:space="preserve"> MDTF</w:t>
            </w:r>
            <w:r w:rsidR="009852C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health security window, </w:t>
            </w:r>
            <w:r w:rsidR="009852C9" w:rsidRPr="00BF5BBC">
              <w:rPr>
                <w:rFonts w:asciiTheme="majorHAnsi" w:hAnsiTheme="majorHAnsi" w:cs="Arial"/>
                <w:color w:val="595959" w:themeColor="text1" w:themeTint="A6"/>
                <w:sz w:val="21"/>
                <w:szCs w:val="21"/>
                <w:lang w:val="en-US"/>
              </w:rPr>
              <w:t>supported by DFAT</w:t>
            </w:r>
            <w:r w:rsidRPr="00BF5BBC">
              <w:rPr>
                <w:rFonts w:asciiTheme="majorHAnsi" w:hAnsiTheme="majorHAnsi" w:cs="Arial"/>
                <w:color w:val="595959" w:themeColor="text1" w:themeTint="A6"/>
                <w:sz w:val="21"/>
                <w:szCs w:val="21"/>
                <w:lang w:val="en-US"/>
              </w:rPr>
              <w:t xml:space="preserve">. A health security finance assessment </w:t>
            </w:r>
            <w:r w:rsidR="009852C9" w:rsidRPr="00BF5BBC">
              <w:rPr>
                <w:rFonts w:asciiTheme="majorHAnsi" w:hAnsiTheme="majorHAnsi" w:cs="Arial"/>
                <w:color w:val="595959" w:themeColor="text1" w:themeTint="A6"/>
                <w:sz w:val="21"/>
                <w:szCs w:val="21"/>
                <w:lang w:val="en-US"/>
              </w:rPr>
              <w:t xml:space="preserve">for Indonesia </w:t>
            </w:r>
            <w:r w:rsidRPr="00BF5BBC">
              <w:rPr>
                <w:rFonts w:asciiTheme="majorHAnsi" w:hAnsiTheme="majorHAnsi" w:cs="Arial"/>
                <w:color w:val="595959" w:themeColor="text1" w:themeTint="A6"/>
                <w:sz w:val="21"/>
                <w:szCs w:val="21"/>
                <w:lang w:val="en-US"/>
              </w:rPr>
              <w:t>will be completed by October 2018, which will help identify the scale of dedicated resources for health security at both central and subnational level</w:t>
            </w:r>
            <w:r w:rsidR="009120D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w:t>
            </w:r>
            <w:r w:rsidR="00960DDB">
              <w:rPr>
                <w:rFonts w:asciiTheme="majorHAnsi" w:hAnsiTheme="majorHAnsi" w:cs="Arial"/>
                <w:color w:val="595959" w:themeColor="text1" w:themeTint="A6"/>
                <w:sz w:val="21"/>
                <w:szCs w:val="21"/>
                <w:lang w:val="en-US"/>
              </w:rPr>
              <w:t>The MDTF is also financing advisory services (refer PASA</w:t>
            </w:r>
            <w:r w:rsidR="00960DDB">
              <w:t xml:space="preserve"> </w:t>
            </w:r>
            <w:r w:rsidR="00960DDB" w:rsidRPr="00960DDB">
              <w:rPr>
                <w:rFonts w:asciiTheme="majorHAnsi" w:hAnsiTheme="majorHAnsi" w:cs="Arial"/>
                <w:color w:val="595959" w:themeColor="text1" w:themeTint="A6"/>
                <w:sz w:val="21"/>
                <w:szCs w:val="21"/>
                <w:lang w:val="en-US"/>
              </w:rPr>
              <w:t>P166489</w:t>
            </w:r>
            <w:r w:rsidR="00960DDB">
              <w:rPr>
                <w:rFonts w:asciiTheme="majorHAnsi" w:hAnsiTheme="majorHAnsi" w:cs="Arial"/>
                <w:color w:val="595959" w:themeColor="text1" w:themeTint="A6"/>
                <w:sz w:val="21"/>
                <w:szCs w:val="21"/>
                <w:lang w:val="en-US"/>
              </w:rPr>
              <w:t xml:space="preserve">) to support Indonesia’s </w:t>
            </w:r>
            <w:r w:rsidR="00960DDB" w:rsidRPr="00960DDB">
              <w:rPr>
                <w:rFonts w:asciiTheme="majorHAnsi" w:hAnsiTheme="majorHAnsi" w:cs="Arial"/>
                <w:color w:val="595959" w:themeColor="text1" w:themeTint="A6"/>
                <w:sz w:val="21"/>
                <w:szCs w:val="21"/>
                <w:lang w:val="en-US"/>
              </w:rPr>
              <w:t>efforts to accelerate and sustain progress towards U</w:t>
            </w:r>
            <w:r w:rsidR="00960DDB">
              <w:rPr>
                <w:rFonts w:asciiTheme="majorHAnsi" w:hAnsiTheme="majorHAnsi" w:cs="Arial"/>
                <w:color w:val="595959" w:themeColor="text1" w:themeTint="A6"/>
                <w:sz w:val="21"/>
                <w:szCs w:val="21"/>
                <w:lang w:val="en-US"/>
              </w:rPr>
              <w:t>niversal Health Coverage (U</w:t>
            </w:r>
            <w:r w:rsidR="00960DDB" w:rsidRPr="00960DDB">
              <w:rPr>
                <w:rFonts w:asciiTheme="majorHAnsi" w:hAnsiTheme="majorHAnsi" w:cs="Arial"/>
                <w:color w:val="595959" w:themeColor="text1" w:themeTint="A6"/>
                <w:sz w:val="21"/>
                <w:szCs w:val="21"/>
                <w:lang w:val="en-US"/>
              </w:rPr>
              <w:t>HC</w:t>
            </w:r>
            <w:r w:rsidR="00960DDB">
              <w:rPr>
                <w:rFonts w:asciiTheme="majorHAnsi" w:hAnsiTheme="majorHAnsi" w:cs="Arial"/>
                <w:color w:val="595959" w:themeColor="text1" w:themeTint="A6"/>
                <w:sz w:val="21"/>
                <w:szCs w:val="21"/>
                <w:lang w:val="en-US"/>
              </w:rPr>
              <w:t>)</w:t>
            </w:r>
            <w:r w:rsidR="00960DDB" w:rsidRPr="00960DDB">
              <w:rPr>
                <w:rFonts w:asciiTheme="majorHAnsi" w:hAnsiTheme="majorHAnsi" w:cs="Arial"/>
                <w:color w:val="595959" w:themeColor="text1" w:themeTint="A6"/>
                <w:sz w:val="21"/>
                <w:szCs w:val="21"/>
                <w:lang w:val="en-US"/>
              </w:rPr>
              <w:t xml:space="preserve"> by strengthening reforms related to governance, financing, and service delivery.</w:t>
            </w:r>
          </w:p>
          <w:p w:rsidR="00CF2F11" w:rsidRPr="00CF2F11" w:rsidRDefault="00CF2F11" w:rsidP="00BF5BBC">
            <w:pPr>
              <w:spacing w:line="240" w:lineRule="auto"/>
              <w:rPr>
                <w:rFonts w:asciiTheme="majorHAnsi" w:hAnsiTheme="majorHAnsi" w:cs="Arial"/>
                <w:color w:val="595959" w:themeColor="text1" w:themeTint="A6"/>
                <w:sz w:val="21"/>
                <w:szCs w:val="21"/>
                <w:lang w:val="en-US"/>
              </w:rPr>
            </w:pPr>
            <w:r w:rsidRPr="00CF2F11">
              <w:rPr>
                <w:rFonts w:asciiTheme="majorHAnsi" w:hAnsiTheme="majorHAnsi" w:cs="Arial"/>
                <w:color w:val="595959" w:themeColor="text1" w:themeTint="A6"/>
                <w:sz w:val="21"/>
                <w:szCs w:val="21"/>
                <w:lang w:val="en-US"/>
              </w:rPr>
              <w:t xml:space="preserve">USAID’s Emerging Pandemic Threats Phase 2 (EPT-2) program, which is closely linked to the GHSA, is a close partner of the AIPEID program in strengthening the GOI’s ability to prevent, detect and respond to zoonotic and emerging infectious diseases. The program is administered globally and consist of five elements: </w:t>
            </w:r>
            <w:r w:rsidRPr="00CF2F11">
              <w:rPr>
                <w:rFonts w:asciiTheme="majorHAnsi" w:hAnsiTheme="majorHAnsi" w:cs="Arial"/>
                <w:color w:val="595959" w:themeColor="text1" w:themeTint="A6"/>
                <w:sz w:val="21"/>
                <w:szCs w:val="21"/>
                <w:lang w:val="en-US"/>
              </w:rPr>
              <w:lastRenderedPageBreak/>
              <w:t>strengthening capacity to prevent and control  EID (through WHO and FAO work in Indonesia), strengthening EID through One Health Approach (joint WHO and FAO trainings in pilot districts), PREDICT 2 (surveillance for pathogens that can spillover from animal hosts to people), One Health workforce (incorporating ‘one health’ subject in University curriculum), and Preparedness and Response (supporting CMHD to take on role from the Commission for Zoonotic Diseases).  EPT-2 components strongly link with AIPEID components as both programs fund the WHO to help strengthen MoH capacity in detecting and responding to EIDs, and both programs work with the MoA to strengthen their capacity in dealing with Zoonosis and  EIDs but in different areas (FAO mostly in Lab assessments and poultry market chain surveillance, while AIPEID mostly support the MoA ‘internal systems’ by helping establish the main disease detection information system as well as build capacity in disease control management).</w:t>
            </w:r>
          </w:p>
          <w:p w:rsidR="009A37CF" w:rsidRPr="00BF5BBC" w:rsidRDefault="005859C6"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FAO</w:t>
            </w:r>
            <w:r w:rsidR="000D330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w:t>
            </w:r>
            <w:r w:rsidR="000D3309" w:rsidRPr="00BF5BBC">
              <w:rPr>
                <w:rFonts w:asciiTheme="majorHAnsi" w:hAnsiTheme="majorHAnsi" w:cs="Arial"/>
                <w:color w:val="595959" w:themeColor="text1" w:themeTint="A6"/>
                <w:sz w:val="21"/>
                <w:szCs w:val="21"/>
                <w:lang w:val="en-US"/>
              </w:rPr>
              <w:t>health security activities in Indonesia are</w:t>
            </w:r>
            <w:r w:rsidRPr="00BF5BBC">
              <w:rPr>
                <w:rFonts w:asciiTheme="majorHAnsi" w:hAnsiTheme="majorHAnsi" w:cs="Arial"/>
                <w:color w:val="595959" w:themeColor="text1" w:themeTint="A6"/>
                <w:sz w:val="21"/>
                <w:szCs w:val="21"/>
                <w:lang w:val="en-US"/>
              </w:rPr>
              <w:t xml:space="preserve"> largely focused on the provision of technical support for the EPT2 program. </w:t>
            </w:r>
            <w:r w:rsidR="003272AF" w:rsidRPr="00BF5BBC">
              <w:rPr>
                <w:rFonts w:asciiTheme="majorHAnsi" w:hAnsiTheme="majorHAnsi" w:cs="Arial"/>
                <w:color w:val="595959" w:themeColor="text1" w:themeTint="A6"/>
                <w:sz w:val="21"/>
                <w:szCs w:val="21"/>
                <w:lang w:val="en-US"/>
              </w:rPr>
              <w:t>Like</w:t>
            </w:r>
            <w:r w:rsidRPr="00BF5BBC">
              <w:rPr>
                <w:rFonts w:asciiTheme="majorHAnsi" w:hAnsiTheme="majorHAnsi" w:cs="Arial"/>
                <w:color w:val="595959" w:themeColor="text1" w:themeTint="A6"/>
                <w:sz w:val="21"/>
                <w:szCs w:val="21"/>
                <w:lang w:val="en-US"/>
              </w:rPr>
              <w:t xml:space="preserve"> </w:t>
            </w:r>
            <w:r w:rsidR="003272AF" w:rsidRPr="00BF5BBC">
              <w:rPr>
                <w:rFonts w:asciiTheme="majorHAnsi" w:hAnsiTheme="majorHAnsi" w:cs="Arial"/>
                <w:color w:val="595959" w:themeColor="text1" w:themeTint="A6"/>
                <w:sz w:val="21"/>
                <w:szCs w:val="21"/>
                <w:lang w:val="en-US"/>
              </w:rPr>
              <w:t xml:space="preserve">the </w:t>
            </w:r>
            <w:r w:rsidRPr="00BF5BBC">
              <w:rPr>
                <w:rFonts w:asciiTheme="majorHAnsi" w:hAnsiTheme="majorHAnsi" w:cs="Arial"/>
                <w:color w:val="595959" w:themeColor="text1" w:themeTint="A6"/>
                <w:sz w:val="21"/>
                <w:szCs w:val="21"/>
                <w:lang w:val="en-US"/>
              </w:rPr>
              <w:t xml:space="preserve">AIPEID team, FAO staff are embedded in the Ministry of Agriculture. </w:t>
            </w:r>
          </w:p>
          <w:p w:rsidR="00DD2BB6" w:rsidRDefault="00D75948"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US Centre</w:t>
            </w:r>
            <w:r w:rsidR="00DD2BB6" w:rsidRPr="00BF5BBC">
              <w:rPr>
                <w:rFonts w:asciiTheme="majorHAnsi" w:hAnsiTheme="majorHAnsi" w:cs="Arial"/>
                <w:color w:val="595959" w:themeColor="text1" w:themeTint="A6"/>
                <w:sz w:val="21"/>
                <w:szCs w:val="21"/>
                <w:lang w:val="en-US"/>
              </w:rPr>
              <w:t xml:space="preserve"> for Disease Control</w:t>
            </w:r>
            <w:r w:rsidRPr="00BF5BBC">
              <w:rPr>
                <w:rFonts w:asciiTheme="majorHAnsi" w:hAnsiTheme="majorHAnsi" w:cs="Arial"/>
                <w:color w:val="595959" w:themeColor="text1" w:themeTint="A6"/>
                <w:sz w:val="21"/>
                <w:szCs w:val="21"/>
                <w:lang w:val="en-US"/>
              </w:rPr>
              <w:t xml:space="preserve">’s </w:t>
            </w:r>
            <w:r w:rsidR="0097376C">
              <w:rPr>
                <w:rFonts w:asciiTheme="majorHAnsi" w:hAnsiTheme="majorHAnsi" w:cs="Arial"/>
                <w:color w:val="595959" w:themeColor="text1" w:themeTint="A6"/>
                <w:sz w:val="21"/>
                <w:szCs w:val="21"/>
                <w:lang w:val="en-US"/>
              </w:rPr>
              <w:t xml:space="preserve">(CDC) </w:t>
            </w:r>
            <w:r w:rsidRPr="00BF5BBC">
              <w:rPr>
                <w:rFonts w:asciiTheme="majorHAnsi" w:hAnsiTheme="majorHAnsi" w:cs="Arial"/>
                <w:color w:val="595959" w:themeColor="text1" w:themeTint="A6"/>
                <w:sz w:val="21"/>
                <w:szCs w:val="21"/>
                <w:lang w:val="en-US"/>
              </w:rPr>
              <w:t>support is focused on the GHSA framework, with a</w:t>
            </w:r>
            <w:r w:rsidR="009120D9" w:rsidRPr="00BF5BBC">
              <w:rPr>
                <w:rFonts w:asciiTheme="majorHAnsi" w:hAnsiTheme="majorHAnsi" w:cs="Arial"/>
                <w:color w:val="595959" w:themeColor="text1" w:themeTint="A6"/>
                <w:sz w:val="21"/>
                <w:szCs w:val="21"/>
                <w:lang w:val="en-US"/>
              </w:rPr>
              <w:t>n emphasis</w:t>
            </w:r>
            <w:r w:rsidRPr="00BF5BBC">
              <w:rPr>
                <w:rFonts w:asciiTheme="majorHAnsi" w:hAnsiTheme="majorHAnsi" w:cs="Arial"/>
                <w:color w:val="595959" w:themeColor="text1" w:themeTint="A6"/>
                <w:sz w:val="21"/>
                <w:szCs w:val="21"/>
                <w:lang w:val="en-US"/>
              </w:rPr>
              <w:t xml:space="preserve"> on workforce development. </w:t>
            </w:r>
            <w:r w:rsidR="00DD2BB6" w:rsidRPr="00BF5BBC">
              <w:rPr>
                <w:rFonts w:asciiTheme="majorHAnsi" w:hAnsiTheme="majorHAnsi" w:cs="Arial"/>
                <w:color w:val="595959" w:themeColor="text1" w:themeTint="A6"/>
                <w:sz w:val="21"/>
                <w:szCs w:val="21"/>
                <w:lang w:val="en-US"/>
              </w:rPr>
              <w:t xml:space="preserve">It </w:t>
            </w:r>
            <w:r w:rsidR="003F35D2" w:rsidRPr="00BF5BBC">
              <w:rPr>
                <w:rFonts w:asciiTheme="majorHAnsi" w:hAnsiTheme="majorHAnsi" w:cs="Arial"/>
                <w:color w:val="595959" w:themeColor="text1" w:themeTint="A6"/>
                <w:sz w:val="21"/>
                <w:szCs w:val="21"/>
                <w:lang w:val="en-US"/>
              </w:rPr>
              <w:t xml:space="preserve">is working </w:t>
            </w:r>
            <w:r w:rsidR="00DD2BB6" w:rsidRPr="00BF5BBC">
              <w:rPr>
                <w:rFonts w:asciiTheme="majorHAnsi" w:hAnsiTheme="majorHAnsi" w:cs="Arial"/>
                <w:color w:val="595959" w:themeColor="text1" w:themeTint="A6"/>
                <w:sz w:val="21"/>
                <w:szCs w:val="21"/>
                <w:lang w:val="en-US"/>
              </w:rPr>
              <w:t xml:space="preserve">with the Indonesian Association of Epidemiologists (PAEI) to develop a career pathway. CDC is also providing support to the PHEOC at the MoH, through technical advice, training workshops, and hosting one MOH staff for a 4-month fellowship with CDC Atlanta. There </w:t>
            </w:r>
            <w:r w:rsidR="009120D9" w:rsidRPr="00BF5BBC">
              <w:rPr>
                <w:rFonts w:asciiTheme="majorHAnsi" w:hAnsiTheme="majorHAnsi" w:cs="Arial"/>
                <w:color w:val="595959" w:themeColor="text1" w:themeTint="A6"/>
                <w:sz w:val="21"/>
                <w:szCs w:val="21"/>
                <w:lang w:val="en-US"/>
              </w:rPr>
              <w:t>are also efforts</w:t>
            </w:r>
            <w:r w:rsidR="00DD2BB6" w:rsidRPr="00BF5BBC">
              <w:rPr>
                <w:rFonts w:asciiTheme="majorHAnsi" w:hAnsiTheme="majorHAnsi" w:cs="Arial"/>
                <w:color w:val="595959" w:themeColor="text1" w:themeTint="A6"/>
                <w:sz w:val="21"/>
                <w:szCs w:val="21"/>
                <w:lang w:val="en-US"/>
              </w:rPr>
              <w:t xml:space="preserve"> to establish a form of FETP for veterinarians (FETPV) in Indonesia, with FAO as a partner. </w:t>
            </w:r>
          </w:p>
          <w:p w:rsidR="007F46AA" w:rsidRDefault="007F46AA" w:rsidP="00BF5BBC">
            <w:pPr>
              <w:spacing w:line="240" w:lineRule="auto"/>
              <w:rPr>
                <w:rFonts w:asciiTheme="majorHAnsi" w:hAnsiTheme="majorHAnsi" w:cs="Arial"/>
                <w:color w:val="595959" w:themeColor="text1" w:themeTint="A6"/>
                <w:sz w:val="21"/>
                <w:szCs w:val="21"/>
                <w:lang w:val="en-US"/>
              </w:rPr>
            </w:pPr>
            <w:r>
              <w:rPr>
                <w:rFonts w:asciiTheme="majorHAnsi" w:hAnsiTheme="majorHAnsi" w:cs="Arial"/>
                <w:color w:val="595959" w:themeColor="text1" w:themeTint="A6"/>
                <w:sz w:val="21"/>
                <w:szCs w:val="21"/>
                <w:lang w:val="en-US"/>
              </w:rPr>
              <w:t xml:space="preserve">The Global Fund to Fight AIDS, TB and Malaria (GFATM) is a long term supporter of Indonesia in combatting the three diseases, with current grants to the value of US$250 million. Indonesia is due to graduate from GFATM support in 2020. DFAT through a World Bank MDTF is providing </w:t>
            </w:r>
            <w:r w:rsidR="00F959B9">
              <w:rPr>
                <w:rFonts w:asciiTheme="majorHAnsi" w:hAnsiTheme="majorHAnsi" w:cs="Arial"/>
                <w:color w:val="595959" w:themeColor="text1" w:themeTint="A6"/>
                <w:sz w:val="21"/>
                <w:szCs w:val="21"/>
                <w:lang w:val="en-US"/>
              </w:rPr>
              <w:t>Indonesia with support to help effectively manage this transition.</w:t>
            </w:r>
            <w:r w:rsidR="00E87D44">
              <w:rPr>
                <w:rFonts w:asciiTheme="majorHAnsi" w:hAnsiTheme="majorHAnsi" w:cs="Arial"/>
                <w:color w:val="595959" w:themeColor="text1" w:themeTint="A6"/>
                <w:sz w:val="21"/>
                <w:szCs w:val="21"/>
                <w:lang w:val="en-US"/>
              </w:rPr>
              <w:t xml:space="preserve"> Post also provides technical assistance to the GFATM Country Coordinating Mechanism through UNDP to boost the effective implementation of these grants. </w:t>
            </w:r>
          </w:p>
          <w:p w:rsidR="002123B5" w:rsidRPr="00BF5BBC" w:rsidRDefault="00654D2E" w:rsidP="00470218">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EPT-2 program coordinating committee meetings are chaired by PMK and include MOH and MOA representation. Development partner coordination currently occurs through a monthly meeting under auspices of EPT-2. </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lastRenderedPageBreak/>
              <w:t xml:space="preserve">C: Proposed outcomes and investment options (What)   </w:t>
            </w:r>
          </w:p>
        </w:tc>
      </w:tr>
      <w:tr w:rsidR="004C10EA" w:rsidRPr="00966957" w:rsidTr="00264300">
        <w:trPr>
          <w:cantSplit w:val="0"/>
        </w:trPr>
        <w:tc>
          <w:tcPr>
            <w:tcW w:w="9606" w:type="dxa"/>
          </w:tcPr>
          <w:p w:rsidR="00AE58F5" w:rsidRPr="00BF5BBC" w:rsidRDefault="00AE58F5" w:rsidP="00BF5BBC">
            <w:pPr>
              <w:spacing w:line="240" w:lineRule="auto"/>
              <w:rPr>
                <w:rFonts w:ascii="Calibri" w:eastAsia="Calibri Light" w:hAnsi="Calibri" w:cs="Arial"/>
                <w:sz w:val="21"/>
                <w:szCs w:val="21"/>
              </w:rPr>
            </w:pPr>
            <w:r w:rsidRPr="00BF5BBC">
              <w:rPr>
                <w:rFonts w:ascii="Calibri" w:hAnsi="Calibri"/>
                <w:color w:val="595959" w:themeColor="text1" w:themeTint="A6"/>
                <w:sz w:val="21"/>
                <w:szCs w:val="21"/>
              </w:rPr>
              <w:t xml:space="preserve">Stronger health security within health systems depends on a number of foundational components such as; infection prevention and control; community engagement; quality service delivery; health workforce development; information systems; and supply chain management. </w:t>
            </w:r>
            <w:r w:rsidRPr="00BF5BBC">
              <w:rPr>
                <w:rFonts w:ascii="Calibri" w:eastAsia="Calibri Light" w:hAnsi="Calibri" w:cs="Arial"/>
                <w:sz w:val="21"/>
                <w:szCs w:val="21"/>
              </w:rPr>
              <w:t>An integrated, multi-sectorial approach is key to strengthening health security and national capacity by engaging key stakeholders</w:t>
            </w:r>
            <w:r w:rsidR="007662E7">
              <w:rPr>
                <w:rFonts w:ascii="Calibri" w:eastAsia="Calibri Light" w:hAnsi="Calibri" w:cs="Arial"/>
                <w:sz w:val="21"/>
                <w:szCs w:val="21"/>
              </w:rPr>
              <w:t xml:space="preserve"> to</w:t>
            </w:r>
            <w:r w:rsidRPr="00BF5BBC">
              <w:rPr>
                <w:rFonts w:ascii="Calibri" w:eastAsia="Calibri Light" w:hAnsi="Calibri" w:cs="Arial"/>
                <w:sz w:val="21"/>
                <w:szCs w:val="21"/>
              </w:rPr>
              <w:t xml:space="preserve"> help prepare for prevention, detection and response to public health emergencies.</w:t>
            </w:r>
            <w:r w:rsidR="00A06C06" w:rsidRPr="00BF5BBC">
              <w:rPr>
                <w:rFonts w:ascii="Calibri" w:eastAsia="Calibri Light" w:hAnsi="Calibri" w:cs="Arial"/>
                <w:sz w:val="21"/>
                <w:szCs w:val="21"/>
              </w:rPr>
              <w:t xml:space="preserve"> Leadership and governance are key to resilient and sustainable health systems. </w:t>
            </w:r>
          </w:p>
          <w:p w:rsidR="00BE07BD" w:rsidRPr="00BF5BBC" w:rsidRDefault="006E566F"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US"/>
              </w:rPr>
              <w:t xml:space="preserve">The </w:t>
            </w:r>
            <w:r w:rsidR="00A4075E" w:rsidRPr="00BF5BBC">
              <w:rPr>
                <w:rFonts w:asciiTheme="majorHAnsi" w:hAnsiTheme="majorHAnsi" w:cs="Arial"/>
                <w:color w:val="595959" w:themeColor="text1" w:themeTint="A6"/>
                <w:sz w:val="21"/>
                <w:szCs w:val="21"/>
                <w:lang w:val="en-US"/>
              </w:rPr>
              <w:t xml:space="preserve">goal of the new </w:t>
            </w:r>
            <w:r w:rsidR="00EF77BB" w:rsidRPr="00BF5BBC">
              <w:rPr>
                <w:rFonts w:asciiTheme="majorHAnsi" w:hAnsiTheme="majorHAnsi" w:cs="Arial"/>
                <w:color w:val="595959" w:themeColor="text1" w:themeTint="A6"/>
                <w:sz w:val="21"/>
                <w:szCs w:val="21"/>
                <w:lang w:val="en-US"/>
              </w:rPr>
              <w:t xml:space="preserve">Australia Indonesia Health Security Partnership </w:t>
            </w:r>
            <w:r w:rsidR="00A4075E" w:rsidRPr="00BF5BBC">
              <w:rPr>
                <w:rFonts w:asciiTheme="majorHAnsi" w:hAnsiTheme="majorHAnsi" w:cs="Arial"/>
                <w:color w:val="595959" w:themeColor="text1" w:themeTint="A6"/>
                <w:sz w:val="21"/>
                <w:szCs w:val="21"/>
                <w:lang w:val="en-US"/>
              </w:rPr>
              <w:t>is</w:t>
            </w:r>
            <w:r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b/>
                <w:color w:val="595959" w:themeColor="text1" w:themeTint="A6"/>
                <w:sz w:val="21"/>
                <w:szCs w:val="21"/>
                <w:lang w:val="en-US"/>
              </w:rPr>
              <w:t xml:space="preserve">to strengthen Indonesia’s capacity to prevent, detect </w:t>
            </w:r>
            <w:r w:rsidR="00C03701" w:rsidRPr="00BF5BBC">
              <w:rPr>
                <w:rFonts w:asciiTheme="majorHAnsi" w:hAnsiTheme="majorHAnsi" w:cs="Arial"/>
                <w:b/>
                <w:color w:val="595959" w:themeColor="text1" w:themeTint="A6"/>
                <w:sz w:val="21"/>
                <w:szCs w:val="21"/>
                <w:lang w:val="en-US"/>
              </w:rPr>
              <w:t xml:space="preserve">and </w:t>
            </w:r>
            <w:r w:rsidR="00A05D90" w:rsidRPr="00BF5BBC">
              <w:rPr>
                <w:rFonts w:asciiTheme="majorHAnsi" w:hAnsiTheme="majorHAnsi" w:cs="Arial"/>
                <w:b/>
                <w:color w:val="595959" w:themeColor="text1" w:themeTint="A6"/>
                <w:sz w:val="21"/>
                <w:szCs w:val="21"/>
                <w:lang w:val="en-US"/>
              </w:rPr>
              <w:t>respond to</w:t>
            </w:r>
            <w:r w:rsidR="00C03701" w:rsidRPr="00BF5BBC">
              <w:rPr>
                <w:rFonts w:asciiTheme="majorHAnsi" w:hAnsiTheme="majorHAnsi" w:cs="Arial"/>
                <w:b/>
                <w:color w:val="595959" w:themeColor="text1" w:themeTint="A6"/>
                <w:sz w:val="21"/>
                <w:szCs w:val="21"/>
                <w:lang w:val="en-US"/>
              </w:rPr>
              <w:t xml:space="preserve"> infectious disease</w:t>
            </w:r>
            <w:r w:rsidR="00FC0889">
              <w:rPr>
                <w:rFonts w:asciiTheme="majorHAnsi" w:hAnsiTheme="majorHAnsi" w:cs="Arial"/>
                <w:b/>
                <w:color w:val="595959" w:themeColor="text1" w:themeTint="A6"/>
                <w:sz w:val="21"/>
                <w:szCs w:val="21"/>
                <w:lang w:val="en-US"/>
              </w:rPr>
              <w:t xml:space="preserve"> outbreaks</w:t>
            </w:r>
            <w:r w:rsidR="00C03701" w:rsidRPr="00BF5BBC">
              <w:rPr>
                <w:rFonts w:asciiTheme="majorHAnsi" w:hAnsiTheme="majorHAnsi" w:cs="Arial"/>
                <w:b/>
                <w:color w:val="595959" w:themeColor="text1" w:themeTint="A6"/>
                <w:sz w:val="21"/>
                <w:szCs w:val="21"/>
                <w:lang w:val="en-US"/>
              </w:rPr>
              <w:t xml:space="preserve"> </w:t>
            </w:r>
            <w:r w:rsidRPr="00BF5BBC">
              <w:rPr>
                <w:rFonts w:asciiTheme="majorHAnsi" w:hAnsiTheme="majorHAnsi" w:cs="Arial"/>
                <w:b/>
                <w:color w:val="595959" w:themeColor="text1" w:themeTint="A6"/>
                <w:sz w:val="21"/>
                <w:szCs w:val="21"/>
                <w:lang w:val="en-US"/>
              </w:rPr>
              <w:t>to increase national, regional and global health security</w:t>
            </w:r>
            <w:r w:rsidRPr="00BF5BBC">
              <w:rPr>
                <w:rFonts w:asciiTheme="majorHAnsi" w:hAnsiTheme="majorHAnsi" w:cs="Arial"/>
                <w:color w:val="595959" w:themeColor="text1" w:themeTint="A6"/>
                <w:sz w:val="21"/>
                <w:szCs w:val="21"/>
                <w:lang w:val="en-US"/>
              </w:rPr>
              <w:t>”.</w:t>
            </w:r>
            <w:r w:rsidR="00B10D4C" w:rsidRPr="00BF5BBC">
              <w:rPr>
                <w:rFonts w:asciiTheme="majorHAnsi" w:hAnsiTheme="majorHAnsi" w:cs="Arial"/>
                <w:color w:val="595959" w:themeColor="text1" w:themeTint="A6"/>
                <w:sz w:val="21"/>
                <w:szCs w:val="21"/>
                <w:lang w:val="en-AU"/>
              </w:rPr>
              <w:t xml:space="preserve"> </w:t>
            </w:r>
          </w:p>
          <w:p w:rsidR="006A2478" w:rsidRPr="00BF5BBC" w:rsidRDefault="006A2478"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new partnership will focus on achieving the following objectives in support of this goal: </w:t>
            </w:r>
          </w:p>
          <w:p w:rsidR="00F959B9" w:rsidRPr="00F959B9" w:rsidRDefault="00F959B9" w:rsidP="00F959B9">
            <w:pPr>
              <w:pStyle w:val="ListParagraph"/>
              <w:numPr>
                <w:ilvl w:val="0"/>
                <w:numId w:val="22"/>
              </w:numPr>
              <w:rPr>
                <w:rFonts w:asciiTheme="majorHAnsi" w:hAnsiTheme="majorHAnsi" w:cs="Arial"/>
                <w:color w:val="595959" w:themeColor="text1" w:themeTint="A6"/>
                <w:sz w:val="21"/>
                <w:szCs w:val="21"/>
                <w:lang w:val="en-US"/>
              </w:rPr>
            </w:pPr>
            <w:r w:rsidRPr="00F959B9">
              <w:rPr>
                <w:rFonts w:asciiTheme="majorHAnsi" w:hAnsiTheme="majorHAnsi" w:cs="Arial"/>
                <w:color w:val="595959" w:themeColor="text1" w:themeTint="A6"/>
                <w:sz w:val="21"/>
                <w:szCs w:val="21"/>
                <w:lang w:val="en-US"/>
              </w:rPr>
              <w:t>Strengthened multi-stakeholder coordination and leadership at national and sub-national levels for health emergency preparedness and risk management</w:t>
            </w:r>
            <w:r w:rsidR="00BE2C20">
              <w:rPr>
                <w:rStyle w:val="FootnoteReference"/>
                <w:rFonts w:asciiTheme="majorHAnsi" w:hAnsiTheme="majorHAnsi" w:cs="Arial"/>
                <w:color w:val="595959" w:themeColor="text1" w:themeTint="A6"/>
                <w:sz w:val="21"/>
                <w:szCs w:val="21"/>
                <w:lang w:val="en-US"/>
              </w:rPr>
              <w:footnoteReference w:id="3"/>
            </w:r>
          </w:p>
          <w:p w:rsidR="00276AC2" w:rsidRDefault="00276AC2" w:rsidP="00BF5BBC">
            <w:pPr>
              <w:pStyle w:val="ListParagraph"/>
              <w:numPr>
                <w:ilvl w:val="0"/>
                <w:numId w:val="22"/>
              </w:numPr>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Indonesian government has stronger systems for </w:t>
            </w:r>
            <w:r w:rsidR="00C03701" w:rsidRPr="00BF5BBC">
              <w:rPr>
                <w:rFonts w:asciiTheme="majorHAnsi" w:hAnsiTheme="majorHAnsi" w:cs="Arial"/>
                <w:color w:val="595959" w:themeColor="text1" w:themeTint="A6"/>
                <w:sz w:val="21"/>
                <w:szCs w:val="21"/>
                <w:lang w:val="en-US"/>
              </w:rPr>
              <w:t>preparing for and responding</w:t>
            </w:r>
            <w:r w:rsidRPr="00BF5BBC">
              <w:rPr>
                <w:rFonts w:asciiTheme="majorHAnsi" w:hAnsiTheme="majorHAnsi" w:cs="Arial"/>
                <w:color w:val="595959" w:themeColor="text1" w:themeTint="A6"/>
                <w:sz w:val="21"/>
                <w:szCs w:val="21"/>
                <w:lang w:val="en-US"/>
              </w:rPr>
              <w:t xml:space="preserve"> to public health </w:t>
            </w:r>
            <w:r w:rsidR="00C03701" w:rsidRPr="00BF5BBC">
              <w:rPr>
                <w:rFonts w:asciiTheme="majorHAnsi" w:hAnsiTheme="majorHAnsi" w:cs="Arial"/>
                <w:color w:val="595959" w:themeColor="text1" w:themeTint="A6"/>
                <w:sz w:val="21"/>
                <w:szCs w:val="21"/>
                <w:lang w:val="en-US"/>
              </w:rPr>
              <w:t>and animal health emergencies</w:t>
            </w:r>
            <w:r w:rsidRPr="00BF5BBC">
              <w:rPr>
                <w:rFonts w:asciiTheme="majorHAnsi" w:hAnsiTheme="majorHAnsi" w:cs="Arial"/>
                <w:color w:val="595959" w:themeColor="text1" w:themeTint="A6"/>
                <w:sz w:val="21"/>
                <w:szCs w:val="21"/>
                <w:lang w:val="en-US"/>
              </w:rPr>
              <w:t xml:space="preserve"> </w:t>
            </w:r>
          </w:p>
          <w:p w:rsidR="00F959B9" w:rsidRPr="00F959B9" w:rsidRDefault="00F959B9" w:rsidP="00F959B9">
            <w:pPr>
              <w:pStyle w:val="ListParagraph"/>
              <w:numPr>
                <w:ilvl w:val="0"/>
                <w:numId w:val="22"/>
              </w:numPr>
              <w:rPr>
                <w:rFonts w:asciiTheme="majorHAnsi" w:hAnsiTheme="majorHAnsi" w:cs="Arial"/>
                <w:color w:val="595959" w:themeColor="text1" w:themeTint="A6"/>
                <w:sz w:val="21"/>
                <w:szCs w:val="21"/>
                <w:lang w:val="en-US"/>
              </w:rPr>
            </w:pPr>
            <w:r w:rsidRPr="00F959B9">
              <w:rPr>
                <w:rFonts w:asciiTheme="majorHAnsi" w:hAnsiTheme="majorHAnsi" w:cs="Arial"/>
                <w:color w:val="595959" w:themeColor="text1" w:themeTint="A6"/>
                <w:sz w:val="21"/>
                <w:szCs w:val="21"/>
                <w:lang w:val="en-US"/>
              </w:rPr>
              <w:t>The Indonesian government can innovate through operational research and piloting technologies and approaches to combat infectious diseases an</w:t>
            </w:r>
            <w:r>
              <w:rPr>
                <w:rFonts w:asciiTheme="majorHAnsi" w:hAnsiTheme="majorHAnsi" w:cs="Arial"/>
                <w:color w:val="595959" w:themeColor="text1" w:themeTint="A6"/>
                <w:sz w:val="21"/>
                <w:szCs w:val="21"/>
                <w:lang w:val="en-US"/>
              </w:rPr>
              <w:t>d strengthen health systems</w:t>
            </w:r>
          </w:p>
          <w:p w:rsidR="00276AC2" w:rsidRDefault="00C03701" w:rsidP="00BF5BBC">
            <w:pPr>
              <w:pStyle w:val="ListParagraph"/>
              <w:numPr>
                <w:ilvl w:val="0"/>
                <w:numId w:val="22"/>
              </w:numPr>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Indonesian government’s </w:t>
            </w:r>
            <w:r w:rsidR="00276AC2" w:rsidRPr="00BF5BBC">
              <w:rPr>
                <w:rFonts w:asciiTheme="majorHAnsi" w:hAnsiTheme="majorHAnsi" w:cs="Arial"/>
                <w:color w:val="595959" w:themeColor="text1" w:themeTint="A6"/>
                <w:sz w:val="21"/>
                <w:szCs w:val="21"/>
                <w:lang w:val="en-US"/>
              </w:rPr>
              <w:t xml:space="preserve">health surveillance </w:t>
            </w:r>
            <w:r w:rsidR="00A4075E" w:rsidRPr="00BF5BBC">
              <w:rPr>
                <w:rFonts w:asciiTheme="majorHAnsi" w:hAnsiTheme="majorHAnsi" w:cs="Arial"/>
                <w:color w:val="595959" w:themeColor="text1" w:themeTint="A6"/>
                <w:sz w:val="21"/>
                <w:szCs w:val="21"/>
                <w:lang w:val="en-US"/>
              </w:rPr>
              <w:t xml:space="preserve">and information </w:t>
            </w:r>
            <w:r w:rsidR="00276AC2" w:rsidRPr="00BF5BBC">
              <w:rPr>
                <w:rFonts w:asciiTheme="majorHAnsi" w:hAnsiTheme="majorHAnsi" w:cs="Arial"/>
                <w:color w:val="595959" w:themeColor="text1" w:themeTint="A6"/>
                <w:sz w:val="21"/>
                <w:szCs w:val="21"/>
                <w:lang w:val="en-US"/>
              </w:rPr>
              <w:t xml:space="preserve">systems </w:t>
            </w:r>
            <w:r w:rsidRPr="00BF5BBC">
              <w:rPr>
                <w:rFonts w:asciiTheme="majorHAnsi" w:hAnsiTheme="majorHAnsi" w:cs="Arial"/>
                <w:color w:val="595959" w:themeColor="text1" w:themeTint="A6"/>
                <w:sz w:val="21"/>
                <w:szCs w:val="21"/>
                <w:lang w:val="en-US"/>
              </w:rPr>
              <w:t>(</w:t>
            </w:r>
            <w:r w:rsidR="00A4075E" w:rsidRPr="00BF5BBC">
              <w:rPr>
                <w:rFonts w:asciiTheme="majorHAnsi" w:hAnsiTheme="majorHAnsi" w:cs="Arial"/>
                <w:color w:val="595959" w:themeColor="text1" w:themeTint="A6"/>
                <w:sz w:val="21"/>
                <w:szCs w:val="21"/>
                <w:lang w:val="en-US"/>
              </w:rPr>
              <w:t>including</w:t>
            </w:r>
            <w:r w:rsidRPr="00BF5BBC">
              <w:rPr>
                <w:rFonts w:asciiTheme="majorHAnsi" w:hAnsiTheme="majorHAnsi" w:cs="Arial"/>
                <w:color w:val="595959" w:themeColor="text1" w:themeTint="A6"/>
                <w:sz w:val="21"/>
                <w:szCs w:val="21"/>
                <w:lang w:val="en-US"/>
              </w:rPr>
              <w:t xml:space="preserve"> animal and human </w:t>
            </w:r>
            <w:r w:rsidR="00A4075E" w:rsidRPr="00BF5BBC">
              <w:rPr>
                <w:rFonts w:asciiTheme="majorHAnsi" w:hAnsiTheme="majorHAnsi" w:cs="Arial"/>
                <w:color w:val="595959" w:themeColor="text1" w:themeTint="A6"/>
                <w:sz w:val="21"/>
                <w:szCs w:val="21"/>
                <w:lang w:val="en-US"/>
              </w:rPr>
              <w:t>health</w:t>
            </w:r>
            <w:r w:rsidRPr="00BF5BBC">
              <w:rPr>
                <w:rFonts w:asciiTheme="majorHAnsi" w:hAnsiTheme="majorHAnsi" w:cs="Arial"/>
                <w:color w:val="595959" w:themeColor="text1" w:themeTint="A6"/>
                <w:sz w:val="21"/>
                <w:szCs w:val="21"/>
                <w:lang w:val="en-US"/>
              </w:rPr>
              <w:t xml:space="preserve">) </w:t>
            </w:r>
            <w:r w:rsidR="00276AC2" w:rsidRPr="00BF5BBC">
              <w:rPr>
                <w:rFonts w:asciiTheme="majorHAnsi" w:hAnsiTheme="majorHAnsi" w:cs="Arial"/>
                <w:color w:val="595959" w:themeColor="text1" w:themeTint="A6"/>
                <w:sz w:val="21"/>
                <w:szCs w:val="21"/>
                <w:lang w:val="en-US"/>
              </w:rPr>
              <w:t xml:space="preserve">are </w:t>
            </w:r>
            <w:r w:rsidR="006F64F3" w:rsidRPr="00BF5BBC">
              <w:rPr>
                <w:rFonts w:asciiTheme="majorHAnsi" w:hAnsiTheme="majorHAnsi" w:cs="Arial"/>
                <w:color w:val="595959" w:themeColor="text1" w:themeTint="A6"/>
                <w:sz w:val="21"/>
                <w:szCs w:val="21"/>
                <w:lang w:val="en-US"/>
              </w:rPr>
              <w:t xml:space="preserve">robust, responsive </w:t>
            </w:r>
            <w:r w:rsidRPr="00BF5BBC">
              <w:rPr>
                <w:rFonts w:asciiTheme="majorHAnsi" w:hAnsiTheme="majorHAnsi" w:cs="Arial"/>
                <w:color w:val="595959" w:themeColor="text1" w:themeTint="A6"/>
                <w:sz w:val="21"/>
                <w:szCs w:val="21"/>
                <w:lang w:val="en-US"/>
              </w:rPr>
              <w:t>and used effectively</w:t>
            </w:r>
            <w:r w:rsidR="006E73AF" w:rsidRPr="00BF5BBC">
              <w:rPr>
                <w:sz w:val="21"/>
                <w:szCs w:val="21"/>
              </w:rPr>
              <w:t xml:space="preserve"> </w:t>
            </w:r>
            <w:r w:rsidR="006F64F3" w:rsidRPr="00BF5BBC">
              <w:rPr>
                <w:rFonts w:asciiTheme="majorHAnsi" w:hAnsiTheme="majorHAnsi" w:cs="Arial"/>
                <w:color w:val="595959" w:themeColor="text1" w:themeTint="A6"/>
                <w:sz w:val="21"/>
                <w:szCs w:val="21"/>
                <w:lang w:val="en-US"/>
              </w:rPr>
              <w:t>at the local and national level</w:t>
            </w:r>
          </w:p>
          <w:p w:rsidR="00C6757C" w:rsidRPr="00BF5BBC" w:rsidRDefault="00C6757C" w:rsidP="00C6757C">
            <w:pPr>
              <w:pStyle w:val="ListParagraph"/>
              <w:numPr>
                <w:ilvl w:val="0"/>
                <w:numId w:val="22"/>
              </w:numPr>
              <w:rPr>
                <w:rFonts w:asciiTheme="majorHAnsi" w:hAnsiTheme="majorHAnsi" w:cs="Arial"/>
                <w:color w:val="595959" w:themeColor="text1" w:themeTint="A6"/>
                <w:sz w:val="21"/>
                <w:szCs w:val="21"/>
                <w:lang w:val="en-US"/>
              </w:rPr>
            </w:pPr>
            <w:r>
              <w:rPr>
                <w:rFonts w:asciiTheme="majorHAnsi" w:hAnsiTheme="majorHAnsi" w:cs="Arial"/>
                <w:color w:val="595959" w:themeColor="text1" w:themeTint="A6"/>
                <w:sz w:val="21"/>
                <w:szCs w:val="21"/>
                <w:lang w:val="en-US"/>
              </w:rPr>
              <w:t>P</w:t>
            </w:r>
            <w:r w:rsidRPr="00C6757C">
              <w:rPr>
                <w:rFonts w:asciiTheme="majorHAnsi" w:hAnsiTheme="majorHAnsi" w:cs="Arial"/>
                <w:color w:val="595959" w:themeColor="text1" w:themeTint="A6"/>
                <w:sz w:val="21"/>
                <w:szCs w:val="21"/>
                <w:lang w:val="en-US"/>
              </w:rPr>
              <w:t>artnerships between Australian and Indonesian institutions on health security issues</w:t>
            </w:r>
            <w:r>
              <w:rPr>
                <w:rFonts w:asciiTheme="majorHAnsi" w:hAnsiTheme="majorHAnsi" w:cs="Arial"/>
                <w:color w:val="595959" w:themeColor="text1" w:themeTint="A6"/>
                <w:sz w:val="21"/>
                <w:szCs w:val="21"/>
                <w:lang w:val="en-US"/>
              </w:rPr>
              <w:t xml:space="preserve"> are fostered and promoted.</w:t>
            </w:r>
          </w:p>
          <w:p w:rsidR="00AE58F5" w:rsidRPr="00BF5BBC" w:rsidRDefault="0028649B" w:rsidP="00BF5BBC">
            <w:pPr>
              <w:spacing w:line="240" w:lineRule="auto"/>
              <w:rPr>
                <w:rFonts w:asciiTheme="majorHAnsi" w:hAnsiTheme="majorHAnsi" w:cs="Arial"/>
                <w:color w:val="595959" w:themeColor="text1" w:themeTint="A6"/>
                <w:sz w:val="21"/>
                <w:szCs w:val="21"/>
                <w:lang w:val="en-AU"/>
              </w:rPr>
            </w:pPr>
            <w:r w:rsidRPr="0028649B">
              <w:rPr>
                <w:rFonts w:asciiTheme="majorHAnsi" w:hAnsiTheme="majorHAnsi" w:cs="Arial"/>
                <w:color w:val="595959" w:themeColor="text1" w:themeTint="A6"/>
                <w:sz w:val="21"/>
                <w:szCs w:val="21"/>
                <w:lang w:val="en-AU"/>
              </w:rPr>
              <w:t>The AIHSP will take the shape of a facility</w:t>
            </w:r>
            <w:r w:rsidR="00F8157F">
              <w:rPr>
                <w:rStyle w:val="FootnoteReference"/>
                <w:rFonts w:asciiTheme="majorHAnsi" w:hAnsiTheme="majorHAnsi" w:cs="Arial"/>
                <w:color w:val="595959" w:themeColor="text1" w:themeTint="A6"/>
                <w:sz w:val="21"/>
                <w:szCs w:val="21"/>
                <w:lang w:val="en-AU"/>
              </w:rPr>
              <w:footnoteReference w:id="4"/>
            </w:r>
            <w:r w:rsidRPr="0028649B">
              <w:rPr>
                <w:rFonts w:asciiTheme="majorHAnsi" w:hAnsiTheme="majorHAnsi" w:cs="Arial"/>
                <w:color w:val="595959" w:themeColor="text1" w:themeTint="A6"/>
                <w:sz w:val="21"/>
                <w:szCs w:val="21"/>
                <w:lang w:val="en-AU"/>
              </w:rPr>
              <w:t>, under which a range of activities will be supported to strengthen Indonesia’s ability to better manage its health security risks.</w:t>
            </w:r>
            <w:r>
              <w:rPr>
                <w:rFonts w:asciiTheme="majorHAnsi" w:hAnsiTheme="majorHAnsi" w:cs="Arial"/>
                <w:color w:val="595959" w:themeColor="text1" w:themeTint="A6"/>
                <w:sz w:val="21"/>
                <w:szCs w:val="21"/>
                <w:lang w:val="en-AU"/>
              </w:rPr>
              <w:t xml:space="preserve"> </w:t>
            </w:r>
            <w:r w:rsidR="00752984" w:rsidRPr="00BF5BBC">
              <w:rPr>
                <w:rFonts w:asciiTheme="majorHAnsi" w:hAnsiTheme="majorHAnsi" w:cs="Arial"/>
                <w:color w:val="595959" w:themeColor="text1" w:themeTint="A6"/>
                <w:sz w:val="21"/>
                <w:szCs w:val="21"/>
                <w:lang w:val="en-AU"/>
              </w:rPr>
              <w:t>All activities funded under the Australia Indonesia Health Security Partnership will contribute to one or more of these objectives. These objectives have been selected because the</w:t>
            </w:r>
            <w:r w:rsidR="003B787B" w:rsidRPr="00BF5BBC">
              <w:rPr>
                <w:rFonts w:asciiTheme="majorHAnsi" w:hAnsiTheme="majorHAnsi" w:cs="Arial"/>
                <w:color w:val="595959" w:themeColor="text1" w:themeTint="A6"/>
                <w:sz w:val="21"/>
                <w:szCs w:val="21"/>
                <w:lang w:val="en-AU"/>
              </w:rPr>
              <w:t xml:space="preserve">y </w:t>
            </w:r>
            <w:r w:rsidR="00752984" w:rsidRPr="00BF5BBC">
              <w:rPr>
                <w:rFonts w:asciiTheme="majorHAnsi" w:hAnsiTheme="majorHAnsi" w:cs="Arial"/>
                <w:color w:val="595959" w:themeColor="text1" w:themeTint="A6"/>
                <w:sz w:val="21"/>
                <w:szCs w:val="21"/>
              </w:rPr>
              <w:t>are</w:t>
            </w:r>
            <w:r w:rsidR="003B787B" w:rsidRPr="00BF5BBC">
              <w:rPr>
                <w:rFonts w:asciiTheme="majorHAnsi" w:hAnsiTheme="majorHAnsi" w:cs="Arial"/>
                <w:color w:val="595959" w:themeColor="text1" w:themeTint="A6"/>
                <w:sz w:val="21"/>
                <w:szCs w:val="21"/>
              </w:rPr>
              <w:t>;</w:t>
            </w:r>
            <w:r w:rsidR="00752984" w:rsidRPr="00BF5BBC">
              <w:rPr>
                <w:rFonts w:asciiTheme="majorHAnsi" w:hAnsiTheme="majorHAnsi" w:cs="Arial"/>
                <w:color w:val="595959" w:themeColor="text1" w:themeTint="A6"/>
                <w:sz w:val="21"/>
                <w:szCs w:val="21"/>
              </w:rPr>
              <w:t xml:space="preserve"> essential to achieving the overarching goal</w:t>
            </w:r>
            <w:r w:rsidR="003B787B" w:rsidRPr="00BF5BBC">
              <w:rPr>
                <w:rFonts w:asciiTheme="majorHAnsi" w:hAnsiTheme="majorHAnsi" w:cs="Arial"/>
                <w:color w:val="595959" w:themeColor="text1" w:themeTint="A6"/>
                <w:sz w:val="21"/>
                <w:szCs w:val="21"/>
              </w:rPr>
              <w:t xml:space="preserve">; </w:t>
            </w:r>
            <w:r w:rsidR="00752984" w:rsidRPr="00BF5BBC">
              <w:rPr>
                <w:rFonts w:asciiTheme="majorHAnsi" w:hAnsiTheme="majorHAnsi" w:cs="Arial"/>
                <w:color w:val="595959" w:themeColor="text1" w:themeTint="A6"/>
                <w:sz w:val="21"/>
                <w:szCs w:val="21"/>
              </w:rPr>
              <w:t>represent areas of mutual interest for Indonesia and Australia; and</w:t>
            </w:r>
            <w:r w:rsidR="003B787B" w:rsidRPr="00BF5BBC">
              <w:rPr>
                <w:rFonts w:asciiTheme="majorHAnsi" w:hAnsiTheme="majorHAnsi" w:cs="Arial"/>
                <w:color w:val="595959" w:themeColor="text1" w:themeTint="A6"/>
                <w:sz w:val="21"/>
                <w:szCs w:val="21"/>
                <w:lang w:val="en-AU"/>
              </w:rPr>
              <w:t xml:space="preserve"> </w:t>
            </w:r>
            <w:r w:rsidR="00752984" w:rsidRPr="00BF5BBC">
              <w:rPr>
                <w:rFonts w:asciiTheme="majorHAnsi" w:hAnsiTheme="majorHAnsi" w:cs="Arial"/>
                <w:color w:val="595959" w:themeColor="text1" w:themeTint="A6"/>
                <w:sz w:val="21"/>
                <w:szCs w:val="21"/>
              </w:rPr>
              <w:t xml:space="preserve">reflect the priority areas recommended through recent reviews/studies, including the </w:t>
            </w:r>
            <w:r w:rsidR="003B787B" w:rsidRPr="00BF5BBC">
              <w:rPr>
                <w:rFonts w:asciiTheme="majorHAnsi" w:hAnsiTheme="majorHAnsi" w:cs="Arial"/>
                <w:color w:val="595959" w:themeColor="text1" w:themeTint="A6"/>
                <w:sz w:val="21"/>
                <w:szCs w:val="21"/>
              </w:rPr>
              <w:t>AIPEID R</w:t>
            </w:r>
            <w:r w:rsidR="00752984" w:rsidRPr="00BF5BBC">
              <w:rPr>
                <w:rFonts w:asciiTheme="majorHAnsi" w:hAnsiTheme="majorHAnsi" w:cs="Arial"/>
                <w:color w:val="595959" w:themeColor="text1" w:themeTint="A6"/>
                <w:sz w:val="21"/>
                <w:szCs w:val="21"/>
              </w:rPr>
              <w:t>eview</w:t>
            </w:r>
            <w:r w:rsidR="003B787B" w:rsidRPr="00BF5BBC">
              <w:rPr>
                <w:rFonts w:asciiTheme="majorHAnsi" w:hAnsiTheme="majorHAnsi" w:cs="Arial"/>
                <w:color w:val="595959" w:themeColor="text1" w:themeTint="A6"/>
                <w:sz w:val="21"/>
                <w:szCs w:val="21"/>
              </w:rPr>
              <w:t xml:space="preserve"> (Jun 2017)</w:t>
            </w:r>
            <w:r w:rsidR="00A0465C" w:rsidRPr="00BF5BBC">
              <w:rPr>
                <w:rFonts w:asciiTheme="majorHAnsi" w:hAnsiTheme="majorHAnsi" w:cs="Arial"/>
                <w:color w:val="595959" w:themeColor="text1" w:themeTint="A6"/>
                <w:sz w:val="21"/>
                <w:szCs w:val="21"/>
              </w:rPr>
              <w:t>,</w:t>
            </w:r>
            <w:r w:rsidR="00B53510" w:rsidRPr="00BF5BBC">
              <w:rPr>
                <w:rFonts w:asciiTheme="majorHAnsi" w:hAnsiTheme="majorHAnsi" w:cs="Arial"/>
                <w:color w:val="595959" w:themeColor="text1" w:themeTint="A6"/>
                <w:sz w:val="21"/>
                <w:szCs w:val="21"/>
              </w:rPr>
              <w:t xml:space="preserve"> the ODE evaluation</w:t>
            </w:r>
            <w:r w:rsidR="003B787B" w:rsidRPr="00BF5BBC">
              <w:rPr>
                <w:rFonts w:asciiTheme="majorHAnsi" w:hAnsiTheme="majorHAnsi" w:cs="Arial"/>
                <w:color w:val="595959" w:themeColor="text1" w:themeTint="A6"/>
                <w:sz w:val="21"/>
                <w:szCs w:val="21"/>
              </w:rPr>
              <w:t xml:space="preserve"> of Australia’s p</w:t>
            </w:r>
            <w:r w:rsidR="006E101A" w:rsidRPr="00BF5BBC">
              <w:rPr>
                <w:rFonts w:asciiTheme="majorHAnsi" w:hAnsiTheme="majorHAnsi" w:cs="Arial"/>
                <w:color w:val="595959" w:themeColor="text1" w:themeTint="A6"/>
                <w:sz w:val="21"/>
                <w:szCs w:val="21"/>
              </w:rPr>
              <w:t>andemic and EID support (Aug 2017)</w:t>
            </w:r>
            <w:r w:rsidR="00B53510" w:rsidRPr="00BF5BBC">
              <w:rPr>
                <w:rFonts w:asciiTheme="majorHAnsi" w:hAnsiTheme="majorHAnsi" w:cs="Arial"/>
                <w:color w:val="595959" w:themeColor="text1" w:themeTint="A6"/>
                <w:sz w:val="21"/>
                <w:szCs w:val="21"/>
              </w:rPr>
              <w:t xml:space="preserve">, </w:t>
            </w:r>
            <w:r w:rsidR="00BA3F56">
              <w:rPr>
                <w:rFonts w:asciiTheme="majorHAnsi" w:hAnsiTheme="majorHAnsi" w:cs="Arial"/>
                <w:color w:val="595959" w:themeColor="text1" w:themeTint="A6"/>
                <w:sz w:val="21"/>
                <w:szCs w:val="21"/>
              </w:rPr>
              <w:t xml:space="preserve">the OIE PVS, </w:t>
            </w:r>
            <w:r w:rsidR="00B53510" w:rsidRPr="00BF5BBC">
              <w:rPr>
                <w:rFonts w:asciiTheme="majorHAnsi" w:hAnsiTheme="majorHAnsi" w:cs="Arial"/>
                <w:color w:val="595959" w:themeColor="text1" w:themeTint="A6"/>
                <w:sz w:val="21"/>
                <w:szCs w:val="21"/>
              </w:rPr>
              <w:t>and the JEE</w:t>
            </w:r>
            <w:r w:rsidR="006E101A" w:rsidRPr="00BF5BBC">
              <w:rPr>
                <w:rFonts w:asciiTheme="majorHAnsi" w:hAnsiTheme="majorHAnsi" w:cs="Arial"/>
                <w:color w:val="595959" w:themeColor="text1" w:themeTint="A6"/>
                <w:sz w:val="21"/>
                <w:szCs w:val="21"/>
              </w:rPr>
              <w:t xml:space="preserve"> (Nov 2017)</w:t>
            </w:r>
            <w:r w:rsidR="00B53510" w:rsidRPr="00BF5BBC">
              <w:rPr>
                <w:rFonts w:asciiTheme="majorHAnsi" w:hAnsiTheme="majorHAnsi" w:cs="Arial"/>
                <w:color w:val="595959" w:themeColor="text1" w:themeTint="A6"/>
                <w:sz w:val="21"/>
                <w:szCs w:val="21"/>
              </w:rPr>
              <w:t>.</w:t>
            </w:r>
            <w:r w:rsidR="00752984" w:rsidRPr="00BF5BBC">
              <w:rPr>
                <w:rFonts w:asciiTheme="majorHAnsi" w:hAnsiTheme="majorHAnsi" w:cs="Arial"/>
                <w:color w:val="595959" w:themeColor="text1" w:themeTint="A6"/>
                <w:sz w:val="21"/>
                <w:szCs w:val="21"/>
              </w:rPr>
              <w:t xml:space="preserve"> </w:t>
            </w:r>
          </w:p>
          <w:p w:rsidR="00186C2B" w:rsidRPr="00BF5BBC" w:rsidRDefault="003741F2"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Specific activities under the new program will be identified on a yearly/biannual basis by the facility’s Program Coordinating Committee (PCC) consisting of senior Government of Indonesia representatives and senior representation from DFAT and other Australian Government agencies (DAWR and the Department of Health).</w:t>
            </w:r>
            <w:r w:rsidR="00145686" w:rsidRPr="00BF5BBC">
              <w:rPr>
                <w:rFonts w:ascii="Calibri" w:hAnsi="Calibri"/>
                <w:color w:val="595959" w:themeColor="text1" w:themeTint="A6"/>
                <w:sz w:val="21"/>
                <w:szCs w:val="21"/>
              </w:rPr>
              <w:t xml:space="preserve"> S</w:t>
            </w:r>
            <w:r w:rsidR="00AE58F5" w:rsidRPr="00BF5BBC">
              <w:rPr>
                <w:rFonts w:ascii="Calibri" w:hAnsi="Calibri"/>
                <w:color w:val="595959" w:themeColor="text1" w:themeTint="A6"/>
                <w:sz w:val="21"/>
                <w:szCs w:val="21"/>
              </w:rPr>
              <w:t>takeholders (both GOI and GOA) have already identified</w:t>
            </w:r>
            <w:r w:rsidR="00186C2B" w:rsidRPr="00BF5BBC">
              <w:rPr>
                <w:rFonts w:ascii="Calibri" w:hAnsi="Calibri"/>
                <w:color w:val="595959" w:themeColor="text1" w:themeTint="A6"/>
                <w:sz w:val="21"/>
                <w:szCs w:val="21"/>
              </w:rPr>
              <w:t xml:space="preserve"> a number of </w:t>
            </w:r>
            <w:r w:rsidR="005B1A53" w:rsidRPr="00BF5BBC">
              <w:rPr>
                <w:rFonts w:ascii="Calibri" w:hAnsi="Calibri"/>
                <w:color w:val="595959" w:themeColor="text1" w:themeTint="A6"/>
                <w:sz w:val="21"/>
                <w:szCs w:val="21"/>
              </w:rPr>
              <w:t xml:space="preserve">focus areas </w:t>
            </w:r>
            <w:r w:rsidR="00186C2B" w:rsidRPr="00BF5BBC">
              <w:rPr>
                <w:rFonts w:ascii="Calibri" w:hAnsi="Calibri"/>
                <w:color w:val="595959" w:themeColor="text1" w:themeTint="A6"/>
                <w:sz w:val="21"/>
                <w:szCs w:val="21"/>
              </w:rPr>
              <w:t>deemed a priority for investment during AIPEID Review consultations:</w:t>
            </w:r>
          </w:p>
          <w:tbl>
            <w:tblPr>
              <w:tblStyle w:val="TableGrid"/>
              <w:tblW w:w="0" w:type="auto"/>
              <w:tblLook w:val="04A0" w:firstRow="1" w:lastRow="0" w:firstColumn="1" w:lastColumn="0" w:noHBand="0" w:noVBand="1"/>
            </w:tblPr>
            <w:tblGrid>
              <w:gridCol w:w="335"/>
              <w:gridCol w:w="9040"/>
            </w:tblGrid>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1</w:t>
                  </w:r>
                </w:p>
              </w:tc>
              <w:tc>
                <w:tcPr>
                  <w:tcW w:w="9040" w:type="dxa"/>
                </w:tcPr>
                <w:p w:rsidR="00186C2B" w:rsidRPr="00BF5BBC" w:rsidRDefault="00186C2B" w:rsidP="00470218">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further develop Indonesia’s early detection and response information systems (EWARS and iSIKHNAS) and improv</w:t>
                  </w:r>
                  <w:r w:rsidR="00145686" w:rsidRPr="00BF5BBC">
                    <w:rPr>
                      <w:rFonts w:ascii="Calibri" w:hAnsi="Calibri"/>
                      <w:color w:val="595959" w:themeColor="text1" w:themeTint="A6"/>
                      <w:sz w:val="21"/>
                      <w:szCs w:val="21"/>
                    </w:rPr>
                    <w:t>e</w:t>
                  </w:r>
                  <w:r w:rsidRPr="00BF5BBC">
                    <w:rPr>
                      <w:rFonts w:ascii="Calibri" w:hAnsi="Calibri"/>
                      <w:color w:val="595959" w:themeColor="text1" w:themeTint="A6"/>
                      <w:sz w:val="21"/>
                      <w:szCs w:val="21"/>
                    </w:rPr>
                    <w:t xml:space="preserve"> the linkages of these human and animal health information systems (through SIZE)</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2</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increase awareness of EWARS and iSIKHNAS systems at the subnational level and the importance of reporting, including strategies to institutionalise community engagement approaches</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3</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strengthen the use of data from surveillance systems to better improve planning and response</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4</w:t>
                  </w:r>
                </w:p>
              </w:tc>
              <w:tc>
                <w:tcPr>
                  <w:tcW w:w="9040" w:type="dxa"/>
                </w:tcPr>
                <w:p w:rsidR="00186C2B" w:rsidRPr="00BF5BBC" w:rsidRDefault="00B84DA6"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w:t>
                  </w:r>
                  <w:r w:rsidR="005B1A53" w:rsidRPr="00BF5BBC">
                    <w:rPr>
                      <w:rFonts w:ascii="Calibri" w:hAnsi="Calibri"/>
                      <w:color w:val="595959" w:themeColor="text1" w:themeTint="A6"/>
                      <w:sz w:val="21"/>
                      <w:szCs w:val="21"/>
                    </w:rPr>
                    <w:t>trengthen</w:t>
                  </w:r>
                  <w:r w:rsidRPr="00BF5BBC">
                    <w:rPr>
                      <w:rFonts w:ascii="Calibri" w:hAnsi="Calibri"/>
                      <w:color w:val="595959" w:themeColor="text1" w:themeTint="A6"/>
                      <w:sz w:val="21"/>
                      <w:szCs w:val="21"/>
                    </w:rPr>
                    <w:t xml:space="preserve"> </w:t>
                  </w:r>
                  <w:r w:rsidR="005B1A53" w:rsidRPr="00BF5BBC">
                    <w:rPr>
                      <w:rFonts w:ascii="Calibri" w:hAnsi="Calibri"/>
                      <w:color w:val="595959" w:themeColor="text1" w:themeTint="A6"/>
                      <w:sz w:val="21"/>
                      <w:szCs w:val="21"/>
                    </w:rPr>
                    <w:t>Indonesia’s veterinary lab information system</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5</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support collaborative research and studies into interventions to reduce the risk of occurrence, spread or harm from infectious diseases; including research into diagnostics or treatment options</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6</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Capacity building activities, including through short term training, at the central and subnational level</w:t>
                  </w:r>
                  <w:r w:rsidR="00B84DA6" w:rsidRPr="00BF5BBC">
                    <w:rPr>
                      <w:rFonts w:ascii="Calibri" w:hAnsi="Calibri"/>
                      <w:color w:val="595959" w:themeColor="text1" w:themeTint="A6"/>
                      <w:sz w:val="21"/>
                      <w:szCs w:val="21"/>
                    </w:rPr>
                    <w:t xml:space="preserve"> such as economics training to help Government make more informed policy decisions</w:t>
                  </w:r>
                  <w:r w:rsidR="00855443">
                    <w:rPr>
                      <w:rStyle w:val="FootnoteReference"/>
                      <w:rFonts w:ascii="Calibri" w:hAnsi="Calibri"/>
                      <w:color w:val="595959" w:themeColor="text1" w:themeTint="A6"/>
                      <w:sz w:val="21"/>
                      <w:szCs w:val="21"/>
                    </w:rPr>
                    <w:footnoteReference w:id="5"/>
                  </w:r>
                  <w:r w:rsidR="00B84DA6" w:rsidRPr="00BF5BBC">
                    <w:rPr>
                      <w:rFonts w:ascii="Calibri" w:hAnsi="Calibri"/>
                      <w:color w:val="595959" w:themeColor="text1" w:themeTint="A6"/>
                      <w:sz w:val="21"/>
                      <w:szCs w:val="21"/>
                    </w:rPr>
                    <w:t>.</w:t>
                  </w:r>
                </w:p>
              </w:tc>
            </w:tr>
            <w:tr w:rsidR="00147F15" w:rsidRPr="00A30570" w:rsidTr="00BF5BBC">
              <w:tc>
                <w:tcPr>
                  <w:tcW w:w="335" w:type="dxa"/>
                </w:tcPr>
                <w:p w:rsidR="00147F15" w:rsidRPr="00BF5BBC" w:rsidRDefault="00147F15" w:rsidP="00BF5BBC">
                  <w:pPr>
                    <w:spacing w:line="240" w:lineRule="auto"/>
                    <w:jc w:val="center"/>
                    <w:rPr>
                      <w:rFonts w:ascii="Calibri" w:hAnsi="Calibri"/>
                      <w:color w:val="595959" w:themeColor="text1" w:themeTint="A6"/>
                      <w:sz w:val="21"/>
                      <w:szCs w:val="21"/>
                    </w:rPr>
                  </w:pPr>
                  <w:r>
                    <w:rPr>
                      <w:rFonts w:ascii="Calibri" w:hAnsi="Calibri"/>
                      <w:color w:val="595959" w:themeColor="text1" w:themeTint="A6"/>
                      <w:sz w:val="21"/>
                      <w:szCs w:val="21"/>
                    </w:rPr>
                    <w:t>7</w:t>
                  </w:r>
                </w:p>
              </w:tc>
              <w:tc>
                <w:tcPr>
                  <w:tcW w:w="9040" w:type="dxa"/>
                </w:tcPr>
                <w:p w:rsidR="00147F15" w:rsidRPr="00BF5BBC" w:rsidRDefault="00147F15" w:rsidP="00147F15">
                  <w:pPr>
                    <w:spacing w:line="240" w:lineRule="auto"/>
                    <w:rPr>
                      <w:rFonts w:ascii="Calibri" w:hAnsi="Calibri"/>
                      <w:color w:val="595959" w:themeColor="text1" w:themeTint="A6"/>
                      <w:sz w:val="21"/>
                      <w:szCs w:val="21"/>
                    </w:rPr>
                  </w:pPr>
                  <w:r>
                    <w:rPr>
                      <w:rFonts w:ascii="Calibri" w:hAnsi="Calibri"/>
                      <w:color w:val="595959" w:themeColor="text1" w:themeTint="A6"/>
                      <w:sz w:val="21"/>
                      <w:szCs w:val="21"/>
                    </w:rPr>
                    <w:t xml:space="preserve">Testing and piloting new technologies and approaches for disease control at the national and subnational level </w:t>
                  </w:r>
                </w:p>
              </w:tc>
            </w:tr>
          </w:tbl>
          <w:p w:rsidR="004C10EA" w:rsidRPr="00BF5BBC" w:rsidRDefault="009845E8"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There will be scope under the new program to address </w:t>
            </w:r>
            <w:r w:rsidR="00B7735D">
              <w:rPr>
                <w:rFonts w:asciiTheme="majorHAnsi" w:hAnsiTheme="majorHAnsi" w:cs="Arial"/>
                <w:color w:val="595959" w:themeColor="text1" w:themeTint="A6"/>
                <w:sz w:val="21"/>
                <w:szCs w:val="21"/>
                <w:lang w:val="en-AU"/>
              </w:rPr>
              <w:t xml:space="preserve">priority </w:t>
            </w:r>
            <w:r w:rsidRPr="00BF5BBC">
              <w:rPr>
                <w:rFonts w:asciiTheme="majorHAnsi" w:hAnsiTheme="majorHAnsi" w:cs="Arial"/>
                <w:color w:val="595959" w:themeColor="text1" w:themeTint="A6"/>
                <w:sz w:val="21"/>
                <w:szCs w:val="21"/>
                <w:lang w:val="en-AU"/>
              </w:rPr>
              <w:t xml:space="preserve">health security areas beyond emerging infectious diseases, such as multi-drug-resistant tuberculosis, antimicrobial resistance, vector borne diseases (malaria, dengue), </w:t>
            </w:r>
            <w:r w:rsidR="00C6757C">
              <w:rPr>
                <w:rFonts w:asciiTheme="majorHAnsi" w:hAnsiTheme="majorHAnsi" w:cs="Arial"/>
                <w:color w:val="595959" w:themeColor="text1" w:themeTint="A6"/>
                <w:sz w:val="21"/>
                <w:szCs w:val="21"/>
                <w:lang w:val="en-AU"/>
              </w:rPr>
              <w:t xml:space="preserve">HIV, </w:t>
            </w:r>
            <w:r w:rsidRPr="00BF5BBC">
              <w:rPr>
                <w:rFonts w:asciiTheme="majorHAnsi" w:hAnsiTheme="majorHAnsi" w:cs="Arial"/>
                <w:color w:val="595959" w:themeColor="text1" w:themeTint="A6"/>
                <w:sz w:val="21"/>
                <w:szCs w:val="21"/>
                <w:lang w:val="en-AU"/>
              </w:rPr>
              <w:t xml:space="preserve">and foot and mouth disease. </w:t>
            </w:r>
          </w:p>
          <w:p w:rsidR="00BE07BD" w:rsidRPr="00BF5BBC" w:rsidRDefault="003B787B"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G</w:t>
            </w:r>
            <w:r w:rsidR="006E101A" w:rsidRPr="00BF5BBC">
              <w:rPr>
                <w:rFonts w:asciiTheme="majorHAnsi" w:hAnsiTheme="majorHAnsi" w:cs="Arial"/>
                <w:color w:val="595959" w:themeColor="text1" w:themeTint="A6"/>
                <w:sz w:val="21"/>
                <w:szCs w:val="21"/>
                <w:lang w:val="en-AU"/>
              </w:rPr>
              <w:t>ender is a key factor in EID exposure and vulnerability, g</w:t>
            </w:r>
            <w:r w:rsidRPr="00BF5BBC">
              <w:rPr>
                <w:rFonts w:asciiTheme="majorHAnsi" w:hAnsiTheme="majorHAnsi" w:cs="Arial"/>
                <w:color w:val="595959" w:themeColor="text1" w:themeTint="A6"/>
                <w:sz w:val="21"/>
                <w:szCs w:val="21"/>
                <w:lang w:val="en-AU"/>
              </w:rPr>
              <w:t xml:space="preserve">iven the role of women in small-scale </w:t>
            </w:r>
            <w:r w:rsidR="006E101A" w:rsidRPr="00BF5BBC">
              <w:rPr>
                <w:rFonts w:asciiTheme="majorHAnsi" w:hAnsiTheme="majorHAnsi" w:cs="Arial"/>
                <w:color w:val="595959" w:themeColor="text1" w:themeTint="A6"/>
                <w:sz w:val="21"/>
                <w:szCs w:val="21"/>
                <w:lang w:val="en-AU"/>
              </w:rPr>
              <w:t xml:space="preserve">poultry farming, </w:t>
            </w:r>
            <w:r w:rsidR="00C968F0" w:rsidRPr="00BF5BBC">
              <w:rPr>
                <w:rFonts w:asciiTheme="majorHAnsi" w:hAnsiTheme="majorHAnsi" w:cs="Arial"/>
                <w:color w:val="595959" w:themeColor="text1" w:themeTint="A6"/>
                <w:sz w:val="21"/>
                <w:szCs w:val="21"/>
                <w:lang w:val="en-AU"/>
              </w:rPr>
              <w:t xml:space="preserve">the health workforce, </w:t>
            </w:r>
            <w:r w:rsidRPr="00BF5BBC">
              <w:rPr>
                <w:rFonts w:asciiTheme="majorHAnsi" w:hAnsiTheme="majorHAnsi" w:cs="Arial"/>
                <w:color w:val="595959" w:themeColor="text1" w:themeTint="A6"/>
                <w:sz w:val="21"/>
                <w:szCs w:val="21"/>
                <w:lang w:val="en-AU"/>
              </w:rPr>
              <w:t>protecting the health of their</w:t>
            </w:r>
            <w:r w:rsidR="006E101A"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families</w:t>
            </w:r>
            <w:r w:rsidR="00C968F0" w:rsidRPr="00BF5BBC">
              <w:rPr>
                <w:rFonts w:asciiTheme="majorHAnsi" w:hAnsiTheme="majorHAnsi" w:cs="Arial"/>
                <w:color w:val="595959" w:themeColor="text1" w:themeTint="A6"/>
                <w:sz w:val="21"/>
                <w:szCs w:val="21"/>
                <w:lang w:val="en-AU"/>
              </w:rPr>
              <w:t>, and food preparation</w:t>
            </w:r>
            <w:r w:rsidR="006E101A"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 xml:space="preserve">Gender will be a </w:t>
            </w:r>
            <w:r w:rsidR="00C1189E" w:rsidRPr="00BF5BBC">
              <w:rPr>
                <w:rFonts w:asciiTheme="majorHAnsi" w:hAnsiTheme="majorHAnsi" w:cs="Arial"/>
                <w:color w:val="595959" w:themeColor="text1" w:themeTint="A6"/>
                <w:sz w:val="21"/>
                <w:szCs w:val="21"/>
                <w:lang w:val="en-AU"/>
              </w:rPr>
              <w:t xml:space="preserve">taken into </w:t>
            </w:r>
            <w:r w:rsidRPr="00BF5BBC">
              <w:rPr>
                <w:rFonts w:asciiTheme="majorHAnsi" w:hAnsiTheme="majorHAnsi" w:cs="Arial"/>
                <w:color w:val="595959" w:themeColor="text1" w:themeTint="A6"/>
                <w:sz w:val="21"/>
                <w:szCs w:val="21"/>
                <w:lang w:val="en-AU"/>
              </w:rPr>
              <w:t>cons</w:t>
            </w:r>
            <w:r w:rsidR="006E101A" w:rsidRPr="00BF5BBC">
              <w:rPr>
                <w:rFonts w:asciiTheme="majorHAnsi" w:hAnsiTheme="majorHAnsi" w:cs="Arial"/>
                <w:color w:val="595959" w:themeColor="text1" w:themeTint="A6"/>
                <w:sz w:val="21"/>
                <w:szCs w:val="21"/>
                <w:lang w:val="en-AU"/>
              </w:rPr>
              <w:t>ideration in developing activities</w:t>
            </w:r>
            <w:r w:rsidRPr="00BF5BBC">
              <w:rPr>
                <w:rFonts w:asciiTheme="majorHAnsi" w:hAnsiTheme="majorHAnsi" w:cs="Arial"/>
                <w:color w:val="595959" w:themeColor="text1" w:themeTint="A6"/>
                <w:sz w:val="21"/>
                <w:szCs w:val="21"/>
                <w:lang w:val="en-AU"/>
              </w:rPr>
              <w:t xml:space="preserve"> </w:t>
            </w:r>
            <w:r w:rsidR="00F43F61" w:rsidRPr="00BF5BBC">
              <w:rPr>
                <w:rFonts w:asciiTheme="majorHAnsi" w:hAnsiTheme="majorHAnsi" w:cs="Arial"/>
                <w:color w:val="595959" w:themeColor="text1" w:themeTint="A6"/>
                <w:sz w:val="21"/>
                <w:szCs w:val="21"/>
                <w:lang w:val="en-AU"/>
              </w:rPr>
              <w:t xml:space="preserve">under the facility; gender outcomes and monitoring indicators will </w:t>
            </w:r>
            <w:r w:rsidR="003D7FCC" w:rsidRPr="00BF5BBC">
              <w:rPr>
                <w:rFonts w:asciiTheme="majorHAnsi" w:hAnsiTheme="majorHAnsi" w:cs="Arial"/>
                <w:color w:val="595959" w:themeColor="text1" w:themeTint="A6"/>
                <w:sz w:val="21"/>
                <w:szCs w:val="21"/>
                <w:lang w:val="en-AU"/>
              </w:rPr>
              <w:t>form</w:t>
            </w:r>
            <w:r w:rsidR="00F43F61" w:rsidRPr="00BF5BBC">
              <w:rPr>
                <w:rFonts w:asciiTheme="majorHAnsi" w:hAnsiTheme="majorHAnsi" w:cs="Arial"/>
                <w:color w:val="595959" w:themeColor="text1" w:themeTint="A6"/>
                <w:sz w:val="21"/>
                <w:szCs w:val="21"/>
                <w:lang w:val="en-AU"/>
              </w:rPr>
              <w:t xml:space="preserve"> part of the facility’s M&amp;E framework.</w:t>
            </w:r>
          </w:p>
          <w:p w:rsidR="007C1611" w:rsidRPr="00BF5BBC" w:rsidRDefault="007C1611" w:rsidP="00BF5BBC">
            <w:pPr>
              <w:spacing w:line="240" w:lineRule="auto"/>
              <w:rPr>
                <w:rFonts w:ascii="Calibri" w:hAnsi="Calibri"/>
                <w:color w:val="595959" w:themeColor="text1" w:themeTint="A6"/>
                <w:sz w:val="21"/>
                <w:szCs w:val="21"/>
                <w:u w:val="single"/>
              </w:rPr>
            </w:pPr>
            <w:r w:rsidRPr="00BF5BBC">
              <w:rPr>
                <w:rFonts w:ascii="Calibri" w:hAnsi="Calibri"/>
                <w:color w:val="595959" w:themeColor="text1" w:themeTint="A6"/>
                <w:sz w:val="21"/>
                <w:szCs w:val="21"/>
                <w:u w:val="single"/>
              </w:rPr>
              <w:t>Links to the Indo Pacific Health Security Initiative</w:t>
            </w:r>
          </w:p>
          <w:p w:rsidR="00923103" w:rsidRPr="00BF5BBC" w:rsidRDefault="00EE0443" w:rsidP="00A72CFB">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Given the complementary nature of DFAT’s bilateral and the</w:t>
            </w:r>
            <w:r w:rsidR="006C7D50">
              <w:rPr>
                <w:rFonts w:asciiTheme="majorHAnsi" w:hAnsiTheme="majorHAnsi" w:cs="Arial"/>
                <w:color w:val="595959" w:themeColor="text1" w:themeTint="A6"/>
                <w:sz w:val="21"/>
                <w:szCs w:val="21"/>
                <w:lang w:val="en-AU"/>
              </w:rPr>
              <w:t xml:space="preserve"> Centre for </w:t>
            </w:r>
            <w:r w:rsidRPr="00BF5BBC">
              <w:rPr>
                <w:rFonts w:asciiTheme="majorHAnsi" w:hAnsiTheme="majorHAnsi" w:cs="Arial"/>
                <w:color w:val="595959" w:themeColor="text1" w:themeTint="A6"/>
                <w:sz w:val="21"/>
                <w:szCs w:val="21"/>
                <w:lang w:val="en-AU"/>
              </w:rPr>
              <w:t xml:space="preserve">Health Security investments and the common set of stakeholders in-country, Post and CHS have agreed to undertake a synchronised consultation and design process.  </w:t>
            </w:r>
            <w:r w:rsidR="002F6709">
              <w:rPr>
                <w:rFonts w:asciiTheme="majorHAnsi" w:hAnsiTheme="majorHAnsi" w:cs="Arial"/>
                <w:color w:val="595959" w:themeColor="text1" w:themeTint="A6"/>
                <w:sz w:val="21"/>
                <w:szCs w:val="21"/>
                <w:lang w:val="en-AU"/>
              </w:rPr>
              <w:t>T</w:t>
            </w:r>
            <w:r w:rsidRPr="00BF5BBC">
              <w:rPr>
                <w:rFonts w:asciiTheme="majorHAnsi" w:hAnsiTheme="majorHAnsi" w:cs="Arial"/>
                <w:color w:val="595959" w:themeColor="text1" w:themeTint="A6"/>
                <w:sz w:val="21"/>
                <w:szCs w:val="21"/>
                <w:lang w:val="en-AU"/>
              </w:rPr>
              <w:t xml:space="preserve">he CHS’ scoping missions </w:t>
            </w:r>
            <w:r w:rsidR="002F6709" w:rsidRPr="002F6709">
              <w:rPr>
                <w:rFonts w:asciiTheme="majorHAnsi" w:hAnsiTheme="majorHAnsi" w:cs="Arial"/>
                <w:color w:val="595959" w:themeColor="text1" w:themeTint="A6"/>
                <w:sz w:val="21"/>
                <w:szCs w:val="21"/>
                <w:lang w:val="en-AU"/>
              </w:rPr>
              <w:t xml:space="preserve">will identify priorities at the regional and bilateral levels. CHS anticipates that Australia will support regional activities with benefits to Indonesia. These will likely be delivered through regional and multilateral partners, and include activities such as laboratory strengthening, community based surveillance and AMR surveillance systems. CHS will also support some bilateral activities whose benefits could potentially be amplified regionally, such as improvements to animal diseases surveillance and information systems. </w:t>
            </w:r>
            <w:r w:rsidRPr="00BF5BBC">
              <w:rPr>
                <w:rFonts w:asciiTheme="majorHAnsi" w:hAnsiTheme="majorHAnsi" w:cs="Arial"/>
                <w:color w:val="595959" w:themeColor="text1" w:themeTint="A6"/>
                <w:sz w:val="21"/>
                <w:szCs w:val="21"/>
                <w:lang w:val="en-AU"/>
              </w:rPr>
              <w:t>DFAT already has a strong foundation to build on in Indonesia, with its long-standing bilateral health security program, the forward-looking EID review finalised in June 2017 and the recent JEE. The CHS scoping mission to Indonesia</w:t>
            </w:r>
            <w:r w:rsidR="00791A06" w:rsidRPr="00BF5BBC">
              <w:rPr>
                <w:rFonts w:asciiTheme="majorHAnsi" w:hAnsiTheme="majorHAnsi" w:cs="Arial"/>
                <w:color w:val="595959" w:themeColor="text1" w:themeTint="A6"/>
                <w:sz w:val="21"/>
                <w:szCs w:val="21"/>
                <w:lang w:val="en-AU"/>
              </w:rPr>
              <w:t>, led by David Heymann (Head, Centre of Global Health Security at Chatham House)</w:t>
            </w:r>
            <w:r w:rsidRPr="00BF5BBC">
              <w:rPr>
                <w:rFonts w:asciiTheme="majorHAnsi" w:hAnsiTheme="majorHAnsi" w:cs="Arial"/>
                <w:color w:val="595959" w:themeColor="text1" w:themeTint="A6"/>
                <w:sz w:val="21"/>
                <w:szCs w:val="21"/>
                <w:lang w:val="en-AU"/>
              </w:rPr>
              <w:t xml:space="preserve">, </w:t>
            </w:r>
            <w:r w:rsidR="00791A06" w:rsidRPr="00BF5BBC">
              <w:rPr>
                <w:rFonts w:asciiTheme="majorHAnsi" w:hAnsiTheme="majorHAnsi" w:cs="Arial"/>
                <w:color w:val="595959" w:themeColor="text1" w:themeTint="A6"/>
                <w:sz w:val="21"/>
                <w:szCs w:val="21"/>
                <w:lang w:val="en-AU"/>
              </w:rPr>
              <w:t xml:space="preserve">is </w:t>
            </w:r>
            <w:r w:rsidRPr="00BF5BBC">
              <w:rPr>
                <w:rFonts w:asciiTheme="majorHAnsi" w:hAnsiTheme="majorHAnsi" w:cs="Arial"/>
                <w:color w:val="595959" w:themeColor="text1" w:themeTint="A6"/>
                <w:sz w:val="21"/>
                <w:szCs w:val="21"/>
                <w:lang w:val="en-AU"/>
              </w:rPr>
              <w:t>confirmed for 18-20 April 2018</w:t>
            </w:r>
            <w:r w:rsidR="00791A06" w:rsidRPr="00BF5BBC">
              <w:rPr>
                <w:rFonts w:asciiTheme="majorHAnsi" w:hAnsiTheme="majorHAnsi" w:cs="Arial"/>
                <w:color w:val="595959" w:themeColor="text1" w:themeTint="A6"/>
                <w:sz w:val="21"/>
                <w:szCs w:val="21"/>
                <w:lang w:val="en-AU"/>
              </w:rPr>
              <w:t xml:space="preserve">. Post has designated a DFAT officer who is familiar with the cultural context, senior government stakeholders, and the AIPEID program – to join the mission. The mission is expected to operate at a more ‘strategic level’ engaging senior-level stakeholders, including across government. </w:t>
            </w:r>
            <w:r w:rsidR="00680CF3">
              <w:rPr>
                <w:rFonts w:asciiTheme="majorHAnsi" w:hAnsiTheme="majorHAnsi" w:cs="Arial"/>
                <w:color w:val="595959" w:themeColor="text1" w:themeTint="A6"/>
                <w:sz w:val="21"/>
                <w:szCs w:val="21"/>
                <w:lang w:val="en-AU"/>
              </w:rPr>
              <w:t>Prior to</w:t>
            </w:r>
            <w:r w:rsidR="00791A06" w:rsidRPr="00BF5BBC">
              <w:rPr>
                <w:rFonts w:asciiTheme="majorHAnsi" w:hAnsiTheme="majorHAnsi" w:cs="Arial"/>
                <w:color w:val="595959" w:themeColor="text1" w:themeTint="A6"/>
                <w:sz w:val="21"/>
                <w:szCs w:val="21"/>
                <w:lang w:val="en-AU"/>
              </w:rPr>
              <w:t xml:space="preserve"> senior-level engagements,</w:t>
            </w:r>
            <w:r w:rsidR="003C3E68">
              <w:rPr>
                <w:rFonts w:asciiTheme="majorHAnsi" w:hAnsiTheme="majorHAnsi" w:cs="Arial"/>
                <w:color w:val="595959" w:themeColor="text1" w:themeTint="A6"/>
                <w:sz w:val="21"/>
                <w:szCs w:val="21"/>
                <w:lang w:val="en-AU"/>
              </w:rPr>
              <w:t xml:space="preserve"> </w:t>
            </w:r>
            <w:r w:rsidR="00791A06" w:rsidRPr="00BF5BBC">
              <w:rPr>
                <w:rFonts w:asciiTheme="majorHAnsi" w:hAnsiTheme="majorHAnsi" w:cs="Arial"/>
                <w:color w:val="595959" w:themeColor="text1" w:themeTint="A6"/>
                <w:sz w:val="21"/>
                <w:szCs w:val="21"/>
                <w:lang w:val="en-AU"/>
              </w:rPr>
              <w:t xml:space="preserve">working-level design consultations </w:t>
            </w:r>
            <w:r w:rsidR="003C3E68">
              <w:rPr>
                <w:rFonts w:asciiTheme="majorHAnsi" w:hAnsiTheme="majorHAnsi" w:cs="Arial"/>
                <w:color w:val="595959" w:themeColor="text1" w:themeTint="A6"/>
                <w:sz w:val="21"/>
                <w:szCs w:val="21"/>
                <w:lang w:val="en-AU"/>
              </w:rPr>
              <w:t xml:space="preserve">will be undertaken </w:t>
            </w:r>
            <w:r w:rsidR="00791A06" w:rsidRPr="00BF5BBC">
              <w:rPr>
                <w:rFonts w:asciiTheme="majorHAnsi" w:hAnsiTheme="majorHAnsi" w:cs="Arial"/>
                <w:color w:val="595959" w:themeColor="text1" w:themeTint="A6"/>
                <w:sz w:val="21"/>
                <w:szCs w:val="21"/>
                <w:lang w:val="en-AU"/>
              </w:rPr>
              <w:t xml:space="preserve">with stakeholders across government and partners. </w:t>
            </w:r>
          </w:p>
          <w:p w:rsidR="003D7FCC" w:rsidRPr="00BF5BBC" w:rsidRDefault="00923103" w:rsidP="003C3E68">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The AIHSP program will</w:t>
            </w:r>
            <w:r w:rsidR="00DD2A12">
              <w:rPr>
                <w:rFonts w:asciiTheme="majorHAnsi" w:hAnsiTheme="majorHAnsi" w:cs="Arial"/>
                <w:color w:val="595959" w:themeColor="text1" w:themeTint="A6"/>
                <w:sz w:val="21"/>
                <w:szCs w:val="21"/>
                <w:lang w:val="en-AU"/>
              </w:rPr>
              <w:t xml:space="preserve"> </w:t>
            </w:r>
            <w:r w:rsidR="00D00D2C">
              <w:rPr>
                <w:rFonts w:asciiTheme="majorHAnsi" w:hAnsiTheme="majorHAnsi" w:cs="Arial"/>
                <w:color w:val="595959" w:themeColor="text1" w:themeTint="A6"/>
                <w:sz w:val="21"/>
                <w:szCs w:val="21"/>
                <w:lang w:val="en-AU"/>
              </w:rPr>
              <w:t>idea</w:t>
            </w:r>
            <w:r w:rsidR="00DD2A12">
              <w:rPr>
                <w:rFonts w:asciiTheme="majorHAnsi" w:hAnsiTheme="majorHAnsi" w:cs="Arial"/>
                <w:color w:val="595959" w:themeColor="text1" w:themeTint="A6"/>
                <w:sz w:val="21"/>
                <w:szCs w:val="21"/>
                <w:lang w:val="en-AU"/>
              </w:rPr>
              <w:t>lly</w:t>
            </w:r>
            <w:r w:rsidRPr="00BF5BBC">
              <w:rPr>
                <w:rFonts w:asciiTheme="majorHAnsi" w:hAnsiTheme="majorHAnsi" w:cs="Arial"/>
                <w:color w:val="595959" w:themeColor="text1" w:themeTint="A6"/>
                <w:sz w:val="21"/>
                <w:szCs w:val="21"/>
                <w:lang w:val="en-AU"/>
              </w:rPr>
              <w:t xml:space="preserve"> have two main sources of funding: an indicative budget of $</w:t>
            </w:r>
            <w:r w:rsidR="00C6757C">
              <w:rPr>
                <w:rFonts w:asciiTheme="majorHAnsi" w:hAnsiTheme="majorHAnsi" w:cs="Arial"/>
                <w:color w:val="595959" w:themeColor="text1" w:themeTint="A6"/>
                <w:sz w:val="21"/>
                <w:szCs w:val="21"/>
                <w:lang w:val="en-AU"/>
              </w:rPr>
              <w:t>17.5</w:t>
            </w:r>
            <w:r w:rsidR="00C6757C"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 xml:space="preserve">million over </w:t>
            </w:r>
            <w:r w:rsidR="00C6757C">
              <w:rPr>
                <w:rFonts w:asciiTheme="majorHAnsi" w:hAnsiTheme="majorHAnsi" w:cs="Arial"/>
                <w:color w:val="595959" w:themeColor="text1" w:themeTint="A6"/>
                <w:sz w:val="21"/>
                <w:szCs w:val="21"/>
                <w:lang w:val="en-AU"/>
              </w:rPr>
              <w:t>five</w:t>
            </w:r>
            <w:r w:rsidRPr="00BF5BBC">
              <w:rPr>
                <w:rFonts w:asciiTheme="majorHAnsi" w:hAnsiTheme="majorHAnsi" w:cs="Arial"/>
                <w:color w:val="595959" w:themeColor="text1" w:themeTint="A6"/>
                <w:sz w:val="21"/>
                <w:szCs w:val="21"/>
                <w:lang w:val="en-AU"/>
              </w:rPr>
              <w:t xml:space="preserve"> years (2019-</w:t>
            </w:r>
            <w:r w:rsidR="00C6757C" w:rsidRPr="00BF5BBC">
              <w:rPr>
                <w:rFonts w:asciiTheme="majorHAnsi" w:hAnsiTheme="majorHAnsi" w:cs="Arial"/>
                <w:color w:val="595959" w:themeColor="text1" w:themeTint="A6"/>
                <w:sz w:val="21"/>
                <w:szCs w:val="21"/>
                <w:lang w:val="en-AU"/>
              </w:rPr>
              <w:t>202</w:t>
            </w:r>
            <w:r w:rsidR="00C6757C">
              <w:rPr>
                <w:rFonts w:asciiTheme="majorHAnsi" w:hAnsiTheme="majorHAnsi" w:cs="Arial"/>
                <w:color w:val="595959" w:themeColor="text1" w:themeTint="A6"/>
                <w:sz w:val="21"/>
                <w:szCs w:val="21"/>
                <w:lang w:val="en-AU"/>
              </w:rPr>
              <w:t>3</w:t>
            </w:r>
            <w:r w:rsidRPr="00BF5BBC">
              <w:rPr>
                <w:rFonts w:asciiTheme="majorHAnsi" w:hAnsiTheme="majorHAnsi" w:cs="Arial"/>
                <w:color w:val="595959" w:themeColor="text1" w:themeTint="A6"/>
                <w:sz w:val="21"/>
                <w:szCs w:val="21"/>
                <w:lang w:val="en-AU"/>
              </w:rPr>
              <w:t>) from Post’s bilateral program; and</w:t>
            </w:r>
            <w:r w:rsidR="00DD2A12">
              <w:rPr>
                <w:rFonts w:asciiTheme="majorHAnsi" w:hAnsiTheme="majorHAnsi" w:cs="Arial"/>
                <w:color w:val="595959" w:themeColor="text1" w:themeTint="A6"/>
                <w:sz w:val="21"/>
                <w:szCs w:val="21"/>
                <w:lang w:val="en-AU"/>
              </w:rPr>
              <w:t xml:space="preserve"> some</w:t>
            </w:r>
            <w:r w:rsidRPr="00BF5BBC">
              <w:rPr>
                <w:rFonts w:asciiTheme="majorHAnsi" w:hAnsiTheme="majorHAnsi" w:cs="Arial"/>
                <w:color w:val="595959" w:themeColor="text1" w:themeTint="A6"/>
                <w:sz w:val="21"/>
                <w:szCs w:val="21"/>
                <w:lang w:val="en-AU"/>
              </w:rPr>
              <w:t xml:space="preserve"> country-level funding (amount to be determined) from the Indo-Pacific Health Security Centre (CHS). </w:t>
            </w:r>
            <w:r w:rsidR="002F6709">
              <w:rPr>
                <w:rFonts w:asciiTheme="majorHAnsi" w:hAnsiTheme="majorHAnsi" w:cs="Arial"/>
                <w:color w:val="595959" w:themeColor="text1" w:themeTint="A6"/>
                <w:sz w:val="21"/>
                <w:szCs w:val="21"/>
                <w:lang w:val="en-AU"/>
              </w:rPr>
              <w:t xml:space="preserve">CHS funding is likely to be of similar order to </w:t>
            </w:r>
            <w:r w:rsidR="002F6709" w:rsidRPr="00BF5BBC">
              <w:rPr>
                <w:rFonts w:asciiTheme="majorHAnsi" w:hAnsiTheme="majorHAnsi" w:cs="Arial"/>
                <w:color w:val="595959" w:themeColor="text1" w:themeTint="A6"/>
                <w:sz w:val="21"/>
                <w:szCs w:val="21"/>
                <w:lang w:val="en-AU"/>
              </w:rPr>
              <w:t>Post</w:t>
            </w:r>
            <w:r w:rsidR="002F6709">
              <w:rPr>
                <w:rFonts w:asciiTheme="majorHAnsi" w:hAnsiTheme="majorHAnsi" w:cs="Arial"/>
                <w:color w:val="595959" w:themeColor="text1" w:themeTint="A6"/>
                <w:sz w:val="21"/>
                <w:szCs w:val="21"/>
                <w:lang w:val="en-AU"/>
              </w:rPr>
              <w:t xml:space="preserve">’s bilateral program in total but will be split between regional and bilateral activities. Bilateral activities could be funded through the </w:t>
            </w:r>
            <w:r w:rsidR="002F6709" w:rsidRPr="00BF5BBC">
              <w:rPr>
                <w:rFonts w:asciiTheme="majorHAnsi" w:hAnsiTheme="majorHAnsi" w:cs="Arial"/>
                <w:color w:val="595959" w:themeColor="text1" w:themeTint="A6"/>
                <w:sz w:val="21"/>
                <w:szCs w:val="21"/>
                <w:lang w:val="en-AU"/>
              </w:rPr>
              <w:t xml:space="preserve">AIHSP to </w:t>
            </w:r>
            <w:r w:rsidR="002F6709">
              <w:rPr>
                <w:rFonts w:asciiTheme="majorHAnsi" w:hAnsiTheme="majorHAnsi" w:cs="Arial"/>
                <w:color w:val="595959" w:themeColor="text1" w:themeTint="A6"/>
                <w:sz w:val="21"/>
                <w:szCs w:val="21"/>
                <w:lang w:val="en-AU"/>
              </w:rPr>
              <w:t xml:space="preserve">potentially </w:t>
            </w:r>
            <w:r w:rsidR="002F6709" w:rsidRPr="00BF5BBC">
              <w:rPr>
                <w:rFonts w:asciiTheme="majorHAnsi" w:hAnsiTheme="majorHAnsi" w:cs="Arial"/>
                <w:color w:val="595959" w:themeColor="text1" w:themeTint="A6"/>
                <w:sz w:val="21"/>
                <w:szCs w:val="21"/>
                <w:lang w:val="en-AU"/>
              </w:rPr>
              <w:t xml:space="preserve">cover activities prioritised by the PCC. </w:t>
            </w:r>
            <w:r w:rsidR="002F6709">
              <w:rPr>
                <w:rFonts w:asciiTheme="majorHAnsi" w:hAnsiTheme="majorHAnsi" w:cs="Arial"/>
                <w:color w:val="595959" w:themeColor="text1" w:themeTint="A6"/>
                <w:sz w:val="21"/>
                <w:szCs w:val="21"/>
                <w:lang w:val="en-AU"/>
              </w:rPr>
              <w:t xml:space="preserve">For instance, in Indonesia CHS is particularly interested in support to developing a National Action Plan based on the JEE and the potential extension and sustainability of iSIKHNAS. </w:t>
            </w:r>
            <w:r w:rsidR="0027666A">
              <w:rPr>
                <w:rFonts w:asciiTheme="majorHAnsi" w:hAnsiTheme="majorHAnsi" w:cs="Arial"/>
                <w:color w:val="595959" w:themeColor="text1" w:themeTint="A6"/>
                <w:sz w:val="21"/>
                <w:szCs w:val="21"/>
                <w:lang w:val="en-AU"/>
              </w:rPr>
              <w:t>It is hope</w:t>
            </w:r>
            <w:r w:rsidR="007D5E59">
              <w:rPr>
                <w:rFonts w:asciiTheme="majorHAnsi" w:hAnsiTheme="majorHAnsi" w:cs="Arial"/>
                <w:color w:val="595959" w:themeColor="text1" w:themeTint="A6"/>
                <w:sz w:val="21"/>
                <w:szCs w:val="21"/>
                <w:lang w:val="en-AU"/>
              </w:rPr>
              <w:t>d</w:t>
            </w:r>
            <w:r w:rsidR="0027666A">
              <w:rPr>
                <w:rFonts w:asciiTheme="majorHAnsi" w:hAnsiTheme="majorHAnsi" w:cs="Arial"/>
                <w:color w:val="595959" w:themeColor="text1" w:themeTint="A6"/>
                <w:sz w:val="21"/>
                <w:szCs w:val="21"/>
                <w:lang w:val="en-AU"/>
              </w:rPr>
              <w:t xml:space="preserve"> that if c</w:t>
            </w:r>
            <w:r w:rsidR="00EE0443" w:rsidRPr="00BF5BBC">
              <w:rPr>
                <w:rFonts w:asciiTheme="majorHAnsi" w:hAnsiTheme="majorHAnsi" w:cs="Arial"/>
                <w:color w:val="595959" w:themeColor="text1" w:themeTint="A6"/>
                <w:sz w:val="21"/>
                <w:szCs w:val="21"/>
                <w:lang w:val="en-AU"/>
              </w:rPr>
              <w:t>ountry-level investment from the CHS fall</w:t>
            </w:r>
            <w:r w:rsidR="00CF2F11">
              <w:rPr>
                <w:rFonts w:asciiTheme="majorHAnsi" w:hAnsiTheme="majorHAnsi" w:cs="Arial"/>
                <w:color w:val="595959" w:themeColor="text1" w:themeTint="A6"/>
                <w:sz w:val="21"/>
                <w:szCs w:val="21"/>
                <w:lang w:val="en-AU"/>
              </w:rPr>
              <w:t>s</w:t>
            </w:r>
            <w:r w:rsidR="00EE0443" w:rsidRPr="00BF5BBC">
              <w:rPr>
                <w:rFonts w:asciiTheme="majorHAnsi" w:hAnsiTheme="majorHAnsi" w:cs="Arial"/>
                <w:color w:val="595959" w:themeColor="text1" w:themeTint="A6"/>
                <w:sz w:val="21"/>
                <w:szCs w:val="21"/>
                <w:lang w:val="en-AU"/>
              </w:rPr>
              <w:t xml:space="preserve"> under the new AIHSP</w:t>
            </w:r>
            <w:r w:rsidR="00CF2F11">
              <w:rPr>
                <w:rFonts w:asciiTheme="majorHAnsi" w:hAnsiTheme="majorHAnsi" w:cs="Arial"/>
                <w:color w:val="595959" w:themeColor="text1" w:themeTint="A6"/>
                <w:sz w:val="21"/>
                <w:szCs w:val="21"/>
                <w:lang w:val="en-AU"/>
              </w:rPr>
              <w:t>,</w:t>
            </w:r>
            <w:r w:rsidR="007D5E59">
              <w:rPr>
                <w:rFonts w:asciiTheme="majorHAnsi" w:hAnsiTheme="majorHAnsi" w:cs="Arial"/>
                <w:color w:val="595959" w:themeColor="text1" w:themeTint="A6"/>
                <w:sz w:val="21"/>
                <w:szCs w:val="21"/>
                <w:lang w:val="en-AU"/>
              </w:rPr>
              <w:t xml:space="preserve"> the activities under the CHS</w:t>
            </w:r>
            <w:r w:rsidR="0027666A">
              <w:rPr>
                <w:rFonts w:asciiTheme="majorHAnsi" w:hAnsiTheme="majorHAnsi" w:cs="Arial"/>
                <w:color w:val="595959" w:themeColor="text1" w:themeTint="A6"/>
                <w:sz w:val="21"/>
                <w:szCs w:val="21"/>
                <w:lang w:val="en-AU"/>
              </w:rPr>
              <w:t xml:space="preserve"> will receive better traction from the GOI as they will be negotiated with the GOI from the outset and fall under the umbrella MOU of the AIPHSP</w:t>
            </w:r>
            <w:r w:rsidR="00EE0443" w:rsidRPr="00BF5BBC">
              <w:rPr>
                <w:rFonts w:asciiTheme="majorHAnsi" w:hAnsiTheme="majorHAnsi" w:cs="Arial"/>
                <w:color w:val="595959" w:themeColor="text1" w:themeTint="A6"/>
                <w:sz w:val="21"/>
                <w:szCs w:val="21"/>
                <w:lang w:val="en-AU"/>
              </w:rPr>
              <w:t xml:space="preserve">. This will ensure coherence of health security investments in Indonesia and help secure government buy-in and oversight of DFAT-supported activities. </w:t>
            </w:r>
            <w:r w:rsidR="002F6709">
              <w:rPr>
                <w:rFonts w:asciiTheme="majorHAnsi" w:hAnsiTheme="majorHAnsi" w:cs="Arial"/>
                <w:color w:val="595959" w:themeColor="text1" w:themeTint="A6"/>
                <w:sz w:val="21"/>
                <w:szCs w:val="21"/>
                <w:lang w:val="en-AU"/>
              </w:rPr>
              <w:t>T</w:t>
            </w:r>
            <w:r w:rsidR="00835485" w:rsidRPr="00BF5BBC">
              <w:rPr>
                <w:rFonts w:asciiTheme="majorHAnsi" w:hAnsiTheme="majorHAnsi" w:cs="Arial"/>
                <w:color w:val="595959" w:themeColor="text1" w:themeTint="A6"/>
                <w:sz w:val="21"/>
                <w:szCs w:val="21"/>
                <w:lang w:val="en-AU"/>
              </w:rPr>
              <w:t>he AIHSP will be managed by the Health Unit (Jakarta Post) reporting to Minister Counsellor Governance and Human Developmen</w:t>
            </w:r>
            <w:r w:rsidR="00D56BB4">
              <w:rPr>
                <w:rFonts w:asciiTheme="majorHAnsi" w:hAnsiTheme="majorHAnsi" w:cs="Arial"/>
                <w:color w:val="595959" w:themeColor="text1" w:themeTint="A6"/>
                <w:sz w:val="21"/>
                <w:szCs w:val="21"/>
                <w:lang w:val="en-AU"/>
              </w:rPr>
              <w:t>t</w:t>
            </w:r>
            <w:r w:rsidR="002F6709">
              <w:rPr>
                <w:rFonts w:asciiTheme="majorHAnsi" w:hAnsiTheme="majorHAnsi" w:cs="Arial"/>
                <w:color w:val="595959" w:themeColor="text1" w:themeTint="A6"/>
                <w:sz w:val="21"/>
                <w:szCs w:val="21"/>
                <w:lang w:val="en-AU"/>
              </w:rPr>
              <w:t>. T</w:t>
            </w:r>
            <w:r w:rsidR="00835485" w:rsidRPr="00BF5BBC">
              <w:rPr>
                <w:rFonts w:asciiTheme="majorHAnsi" w:hAnsiTheme="majorHAnsi" w:cs="Arial"/>
                <w:color w:val="595959" w:themeColor="text1" w:themeTint="A6"/>
                <w:sz w:val="21"/>
                <w:szCs w:val="21"/>
                <w:lang w:val="en-AU"/>
              </w:rPr>
              <w:t xml:space="preserve">he Centre for Health Security (CHS) </w:t>
            </w:r>
            <w:r w:rsidR="00EF496B">
              <w:rPr>
                <w:rFonts w:asciiTheme="majorHAnsi" w:hAnsiTheme="majorHAnsi" w:cs="Arial"/>
                <w:color w:val="595959" w:themeColor="text1" w:themeTint="A6"/>
                <w:sz w:val="21"/>
                <w:szCs w:val="21"/>
                <w:lang w:val="en-AU"/>
              </w:rPr>
              <w:t xml:space="preserve">will </w:t>
            </w:r>
            <w:r w:rsidR="00EF496B" w:rsidRPr="00EF496B">
              <w:rPr>
                <w:rFonts w:asciiTheme="majorHAnsi" w:hAnsiTheme="majorHAnsi" w:cs="Arial"/>
                <w:color w:val="595959" w:themeColor="text1" w:themeTint="A6"/>
                <w:sz w:val="21"/>
                <w:szCs w:val="21"/>
                <w:lang w:val="en-AU"/>
              </w:rPr>
              <w:t xml:space="preserve">provide the link to regional programs, helping to identify and emphasise their benefits to Indonesia contribute to program development and oversight, in its role on the PCC. </w:t>
            </w:r>
            <w:r w:rsidR="00835485" w:rsidRPr="00BF5BBC">
              <w:rPr>
                <w:rFonts w:asciiTheme="majorHAnsi" w:hAnsiTheme="majorHAnsi" w:cs="Arial"/>
                <w:color w:val="595959" w:themeColor="text1" w:themeTint="A6"/>
                <w:sz w:val="21"/>
                <w:szCs w:val="21"/>
                <w:lang w:val="en-AU"/>
              </w:rPr>
              <w:t>The design of the facility’s M&amp;E framework can also accommodate the reporting needs of the CHS.</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t xml:space="preserve">D: Implementation/delivery approach (How and with whom?)  </w:t>
            </w:r>
          </w:p>
        </w:tc>
      </w:tr>
      <w:tr w:rsidR="004C10EA" w:rsidRPr="00966957" w:rsidTr="00264300">
        <w:trPr>
          <w:cantSplit w:val="0"/>
        </w:trPr>
        <w:tc>
          <w:tcPr>
            <w:tcW w:w="9606" w:type="dxa"/>
          </w:tcPr>
          <w:p w:rsidR="008006C7" w:rsidRDefault="008006C7" w:rsidP="00A72CFB">
            <w:pPr>
              <w:suppressAutoHyphens w:val="0"/>
              <w:spacing w:after="0" w:line="240" w:lineRule="auto"/>
              <w:rPr>
                <w:rFonts w:asciiTheme="majorHAnsi" w:hAnsiTheme="majorHAnsi" w:cs="Arial"/>
                <w:color w:val="595959" w:themeColor="text1" w:themeTint="A6"/>
                <w:sz w:val="21"/>
                <w:szCs w:val="21"/>
                <w:lang w:val="en-AU"/>
              </w:rPr>
            </w:pPr>
            <w:r>
              <w:rPr>
                <w:rFonts w:asciiTheme="majorHAnsi" w:hAnsiTheme="majorHAnsi" w:cs="Arial"/>
                <w:color w:val="595959" w:themeColor="text1" w:themeTint="A6"/>
                <w:sz w:val="21"/>
                <w:szCs w:val="21"/>
                <w:lang w:val="en-AU"/>
              </w:rPr>
              <w:t xml:space="preserve">DFAT will negotiate a subsidiary arrangement with the Government of Indonesia) under the bilateral development cooperation treaty to cover all activities under the Australia Indonesia Health Security Partnership. </w:t>
            </w:r>
            <w:r w:rsidRPr="008006C7">
              <w:rPr>
                <w:rFonts w:asciiTheme="majorHAnsi" w:hAnsiTheme="majorHAnsi" w:cs="Arial"/>
                <w:color w:val="595959" w:themeColor="text1" w:themeTint="A6"/>
                <w:sz w:val="21"/>
                <w:szCs w:val="21"/>
                <w:lang w:val="en-AU"/>
              </w:rPr>
              <w:t>A managing contractor will be engaged to administer the facility</w:t>
            </w:r>
            <w:r>
              <w:rPr>
                <w:rFonts w:asciiTheme="majorHAnsi" w:hAnsiTheme="majorHAnsi" w:cs="Arial"/>
                <w:color w:val="595959" w:themeColor="text1" w:themeTint="A6"/>
                <w:sz w:val="21"/>
                <w:szCs w:val="21"/>
                <w:lang w:val="en-AU"/>
              </w:rPr>
              <w:t>.</w:t>
            </w:r>
          </w:p>
          <w:p w:rsidR="00C6079E" w:rsidRPr="00BF5BBC" w:rsidRDefault="00C6079E" w:rsidP="00A72CFB">
            <w:pPr>
              <w:suppressAutoHyphens w:val="0"/>
              <w:spacing w:after="0" w:line="240" w:lineRule="auto"/>
              <w:rPr>
                <w:rFonts w:asciiTheme="majorHAnsi" w:hAnsiTheme="majorHAnsi" w:cs="Arial"/>
                <w:i/>
                <w:color w:val="595959" w:themeColor="text1" w:themeTint="A6"/>
                <w:sz w:val="21"/>
                <w:szCs w:val="21"/>
                <w:lang w:val="en-AU"/>
              </w:rPr>
            </w:pPr>
            <w:r w:rsidRPr="00BF5BBC">
              <w:rPr>
                <w:rFonts w:asciiTheme="majorHAnsi" w:hAnsiTheme="majorHAnsi" w:cs="Arial"/>
                <w:i/>
                <w:color w:val="595959" w:themeColor="text1" w:themeTint="A6"/>
                <w:sz w:val="21"/>
                <w:szCs w:val="21"/>
                <w:lang w:val="en-AU"/>
              </w:rPr>
              <w:t>Governance arrangements</w:t>
            </w:r>
          </w:p>
          <w:p w:rsidR="009845E8" w:rsidRDefault="00FD5D60" w:rsidP="00A72CFB">
            <w:pPr>
              <w:suppressAutoHyphens w:val="0"/>
              <w:spacing w:after="0" w:line="240" w:lineRule="auto"/>
              <w:rPr>
                <w:rFonts w:asciiTheme="majorHAnsi" w:hAnsiTheme="majorHAnsi" w:cs="Arial"/>
                <w:color w:val="595959" w:themeColor="text1" w:themeTint="A6"/>
                <w:sz w:val="21"/>
                <w:szCs w:val="21"/>
                <w:lang w:val="en-AU"/>
              </w:rPr>
            </w:pPr>
            <w:r>
              <w:rPr>
                <w:rFonts w:asciiTheme="majorHAnsi" w:hAnsiTheme="majorHAnsi" w:cs="Arial"/>
                <w:color w:val="595959" w:themeColor="text1" w:themeTint="A6"/>
                <w:sz w:val="21"/>
                <w:szCs w:val="21"/>
                <w:lang w:val="en-AU"/>
              </w:rPr>
              <w:t xml:space="preserve">A decision making body, the AIHSP </w:t>
            </w:r>
            <w:r w:rsidR="009845E8" w:rsidRPr="00BF5BBC">
              <w:rPr>
                <w:rFonts w:asciiTheme="majorHAnsi" w:hAnsiTheme="majorHAnsi" w:cs="Arial"/>
                <w:color w:val="595959" w:themeColor="text1" w:themeTint="A6"/>
                <w:sz w:val="21"/>
                <w:szCs w:val="21"/>
                <w:lang w:val="en-AU"/>
              </w:rPr>
              <w:t>Program Coordinating Committee (PCC)</w:t>
            </w:r>
            <w:r>
              <w:rPr>
                <w:rFonts w:asciiTheme="majorHAnsi" w:hAnsiTheme="majorHAnsi" w:cs="Arial"/>
                <w:color w:val="595959" w:themeColor="text1" w:themeTint="A6"/>
                <w:sz w:val="21"/>
                <w:szCs w:val="21"/>
                <w:lang w:val="en-AU"/>
              </w:rPr>
              <w:t>,</w:t>
            </w:r>
            <w:r w:rsidR="009845E8" w:rsidRPr="00BF5BBC">
              <w:rPr>
                <w:rFonts w:asciiTheme="majorHAnsi" w:hAnsiTheme="majorHAnsi" w:cs="Arial"/>
                <w:color w:val="595959" w:themeColor="text1" w:themeTint="A6"/>
                <w:sz w:val="21"/>
                <w:szCs w:val="21"/>
                <w:lang w:val="en-AU"/>
              </w:rPr>
              <w:t xml:space="preserve"> </w:t>
            </w:r>
            <w:r>
              <w:rPr>
                <w:rFonts w:asciiTheme="majorHAnsi" w:hAnsiTheme="majorHAnsi" w:cs="Arial"/>
                <w:color w:val="595959" w:themeColor="text1" w:themeTint="A6"/>
                <w:sz w:val="21"/>
                <w:szCs w:val="21"/>
                <w:lang w:val="en-AU"/>
              </w:rPr>
              <w:t>comprising</w:t>
            </w:r>
            <w:r w:rsidR="009845E8" w:rsidRPr="00BF5BBC">
              <w:rPr>
                <w:rFonts w:asciiTheme="majorHAnsi" w:hAnsiTheme="majorHAnsi" w:cs="Arial"/>
                <w:color w:val="595959" w:themeColor="text1" w:themeTint="A6"/>
                <w:sz w:val="21"/>
                <w:szCs w:val="21"/>
                <w:lang w:val="en-AU"/>
              </w:rPr>
              <w:t xml:space="preserve"> sen</w:t>
            </w:r>
            <w:r w:rsidR="00AA005C" w:rsidRPr="00BF5BBC">
              <w:rPr>
                <w:rFonts w:asciiTheme="majorHAnsi" w:hAnsiTheme="majorHAnsi" w:cs="Arial"/>
                <w:color w:val="595959" w:themeColor="text1" w:themeTint="A6"/>
                <w:sz w:val="21"/>
                <w:szCs w:val="21"/>
                <w:lang w:val="en-AU"/>
              </w:rPr>
              <w:t xml:space="preserve">ior </w:t>
            </w:r>
            <w:r>
              <w:rPr>
                <w:rFonts w:asciiTheme="majorHAnsi" w:hAnsiTheme="majorHAnsi" w:cs="Arial"/>
                <w:color w:val="595959" w:themeColor="text1" w:themeTint="A6"/>
                <w:sz w:val="21"/>
                <w:szCs w:val="21"/>
                <w:lang w:val="en-AU"/>
              </w:rPr>
              <w:t>representatives of GOI (</w:t>
            </w:r>
            <w:r w:rsidR="00AA005C" w:rsidRPr="00BF5BBC">
              <w:rPr>
                <w:rFonts w:asciiTheme="majorHAnsi" w:hAnsiTheme="majorHAnsi" w:cs="Arial"/>
                <w:color w:val="595959" w:themeColor="text1" w:themeTint="A6"/>
                <w:sz w:val="21"/>
                <w:szCs w:val="21"/>
                <w:lang w:val="en-AU"/>
              </w:rPr>
              <w:t xml:space="preserve">MoH, </w:t>
            </w:r>
            <w:r w:rsidR="009845E8" w:rsidRPr="00BF5BBC">
              <w:rPr>
                <w:rFonts w:asciiTheme="majorHAnsi" w:hAnsiTheme="majorHAnsi" w:cs="Arial"/>
                <w:color w:val="595959" w:themeColor="text1" w:themeTint="A6"/>
                <w:sz w:val="21"/>
                <w:szCs w:val="21"/>
                <w:lang w:val="en-AU"/>
              </w:rPr>
              <w:t>MoA</w:t>
            </w:r>
            <w:r>
              <w:rPr>
                <w:rFonts w:asciiTheme="majorHAnsi" w:hAnsiTheme="majorHAnsi" w:cs="Arial"/>
                <w:color w:val="595959" w:themeColor="text1" w:themeTint="A6"/>
                <w:sz w:val="21"/>
                <w:szCs w:val="21"/>
                <w:lang w:val="en-AU"/>
              </w:rPr>
              <w:t>,</w:t>
            </w:r>
            <w:r w:rsidR="00AA005C" w:rsidRPr="00BF5BBC">
              <w:rPr>
                <w:rFonts w:asciiTheme="majorHAnsi" w:hAnsiTheme="majorHAnsi" w:cs="Arial"/>
                <w:color w:val="595959" w:themeColor="text1" w:themeTint="A6"/>
                <w:sz w:val="21"/>
                <w:szCs w:val="21"/>
                <w:lang w:val="en-AU"/>
              </w:rPr>
              <w:t xml:space="preserve"> PMK</w:t>
            </w:r>
            <w:r>
              <w:rPr>
                <w:rFonts w:asciiTheme="majorHAnsi" w:hAnsiTheme="majorHAnsi" w:cs="Arial"/>
                <w:color w:val="595959" w:themeColor="text1" w:themeTint="A6"/>
                <w:sz w:val="21"/>
                <w:szCs w:val="21"/>
                <w:lang w:val="en-AU"/>
              </w:rPr>
              <w:t xml:space="preserve">) and GOA </w:t>
            </w:r>
            <w:r w:rsidR="009845E8" w:rsidRPr="00BF5BBC">
              <w:rPr>
                <w:rFonts w:asciiTheme="majorHAnsi" w:hAnsiTheme="majorHAnsi" w:cs="Arial"/>
                <w:color w:val="595959" w:themeColor="text1" w:themeTint="A6"/>
                <w:sz w:val="21"/>
                <w:szCs w:val="21"/>
                <w:lang w:val="en-AU"/>
              </w:rPr>
              <w:t xml:space="preserve">(including </w:t>
            </w:r>
            <w:r>
              <w:rPr>
                <w:rFonts w:asciiTheme="majorHAnsi" w:hAnsiTheme="majorHAnsi" w:cs="Arial"/>
                <w:color w:val="595959" w:themeColor="text1" w:themeTint="A6"/>
                <w:sz w:val="21"/>
                <w:szCs w:val="21"/>
                <w:lang w:val="en-AU"/>
              </w:rPr>
              <w:t xml:space="preserve"> DFAT, DAWR and the </w:t>
            </w:r>
            <w:r w:rsidR="009845E8" w:rsidRPr="00BF5BBC">
              <w:rPr>
                <w:rFonts w:asciiTheme="majorHAnsi" w:hAnsiTheme="majorHAnsi" w:cs="Arial"/>
                <w:color w:val="595959" w:themeColor="text1" w:themeTint="A6"/>
                <w:sz w:val="21"/>
                <w:szCs w:val="21"/>
                <w:lang w:val="en-AU"/>
              </w:rPr>
              <w:t>Department of Health</w:t>
            </w:r>
            <w:r w:rsidR="006C7D50">
              <w:rPr>
                <w:rStyle w:val="FootnoteReference"/>
                <w:rFonts w:asciiTheme="majorHAnsi" w:hAnsiTheme="majorHAnsi" w:cs="Arial"/>
                <w:color w:val="595959" w:themeColor="text1" w:themeTint="A6"/>
                <w:sz w:val="21"/>
                <w:szCs w:val="21"/>
                <w:lang w:val="en-AU"/>
              </w:rPr>
              <w:footnoteReference w:id="6"/>
            </w:r>
            <w:r w:rsidR="009845E8" w:rsidRPr="00BF5BBC">
              <w:rPr>
                <w:rFonts w:asciiTheme="majorHAnsi" w:hAnsiTheme="majorHAnsi" w:cs="Arial"/>
                <w:color w:val="595959" w:themeColor="text1" w:themeTint="A6"/>
                <w:sz w:val="21"/>
                <w:szCs w:val="21"/>
                <w:lang w:val="en-AU"/>
              </w:rPr>
              <w:t>)</w:t>
            </w:r>
            <w:r>
              <w:rPr>
                <w:rFonts w:asciiTheme="majorHAnsi" w:hAnsiTheme="majorHAnsi" w:cs="Arial"/>
                <w:color w:val="595959" w:themeColor="text1" w:themeTint="A6"/>
                <w:sz w:val="21"/>
                <w:szCs w:val="21"/>
                <w:lang w:val="en-AU"/>
              </w:rPr>
              <w:t>, will oversee the program, convening on a</w:t>
            </w:r>
            <w:r w:rsidR="000C432B">
              <w:rPr>
                <w:rFonts w:asciiTheme="majorHAnsi" w:hAnsiTheme="majorHAnsi" w:cs="Arial"/>
                <w:color w:val="595959" w:themeColor="text1" w:themeTint="A6"/>
                <w:sz w:val="21"/>
                <w:szCs w:val="21"/>
                <w:lang w:val="en-AU"/>
              </w:rPr>
              <w:t>n annual or</w:t>
            </w:r>
            <w:r>
              <w:rPr>
                <w:rFonts w:asciiTheme="majorHAnsi" w:hAnsiTheme="majorHAnsi" w:cs="Arial"/>
                <w:color w:val="595959" w:themeColor="text1" w:themeTint="A6"/>
                <w:sz w:val="21"/>
                <w:szCs w:val="21"/>
                <w:lang w:val="en-AU"/>
              </w:rPr>
              <w:t xml:space="preserve"> biannual basis to review progress and agree a</w:t>
            </w:r>
            <w:r w:rsidRPr="00FD5D60">
              <w:rPr>
                <w:rFonts w:asciiTheme="majorHAnsi" w:hAnsiTheme="majorHAnsi" w:cs="Arial"/>
                <w:color w:val="595959" w:themeColor="text1" w:themeTint="A6"/>
                <w:sz w:val="21"/>
                <w:szCs w:val="21"/>
                <w:lang w:val="en-AU"/>
              </w:rPr>
              <w:t>ctivities</w:t>
            </w:r>
            <w:r w:rsidR="000C432B">
              <w:rPr>
                <w:rFonts w:asciiTheme="majorHAnsi" w:hAnsiTheme="majorHAnsi" w:cs="Arial"/>
                <w:color w:val="595959" w:themeColor="text1" w:themeTint="A6"/>
                <w:sz w:val="21"/>
                <w:szCs w:val="21"/>
                <w:lang w:val="en-AU"/>
              </w:rPr>
              <w:t xml:space="preserve">/workplans to be </w:t>
            </w:r>
            <w:r w:rsidRPr="00FD5D60">
              <w:rPr>
                <w:rFonts w:asciiTheme="majorHAnsi" w:hAnsiTheme="majorHAnsi" w:cs="Arial"/>
                <w:color w:val="595959" w:themeColor="text1" w:themeTint="A6"/>
                <w:sz w:val="21"/>
                <w:szCs w:val="21"/>
                <w:lang w:val="en-AU"/>
              </w:rPr>
              <w:t>supported under the facility</w:t>
            </w:r>
            <w:r>
              <w:rPr>
                <w:rFonts w:asciiTheme="majorHAnsi" w:hAnsiTheme="majorHAnsi" w:cs="Arial"/>
                <w:color w:val="595959" w:themeColor="text1" w:themeTint="A6"/>
                <w:sz w:val="21"/>
                <w:szCs w:val="21"/>
                <w:lang w:val="en-AU"/>
              </w:rPr>
              <w:t xml:space="preserve">. </w:t>
            </w:r>
            <w:r w:rsidR="003D7FCC" w:rsidRPr="00BF5BBC">
              <w:rPr>
                <w:rFonts w:asciiTheme="majorHAnsi" w:hAnsiTheme="majorHAnsi" w:cs="Arial"/>
                <w:color w:val="595959" w:themeColor="text1" w:themeTint="A6"/>
                <w:sz w:val="21"/>
                <w:szCs w:val="21"/>
                <w:lang w:val="en-AU"/>
              </w:rPr>
              <w:t>M</w:t>
            </w:r>
            <w:r w:rsidR="009845E8" w:rsidRPr="00BF5BBC">
              <w:rPr>
                <w:rFonts w:asciiTheme="majorHAnsi" w:hAnsiTheme="majorHAnsi" w:cs="Arial"/>
                <w:color w:val="595959" w:themeColor="text1" w:themeTint="A6"/>
                <w:sz w:val="21"/>
                <w:szCs w:val="21"/>
                <w:lang w:val="en-AU"/>
              </w:rPr>
              <w:t xml:space="preserve">inistries such as Bappenas and </w:t>
            </w:r>
            <w:r w:rsidR="00AA005C" w:rsidRPr="00BF5BBC">
              <w:rPr>
                <w:rFonts w:asciiTheme="majorHAnsi" w:hAnsiTheme="majorHAnsi" w:cs="Arial"/>
                <w:color w:val="595959" w:themeColor="text1" w:themeTint="A6"/>
                <w:sz w:val="21"/>
                <w:szCs w:val="21"/>
                <w:lang w:val="en-AU"/>
              </w:rPr>
              <w:t>BNPB</w:t>
            </w:r>
            <w:r w:rsidR="007662E7">
              <w:rPr>
                <w:rStyle w:val="FootnoteReference"/>
                <w:rFonts w:asciiTheme="majorHAnsi" w:hAnsiTheme="majorHAnsi" w:cs="Arial"/>
                <w:color w:val="595959" w:themeColor="text1" w:themeTint="A6"/>
                <w:sz w:val="21"/>
                <w:szCs w:val="21"/>
                <w:lang w:val="en-AU"/>
              </w:rPr>
              <w:footnoteReference w:id="7"/>
            </w:r>
            <w:r w:rsidR="00AA005C" w:rsidRPr="00BF5BBC">
              <w:rPr>
                <w:rFonts w:asciiTheme="majorHAnsi" w:hAnsiTheme="majorHAnsi" w:cs="Arial"/>
                <w:color w:val="595959" w:themeColor="text1" w:themeTint="A6"/>
                <w:sz w:val="21"/>
                <w:szCs w:val="21"/>
                <w:lang w:val="en-AU"/>
              </w:rPr>
              <w:t xml:space="preserve"> </w:t>
            </w:r>
            <w:r w:rsidR="006C7D50">
              <w:rPr>
                <w:rFonts w:asciiTheme="majorHAnsi" w:hAnsiTheme="majorHAnsi" w:cs="Arial"/>
                <w:color w:val="595959" w:themeColor="text1" w:themeTint="A6"/>
                <w:sz w:val="21"/>
                <w:szCs w:val="21"/>
                <w:lang w:val="en-AU"/>
              </w:rPr>
              <w:t>can</w:t>
            </w:r>
            <w:r w:rsidR="009845E8" w:rsidRPr="00BF5BBC">
              <w:rPr>
                <w:rFonts w:asciiTheme="majorHAnsi" w:hAnsiTheme="majorHAnsi" w:cs="Arial"/>
                <w:color w:val="595959" w:themeColor="text1" w:themeTint="A6"/>
                <w:sz w:val="21"/>
                <w:szCs w:val="21"/>
                <w:lang w:val="en-AU"/>
              </w:rPr>
              <w:t xml:space="preserve"> also be engaged in the PCC. </w:t>
            </w:r>
          </w:p>
          <w:p w:rsidR="00D02A6B" w:rsidRDefault="006A15A7" w:rsidP="006A15A7">
            <w:pPr>
              <w:spacing w:line="240" w:lineRule="auto"/>
              <w:rPr>
                <w:rFonts w:asciiTheme="majorHAnsi" w:hAnsiTheme="majorHAnsi" w:cs="Arial"/>
                <w:color w:val="595959" w:themeColor="text1" w:themeTint="A6"/>
                <w:sz w:val="21"/>
                <w:szCs w:val="21"/>
              </w:rPr>
            </w:pPr>
            <w:r w:rsidRPr="006A15A7">
              <w:rPr>
                <w:rFonts w:asciiTheme="majorHAnsi" w:hAnsiTheme="majorHAnsi" w:cs="Arial"/>
                <w:color w:val="595959" w:themeColor="text1" w:themeTint="A6"/>
                <w:sz w:val="21"/>
                <w:szCs w:val="21"/>
              </w:rPr>
              <w:t xml:space="preserve">An implementing contractor will be selected to manage the facility, through a </w:t>
            </w:r>
            <w:r w:rsidR="00C6079E">
              <w:rPr>
                <w:rFonts w:asciiTheme="majorHAnsi" w:hAnsiTheme="majorHAnsi" w:cs="Arial"/>
                <w:color w:val="595959" w:themeColor="text1" w:themeTint="A6"/>
                <w:sz w:val="21"/>
                <w:szCs w:val="21"/>
              </w:rPr>
              <w:t xml:space="preserve">competitive </w:t>
            </w:r>
            <w:r w:rsidRPr="006A15A7">
              <w:rPr>
                <w:rFonts w:asciiTheme="majorHAnsi" w:hAnsiTheme="majorHAnsi" w:cs="Arial"/>
                <w:color w:val="595959" w:themeColor="text1" w:themeTint="A6"/>
                <w:sz w:val="21"/>
                <w:szCs w:val="21"/>
              </w:rPr>
              <w:t>tender process</w:t>
            </w:r>
            <w:r w:rsidR="008D2880">
              <w:rPr>
                <w:rStyle w:val="FootnoteReference"/>
                <w:rFonts w:asciiTheme="majorHAnsi" w:hAnsiTheme="majorHAnsi" w:cs="Arial"/>
                <w:color w:val="595959" w:themeColor="text1" w:themeTint="A6"/>
                <w:sz w:val="21"/>
                <w:szCs w:val="21"/>
              </w:rPr>
              <w:footnoteReference w:id="8"/>
            </w:r>
            <w:r w:rsidRPr="006A15A7">
              <w:rPr>
                <w:rFonts w:asciiTheme="majorHAnsi" w:hAnsiTheme="majorHAnsi" w:cs="Arial"/>
                <w:color w:val="595959" w:themeColor="text1" w:themeTint="A6"/>
                <w:sz w:val="21"/>
                <w:szCs w:val="21"/>
              </w:rPr>
              <w:t xml:space="preserve">. </w:t>
            </w:r>
            <w:r>
              <w:rPr>
                <w:rFonts w:asciiTheme="majorHAnsi" w:hAnsiTheme="majorHAnsi" w:cs="Arial"/>
                <w:color w:val="595959" w:themeColor="text1" w:themeTint="A6"/>
                <w:sz w:val="21"/>
                <w:szCs w:val="21"/>
              </w:rPr>
              <w:t xml:space="preserve">The contractor will take a responsibility for the day-to-day management of the whole program to achieve the stated objectives. </w:t>
            </w:r>
            <w:r w:rsidRPr="006A15A7">
              <w:rPr>
                <w:rFonts w:asciiTheme="majorHAnsi" w:hAnsiTheme="majorHAnsi" w:cs="Arial"/>
                <w:color w:val="595959" w:themeColor="text1" w:themeTint="A6"/>
                <w:sz w:val="21"/>
                <w:szCs w:val="21"/>
              </w:rPr>
              <w:t xml:space="preserve">Coordination and communication will be a key part of the managing contractor’s role, as well as secretariat services for senior-level and technical advisory meetings, leading on contracting arrangements to support </w:t>
            </w:r>
            <w:r w:rsidR="00FD5D60">
              <w:rPr>
                <w:rFonts w:asciiTheme="majorHAnsi" w:hAnsiTheme="majorHAnsi" w:cs="Arial"/>
                <w:color w:val="595959" w:themeColor="text1" w:themeTint="A6"/>
                <w:sz w:val="21"/>
                <w:szCs w:val="21"/>
              </w:rPr>
              <w:t>PCC-</w:t>
            </w:r>
            <w:r w:rsidR="0028649B">
              <w:rPr>
                <w:rFonts w:asciiTheme="majorHAnsi" w:hAnsiTheme="majorHAnsi" w:cs="Arial"/>
                <w:color w:val="595959" w:themeColor="text1" w:themeTint="A6"/>
                <w:sz w:val="21"/>
                <w:szCs w:val="21"/>
              </w:rPr>
              <w:t>approved activities</w:t>
            </w:r>
            <w:r w:rsidRPr="006A15A7">
              <w:rPr>
                <w:rFonts w:asciiTheme="majorHAnsi" w:hAnsiTheme="majorHAnsi" w:cs="Arial"/>
                <w:color w:val="595959" w:themeColor="text1" w:themeTint="A6"/>
                <w:sz w:val="21"/>
                <w:szCs w:val="21"/>
              </w:rPr>
              <w:t xml:space="preserve">, </w:t>
            </w:r>
            <w:r w:rsidR="002A3597">
              <w:rPr>
                <w:rFonts w:asciiTheme="majorHAnsi" w:hAnsiTheme="majorHAnsi" w:cs="Arial"/>
                <w:color w:val="595959" w:themeColor="text1" w:themeTint="A6"/>
                <w:sz w:val="21"/>
                <w:szCs w:val="21"/>
              </w:rPr>
              <w:t>establishing a</w:t>
            </w:r>
            <w:r w:rsidRPr="006A15A7">
              <w:rPr>
                <w:rFonts w:asciiTheme="majorHAnsi" w:hAnsiTheme="majorHAnsi" w:cs="Arial"/>
                <w:color w:val="595959" w:themeColor="text1" w:themeTint="A6"/>
                <w:sz w:val="21"/>
                <w:szCs w:val="21"/>
              </w:rPr>
              <w:t xml:space="preserve"> monitoring and evaluation</w:t>
            </w:r>
            <w:r w:rsidR="002A3597">
              <w:rPr>
                <w:rFonts w:asciiTheme="majorHAnsi" w:hAnsiTheme="majorHAnsi" w:cs="Arial"/>
                <w:color w:val="595959" w:themeColor="text1" w:themeTint="A6"/>
                <w:sz w:val="21"/>
                <w:szCs w:val="21"/>
              </w:rPr>
              <w:t xml:space="preserve"> system, and delivering performance assessments and corporate reports</w:t>
            </w:r>
            <w:r w:rsidRPr="006A15A7">
              <w:rPr>
                <w:rFonts w:asciiTheme="majorHAnsi" w:hAnsiTheme="majorHAnsi" w:cs="Arial"/>
                <w:color w:val="595959" w:themeColor="text1" w:themeTint="A6"/>
                <w:sz w:val="21"/>
                <w:szCs w:val="21"/>
              </w:rPr>
              <w:t xml:space="preserve">. We would expect that the managing contractor would engage the appropriate animal and human health expertise (veterinary and public health experts) required to effectively manage the program. </w:t>
            </w:r>
          </w:p>
          <w:p w:rsidR="002A71E4" w:rsidRDefault="00D02A6B" w:rsidP="006A15A7">
            <w:pPr>
              <w:spacing w:line="240" w:lineRule="auto"/>
              <w:rPr>
                <w:rFonts w:asciiTheme="majorHAnsi" w:hAnsiTheme="majorHAnsi" w:cs="Arial"/>
                <w:color w:val="595959" w:themeColor="text1" w:themeTint="A6"/>
                <w:sz w:val="21"/>
                <w:szCs w:val="21"/>
              </w:rPr>
            </w:pPr>
            <w:r w:rsidRPr="00D02A6B">
              <w:rPr>
                <w:rFonts w:asciiTheme="majorHAnsi" w:hAnsiTheme="majorHAnsi" w:cs="Arial"/>
                <w:color w:val="595959" w:themeColor="text1" w:themeTint="A6"/>
                <w:sz w:val="21"/>
                <w:szCs w:val="21"/>
              </w:rPr>
              <w:t xml:space="preserve">DFAT will have a key role in leading policy dialogue and engagement with GOI and ensuring strategic oversight of the running of the facility. </w:t>
            </w:r>
            <w:r w:rsidR="00A64ACB">
              <w:rPr>
                <w:rFonts w:asciiTheme="majorHAnsi" w:hAnsiTheme="majorHAnsi" w:cs="Arial"/>
                <w:color w:val="595959" w:themeColor="text1" w:themeTint="A6"/>
                <w:sz w:val="21"/>
                <w:szCs w:val="21"/>
              </w:rPr>
              <w:t xml:space="preserve">Post’s Health Unit will oversee the AIHSP and provision of strategic advice to DFAT management, facility contract management, management of working-level relationships with GOI, M&amp;E in accordance with DFAT’s PAF and aid quality processes, and program reporting and communications. </w:t>
            </w:r>
            <w:r w:rsidR="002A71E4">
              <w:rPr>
                <w:rFonts w:asciiTheme="majorHAnsi" w:hAnsiTheme="majorHAnsi" w:cs="Arial"/>
                <w:color w:val="595959" w:themeColor="text1" w:themeTint="A6"/>
                <w:sz w:val="21"/>
                <w:szCs w:val="21"/>
              </w:rPr>
              <w:t xml:space="preserve">The Health Unit will also maintain close engagement with CHS and DAWR throughout program implementation. </w:t>
            </w:r>
          </w:p>
          <w:p w:rsidR="006A15A7" w:rsidRDefault="00D02A6B" w:rsidP="006A15A7">
            <w:pPr>
              <w:spacing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Further, w</w:t>
            </w:r>
            <w:r w:rsidR="006A15A7" w:rsidRPr="006A15A7">
              <w:rPr>
                <w:rFonts w:asciiTheme="majorHAnsi" w:hAnsiTheme="majorHAnsi" w:cs="Arial"/>
                <w:color w:val="595959" w:themeColor="text1" w:themeTint="A6"/>
                <w:sz w:val="21"/>
                <w:szCs w:val="21"/>
              </w:rPr>
              <w:t xml:space="preserve">hile many activities will be contracted directly by the managing contractor, others </w:t>
            </w:r>
            <w:r w:rsidR="000D7868">
              <w:rPr>
                <w:rFonts w:asciiTheme="majorHAnsi" w:hAnsiTheme="majorHAnsi" w:cs="Arial"/>
                <w:color w:val="595959" w:themeColor="text1" w:themeTint="A6"/>
                <w:sz w:val="21"/>
                <w:szCs w:val="21"/>
              </w:rPr>
              <w:t>may</w:t>
            </w:r>
            <w:r w:rsidR="006A15A7" w:rsidRPr="006A15A7">
              <w:rPr>
                <w:rFonts w:asciiTheme="majorHAnsi" w:hAnsiTheme="majorHAnsi" w:cs="Arial"/>
                <w:color w:val="595959" w:themeColor="text1" w:themeTint="A6"/>
                <w:sz w:val="21"/>
                <w:szCs w:val="21"/>
              </w:rPr>
              <w:t xml:space="preserve"> be more ap</w:t>
            </w:r>
            <w:r w:rsidR="000D7868">
              <w:rPr>
                <w:rFonts w:asciiTheme="majorHAnsi" w:hAnsiTheme="majorHAnsi" w:cs="Arial"/>
                <w:color w:val="595959" w:themeColor="text1" w:themeTint="A6"/>
                <w:sz w:val="21"/>
                <w:szCs w:val="21"/>
              </w:rPr>
              <w:t xml:space="preserve">propriately contracted by DFAT </w:t>
            </w:r>
            <w:r w:rsidR="006A15A7" w:rsidRPr="006A15A7">
              <w:rPr>
                <w:rFonts w:asciiTheme="majorHAnsi" w:hAnsiTheme="majorHAnsi" w:cs="Arial"/>
                <w:color w:val="595959" w:themeColor="text1" w:themeTint="A6"/>
                <w:sz w:val="21"/>
                <w:szCs w:val="21"/>
              </w:rPr>
              <w:t>to avoid the application of unnecessary management costs. Though we would expect that work</w:t>
            </w:r>
            <w:r>
              <w:rPr>
                <w:rFonts w:asciiTheme="majorHAnsi" w:hAnsiTheme="majorHAnsi" w:cs="Arial"/>
                <w:color w:val="595959" w:themeColor="text1" w:themeTint="A6"/>
                <w:sz w:val="21"/>
                <w:szCs w:val="21"/>
              </w:rPr>
              <w:t xml:space="preserve"> contracted by DFAT would still be </w:t>
            </w:r>
            <w:r w:rsidR="006A15A7" w:rsidRPr="006A15A7">
              <w:rPr>
                <w:rFonts w:asciiTheme="majorHAnsi" w:hAnsiTheme="majorHAnsi" w:cs="Arial"/>
                <w:color w:val="595959" w:themeColor="text1" w:themeTint="A6"/>
                <w:sz w:val="21"/>
                <w:szCs w:val="21"/>
              </w:rPr>
              <w:t>oversighted by the managing contractor.</w:t>
            </w:r>
          </w:p>
          <w:p w:rsidR="00EF496B" w:rsidRDefault="00EF496B" w:rsidP="006A15A7">
            <w:pPr>
              <w:spacing w:line="240" w:lineRule="auto"/>
              <w:rPr>
                <w:rFonts w:asciiTheme="majorHAnsi" w:hAnsiTheme="majorHAnsi" w:cs="Arial"/>
                <w:color w:val="595959" w:themeColor="text1" w:themeTint="A6"/>
                <w:sz w:val="21"/>
                <w:szCs w:val="21"/>
              </w:rPr>
            </w:pPr>
            <w:r w:rsidRPr="00EF496B">
              <w:rPr>
                <w:rFonts w:asciiTheme="majorHAnsi" w:hAnsiTheme="majorHAnsi" w:cs="Arial"/>
                <w:color w:val="595959" w:themeColor="text1" w:themeTint="A6"/>
                <w:sz w:val="21"/>
                <w:szCs w:val="21"/>
              </w:rPr>
              <w:t>The program could also benefit from ensuring Indonesian technical experts are embedded with the managing contractor and seeking regular technical advice from the</w:t>
            </w:r>
            <w:r>
              <w:rPr>
                <w:rFonts w:asciiTheme="majorHAnsi" w:hAnsiTheme="majorHAnsi" w:cs="Arial"/>
                <w:color w:val="595959" w:themeColor="text1" w:themeTint="A6"/>
                <w:sz w:val="21"/>
                <w:szCs w:val="21"/>
              </w:rPr>
              <w:t xml:space="preserve"> CHS’ Technical Reference Group</w:t>
            </w:r>
            <w:r w:rsidRPr="00EF496B">
              <w:rPr>
                <w:rFonts w:asciiTheme="majorHAnsi" w:hAnsiTheme="majorHAnsi" w:cs="Arial"/>
                <w:color w:val="595959" w:themeColor="text1" w:themeTint="A6"/>
                <w:sz w:val="21"/>
                <w:szCs w:val="21"/>
              </w:rPr>
              <w:t>.</w:t>
            </w:r>
          </w:p>
          <w:p w:rsidR="000C432B" w:rsidRDefault="000C432B" w:rsidP="006A15A7">
            <w:pPr>
              <w:spacing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 xml:space="preserve">An outline of governance arrangements can be found at attachment B. </w:t>
            </w:r>
          </w:p>
          <w:p w:rsidR="0028649B" w:rsidRPr="0053293C" w:rsidRDefault="0028649B" w:rsidP="0028649B">
            <w:pPr>
              <w:suppressAutoHyphens w:val="0"/>
              <w:spacing w:after="0" w:line="240" w:lineRule="auto"/>
              <w:rPr>
                <w:rFonts w:asciiTheme="majorHAnsi" w:hAnsiTheme="majorHAnsi" w:cs="Arial"/>
                <w:i/>
                <w:color w:val="595959" w:themeColor="text1" w:themeTint="A6"/>
                <w:sz w:val="21"/>
                <w:szCs w:val="21"/>
                <w:lang w:val="en-US"/>
              </w:rPr>
            </w:pPr>
            <w:r w:rsidRPr="0053293C">
              <w:rPr>
                <w:rFonts w:asciiTheme="majorHAnsi" w:hAnsiTheme="majorHAnsi" w:cs="Arial"/>
                <w:i/>
                <w:color w:val="595959" w:themeColor="text1" w:themeTint="A6"/>
                <w:sz w:val="21"/>
                <w:szCs w:val="21"/>
                <w:lang w:val="en-US"/>
              </w:rPr>
              <w:t xml:space="preserve">Subsidiary arrangement </w:t>
            </w:r>
          </w:p>
          <w:p w:rsidR="0028649B" w:rsidRPr="000D7868" w:rsidRDefault="0028649B" w:rsidP="000D7868">
            <w:pPr>
              <w:suppressAutoHyphens w:val="0"/>
              <w:spacing w:after="0" w:line="240" w:lineRule="auto"/>
              <w:rPr>
                <w:rFonts w:asciiTheme="majorHAnsi" w:hAnsiTheme="majorHAnsi" w:cs="Arial"/>
                <w:color w:val="595959" w:themeColor="text1" w:themeTint="A6"/>
                <w:sz w:val="21"/>
                <w:szCs w:val="21"/>
                <w:lang w:val="en-AU"/>
              </w:rPr>
            </w:pPr>
            <w:r w:rsidRPr="0053293C">
              <w:rPr>
                <w:rFonts w:asciiTheme="majorHAnsi" w:hAnsiTheme="majorHAnsi" w:cs="Arial"/>
                <w:color w:val="595959" w:themeColor="text1" w:themeTint="A6"/>
                <w:sz w:val="21"/>
                <w:szCs w:val="21"/>
                <w:lang w:val="en-AU"/>
              </w:rPr>
              <w:t xml:space="preserve">The subsidiary arrangement for AIPEID under the bilateral development cooperation treaty expires in December 2018, and currently </w:t>
            </w:r>
            <w:r w:rsidR="00B7735D">
              <w:rPr>
                <w:rFonts w:asciiTheme="majorHAnsi" w:hAnsiTheme="majorHAnsi" w:cs="Arial"/>
                <w:color w:val="595959" w:themeColor="text1" w:themeTint="A6"/>
                <w:sz w:val="21"/>
                <w:szCs w:val="21"/>
                <w:lang w:val="en-AU"/>
              </w:rPr>
              <w:t>is an agreement</w:t>
            </w:r>
            <w:r w:rsidR="00B7735D" w:rsidRPr="0053293C">
              <w:rPr>
                <w:rFonts w:asciiTheme="majorHAnsi" w:hAnsiTheme="majorHAnsi" w:cs="Arial"/>
                <w:color w:val="595959" w:themeColor="text1" w:themeTint="A6"/>
                <w:sz w:val="21"/>
                <w:szCs w:val="21"/>
                <w:lang w:val="en-AU"/>
              </w:rPr>
              <w:t xml:space="preserve"> </w:t>
            </w:r>
            <w:r w:rsidR="000D7868">
              <w:rPr>
                <w:rFonts w:asciiTheme="majorHAnsi" w:hAnsiTheme="majorHAnsi" w:cs="Arial"/>
                <w:color w:val="595959" w:themeColor="text1" w:themeTint="A6"/>
                <w:sz w:val="21"/>
                <w:szCs w:val="21"/>
                <w:lang w:val="en-AU"/>
              </w:rPr>
              <w:t xml:space="preserve">between DFAT and </w:t>
            </w:r>
            <w:r w:rsidRPr="0053293C">
              <w:rPr>
                <w:rFonts w:asciiTheme="majorHAnsi" w:hAnsiTheme="majorHAnsi" w:cs="Arial"/>
                <w:color w:val="595959" w:themeColor="text1" w:themeTint="A6"/>
                <w:sz w:val="21"/>
                <w:szCs w:val="21"/>
                <w:lang w:val="en-AU"/>
              </w:rPr>
              <w:t>the Ministry of Finance (with MOA as executing agency) and is limited to animal health</w:t>
            </w:r>
            <w:r w:rsidR="00FE4272">
              <w:rPr>
                <w:rFonts w:asciiTheme="majorHAnsi" w:hAnsiTheme="majorHAnsi" w:cs="Arial"/>
                <w:color w:val="595959" w:themeColor="text1" w:themeTint="A6"/>
                <w:sz w:val="21"/>
                <w:szCs w:val="21"/>
                <w:lang w:val="en-AU"/>
              </w:rPr>
              <w:t xml:space="preserve">. </w:t>
            </w:r>
            <w:r w:rsidRPr="0053293C">
              <w:rPr>
                <w:rFonts w:asciiTheme="majorHAnsi" w:hAnsiTheme="majorHAnsi" w:cs="Arial"/>
                <w:color w:val="595959" w:themeColor="text1" w:themeTint="A6"/>
                <w:sz w:val="21"/>
                <w:szCs w:val="21"/>
                <w:lang w:val="en-AU"/>
              </w:rPr>
              <w:t>The new SA will serve as an umbrella agreement for all DFAT-funded health-security activities and arrangements.</w:t>
            </w:r>
            <w:r w:rsidR="000D7868">
              <w:rPr>
                <w:rFonts w:asciiTheme="majorHAnsi" w:hAnsiTheme="majorHAnsi" w:cs="Arial"/>
                <w:color w:val="595959" w:themeColor="text1" w:themeTint="A6"/>
                <w:sz w:val="21"/>
                <w:szCs w:val="21"/>
                <w:lang w:val="en-AU"/>
              </w:rPr>
              <w:t xml:space="preserve"> An option we will explore during consultations will include </w:t>
            </w:r>
            <w:r w:rsidRPr="000D7868">
              <w:rPr>
                <w:rFonts w:asciiTheme="majorHAnsi" w:hAnsiTheme="majorHAnsi" w:cs="Arial"/>
                <w:color w:val="595959" w:themeColor="text1" w:themeTint="A6"/>
                <w:sz w:val="21"/>
                <w:szCs w:val="21"/>
              </w:rPr>
              <w:t xml:space="preserve">Subsidiary arrangement with Ministry of Finance </w:t>
            </w:r>
            <w:r w:rsidR="00DC6E16">
              <w:rPr>
                <w:rFonts w:asciiTheme="majorHAnsi" w:hAnsiTheme="majorHAnsi" w:cs="Arial"/>
                <w:color w:val="595959" w:themeColor="text1" w:themeTint="A6"/>
                <w:sz w:val="21"/>
                <w:szCs w:val="21"/>
              </w:rPr>
              <w:t xml:space="preserve">(as is currently in the place) </w:t>
            </w:r>
            <w:r w:rsidRPr="000D7868">
              <w:rPr>
                <w:rFonts w:asciiTheme="majorHAnsi" w:hAnsiTheme="majorHAnsi" w:cs="Arial"/>
                <w:color w:val="595959" w:themeColor="text1" w:themeTint="A6"/>
                <w:sz w:val="21"/>
                <w:szCs w:val="21"/>
              </w:rPr>
              <w:t xml:space="preserve">covering both human and animal health with MoA </w:t>
            </w:r>
            <w:r w:rsidR="00DC6E16">
              <w:rPr>
                <w:rFonts w:asciiTheme="majorHAnsi" w:hAnsiTheme="majorHAnsi" w:cs="Arial"/>
                <w:color w:val="595959" w:themeColor="text1" w:themeTint="A6"/>
                <w:sz w:val="21"/>
                <w:szCs w:val="21"/>
              </w:rPr>
              <w:t xml:space="preserve">and </w:t>
            </w:r>
            <w:r w:rsidRPr="000D7868">
              <w:rPr>
                <w:rFonts w:asciiTheme="majorHAnsi" w:hAnsiTheme="majorHAnsi" w:cs="Arial"/>
                <w:color w:val="595959" w:themeColor="text1" w:themeTint="A6"/>
                <w:sz w:val="21"/>
                <w:szCs w:val="21"/>
              </w:rPr>
              <w:t>MOH</w:t>
            </w:r>
            <w:r w:rsidR="00FE4272">
              <w:rPr>
                <w:rFonts w:asciiTheme="majorHAnsi" w:hAnsiTheme="majorHAnsi" w:cs="Arial"/>
                <w:color w:val="595959" w:themeColor="text1" w:themeTint="A6"/>
                <w:sz w:val="21"/>
                <w:szCs w:val="21"/>
              </w:rPr>
              <w:t xml:space="preserve">, and </w:t>
            </w:r>
            <w:r w:rsidR="00DC6E16">
              <w:rPr>
                <w:rFonts w:asciiTheme="majorHAnsi" w:hAnsiTheme="majorHAnsi" w:cs="Arial"/>
                <w:color w:val="595959" w:themeColor="text1" w:themeTint="A6"/>
                <w:sz w:val="21"/>
                <w:szCs w:val="21"/>
              </w:rPr>
              <w:t xml:space="preserve">potentially </w:t>
            </w:r>
            <w:r w:rsidRPr="000D7868">
              <w:rPr>
                <w:rFonts w:asciiTheme="majorHAnsi" w:hAnsiTheme="majorHAnsi" w:cs="Arial"/>
                <w:color w:val="595959" w:themeColor="text1" w:themeTint="A6"/>
                <w:sz w:val="21"/>
                <w:szCs w:val="21"/>
              </w:rPr>
              <w:t>PMK as executing</w:t>
            </w:r>
            <w:r w:rsidR="00FE4272">
              <w:rPr>
                <w:rFonts w:asciiTheme="majorHAnsi" w:hAnsiTheme="majorHAnsi" w:cs="Arial"/>
                <w:color w:val="595959" w:themeColor="text1" w:themeTint="A6"/>
                <w:sz w:val="21"/>
                <w:szCs w:val="21"/>
              </w:rPr>
              <w:t xml:space="preserve">/implementing </w:t>
            </w:r>
            <w:r w:rsidRPr="000D7868">
              <w:rPr>
                <w:rFonts w:asciiTheme="majorHAnsi" w:hAnsiTheme="majorHAnsi" w:cs="Arial"/>
                <w:color w:val="595959" w:themeColor="text1" w:themeTint="A6"/>
                <w:sz w:val="21"/>
                <w:szCs w:val="21"/>
              </w:rPr>
              <w:t>agencies</w:t>
            </w:r>
            <w:r w:rsidR="00FE4272">
              <w:rPr>
                <w:rFonts w:asciiTheme="majorHAnsi" w:hAnsiTheme="majorHAnsi" w:cs="Arial"/>
                <w:color w:val="595959" w:themeColor="text1" w:themeTint="A6"/>
                <w:sz w:val="21"/>
                <w:szCs w:val="21"/>
              </w:rPr>
              <w:t xml:space="preserve"> (similar to KOMPAK’s SA)</w:t>
            </w:r>
            <w:r w:rsidR="000D7868">
              <w:rPr>
                <w:rFonts w:asciiTheme="majorHAnsi" w:hAnsiTheme="majorHAnsi" w:cs="Arial"/>
                <w:color w:val="595959" w:themeColor="text1" w:themeTint="A6"/>
                <w:sz w:val="21"/>
                <w:szCs w:val="21"/>
              </w:rPr>
              <w:t>.</w:t>
            </w:r>
          </w:p>
          <w:p w:rsidR="009845E8" w:rsidRPr="00BF5BBC" w:rsidRDefault="009845E8"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AU"/>
              </w:rPr>
              <w:t xml:space="preserve">The approach outlined above addresses key shortfalls of the existing AIPEID program – including the need for more strategic, senior-level engagement with the Indonesian Ministries of Health and Agriculture and counterpart Australian agencies. </w:t>
            </w:r>
            <w:r w:rsidRPr="00BF5BBC">
              <w:rPr>
                <w:rFonts w:asciiTheme="majorHAnsi" w:hAnsiTheme="majorHAnsi" w:cs="Arial"/>
                <w:color w:val="595959" w:themeColor="text1" w:themeTint="A6"/>
                <w:sz w:val="21"/>
                <w:szCs w:val="21"/>
                <w:lang w:val="en-US"/>
              </w:rPr>
              <w:t>It will also encourage a more integrated and coordinated “</w:t>
            </w:r>
            <w:r w:rsidRPr="00BF5BBC">
              <w:rPr>
                <w:rFonts w:asciiTheme="majorHAnsi" w:hAnsiTheme="majorHAnsi" w:cs="Arial"/>
                <w:b/>
                <w:color w:val="595959" w:themeColor="text1" w:themeTint="A6"/>
                <w:sz w:val="21"/>
                <w:szCs w:val="21"/>
                <w:lang w:val="en-US"/>
              </w:rPr>
              <w:t>One Health” approach</w:t>
            </w:r>
            <w:r w:rsidRPr="00BF5BBC">
              <w:rPr>
                <w:rFonts w:asciiTheme="majorHAnsi" w:hAnsiTheme="majorHAnsi" w:cs="Arial"/>
                <w:color w:val="595959" w:themeColor="text1" w:themeTint="A6"/>
                <w:sz w:val="21"/>
                <w:szCs w:val="21"/>
                <w:lang w:val="en-US"/>
              </w:rPr>
              <w:t xml:space="preserve"> – an area that faltered under AIPEID, partly due to separate grant arrangements with DAWR and WHO. The facility model will help </w:t>
            </w:r>
            <w:r w:rsidRPr="00BF5BBC">
              <w:rPr>
                <w:rFonts w:asciiTheme="majorHAnsi" w:hAnsiTheme="majorHAnsi" w:cs="Arial"/>
                <w:color w:val="595959" w:themeColor="text1" w:themeTint="A6"/>
                <w:sz w:val="21"/>
                <w:szCs w:val="21"/>
                <w:lang w:val="en-AU"/>
              </w:rPr>
              <w:t>ensure greater oversight and coordination across human and animal health activities.</w:t>
            </w:r>
            <w:r w:rsidRPr="00BF5BBC">
              <w:rPr>
                <w:rFonts w:asciiTheme="majorHAnsi" w:hAnsiTheme="majorHAnsi" w:cs="Arial"/>
                <w:color w:val="595959" w:themeColor="text1" w:themeTint="A6"/>
                <w:sz w:val="21"/>
                <w:szCs w:val="21"/>
                <w:lang w:val="en-US"/>
              </w:rPr>
              <w:t xml:space="preserve"> It will bring senior </w:t>
            </w:r>
            <w:r w:rsidR="00C6079E">
              <w:rPr>
                <w:rFonts w:asciiTheme="majorHAnsi" w:hAnsiTheme="majorHAnsi" w:cs="Arial"/>
                <w:color w:val="595959" w:themeColor="text1" w:themeTint="A6"/>
                <w:sz w:val="21"/>
                <w:szCs w:val="21"/>
                <w:lang w:val="en-US"/>
              </w:rPr>
              <w:t>GOI</w:t>
            </w:r>
            <w:r w:rsidRPr="00BF5BBC">
              <w:rPr>
                <w:rFonts w:asciiTheme="majorHAnsi" w:hAnsiTheme="majorHAnsi" w:cs="Arial"/>
                <w:color w:val="595959" w:themeColor="text1" w:themeTint="A6"/>
                <w:sz w:val="21"/>
                <w:szCs w:val="21"/>
                <w:lang w:val="en-US"/>
              </w:rPr>
              <w:t xml:space="preserve"> officials</w:t>
            </w:r>
            <w:r w:rsidR="00C6079E">
              <w:rPr>
                <w:rFonts w:asciiTheme="majorHAnsi" w:hAnsiTheme="majorHAnsi" w:cs="Arial"/>
                <w:color w:val="595959" w:themeColor="text1" w:themeTint="A6"/>
                <w:sz w:val="21"/>
                <w:szCs w:val="21"/>
                <w:lang w:val="en-US"/>
              </w:rPr>
              <w:t xml:space="preserve"> – from various ministries –</w:t>
            </w:r>
            <w:r w:rsidRPr="00BF5BBC">
              <w:rPr>
                <w:rFonts w:asciiTheme="majorHAnsi" w:hAnsiTheme="majorHAnsi" w:cs="Arial"/>
                <w:color w:val="595959" w:themeColor="text1" w:themeTint="A6"/>
                <w:sz w:val="21"/>
                <w:szCs w:val="21"/>
                <w:lang w:val="en-US"/>
              </w:rPr>
              <w:t xml:space="preserve"> to the table to agree priority activities together and oversee their implementation. </w:t>
            </w:r>
          </w:p>
          <w:p w:rsidR="003C3E68" w:rsidRDefault="009845E8" w:rsidP="003C3E68">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 addition, the facility model provides </w:t>
            </w:r>
            <w:r w:rsidRPr="00BF5BBC">
              <w:rPr>
                <w:rFonts w:asciiTheme="majorHAnsi" w:hAnsiTheme="majorHAnsi" w:cs="Arial"/>
                <w:b/>
                <w:color w:val="595959" w:themeColor="text1" w:themeTint="A6"/>
                <w:sz w:val="21"/>
                <w:szCs w:val="21"/>
                <w:lang w:val="en-US"/>
              </w:rPr>
              <w:t>flexibility</w:t>
            </w:r>
            <w:r w:rsidRPr="00BF5BBC">
              <w:rPr>
                <w:rFonts w:asciiTheme="majorHAnsi" w:hAnsiTheme="majorHAnsi" w:cs="Arial"/>
                <w:color w:val="595959" w:themeColor="text1" w:themeTint="A6"/>
                <w:sz w:val="21"/>
                <w:szCs w:val="21"/>
                <w:lang w:val="en-US"/>
              </w:rPr>
              <w:t xml:space="preserve"> by allowing Post to be more responsive to the Indonesian Government’s needs, including those identified through the recent JEE, and to capitalise on opportunities as they arise.</w:t>
            </w:r>
            <w:r w:rsidR="003C3E68">
              <w:rPr>
                <w:rFonts w:asciiTheme="majorHAnsi" w:hAnsiTheme="majorHAnsi" w:cs="Arial"/>
                <w:color w:val="595959" w:themeColor="text1" w:themeTint="A6"/>
                <w:sz w:val="21"/>
                <w:szCs w:val="21"/>
                <w:lang w:val="en-US"/>
              </w:rPr>
              <w:t xml:space="preserve"> </w:t>
            </w:r>
          </w:p>
          <w:p w:rsidR="00071392" w:rsidRPr="00BF5BBC" w:rsidRDefault="006E566F" w:rsidP="003C3E68">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With clear objectives identified, clear governance structure outlined, role and pathway for DFAT policy dialogue identified, this design concept addresses the key areas outlined in DFAT’s delegate checklist for approving facilities. </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t xml:space="preserve">E: Risk assessment approach (What might go wrong?)  </w:t>
            </w:r>
          </w:p>
        </w:tc>
      </w:tr>
      <w:tr w:rsidR="004C10EA" w:rsidRPr="00966957" w:rsidTr="00264300">
        <w:trPr>
          <w:cantSplit w:val="0"/>
        </w:trPr>
        <w:tc>
          <w:tcPr>
            <w:tcW w:w="9606" w:type="dxa"/>
          </w:tcPr>
          <w:p w:rsidR="00A6299A" w:rsidRPr="00BF5BBC" w:rsidRDefault="001C24C0" w:rsidP="00A72CFB">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One of the key risks of the program is</w:t>
            </w:r>
            <w:r w:rsidR="00771198" w:rsidRPr="00BF5BBC">
              <w:rPr>
                <w:rFonts w:asciiTheme="majorHAnsi" w:hAnsiTheme="majorHAnsi" w:cs="Arial"/>
                <w:color w:val="595959" w:themeColor="text1" w:themeTint="A6"/>
                <w:sz w:val="21"/>
                <w:szCs w:val="21"/>
              </w:rPr>
              <w:t xml:space="preserve"> that activities and investments taken forward under the Facility are adhoc and </w:t>
            </w:r>
            <w:r w:rsidR="00A872EC" w:rsidRPr="00BF5BBC">
              <w:rPr>
                <w:rFonts w:asciiTheme="majorHAnsi" w:hAnsiTheme="majorHAnsi" w:cs="Arial"/>
                <w:color w:val="595959" w:themeColor="text1" w:themeTint="A6"/>
                <w:sz w:val="21"/>
                <w:szCs w:val="21"/>
              </w:rPr>
              <w:t>incoherent</w:t>
            </w:r>
            <w:r w:rsidR="00771198" w:rsidRPr="00BF5BBC">
              <w:rPr>
                <w:rFonts w:asciiTheme="majorHAnsi" w:hAnsiTheme="majorHAnsi" w:cs="Arial"/>
                <w:color w:val="595959" w:themeColor="text1" w:themeTint="A6"/>
                <w:sz w:val="21"/>
                <w:szCs w:val="21"/>
              </w:rPr>
              <w:t xml:space="preserve">, compromising strategic focus and sustainability. There are also multi-sectoral challenges working with a ‘one health’ outlook, and risks of poor government buy-in. </w:t>
            </w:r>
            <w:r w:rsidRPr="00BF5BBC">
              <w:rPr>
                <w:rFonts w:asciiTheme="majorHAnsi" w:hAnsiTheme="majorHAnsi" w:cs="Arial"/>
                <w:color w:val="595959" w:themeColor="text1" w:themeTint="A6"/>
                <w:sz w:val="21"/>
                <w:szCs w:val="21"/>
              </w:rPr>
              <w:t>Such risk</w:t>
            </w:r>
            <w:r w:rsidR="00200945" w:rsidRPr="00BF5BBC">
              <w:rPr>
                <w:rFonts w:asciiTheme="majorHAnsi" w:hAnsiTheme="majorHAnsi" w:cs="Arial"/>
                <w:color w:val="595959" w:themeColor="text1" w:themeTint="A6"/>
                <w:sz w:val="21"/>
                <w:szCs w:val="21"/>
              </w:rPr>
              <w:t xml:space="preserve">s can be mitigated with extensive stakeholder consultations throughout design and program implementation, clearly defined outcomes and investment criteria, </w:t>
            </w:r>
            <w:r w:rsidR="00771198" w:rsidRPr="00BF5BBC">
              <w:rPr>
                <w:rFonts w:asciiTheme="majorHAnsi" w:hAnsiTheme="majorHAnsi" w:cs="Arial"/>
                <w:color w:val="595959" w:themeColor="text1" w:themeTint="A6"/>
                <w:sz w:val="21"/>
                <w:szCs w:val="21"/>
              </w:rPr>
              <w:t xml:space="preserve">inclusive </w:t>
            </w:r>
            <w:r w:rsidR="00200945" w:rsidRPr="00BF5BBC">
              <w:rPr>
                <w:rFonts w:asciiTheme="majorHAnsi" w:hAnsiTheme="majorHAnsi" w:cs="Arial"/>
                <w:color w:val="595959" w:themeColor="text1" w:themeTint="A6"/>
                <w:sz w:val="21"/>
                <w:szCs w:val="21"/>
              </w:rPr>
              <w:t xml:space="preserve">governance </w:t>
            </w:r>
            <w:r w:rsidR="00771198" w:rsidRPr="00BF5BBC">
              <w:rPr>
                <w:rFonts w:asciiTheme="majorHAnsi" w:hAnsiTheme="majorHAnsi" w:cs="Arial"/>
                <w:color w:val="595959" w:themeColor="text1" w:themeTint="A6"/>
                <w:sz w:val="21"/>
                <w:szCs w:val="21"/>
              </w:rPr>
              <w:t>mechanisms</w:t>
            </w:r>
            <w:r w:rsidR="00200945" w:rsidRPr="00BF5BBC">
              <w:rPr>
                <w:rFonts w:asciiTheme="majorHAnsi" w:hAnsiTheme="majorHAnsi" w:cs="Arial"/>
                <w:color w:val="595959" w:themeColor="text1" w:themeTint="A6"/>
                <w:sz w:val="21"/>
                <w:szCs w:val="21"/>
              </w:rPr>
              <w:t xml:space="preserve"> that engage senior-level government officials</w:t>
            </w:r>
            <w:r w:rsidR="00771198" w:rsidRPr="00BF5BBC">
              <w:rPr>
                <w:rFonts w:asciiTheme="majorHAnsi" w:hAnsiTheme="majorHAnsi" w:cs="Arial"/>
                <w:color w:val="595959" w:themeColor="text1" w:themeTint="A6"/>
                <w:sz w:val="21"/>
                <w:szCs w:val="21"/>
              </w:rPr>
              <w:t xml:space="preserve"> across ministries</w:t>
            </w:r>
            <w:r w:rsidR="00200945" w:rsidRPr="00BF5BBC">
              <w:rPr>
                <w:rFonts w:asciiTheme="majorHAnsi" w:hAnsiTheme="majorHAnsi" w:cs="Arial"/>
                <w:color w:val="595959" w:themeColor="text1" w:themeTint="A6"/>
                <w:sz w:val="21"/>
                <w:szCs w:val="21"/>
              </w:rPr>
              <w:t>, and strong DFAT-led policy engagement</w:t>
            </w:r>
            <w:r w:rsidR="003741F2" w:rsidRPr="00BF5BBC">
              <w:rPr>
                <w:rFonts w:asciiTheme="majorHAnsi" w:hAnsiTheme="majorHAnsi" w:cs="Arial"/>
                <w:color w:val="595959" w:themeColor="text1" w:themeTint="A6"/>
                <w:sz w:val="21"/>
                <w:szCs w:val="21"/>
              </w:rPr>
              <w:t>.</w:t>
            </w:r>
            <w:r w:rsidR="00A6299A" w:rsidRPr="00BF5BBC">
              <w:rPr>
                <w:rFonts w:asciiTheme="majorHAnsi" w:hAnsiTheme="majorHAnsi" w:cs="Arial"/>
                <w:color w:val="595959" w:themeColor="text1" w:themeTint="A6"/>
                <w:sz w:val="21"/>
                <w:szCs w:val="21"/>
              </w:rPr>
              <w:t xml:space="preserve"> </w:t>
            </w:r>
          </w:p>
          <w:p w:rsidR="00A6299A" w:rsidRDefault="00A6299A" w:rsidP="00A6299A">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Further, to ensure coherence of DFAT’s health security investments in Indonesia, all country-level investment from the Health Security Centre (or the Innovation xChange) will fall under the new AIHSP, with activities prioritised and agreed by the PCC). This will also help secure government buy-in and oversight of DFAT-supported activities.</w:t>
            </w:r>
          </w:p>
          <w:p w:rsidR="00F84664" w:rsidRDefault="00F84664" w:rsidP="00A6299A">
            <w:pPr>
              <w:suppressAutoHyphens w:val="0"/>
              <w:spacing w:after="0" w:line="240" w:lineRule="auto"/>
            </w:pPr>
            <w:r>
              <w:rPr>
                <w:rFonts w:asciiTheme="majorHAnsi" w:hAnsiTheme="majorHAnsi" w:cs="Arial"/>
                <w:color w:val="595959" w:themeColor="text1" w:themeTint="A6"/>
                <w:sz w:val="21"/>
                <w:szCs w:val="21"/>
              </w:rPr>
              <w:t xml:space="preserve">There are program transition risks; the Ministry of Agriculture preference engaging DAWR over DFAT due to their longstanding relationship under AIPEID and their in-built veterinary expertise. Early DFAT engagement with MoA has commenced to ensure a smooth transition. MoA will be assured of ongoing DAWR engagement under the new program. We also expect the </w:t>
            </w:r>
            <w:r w:rsidRPr="00F84664">
              <w:rPr>
                <w:rFonts w:asciiTheme="majorHAnsi" w:hAnsiTheme="majorHAnsi" w:cs="Arial"/>
                <w:color w:val="595959" w:themeColor="text1" w:themeTint="A6"/>
                <w:sz w:val="21"/>
                <w:szCs w:val="21"/>
              </w:rPr>
              <w:t xml:space="preserve">managing contractor </w:t>
            </w:r>
            <w:r>
              <w:rPr>
                <w:rFonts w:asciiTheme="majorHAnsi" w:hAnsiTheme="majorHAnsi" w:cs="Arial"/>
                <w:color w:val="595959" w:themeColor="text1" w:themeTint="A6"/>
                <w:sz w:val="21"/>
                <w:szCs w:val="21"/>
              </w:rPr>
              <w:t>to</w:t>
            </w:r>
            <w:r w:rsidRPr="00F84664">
              <w:rPr>
                <w:rFonts w:asciiTheme="majorHAnsi" w:hAnsiTheme="majorHAnsi" w:cs="Arial"/>
                <w:color w:val="595959" w:themeColor="text1" w:themeTint="A6"/>
                <w:sz w:val="21"/>
                <w:szCs w:val="21"/>
              </w:rPr>
              <w:t xml:space="preserve"> eng</w:t>
            </w:r>
            <w:r>
              <w:rPr>
                <w:rFonts w:asciiTheme="majorHAnsi" w:hAnsiTheme="majorHAnsi" w:cs="Arial"/>
                <w:color w:val="595959" w:themeColor="text1" w:themeTint="A6"/>
                <w:sz w:val="21"/>
                <w:szCs w:val="21"/>
              </w:rPr>
              <w:t>a</w:t>
            </w:r>
            <w:r w:rsidRPr="00F84664">
              <w:rPr>
                <w:rFonts w:asciiTheme="majorHAnsi" w:hAnsiTheme="majorHAnsi" w:cs="Arial"/>
                <w:color w:val="595959" w:themeColor="text1" w:themeTint="A6"/>
                <w:sz w:val="21"/>
                <w:szCs w:val="21"/>
              </w:rPr>
              <w:t xml:space="preserve">ge </w:t>
            </w:r>
            <w:r>
              <w:rPr>
                <w:rFonts w:asciiTheme="majorHAnsi" w:hAnsiTheme="majorHAnsi" w:cs="Arial"/>
                <w:color w:val="595959" w:themeColor="text1" w:themeTint="A6"/>
                <w:sz w:val="21"/>
                <w:szCs w:val="21"/>
              </w:rPr>
              <w:t>appropriate animal health</w:t>
            </w:r>
            <w:r w:rsidRPr="00F84664">
              <w:rPr>
                <w:rFonts w:asciiTheme="majorHAnsi" w:hAnsiTheme="majorHAnsi" w:cs="Arial"/>
                <w:color w:val="595959" w:themeColor="text1" w:themeTint="A6"/>
                <w:sz w:val="21"/>
                <w:szCs w:val="21"/>
              </w:rPr>
              <w:t xml:space="preserve"> expertise to ensure credibility and effective engagement </w:t>
            </w:r>
            <w:r>
              <w:rPr>
                <w:rFonts w:asciiTheme="majorHAnsi" w:hAnsiTheme="majorHAnsi" w:cs="Arial"/>
                <w:color w:val="595959" w:themeColor="text1" w:themeTint="A6"/>
                <w:sz w:val="21"/>
                <w:szCs w:val="21"/>
              </w:rPr>
              <w:t>with MOA</w:t>
            </w:r>
            <w:r w:rsidRPr="00F84664">
              <w:rPr>
                <w:rFonts w:asciiTheme="majorHAnsi" w:hAnsiTheme="majorHAnsi" w:cs="Arial"/>
                <w:color w:val="595959" w:themeColor="text1" w:themeTint="A6"/>
                <w:sz w:val="21"/>
                <w:szCs w:val="21"/>
              </w:rPr>
              <w:t>.</w:t>
            </w:r>
            <w:r>
              <w:t xml:space="preserve"> </w:t>
            </w:r>
          </w:p>
          <w:p w:rsidR="008351E1" w:rsidRPr="00BF5BBC" w:rsidRDefault="008351E1" w:rsidP="00BF5BB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Should there be delays in finalising the contractual</w:t>
            </w:r>
            <w:r w:rsidR="007F0B73">
              <w:rPr>
                <w:rFonts w:asciiTheme="majorHAnsi" w:hAnsiTheme="majorHAnsi" w:cs="Arial"/>
                <w:color w:val="595959" w:themeColor="text1" w:themeTint="A6"/>
                <w:sz w:val="21"/>
                <w:szCs w:val="21"/>
              </w:rPr>
              <w:t xml:space="preserve">, </w:t>
            </w:r>
            <w:r>
              <w:rPr>
                <w:rFonts w:asciiTheme="majorHAnsi" w:hAnsiTheme="majorHAnsi" w:cs="Arial"/>
                <w:color w:val="595959" w:themeColor="text1" w:themeTint="A6"/>
                <w:sz w:val="21"/>
                <w:szCs w:val="21"/>
              </w:rPr>
              <w:t xml:space="preserve">governance </w:t>
            </w:r>
            <w:r w:rsidR="007F0B73">
              <w:rPr>
                <w:rFonts w:asciiTheme="majorHAnsi" w:hAnsiTheme="majorHAnsi" w:cs="Arial"/>
                <w:color w:val="595959" w:themeColor="text1" w:themeTint="A6"/>
                <w:sz w:val="21"/>
                <w:szCs w:val="21"/>
              </w:rPr>
              <w:t>or mobilisatation arrangements</w:t>
            </w:r>
            <w:r>
              <w:rPr>
                <w:rFonts w:asciiTheme="majorHAnsi" w:hAnsiTheme="majorHAnsi" w:cs="Arial"/>
                <w:color w:val="595959" w:themeColor="text1" w:themeTint="A6"/>
                <w:sz w:val="21"/>
                <w:szCs w:val="21"/>
              </w:rPr>
              <w:t xml:space="preserve"> for the new program, DFAT can arrange to separately contract partners to continue</w:t>
            </w:r>
            <w:r w:rsidR="007F0B73">
              <w:rPr>
                <w:rFonts w:asciiTheme="majorHAnsi" w:hAnsiTheme="majorHAnsi" w:cs="Arial"/>
                <w:color w:val="595959" w:themeColor="text1" w:themeTint="A6"/>
                <w:sz w:val="21"/>
                <w:szCs w:val="21"/>
              </w:rPr>
              <w:t xml:space="preserve"> priority activities, for example, WHO or AusVET (under an extension of the existing SA). </w:t>
            </w:r>
            <w:r>
              <w:rPr>
                <w:rFonts w:asciiTheme="majorHAnsi" w:hAnsiTheme="majorHAnsi" w:cs="Arial"/>
                <w:color w:val="595959" w:themeColor="text1" w:themeTint="A6"/>
                <w:sz w:val="21"/>
                <w:szCs w:val="21"/>
              </w:rPr>
              <w:t xml:space="preserve"> </w:t>
            </w:r>
          </w:p>
          <w:p w:rsidR="00715D62" w:rsidRPr="00BF5BBC" w:rsidRDefault="004E76A1"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No</w:t>
            </w:r>
            <w:r w:rsidR="004E583D" w:rsidRPr="00BF5BBC">
              <w:rPr>
                <w:rFonts w:asciiTheme="majorHAnsi" w:hAnsiTheme="majorHAnsi" w:cs="Arial"/>
                <w:color w:val="595959" w:themeColor="text1" w:themeTint="A6"/>
                <w:sz w:val="21"/>
                <w:szCs w:val="21"/>
              </w:rPr>
              <w:t xml:space="preserve"> ‘work with children’ or ‘</w:t>
            </w:r>
            <w:r w:rsidRPr="00BF5BBC">
              <w:rPr>
                <w:rFonts w:asciiTheme="majorHAnsi" w:hAnsiTheme="majorHAnsi" w:cs="Arial"/>
                <w:color w:val="595959" w:themeColor="text1" w:themeTint="A6"/>
                <w:sz w:val="21"/>
                <w:szCs w:val="21"/>
              </w:rPr>
              <w:t>child-focused</w:t>
            </w:r>
            <w:r w:rsidR="004E583D" w:rsidRPr="00BF5BBC">
              <w:rPr>
                <w:rFonts w:asciiTheme="majorHAnsi" w:hAnsiTheme="majorHAnsi" w:cs="Arial"/>
                <w:color w:val="595959" w:themeColor="text1" w:themeTint="A6"/>
                <w:sz w:val="21"/>
                <w:szCs w:val="21"/>
              </w:rPr>
              <w:t>’</w:t>
            </w:r>
            <w:r w:rsidRPr="00BF5BBC">
              <w:rPr>
                <w:rFonts w:asciiTheme="majorHAnsi" w:hAnsiTheme="majorHAnsi" w:cs="Arial"/>
                <w:color w:val="595959" w:themeColor="text1" w:themeTint="A6"/>
                <w:sz w:val="21"/>
                <w:szCs w:val="21"/>
              </w:rPr>
              <w:t xml:space="preserve"> organisations are</w:t>
            </w:r>
            <w:r w:rsidR="004E583D" w:rsidRPr="00BF5BBC">
              <w:rPr>
                <w:rFonts w:asciiTheme="majorHAnsi" w:hAnsiTheme="majorHAnsi" w:cs="Arial"/>
                <w:color w:val="595959" w:themeColor="text1" w:themeTint="A6"/>
                <w:sz w:val="21"/>
                <w:szCs w:val="21"/>
              </w:rPr>
              <w:t xml:space="preserve"> involved in this initiative, and there are </w:t>
            </w:r>
            <w:r w:rsidRPr="00BF5BBC">
              <w:rPr>
                <w:rFonts w:asciiTheme="majorHAnsi" w:hAnsiTheme="majorHAnsi" w:cs="Arial"/>
                <w:color w:val="595959" w:themeColor="text1" w:themeTint="A6"/>
                <w:sz w:val="21"/>
                <w:szCs w:val="21"/>
              </w:rPr>
              <w:t>no infrastructure projects</w:t>
            </w:r>
            <w:r w:rsidR="004E583D" w:rsidRPr="00BF5BBC">
              <w:rPr>
                <w:rFonts w:asciiTheme="majorHAnsi" w:hAnsiTheme="majorHAnsi" w:cs="Arial"/>
                <w:color w:val="595959" w:themeColor="text1" w:themeTint="A6"/>
                <w:sz w:val="21"/>
                <w:szCs w:val="21"/>
              </w:rPr>
              <w:t xml:space="preserve"> planned. A</w:t>
            </w:r>
            <w:r w:rsidRPr="00BF5BBC">
              <w:rPr>
                <w:rFonts w:asciiTheme="majorHAnsi" w:hAnsiTheme="majorHAnsi" w:cs="Arial"/>
                <w:color w:val="595959" w:themeColor="text1" w:themeTint="A6"/>
                <w:sz w:val="21"/>
                <w:szCs w:val="21"/>
              </w:rPr>
              <w:t xml:space="preserve">s such, the investment is low-risk in relation to child protection, displacement and resettlement and environmental protections issues. </w:t>
            </w:r>
          </w:p>
          <w:p w:rsidR="004C10EA" w:rsidRDefault="00715D62" w:rsidP="00C6757C">
            <w:pPr>
              <w:suppressAutoHyphens w:val="0"/>
              <w:spacing w:after="0" w:line="240" w:lineRule="auto"/>
              <w:rPr>
                <w:rFonts w:asciiTheme="majorHAnsi" w:hAnsiTheme="majorHAnsi" w:cs="Arial"/>
                <w:color w:val="595959" w:themeColor="text1" w:themeTint="A6"/>
                <w:lang w:val="en-AU"/>
              </w:rPr>
            </w:pPr>
            <w:r w:rsidRPr="00BF5BBC">
              <w:rPr>
                <w:rFonts w:asciiTheme="majorHAnsi" w:hAnsiTheme="majorHAnsi" w:cs="Arial"/>
                <w:color w:val="595959" w:themeColor="text1" w:themeTint="A6"/>
                <w:sz w:val="21"/>
                <w:szCs w:val="21"/>
              </w:rPr>
              <w:t xml:space="preserve">Risks will be fully assessed in the design process and through </w:t>
            </w:r>
            <w:r w:rsidR="008105E6" w:rsidRPr="00BF5BBC">
              <w:rPr>
                <w:rFonts w:asciiTheme="majorHAnsi" w:hAnsiTheme="majorHAnsi" w:cs="Arial"/>
                <w:color w:val="595959" w:themeColor="text1" w:themeTint="A6"/>
                <w:sz w:val="21"/>
                <w:szCs w:val="21"/>
              </w:rPr>
              <w:t xml:space="preserve">ongoing </w:t>
            </w:r>
            <w:r w:rsidRPr="00BF5BBC">
              <w:rPr>
                <w:rFonts w:asciiTheme="majorHAnsi" w:hAnsiTheme="majorHAnsi" w:cs="Arial"/>
                <w:color w:val="595959" w:themeColor="text1" w:themeTint="A6"/>
                <w:sz w:val="21"/>
                <w:szCs w:val="21"/>
              </w:rPr>
              <w:t xml:space="preserve">program implementation as workplans and </w:t>
            </w:r>
            <w:r w:rsidR="00561D7F" w:rsidRPr="00BF5BBC">
              <w:rPr>
                <w:rFonts w:asciiTheme="majorHAnsi" w:hAnsiTheme="majorHAnsi" w:cs="Arial"/>
                <w:color w:val="595959" w:themeColor="text1" w:themeTint="A6"/>
                <w:sz w:val="21"/>
                <w:szCs w:val="21"/>
              </w:rPr>
              <w:t>activities</w:t>
            </w:r>
            <w:r w:rsidRPr="00BF5BBC">
              <w:rPr>
                <w:rFonts w:asciiTheme="majorHAnsi" w:hAnsiTheme="majorHAnsi" w:cs="Arial"/>
                <w:color w:val="595959" w:themeColor="text1" w:themeTint="A6"/>
                <w:sz w:val="21"/>
                <w:szCs w:val="21"/>
              </w:rPr>
              <w:t xml:space="preserve"> are </w:t>
            </w:r>
            <w:r w:rsidR="00561D7F" w:rsidRPr="00BF5BBC">
              <w:rPr>
                <w:rFonts w:asciiTheme="majorHAnsi" w:hAnsiTheme="majorHAnsi" w:cs="Arial"/>
                <w:color w:val="595959" w:themeColor="text1" w:themeTint="A6"/>
                <w:sz w:val="21"/>
                <w:szCs w:val="21"/>
              </w:rPr>
              <w:t xml:space="preserve">decided. </w:t>
            </w:r>
            <w:r w:rsidR="004E76A1" w:rsidRPr="00BF5BBC">
              <w:rPr>
                <w:rFonts w:asciiTheme="majorHAnsi" w:hAnsiTheme="majorHAnsi" w:cs="Arial"/>
                <w:color w:val="595959" w:themeColor="text1" w:themeTint="A6"/>
                <w:sz w:val="21"/>
                <w:szCs w:val="21"/>
              </w:rPr>
              <w:t xml:space="preserve"> </w:t>
            </w:r>
            <w:r w:rsidR="00864EFD" w:rsidRPr="00BF5BBC">
              <w:rPr>
                <w:rFonts w:asciiTheme="majorHAnsi" w:hAnsiTheme="majorHAnsi" w:cs="Arial"/>
                <w:color w:val="595959" w:themeColor="text1" w:themeTint="A6"/>
                <w:sz w:val="21"/>
                <w:szCs w:val="21"/>
                <w:lang w:val="en-AU"/>
              </w:rPr>
              <w:t xml:space="preserve">The </w:t>
            </w:r>
            <w:r w:rsidR="000D7868">
              <w:rPr>
                <w:rFonts w:asciiTheme="majorHAnsi" w:hAnsiTheme="majorHAnsi" w:cs="Arial"/>
                <w:color w:val="595959" w:themeColor="text1" w:themeTint="A6"/>
                <w:sz w:val="21"/>
                <w:szCs w:val="21"/>
                <w:lang w:val="en-AU"/>
              </w:rPr>
              <w:t>c</w:t>
            </w:r>
            <w:r w:rsidR="00864EFD" w:rsidRPr="00BF5BBC">
              <w:rPr>
                <w:rFonts w:asciiTheme="majorHAnsi" w:hAnsiTheme="majorHAnsi" w:cs="Arial"/>
                <w:color w:val="595959" w:themeColor="text1" w:themeTint="A6"/>
                <w:sz w:val="21"/>
                <w:szCs w:val="21"/>
                <w:lang w:val="en-AU"/>
              </w:rPr>
              <w:t xml:space="preserve">ontract manager </w:t>
            </w:r>
            <w:r w:rsidR="00C620A1" w:rsidRPr="00BF5BBC">
              <w:rPr>
                <w:rFonts w:asciiTheme="majorHAnsi" w:hAnsiTheme="majorHAnsi" w:cs="Arial"/>
                <w:color w:val="595959" w:themeColor="text1" w:themeTint="A6"/>
                <w:sz w:val="21"/>
                <w:szCs w:val="21"/>
                <w:lang w:val="en-AU"/>
              </w:rPr>
              <w:t>will be expected to s</w:t>
            </w:r>
            <w:r w:rsidR="00864EFD" w:rsidRPr="00BF5BBC">
              <w:rPr>
                <w:rFonts w:asciiTheme="majorHAnsi" w:hAnsiTheme="majorHAnsi" w:cs="Arial"/>
                <w:color w:val="595959" w:themeColor="text1" w:themeTint="A6"/>
                <w:sz w:val="21"/>
                <w:szCs w:val="21"/>
                <w:lang w:val="en-AU"/>
              </w:rPr>
              <w:t xml:space="preserve">upport partners’ efforts to monitor </w:t>
            </w:r>
            <w:r w:rsidR="00C620A1" w:rsidRPr="00BF5BBC">
              <w:rPr>
                <w:rFonts w:asciiTheme="majorHAnsi" w:hAnsiTheme="majorHAnsi" w:cs="Arial"/>
                <w:color w:val="595959" w:themeColor="text1" w:themeTint="A6"/>
                <w:sz w:val="21"/>
                <w:szCs w:val="21"/>
                <w:lang w:val="en-AU"/>
              </w:rPr>
              <w:t>program</w:t>
            </w:r>
            <w:r w:rsidR="00864EFD" w:rsidRPr="00BF5BBC">
              <w:rPr>
                <w:rFonts w:asciiTheme="majorHAnsi" w:hAnsiTheme="majorHAnsi" w:cs="Arial"/>
                <w:color w:val="595959" w:themeColor="text1" w:themeTint="A6"/>
                <w:sz w:val="21"/>
                <w:szCs w:val="21"/>
                <w:lang w:val="en-AU"/>
              </w:rPr>
              <w:t xml:space="preserve"> risks, including through a </w:t>
            </w:r>
            <w:r w:rsidR="008105E6" w:rsidRPr="00BF5BBC">
              <w:rPr>
                <w:rFonts w:asciiTheme="majorHAnsi" w:hAnsiTheme="majorHAnsi" w:cs="Arial"/>
                <w:color w:val="595959" w:themeColor="text1" w:themeTint="A6"/>
                <w:sz w:val="21"/>
                <w:szCs w:val="21"/>
                <w:lang w:val="en-AU"/>
              </w:rPr>
              <w:t>“live”</w:t>
            </w:r>
            <w:r w:rsidR="00864EFD" w:rsidRPr="00BF5BBC">
              <w:rPr>
                <w:rFonts w:asciiTheme="majorHAnsi" w:hAnsiTheme="majorHAnsi" w:cs="Arial"/>
                <w:color w:val="595959" w:themeColor="text1" w:themeTint="A6"/>
                <w:sz w:val="21"/>
                <w:szCs w:val="21"/>
                <w:lang w:val="en-AU"/>
              </w:rPr>
              <w:t xml:space="preserve"> </w:t>
            </w:r>
            <w:r w:rsidR="008105E6" w:rsidRPr="00BF5BBC">
              <w:rPr>
                <w:rFonts w:asciiTheme="majorHAnsi" w:hAnsiTheme="majorHAnsi" w:cs="Arial"/>
                <w:color w:val="595959" w:themeColor="text1" w:themeTint="A6"/>
                <w:sz w:val="21"/>
                <w:szCs w:val="21"/>
                <w:lang w:val="en-AU"/>
              </w:rPr>
              <w:t>r</w:t>
            </w:r>
            <w:r w:rsidR="00864EFD" w:rsidRPr="00BF5BBC">
              <w:rPr>
                <w:rFonts w:asciiTheme="majorHAnsi" w:hAnsiTheme="majorHAnsi" w:cs="Arial"/>
                <w:color w:val="595959" w:themeColor="text1" w:themeTint="A6"/>
                <w:sz w:val="21"/>
                <w:szCs w:val="21"/>
                <w:lang w:val="en-AU"/>
              </w:rPr>
              <w:t xml:space="preserve">isk </w:t>
            </w:r>
            <w:r w:rsidR="008105E6" w:rsidRPr="00BF5BBC">
              <w:rPr>
                <w:rFonts w:asciiTheme="majorHAnsi" w:hAnsiTheme="majorHAnsi" w:cs="Arial"/>
                <w:color w:val="595959" w:themeColor="text1" w:themeTint="A6"/>
                <w:sz w:val="21"/>
                <w:szCs w:val="21"/>
                <w:lang w:val="en-AU"/>
              </w:rPr>
              <w:t>m</w:t>
            </w:r>
            <w:r w:rsidR="00864EFD" w:rsidRPr="00BF5BBC">
              <w:rPr>
                <w:rFonts w:asciiTheme="majorHAnsi" w:hAnsiTheme="majorHAnsi" w:cs="Arial"/>
                <w:color w:val="595959" w:themeColor="text1" w:themeTint="A6"/>
                <w:sz w:val="21"/>
                <w:szCs w:val="21"/>
                <w:lang w:val="en-AU"/>
              </w:rPr>
              <w:t xml:space="preserve">anagement </w:t>
            </w:r>
            <w:r w:rsidR="008105E6" w:rsidRPr="00BF5BBC">
              <w:rPr>
                <w:rFonts w:asciiTheme="majorHAnsi" w:hAnsiTheme="majorHAnsi" w:cs="Arial"/>
                <w:color w:val="595959" w:themeColor="text1" w:themeTint="A6"/>
                <w:sz w:val="21"/>
                <w:szCs w:val="21"/>
                <w:lang w:val="en-AU"/>
              </w:rPr>
              <w:t>p</w:t>
            </w:r>
            <w:r w:rsidR="00864EFD" w:rsidRPr="00BF5BBC">
              <w:rPr>
                <w:rFonts w:asciiTheme="majorHAnsi" w:hAnsiTheme="majorHAnsi" w:cs="Arial"/>
                <w:color w:val="595959" w:themeColor="text1" w:themeTint="A6"/>
                <w:sz w:val="21"/>
                <w:szCs w:val="21"/>
                <w:lang w:val="en-AU"/>
              </w:rPr>
              <w:t>lan throughout the life of the investment. In addition, the DFAT program team</w:t>
            </w:r>
            <w:r w:rsidR="00C620A1" w:rsidRPr="00BF5BBC">
              <w:rPr>
                <w:rFonts w:asciiTheme="majorHAnsi" w:hAnsiTheme="majorHAnsi" w:cs="Arial"/>
                <w:color w:val="595959" w:themeColor="text1" w:themeTint="A6"/>
                <w:sz w:val="21"/>
                <w:szCs w:val="21"/>
                <w:lang w:val="en-AU"/>
              </w:rPr>
              <w:t xml:space="preserve"> (Health Unit at Post) will</w:t>
            </w:r>
            <w:r w:rsidR="00864EFD" w:rsidRPr="00BF5BBC">
              <w:rPr>
                <w:rFonts w:asciiTheme="majorHAnsi" w:hAnsiTheme="majorHAnsi" w:cs="Arial"/>
                <w:color w:val="595959" w:themeColor="text1" w:themeTint="A6"/>
                <w:sz w:val="21"/>
                <w:szCs w:val="21"/>
                <w:lang w:val="en-AU"/>
              </w:rPr>
              <w:t xml:space="preserve"> retain its own risk register, with any significant risks to be escalated to the </w:t>
            </w:r>
            <w:r w:rsidR="00C6757C">
              <w:rPr>
                <w:rFonts w:asciiTheme="majorHAnsi" w:hAnsiTheme="majorHAnsi" w:cs="Arial"/>
                <w:color w:val="595959" w:themeColor="text1" w:themeTint="A6"/>
                <w:sz w:val="21"/>
                <w:szCs w:val="21"/>
                <w:lang w:val="en-AU"/>
              </w:rPr>
              <w:t>P</w:t>
            </w:r>
            <w:r w:rsidR="002A18B4">
              <w:rPr>
                <w:rFonts w:asciiTheme="majorHAnsi" w:hAnsiTheme="majorHAnsi" w:cs="Arial"/>
                <w:color w:val="595959" w:themeColor="text1" w:themeTint="A6"/>
                <w:sz w:val="21"/>
                <w:szCs w:val="21"/>
                <w:lang w:val="en-AU"/>
              </w:rPr>
              <w:t>ost development cooperation</w:t>
            </w:r>
            <w:r w:rsidR="00864EFD" w:rsidRPr="00BF5BBC">
              <w:rPr>
                <w:rFonts w:asciiTheme="majorHAnsi" w:hAnsiTheme="majorHAnsi" w:cs="Arial"/>
                <w:color w:val="595959" w:themeColor="text1" w:themeTint="A6"/>
                <w:sz w:val="21"/>
                <w:szCs w:val="21"/>
                <w:lang w:val="en-AU"/>
              </w:rPr>
              <w:t xml:space="preserve"> risk matrix.</w:t>
            </w:r>
            <w:r w:rsidR="00864EFD" w:rsidRPr="00864EFD">
              <w:rPr>
                <w:rFonts w:asciiTheme="majorHAnsi" w:hAnsiTheme="majorHAnsi" w:cs="Arial"/>
                <w:color w:val="595959" w:themeColor="text1" w:themeTint="A6"/>
                <w:lang w:val="en-AU"/>
              </w:rPr>
              <w:t xml:space="preserve"> </w:t>
            </w:r>
          </w:p>
          <w:p w:rsidR="008A24F9" w:rsidRPr="00CC13D5" w:rsidRDefault="008A24F9" w:rsidP="00C6757C">
            <w:pPr>
              <w:suppressAutoHyphens w:val="0"/>
              <w:spacing w:after="0" w:line="240" w:lineRule="auto"/>
              <w:rPr>
                <w:rFonts w:asciiTheme="majorHAnsi" w:hAnsiTheme="majorHAnsi" w:cs="Arial"/>
                <w:b/>
                <w:sz w:val="22"/>
                <w:szCs w:val="22"/>
              </w:rPr>
            </w:pP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BF5BBC">
            <w:pPr>
              <w:tabs>
                <w:tab w:val="num" w:pos="568"/>
              </w:tabs>
              <w:spacing w:line="240" w:lineRule="auto"/>
              <w:rPr>
                <w:rFonts w:asciiTheme="majorHAnsi" w:hAnsiTheme="majorHAnsi" w:cs="Arial"/>
                <w:sz w:val="22"/>
                <w:szCs w:val="22"/>
                <w:lang w:eastAsia="en-US"/>
              </w:rPr>
            </w:pPr>
            <w:r w:rsidRPr="00CC13D5">
              <w:rPr>
                <w:rFonts w:asciiTheme="majorHAnsi" w:hAnsiTheme="majorHAnsi"/>
                <w:sz w:val="22"/>
                <w:szCs w:val="22"/>
              </w:rPr>
              <w:br w:type="page"/>
            </w:r>
            <w:r w:rsidRPr="00CC13D5">
              <w:rPr>
                <w:rFonts w:asciiTheme="majorHAnsi" w:hAnsiTheme="majorHAnsi" w:cs="Arial"/>
                <w:b/>
                <w:sz w:val="22"/>
                <w:szCs w:val="22"/>
                <w:lang w:eastAsia="en-US"/>
              </w:rPr>
              <w:t>F: Proposed design and quality assurance process (What are the next steps?)</w:t>
            </w:r>
          </w:p>
        </w:tc>
      </w:tr>
      <w:tr w:rsidR="004C10EA" w:rsidRPr="00A30570" w:rsidTr="00264300">
        <w:trPr>
          <w:cantSplit w:val="0"/>
        </w:trPr>
        <w:tc>
          <w:tcPr>
            <w:tcW w:w="9606" w:type="dxa"/>
          </w:tcPr>
          <w:p w:rsidR="009845E8" w:rsidRPr="00BF5BBC" w:rsidRDefault="001D16D2" w:rsidP="00BF5BBC">
            <w:pPr>
              <w:suppressAutoHyphens w:val="0"/>
              <w:spacing w:after="0" w:line="240" w:lineRule="auto"/>
              <w:rPr>
                <w:rFonts w:ascii="Calibri" w:hAnsi="Calibri" w:cs="Arial"/>
                <w:color w:val="595959" w:themeColor="text1" w:themeTint="A6"/>
                <w:sz w:val="21"/>
                <w:szCs w:val="21"/>
                <w:lang w:val="en-AU"/>
              </w:rPr>
            </w:pPr>
            <w:r w:rsidRPr="00BF5BBC">
              <w:rPr>
                <w:rFonts w:ascii="Calibri" w:hAnsi="Calibri" w:cs="Arial"/>
                <w:iCs/>
                <w:color w:val="595959" w:themeColor="text1" w:themeTint="A6"/>
                <w:sz w:val="21"/>
                <w:szCs w:val="21"/>
                <w:lang w:val="en-AU"/>
              </w:rPr>
              <w:t>The</w:t>
            </w:r>
            <w:r w:rsidR="00521719" w:rsidRPr="00BF5BBC">
              <w:rPr>
                <w:rFonts w:ascii="Calibri" w:hAnsi="Calibri" w:cs="Arial"/>
                <w:iCs/>
                <w:color w:val="595959" w:themeColor="text1" w:themeTint="A6"/>
                <w:sz w:val="21"/>
                <w:szCs w:val="21"/>
                <w:lang w:val="en-AU"/>
              </w:rPr>
              <w:t xml:space="preserve"> design approach for the</w:t>
            </w:r>
            <w:r w:rsidRPr="00BF5BBC">
              <w:rPr>
                <w:rFonts w:ascii="Calibri" w:hAnsi="Calibri" w:cs="Arial"/>
                <w:iCs/>
                <w:color w:val="595959" w:themeColor="text1" w:themeTint="A6"/>
                <w:sz w:val="21"/>
                <w:szCs w:val="21"/>
                <w:lang w:val="en-AU"/>
              </w:rPr>
              <w:t xml:space="preserve"> </w:t>
            </w:r>
            <w:r w:rsidR="00521719" w:rsidRPr="00BF5BBC">
              <w:rPr>
                <w:rFonts w:ascii="Calibri" w:hAnsi="Calibri" w:cs="Arial"/>
                <w:iCs/>
                <w:color w:val="595959" w:themeColor="text1" w:themeTint="A6"/>
                <w:sz w:val="21"/>
                <w:szCs w:val="21"/>
                <w:lang w:val="en-AU"/>
              </w:rPr>
              <w:t xml:space="preserve">new </w:t>
            </w:r>
            <w:r w:rsidRPr="00BF5BBC">
              <w:rPr>
                <w:rFonts w:ascii="Calibri" w:hAnsi="Calibri" w:cs="Arial"/>
                <w:iCs/>
                <w:color w:val="595959" w:themeColor="text1" w:themeTint="A6"/>
                <w:sz w:val="21"/>
                <w:szCs w:val="21"/>
                <w:lang w:val="en-AU"/>
              </w:rPr>
              <w:t>A</w:t>
            </w:r>
            <w:r w:rsidR="00C356C8" w:rsidRPr="00BF5BBC">
              <w:rPr>
                <w:rFonts w:ascii="Calibri" w:hAnsi="Calibri" w:cs="Arial"/>
                <w:iCs/>
                <w:color w:val="595959" w:themeColor="text1" w:themeTint="A6"/>
                <w:sz w:val="21"/>
                <w:szCs w:val="21"/>
                <w:lang w:val="en-AU"/>
              </w:rPr>
              <w:t>ustra</w:t>
            </w:r>
            <w:r w:rsidR="00FE4A27" w:rsidRPr="00BF5BBC">
              <w:rPr>
                <w:rFonts w:ascii="Calibri" w:hAnsi="Calibri" w:cs="Arial"/>
                <w:iCs/>
                <w:color w:val="595959" w:themeColor="text1" w:themeTint="A6"/>
                <w:sz w:val="21"/>
                <w:szCs w:val="21"/>
                <w:lang w:val="en-AU"/>
              </w:rPr>
              <w:t>lia Indone</w:t>
            </w:r>
            <w:r w:rsidR="00C356C8" w:rsidRPr="00BF5BBC">
              <w:rPr>
                <w:rFonts w:ascii="Calibri" w:hAnsi="Calibri" w:cs="Arial"/>
                <w:iCs/>
                <w:color w:val="595959" w:themeColor="text1" w:themeTint="A6"/>
                <w:sz w:val="21"/>
                <w:szCs w:val="21"/>
                <w:lang w:val="en-AU"/>
              </w:rPr>
              <w:t>s</w:t>
            </w:r>
            <w:r w:rsidR="00FE4A27" w:rsidRPr="00BF5BBC">
              <w:rPr>
                <w:rFonts w:ascii="Calibri" w:hAnsi="Calibri" w:cs="Arial"/>
                <w:iCs/>
                <w:color w:val="595959" w:themeColor="text1" w:themeTint="A6"/>
                <w:sz w:val="21"/>
                <w:szCs w:val="21"/>
                <w:lang w:val="en-AU"/>
              </w:rPr>
              <w:t>i</w:t>
            </w:r>
            <w:r w:rsidR="00C356C8" w:rsidRPr="00BF5BBC">
              <w:rPr>
                <w:rFonts w:ascii="Calibri" w:hAnsi="Calibri" w:cs="Arial"/>
                <w:iCs/>
                <w:color w:val="595959" w:themeColor="text1" w:themeTint="A6"/>
                <w:sz w:val="21"/>
                <w:szCs w:val="21"/>
                <w:lang w:val="en-AU"/>
              </w:rPr>
              <w:t>a Health Security Partnership</w:t>
            </w:r>
            <w:r w:rsidRPr="00BF5BBC">
              <w:rPr>
                <w:rFonts w:ascii="Calibri" w:hAnsi="Calibri" w:cs="Arial"/>
                <w:iCs/>
                <w:color w:val="595959" w:themeColor="text1" w:themeTint="A6"/>
                <w:sz w:val="21"/>
                <w:szCs w:val="21"/>
                <w:lang w:val="en-AU"/>
              </w:rPr>
              <w:t xml:space="preserve"> </w:t>
            </w:r>
            <w:r w:rsidR="00521719" w:rsidRPr="00BF5BBC">
              <w:rPr>
                <w:rFonts w:ascii="Calibri" w:hAnsi="Calibri" w:cs="Arial"/>
                <w:iCs/>
                <w:color w:val="595959" w:themeColor="text1" w:themeTint="A6"/>
                <w:sz w:val="21"/>
                <w:szCs w:val="21"/>
                <w:lang w:val="en-AU"/>
              </w:rPr>
              <w:t>was</w:t>
            </w:r>
            <w:r w:rsidR="00C6757C">
              <w:rPr>
                <w:rFonts w:ascii="Calibri" w:hAnsi="Calibri" w:cs="Arial"/>
                <w:iCs/>
                <w:color w:val="595959" w:themeColor="text1" w:themeTint="A6"/>
                <w:sz w:val="21"/>
                <w:szCs w:val="21"/>
                <w:lang w:val="en-AU"/>
              </w:rPr>
              <w:t xml:space="preserve"> reviewed and noted</w:t>
            </w:r>
            <w:r w:rsidR="00521719" w:rsidRPr="00BF5BBC">
              <w:rPr>
                <w:rFonts w:ascii="Calibri" w:hAnsi="Calibri" w:cs="Arial"/>
                <w:iCs/>
                <w:color w:val="595959" w:themeColor="text1" w:themeTint="A6"/>
                <w:sz w:val="21"/>
                <w:szCs w:val="21"/>
                <w:lang w:val="en-AU"/>
              </w:rPr>
              <w:t xml:space="preserve"> by the Aid Management Meeting (AMM) held on 7 December 2017, chaired by Post’s Deputy Ambassador and FAS SED. </w:t>
            </w:r>
            <w:r w:rsidR="003C3E68">
              <w:rPr>
                <w:rFonts w:ascii="Calibri" w:hAnsi="Calibri" w:cs="Arial"/>
                <w:iCs/>
                <w:color w:val="595959" w:themeColor="text1" w:themeTint="A6"/>
                <w:sz w:val="21"/>
                <w:szCs w:val="21"/>
                <w:lang w:val="en-AU"/>
              </w:rPr>
              <w:t xml:space="preserve">Delegates </w:t>
            </w:r>
            <w:r w:rsidR="009B10E5">
              <w:rPr>
                <w:rFonts w:ascii="Calibri" w:hAnsi="Calibri" w:cs="Arial"/>
                <w:iCs/>
                <w:color w:val="595959" w:themeColor="text1" w:themeTint="A6"/>
                <w:sz w:val="21"/>
                <w:szCs w:val="21"/>
                <w:lang w:val="en-AU"/>
              </w:rPr>
              <w:t>approved the commencement of the design on 26 Ma</w:t>
            </w:r>
            <w:r w:rsidR="003C3E68">
              <w:rPr>
                <w:rFonts w:ascii="Calibri" w:hAnsi="Calibri" w:cs="Arial"/>
                <w:iCs/>
                <w:color w:val="595959" w:themeColor="text1" w:themeTint="A6"/>
                <w:sz w:val="21"/>
                <w:szCs w:val="21"/>
                <w:lang w:val="en-AU"/>
              </w:rPr>
              <w:t>rch</w:t>
            </w:r>
            <w:r w:rsidR="009B10E5">
              <w:rPr>
                <w:rFonts w:ascii="Calibri" w:hAnsi="Calibri" w:cs="Arial"/>
                <w:iCs/>
                <w:color w:val="595959" w:themeColor="text1" w:themeTint="A6"/>
                <w:sz w:val="21"/>
                <w:szCs w:val="21"/>
                <w:lang w:val="en-AU"/>
              </w:rPr>
              <w:t xml:space="preserve"> 2018. </w:t>
            </w:r>
            <w:r w:rsidR="00521719" w:rsidRPr="00BF5BBC">
              <w:rPr>
                <w:rFonts w:ascii="Calibri" w:hAnsi="Calibri" w:cs="Arial"/>
                <w:iCs/>
                <w:color w:val="595959" w:themeColor="text1" w:themeTint="A6"/>
                <w:sz w:val="21"/>
                <w:szCs w:val="21"/>
                <w:lang w:val="en-AU"/>
              </w:rPr>
              <w:t xml:space="preserve">The AIHSP </w:t>
            </w:r>
            <w:r w:rsidRPr="00BF5BBC">
              <w:rPr>
                <w:rFonts w:ascii="Calibri" w:hAnsi="Calibri" w:cs="Arial"/>
                <w:iCs/>
                <w:color w:val="595959" w:themeColor="text1" w:themeTint="A6"/>
                <w:sz w:val="21"/>
                <w:szCs w:val="21"/>
                <w:lang w:val="en-AU"/>
              </w:rPr>
              <w:t>will be a DFAT-led facilitated design</w:t>
            </w:r>
            <w:r w:rsidR="00FE4A27" w:rsidRPr="00BF5BBC">
              <w:rPr>
                <w:rFonts w:ascii="Calibri" w:hAnsi="Calibri" w:cs="Arial"/>
                <w:iCs/>
                <w:color w:val="595959" w:themeColor="text1" w:themeTint="A6"/>
                <w:sz w:val="21"/>
                <w:szCs w:val="21"/>
                <w:lang w:val="en-AU"/>
              </w:rPr>
              <w:t>, using this concept note as a basis</w:t>
            </w:r>
            <w:r w:rsidR="00BD3D5C" w:rsidRPr="00BF5BBC">
              <w:rPr>
                <w:rFonts w:ascii="Calibri" w:hAnsi="Calibri" w:cs="Arial"/>
                <w:iCs/>
                <w:color w:val="595959" w:themeColor="text1" w:themeTint="A6"/>
                <w:sz w:val="21"/>
                <w:szCs w:val="21"/>
                <w:lang w:val="en-AU"/>
              </w:rPr>
              <w:t xml:space="preserve"> and drawing on analysis and consultations from the 2017 EID review</w:t>
            </w:r>
            <w:r w:rsidR="009B10E5">
              <w:rPr>
                <w:rFonts w:ascii="Calibri" w:hAnsi="Calibri" w:cs="Arial"/>
                <w:iCs/>
                <w:color w:val="595959" w:themeColor="text1" w:themeTint="A6"/>
                <w:sz w:val="21"/>
                <w:szCs w:val="21"/>
                <w:lang w:val="en-AU"/>
              </w:rPr>
              <w:t>, the OIE PVS</w:t>
            </w:r>
            <w:r w:rsidR="00BD3D5C" w:rsidRPr="00BF5BBC">
              <w:rPr>
                <w:rFonts w:ascii="Calibri" w:hAnsi="Calibri" w:cs="Arial"/>
                <w:iCs/>
                <w:color w:val="595959" w:themeColor="text1" w:themeTint="A6"/>
                <w:sz w:val="21"/>
                <w:szCs w:val="21"/>
                <w:lang w:val="en-AU"/>
              </w:rPr>
              <w:t xml:space="preserve"> and the JE</w:t>
            </w:r>
            <w:r w:rsidR="005272BC" w:rsidRPr="00BF5BBC">
              <w:rPr>
                <w:rFonts w:ascii="Calibri" w:hAnsi="Calibri" w:cs="Arial"/>
                <w:iCs/>
                <w:color w:val="595959" w:themeColor="text1" w:themeTint="A6"/>
                <w:sz w:val="21"/>
                <w:szCs w:val="21"/>
                <w:lang w:val="en-AU"/>
              </w:rPr>
              <w:t xml:space="preserve">E. </w:t>
            </w:r>
          </w:p>
          <w:p w:rsidR="009215F2" w:rsidRPr="00BF5BBC" w:rsidRDefault="009215F2"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 xml:space="preserve">As the new program will take the shape of a facility, the design will be focussed on </w:t>
            </w:r>
            <w:r w:rsidR="00BD3D5C" w:rsidRPr="00BF5BBC">
              <w:rPr>
                <w:rFonts w:ascii="Calibri" w:hAnsi="Calibri"/>
                <w:color w:val="595959" w:themeColor="text1" w:themeTint="A6"/>
                <w:sz w:val="21"/>
                <w:szCs w:val="21"/>
              </w:rPr>
              <w:t xml:space="preserve">clearly </w:t>
            </w:r>
            <w:r w:rsidRPr="00BF5BBC">
              <w:rPr>
                <w:rFonts w:ascii="Calibri" w:hAnsi="Calibri"/>
                <w:color w:val="595959" w:themeColor="text1" w:themeTint="A6"/>
                <w:sz w:val="21"/>
                <w:szCs w:val="21"/>
              </w:rPr>
              <w:t>setting out the partnership’s goal and objectives, investment criteria, governance arrangements, an outline of the M&amp;E approach for the facility, as well as the division of responsibilities between the managing contractor</w:t>
            </w:r>
            <w:r w:rsidR="00521719" w:rsidRPr="00BF5BBC">
              <w:rPr>
                <w:rFonts w:ascii="Calibri" w:hAnsi="Calibri"/>
                <w:color w:val="595959" w:themeColor="text1" w:themeTint="A6"/>
                <w:sz w:val="21"/>
                <w:szCs w:val="21"/>
              </w:rPr>
              <w:t>,</w:t>
            </w:r>
            <w:r w:rsidRPr="00BF5BBC">
              <w:rPr>
                <w:rFonts w:ascii="Calibri" w:hAnsi="Calibri"/>
                <w:color w:val="595959" w:themeColor="text1" w:themeTint="A6"/>
                <w:sz w:val="21"/>
                <w:szCs w:val="21"/>
              </w:rPr>
              <w:t xml:space="preserve"> DFAT</w:t>
            </w:r>
            <w:r w:rsidR="00521719" w:rsidRPr="00BF5BBC">
              <w:rPr>
                <w:rFonts w:ascii="Calibri" w:hAnsi="Calibri"/>
                <w:color w:val="595959" w:themeColor="text1" w:themeTint="A6"/>
                <w:sz w:val="21"/>
                <w:szCs w:val="21"/>
              </w:rPr>
              <w:t xml:space="preserve"> and whole of government partners</w:t>
            </w:r>
            <w:r w:rsidRPr="00BF5BBC">
              <w:rPr>
                <w:rFonts w:ascii="Calibri" w:hAnsi="Calibri"/>
                <w:color w:val="595959" w:themeColor="text1" w:themeTint="A6"/>
                <w:sz w:val="21"/>
                <w:szCs w:val="21"/>
              </w:rPr>
              <w:t xml:space="preserve">. </w:t>
            </w:r>
            <w:r w:rsidR="00AC236A" w:rsidRPr="00BF5BBC">
              <w:rPr>
                <w:rFonts w:ascii="Calibri" w:hAnsi="Calibri"/>
                <w:color w:val="595959" w:themeColor="text1" w:themeTint="A6"/>
                <w:sz w:val="21"/>
                <w:szCs w:val="21"/>
              </w:rPr>
              <w:t>The design will also detail contract deliverables, a policy dialogue and partner engagement strategy and a mobilisation plan</w:t>
            </w:r>
            <w:r w:rsidR="00521719" w:rsidRPr="00BF5BBC">
              <w:rPr>
                <w:rFonts w:ascii="Calibri" w:hAnsi="Calibri"/>
                <w:color w:val="595959" w:themeColor="text1" w:themeTint="A6"/>
                <w:sz w:val="21"/>
                <w:szCs w:val="21"/>
              </w:rPr>
              <w:t xml:space="preserve"> for the new program</w:t>
            </w:r>
            <w:r w:rsidR="00AC236A" w:rsidRPr="00BF5BBC">
              <w:rPr>
                <w:rFonts w:ascii="Calibri" w:hAnsi="Calibri"/>
                <w:color w:val="595959" w:themeColor="text1" w:themeTint="A6"/>
                <w:sz w:val="21"/>
                <w:szCs w:val="21"/>
              </w:rPr>
              <w:t xml:space="preserve">. </w:t>
            </w:r>
            <w:r w:rsidR="002A18B4">
              <w:rPr>
                <w:rFonts w:ascii="Calibri" w:hAnsi="Calibri"/>
                <w:color w:val="595959" w:themeColor="text1" w:themeTint="A6"/>
                <w:sz w:val="21"/>
                <w:szCs w:val="21"/>
              </w:rPr>
              <w:t>It may also identify initial activities to be supported during the first year of the program, and current activities delivered under separate arrangements which will be monitored and coordinated through the facility.</w:t>
            </w:r>
          </w:p>
          <w:p w:rsidR="00190913" w:rsidRPr="00BF5BBC" w:rsidRDefault="00190913" w:rsidP="00BF5BBC">
            <w:pPr>
              <w:spacing w:line="240" w:lineRule="auto"/>
              <w:rPr>
                <w:rFonts w:ascii="Calibri" w:hAnsi="Calibri"/>
                <w:b/>
                <w:color w:val="595959" w:themeColor="text1" w:themeTint="A6"/>
                <w:sz w:val="21"/>
                <w:szCs w:val="21"/>
              </w:rPr>
            </w:pPr>
            <w:r w:rsidRPr="00BF5BBC">
              <w:rPr>
                <w:rFonts w:ascii="Calibri" w:hAnsi="Calibri"/>
                <w:b/>
                <w:color w:val="595959" w:themeColor="text1" w:themeTint="A6"/>
                <w:sz w:val="21"/>
                <w:szCs w:val="21"/>
                <w:lang w:val="en-AU"/>
              </w:rPr>
              <w:t>An indicative timeframe for the design, tender and mobilisation process is as follows:</w:t>
            </w:r>
          </w:p>
          <w:p w:rsidR="003007AC" w:rsidRPr="00BF5BBC" w:rsidRDefault="000D7868" w:rsidP="003007A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 xml:space="preserve">Mar-Apr </w:t>
            </w:r>
            <w:r w:rsidR="003007AC" w:rsidRPr="00BF5BBC">
              <w:rPr>
                <w:rFonts w:asciiTheme="majorHAnsi" w:hAnsiTheme="majorHAnsi" w:cs="Arial"/>
                <w:color w:val="595959" w:themeColor="text1" w:themeTint="A6"/>
                <w:sz w:val="21"/>
                <w:szCs w:val="21"/>
              </w:rPr>
              <w:t xml:space="preserve">2018: </w:t>
            </w:r>
            <w:r w:rsidR="003007AC" w:rsidRPr="00BF5BBC">
              <w:rPr>
                <w:rFonts w:asciiTheme="majorHAnsi" w:hAnsiTheme="majorHAnsi" w:cs="Arial"/>
                <w:i/>
                <w:color w:val="595959" w:themeColor="text1" w:themeTint="A6"/>
                <w:sz w:val="21"/>
                <w:szCs w:val="21"/>
              </w:rPr>
              <w:t>Consultations with DFAT and WOG partners.</w:t>
            </w:r>
            <w:r w:rsidR="003007AC" w:rsidRPr="00BF5BBC">
              <w:rPr>
                <w:rFonts w:asciiTheme="majorHAnsi" w:hAnsiTheme="majorHAnsi" w:cs="Arial"/>
                <w:color w:val="595959" w:themeColor="text1" w:themeTint="A6"/>
                <w:sz w:val="21"/>
                <w:szCs w:val="21"/>
              </w:rPr>
              <w:t xml:space="preserve"> </w:t>
            </w:r>
          </w:p>
          <w:p w:rsidR="003007AC" w:rsidRPr="00BF5BBC" w:rsidRDefault="003007AC" w:rsidP="003007A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Apr 2018: </w:t>
            </w:r>
            <w:r w:rsidRPr="00BF5BBC">
              <w:rPr>
                <w:rFonts w:asciiTheme="majorHAnsi" w:hAnsiTheme="majorHAnsi" w:cs="Arial"/>
                <w:i/>
                <w:color w:val="595959" w:themeColor="text1" w:themeTint="A6"/>
                <w:sz w:val="21"/>
                <w:szCs w:val="21"/>
              </w:rPr>
              <w:t xml:space="preserve">Consultations with </w:t>
            </w:r>
            <w:r w:rsidR="00DF3C39" w:rsidRPr="00BF5BBC">
              <w:rPr>
                <w:rFonts w:asciiTheme="majorHAnsi" w:hAnsiTheme="majorHAnsi" w:cs="Arial"/>
                <w:i/>
                <w:color w:val="595959" w:themeColor="text1" w:themeTint="A6"/>
                <w:sz w:val="21"/>
                <w:szCs w:val="21"/>
              </w:rPr>
              <w:t>GoI</w:t>
            </w:r>
            <w:r w:rsidRPr="00BF5BBC">
              <w:rPr>
                <w:rFonts w:asciiTheme="majorHAnsi" w:hAnsiTheme="majorHAnsi" w:cs="Arial"/>
                <w:i/>
                <w:color w:val="595959" w:themeColor="text1" w:themeTint="A6"/>
                <w:sz w:val="21"/>
                <w:szCs w:val="21"/>
              </w:rPr>
              <w:t xml:space="preserve"> (including MoH, MoA, </w:t>
            </w:r>
            <w:r w:rsidR="00DF3C39" w:rsidRPr="00BF5BBC">
              <w:rPr>
                <w:rFonts w:asciiTheme="majorHAnsi" w:hAnsiTheme="majorHAnsi" w:cs="Arial"/>
                <w:i/>
                <w:color w:val="595959" w:themeColor="text1" w:themeTint="A6"/>
                <w:sz w:val="21"/>
                <w:szCs w:val="21"/>
              </w:rPr>
              <w:t xml:space="preserve">PMK, </w:t>
            </w:r>
            <w:r w:rsidRPr="00BF5BBC">
              <w:rPr>
                <w:rFonts w:asciiTheme="majorHAnsi" w:hAnsiTheme="majorHAnsi" w:cs="Arial"/>
                <w:i/>
                <w:color w:val="595959" w:themeColor="text1" w:themeTint="A6"/>
                <w:sz w:val="21"/>
                <w:szCs w:val="21"/>
              </w:rPr>
              <w:t>Bappenas</w:t>
            </w:r>
            <w:r w:rsidR="00DF3C39" w:rsidRPr="00BF5BBC">
              <w:rPr>
                <w:rFonts w:asciiTheme="majorHAnsi" w:hAnsiTheme="majorHAnsi" w:cs="Arial"/>
                <w:i/>
                <w:color w:val="595959" w:themeColor="text1" w:themeTint="A6"/>
                <w:sz w:val="21"/>
                <w:szCs w:val="21"/>
              </w:rPr>
              <w:t>,</w:t>
            </w:r>
            <w:r w:rsidRPr="00BF5BBC">
              <w:rPr>
                <w:rFonts w:asciiTheme="majorHAnsi" w:hAnsiTheme="majorHAnsi" w:cs="Arial"/>
                <w:i/>
                <w:color w:val="595959" w:themeColor="text1" w:themeTint="A6"/>
                <w:sz w:val="21"/>
                <w:szCs w:val="21"/>
              </w:rPr>
              <w:t xml:space="preserve"> and Ministry of Finance) and development partners (e.g. WHO, FAO, USAID) jointly with the Indo-Pacific Centre for Health Security. </w:t>
            </w:r>
          </w:p>
          <w:p w:rsidR="000D7868" w:rsidRPr="00BF5BBC" w:rsidRDefault="000D7868" w:rsidP="000D7868">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Apr</w:t>
            </w:r>
            <w:r w:rsidRPr="00BF5BBC">
              <w:rPr>
                <w:rFonts w:asciiTheme="majorHAnsi" w:hAnsiTheme="majorHAnsi" w:cs="Arial"/>
                <w:color w:val="595959" w:themeColor="text1" w:themeTint="A6"/>
                <w:sz w:val="21"/>
                <w:szCs w:val="21"/>
              </w:rPr>
              <w:t xml:space="preserve">-Dec 2018: </w:t>
            </w:r>
            <w:r w:rsidRPr="00BF5BBC">
              <w:rPr>
                <w:rFonts w:asciiTheme="majorHAnsi" w:hAnsiTheme="majorHAnsi" w:cs="Arial"/>
                <w:i/>
                <w:color w:val="595959" w:themeColor="text1" w:themeTint="A6"/>
                <w:sz w:val="21"/>
                <w:szCs w:val="21"/>
              </w:rPr>
              <w:t xml:space="preserve">Subsidiary arrangement: </w:t>
            </w:r>
            <w:r>
              <w:rPr>
                <w:rFonts w:asciiTheme="majorHAnsi" w:hAnsiTheme="majorHAnsi" w:cs="Arial"/>
                <w:i/>
                <w:color w:val="595959" w:themeColor="text1" w:themeTint="A6"/>
                <w:sz w:val="21"/>
                <w:szCs w:val="21"/>
              </w:rPr>
              <w:t xml:space="preserve">negotiations </w:t>
            </w:r>
            <w:r w:rsidRPr="00BF5BBC">
              <w:rPr>
                <w:rFonts w:asciiTheme="majorHAnsi" w:hAnsiTheme="majorHAnsi" w:cs="Arial"/>
                <w:i/>
                <w:color w:val="595959" w:themeColor="text1" w:themeTint="A6"/>
                <w:sz w:val="21"/>
                <w:szCs w:val="21"/>
              </w:rPr>
              <w:t>with GoI.</w:t>
            </w:r>
            <w:r w:rsidRPr="00BF5BBC">
              <w:rPr>
                <w:rFonts w:asciiTheme="majorHAnsi" w:hAnsiTheme="majorHAnsi" w:cs="Arial"/>
                <w:color w:val="595959" w:themeColor="text1" w:themeTint="A6"/>
                <w:sz w:val="21"/>
                <w:szCs w:val="21"/>
              </w:rPr>
              <w:t xml:space="preserve"> </w:t>
            </w:r>
          </w:p>
          <w:p w:rsidR="003007AC" w:rsidRPr="00BF5BBC" w:rsidRDefault="003007AC" w:rsidP="003007AC">
            <w:pPr>
              <w:suppressAutoHyphens w:val="0"/>
              <w:spacing w:after="0" w:line="240" w:lineRule="auto"/>
              <w:rPr>
                <w:rFonts w:asciiTheme="majorHAnsi" w:hAnsiTheme="majorHAnsi" w:cs="Arial"/>
                <w:i/>
                <w:color w:val="595959" w:themeColor="text1" w:themeTint="A6"/>
                <w:sz w:val="21"/>
                <w:szCs w:val="21"/>
              </w:rPr>
            </w:pPr>
            <w:r w:rsidRPr="00BF5BBC">
              <w:rPr>
                <w:rFonts w:asciiTheme="majorHAnsi" w:hAnsiTheme="majorHAnsi" w:cs="Arial"/>
                <w:color w:val="595959" w:themeColor="text1" w:themeTint="A6"/>
                <w:sz w:val="21"/>
                <w:szCs w:val="21"/>
              </w:rPr>
              <w:t xml:space="preserve">May 2018: </w:t>
            </w:r>
            <w:r w:rsidR="005272BC" w:rsidRPr="00BF5BBC">
              <w:rPr>
                <w:rFonts w:asciiTheme="majorHAnsi" w:hAnsiTheme="majorHAnsi" w:cs="Arial"/>
                <w:i/>
                <w:color w:val="595959" w:themeColor="text1" w:themeTint="A6"/>
                <w:sz w:val="21"/>
                <w:szCs w:val="21"/>
              </w:rPr>
              <w:t>Design consultant to p</w:t>
            </w:r>
            <w:r w:rsidRPr="00BF5BBC">
              <w:rPr>
                <w:rFonts w:asciiTheme="majorHAnsi" w:hAnsiTheme="majorHAnsi" w:cs="Arial"/>
                <w:i/>
                <w:color w:val="595959" w:themeColor="text1" w:themeTint="A6"/>
                <w:sz w:val="21"/>
                <w:szCs w:val="21"/>
              </w:rPr>
              <w:t xml:space="preserve">roduce first draft of design. Consultations with DFAT and </w:t>
            </w:r>
            <w:r w:rsidR="00DF3C39" w:rsidRPr="00BF5BBC">
              <w:rPr>
                <w:rFonts w:asciiTheme="majorHAnsi" w:hAnsiTheme="majorHAnsi" w:cs="Arial"/>
                <w:i/>
                <w:color w:val="595959" w:themeColor="text1" w:themeTint="A6"/>
                <w:sz w:val="21"/>
                <w:szCs w:val="21"/>
              </w:rPr>
              <w:t>GoI</w:t>
            </w:r>
            <w:r w:rsidRPr="00BF5BBC">
              <w:rPr>
                <w:rFonts w:asciiTheme="majorHAnsi" w:hAnsiTheme="majorHAnsi" w:cs="Arial"/>
                <w:i/>
                <w:color w:val="595959" w:themeColor="text1" w:themeTint="A6"/>
                <w:sz w:val="21"/>
                <w:szCs w:val="21"/>
              </w:rPr>
              <w:t xml:space="preserve"> on the design. </w:t>
            </w:r>
          </w:p>
          <w:p w:rsidR="00EF496B" w:rsidRDefault="00EF496B" w:rsidP="003007AC">
            <w:pPr>
              <w:suppressAutoHyphens w:val="0"/>
              <w:spacing w:after="0" w:line="240" w:lineRule="auto"/>
              <w:rPr>
                <w:rFonts w:asciiTheme="majorHAnsi" w:hAnsiTheme="majorHAnsi" w:cs="Arial"/>
                <w:color w:val="595959" w:themeColor="text1" w:themeTint="A6"/>
                <w:sz w:val="21"/>
                <w:szCs w:val="21"/>
              </w:rPr>
            </w:pPr>
            <w:r w:rsidRPr="00EF496B">
              <w:rPr>
                <w:rFonts w:asciiTheme="majorHAnsi" w:hAnsiTheme="majorHAnsi" w:cs="Arial"/>
                <w:color w:val="595959" w:themeColor="text1" w:themeTint="A6"/>
                <w:sz w:val="21"/>
                <w:szCs w:val="21"/>
              </w:rPr>
              <w:t xml:space="preserve">May 2018: </w:t>
            </w:r>
            <w:r w:rsidRPr="008A24F9">
              <w:rPr>
                <w:rFonts w:asciiTheme="majorHAnsi" w:hAnsiTheme="majorHAnsi" w:cs="Arial"/>
                <w:i/>
                <w:color w:val="595959" w:themeColor="text1" w:themeTint="A6"/>
                <w:sz w:val="21"/>
                <w:szCs w:val="21"/>
              </w:rPr>
              <w:t>CHS Scoping team to debrief CHS and post on findings from Indonesian visit</w:t>
            </w:r>
          </w:p>
          <w:p w:rsidR="003007AC" w:rsidRPr="00BF5BBC" w:rsidRDefault="003007AC" w:rsidP="003007A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Jun 2018: </w:t>
            </w:r>
            <w:r w:rsidR="00D8557A" w:rsidRPr="00F84664">
              <w:rPr>
                <w:rFonts w:asciiTheme="majorHAnsi" w:hAnsiTheme="majorHAnsi" w:cs="Arial"/>
                <w:i/>
                <w:color w:val="595959" w:themeColor="text1" w:themeTint="A6"/>
                <w:sz w:val="21"/>
                <w:szCs w:val="21"/>
              </w:rPr>
              <w:t>Revise design</w:t>
            </w:r>
            <w:r w:rsidR="005272BC" w:rsidRPr="00F84664">
              <w:rPr>
                <w:rFonts w:asciiTheme="majorHAnsi" w:hAnsiTheme="majorHAnsi" w:cs="Arial"/>
                <w:i/>
                <w:color w:val="595959" w:themeColor="text1" w:themeTint="A6"/>
                <w:sz w:val="21"/>
                <w:szCs w:val="21"/>
              </w:rPr>
              <w:t xml:space="preserve"> and c</w:t>
            </w:r>
            <w:r w:rsidRPr="00BF5BBC">
              <w:rPr>
                <w:rFonts w:asciiTheme="majorHAnsi" w:hAnsiTheme="majorHAnsi" w:cs="Arial"/>
                <w:i/>
                <w:color w:val="595959" w:themeColor="text1" w:themeTint="A6"/>
                <w:sz w:val="21"/>
                <w:szCs w:val="21"/>
              </w:rPr>
              <w:t>omplete quality assurance process</w:t>
            </w:r>
            <w:r w:rsidR="00DF3C39" w:rsidRPr="00BF5BBC">
              <w:rPr>
                <w:rFonts w:asciiTheme="majorHAnsi" w:hAnsiTheme="majorHAnsi" w:cs="Arial"/>
                <w:i/>
                <w:color w:val="595959" w:themeColor="text1" w:themeTint="A6"/>
                <w:sz w:val="21"/>
                <w:szCs w:val="21"/>
              </w:rPr>
              <w:t>es</w:t>
            </w:r>
            <w:r w:rsidR="005272BC" w:rsidRPr="00F84664">
              <w:rPr>
                <w:rFonts w:asciiTheme="majorHAnsi" w:hAnsiTheme="majorHAnsi" w:cs="Arial"/>
                <w:i/>
                <w:color w:val="595959" w:themeColor="text1" w:themeTint="A6"/>
                <w:sz w:val="21"/>
                <w:szCs w:val="21"/>
              </w:rPr>
              <w:t xml:space="preserve"> (including independent appraisal)</w:t>
            </w:r>
            <w:r w:rsidRPr="00BF5BBC">
              <w:rPr>
                <w:rFonts w:asciiTheme="majorHAnsi" w:hAnsiTheme="majorHAnsi" w:cs="Arial"/>
                <w:i/>
                <w:color w:val="595959" w:themeColor="text1" w:themeTint="A6"/>
                <w:sz w:val="21"/>
                <w:szCs w:val="21"/>
              </w:rPr>
              <w:t xml:space="preserve"> and ensure the investment is fit-for-purpose. </w:t>
            </w:r>
          </w:p>
          <w:p w:rsidR="003007AC" w:rsidRPr="00BF5BBC" w:rsidRDefault="003007AC" w:rsidP="003007A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Jun 2018</w:t>
            </w:r>
            <w:r w:rsidR="00DF3C39" w:rsidRPr="00BF5BBC">
              <w:rPr>
                <w:rFonts w:asciiTheme="majorHAnsi" w:hAnsiTheme="majorHAnsi" w:cs="Arial"/>
                <w:color w:val="595959" w:themeColor="text1" w:themeTint="A6"/>
                <w:sz w:val="21"/>
                <w:szCs w:val="21"/>
              </w:rPr>
              <w:t xml:space="preserve">: </w:t>
            </w:r>
            <w:r w:rsidRPr="00BF5BBC">
              <w:rPr>
                <w:rFonts w:asciiTheme="majorHAnsi" w:hAnsiTheme="majorHAnsi" w:cs="Arial"/>
                <w:i/>
                <w:color w:val="595959" w:themeColor="text1" w:themeTint="A6"/>
                <w:sz w:val="21"/>
                <w:szCs w:val="21"/>
              </w:rPr>
              <w:t xml:space="preserve">Finalise design document and seek approval to </w:t>
            </w:r>
            <w:r w:rsidR="00F1136E">
              <w:rPr>
                <w:rFonts w:asciiTheme="majorHAnsi" w:hAnsiTheme="majorHAnsi" w:cs="Arial"/>
                <w:i/>
                <w:color w:val="595959" w:themeColor="text1" w:themeTint="A6"/>
                <w:sz w:val="21"/>
                <w:szCs w:val="21"/>
              </w:rPr>
              <w:t>approach the market</w:t>
            </w:r>
            <w:r w:rsidRPr="00BF5BBC">
              <w:rPr>
                <w:rFonts w:asciiTheme="majorHAnsi" w:hAnsiTheme="majorHAnsi" w:cs="Arial"/>
                <w:color w:val="595959" w:themeColor="text1" w:themeTint="A6"/>
                <w:sz w:val="21"/>
                <w:szCs w:val="21"/>
              </w:rPr>
              <w:t xml:space="preserve">.   </w:t>
            </w:r>
          </w:p>
          <w:p w:rsidR="003007AC" w:rsidRPr="00BF5BBC" w:rsidRDefault="003007AC" w:rsidP="003007A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Ju</w:t>
            </w:r>
            <w:r w:rsidR="005272BC" w:rsidRPr="00F84664">
              <w:rPr>
                <w:rFonts w:asciiTheme="majorHAnsi" w:hAnsiTheme="majorHAnsi" w:cs="Arial"/>
                <w:color w:val="595959" w:themeColor="text1" w:themeTint="A6"/>
                <w:sz w:val="21"/>
                <w:szCs w:val="21"/>
              </w:rPr>
              <w:t>l</w:t>
            </w:r>
            <w:r w:rsidRPr="00BF5BBC">
              <w:rPr>
                <w:rFonts w:asciiTheme="majorHAnsi" w:hAnsiTheme="majorHAnsi" w:cs="Arial"/>
                <w:color w:val="595959" w:themeColor="text1" w:themeTint="A6"/>
                <w:sz w:val="21"/>
                <w:szCs w:val="21"/>
              </w:rPr>
              <w:t>-Nov 2018</w:t>
            </w:r>
            <w:r w:rsidR="00DF3C39" w:rsidRPr="00BF5BBC">
              <w:rPr>
                <w:rFonts w:asciiTheme="majorHAnsi" w:hAnsiTheme="majorHAnsi" w:cs="Arial"/>
                <w:color w:val="595959" w:themeColor="text1" w:themeTint="A6"/>
                <w:sz w:val="21"/>
                <w:szCs w:val="21"/>
              </w:rPr>
              <w:t xml:space="preserve">: </w:t>
            </w:r>
            <w:r w:rsidRPr="00BF5BBC">
              <w:rPr>
                <w:rFonts w:asciiTheme="majorHAnsi" w:hAnsiTheme="majorHAnsi" w:cs="Arial"/>
                <w:i/>
                <w:color w:val="595959" w:themeColor="text1" w:themeTint="A6"/>
                <w:sz w:val="21"/>
                <w:szCs w:val="21"/>
              </w:rPr>
              <w:t>Finalise of scope of services, tender process, contract negotiations</w:t>
            </w:r>
            <w:r w:rsidR="008879AB">
              <w:rPr>
                <w:rStyle w:val="FootnoteReference"/>
                <w:rFonts w:asciiTheme="majorHAnsi" w:hAnsiTheme="majorHAnsi" w:cs="Arial"/>
                <w:i/>
                <w:color w:val="595959" w:themeColor="text1" w:themeTint="A6"/>
                <w:sz w:val="21"/>
                <w:szCs w:val="21"/>
              </w:rPr>
              <w:footnoteReference w:id="9"/>
            </w:r>
            <w:r w:rsidRPr="00BF5BBC">
              <w:rPr>
                <w:rFonts w:asciiTheme="majorHAnsi" w:hAnsiTheme="majorHAnsi" w:cs="Arial"/>
                <w:color w:val="595959" w:themeColor="text1" w:themeTint="A6"/>
                <w:sz w:val="21"/>
                <w:szCs w:val="21"/>
              </w:rPr>
              <w:t xml:space="preserve"> </w:t>
            </w:r>
          </w:p>
          <w:p w:rsidR="004C10EA" w:rsidRPr="00BF5BBC" w:rsidRDefault="00DF3C39" w:rsidP="00BF5BBC">
            <w:pPr>
              <w:suppressAutoHyphens w:val="0"/>
              <w:spacing w:after="0" w:line="240" w:lineRule="auto"/>
              <w:rPr>
                <w:rFonts w:asciiTheme="majorHAnsi" w:hAnsiTheme="majorHAnsi" w:cs="Arial"/>
                <w:b/>
                <w:sz w:val="21"/>
                <w:szCs w:val="21"/>
              </w:rPr>
            </w:pPr>
            <w:r w:rsidRPr="00BF5BBC">
              <w:rPr>
                <w:rFonts w:asciiTheme="majorHAnsi" w:hAnsiTheme="majorHAnsi" w:cs="Arial"/>
                <w:color w:val="595959" w:themeColor="text1" w:themeTint="A6"/>
                <w:sz w:val="21"/>
                <w:szCs w:val="21"/>
              </w:rPr>
              <w:t>Jan</w:t>
            </w:r>
            <w:r w:rsidR="003007AC" w:rsidRPr="00BF5BBC">
              <w:rPr>
                <w:rFonts w:asciiTheme="majorHAnsi" w:hAnsiTheme="majorHAnsi" w:cs="Arial"/>
                <w:color w:val="595959" w:themeColor="text1" w:themeTint="A6"/>
                <w:sz w:val="21"/>
                <w:szCs w:val="21"/>
              </w:rPr>
              <w:t xml:space="preserve"> 201</w:t>
            </w:r>
            <w:r w:rsidRPr="00BF5BBC">
              <w:rPr>
                <w:rFonts w:asciiTheme="majorHAnsi" w:hAnsiTheme="majorHAnsi" w:cs="Arial"/>
                <w:color w:val="595959" w:themeColor="text1" w:themeTint="A6"/>
                <w:sz w:val="21"/>
                <w:szCs w:val="21"/>
              </w:rPr>
              <w:t xml:space="preserve">9: </w:t>
            </w:r>
            <w:r w:rsidR="003007AC" w:rsidRPr="00BF5BBC">
              <w:rPr>
                <w:rFonts w:asciiTheme="majorHAnsi" w:hAnsiTheme="majorHAnsi" w:cs="Arial"/>
                <w:i/>
                <w:color w:val="595959" w:themeColor="text1" w:themeTint="A6"/>
                <w:sz w:val="21"/>
                <w:szCs w:val="21"/>
              </w:rPr>
              <w:t>Mobilisation</w:t>
            </w:r>
          </w:p>
        </w:tc>
      </w:tr>
    </w:tbl>
    <w:p w:rsidR="004C10EA" w:rsidRPr="00267B3F" w:rsidRDefault="004C10EA" w:rsidP="004C10EA">
      <w:pPr>
        <w:pStyle w:val="Heading4"/>
        <w:keepLines w:val="0"/>
        <w:numPr>
          <w:ilvl w:val="3"/>
          <w:numId w:val="0"/>
        </w:numPr>
        <w:suppressAutoHyphens w:val="0"/>
        <w:spacing w:before="320" w:after="0" w:line="240" w:lineRule="auto"/>
        <w:contextualSpacing w:val="0"/>
        <w:rPr>
          <w:i/>
          <w:sz w:val="21"/>
          <w:szCs w:val="21"/>
        </w:rPr>
      </w:pPr>
    </w:p>
    <w:p w:rsidR="004C10EA" w:rsidRPr="00966957" w:rsidRDefault="004C10EA" w:rsidP="004C10EA">
      <w:pPr>
        <w:rPr>
          <w:rFonts w:asciiTheme="majorHAnsi" w:eastAsia="Times New Roman" w:hAnsiTheme="majorHAnsi" w:cs="Arial"/>
          <w:color w:val="124486"/>
          <w:kern w:val="28"/>
          <w:lang w:eastAsia="zh-CN"/>
        </w:rPr>
      </w:pPr>
      <w:r w:rsidRPr="00966957">
        <w:rPr>
          <w:rFonts w:asciiTheme="majorHAnsi" w:hAnsiTheme="majorHAnsi"/>
        </w:rPr>
        <w:br w:type="page"/>
      </w:r>
    </w:p>
    <w:p w:rsidR="00EE560E" w:rsidRDefault="0079406C" w:rsidP="0079406C">
      <w:pPr>
        <w:rPr>
          <w:rFonts w:asciiTheme="majorHAnsi" w:hAnsiTheme="majorHAnsi"/>
          <w:b/>
        </w:rPr>
      </w:pPr>
      <w:r>
        <w:rPr>
          <w:rFonts w:asciiTheme="majorHAnsi" w:hAnsiTheme="majorHAnsi"/>
          <w:b/>
        </w:rPr>
        <w:t>ATTACHMENT</w:t>
      </w:r>
      <w:r w:rsidRPr="0053293C">
        <w:rPr>
          <w:rFonts w:asciiTheme="majorHAnsi" w:hAnsiTheme="majorHAnsi"/>
          <w:b/>
        </w:rPr>
        <w:t xml:space="preserve"> </w:t>
      </w:r>
      <w:r>
        <w:rPr>
          <w:rFonts w:asciiTheme="majorHAnsi" w:hAnsiTheme="majorHAnsi"/>
          <w:b/>
        </w:rPr>
        <w:t>A</w:t>
      </w:r>
      <w:r w:rsidR="00353E34">
        <w:rPr>
          <w:rFonts w:asciiTheme="majorHAnsi" w:hAnsiTheme="majorHAnsi"/>
          <w:b/>
        </w:rPr>
        <w:t>:</w:t>
      </w:r>
      <w:r w:rsidRPr="0053293C">
        <w:rPr>
          <w:rFonts w:asciiTheme="majorHAnsi" w:hAnsiTheme="majorHAnsi"/>
          <w:b/>
        </w:rPr>
        <w:t xml:space="preserve"> </w:t>
      </w:r>
    </w:p>
    <w:p w:rsidR="003153E1" w:rsidRDefault="003C3E68" w:rsidP="0079406C">
      <w:pPr>
        <w:rPr>
          <w:rFonts w:asciiTheme="majorHAnsi" w:hAnsiTheme="majorHAnsi"/>
          <w:b/>
          <w:noProof/>
        </w:rPr>
      </w:pPr>
      <w:r>
        <w:rPr>
          <w:rFonts w:asciiTheme="majorHAnsi" w:hAnsiTheme="majorHAnsi"/>
          <w:b/>
        </w:rPr>
        <w:t xml:space="preserve">POSSIBLE </w:t>
      </w:r>
      <w:r w:rsidR="0079406C">
        <w:rPr>
          <w:rFonts w:asciiTheme="majorHAnsi" w:hAnsiTheme="majorHAnsi"/>
          <w:b/>
        </w:rPr>
        <w:t>GOVERNANCE ARRANGEMENTS</w:t>
      </w:r>
      <w:r w:rsidR="00F30C4E">
        <w:rPr>
          <w:rFonts w:asciiTheme="majorHAnsi" w:hAnsiTheme="majorHAnsi"/>
          <w:b/>
        </w:rPr>
        <w:t xml:space="preserve"> – AUSTRALIA INDONESIA HEALTH SECURITY PARTNERSHIP</w:t>
      </w:r>
      <w:r w:rsidR="0079406C">
        <w:rPr>
          <w:rFonts w:asciiTheme="majorHAnsi" w:hAnsiTheme="majorHAnsi"/>
          <w:b/>
          <w:noProof/>
        </w:rPr>
        <w:t xml:space="preserve"> </w:t>
      </w:r>
    </w:p>
    <w:p w:rsidR="00F30C4E" w:rsidRDefault="00126B39" w:rsidP="0079406C">
      <w:pPr>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397120" behindDoc="1" locked="0" layoutInCell="1" allowOverlap="1" wp14:anchorId="2880B52F" wp14:editId="6CB38970">
                <wp:simplePos x="0" y="0"/>
                <wp:positionH relativeFrom="column">
                  <wp:posOffset>4286250</wp:posOffset>
                </wp:positionH>
                <wp:positionV relativeFrom="paragraph">
                  <wp:posOffset>40005</wp:posOffset>
                </wp:positionV>
                <wp:extent cx="2327564" cy="2362200"/>
                <wp:effectExtent l="0" t="0" r="15875" b="19050"/>
                <wp:wrapNone/>
                <wp:docPr id="17" name="Flowchart: Alternate Process 17"/>
                <wp:cNvGraphicFramePr/>
                <a:graphic xmlns:a="http://schemas.openxmlformats.org/drawingml/2006/main">
                  <a:graphicData uri="http://schemas.microsoft.com/office/word/2010/wordprocessingShape">
                    <wps:wsp>
                      <wps:cNvSpPr/>
                      <wps:spPr>
                        <a:xfrm>
                          <a:off x="0" y="0"/>
                          <a:ext cx="2327564" cy="2362200"/>
                        </a:xfrm>
                        <a:prstGeom prst="flowChartAlternateProcess">
                          <a:avLst/>
                        </a:prstGeom>
                        <a:solidFill>
                          <a:schemeClr val="bg2">
                            <a:lumMod val="90000"/>
                          </a:schemeClr>
                        </a:solidFill>
                        <a:ln w="12700" cap="flat" cmpd="sng" algn="ctr">
                          <a:solidFill>
                            <a:sysClr val="window" lastClr="FFFFFF"/>
                          </a:solidFill>
                          <a:prstDash val="solid"/>
                          <a:miter lim="800000"/>
                        </a:ln>
                        <a:effectLst/>
                      </wps:spPr>
                      <wps:txbx>
                        <w:txbxContent>
                          <w:p w:rsidR="008A24F9" w:rsidRDefault="008A24F9" w:rsidP="00B17E00">
                            <w:pPr>
                              <w:spacing w:before="0" w:after="0" w:line="60" w:lineRule="atLeast"/>
                              <w:jc w:val="center"/>
                              <w:rPr>
                                <w:b/>
                                <w:color w:val="FFFFFF" w:themeColor="background1"/>
                                <w:sz w:val="26"/>
                                <w:szCs w:val="26"/>
                                <w:lang w:val="en-AU"/>
                              </w:rPr>
                            </w:pPr>
                            <w:r>
                              <w:rPr>
                                <w:b/>
                                <w:color w:val="FFFFFF" w:themeColor="background1"/>
                                <w:sz w:val="26"/>
                                <w:szCs w:val="26"/>
                                <w:lang w:val="en-AU"/>
                              </w:rPr>
                              <w:t xml:space="preserve">REPRESENTATION:     </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Health</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Agriculture</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PMK</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DFAT</w:t>
                            </w:r>
                          </w:p>
                          <w:p w:rsidR="008A24F9" w:rsidRDefault="008A24F9" w:rsidP="00B17E00">
                            <w:pPr>
                              <w:spacing w:before="0" w:after="0" w:line="60" w:lineRule="atLeast"/>
                              <w:jc w:val="center"/>
                              <w:rPr>
                                <w:color w:val="FFFFFF" w:themeColor="background1"/>
                                <w:sz w:val="26"/>
                                <w:szCs w:val="26"/>
                                <w:lang w:val="en-AU"/>
                              </w:rPr>
                            </w:pPr>
                            <w:r w:rsidRPr="00BF5BBC">
                              <w:rPr>
                                <w:color w:val="FFFFFF" w:themeColor="background1"/>
                                <w:sz w:val="26"/>
                                <w:szCs w:val="26"/>
                                <w:lang w:val="en-AU"/>
                              </w:rPr>
                              <w:t>Centre for Health Security</w:t>
                            </w:r>
                          </w:p>
                          <w:p w:rsidR="008A24F9" w:rsidRDefault="008A24F9" w:rsidP="00B17E00">
                            <w:pPr>
                              <w:spacing w:before="0" w:after="0" w:line="60" w:lineRule="atLeast"/>
                              <w:jc w:val="center"/>
                              <w:rPr>
                                <w:color w:val="FFFFFF" w:themeColor="background1"/>
                                <w:sz w:val="26"/>
                                <w:szCs w:val="26"/>
                                <w:lang w:val="en-AU"/>
                              </w:rPr>
                            </w:pPr>
                            <w:r w:rsidRPr="00C07449">
                              <w:rPr>
                                <w:color w:val="FFFFFF" w:themeColor="background1"/>
                                <w:sz w:val="26"/>
                                <w:szCs w:val="26"/>
                                <w:lang w:val="en-AU"/>
                              </w:rPr>
                              <w:t>DAWR</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Bappenas</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BNPB</w:t>
                            </w:r>
                          </w:p>
                          <w:p w:rsidR="008A24F9" w:rsidRPr="00BF5BBC" w:rsidRDefault="008A24F9" w:rsidP="00BF5BBC">
                            <w:pPr>
                              <w:spacing w:before="0" w:after="0" w:line="60" w:lineRule="atLeast"/>
                              <w:jc w:val="center"/>
                              <w:rPr>
                                <w:color w:val="FFFFFF" w:themeColor="background1"/>
                                <w:sz w:val="26"/>
                                <w:szCs w:val="26"/>
                                <w:lang w:val="en-AU"/>
                              </w:rPr>
                            </w:pPr>
                            <w:r>
                              <w:rPr>
                                <w:color w:val="FFFFFF" w:themeColor="background1"/>
                                <w:sz w:val="26"/>
                                <w:szCs w:val="26"/>
                                <w:lang w:val="en-AU"/>
                              </w:rPr>
                              <w:t>Ministry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0B5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6" type="#_x0000_t176" style="position:absolute;margin-left:337.5pt;margin-top:3.15pt;width:183.25pt;height:1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" fillcolor="#c0c7c5 [2894]" strokecolor="window" strokeweight="1pt">
                <v:textbox>
                  <w:txbxContent>
                    <w:p w:rsidR="008A24F9" w:rsidRDefault="008A24F9" w:rsidP="00B17E00">
                      <w:pPr>
                        <w:spacing w:before="0" w:after="0" w:line="60" w:lineRule="atLeast"/>
                        <w:jc w:val="center"/>
                        <w:rPr>
                          <w:b/>
                          <w:color w:val="FFFFFF" w:themeColor="background1"/>
                          <w:sz w:val="26"/>
                          <w:szCs w:val="26"/>
                          <w:lang w:val="en-AU"/>
                        </w:rPr>
                      </w:pPr>
                      <w:r>
                        <w:rPr>
                          <w:b/>
                          <w:color w:val="FFFFFF" w:themeColor="background1"/>
                          <w:sz w:val="26"/>
                          <w:szCs w:val="26"/>
                          <w:lang w:val="en-AU"/>
                        </w:rPr>
                        <w:t xml:space="preserve">REPRESENTATION:     </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Health</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Agriculture</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PMK</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DFAT</w:t>
                      </w:r>
                    </w:p>
                    <w:p w:rsidR="008A24F9" w:rsidRDefault="008A24F9" w:rsidP="00B17E00">
                      <w:pPr>
                        <w:spacing w:before="0" w:after="0" w:line="60" w:lineRule="atLeast"/>
                        <w:jc w:val="center"/>
                        <w:rPr>
                          <w:color w:val="FFFFFF" w:themeColor="background1"/>
                          <w:sz w:val="26"/>
                          <w:szCs w:val="26"/>
                          <w:lang w:val="en-AU"/>
                        </w:rPr>
                      </w:pPr>
                      <w:r w:rsidRPr="00BF5BBC">
                        <w:rPr>
                          <w:color w:val="FFFFFF" w:themeColor="background1"/>
                          <w:sz w:val="26"/>
                          <w:szCs w:val="26"/>
                          <w:lang w:val="en-AU"/>
                        </w:rPr>
                        <w:t>Centre for Health Security</w:t>
                      </w:r>
                    </w:p>
                    <w:p w:rsidR="008A24F9" w:rsidRDefault="008A24F9" w:rsidP="00B17E00">
                      <w:pPr>
                        <w:spacing w:before="0" w:after="0" w:line="60" w:lineRule="atLeast"/>
                        <w:jc w:val="center"/>
                        <w:rPr>
                          <w:color w:val="FFFFFF" w:themeColor="background1"/>
                          <w:sz w:val="26"/>
                          <w:szCs w:val="26"/>
                          <w:lang w:val="en-AU"/>
                        </w:rPr>
                      </w:pPr>
                      <w:r w:rsidRPr="00C07449">
                        <w:rPr>
                          <w:color w:val="FFFFFF" w:themeColor="background1"/>
                          <w:sz w:val="26"/>
                          <w:szCs w:val="26"/>
                          <w:lang w:val="en-AU"/>
                        </w:rPr>
                        <w:t>DAWR</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Bappenas</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BNPB</w:t>
                      </w:r>
                    </w:p>
                    <w:p w:rsidR="008A24F9" w:rsidRPr="00BF5BBC" w:rsidRDefault="008A24F9" w:rsidP="00BF5BBC">
                      <w:pPr>
                        <w:spacing w:before="0" w:after="0" w:line="60" w:lineRule="atLeast"/>
                        <w:jc w:val="center"/>
                        <w:rPr>
                          <w:color w:val="FFFFFF" w:themeColor="background1"/>
                          <w:sz w:val="26"/>
                          <w:szCs w:val="26"/>
                          <w:lang w:val="en-AU"/>
                        </w:rPr>
                      </w:pPr>
                      <w:r>
                        <w:rPr>
                          <w:color w:val="FFFFFF" w:themeColor="background1"/>
                          <w:sz w:val="26"/>
                          <w:szCs w:val="26"/>
                          <w:lang w:val="en-AU"/>
                        </w:rPr>
                        <w:t>Ministry of Finance</w:t>
                      </w:r>
                    </w:p>
                  </w:txbxContent>
                </v:textbox>
              </v:shape>
            </w:pict>
          </mc:Fallback>
        </mc:AlternateContent>
      </w:r>
      <w:r w:rsidR="00EE560E">
        <w:rPr>
          <w:rFonts w:asciiTheme="majorHAnsi" w:hAnsiTheme="majorHAnsi"/>
          <w:b/>
          <w:noProof/>
          <w:lang w:val="en-AU" w:eastAsia="en-AU"/>
        </w:rPr>
        <mc:AlternateContent>
          <mc:Choice Requires="wps">
            <w:drawing>
              <wp:anchor distT="0" distB="0" distL="114300" distR="114300" simplePos="0" relativeHeight="251516928" behindDoc="0" locked="0" layoutInCell="1" allowOverlap="1" wp14:anchorId="3EAC84D3" wp14:editId="7B70654C">
                <wp:simplePos x="0" y="0"/>
                <wp:positionH relativeFrom="column">
                  <wp:posOffset>2774719</wp:posOffset>
                </wp:positionH>
                <wp:positionV relativeFrom="paragraph">
                  <wp:posOffset>1905</wp:posOffset>
                </wp:positionV>
                <wp:extent cx="2133600" cy="1741805"/>
                <wp:effectExtent l="0" t="0" r="0" b="0"/>
                <wp:wrapNone/>
                <wp:docPr id="23" name="Flowchart: Alternate Process 23"/>
                <wp:cNvGraphicFramePr/>
                <a:graphic xmlns:a="http://schemas.openxmlformats.org/drawingml/2006/main">
                  <a:graphicData uri="http://schemas.microsoft.com/office/word/2010/wordprocessingShape">
                    <wps:wsp>
                      <wps:cNvSpPr/>
                      <wps:spPr>
                        <a:xfrm>
                          <a:off x="0" y="0"/>
                          <a:ext cx="2133600" cy="1741805"/>
                        </a:xfrm>
                        <a:prstGeom prst="flowChartAlternateProcess">
                          <a:avLst/>
                        </a:prstGeom>
                        <a:noFill/>
                        <a:ln w="12700" cap="flat" cmpd="sng" algn="ctr">
                          <a:noFill/>
                          <a:prstDash val="solid"/>
                          <a:miter lim="800000"/>
                        </a:ln>
                        <a:effectLst/>
                      </wps:spPr>
                      <wps:txbx>
                        <w:txbxContent>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SET STRATEGIC DIRECTION </w:t>
                            </w:r>
                          </w:p>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APPROVE ANNUAL WORKPLAN </w:t>
                            </w:r>
                          </w:p>
                          <w:p w:rsidR="008A24F9" w:rsidRDefault="008A24F9" w:rsidP="002660D7">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PROGRESS TRACKING</w:t>
                            </w:r>
                          </w:p>
                          <w:p w:rsidR="008A24F9" w:rsidRPr="00BF5BBC" w:rsidRDefault="008A24F9" w:rsidP="00BF5BBC">
                            <w:pPr>
                              <w:pStyle w:val="ListParagraph"/>
                              <w:numPr>
                                <w:ilvl w:val="0"/>
                                <w:numId w:val="53"/>
                              </w:numPr>
                              <w:rPr>
                                <w:rFonts w:cstheme="minorHAnsi"/>
                                <w:b/>
                                <w:color w:val="A6A6A6" w:themeColor="background1" w:themeShade="A6"/>
                                <w:sz w:val="20"/>
                                <w:szCs w:val="20"/>
                              </w:rPr>
                            </w:pPr>
                            <w:r>
                              <w:rPr>
                                <w:rFonts w:asciiTheme="minorHAnsi" w:hAnsiTheme="minorHAnsi" w:cstheme="minorHAnsi"/>
                                <w:b/>
                                <w:color w:val="A6A6A6" w:themeColor="background1" w:themeShade="A6"/>
                                <w:sz w:val="20"/>
                                <w:szCs w:val="20"/>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84D3" id="Flowchart: Alternate Process 23" o:spid="_x0000_s1027" type="#_x0000_t176" style="position:absolute;margin-left:218.5pt;margin-top:.15pt;width:168pt;height:137.1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" filled="f" stroked="f" strokeweight="1pt">
                <v:textbox>
                  <w:txbxContent>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SET STRATEGIC DIRECTION </w:t>
                      </w:r>
                    </w:p>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APPROVE ANNUAL WORKPLAN </w:t>
                      </w:r>
                    </w:p>
                    <w:p w:rsidR="008A24F9" w:rsidRDefault="008A24F9" w:rsidP="002660D7">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PROGRESS TRACKING</w:t>
                      </w:r>
                    </w:p>
                    <w:p w:rsidR="008A24F9" w:rsidRPr="00BF5BBC" w:rsidRDefault="008A24F9" w:rsidP="00BF5BBC">
                      <w:pPr>
                        <w:pStyle w:val="ListParagraph"/>
                        <w:numPr>
                          <w:ilvl w:val="0"/>
                          <w:numId w:val="53"/>
                        </w:numPr>
                        <w:rPr>
                          <w:rFonts w:cstheme="minorHAnsi"/>
                          <w:b/>
                          <w:color w:val="A6A6A6" w:themeColor="background1" w:themeShade="A6"/>
                          <w:sz w:val="20"/>
                          <w:szCs w:val="20"/>
                        </w:rPr>
                      </w:pPr>
                      <w:r>
                        <w:rPr>
                          <w:rFonts w:asciiTheme="minorHAnsi" w:hAnsiTheme="minorHAnsi" w:cstheme="minorHAnsi"/>
                          <w:b/>
                          <w:color w:val="A6A6A6" w:themeColor="background1" w:themeShade="A6"/>
                          <w:sz w:val="20"/>
                          <w:szCs w:val="20"/>
                        </w:rPr>
                        <w:t>RISK MANAGEMENT</w:t>
                      </w:r>
                    </w:p>
                  </w:txbxContent>
                </v:textbox>
              </v:shape>
            </w:pict>
          </mc:Fallback>
        </mc:AlternateContent>
      </w:r>
    </w:p>
    <w:p w:rsidR="003153E1" w:rsidRDefault="00EE560E" w:rsidP="00BF5BBC">
      <w:pPr>
        <w:ind w:left="2160"/>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532288" behindDoc="0" locked="0" layoutInCell="1" allowOverlap="1" wp14:anchorId="21EAFBDD" wp14:editId="4ECD0C73">
                <wp:simplePos x="0" y="0"/>
                <wp:positionH relativeFrom="column">
                  <wp:posOffset>526819</wp:posOffset>
                </wp:positionH>
                <wp:positionV relativeFrom="paragraph">
                  <wp:posOffset>1271963</wp:posOffset>
                </wp:positionV>
                <wp:extent cx="367030" cy="3303905"/>
                <wp:effectExtent l="19050" t="19050" r="13970" b="10795"/>
                <wp:wrapNone/>
                <wp:docPr id="25" name="Arrow: Bent-Up 25"/>
                <wp:cNvGraphicFramePr/>
                <a:graphic xmlns:a="http://schemas.openxmlformats.org/drawingml/2006/main">
                  <a:graphicData uri="http://schemas.microsoft.com/office/word/2010/wordprocessingShape">
                    <wps:wsp>
                      <wps:cNvSpPr/>
                      <wps:spPr>
                        <a:xfrm rot="10800000" flipV="1">
                          <a:off x="0" y="0"/>
                          <a:ext cx="367030" cy="3303905"/>
                        </a:xfrm>
                        <a:prstGeom prst="bentUpArrow">
                          <a:avLst>
                            <a:gd name="adj1" fmla="val 8562"/>
                            <a:gd name="adj2" fmla="val 14427"/>
                            <a:gd name="adj3" fmla="val 1977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3A0B" id="Arrow: Bent-Up 25" o:spid="_x0000_s1026" style="position:absolute;margin-left:41.5pt;margin-top:100.15pt;width:28.9pt;height:260.15pt;rotation:180;flip: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33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" path="m,3272480r298366,l298366,72562r-37239,l314079,r52951,72562l329791,72562r,3231343l,3303905r,-31425xe" filled="f" strokecolor="#286b5f [1604]" strokeweight="1pt">
                <v:stroke joinstyle="miter"/>
                <v:path arrowok="t" o:connecttype="custom" o:connectlocs="0,3272480;298366,3272480;298366,72562;261127,72562;314079,0;367030,72562;329791,72562;329791,3303905;0,3303905;0,3272480" o:connectangles="0,0,0,0,0,0,0,0,0,0"/>
              </v:shape>
            </w:pict>
          </mc:Fallback>
        </mc:AlternateContent>
      </w:r>
      <w:r>
        <w:rPr>
          <w:rFonts w:asciiTheme="majorHAnsi" w:hAnsiTheme="majorHAnsi"/>
          <w:b/>
          <w:noProof/>
          <w:lang w:val="en-AU" w:eastAsia="en-AU"/>
        </w:rPr>
        <mc:AlternateContent>
          <mc:Choice Requires="wps">
            <w:drawing>
              <wp:anchor distT="0" distB="0" distL="114300" distR="114300" simplePos="0" relativeHeight="251471872" behindDoc="0" locked="0" layoutInCell="1" allowOverlap="1" wp14:anchorId="2B637657" wp14:editId="21BFA3ED">
                <wp:simplePos x="0" y="0"/>
                <wp:positionH relativeFrom="column">
                  <wp:posOffset>1015192</wp:posOffset>
                </wp:positionH>
                <wp:positionV relativeFrom="paragraph">
                  <wp:posOffset>645045</wp:posOffset>
                </wp:positionV>
                <wp:extent cx="356408" cy="117763"/>
                <wp:effectExtent l="0" t="19050" r="43815" b="34925"/>
                <wp:wrapNone/>
                <wp:docPr id="20" name="Arrow: Right 20"/>
                <wp:cNvGraphicFramePr/>
                <a:graphic xmlns:a="http://schemas.openxmlformats.org/drawingml/2006/main">
                  <a:graphicData uri="http://schemas.microsoft.com/office/word/2010/wordprocessingShape">
                    <wps:wsp>
                      <wps:cNvSpPr/>
                      <wps:spPr>
                        <a:xfrm>
                          <a:off x="0" y="0"/>
                          <a:ext cx="356408" cy="117763"/>
                        </a:xfrm>
                        <a:prstGeom prst="rightArrow">
                          <a:avLst>
                            <a:gd name="adj1" fmla="val 50001"/>
                            <a:gd name="adj2"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8A4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79.95pt;margin-top:50.8pt;width:28.05pt;height:9.2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" adj="18032" filled="f" strokecolor="#286b5f [1604]" strokeweight="1pt"/>
            </w:pict>
          </mc:Fallback>
        </mc:AlternateContent>
      </w:r>
      <w:r>
        <w:rPr>
          <w:rFonts w:asciiTheme="majorHAnsi" w:hAnsiTheme="majorHAnsi"/>
          <w:b/>
          <w:noProof/>
          <w:lang w:val="en-AU" w:eastAsia="en-AU"/>
        </w:rPr>
        <mc:AlternateContent>
          <mc:Choice Requires="wps">
            <w:drawing>
              <wp:anchor distT="0" distB="0" distL="114300" distR="114300" simplePos="0" relativeHeight="251455488" behindDoc="0" locked="0" layoutInCell="1" allowOverlap="1" wp14:anchorId="5000770A" wp14:editId="3CE3A076">
                <wp:simplePos x="0" y="0"/>
                <wp:positionH relativeFrom="column">
                  <wp:posOffset>808</wp:posOffset>
                </wp:positionH>
                <wp:positionV relativeFrom="paragraph">
                  <wp:posOffset>40005</wp:posOffset>
                </wp:positionV>
                <wp:extent cx="1039091" cy="1198418"/>
                <wp:effectExtent l="0" t="0" r="27940" b="20955"/>
                <wp:wrapNone/>
                <wp:docPr id="19" name="Flowchart: Alternate Process 19"/>
                <wp:cNvGraphicFramePr/>
                <a:graphic xmlns:a="http://schemas.openxmlformats.org/drawingml/2006/main">
                  <a:graphicData uri="http://schemas.microsoft.com/office/word/2010/wordprocessingShape">
                    <wps:wsp>
                      <wps:cNvSpPr/>
                      <wps:spPr>
                        <a:xfrm>
                          <a:off x="0" y="0"/>
                          <a:ext cx="1039091" cy="1198418"/>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BF5BBC">
                            <w:pPr>
                              <w:jc w:val="center"/>
                              <w:rPr>
                                <w:b/>
                                <w:color w:val="FFFFFF" w:themeColor="background1"/>
                                <w:sz w:val="26"/>
                                <w:szCs w:val="26"/>
                                <w:lang w:val="en-AU"/>
                              </w:rPr>
                            </w:pPr>
                            <w:r w:rsidRPr="00BF5BBC">
                              <w:rPr>
                                <w:b/>
                                <w:color w:val="FFFFFF" w:themeColor="background1"/>
                                <w:sz w:val="26"/>
                                <w:szCs w:val="26"/>
                                <w:lang w:val="en-AU"/>
                              </w:rPr>
                              <w:t>Technical Advisory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770A" id="Flowchart: Alternate Process 19" o:spid="_x0000_s1028" type="#_x0000_t176" style="position:absolute;left:0;text-align:left;margin-left:.05pt;margin-top:3.15pt;width:81.8pt;height:94.3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" fillcolor="#007c89 [3209]" strokecolor="window" strokeweight="1pt">
                <v:textbox>
                  <w:txbxContent>
                    <w:p w:rsidR="008A24F9" w:rsidRPr="00BF5BBC" w:rsidRDefault="008A24F9" w:rsidP="00BF5BBC">
                      <w:pPr>
                        <w:jc w:val="center"/>
                        <w:rPr>
                          <w:b/>
                          <w:color w:val="FFFFFF" w:themeColor="background1"/>
                          <w:sz w:val="26"/>
                          <w:szCs w:val="26"/>
                          <w:lang w:val="en-AU"/>
                        </w:rPr>
                      </w:pPr>
                      <w:r w:rsidRPr="00BF5BBC">
                        <w:rPr>
                          <w:b/>
                          <w:color w:val="FFFFFF" w:themeColor="background1"/>
                          <w:sz w:val="26"/>
                          <w:szCs w:val="26"/>
                          <w:lang w:val="en-AU"/>
                        </w:rPr>
                        <w:t>Technical Advisory Group</w:t>
                      </w:r>
                    </w:p>
                  </w:txbxContent>
                </v:textbox>
              </v:shape>
            </w:pict>
          </mc:Fallback>
        </mc:AlternateContent>
      </w:r>
      <w:r w:rsidR="0079406C">
        <w:rPr>
          <w:rFonts w:asciiTheme="majorHAnsi" w:hAnsiTheme="majorHAnsi"/>
          <w:b/>
          <w:noProof/>
          <w:lang w:val="en-AU" w:eastAsia="en-AU"/>
        </w:rPr>
        <mc:AlternateContent>
          <mc:Choice Requires="wps">
            <w:drawing>
              <wp:inline distT="0" distB="0" distL="0" distR="0" wp14:anchorId="038FA2F1" wp14:editId="386AA362">
                <wp:extent cx="3224646" cy="1198800"/>
                <wp:effectExtent l="0" t="0" r="13970" b="20955"/>
                <wp:docPr id="14" name="Flowchart: Alternate Process 14"/>
                <wp:cNvGraphicFramePr/>
                <a:graphic xmlns:a="http://schemas.openxmlformats.org/drawingml/2006/main">
                  <a:graphicData uri="http://schemas.microsoft.com/office/word/2010/wordprocessingShape">
                    <wps:wsp>
                      <wps:cNvSpPr/>
                      <wps:spPr>
                        <a:xfrm>
                          <a:off x="0" y="0"/>
                          <a:ext cx="3224646" cy="1198800"/>
                        </a:xfrm>
                        <a:prstGeom prst="flowChartAlternateProcess">
                          <a:avLst/>
                        </a:prstGeom>
                        <a:solidFill>
                          <a:schemeClr val="tx2"/>
                        </a:solidFill>
                        <a:ln w="12700" cap="flat" cmpd="sng" algn="ctr">
                          <a:solidFill>
                            <a:sysClr val="window" lastClr="FFFFFF"/>
                          </a:solidFill>
                          <a:prstDash val="solid"/>
                          <a:miter lim="800000"/>
                        </a:ln>
                        <a:effectLst/>
                      </wps:spPr>
                      <wps:txbx>
                        <w:txbxContent>
                          <w:p w:rsidR="008A24F9" w:rsidRPr="00BF5BBC" w:rsidRDefault="008A24F9" w:rsidP="00BF5BBC">
                            <w:pPr>
                              <w:rPr>
                                <w:b/>
                                <w:color w:val="FFFFFF" w:themeColor="background1"/>
                                <w:sz w:val="39"/>
                                <w:szCs w:val="39"/>
                                <w:lang w:val="en-AU"/>
                              </w:rPr>
                            </w:pPr>
                            <w:r w:rsidRPr="00BF5BBC">
                              <w:rPr>
                                <w:b/>
                                <w:color w:val="FFFFFF" w:themeColor="background1"/>
                                <w:sz w:val="39"/>
                                <w:szCs w:val="39"/>
                                <w:lang w:val="en-AU"/>
                              </w:rPr>
                              <w:t>PROGRAM</w:t>
                            </w:r>
                            <w:r>
                              <w:rPr>
                                <w:b/>
                                <w:color w:val="FFFFFF" w:themeColor="background1"/>
                                <w:sz w:val="39"/>
                                <w:szCs w:val="39"/>
                                <w:lang w:val="en-AU"/>
                              </w:rPr>
                              <w:t xml:space="preserve"> </w:t>
                            </w:r>
                            <w:r w:rsidRPr="00BF5BBC">
                              <w:rPr>
                                <w:b/>
                                <w:color w:val="FFFFFF" w:themeColor="background1"/>
                                <w:sz w:val="39"/>
                                <w:szCs w:val="39"/>
                                <w:lang w:val="en-AU"/>
                              </w:rPr>
                              <w:t xml:space="preserve">   </w:t>
                            </w:r>
                            <w:r>
                              <w:rPr>
                                <w:b/>
                                <w:color w:val="FFFFFF" w:themeColor="background1"/>
                                <w:sz w:val="39"/>
                                <w:szCs w:val="39"/>
                                <w:lang w:val="en-AU"/>
                              </w:rPr>
                              <w:t xml:space="preserve">  </w:t>
                            </w:r>
                            <w:r w:rsidRPr="00BF5BBC">
                              <w:rPr>
                                <w:b/>
                                <w:color w:val="FFFFFF" w:themeColor="background1"/>
                                <w:sz w:val="39"/>
                                <w:szCs w:val="39"/>
                                <w:lang w:val="en-AU"/>
                              </w:rPr>
                              <w:t>COORDINATING</w:t>
                            </w:r>
                            <w:r>
                              <w:rPr>
                                <w:b/>
                                <w:color w:val="FFFFFF" w:themeColor="background1"/>
                                <w:sz w:val="39"/>
                                <w:szCs w:val="39"/>
                                <w:lang w:val="en-AU"/>
                              </w:rPr>
                              <w:t xml:space="preserve">   </w:t>
                            </w:r>
                            <w:r w:rsidRPr="00BF5BBC">
                              <w:rPr>
                                <w:b/>
                                <w:color w:val="FFFFFF" w:themeColor="background1"/>
                                <w:sz w:val="39"/>
                                <w:szCs w:val="39"/>
                                <w:lang w:val="en-AU"/>
                              </w:rPr>
                              <w:t xml:space="preserve">  COMMITEE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8FA2F1" id="Flowchart: Alternate Process 14" o:spid="_x0000_s1029" type="#_x0000_t176" style="width:253.9pt;height:9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" fillcolor="#495965 [3215]" strokecolor="window" strokeweight="1pt">
                <v:textbox>
                  <w:txbxContent>
                    <w:p w:rsidR="008A24F9" w:rsidRPr="00BF5BBC" w:rsidRDefault="008A24F9" w:rsidP="00BF5BBC">
                      <w:pPr>
                        <w:rPr>
                          <w:b/>
                          <w:color w:val="FFFFFF" w:themeColor="background1"/>
                          <w:sz w:val="39"/>
                          <w:szCs w:val="39"/>
                          <w:lang w:val="en-AU"/>
                        </w:rPr>
                      </w:pPr>
                      <w:r w:rsidRPr="00BF5BBC">
                        <w:rPr>
                          <w:b/>
                          <w:color w:val="FFFFFF" w:themeColor="background1"/>
                          <w:sz w:val="39"/>
                          <w:szCs w:val="39"/>
                          <w:lang w:val="en-AU"/>
                        </w:rPr>
                        <w:t>PROGRAM</w:t>
                      </w:r>
                      <w:r>
                        <w:rPr>
                          <w:b/>
                          <w:color w:val="FFFFFF" w:themeColor="background1"/>
                          <w:sz w:val="39"/>
                          <w:szCs w:val="39"/>
                          <w:lang w:val="en-AU"/>
                        </w:rPr>
                        <w:t xml:space="preserve"> </w:t>
                      </w:r>
                      <w:r w:rsidRPr="00BF5BBC">
                        <w:rPr>
                          <w:b/>
                          <w:color w:val="FFFFFF" w:themeColor="background1"/>
                          <w:sz w:val="39"/>
                          <w:szCs w:val="39"/>
                          <w:lang w:val="en-AU"/>
                        </w:rPr>
                        <w:t xml:space="preserve">   </w:t>
                      </w:r>
                      <w:r>
                        <w:rPr>
                          <w:b/>
                          <w:color w:val="FFFFFF" w:themeColor="background1"/>
                          <w:sz w:val="39"/>
                          <w:szCs w:val="39"/>
                          <w:lang w:val="en-AU"/>
                        </w:rPr>
                        <w:t xml:space="preserve">  </w:t>
                      </w:r>
                      <w:r w:rsidRPr="00BF5BBC">
                        <w:rPr>
                          <w:b/>
                          <w:color w:val="FFFFFF" w:themeColor="background1"/>
                          <w:sz w:val="39"/>
                          <w:szCs w:val="39"/>
                          <w:lang w:val="en-AU"/>
                        </w:rPr>
                        <w:t>COORDINATING</w:t>
                      </w:r>
                      <w:r>
                        <w:rPr>
                          <w:b/>
                          <w:color w:val="FFFFFF" w:themeColor="background1"/>
                          <w:sz w:val="39"/>
                          <w:szCs w:val="39"/>
                          <w:lang w:val="en-AU"/>
                        </w:rPr>
                        <w:t xml:space="preserve">   </w:t>
                      </w:r>
                      <w:r w:rsidRPr="00BF5BBC">
                        <w:rPr>
                          <w:b/>
                          <w:color w:val="FFFFFF" w:themeColor="background1"/>
                          <w:sz w:val="39"/>
                          <w:szCs w:val="39"/>
                          <w:lang w:val="en-AU"/>
                        </w:rPr>
                        <w:t xml:space="preserve">  COMMITEE</w:t>
                      </w:r>
                    </w:p>
                  </w:txbxContent>
                </v:textbox>
                <w10:anchorlock/>
              </v:shape>
            </w:pict>
          </mc:Fallback>
        </mc:AlternateContent>
      </w:r>
    </w:p>
    <w:p w:rsidR="003153E1" w:rsidRDefault="003153E1" w:rsidP="00BF5BBC">
      <w:pPr>
        <w:ind w:left="2160"/>
        <w:rPr>
          <w:rFonts w:asciiTheme="majorHAnsi" w:hAnsiTheme="majorHAnsi"/>
          <w:b/>
        </w:rPr>
      </w:pPr>
    </w:p>
    <w:p w:rsidR="00296908" w:rsidRDefault="00CF2607" w:rsidP="00F248FC">
      <w:pPr>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499520" behindDoc="0" locked="0" layoutInCell="1" allowOverlap="1" wp14:anchorId="6E0ACA67" wp14:editId="2F03CF86">
                <wp:simplePos x="0" y="0"/>
                <wp:positionH relativeFrom="column">
                  <wp:posOffset>1501458</wp:posOffset>
                </wp:positionH>
                <wp:positionV relativeFrom="paragraph">
                  <wp:posOffset>38100</wp:posOffset>
                </wp:positionV>
                <wp:extent cx="759460" cy="105064"/>
                <wp:effectExtent l="3492" t="0" r="25083" b="44132"/>
                <wp:wrapNone/>
                <wp:docPr id="22" name="Arrow: Right 22"/>
                <wp:cNvGraphicFramePr/>
                <a:graphic xmlns:a="http://schemas.openxmlformats.org/drawingml/2006/main">
                  <a:graphicData uri="http://schemas.microsoft.com/office/word/2010/wordprocessingShape">
                    <wps:wsp>
                      <wps:cNvSpPr/>
                      <wps:spPr>
                        <a:xfrm rot="5400000">
                          <a:off x="0" y="0"/>
                          <a:ext cx="759460" cy="105064"/>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4882" id="Arrow: Right 22" o:spid="_x0000_s1026" type="#_x0000_t13" style="position:absolute;margin-left:118.25pt;margin-top:3pt;width:59.8pt;height:8.25pt;rotation:90;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" adj="20106,7241" filled="f" strokecolor="#489083" strokeweight="1pt"/>
            </w:pict>
          </mc:Fallback>
        </mc:AlternateContent>
      </w:r>
      <w:r w:rsidR="00353E34">
        <w:rPr>
          <w:rFonts w:asciiTheme="majorHAnsi" w:hAnsiTheme="majorHAnsi"/>
          <w:b/>
          <w:noProof/>
          <w:lang w:val="en-AU" w:eastAsia="en-AU"/>
        </w:rPr>
        <mc:AlternateContent>
          <mc:Choice Requires="wps">
            <w:drawing>
              <wp:anchor distT="0" distB="0" distL="114300" distR="114300" simplePos="0" relativeHeight="251602944" behindDoc="1" locked="0" layoutInCell="1" allowOverlap="1" wp14:anchorId="403D1621" wp14:editId="0286D0A6">
                <wp:simplePos x="0" y="0"/>
                <wp:positionH relativeFrom="column">
                  <wp:posOffset>2381250</wp:posOffset>
                </wp:positionH>
                <wp:positionV relativeFrom="paragraph">
                  <wp:posOffset>194310</wp:posOffset>
                </wp:positionV>
                <wp:extent cx="1885950" cy="1634490"/>
                <wp:effectExtent l="0" t="0" r="19050" b="22860"/>
                <wp:wrapNone/>
                <wp:docPr id="28" name="Flowchart: Alternate Process 28"/>
                <wp:cNvGraphicFramePr/>
                <a:graphic xmlns:a="http://schemas.openxmlformats.org/drawingml/2006/main">
                  <a:graphicData uri="http://schemas.microsoft.com/office/word/2010/wordprocessingShape">
                    <wps:wsp>
                      <wps:cNvSpPr/>
                      <wps:spPr>
                        <a:xfrm>
                          <a:off x="0" y="0"/>
                          <a:ext cx="1885950" cy="1634490"/>
                        </a:xfrm>
                        <a:prstGeom prst="flowChartAlternateProcess">
                          <a:avLst/>
                        </a:prstGeom>
                        <a:solidFill>
                          <a:schemeClr val="bg1">
                            <a:lumMod val="65000"/>
                          </a:schemeClr>
                        </a:solidFill>
                        <a:ln w="12700" cap="flat" cmpd="sng" algn="ctr">
                          <a:solidFill>
                            <a:sysClr val="window" lastClr="FFFFFF"/>
                          </a:solidFill>
                          <a:prstDash val="solid"/>
                          <a:miter lim="800000"/>
                        </a:ln>
                        <a:effectLst/>
                      </wps:spPr>
                      <wps:txbx>
                        <w:txbxContent>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FACILITY </w:t>
                            </w:r>
                            <w:r w:rsidRPr="00BF5BBC">
                              <w:rPr>
                                <w:rFonts w:asciiTheme="minorHAnsi" w:hAnsiTheme="minorHAnsi" w:cstheme="minorHAnsi"/>
                                <w:color w:val="FFFFFF" w:themeColor="background1"/>
                                <w:sz w:val="20"/>
                                <w:szCs w:val="20"/>
                              </w:rPr>
                              <w:t>CONTRACT MANAGEMENT</w:t>
                            </w:r>
                          </w:p>
                          <w:p w:rsidR="008A24F9" w:rsidRPr="00BF5BBC"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LEAD POLICY DIALOGUE</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sidRPr="00BF5BBC">
                              <w:rPr>
                                <w:rFonts w:asciiTheme="minorHAnsi" w:hAnsiTheme="minorHAnsi" w:cstheme="minorHAnsi"/>
                                <w:color w:val="FFFFFF" w:themeColor="background1"/>
                                <w:sz w:val="20"/>
                                <w:szCs w:val="20"/>
                              </w:rPr>
                              <w:t>GOI</w:t>
                            </w:r>
                            <w:r>
                              <w:rPr>
                                <w:rFonts w:asciiTheme="minorHAnsi" w:hAnsiTheme="minorHAnsi" w:cstheme="minorHAnsi"/>
                                <w:color w:val="FFFFFF" w:themeColor="background1"/>
                                <w:sz w:val="20"/>
                                <w:szCs w:val="20"/>
                              </w:rPr>
                              <w:t xml:space="preserve"> &amp; PARTNER</w:t>
                            </w:r>
                            <w:r w:rsidRPr="00BF5BBC">
                              <w:rPr>
                                <w:rFonts w:asciiTheme="minorHAnsi" w:hAnsiTheme="minorHAnsi" w:cstheme="minorHAnsi"/>
                                <w:color w:val="FFFFFF" w:themeColor="background1"/>
                                <w:sz w:val="20"/>
                                <w:szCs w:val="20"/>
                              </w:rPr>
                              <w:t xml:space="preserve"> ENGAGEMENT</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CONTRACT SELECT PARTNERS (EG. WHO)</w:t>
                            </w:r>
                          </w:p>
                          <w:p w:rsidR="008A24F9" w:rsidRPr="00BF5BBC" w:rsidRDefault="008A24F9" w:rsidP="00BF5BBC">
                            <w:pPr>
                              <w:pStyle w:val="ListParagraph"/>
                              <w:numPr>
                                <w:ilvl w:val="0"/>
                                <w:numId w:val="54"/>
                              </w:numPr>
                              <w:spacing w:line="60" w:lineRule="atLeast"/>
                              <w:rPr>
                                <w:rFonts w:cstheme="minorHAnsi"/>
                                <w:color w:val="FFFFFF" w:themeColor="background1"/>
                                <w:sz w:val="20"/>
                                <w:szCs w:val="20"/>
                              </w:rPr>
                            </w:pPr>
                            <w:r>
                              <w:rPr>
                                <w:rFonts w:asciiTheme="minorHAnsi" w:hAnsiTheme="minorHAnsi" w:cstheme="minorHAnsi"/>
                                <w:color w:val="FFFFFF" w:themeColor="background1"/>
                                <w:sz w:val="20"/>
                                <w:szCs w:val="20"/>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1621" id="Flowchart: Alternate Process 28" o:spid="_x0000_s1030" type="#_x0000_t176" style="position:absolute;margin-left:187.5pt;margin-top:15.3pt;width:148.5pt;height:12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" fillcolor="#a5a5a5 [2092]" strokecolor="window" strokeweight="1pt">
                <v:textbox>
                  <w:txbxContent>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FACILITY </w:t>
                      </w:r>
                      <w:r w:rsidRPr="00BF5BBC">
                        <w:rPr>
                          <w:rFonts w:asciiTheme="minorHAnsi" w:hAnsiTheme="minorHAnsi" w:cstheme="minorHAnsi"/>
                          <w:color w:val="FFFFFF" w:themeColor="background1"/>
                          <w:sz w:val="20"/>
                          <w:szCs w:val="20"/>
                        </w:rPr>
                        <w:t>CONTRACT MANAGEMENT</w:t>
                      </w:r>
                    </w:p>
                    <w:p w:rsidR="008A24F9" w:rsidRPr="00BF5BBC"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LEAD POLICY DIALOGUE</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sidRPr="00BF5BBC">
                        <w:rPr>
                          <w:rFonts w:asciiTheme="minorHAnsi" w:hAnsiTheme="minorHAnsi" w:cstheme="minorHAnsi"/>
                          <w:color w:val="FFFFFF" w:themeColor="background1"/>
                          <w:sz w:val="20"/>
                          <w:szCs w:val="20"/>
                        </w:rPr>
                        <w:t>GOI</w:t>
                      </w:r>
                      <w:r>
                        <w:rPr>
                          <w:rFonts w:asciiTheme="minorHAnsi" w:hAnsiTheme="minorHAnsi" w:cstheme="minorHAnsi"/>
                          <w:color w:val="FFFFFF" w:themeColor="background1"/>
                          <w:sz w:val="20"/>
                          <w:szCs w:val="20"/>
                        </w:rPr>
                        <w:t xml:space="preserve"> &amp; PARTNER</w:t>
                      </w:r>
                      <w:r w:rsidRPr="00BF5BBC">
                        <w:rPr>
                          <w:rFonts w:asciiTheme="minorHAnsi" w:hAnsiTheme="minorHAnsi" w:cstheme="minorHAnsi"/>
                          <w:color w:val="FFFFFF" w:themeColor="background1"/>
                          <w:sz w:val="20"/>
                          <w:szCs w:val="20"/>
                        </w:rPr>
                        <w:t xml:space="preserve"> ENGAGEMENT</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CONTRACT SELECT PARTNERS (EG. WHO)</w:t>
                      </w:r>
                    </w:p>
                    <w:p w:rsidR="008A24F9" w:rsidRPr="00BF5BBC" w:rsidRDefault="008A24F9" w:rsidP="00BF5BBC">
                      <w:pPr>
                        <w:pStyle w:val="ListParagraph"/>
                        <w:numPr>
                          <w:ilvl w:val="0"/>
                          <w:numId w:val="54"/>
                        </w:numPr>
                        <w:spacing w:line="60" w:lineRule="atLeast"/>
                        <w:rPr>
                          <w:rFonts w:cstheme="minorHAnsi"/>
                          <w:color w:val="FFFFFF" w:themeColor="background1"/>
                          <w:sz w:val="20"/>
                          <w:szCs w:val="20"/>
                        </w:rPr>
                      </w:pPr>
                      <w:r>
                        <w:rPr>
                          <w:rFonts w:asciiTheme="minorHAnsi" w:hAnsiTheme="minorHAnsi" w:cstheme="minorHAnsi"/>
                          <w:color w:val="FFFFFF" w:themeColor="background1"/>
                          <w:sz w:val="20"/>
                          <w:szCs w:val="20"/>
                        </w:rPr>
                        <w:t>RISK MANAGEMENT</w:t>
                      </w:r>
                    </w:p>
                  </w:txbxContent>
                </v:textbox>
              </v:shape>
            </w:pict>
          </mc:Fallback>
        </mc:AlternateContent>
      </w:r>
      <w:r w:rsidR="00126B39">
        <w:rPr>
          <w:rFonts w:asciiTheme="majorHAnsi" w:hAnsiTheme="majorHAnsi"/>
          <w:b/>
          <w:noProof/>
          <w:lang w:val="en-AU" w:eastAsia="en-AU"/>
        </w:rPr>
        <mc:AlternateContent>
          <mc:Choice Requires="wps">
            <w:drawing>
              <wp:anchor distT="0" distB="0" distL="114300" distR="114300" simplePos="0" relativeHeight="251486208" behindDoc="0" locked="0" layoutInCell="1" allowOverlap="1" wp14:anchorId="08FF2FEC" wp14:editId="40DE2C61">
                <wp:simplePos x="0" y="0"/>
                <wp:positionH relativeFrom="column">
                  <wp:posOffset>1256810</wp:posOffset>
                </wp:positionH>
                <wp:positionV relativeFrom="paragraph">
                  <wp:posOffset>18387</wp:posOffset>
                </wp:positionV>
                <wp:extent cx="784225" cy="112249"/>
                <wp:effectExtent l="0" t="25717" r="28257" b="28258"/>
                <wp:wrapNone/>
                <wp:docPr id="21" name="Arrow: Right 21"/>
                <wp:cNvGraphicFramePr/>
                <a:graphic xmlns:a="http://schemas.openxmlformats.org/drawingml/2006/main">
                  <a:graphicData uri="http://schemas.microsoft.com/office/word/2010/wordprocessingShape">
                    <wps:wsp>
                      <wps:cNvSpPr/>
                      <wps:spPr>
                        <a:xfrm rot="16200000">
                          <a:off x="0" y="0"/>
                          <a:ext cx="784225" cy="112249"/>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7E68" id="Arrow: Right 21" o:spid="_x0000_s1026" type="#_x0000_t13" style="position:absolute;margin-left:98.95pt;margin-top:1.45pt;width:61.75pt;height:8.85pt;rotation:-90;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" adj="20054,7241" filled="f" strokecolor="#489083" strokeweight="1pt"/>
            </w:pict>
          </mc:Fallback>
        </mc:AlternateContent>
      </w:r>
    </w:p>
    <w:p w:rsidR="00296908" w:rsidRPr="00BF5BBC" w:rsidRDefault="00126B39"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342848" behindDoc="0" locked="0" layoutInCell="1" allowOverlap="1" wp14:anchorId="26596630" wp14:editId="4EB20BA4">
                <wp:simplePos x="0" y="0"/>
                <wp:positionH relativeFrom="column">
                  <wp:posOffset>869719</wp:posOffset>
                </wp:positionH>
                <wp:positionV relativeFrom="paragraph">
                  <wp:posOffset>224386</wp:posOffset>
                </wp:positionV>
                <wp:extent cx="1634836" cy="1047750"/>
                <wp:effectExtent l="0" t="0" r="22860" b="19050"/>
                <wp:wrapNone/>
                <wp:docPr id="15" name="Flowchart: Alternate Process 15"/>
                <wp:cNvGraphicFramePr/>
                <a:graphic xmlns:a="http://schemas.openxmlformats.org/drawingml/2006/main">
                  <a:graphicData uri="http://schemas.microsoft.com/office/word/2010/wordprocessingShape">
                    <wps:wsp>
                      <wps:cNvSpPr/>
                      <wps:spPr>
                        <a:xfrm>
                          <a:off x="0" y="0"/>
                          <a:ext cx="1634836" cy="1047750"/>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3F5FA6">
                            <w:pPr>
                              <w:rPr>
                                <w:b/>
                                <w:color w:val="FFFFFF" w:themeColor="background1"/>
                                <w:sz w:val="32"/>
                                <w:szCs w:val="32"/>
                                <w:lang w:val="en-AU"/>
                              </w:rPr>
                            </w:pPr>
                            <w:r w:rsidRPr="00BF5BBC">
                              <w:rPr>
                                <w:b/>
                                <w:color w:val="FFFFFF" w:themeColor="background1"/>
                                <w:sz w:val="32"/>
                                <w:szCs w:val="32"/>
                                <w:lang w:val="en-AU"/>
                              </w:rPr>
                              <w:t xml:space="preserve">DFAT </w:t>
                            </w:r>
                            <w:r>
                              <w:rPr>
                                <w:b/>
                                <w:color w:val="FFFFFF" w:themeColor="background1"/>
                                <w:sz w:val="32"/>
                                <w:szCs w:val="32"/>
                                <w:lang w:val="en-AU"/>
                              </w:rPr>
                              <w:t xml:space="preserve">     </w:t>
                            </w:r>
                            <w:r w:rsidRPr="00BF5BBC">
                              <w:rPr>
                                <w:b/>
                                <w:color w:val="FFFFFF" w:themeColor="background1"/>
                                <w:sz w:val="32"/>
                                <w:szCs w:val="32"/>
                                <w:lang w:val="en-AU"/>
                              </w:rPr>
                              <w:t>HEALTH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596630" id="Flowchart: Alternate Process 15" o:spid="_x0000_s1031" type="#_x0000_t176" style="position:absolute;margin-left:68.5pt;margin-top:17.65pt;width:128.75pt;height:82.5pt;z-index:25134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" fillcolor="#007c89 [3209]" strokecolor="window" strokeweight="1pt">
                <v:textbox>
                  <w:txbxContent>
                    <w:p w:rsidR="008A24F9" w:rsidRPr="00BF5BBC" w:rsidRDefault="008A24F9" w:rsidP="003F5FA6">
                      <w:pPr>
                        <w:rPr>
                          <w:b/>
                          <w:color w:val="FFFFFF" w:themeColor="background1"/>
                          <w:sz w:val="32"/>
                          <w:szCs w:val="32"/>
                          <w:lang w:val="en-AU"/>
                        </w:rPr>
                      </w:pPr>
                      <w:r w:rsidRPr="00BF5BBC">
                        <w:rPr>
                          <w:b/>
                          <w:color w:val="FFFFFF" w:themeColor="background1"/>
                          <w:sz w:val="32"/>
                          <w:szCs w:val="32"/>
                          <w:lang w:val="en-AU"/>
                        </w:rPr>
                        <w:t xml:space="preserve">DFAT </w:t>
                      </w:r>
                      <w:r>
                        <w:rPr>
                          <w:b/>
                          <w:color w:val="FFFFFF" w:themeColor="background1"/>
                          <w:sz w:val="32"/>
                          <w:szCs w:val="32"/>
                          <w:lang w:val="en-AU"/>
                        </w:rPr>
                        <w:t xml:space="preserve">     </w:t>
                      </w:r>
                      <w:r w:rsidRPr="00BF5BBC">
                        <w:rPr>
                          <w:b/>
                          <w:color w:val="FFFFFF" w:themeColor="background1"/>
                          <w:sz w:val="32"/>
                          <w:szCs w:val="32"/>
                          <w:lang w:val="en-AU"/>
                        </w:rPr>
                        <w:t>HEALTH UNIT</w:t>
                      </w:r>
                    </w:p>
                  </w:txbxContent>
                </v:textbox>
              </v:shape>
            </w:pict>
          </mc:Fallback>
        </mc:AlternateContent>
      </w:r>
    </w:p>
    <w:p w:rsidR="00296908" w:rsidRPr="00BF5BBC" w:rsidRDefault="00353E34" w:rsidP="00296908">
      <w:pPr>
        <w:rPr>
          <w:rFonts w:asciiTheme="majorHAnsi" w:hAnsiTheme="majorHAnsi"/>
        </w:rPr>
      </w:pPr>
      <w:r>
        <w:rPr>
          <w:rFonts w:asciiTheme="majorHAnsi" w:hAnsiTheme="majorHAnsi"/>
          <w:noProof/>
          <w:lang w:val="en-AU" w:eastAsia="en-AU"/>
        </w:rPr>
        <mc:AlternateContent>
          <mc:Choice Requires="wps">
            <w:drawing>
              <wp:anchor distT="0" distB="0" distL="114300" distR="114300" simplePos="0" relativeHeight="251608064" behindDoc="0" locked="0" layoutInCell="1" allowOverlap="1" wp14:anchorId="1F756201" wp14:editId="753D8884">
                <wp:simplePos x="0" y="0"/>
                <wp:positionH relativeFrom="column">
                  <wp:posOffset>4293870</wp:posOffset>
                </wp:positionH>
                <wp:positionV relativeFrom="paragraph">
                  <wp:posOffset>135255</wp:posOffset>
                </wp:positionV>
                <wp:extent cx="1253490" cy="131445"/>
                <wp:effectExtent l="0" t="19050" r="41910" b="20955"/>
                <wp:wrapNone/>
                <wp:docPr id="30" name="Arrow: Bent-Up 30"/>
                <wp:cNvGraphicFramePr/>
                <a:graphic xmlns:a="http://schemas.openxmlformats.org/drawingml/2006/main">
                  <a:graphicData uri="http://schemas.microsoft.com/office/word/2010/wordprocessingShape">
                    <wps:wsp>
                      <wps:cNvSpPr/>
                      <wps:spPr>
                        <a:xfrm>
                          <a:off x="0" y="0"/>
                          <a:ext cx="1253490" cy="131445"/>
                        </a:xfrm>
                        <a:prstGeom prst="ben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C79D" id="Arrow: Bent-Up 30" o:spid="_x0000_s1026" style="position:absolute;margin-left:338.1pt;margin-top:10.65pt;width:98.7pt;height:10.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349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" path="m,98584r1204198,l1204198,32861r-16430,l1220629,r32861,32861l1237059,32861r,98584l,131445,,98584xe" filled="f" strokecolor="#286b5f [1604]" strokeweight="1pt">
                <v:stroke joinstyle="miter"/>
                <v:path arrowok="t" o:connecttype="custom" o:connectlocs="0,98584;1204198,98584;1204198,32861;1187768,32861;1220629,0;1253490,32861;1237059,32861;1237059,131445;0,131445;0,98584" o:connectangles="0,0,0,0,0,0,0,0,0,0"/>
              </v:shape>
            </w:pict>
          </mc:Fallback>
        </mc:AlternateContent>
      </w:r>
    </w:p>
    <w:p w:rsidR="00296908" w:rsidRPr="00BF5BBC" w:rsidRDefault="00353E34"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52096" behindDoc="0" locked="0" layoutInCell="1" allowOverlap="1" wp14:anchorId="54AB2D15" wp14:editId="45ED65A8">
                <wp:simplePos x="0" y="0"/>
                <wp:positionH relativeFrom="column">
                  <wp:posOffset>5139690</wp:posOffset>
                </wp:positionH>
                <wp:positionV relativeFrom="paragraph">
                  <wp:posOffset>63500</wp:posOffset>
                </wp:positionV>
                <wp:extent cx="1516380" cy="647700"/>
                <wp:effectExtent l="0" t="0" r="26670" b="19050"/>
                <wp:wrapNone/>
                <wp:docPr id="37" name="Flowchart: Alternate Process 37"/>
                <wp:cNvGraphicFramePr/>
                <a:graphic xmlns:a="http://schemas.openxmlformats.org/drawingml/2006/main">
                  <a:graphicData uri="http://schemas.microsoft.com/office/word/2010/wordprocessingShape">
                    <wps:wsp>
                      <wps:cNvSpPr/>
                      <wps:spPr>
                        <a:xfrm>
                          <a:off x="0" y="0"/>
                          <a:ext cx="1516380" cy="647700"/>
                        </a:xfrm>
                        <a:prstGeom prst="flowChartAlternateProcess">
                          <a:avLst/>
                        </a:prstGeom>
                        <a:solidFill>
                          <a:srgbClr val="007C89"/>
                        </a:solidFill>
                        <a:ln w="12700" cap="flat" cmpd="sng" algn="ctr">
                          <a:solidFill>
                            <a:sysClr val="window" lastClr="FFFFFF"/>
                          </a:solidFill>
                          <a:prstDash val="solid"/>
                          <a:miter lim="800000"/>
                        </a:ln>
                        <a:effectLst/>
                      </wps:spPr>
                      <wps:txbx>
                        <w:txbxContent>
                          <w:p w:rsidR="008A24F9" w:rsidRPr="00BF5BBC" w:rsidRDefault="008A24F9" w:rsidP="00BF5BBC">
                            <w:pPr>
                              <w:jc w:val="center"/>
                              <w:rPr>
                                <w:b/>
                                <w:color w:val="FFFFFF" w:themeColor="background1"/>
                                <w:sz w:val="20"/>
                                <w:szCs w:val="20"/>
                                <w:lang w:val="en-AU"/>
                              </w:rPr>
                            </w:pPr>
                            <w:r w:rsidRPr="00BF5BBC">
                              <w:rPr>
                                <w:b/>
                                <w:color w:val="FFFFFF" w:themeColor="background1"/>
                                <w:sz w:val="20"/>
                                <w:szCs w:val="20"/>
                                <w:lang w:val="en-AU"/>
                              </w:rPr>
                              <w:t>CENTRE FOR HEALTH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2D15" id="Flowchart: Alternate Process 37" o:spid="_x0000_s1032" type="#_x0000_t176" style="position:absolute;margin-left:404.7pt;margin-top:5pt;width:119.4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" fillcolor="#007c89" strokecolor="window" strokeweight="1pt">
                <v:textbox>
                  <w:txbxContent>
                    <w:p w:rsidR="008A24F9" w:rsidRPr="00BF5BBC" w:rsidRDefault="008A24F9" w:rsidP="00BF5BBC">
                      <w:pPr>
                        <w:jc w:val="center"/>
                        <w:rPr>
                          <w:b/>
                          <w:color w:val="FFFFFF" w:themeColor="background1"/>
                          <w:sz w:val="20"/>
                          <w:szCs w:val="20"/>
                          <w:lang w:val="en-AU"/>
                        </w:rPr>
                      </w:pPr>
                      <w:r w:rsidRPr="00BF5BBC">
                        <w:rPr>
                          <w:b/>
                          <w:color w:val="FFFFFF" w:themeColor="background1"/>
                          <w:sz w:val="20"/>
                          <w:szCs w:val="20"/>
                          <w:lang w:val="en-AU"/>
                        </w:rPr>
                        <w:t>CENTRE FOR HEALTH SECURITY</w:t>
                      </w:r>
                    </w:p>
                  </w:txbxContent>
                </v:textbox>
              </v:shape>
            </w:pict>
          </mc:Fallback>
        </mc:AlternateContent>
      </w:r>
    </w:p>
    <w:p w:rsidR="00296908" w:rsidRPr="00BF5BBC" w:rsidRDefault="002C23C1"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55168" behindDoc="0" locked="0" layoutInCell="1" allowOverlap="1" wp14:anchorId="3F61AE81" wp14:editId="217067DA">
                <wp:simplePos x="0" y="0"/>
                <wp:positionH relativeFrom="column">
                  <wp:posOffset>4309110</wp:posOffset>
                </wp:positionH>
                <wp:positionV relativeFrom="paragraph">
                  <wp:posOffset>196214</wp:posOffset>
                </wp:positionV>
                <wp:extent cx="794096" cy="110836"/>
                <wp:effectExtent l="19050" t="19050" r="25400" b="41910"/>
                <wp:wrapNone/>
                <wp:docPr id="39" name="Arrow: Right 39"/>
                <wp:cNvGraphicFramePr/>
                <a:graphic xmlns:a="http://schemas.openxmlformats.org/drawingml/2006/main">
                  <a:graphicData uri="http://schemas.microsoft.com/office/word/2010/wordprocessingShape">
                    <wps:wsp>
                      <wps:cNvSpPr/>
                      <wps:spPr>
                        <a:xfrm rot="10800000">
                          <a:off x="0" y="0"/>
                          <a:ext cx="794096" cy="110836"/>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933B" id="Arrow: Right 39" o:spid="_x0000_s1026" type="#_x0000_t13" style="position:absolute;margin-left:339.3pt;margin-top:15.45pt;width:62.55pt;height:8.7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" adj="20093,7241" filled="f" strokecolor="#489083" strokeweight="1pt"/>
            </w:pict>
          </mc:Fallback>
        </mc:AlternateContent>
      </w:r>
      <w:r w:rsidR="00353E34">
        <w:rPr>
          <w:rFonts w:asciiTheme="majorHAnsi" w:hAnsiTheme="majorHAnsi"/>
          <w:b/>
          <w:noProof/>
          <w:lang w:val="en-AU" w:eastAsia="en-AU"/>
        </w:rPr>
        <mc:AlternateContent>
          <mc:Choice Requires="wps">
            <w:drawing>
              <wp:anchor distT="0" distB="0" distL="114300" distR="114300" simplePos="0" relativeHeight="251625472" behindDoc="0" locked="0" layoutInCell="1" allowOverlap="1" wp14:anchorId="704CD9A1" wp14:editId="4F45E19C">
                <wp:simplePos x="0" y="0"/>
                <wp:positionH relativeFrom="column">
                  <wp:posOffset>4306570</wp:posOffset>
                </wp:positionH>
                <wp:positionV relativeFrom="paragraph">
                  <wp:posOffset>62230</wp:posOffset>
                </wp:positionV>
                <wp:extent cx="794096" cy="110836"/>
                <wp:effectExtent l="0" t="19050" r="44450" b="41910"/>
                <wp:wrapNone/>
                <wp:docPr id="34" name="Arrow: Right 34"/>
                <wp:cNvGraphicFramePr/>
                <a:graphic xmlns:a="http://schemas.openxmlformats.org/drawingml/2006/main">
                  <a:graphicData uri="http://schemas.microsoft.com/office/word/2010/wordprocessingShape">
                    <wps:wsp>
                      <wps:cNvSpPr/>
                      <wps:spPr>
                        <a:xfrm>
                          <a:off x="0" y="0"/>
                          <a:ext cx="794096" cy="110836"/>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77B6" id="Arrow: Right 34" o:spid="_x0000_s1026" type="#_x0000_t13" style="position:absolute;margin-left:339.1pt;margin-top:4.9pt;width:62.55pt;height: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" adj="20093,7241" filled="f" strokecolor="#489083" strokeweight="1pt"/>
            </w:pict>
          </mc:Fallback>
        </mc:AlternateContent>
      </w:r>
    </w:p>
    <w:p w:rsidR="00296908" w:rsidRPr="00BF5BBC" w:rsidRDefault="00296908" w:rsidP="00296908">
      <w:pPr>
        <w:rPr>
          <w:rFonts w:asciiTheme="majorHAnsi" w:hAnsiTheme="majorHAnsi"/>
        </w:rPr>
      </w:pPr>
    </w:p>
    <w:p w:rsidR="00296908" w:rsidRDefault="005A2C8A"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88960" behindDoc="1" locked="0" layoutInCell="1" allowOverlap="1" wp14:anchorId="46ECFBB5" wp14:editId="0C812706">
                <wp:simplePos x="0" y="0"/>
                <wp:positionH relativeFrom="column">
                  <wp:posOffset>5097780</wp:posOffset>
                </wp:positionH>
                <wp:positionV relativeFrom="paragraph">
                  <wp:posOffset>127000</wp:posOffset>
                </wp:positionV>
                <wp:extent cx="1592580" cy="594360"/>
                <wp:effectExtent l="0" t="0" r="26670" b="15240"/>
                <wp:wrapNone/>
                <wp:docPr id="40" name="Flowchart: Alternate Process 40"/>
                <wp:cNvGraphicFramePr/>
                <a:graphic xmlns:a="http://schemas.openxmlformats.org/drawingml/2006/main">
                  <a:graphicData uri="http://schemas.microsoft.com/office/word/2010/wordprocessingShape">
                    <wps:wsp>
                      <wps:cNvSpPr/>
                      <wps:spPr>
                        <a:xfrm>
                          <a:off x="0" y="0"/>
                          <a:ext cx="1592580" cy="59436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Regional initiatives inc Indonesia </w:t>
                            </w:r>
                            <w:r>
                              <w:rPr>
                                <w:b/>
                                <w:color w:val="FFFFFF" w:themeColor="background1"/>
                                <w:sz w:val="19"/>
                                <w:szCs w:val="19"/>
                                <w:lang w:val="en-AU"/>
                              </w:rPr>
                              <w:t>e.g.</w:t>
                            </w:r>
                            <w:r w:rsidRPr="00BF5BBC">
                              <w:rPr>
                                <w:b/>
                                <w:color w:val="FFFFFF" w:themeColor="background1"/>
                                <w:sz w:val="19"/>
                                <w:szCs w:val="19"/>
                                <w:lang w:val="en-AU"/>
                              </w:rPr>
                              <w:t xml:space="preserve"> Health Security Cadre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FBB5" id="Flowchart: Alternate Process 40" o:spid="_x0000_s1033" type="#_x0000_t176" style="position:absolute;margin-left:401.4pt;margin-top:10pt;width:125.4pt;height:46.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Regional initiatives inc Indonesia </w:t>
                      </w:r>
                      <w:r>
                        <w:rPr>
                          <w:b/>
                          <w:color w:val="FFFFFF" w:themeColor="background1"/>
                          <w:sz w:val="19"/>
                          <w:szCs w:val="19"/>
                          <w:lang w:val="en-AU"/>
                        </w:rPr>
                        <w:t>e.g.</w:t>
                      </w:r>
                      <w:r w:rsidRPr="00BF5BBC">
                        <w:rPr>
                          <w:b/>
                          <w:color w:val="FFFFFF" w:themeColor="background1"/>
                          <w:sz w:val="19"/>
                          <w:szCs w:val="19"/>
                          <w:lang w:val="en-AU"/>
                        </w:rPr>
                        <w:t xml:space="preserve"> Health Security Cadre</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744256" behindDoc="0" locked="0" layoutInCell="1" allowOverlap="1" wp14:anchorId="51C2C39B" wp14:editId="37D6F484">
                <wp:simplePos x="0" y="0"/>
                <wp:positionH relativeFrom="column">
                  <wp:posOffset>5758498</wp:posOffset>
                </wp:positionH>
                <wp:positionV relativeFrom="paragraph">
                  <wp:posOffset>20955</wp:posOffset>
                </wp:positionV>
                <wp:extent cx="170180" cy="75565"/>
                <wp:effectExtent l="28257" t="0" r="29528" b="29527"/>
                <wp:wrapNone/>
                <wp:docPr id="43" name="Arrow: Right 43"/>
                <wp:cNvGraphicFramePr/>
                <a:graphic xmlns:a="http://schemas.openxmlformats.org/drawingml/2006/main">
                  <a:graphicData uri="http://schemas.microsoft.com/office/word/2010/wordprocessingShape">
                    <wps:wsp>
                      <wps:cNvSpPr/>
                      <wps:spPr>
                        <a:xfrm rot="5400000">
                          <a:off x="0" y="0"/>
                          <a:ext cx="170180" cy="75565"/>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BA56" id="Arrow: Right 43" o:spid="_x0000_s1026" type="#_x0000_t13" style="position:absolute;margin-left:453.45pt;margin-top:1.65pt;width:13.4pt;height:5.9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" adj="16804,7241" filled="f" strokecolor="#489083" strokeweight="1pt"/>
            </w:pict>
          </mc:Fallback>
        </mc:AlternateContent>
      </w:r>
    </w:p>
    <w:p w:rsidR="003153E1" w:rsidRPr="00BF5BBC" w:rsidRDefault="005A2C8A" w:rsidP="00BF5BBC">
      <w:pPr>
        <w:tabs>
          <w:tab w:val="left" w:pos="1920"/>
        </w:tabs>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895808" behindDoc="1" locked="0" layoutInCell="1" allowOverlap="1" wp14:anchorId="4C6F324F" wp14:editId="60E9F00A">
                <wp:simplePos x="0" y="0"/>
                <wp:positionH relativeFrom="column">
                  <wp:posOffset>5082540</wp:posOffset>
                </wp:positionH>
                <wp:positionV relativeFrom="paragraph">
                  <wp:posOffset>566420</wp:posOffset>
                </wp:positionV>
                <wp:extent cx="1588770" cy="430530"/>
                <wp:effectExtent l="0" t="0" r="11430" b="26670"/>
                <wp:wrapNone/>
                <wp:docPr id="46" name="Flowchart: Alternate Process 46"/>
                <wp:cNvGraphicFramePr/>
                <a:graphic xmlns:a="http://schemas.openxmlformats.org/drawingml/2006/main">
                  <a:graphicData uri="http://schemas.microsoft.com/office/word/2010/wordprocessingShape">
                    <wps:wsp>
                      <wps:cNvSpPr/>
                      <wps:spPr>
                        <a:xfrm>
                          <a:off x="0" y="0"/>
                          <a:ext cx="1588770" cy="43053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DFAT-executed contracts e.g.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324F" id="Flowchart: Alternate Process 46" o:spid="_x0000_s1034" type="#_x0000_t176" style="position:absolute;margin-left:400.2pt;margin-top:44.6pt;width:125.1pt;height:33.9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DFAT-executed contracts e.g. WHO</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957248" behindDoc="1" locked="0" layoutInCell="1" allowOverlap="1" wp14:anchorId="09AAACB1" wp14:editId="73AFBBD8">
                <wp:simplePos x="0" y="0"/>
                <wp:positionH relativeFrom="column">
                  <wp:posOffset>5063490</wp:posOffset>
                </wp:positionH>
                <wp:positionV relativeFrom="paragraph">
                  <wp:posOffset>1454150</wp:posOffset>
                </wp:positionV>
                <wp:extent cx="1573530" cy="445770"/>
                <wp:effectExtent l="0" t="0" r="26670" b="11430"/>
                <wp:wrapNone/>
                <wp:docPr id="47" name="Flowchart: Alternate Process 47"/>
                <wp:cNvGraphicFramePr/>
                <a:graphic xmlns:a="http://schemas.openxmlformats.org/drawingml/2006/main">
                  <a:graphicData uri="http://schemas.microsoft.com/office/word/2010/wordprocessingShape">
                    <wps:wsp>
                      <wps:cNvSpPr/>
                      <wps:spPr>
                        <a:xfrm>
                          <a:off x="0" y="0"/>
                          <a:ext cx="1573530" cy="44577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AAI Short Courses and Fellowships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ACB1" id="Flowchart: Alternate Process 47" o:spid="_x0000_s1035" type="#_x0000_t176" style="position:absolute;margin-left:398.7pt;margin-top:114.5pt;width:123.9pt;height:35.1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AAI Short Courses and Fellowships</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832320" behindDoc="1" locked="0" layoutInCell="1" allowOverlap="1" wp14:anchorId="37C63A7E" wp14:editId="4ABEB257">
                <wp:simplePos x="0" y="0"/>
                <wp:positionH relativeFrom="column">
                  <wp:posOffset>5082540</wp:posOffset>
                </wp:positionH>
                <wp:positionV relativeFrom="paragraph">
                  <wp:posOffset>1012190</wp:posOffset>
                </wp:positionV>
                <wp:extent cx="1581150" cy="419100"/>
                <wp:effectExtent l="0" t="0" r="19050" b="19050"/>
                <wp:wrapNone/>
                <wp:docPr id="45" name="Flowchart: Alternate Process 45"/>
                <wp:cNvGraphicFramePr/>
                <a:graphic xmlns:a="http://schemas.openxmlformats.org/drawingml/2006/main">
                  <a:graphicData uri="http://schemas.microsoft.com/office/word/2010/wordprocessingShape">
                    <wps:wsp>
                      <wps:cNvSpPr/>
                      <wps:spPr>
                        <a:xfrm>
                          <a:off x="0" y="0"/>
                          <a:ext cx="1581150" cy="41910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Innovation Xchange </w:t>
                            </w:r>
                            <w:r>
                              <w:rPr>
                                <w:b/>
                                <w:color w:val="FFFFFF" w:themeColor="background1"/>
                                <w:sz w:val="19"/>
                                <w:szCs w:val="19"/>
                                <w:lang w:val="en-AU"/>
                              </w:rPr>
                              <w:t>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63A7E" id="Flowchart: Alternate Process 45" o:spid="_x0000_s1036" type="#_x0000_t176" style="position:absolute;margin-left:400.2pt;margin-top:79.7pt;width:124.5pt;height:33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Innovation Xchange </w:t>
                      </w:r>
                      <w:r>
                        <w:rPr>
                          <w:b/>
                          <w:color w:val="FFFFFF" w:themeColor="background1"/>
                          <w:sz w:val="19"/>
                          <w:szCs w:val="19"/>
                          <w:lang w:val="en-AU"/>
                        </w:rPr>
                        <w:t>initiatives</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997184" behindDoc="1" locked="0" layoutInCell="1" allowOverlap="1" wp14:anchorId="10CC80C9" wp14:editId="107555F2">
                <wp:simplePos x="0" y="0"/>
                <wp:positionH relativeFrom="column">
                  <wp:posOffset>5055870</wp:posOffset>
                </wp:positionH>
                <wp:positionV relativeFrom="paragraph">
                  <wp:posOffset>1926590</wp:posOffset>
                </wp:positionV>
                <wp:extent cx="1596390" cy="464820"/>
                <wp:effectExtent l="0" t="0" r="22860" b="11430"/>
                <wp:wrapNone/>
                <wp:docPr id="48" name="Flowchart: Alternate Process 48"/>
                <wp:cNvGraphicFramePr/>
                <a:graphic xmlns:a="http://schemas.openxmlformats.org/drawingml/2006/main">
                  <a:graphicData uri="http://schemas.microsoft.com/office/word/2010/wordprocessingShape">
                    <wps:wsp>
                      <wps:cNvSpPr/>
                      <wps:spPr>
                        <a:xfrm>
                          <a:off x="0" y="0"/>
                          <a:ext cx="1596390" cy="46482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Disaster Risk Management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C80C9" id="Flowchart: Alternate Process 48" o:spid="_x0000_s1037" type="#_x0000_t176" style="position:absolute;margin-left:398.1pt;margin-top:151.7pt;width:125.7pt;height:36.6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Disaster Risk Management Program</w:t>
                      </w:r>
                    </w:p>
                  </w:txbxContent>
                </v:textbox>
              </v:shape>
            </w:pict>
          </mc:Fallback>
        </mc:AlternateContent>
      </w:r>
      <w:r>
        <w:rPr>
          <w:rFonts w:asciiTheme="majorHAnsi" w:hAnsiTheme="majorHAnsi"/>
          <w:noProof/>
          <w:lang w:val="en-AU" w:eastAsia="en-AU"/>
        </w:rPr>
        <mc:AlternateContent>
          <mc:Choice Requires="wps">
            <w:drawing>
              <wp:anchor distT="0" distB="0" distL="114300" distR="114300" simplePos="0" relativeHeight="251772928" behindDoc="0" locked="0" layoutInCell="1" allowOverlap="1" wp14:anchorId="006EDDDD" wp14:editId="38421C8F">
                <wp:simplePos x="0" y="0"/>
                <wp:positionH relativeFrom="column">
                  <wp:posOffset>4770120</wp:posOffset>
                </wp:positionH>
                <wp:positionV relativeFrom="paragraph">
                  <wp:posOffset>2414270</wp:posOffset>
                </wp:positionV>
                <wp:extent cx="1146810" cy="891540"/>
                <wp:effectExtent l="0" t="19050" r="34290" b="22860"/>
                <wp:wrapNone/>
                <wp:docPr id="44" name="Arrow: Bent-Up 44"/>
                <wp:cNvGraphicFramePr/>
                <a:graphic xmlns:a="http://schemas.openxmlformats.org/drawingml/2006/main">
                  <a:graphicData uri="http://schemas.microsoft.com/office/word/2010/wordprocessingShape">
                    <wps:wsp>
                      <wps:cNvSpPr/>
                      <wps:spPr>
                        <a:xfrm>
                          <a:off x="0" y="0"/>
                          <a:ext cx="1146810" cy="891540"/>
                        </a:xfrm>
                        <a:prstGeom prst="bentUpArrow">
                          <a:avLst>
                            <a:gd name="adj1" fmla="val 5547"/>
                            <a:gd name="adj2" fmla="val 14333"/>
                            <a:gd name="adj3" fmla="val 7922"/>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331E" id="Arrow: Bent-Up 44" o:spid="_x0000_s1026" style="position:absolute;margin-left:375.6pt;margin-top:190.1pt;width:90.3pt;height:7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681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" path="m,842086r994299,l994299,70628r-103058,l1019026,r127784,70628l1043752,70628r,820912l,891540,,842086xe" filled="f" strokecolor="#489083" strokeweight="1pt">
                <v:stroke joinstyle="miter"/>
                <v:path arrowok="t" o:connecttype="custom" o:connectlocs="0,842086;994299,842086;994299,70628;891241,70628;1019026,0;1146810,70628;1043752,70628;1043752,891540;0,891540;0,842086" o:connectangles="0,0,0,0,0,0,0,0,0,0"/>
              </v:shape>
            </w:pict>
          </mc:Fallback>
        </mc:AlternateContent>
      </w:r>
      <w:r>
        <w:rPr>
          <w:rFonts w:asciiTheme="majorHAnsi" w:hAnsiTheme="majorHAnsi"/>
          <w:b/>
          <w:noProof/>
          <w:lang w:val="en-AU" w:eastAsia="en-AU"/>
        </w:rPr>
        <mc:AlternateContent>
          <mc:Choice Requires="wps">
            <w:drawing>
              <wp:anchor distT="0" distB="0" distL="114300" distR="114300" simplePos="0" relativeHeight="251721728" behindDoc="1" locked="0" layoutInCell="1" allowOverlap="1" wp14:anchorId="5B4E7968" wp14:editId="6C947FD1">
                <wp:simplePos x="0" y="0"/>
                <wp:positionH relativeFrom="column">
                  <wp:posOffset>2556510</wp:posOffset>
                </wp:positionH>
                <wp:positionV relativeFrom="paragraph">
                  <wp:posOffset>3073400</wp:posOffset>
                </wp:positionV>
                <wp:extent cx="2194560" cy="716280"/>
                <wp:effectExtent l="0" t="0" r="15240" b="26670"/>
                <wp:wrapNone/>
                <wp:docPr id="41" name="Flowchart: Alternate Process 41"/>
                <wp:cNvGraphicFramePr/>
                <a:graphic xmlns:a="http://schemas.openxmlformats.org/drawingml/2006/main">
                  <a:graphicData uri="http://schemas.microsoft.com/office/word/2010/wordprocessingShape">
                    <wps:wsp>
                      <wps:cNvSpPr/>
                      <wps:spPr>
                        <a:xfrm>
                          <a:off x="0" y="0"/>
                          <a:ext cx="2194560" cy="71628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CONSOLIDATED REPORTING: HEALTH SECURITY INVESTMENTS IN INDONESIA</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7968" id="Flowchart: Alternate Process 41" o:spid="_x0000_s1038" type="#_x0000_t176" style="position:absolute;margin-left:201.3pt;margin-top:242pt;width:172.8pt;height:56.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" fillcolor="#a6a6a6" strokecolor="window" strokeweight="1pt">
                <v:textbo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CONSOLIDATED REPORTING: HEALTH SECURITY INVESTMENTS IN INDONESIA</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737088" behindDoc="1" locked="0" layoutInCell="1" allowOverlap="1" wp14:anchorId="17F86A7E" wp14:editId="301A171A">
                <wp:simplePos x="0" y="0"/>
                <wp:positionH relativeFrom="column">
                  <wp:posOffset>2552700</wp:posOffset>
                </wp:positionH>
                <wp:positionV relativeFrom="paragraph">
                  <wp:posOffset>2311400</wp:posOffset>
                </wp:positionV>
                <wp:extent cx="2209800" cy="716280"/>
                <wp:effectExtent l="0" t="0" r="19050" b="26670"/>
                <wp:wrapNone/>
                <wp:docPr id="42" name="Flowchart: Alternate Process 42"/>
                <wp:cNvGraphicFramePr/>
                <a:graphic xmlns:a="http://schemas.openxmlformats.org/drawingml/2006/main">
                  <a:graphicData uri="http://schemas.microsoft.com/office/word/2010/wordprocessingShape">
                    <wps:wsp>
                      <wps:cNvSpPr/>
                      <wps:spPr>
                        <a:xfrm>
                          <a:off x="0" y="0"/>
                          <a:ext cx="2209800" cy="71628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SUB-CONTRACT PARTNERS TO DELIVER PCC-APPROVED ACTIVITIES</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6A7E" id="Flowchart: Alternate Process 42" o:spid="_x0000_s1039" type="#_x0000_t176" style="position:absolute;margin-left:201pt;margin-top:182pt;width:174pt;height:56.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" fillcolor="#a6a6a6" strokecolor="window" strokeweight="1pt">
                <v:textbo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SUB-CONTRACT PARTNERS TO DELIVER PCC-APPROVED ACTIVITIES</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646976" behindDoc="1" locked="0" layoutInCell="1" allowOverlap="1" wp14:anchorId="73F5042D" wp14:editId="19AE3A58">
                <wp:simplePos x="0" y="0"/>
                <wp:positionH relativeFrom="column">
                  <wp:posOffset>2552700</wp:posOffset>
                </wp:positionH>
                <wp:positionV relativeFrom="paragraph">
                  <wp:posOffset>539750</wp:posOffset>
                </wp:positionV>
                <wp:extent cx="2244090" cy="1748790"/>
                <wp:effectExtent l="0" t="0" r="22860" b="22860"/>
                <wp:wrapNone/>
                <wp:docPr id="35" name="Flowchart: Alternate Process 35"/>
                <wp:cNvGraphicFramePr/>
                <a:graphic xmlns:a="http://schemas.openxmlformats.org/drawingml/2006/main">
                  <a:graphicData uri="http://schemas.microsoft.com/office/word/2010/wordprocessingShape">
                    <wps:wsp>
                      <wps:cNvSpPr/>
                      <wps:spPr>
                        <a:xfrm>
                          <a:off x="0" y="0"/>
                          <a:ext cx="2244090" cy="174879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DAY-TO-DAY FACILITY MGMT</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PREPARE DRAFT WORKPLAN</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DRAFT PROGRESS REPORTS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PREPARE FINANCE REPORTS </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RISK MGMT REPORTS </w:t>
                            </w:r>
                          </w:p>
                          <w:p w:rsidR="008A24F9" w:rsidRDefault="008A24F9" w:rsidP="00CF2607">
                            <w:pPr>
                              <w:pStyle w:val="ListParagraph"/>
                              <w:numPr>
                                <w:ilvl w:val="0"/>
                                <w:numId w:val="54"/>
                              </w:numPr>
                              <w:rPr>
                                <w:rFonts w:asciiTheme="minorHAnsi" w:hAnsiTheme="minorHAnsi" w:cstheme="minorHAnsi"/>
                                <w:color w:val="FFFFFF" w:themeColor="background1"/>
                                <w:sz w:val="20"/>
                                <w:szCs w:val="20"/>
                              </w:rPr>
                            </w:pPr>
                            <w:r w:rsidRPr="00CF2607">
                              <w:rPr>
                                <w:rFonts w:asciiTheme="minorHAnsi" w:hAnsiTheme="minorHAnsi" w:cstheme="minorHAnsi"/>
                                <w:color w:val="FFFFFF" w:themeColor="background1"/>
                                <w:sz w:val="20"/>
                                <w:szCs w:val="20"/>
                              </w:rPr>
                              <w:t>MONITORING &amp; EVALUATION</w:t>
                            </w:r>
                          </w:p>
                          <w:p w:rsidR="008A24F9" w:rsidRPr="00BF5BBC" w:rsidRDefault="008A24F9" w:rsidP="00BF5BBC">
                            <w:pPr>
                              <w:pStyle w:val="ListParagraph"/>
                              <w:numPr>
                                <w:ilvl w:val="0"/>
                                <w:numId w:val="54"/>
                              </w:numP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COMMUNICATIONS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STAKEHOLDER</w:t>
                            </w:r>
                            <w:r w:rsidRPr="00BF5BBC">
                              <w:rPr>
                                <w:rFonts w:asciiTheme="minorHAnsi" w:hAnsiTheme="minorHAnsi" w:cstheme="minorHAnsi"/>
                                <w:color w:val="FFFFFF" w:themeColor="background1"/>
                                <w:sz w:val="20"/>
                                <w:szCs w:val="20"/>
                              </w:rPr>
                              <w:t xml:space="preserve"> ENGAGEMENT</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042D" id="Flowchart: Alternate Process 35" o:spid="_x0000_s1040" type="#_x0000_t176" style="position:absolute;margin-left:201pt;margin-top:42.5pt;width:176.7pt;height:1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" fillcolor="#a6a6a6" strokecolor="window" strokeweight="1pt">
                <v:textbox>
                  <w:txbxContent>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DAY-TO-DAY FACILITY MGMT</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PREPARE DRAFT WORKPLAN</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DRAFT PROGRESS REPORTS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PREPARE FINANCE REPORTS </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RISK MGMT REPORTS </w:t>
                      </w:r>
                    </w:p>
                    <w:p w:rsidR="008A24F9" w:rsidRDefault="008A24F9" w:rsidP="00CF2607">
                      <w:pPr>
                        <w:pStyle w:val="ListParagraph"/>
                        <w:numPr>
                          <w:ilvl w:val="0"/>
                          <w:numId w:val="54"/>
                        </w:numPr>
                        <w:rPr>
                          <w:rFonts w:asciiTheme="minorHAnsi" w:hAnsiTheme="minorHAnsi" w:cstheme="minorHAnsi"/>
                          <w:color w:val="FFFFFF" w:themeColor="background1"/>
                          <w:sz w:val="20"/>
                          <w:szCs w:val="20"/>
                        </w:rPr>
                      </w:pPr>
                      <w:r w:rsidRPr="00CF2607">
                        <w:rPr>
                          <w:rFonts w:asciiTheme="minorHAnsi" w:hAnsiTheme="minorHAnsi" w:cstheme="minorHAnsi"/>
                          <w:color w:val="FFFFFF" w:themeColor="background1"/>
                          <w:sz w:val="20"/>
                          <w:szCs w:val="20"/>
                        </w:rPr>
                        <w:t>MONITORING &amp; EVALUATION</w:t>
                      </w:r>
                    </w:p>
                    <w:p w:rsidR="008A24F9" w:rsidRPr="00BF5BBC" w:rsidRDefault="008A24F9" w:rsidP="00BF5BBC">
                      <w:pPr>
                        <w:pStyle w:val="ListParagraph"/>
                        <w:numPr>
                          <w:ilvl w:val="0"/>
                          <w:numId w:val="54"/>
                        </w:numP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COMMUNICATIONS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STAKEHOLDER</w:t>
                      </w:r>
                      <w:r w:rsidRPr="00BF5BBC">
                        <w:rPr>
                          <w:rFonts w:asciiTheme="minorHAnsi" w:hAnsiTheme="minorHAnsi" w:cstheme="minorHAnsi"/>
                          <w:color w:val="FFFFFF" w:themeColor="background1"/>
                          <w:sz w:val="20"/>
                          <w:szCs w:val="20"/>
                        </w:rPr>
                        <w:t xml:space="preserve"> ENGAGEMENT</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371520" behindDoc="0" locked="0" layoutInCell="1" allowOverlap="1" wp14:anchorId="4C010F85" wp14:editId="5FBD3B14">
                <wp:simplePos x="0" y="0"/>
                <wp:positionH relativeFrom="column">
                  <wp:posOffset>869950</wp:posOffset>
                </wp:positionH>
                <wp:positionV relativeFrom="paragraph">
                  <wp:posOffset>739140</wp:posOffset>
                </wp:positionV>
                <wp:extent cx="1835727" cy="1047750"/>
                <wp:effectExtent l="0" t="0" r="12700" b="19050"/>
                <wp:wrapNone/>
                <wp:docPr id="16" name="Flowchart: Alternate Process 16"/>
                <wp:cNvGraphicFramePr/>
                <a:graphic xmlns:a="http://schemas.openxmlformats.org/drawingml/2006/main">
                  <a:graphicData uri="http://schemas.microsoft.com/office/word/2010/wordprocessingShape">
                    <wps:wsp>
                      <wps:cNvSpPr/>
                      <wps:spPr>
                        <a:xfrm>
                          <a:off x="0" y="0"/>
                          <a:ext cx="1835727" cy="1047750"/>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3F5FA6">
                            <w:pPr>
                              <w:rPr>
                                <w:b/>
                                <w:color w:val="FFFFFF" w:themeColor="background1"/>
                                <w:sz w:val="36"/>
                                <w:szCs w:val="36"/>
                                <w:lang w:val="en-AU"/>
                              </w:rPr>
                            </w:pPr>
                            <w:r w:rsidRPr="00BF5BBC">
                              <w:rPr>
                                <w:b/>
                                <w:color w:val="FFFFFF" w:themeColor="background1"/>
                                <w:sz w:val="36"/>
                                <w:szCs w:val="36"/>
                                <w:lang w:val="en-AU"/>
                              </w:rPr>
                              <w:t>MANAGING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010F85" id="Flowchart: Alternate Process 16" o:spid="_x0000_s1041" type="#_x0000_t176" style="position:absolute;margin-left:68.5pt;margin-top:58.2pt;width:144.55pt;height:82.5pt;z-index:25137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" fillcolor="#007c89 [3209]" strokecolor="window" strokeweight="1pt">
                <v:textbox>
                  <w:txbxContent>
                    <w:p w:rsidR="008A24F9" w:rsidRPr="00BF5BBC" w:rsidRDefault="008A24F9" w:rsidP="003F5FA6">
                      <w:pPr>
                        <w:rPr>
                          <w:b/>
                          <w:color w:val="FFFFFF" w:themeColor="background1"/>
                          <w:sz w:val="36"/>
                          <w:szCs w:val="36"/>
                          <w:lang w:val="en-AU"/>
                        </w:rPr>
                      </w:pPr>
                      <w:r w:rsidRPr="00BF5BBC">
                        <w:rPr>
                          <w:b/>
                          <w:color w:val="FFFFFF" w:themeColor="background1"/>
                          <w:sz w:val="36"/>
                          <w:szCs w:val="36"/>
                          <w:lang w:val="en-AU"/>
                        </w:rPr>
                        <w:t>MANAGING     CONTRACTOR</w:t>
                      </w: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587584" behindDoc="0" locked="0" layoutInCell="1" allowOverlap="1" wp14:anchorId="79905F54" wp14:editId="32A61D64">
                <wp:simplePos x="0" y="0"/>
                <wp:positionH relativeFrom="column">
                  <wp:posOffset>1458914</wp:posOffset>
                </wp:positionH>
                <wp:positionV relativeFrom="paragraph">
                  <wp:posOffset>200977</wp:posOffset>
                </wp:positionV>
                <wp:extent cx="910590" cy="109162"/>
                <wp:effectExtent l="952" t="18098" r="23813" b="23812"/>
                <wp:wrapNone/>
                <wp:docPr id="27" name="Arrow: Right 27"/>
                <wp:cNvGraphicFramePr/>
                <a:graphic xmlns:a="http://schemas.openxmlformats.org/drawingml/2006/main">
                  <a:graphicData uri="http://schemas.microsoft.com/office/word/2010/wordprocessingShape">
                    <wps:wsp>
                      <wps:cNvSpPr/>
                      <wps:spPr>
                        <a:xfrm rot="16200000">
                          <a:off x="0" y="0"/>
                          <a:ext cx="910590" cy="109162"/>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B04A" id="Arrow: Right 27" o:spid="_x0000_s1026" type="#_x0000_t13" style="position:absolute;margin-left:114.9pt;margin-top:15.8pt;width:71.7pt;height:8.6pt;rotation:-9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" adj="20305,7241" filled="f" strokecolor="#489083" strokeweight="1pt"/>
            </w:pict>
          </mc:Fallback>
        </mc:AlternateContent>
      </w:r>
      <w:r w:rsidR="00126B39">
        <w:rPr>
          <w:rFonts w:asciiTheme="majorHAnsi" w:hAnsiTheme="majorHAnsi"/>
          <w:b/>
          <w:noProof/>
          <w:lang w:val="en-AU" w:eastAsia="en-AU"/>
        </w:rPr>
        <mc:AlternateContent>
          <mc:Choice Requires="wps">
            <w:drawing>
              <wp:anchor distT="0" distB="0" distL="114300" distR="114300" simplePos="0" relativeHeight="251557888" behindDoc="0" locked="0" layoutInCell="1" allowOverlap="1" wp14:anchorId="29C2532E" wp14:editId="1EFDDAFD">
                <wp:simplePos x="0" y="0"/>
                <wp:positionH relativeFrom="column">
                  <wp:posOffset>1205951</wp:posOffset>
                </wp:positionH>
                <wp:positionV relativeFrom="paragraph">
                  <wp:posOffset>195264</wp:posOffset>
                </wp:positionV>
                <wp:extent cx="875665" cy="113289"/>
                <wp:effectExtent l="318" t="0" r="20002" b="39053"/>
                <wp:wrapNone/>
                <wp:docPr id="26" name="Arrow: Right 26"/>
                <wp:cNvGraphicFramePr/>
                <a:graphic xmlns:a="http://schemas.openxmlformats.org/drawingml/2006/main">
                  <a:graphicData uri="http://schemas.microsoft.com/office/word/2010/wordprocessingShape">
                    <wps:wsp>
                      <wps:cNvSpPr/>
                      <wps:spPr>
                        <a:xfrm rot="5400000">
                          <a:off x="0" y="0"/>
                          <a:ext cx="875665" cy="113289"/>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515E" id="Arrow: Right 26" o:spid="_x0000_s1026" type="#_x0000_t13" style="position:absolute;margin-left:94.95pt;margin-top:15.4pt;width:68.95pt;height:8.9pt;rotation:90;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" adj="20203,7241" filled="f" strokecolor="#489083" strokeweight="1pt"/>
            </w:pict>
          </mc:Fallback>
        </mc:AlternateContent>
      </w:r>
      <w:r w:rsidR="00296908">
        <w:rPr>
          <w:rFonts w:asciiTheme="majorHAnsi" w:hAnsiTheme="majorHAnsi"/>
        </w:rPr>
        <w:tab/>
      </w:r>
    </w:p>
    <w:p w:rsidR="00151698" w:rsidRPr="00BF5BBC" w:rsidRDefault="00151698" w:rsidP="00BF5BBC">
      <w:pPr>
        <w:spacing w:after="200"/>
        <w:rPr>
          <w:rFonts w:asciiTheme="majorHAnsi" w:hAnsiTheme="majorHAnsi"/>
          <w:b/>
        </w:rPr>
      </w:pPr>
    </w:p>
    <w:p w:rsidR="003153E1" w:rsidRDefault="003153E1" w:rsidP="00F248FC">
      <w:pPr>
        <w:rPr>
          <w:rFonts w:asciiTheme="majorHAnsi" w:hAnsiTheme="majorHAnsi"/>
        </w:rPr>
      </w:pPr>
    </w:p>
    <w:p w:rsidR="006E2FDD" w:rsidRDefault="006E2FDD" w:rsidP="00F248FC">
      <w:pPr>
        <w:rPr>
          <w:rFonts w:asciiTheme="majorHAnsi" w:hAnsiTheme="majorHAnsi"/>
          <w:noProof/>
          <w:u w:val="single"/>
          <w:lang w:val="en-US"/>
        </w:rPr>
      </w:pPr>
    </w:p>
    <w:p w:rsidR="006E2FDD" w:rsidRDefault="006E2FDD" w:rsidP="00F248FC">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Default="006E2FDD" w:rsidP="006E2FDD">
      <w:pPr>
        <w:rPr>
          <w:rFonts w:asciiTheme="majorHAnsi" w:hAnsiTheme="majorHAnsi"/>
        </w:rPr>
      </w:pPr>
    </w:p>
    <w:p w:rsidR="00125187" w:rsidRDefault="00125187" w:rsidP="006E2FDD">
      <w:pPr>
        <w:rPr>
          <w:rFonts w:asciiTheme="majorHAnsi" w:hAnsiTheme="majorHAnsi"/>
        </w:rPr>
      </w:pPr>
    </w:p>
    <w:p w:rsidR="00125187" w:rsidRDefault="00125187" w:rsidP="006E2FDD">
      <w:pPr>
        <w:rPr>
          <w:rFonts w:asciiTheme="majorHAnsi" w:hAnsiTheme="majorHAnsi"/>
        </w:rPr>
      </w:pPr>
    </w:p>
    <w:sectPr w:rsidR="00125187" w:rsidSect="000F4789">
      <w:headerReference w:type="even" r:id="rId8"/>
      <w:headerReference w:type="default" r:id="rId9"/>
      <w:footerReference w:type="even" r:id="rId10"/>
      <w:footerReference w:type="default" r:id="rId11"/>
      <w:headerReference w:type="first" r:id="rId12"/>
      <w:footerReference w:type="first" r:id="rId13"/>
      <w:pgSz w:w="11907" w:h="16839" w:code="9"/>
      <w:pgMar w:top="1560"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B6" w:rsidRDefault="00192FB6" w:rsidP="00D37B04">
      <w:r>
        <w:separator/>
      </w:r>
    </w:p>
  </w:endnote>
  <w:endnote w:type="continuationSeparator" w:id="0">
    <w:p w:rsidR="00192FB6" w:rsidRDefault="00192FB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Default="008A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rsidR="008A24F9" w:rsidRDefault="008A24F9">
        <w:pPr>
          <w:pStyle w:val="Footer"/>
          <w:jc w:val="right"/>
        </w:pPr>
        <w:r>
          <w:fldChar w:fldCharType="begin"/>
        </w:r>
        <w:r>
          <w:instrText xml:space="preserve"> PAGE   \* MERGEFORMAT </w:instrText>
        </w:r>
        <w:r>
          <w:fldChar w:fldCharType="separate"/>
        </w:r>
        <w:r w:rsidR="00FC79C5">
          <w:rPr>
            <w:noProof/>
          </w:rPr>
          <w:t>11</w:t>
        </w:r>
        <w:r>
          <w:rPr>
            <w:noProof/>
          </w:rPr>
          <w:fldChar w:fldCharType="end"/>
        </w:r>
      </w:p>
    </w:sdtContent>
  </w:sdt>
  <w:p w:rsidR="008A24F9" w:rsidRPr="00FC322F" w:rsidRDefault="008A24F9"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FC322F" w:rsidRDefault="008A24F9" w:rsidP="00FC322F">
    <w:pPr>
      <w:pStyle w:val="Footer"/>
      <w:rPr>
        <w:b/>
      </w:rPr>
    </w:pPr>
    <w:r w:rsidRPr="00FC322F">
      <w:rPr>
        <w:b/>
        <w:noProof/>
        <w:lang w:val="en-AU" w:eastAsia="en-AU"/>
      </w:rPr>
      <w:drawing>
        <wp:inline distT="0" distB="0" distL="0" distR="0" wp14:anchorId="542B39C3" wp14:editId="1953C762">
          <wp:extent cx="108000" cy="87480"/>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B6" w:rsidRPr="008C5A0E" w:rsidRDefault="00192FB6" w:rsidP="00D37B04">
      <w:pPr>
        <w:pStyle w:val="Footer"/>
      </w:pPr>
    </w:p>
  </w:footnote>
  <w:footnote w:type="continuationSeparator" w:id="0">
    <w:p w:rsidR="00192FB6" w:rsidRDefault="00192FB6" w:rsidP="00D37B04">
      <w:r>
        <w:continuationSeparator/>
      </w:r>
    </w:p>
  </w:footnote>
  <w:footnote w:id="1">
    <w:p w:rsidR="008A24F9" w:rsidRPr="00AE63E7" w:rsidRDefault="008A24F9">
      <w:pPr>
        <w:pStyle w:val="FootnoteText"/>
        <w:rPr>
          <w:lang w:val="en-AU"/>
        </w:rPr>
      </w:pPr>
      <w:r>
        <w:rPr>
          <w:rStyle w:val="FootnoteReference"/>
        </w:rPr>
        <w:footnoteRef/>
      </w:r>
      <w:r>
        <w:t xml:space="preserve"> </w:t>
      </w:r>
      <w:r w:rsidRPr="00C03701">
        <w:t>National priority diseases are stipulated in Presidential Regulation no 30/ 2011: rabies; anthrax; bird flu; brucellosis; and leptospirosis</w:t>
      </w:r>
    </w:p>
  </w:footnote>
  <w:footnote w:id="2">
    <w:p w:rsidR="008A24F9" w:rsidRPr="00563FAF" w:rsidRDefault="008A24F9">
      <w:pPr>
        <w:pStyle w:val="FootnoteText"/>
        <w:rPr>
          <w:lang w:val="en-AU"/>
        </w:rPr>
      </w:pPr>
      <w:r>
        <w:rPr>
          <w:rStyle w:val="FootnoteReference"/>
        </w:rPr>
        <w:footnoteRef/>
      </w:r>
      <w:r>
        <w:t xml:space="preserve"> </w:t>
      </w:r>
      <w:r w:rsidRPr="00563FAF">
        <w:t>Since DFAT’s major health programs in Indonesia closed in 2016, DFAT’s health spend in Indonesia is primarily focussed on health security and nutrition (approx. $4 million per year).</w:t>
      </w:r>
    </w:p>
  </w:footnote>
  <w:footnote w:id="3">
    <w:p w:rsidR="008A24F9" w:rsidRPr="008A24F9" w:rsidRDefault="008A24F9">
      <w:pPr>
        <w:pStyle w:val="FootnoteText"/>
        <w:rPr>
          <w:lang w:val="en-AU"/>
        </w:rPr>
      </w:pPr>
      <w:r>
        <w:rPr>
          <w:rStyle w:val="FootnoteReference"/>
        </w:rPr>
        <w:footnoteRef/>
      </w:r>
      <w:r>
        <w:t xml:space="preserve">     For subnational engagement, </w:t>
      </w:r>
      <w:r w:rsidRPr="00BE2C20">
        <w:t>CHS suggest</w:t>
      </w:r>
      <w:r>
        <w:t>s</w:t>
      </w:r>
      <w:r w:rsidRPr="00BE2C20">
        <w:t xml:space="preserve"> consider</w:t>
      </w:r>
      <w:r>
        <w:t>ing</w:t>
      </w:r>
      <w:r w:rsidRPr="00BE2C20">
        <w:t xml:space="preserve"> a focus on eastern Indonesia </w:t>
      </w:r>
      <w:r>
        <w:t xml:space="preserve">for example </w:t>
      </w:r>
      <w:r w:rsidRPr="00BE2C20">
        <w:t>by working with NTB and NTT and through this potentially inviting Maluku and Papauan provinces to provincial</w:t>
      </w:r>
      <w:r>
        <w:t>-</w:t>
      </w:r>
      <w:r w:rsidRPr="00BE2C20">
        <w:t>based activities here. This</w:t>
      </w:r>
      <w:r>
        <w:t xml:space="preserve"> would help address</w:t>
      </w:r>
      <w:r w:rsidRPr="00BE2C20">
        <w:t xml:space="preserve"> Australia’s interests in terms of cross border disease risks.</w:t>
      </w:r>
    </w:p>
  </w:footnote>
  <w:footnote w:id="4">
    <w:p w:rsidR="008A24F9" w:rsidRPr="00F8157F" w:rsidRDefault="008A24F9">
      <w:pPr>
        <w:pStyle w:val="FootnoteText"/>
        <w:rPr>
          <w:lang w:val="en-AU"/>
        </w:rPr>
      </w:pPr>
      <w:r>
        <w:rPr>
          <w:rStyle w:val="FootnoteReference"/>
        </w:rPr>
        <w:footnoteRef/>
      </w:r>
      <w:r>
        <w:t xml:space="preserve">    </w:t>
      </w:r>
      <w:r w:rsidRPr="00F8157F">
        <w:t>A facility is one modality of delivering aid that incorporates a flexible approach.  It is an imprecise term which can refer to different types of aid investments with varyi</w:t>
      </w:r>
      <w:r>
        <w:t>ng purposes.  It can focus on a</w:t>
      </w:r>
      <w:r w:rsidRPr="00F8157F">
        <w:t xml:space="preserve"> single sector or multiple sectors to deliver development outcomes or perform administrative or enabling functions.  A facility is usually delivered by a managing contr</w:t>
      </w:r>
      <w:r>
        <w:t>actor or a multilateral partner (DFAT Guidance Note: Facility Investments February 2018).</w:t>
      </w:r>
    </w:p>
  </w:footnote>
  <w:footnote w:id="5">
    <w:p w:rsidR="008A24F9" w:rsidRPr="00855443" w:rsidRDefault="008A24F9" w:rsidP="00855443">
      <w:pPr>
        <w:pStyle w:val="FootnoteText"/>
      </w:pPr>
      <w:r>
        <w:rPr>
          <w:rStyle w:val="FootnoteReference"/>
        </w:rPr>
        <w:footnoteRef/>
      </w:r>
      <w:r>
        <w:t xml:space="preserve">   </w:t>
      </w:r>
      <w:r w:rsidRPr="00855443">
        <w:t xml:space="preserve"> </w:t>
      </w:r>
      <w:r>
        <w:t xml:space="preserve"> AIPEID team leader notes that </w:t>
      </w:r>
      <w:r w:rsidRPr="00855443">
        <w:t>there is certainly a huge gap in the MoA in the need for enhanced regulatory practices including through assessing impacts (economic and non-economic). Whilst MoA have in the past been adverse to foreign involvement in the regulatory drafting process, they have certainly taken on the economics training and projects we have assisted with and are really keen to expand on this work. With moving into the regulatory sphere, they may be accommodating if approached with a clear objective/strategy for engaging in this work and which gives them some room to operate independently.</w:t>
      </w:r>
    </w:p>
  </w:footnote>
  <w:footnote w:id="6">
    <w:p w:rsidR="008A24F9" w:rsidRPr="006C7D50" w:rsidRDefault="008A24F9">
      <w:pPr>
        <w:pStyle w:val="FootnoteText"/>
        <w:rPr>
          <w:lang w:val="en-AU"/>
        </w:rPr>
      </w:pPr>
      <w:r>
        <w:rPr>
          <w:rStyle w:val="FootnoteReference"/>
        </w:rPr>
        <w:footnoteRef/>
      </w:r>
      <w:r>
        <w:t xml:space="preserve"> </w:t>
      </w:r>
      <w:r>
        <w:rPr>
          <w:lang w:val="en-AU"/>
        </w:rPr>
        <w:t>DFAT representation will include Post and the Centre for Health Security. Department of Health have indicated an interest in engaging but limitations in resources – if so, they can be represented through the CHS (which includes WoG representation including from Health).</w:t>
      </w:r>
    </w:p>
  </w:footnote>
  <w:footnote w:id="7">
    <w:p w:rsidR="008A24F9" w:rsidRPr="008A24F9" w:rsidRDefault="008A24F9">
      <w:pPr>
        <w:pStyle w:val="FootnoteText"/>
        <w:rPr>
          <w:lang w:val="en-AU"/>
        </w:rPr>
      </w:pPr>
      <w:r>
        <w:rPr>
          <w:rStyle w:val="FootnoteReference"/>
        </w:rPr>
        <w:footnoteRef/>
      </w:r>
      <w:r>
        <w:t xml:space="preserve"> </w:t>
      </w:r>
      <w:r>
        <w:rPr>
          <w:lang w:val="en-AU"/>
        </w:rPr>
        <w:t>Note, Post is also undertaking a design for a new five year “Australia-Indonesia Disaster Risk Management program” (2018-2023) in partnership with BNPB</w:t>
      </w:r>
    </w:p>
  </w:footnote>
  <w:footnote w:id="8">
    <w:p w:rsidR="008A24F9" w:rsidRPr="008A24F9" w:rsidRDefault="008A24F9">
      <w:pPr>
        <w:pStyle w:val="FootnoteText"/>
        <w:rPr>
          <w:lang w:val="en-AU"/>
        </w:rPr>
      </w:pPr>
      <w:r>
        <w:rPr>
          <w:rStyle w:val="FootnoteReference"/>
        </w:rPr>
        <w:footnoteRef/>
      </w:r>
      <w:r>
        <w:t xml:space="preserve"> </w:t>
      </w:r>
      <w:r>
        <w:rPr>
          <w:lang w:val="en-AU"/>
        </w:rPr>
        <w:t xml:space="preserve">CHS will be invited to nominate an official to take part in the tender selection process. </w:t>
      </w:r>
    </w:p>
  </w:footnote>
  <w:footnote w:id="9">
    <w:p w:rsidR="008A24F9" w:rsidRPr="008879AB" w:rsidRDefault="008A24F9">
      <w:pPr>
        <w:pStyle w:val="FootnoteText"/>
        <w:rPr>
          <w:lang w:val="en-AU"/>
        </w:rPr>
      </w:pPr>
      <w:r>
        <w:rPr>
          <w:rStyle w:val="FootnoteReference"/>
        </w:rPr>
        <w:footnoteRef/>
      </w:r>
      <w:r>
        <w:t xml:space="preserve"> Th</w:t>
      </w:r>
      <w:r w:rsidRPr="008879AB">
        <w:t xml:space="preserve">e procurement process </w:t>
      </w:r>
      <w:r>
        <w:t xml:space="preserve">can commence </w:t>
      </w:r>
      <w:r w:rsidRPr="008879AB">
        <w:t>before a Subsidiary Arrangement is in place, provided there is a letter of endorsement (or similar form of agreement) from the partner government</w:t>
      </w:r>
      <w:r>
        <w:t xml:space="preserve"> (DFAT Aid Programming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Default="008A2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0854FD" w:rsidRDefault="00FC79C5" w:rsidP="002D5B25">
    <w:pPr>
      <w:pStyle w:val="Header"/>
    </w:pPr>
    <w:sdt>
      <w:sdtPr>
        <w:id w:val="916828830"/>
        <w:docPartObj>
          <w:docPartGallery w:val="Watermarks"/>
          <w:docPartUnique/>
        </w:docPartObj>
      </w:sdtPr>
      <w:sdtEndPr/>
      <w:sdtContent>
        <w:r>
          <w:rPr>
            <w:noProof/>
            <w:lang w:val="en-US" w:eastAsia="zh-TW"/>
          </w:rPr>
          <w:pict w14:anchorId="46641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24F9" w:rsidRPr="00943730">
      <w:rPr>
        <w:noProof/>
        <w:lang w:val="en-AU" w:eastAsia="en-AU"/>
      </w:rPr>
      <w:drawing>
        <wp:anchor distT="0" distB="0" distL="114300" distR="114300" simplePos="0" relativeHeight="251657728" behindDoc="1" locked="1" layoutInCell="1" allowOverlap="1" wp14:anchorId="080E389C" wp14:editId="249E6CAD">
          <wp:simplePos x="0" y="0"/>
          <wp:positionH relativeFrom="page">
            <wp:posOffset>12065</wp:posOffset>
          </wp:positionH>
          <wp:positionV relativeFrom="page">
            <wp:posOffset>0</wp:posOffset>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943730" w:rsidRDefault="008A24F9" w:rsidP="00943730">
    <w:pPr>
      <w:pStyle w:val="Header"/>
    </w:pPr>
    <w:r w:rsidRPr="00943730">
      <w:fldChar w:fldCharType="begin"/>
    </w:r>
    <w:r w:rsidRPr="00943730">
      <w:instrText xml:space="preserve"> DATE  \@ "MMMM yyyy"  \* MERGEFORMAT </w:instrText>
    </w:r>
    <w:r w:rsidRPr="00943730">
      <w:fldChar w:fldCharType="separate"/>
    </w:r>
    <w:r w:rsidR="00BE3DDB">
      <w:rPr>
        <w:noProof/>
      </w:rPr>
      <w:t>July 2020</w:t>
    </w:r>
    <w:r w:rsidRPr="00943730">
      <w:fldChar w:fldCharType="end"/>
    </w:r>
    <w:r w:rsidRPr="00943730">
      <w:rPr>
        <w:noProof/>
        <w:lang w:val="en-AU" w:eastAsia="en-AU"/>
      </w:rPr>
      <w:drawing>
        <wp:anchor distT="0" distB="0" distL="114300" distR="114300" simplePos="0" relativeHeight="251656704" behindDoc="1" locked="1" layoutInCell="1" allowOverlap="1" wp14:anchorId="6CBBDE92" wp14:editId="7E5669F1">
          <wp:simplePos x="0" y="0"/>
          <wp:positionH relativeFrom="page">
            <wp:posOffset>12700</wp:posOffset>
          </wp:positionH>
          <wp:positionV relativeFrom="page">
            <wp:posOffset>0</wp:posOffset>
          </wp:positionV>
          <wp:extent cx="7559040" cy="1069213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C4C"/>
      </v:shape>
    </w:pict>
  </w:numPicBullet>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2C20A54"/>
    <w:multiLevelType w:val="hybridMultilevel"/>
    <w:tmpl w:val="CFF68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7C9E"/>
    <w:multiLevelType w:val="hybridMultilevel"/>
    <w:tmpl w:val="03AE8CBC"/>
    <w:lvl w:ilvl="0" w:tplc="0C09000B">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8682E"/>
    <w:multiLevelType w:val="hybridMultilevel"/>
    <w:tmpl w:val="1038A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E35FC3"/>
    <w:multiLevelType w:val="hybridMultilevel"/>
    <w:tmpl w:val="3D6A69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295A83"/>
    <w:multiLevelType w:val="hybridMultilevel"/>
    <w:tmpl w:val="287C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52F4E"/>
    <w:multiLevelType w:val="hybridMultilevel"/>
    <w:tmpl w:val="EB12D846"/>
    <w:lvl w:ilvl="0" w:tplc="0C090007">
      <w:start w:val="1"/>
      <w:numFmt w:val="bullet"/>
      <w:lvlText w:val=""/>
      <w:lvlPicBulletId w:val="0"/>
      <w:lvlJc w:val="left"/>
      <w:pPr>
        <w:ind w:left="720" w:hanging="360"/>
      </w:pPr>
      <w:rPr>
        <w:rFonts w:ascii="Symbol" w:hAnsi="Symbol"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180448"/>
    <w:multiLevelType w:val="hybridMultilevel"/>
    <w:tmpl w:val="DDB63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AE5CE5"/>
    <w:multiLevelType w:val="hybridMultilevel"/>
    <w:tmpl w:val="E90290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8233BC6"/>
    <w:multiLevelType w:val="hybridMultilevel"/>
    <w:tmpl w:val="42B6C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C94C4E"/>
    <w:multiLevelType w:val="hybridMultilevel"/>
    <w:tmpl w:val="69266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D929A0"/>
    <w:multiLevelType w:val="hybridMultilevel"/>
    <w:tmpl w:val="8EBE9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2C2A96"/>
    <w:multiLevelType w:val="hybridMultilevel"/>
    <w:tmpl w:val="CD68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6952F5"/>
    <w:multiLevelType w:val="hybridMultilevel"/>
    <w:tmpl w:val="7D7A3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E4158B0"/>
    <w:multiLevelType w:val="hybridMultilevel"/>
    <w:tmpl w:val="2EE20BC6"/>
    <w:lvl w:ilvl="0" w:tplc="4E9ADF7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A77655"/>
    <w:multiLevelType w:val="hybridMultilevel"/>
    <w:tmpl w:val="79C87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8541B3"/>
    <w:multiLevelType w:val="hybridMultilevel"/>
    <w:tmpl w:val="88C8F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595549"/>
    <w:multiLevelType w:val="hybridMultilevel"/>
    <w:tmpl w:val="38F2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30FA1439"/>
    <w:multiLevelType w:val="hybridMultilevel"/>
    <w:tmpl w:val="9E747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436F17"/>
    <w:multiLevelType w:val="hybridMultilevel"/>
    <w:tmpl w:val="27684B7E"/>
    <w:lvl w:ilvl="0" w:tplc="D4763A5C">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825051"/>
    <w:multiLevelType w:val="hybridMultilevel"/>
    <w:tmpl w:val="ACD02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BE5726"/>
    <w:multiLevelType w:val="hybridMultilevel"/>
    <w:tmpl w:val="FA1CA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3663F7"/>
    <w:multiLevelType w:val="hybridMultilevel"/>
    <w:tmpl w:val="987C6C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05706C"/>
    <w:multiLevelType w:val="hybridMultilevel"/>
    <w:tmpl w:val="D020D402"/>
    <w:lvl w:ilvl="0" w:tplc="097C463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AB255A2"/>
    <w:multiLevelType w:val="hybridMultilevel"/>
    <w:tmpl w:val="FBBC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E24327"/>
    <w:multiLevelType w:val="hybridMultilevel"/>
    <w:tmpl w:val="D020D402"/>
    <w:lvl w:ilvl="0" w:tplc="097C463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C20D84"/>
    <w:multiLevelType w:val="hybridMultilevel"/>
    <w:tmpl w:val="7F485CBC"/>
    <w:lvl w:ilvl="0" w:tplc="BEEE2E8C">
      <w:start w:val="1"/>
      <w:numFmt w:val="bullet"/>
      <w:lvlText w:val="□"/>
      <w:lvlJc w:val="left"/>
      <w:pPr>
        <w:ind w:left="720" w:hanging="360"/>
      </w:pPr>
      <w:rPr>
        <w:rFonts w:ascii="Times New Roman" w:eastAsia="Times New Roman" w:hAnsi="Times New Roman"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C5963"/>
    <w:multiLevelType w:val="multilevel"/>
    <w:tmpl w:val="CD82A8C8"/>
    <w:styleLink w:val="Liste31"/>
    <w:lvl w:ilvl="0">
      <w:numFmt w:val="bullet"/>
      <w:lvlText w:val="•"/>
      <w:lvlJc w:val="left"/>
      <w:pPr>
        <w:tabs>
          <w:tab w:val="num" w:pos="393"/>
        </w:tabs>
        <w:ind w:left="393" w:hanging="393"/>
      </w:pPr>
      <w:rPr>
        <w:rFonts w:ascii="Times New Roman" w:eastAsia="Times New Roman" w:hAnsi="Times New Roman" w:cs="Times New Roman"/>
        <w:position w:val="0"/>
        <w:sz w:val="22"/>
        <w:szCs w:val="22"/>
      </w:rPr>
    </w:lvl>
    <w:lvl w:ilvl="1">
      <w:start w:val="1"/>
      <w:numFmt w:val="bullet"/>
      <w:lvlText w:val="o"/>
      <w:lvlJc w:val="left"/>
      <w:pPr>
        <w:tabs>
          <w:tab w:val="num" w:pos="1080"/>
        </w:tabs>
        <w:ind w:left="1080" w:hanging="360"/>
      </w:pPr>
      <w:rPr>
        <w:rFonts w:ascii="Cambria" w:eastAsia="Cambria" w:hAnsi="Cambria" w:cs="Cambria"/>
        <w:position w:val="0"/>
        <w:sz w:val="24"/>
        <w:szCs w:val="24"/>
      </w:rPr>
    </w:lvl>
    <w:lvl w:ilvl="2">
      <w:start w:val="1"/>
      <w:numFmt w:val="bullet"/>
      <w:lvlText w:val="▪"/>
      <w:lvlJc w:val="left"/>
      <w:pPr>
        <w:tabs>
          <w:tab w:val="num" w:pos="1800"/>
        </w:tabs>
        <w:ind w:left="1800" w:hanging="360"/>
      </w:pPr>
      <w:rPr>
        <w:rFonts w:ascii="Cambria" w:eastAsia="Cambria" w:hAnsi="Cambria" w:cs="Cambria"/>
        <w:position w:val="0"/>
        <w:sz w:val="24"/>
        <w:szCs w:val="24"/>
      </w:rPr>
    </w:lvl>
    <w:lvl w:ilvl="3">
      <w:start w:val="1"/>
      <w:numFmt w:val="bullet"/>
      <w:lvlText w:val="•"/>
      <w:lvlJc w:val="left"/>
      <w:pPr>
        <w:tabs>
          <w:tab w:val="num" w:pos="2520"/>
        </w:tabs>
        <w:ind w:left="2520" w:hanging="360"/>
      </w:pPr>
      <w:rPr>
        <w:rFonts w:ascii="Cambria" w:eastAsia="Cambria" w:hAnsi="Cambria" w:cs="Cambria"/>
        <w:position w:val="0"/>
        <w:sz w:val="24"/>
        <w:szCs w:val="24"/>
      </w:rPr>
    </w:lvl>
    <w:lvl w:ilvl="4">
      <w:start w:val="1"/>
      <w:numFmt w:val="bullet"/>
      <w:lvlText w:val="o"/>
      <w:lvlJc w:val="left"/>
      <w:pPr>
        <w:tabs>
          <w:tab w:val="num" w:pos="3240"/>
        </w:tabs>
        <w:ind w:left="3240" w:hanging="360"/>
      </w:pPr>
      <w:rPr>
        <w:rFonts w:ascii="Cambria" w:eastAsia="Cambria" w:hAnsi="Cambria" w:cs="Cambria"/>
        <w:position w:val="0"/>
        <w:sz w:val="24"/>
        <w:szCs w:val="24"/>
      </w:rPr>
    </w:lvl>
    <w:lvl w:ilvl="5">
      <w:start w:val="1"/>
      <w:numFmt w:val="bullet"/>
      <w:lvlText w:val="▪"/>
      <w:lvlJc w:val="left"/>
      <w:pPr>
        <w:tabs>
          <w:tab w:val="num" w:pos="3960"/>
        </w:tabs>
        <w:ind w:left="3960" w:hanging="360"/>
      </w:pPr>
      <w:rPr>
        <w:rFonts w:ascii="Cambria" w:eastAsia="Cambria" w:hAnsi="Cambria" w:cs="Cambria"/>
        <w:position w:val="0"/>
        <w:sz w:val="24"/>
        <w:szCs w:val="24"/>
      </w:rPr>
    </w:lvl>
    <w:lvl w:ilvl="6">
      <w:start w:val="1"/>
      <w:numFmt w:val="bullet"/>
      <w:lvlText w:val="•"/>
      <w:lvlJc w:val="left"/>
      <w:pPr>
        <w:tabs>
          <w:tab w:val="num" w:pos="4680"/>
        </w:tabs>
        <w:ind w:left="4680" w:hanging="360"/>
      </w:pPr>
      <w:rPr>
        <w:rFonts w:ascii="Cambria" w:eastAsia="Cambria" w:hAnsi="Cambria" w:cs="Cambria"/>
        <w:position w:val="0"/>
        <w:sz w:val="24"/>
        <w:szCs w:val="24"/>
      </w:rPr>
    </w:lvl>
    <w:lvl w:ilvl="7">
      <w:start w:val="1"/>
      <w:numFmt w:val="bullet"/>
      <w:lvlText w:val="o"/>
      <w:lvlJc w:val="left"/>
      <w:pPr>
        <w:tabs>
          <w:tab w:val="num" w:pos="5400"/>
        </w:tabs>
        <w:ind w:left="5400" w:hanging="360"/>
      </w:pPr>
      <w:rPr>
        <w:rFonts w:ascii="Cambria" w:eastAsia="Cambria" w:hAnsi="Cambria" w:cs="Cambria"/>
        <w:position w:val="0"/>
        <w:sz w:val="24"/>
        <w:szCs w:val="24"/>
      </w:rPr>
    </w:lvl>
    <w:lvl w:ilvl="8">
      <w:start w:val="1"/>
      <w:numFmt w:val="bullet"/>
      <w:lvlText w:val="▪"/>
      <w:lvlJc w:val="left"/>
      <w:pPr>
        <w:tabs>
          <w:tab w:val="num" w:pos="6120"/>
        </w:tabs>
        <w:ind w:left="6120" w:hanging="360"/>
      </w:pPr>
      <w:rPr>
        <w:rFonts w:ascii="Cambria" w:eastAsia="Cambria" w:hAnsi="Cambria" w:cs="Cambria"/>
        <w:position w:val="0"/>
        <w:sz w:val="24"/>
        <w:szCs w:val="24"/>
      </w:rPr>
    </w:lvl>
  </w:abstractNum>
  <w:abstractNum w:abstractNumId="37" w15:restartNumberingAfterBreak="0">
    <w:nsid w:val="5D3C1EA7"/>
    <w:multiLevelType w:val="multilevel"/>
    <w:tmpl w:val="43428892"/>
    <w:numStyleLink w:val="BulletsList"/>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E7446BD"/>
    <w:multiLevelType w:val="hybridMultilevel"/>
    <w:tmpl w:val="0B762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9F3216"/>
    <w:multiLevelType w:val="hybridMultilevel"/>
    <w:tmpl w:val="702237DA"/>
    <w:lvl w:ilvl="0" w:tplc="0C090009">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D1824"/>
    <w:multiLevelType w:val="hybridMultilevel"/>
    <w:tmpl w:val="EECE1E26"/>
    <w:lvl w:ilvl="0" w:tplc="E4B45EB6">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2" w15:restartNumberingAfterBreak="0">
    <w:nsid w:val="603175BE"/>
    <w:multiLevelType w:val="hybridMultilevel"/>
    <w:tmpl w:val="72489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4" w15:restartNumberingAfterBreak="0">
    <w:nsid w:val="685605D5"/>
    <w:multiLevelType w:val="hybridMultilevel"/>
    <w:tmpl w:val="03D2F0EE"/>
    <w:lvl w:ilvl="0" w:tplc="6924FF4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F06B80"/>
    <w:multiLevelType w:val="hybridMultilevel"/>
    <w:tmpl w:val="A9489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47A46AC"/>
    <w:multiLevelType w:val="hybridMultilevel"/>
    <w:tmpl w:val="59825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C11A2C"/>
    <w:multiLevelType w:val="hybridMultilevel"/>
    <w:tmpl w:val="6B8C6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214BCE"/>
    <w:multiLevelType w:val="hybridMultilevel"/>
    <w:tmpl w:val="CEC29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3" w15:restartNumberingAfterBreak="0">
    <w:nsid w:val="7FF40927"/>
    <w:multiLevelType w:val="hybridMultilevel"/>
    <w:tmpl w:val="78CEEAA2"/>
    <w:lvl w:ilvl="0" w:tplc="D4763A5C">
      <w:start w:val="1"/>
      <w:numFmt w:val="bullet"/>
      <w:lvlText w:val=""/>
      <w:lvlJc w:val="left"/>
      <w:pPr>
        <w:ind w:left="360" w:hanging="360"/>
      </w:pPr>
      <w:rPr>
        <w:rFonts w:ascii="Wingdings" w:hAnsi="Wingdings" w:hint="default"/>
        <w:b/>
        <w:bCs/>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6"/>
  </w:num>
  <w:num w:numId="2">
    <w:abstractNumId w:val="4"/>
  </w:num>
  <w:num w:numId="3">
    <w:abstractNumId w:val="23"/>
  </w:num>
  <w:num w:numId="4">
    <w:abstractNumId w:val="34"/>
  </w:num>
  <w:num w:numId="5">
    <w:abstractNumId w:val="38"/>
  </w:num>
  <w:num w:numId="6">
    <w:abstractNumId w:val="0"/>
  </w:num>
  <w:num w:numId="7">
    <w:abstractNumId w:val="23"/>
  </w:num>
  <w:num w:numId="8">
    <w:abstractNumId w:val="37"/>
  </w:num>
  <w:num w:numId="9">
    <w:abstractNumId w:val="4"/>
  </w:num>
  <w:num w:numId="10">
    <w:abstractNumId w:val="12"/>
  </w:num>
  <w:num w:numId="11">
    <w:abstractNumId w:val="48"/>
  </w:num>
  <w:num w:numId="12">
    <w:abstractNumId w:val="49"/>
  </w:num>
  <w:num w:numId="13">
    <w:abstractNumId w:val="52"/>
  </w:num>
  <w:num w:numId="14">
    <w:abstractNumId w:val="21"/>
  </w:num>
  <w:num w:numId="15">
    <w:abstractNumId w:val="35"/>
  </w:num>
  <w:num w:numId="16">
    <w:abstractNumId w:val="43"/>
  </w:num>
  <w:num w:numId="17">
    <w:abstractNumId w:val="8"/>
  </w:num>
  <w:num w:numId="18">
    <w:abstractNumId w:val="32"/>
  </w:num>
  <w:num w:numId="19">
    <w:abstractNumId w:val="9"/>
  </w:num>
  <w:num w:numId="20">
    <w:abstractNumId w:val="22"/>
  </w:num>
  <w:num w:numId="21">
    <w:abstractNumId w:val="36"/>
  </w:num>
  <w:num w:numId="22">
    <w:abstractNumId w:val="30"/>
  </w:num>
  <w:num w:numId="23">
    <w:abstractNumId w:val="13"/>
  </w:num>
  <w:num w:numId="24">
    <w:abstractNumId w:val="5"/>
  </w:num>
  <w:num w:numId="25">
    <w:abstractNumId w:val="14"/>
  </w:num>
  <w:num w:numId="26">
    <w:abstractNumId w:val="1"/>
  </w:num>
  <w:num w:numId="27">
    <w:abstractNumId w:val="29"/>
  </w:num>
  <w:num w:numId="28">
    <w:abstractNumId w:val="31"/>
  </w:num>
  <w:num w:numId="29">
    <w:abstractNumId w:val="18"/>
  </w:num>
  <w:num w:numId="30">
    <w:abstractNumId w:val="45"/>
  </w:num>
  <w:num w:numId="31">
    <w:abstractNumId w:val="26"/>
  </w:num>
  <w:num w:numId="32">
    <w:abstractNumId w:val="20"/>
  </w:num>
  <w:num w:numId="33">
    <w:abstractNumId w:val="41"/>
  </w:num>
  <w:num w:numId="34">
    <w:abstractNumId w:val="27"/>
  </w:num>
  <w:num w:numId="35">
    <w:abstractNumId w:val="15"/>
  </w:num>
  <w:num w:numId="36">
    <w:abstractNumId w:val="51"/>
  </w:num>
  <w:num w:numId="37">
    <w:abstractNumId w:val="10"/>
  </w:num>
  <w:num w:numId="38">
    <w:abstractNumId w:val="47"/>
  </w:num>
  <w:num w:numId="39">
    <w:abstractNumId w:val="39"/>
  </w:num>
  <w:num w:numId="40">
    <w:abstractNumId w:val="28"/>
  </w:num>
  <w:num w:numId="41">
    <w:abstractNumId w:val="16"/>
  </w:num>
  <w:num w:numId="42">
    <w:abstractNumId w:val="6"/>
  </w:num>
  <w:num w:numId="43">
    <w:abstractNumId w:val="11"/>
  </w:num>
  <w:num w:numId="44">
    <w:abstractNumId w:val="19"/>
  </w:num>
  <w:num w:numId="45">
    <w:abstractNumId w:val="17"/>
  </w:num>
  <w:num w:numId="46">
    <w:abstractNumId w:val="42"/>
  </w:num>
  <w:num w:numId="47">
    <w:abstractNumId w:val="3"/>
  </w:num>
  <w:num w:numId="48">
    <w:abstractNumId w:val="44"/>
  </w:num>
  <w:num w:numId="49">
    <w:abstractNumId w:val="33"/>
  </w:num>
  <w:num w:numId="50">
    <w:abstractNumId w:val="40"/>
  </w:num>
  <w:num w:numId="51">
    <w:abstractNumId w:val="7"/>
  </w:num>
  <w:num w:numId="52">
    <w:abstractNumId w:val="2"/>
  </w:num>
  <w:num w:numId="53">
    <w:abstractNumId w:val="25"/>
  </w:num>
  <w:num w:numId="54">
    <w:abstractNumId w:val="53"/>
  </w:num>
  <w:num w:numId="55">
    <w:abstractNumId w:val="24"/>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EA"/>
    <w:rsid w:val="00001DA8"/>
    <w:rsid w:val="000020C1"/>
    <w:rsid w:val="000061AF"/>
    <w:rsid w:val="0001089B"/>
    <w:rsid w:val="00012B79"/>
    <w:rsid w:val="0002080A"/>
    <w:rsid w:val="0002782F"/>
    <w:rsid w:val="00033A05"/>
    <w:rsid w:val="0003590E"/>
    <w:rsid w:val="00035BBF"/>
    <w:rsid w:val="0003793A"/>
    <w:rsid w:val="00050806"/>
    <w:rsid w:val="00051DFA"/>
    <w:rsid w:val="000546D9"/>
    <w:rsid w:val="00054E4D"/>
    <w:rsid w:val="00060073"/>
    <w:rsid w:val="000616C6"/>
    <w:rsid w:val="00064266"/>
    <w:rsid w:val="00066394"/>
    <w:rsid w:val="00071392"/>
    <w:rsid w:val="00080DB6"/>
    <w:rsid w:val="000854FD"/>
    <w:rsid w:val="000A42B8"/>
    <w:rsid w:val="000A6C32"/>
    <w:rsid w:val="000B37F5"/>
    <w:rsid w:val="000B667E"/>
    <w:rsid w:val="000C2276"/>
    <w:rsid w:val="000C32E5"/>
    <w:rsid w:val="000C432B"/>
    <w:rsid w:val="000D3309"/>
    <w:rsid w:val="000D66D6"/>
    <w:rsid w:val="000D72AC"/>
    <w:rsid w:val="000D7868"/>
    <w:rsid w:val="000D7BC8"/>
    <w:rsid w:val="000E0BE3"/>
    <w:rsid w:val="000E573C"/>
    <w:rsid w:val="000F4789"/>
    <w:rsid w:val="00107681"/>
    <w:rsid w:val="0011240F"/>
    <w:rsid w:val="00113288"/>
    <w:rsid w:val="0011609F"/>
    <w:rsid w:val="001214BE"/>
    <w:rsid w:val="00122973"/>
    <w:rsid w:val="00123EBA"/>
    <w:rsid w:val="00125187"/>
    <w:rsid w:val="00126B39"/>
    <w:rsid w:val="00126EEF"/>
    <w:rsid w:val="0013101C"/>
    <w:rsid w:val="00137A82"/>
    <w:rsid w:val="00137CE9"/>
    <w:rsid w:val="001404EB"/>
    <w:rsid w:val="00145686"/>
    <w:rsid w:val="001461D6"/>
    <w:rsid w:val="00146525"/>
    <w:rsid w:val="00147F15"/>
    <w:rsid w:val="00151698"/>
    <w:rsid w:val="001541EA"/>
    <w:rsid w:val="00154834"/>
    <w:rsid w:val="0016313B"/>
    <w:rsid w:val="001658CC"/>
    <w:rsid w:val="00183AE9"/>
    <w:rsid w:val="00186C2B"/>
    <w:rsid w:val="00190913"/>
    <w:rsid w:val="00192FB6"/>
    <w:rsid w:val="00193660"/>
    <w:rsid w:val="001A1C08"/>
    <w:rsid w:val="001B30EB"/>
    <w:rsid w:val="001B3508"/>
    <w:rsid w:val="001B4AA1"/>
    <w:rsid w:val="001C0410"/>
    <w:rsid w:val="001C24C0"/>
    <w:rsid w:val="001C3279"/>
    <w:rsid w:val="001C3DD0"/>
    <w:rsid w:val="001D0652"/>
    <w:rsid w:val="001D16D2"/>
    <w:rsid w:val="001D1FFB"/>
    <w:rsid w:val="001D5584"/>
    <w:rsid w:val="001D663E"/>
    <w:rsid w:val="001E1DC0"/>
    <w:rsid w:val="001F2503"/>
    <w:rsid w:val="001F30A8"/>
    <w:rsid w:val="001F40A7"/>
    <w:rsid w:val="001F528D"/>
    <w:rsid w:val="001F63DA"/>
    <w:rsid w:val="00200945"/>
    <w:rsid w:val="00203277"/>
    <w:rsid w:val="00204043"/>
    <w:rsid w:val="00206CEC"/>
    <w:rsid w:val="002074E9"/>
    <w:rsid w:val="002123B5"/>
    <w:rsid w:val="002146FF"/>
    <w:rsid w:val="00214E6F"/>
    <w:rsid w:val="00223355"/>
    <w:rsid w:val="0022443C"/>
    <w:rsid w:val="002308C0"/>
    <w:rsid w:val="00235467"/>
    <w:rsid w:val="00236073"/>
    <w:rsid w:val="002366D1"/>
    <w:rsid w:val="00243F5C"/>
    <w:rsid w:val="00252C04"/>
    <w:rsid w:val="00264300"/>
    <w:rsid w:val="002660D7"/>
    <w:rsid w:val="00267B3F"/>
    <w:rsid w:val="002738EA"/>
    <w:rsid w:val="0027666A"/>
    <w:rsid w:val="00276AC2"/>
    <w:rsid w:val="002814C7"/>
    <w:rsid w:val="002828A7"/>
    <w:rsid w:val="00284369"/>
    <w:rsid w:val="0028602A"/>
    <w:rsid w:val="0028649B"/>
    <w:rsid w:val="00296908"/>
    <w:rsid w:val="002A18B4"/>
    <w:rsid w:val="002A3597"/>
    <w:rsid w:val="002A71E4"/>
    <w:rsid w:val="002B279A"/>
    <w:rsid w:val="002B5E10"/>
    <w:rsid w:val="002C23C1"/>
    <w:rsid w:val="002C793D"/>
    <w:rsid w:val="002D39D0"/>
    <w:rsid w:val="002D5B25"/>
    <w:rsid w:val="002E3619"/>
    <w:rsid w:val="002F4F2B"/>
    <w:rsid w:val="002F6709"/>
    <w:rsid w:val="003002C0"/>
    <w:rsid w:val="003007AC"/>
    <w:rsid w:val="00300A26"/>
    <w:rsid w:val="00301144"/>
    <w:rsid w:val="003031C6"/>
    <w:rsid w:val="00304984"/>
    <w:rsid w:val="00312BF8"/>
    <w:rsid w:val="003148B7"/>
    <w:rsid w:val="003153E1"/>
    <w:rsid w:val="00315647"/>
    <w:rsid w:val="003158C3"/>
    <w:rsid w:val="0032194B"/>
    <w:rsid w:val="003270C2"/>
    <w:rsid w:val="003272AF"/>
    <w:rsid w:val="003274CD"/>
    <w:rsid w:val="00327544"/>
    <w:rsid w:val="00332336"/>
    <w:rsid w:val="00333501"/>
    <w:rsid w:val="003357F3"/>
    <w:rsid w:val="003457C4"/>
    <w:rsid w:val="00347DEB"/>
    <w:rsid w:val="0035119D"/>
    <w:rsid w:val="00353E34"/>
    <w:rsid w:val="00360BF1"/>
    <w:rsid w:val="003623F3"/>
    <w:rsid w:val="003649BA"/>
    <w:rsid w:val="00373261"/>
    <w:rsid w:val="003741F2"/>
    <w:rsid w:val="003748ED"/>
    <w:rsid w:val="00384D40"/>
    <w:rsid w:val="003854C2"/>
    <w:rsid w:val="00387234"/>
    <w:rsid w:val="0039344A"/>
    <w:rsid w:val="00395163"/>
    <w:rsid w:val="003A7BB9"/>
    <w:rsid w:val="003B4F12"/>
    <w:rsid w:val="003B787B"/>
    <w:rsid w:val="003C3E68"/>
    <w:rsid w:val="003C49FD"/>
    <w:rsid w:val="003D24C4"/>
    <w:rsid w:val="003D4237"/>
    <w:rsid w:val="003D4F02"/>
    <w:rsid w:val="003D7103"/>
    <w:rsid w:val="003D7FCC"/>
    <w:rsid w:val="003E2612"/>
    <w:rsid w:val="003F2041"/>
    <w:rsid w:val="003F2A07"/>
    <w:rsid w:val="003F35D2"/>
    <w:rsid w:val="003F5524"/>
    <w:rsid w:val="003F5FA6"/>
    <w:rsid w:val="00402ACC"/>
    <w:rsid w:val="00410924"/>
    <w:rsid w:val="004120EC"/>
    <w:rsid w:val="0041358A"/>
    <w:rsid w:val="00416708"/>
    <w:rsid w:val="0041772F"/>
    <w:rsid w:val="00423F31"/>
    <w:rsid w:val="00431899"/>
    <w:rsid w:val="0043414C"/>
    <w:rsid w:val="00436260"/>
    <w:rsid w:val="0043696E"/>
    <w:rsid w:val="00437C76"/>
    <w:rsid w:val="00442055"/>
    <w:rsid w:val="00445056"/>
    <w:rsid w:val="004502F7"/>
    <w:rsid w:val="00450981"/>
    <w:rsid w:val="00463625"/>
    <w:rsid w:val="00466BD4"/>
    <w:rsid w:val="00470218"/>
    <w:rsid w:val="0047147E"/>
    <w:rsid w:val="0047630A"/>
    <w:rsid w:val="00476ED0"/>
    <w:rsid w:val="00482125"/>
    <w:rsid w:val="00482AE8"/>
    <w:rsid w:val="00486804"/>
    <w:rsid w:val="004932C8"/>
    <w:rsid w:val="00494846"/>
    <w:rsid w:val="004A4BF3"/>
    <w:rsid w:val="004A6B58"/>
    <w:rsid w:val="004B3775"/>
    <w:rsid w:val="004C10EA"/>
    <w:rsid w:val="004C7B10"/>
    <w:rsid w:val="004C7F6B"/>
    <w:rsid w:val="004D0BA0"/>
    <w:rsid w:val="004D1EBA"/>
    <w:rsid w:val="004D2EAE"/>
    <w:rsid w:val="004E058F"/>
    <w:rsid w:val="004E3B87"/>
    <w:rsid w:val="004E583D"/>
    <w:rsid w:val="004E76A1"/>
    <w:rsid w:val="00501CB1"/>
    <w:rsid w:val="005035E0"/>
    <w:rsid w:val="005049AF"/>
    <w:rsid w:val="00510921"/>
    <w:rsid w:val="00510AD3"/>
    <w:rsid w:val="00513348"/>
    <w:rsid w:val="00513AD8"/>
    <w:rsid w:val="005166B1"/>
    <w:rsid w:val="00517B85"/>
    <w:rsid w:val="005204D2"/>
    <w:rsid w:val="00521719"/>
    <w:rsid w:val="00522396"/>
    <w:rsid w:val="00522741"/>
    <w:rsid w:val="005251DB"/>
    <w:rsid w:val="00525F10"/>
    <w:rsid w:val="005272BC"/>
    <w:rsid w:val="00527E77"/>
    <w:rsid w:val="00533B5D"/>
    <w:rsid w:val="00540A7A"/>
    <w:rsid w:val="00550E79"/>
    <w:rsid w:val="00554636"/>
    <w:rsid w:val="00560561"/>
    <w:rsid w:val="00561D7F"/>
    <w:rsid w:val="00563FAF"/>
    <w:rsid w:val="00565409"/>
    <w:rsid w:val="0057422D"/>
    <w:rsid w:val="00574873"/>
    <w:rsid w:val="00576D2F"/>
    <w:rsid w:val="00584144"/>
    <w:rsid w:val="005859C6"/>
    <w:rsid w:val="0058762B"/>
    <w:rsid w:val="00591BE6"/>
    <w:rsid w:val="005A20F6"/>
    <w:rsid w:val="005A2BC3"/>
    <w:rsid w:val="005A2C8A"/>
    <w:rsid w:val="005A2F84"/>
    <w:rsid w:val="005B1A53"/>
    <w:rsid w:val="005B3C46"/>
    <w:rsid w:val="005B6E8C"/>
    <w:rsid w:val="005C2E4A"/>
    <w:rsid w:val="005D3655"/>
    <w:rsid w:val="005D47CB"/>
    <w:rsid w:val="005D6D00"/>
    <w:rsid w:val="005E4830"/>
    <w:rsid w:val="005F7A23"/>
    <w:rsid w:val="0061215C"/>
    <w:rsid w:val="00622B86"/>
    <w:rsid w:val="00623BA1"/>
    <w:rsid w:val="0062635B"/>
    <w:rsid w:val="006346BC"/>
    <w:rsid w:val="00642E6C"/>
    <w:rsid w:val="00643121"/>
    <w:rsid w:val="00654D2E"/>
    <w:rsid w:val="00657BC7"/>
    <w:rsid w:val="0066652A"/>
    <w:rsid w:val="006719C3"/>
    <w:rsid w:val="00680522"/>
    <w:rsid w:val="00680CF3"/>
    <w:rsid w:val="00682167"/>
    <w:rsid w:val="0068327C"/>
    <w:rsid w:val="00687605"/>
    <w:rsid w:val="00697ADE"/>
    <w:rsid w:val="006A1534"/>
    <w:rsid w:val="006A15A7"/>
    <w:rsid w:val="006A2478"/>
    <w:rsid w:val="006A32B5"/>
    <w:rsid w:val="006A56C3"/>
    <w:rsid w:val="006A7F85"/>
    <w:rsid w:val="006C3E4B"/>
    <w:rsid w:val="006C42AF"/>
    <w:rsid w:val="006C7D50"/>
    <w:rsid w:val="006D1EEB"/>
    <w:rsid w:val="006D2AAD"/>
    <w:rsid w:val="006E101A"/>
    <w:rsid w:val="006E2FDD"/>
    <w:rsid w:val="006E566F"/>
    <w:rsid w:val="006E73AF"/>
    <w:rsid w:val="006F4CC8"/>
    <w:rsid w:val="006F64F3"/>
    <w:rsid w:val="00702CFE"/>
    <w:rsid w:val="00707D4B"/>
    <w:rsid w:val="0071192B"/>
    <w:rsid w:val="00711D8E"/>
    <w:rsid w:val="00712672"/>
    <w:rsid w:val="00715D62"/>
    <w:rsid w:val="00720DFE"/>
    <w:rsid w:val="00734E3F"/>
    <w:rsid w:val="00736985"/>
    <w:rsid w:val="00736D5B"/>
    <w:rsid w:val="00742F2B"/>
    <w:rsid w:val="00745204"/>
    <w:rsid w:val="00745395"/>
    <w:rsid w:val="00745DF5"/>
    <w:rsid w:val="00746803"/>
    <w:rsid w:val="007524AF"/>
    <w:rsid w:val="00752984"/>
    <w:rsid w:val="00752FAA"/>
    <w:rsid w:val="007566F1"/>
    <w:rsid w:val="00757181"/>
    <w:rsid w:val="0076066C"/>
    <w:rsid w:val="0076250F"/>
    <w:rsid w:val="007661BE"/>
    <w:rsid w:val="007662E7"/>
    <w:rsid w:val="00771198"/>
    <w:rsid w:val="007746D1"/>
    <w:rsid w:val="00776009"/>
    <w:rsid w:val="00780FA5"/>
    <w:rsid w:val="00786BB7"/>
    <w:rsid w:val="00791A06"/>
    <w:rsid w:val="0079291A"/>
    <w:rsid w:val="00792B75"/>
    <w:rsid w:val="0079406C"/>
    <w:rsid w:val="007A3CAD"/>
    <w:rsid w:val="007A6F46"/>
    <w:rsid w:val="007B147F"/>
    <w:rsid w:val="007B4F76"/>
    <w:rsid w:val="007B6200"/>
    <w:rsid w:val="007C1611"/>
    <w:rsid w:val="007C240A"/>
    <w:rsid w:val="007D54D3"/>
    <w:rsid w:val="007D5E59"/>
    <w:rsid w:val="007E7F0C"/>
    <w:rsid w:val="007F0B73"/>
    <w:rsid w:val="007F1CB7"/>
    <w:rsid w:val="007F3395"/>
    <w:rsid w:val="007F46AA"/>
    <w:rsid w:val="008006C7"/>
    <w:rsid w:val="00801B9F"/>
    <w:rsid w:val="0080204D"/>
    <w:rsid w:val="0080725D"/>
    <w:rsid w:val="008105E6"/>
    <w:rsid w:val="0081077E"/>
    <w:rsid w:val="00824F1D"/>
    <w:rsid w:val="008351E1"/>
    <w:rsid w:val="00835485"/>
    <w:rsid w:val="0083627C"/>
    <w:rsid w:val="008475F0"/>
    <w:rsid w:val="00850F3A"/>
    <w:rsid w:val="00855443"/>
    <w:rsid w:val="008557A7"/>
    <w:rsid w:val="0086261E"/>
    <w:rsid w:val="00864EFD"/>
    <w:rsid w:val="00870928"/>
    <w:rsid w:val="00880A9D"/>
    <w:rsid w:val="00883022"/>
    <w:rsid w:val="00885736"/>
    <w:rsid w:val="008879AB"/>
    <w:rsid w:val="0089405C"/>
    <w:rsid w:val="00895469"/>
    <w:rsid w:val="008958B6"/>
    <w:rsid w:val="00896D0A"/>
    <w:rsid w:val="00897228"/>
    <w:rsid w:val="00897FA2"/>
    <w:rsid w:val="008A24F9"/>
    <w:rsid w:val="008A306D"/>
    <w:rsid w:val="008A5AFE"/>
    <w:rsid w:val="008A7690"/>
    <w:rsid w:val="008C4F1B"/>
    <w:rsid w:val="008C5A0E"/>
    <w:rsid w:val="008C5AB0"/>
    <w:rsid w:val="008C67D5"/>
    <w:rsid w:val="008C6AB5"/>
    <w:rsid w:val="008D2880"/>
    <w:rsid w:val="008D2E0C"/>
    <w:rsid w:val="008E0449"/>
    <w:rsid w:val="008F6D3C"/>
    <w:rsid w:val="0090035E"/>
    <w:rsid w:val="00910EC1"/>
    <w:rsid w:val="009120D9"/>
    <w:rsid w:val="009156C3"/>
    <w:rsid w:val="009172D0"/>
    <w:rsid w:val="009215F2"/>
    <w:rsid w:val="00923103"/>
    <w:rsid w:val="00927341"/>
    <w:rsid w:val="00932BB5"/>
    <w:rsid w:val="0093740F"/>
    <w:rsid w:val="00940BEC"/>
    <w:rsid w:val="00943730"/>
    <w:rsid w:val="00944D40"/>
    <w:rsid w:val="00946CA2"/>
    <w:rsid w:val="00947FEE"/>
    <w:rsid w:val="009503B3"/>
    <w:rsid w:val="009520DF"/>
    <w:rsid w:val="00955612"/>
    <w:rsid w:val="00955CD3"/>
    <w:rsid w:val="00960DDB"/>
    <w:rsid w:val="009613A3"/>
    <w:rsid w:val="00963C90"/>
    <w:rsid w:val="00964209"/>
    <w:rsid w:val="00966957"/>
    <w:rsid w:val="0097376C"/>
    <w:rsid w:val="00975CA5"/>
    <w:rsid w:val="00976C37"/>
    <w:rsid w:val="009845E8"/>
    <w:rsid w:val="009852C9"/>
    <w:rsid w:val="00986590"/>
    <w:rsid w:val="00992C76"/>
    <w:rsid w:val="0099444E"/>
    <w:rsid w:val="009969D6"/>
    <w:rsid w:val="009A05D0"/>
    <w:rsid w:val="009A37CF"/>
    <w:rsid w:val="009A5B23"/>
    <w:rsid w:val="009B10E5"/>
    <w:rsid w:val="009B4D3B"/>
    <w:rsid w:val="009C65C5"/>
    <w:rsid w:val="009C7A4D"/>
    <w:rsid w:val="009D0369"/>
    <w:rsid w:val="009D0CB7"/>
    <w:rsid w:val="009D2EBA"/>
    <w:rsid w:val="009D5FE2"/>
    <w:rsid w:val="009D65FE"/>
    <w:rsid w:val="009D7407"/>
    <w:rsid w:val="009E0587"/>
    <w:rsid w:val="009E0866"/>
    <w:rsid w:val="009E273C"/>
    <w:rsid w:val="009F1350"/>
    <w:rsid w:val="009F301D"/>
    <w:rsid w:val="009F4455"/>
    <w:rsid w:val="009F6423"/>
    <w:rsid w:val="00A03AF2"/>
    <w:rsid w:val="00A0465C"/>
    <w:rsid w:val="00A05D90"/>
    <w:rsid w:val="00A06B57"/>
    <w:rsid w:val="00A06C06"/>
    <w:rsid w:val="00A078D4"/>
    <w:rsid w:val="00A165A1"/>
    <w:rsid w:val="00A24A62"/>
    <w:rsid w:val="00A30570"/>
    <w:rsid w:val="00A31930"/>
    <w:rsid w:val="00A31C9F"/>
    <w:rsid w:val="00A4075E"/>
    <w:rsid w:val="00A4144F"/>
    <w:rsid w:val="00A45715"/>
    <w:rsid w:val="00A4625F"/>
    <w:rsid w:val="00A60259"/>
    <w:rsid w:val="00A61B4D"/>
    <w:rsid w:val="00A6299A"/>
    <w:rsid w:val="00A63768"/>
    <w:rsid w:val="00A646D6"/>
    <w:rsid w:val="00A64ACB"/>
    <w:rsid w:val="00A72CFB"/>
    <w:rsid w:val="00A751DA"/>
    <w:rsid w:val="00A80F95"/>
    <w:rsid w:val="00A8319E"/>
    <w:rsid w:val="00A872EC"/>
    <w:rsid w:val="00A90D96"/>
    <w:rsid w:val="00A9168C"/>
    <w:rsid w:val="00A91C65"/>
    <w:rsid w:val="00A91F55"/>
    <w:rsid w:val="00A94EF2"/>
    <w:rsid w:val="00A97BF1"/>
    <w:rsid w:val="00AA005C"/>
    <w:rsid w:val="00AA298A"/>
    <w:rsid w:val="00AA37F4"/>
    <w:rsid w:val="00AA51EE"/>
    <w:rsid w:val="00AB687B"/>
    <w:rsid w:val="00AC164A"/>
    <w:rsid w:val="00AC1DAB"/>
    <w:rsid w:val="00AC236A"/>
    <w:rsid w:val="00AC61E8"/>
    <w:rsid w:val="00AC6643"/>
    <w:rsid w:val="00AD52CB"/>
    <w:rsid w:val="00AE0294"/>
    <w:rsid w:val="00AE05A4"/>
    <w:rsid w:val="00AE448A"/>
    <w:rsid w:val="00AE58F5"/>
    <w:rsid w:val="00AE63E7"/>
    <w:rsid w:val="00AF090A"/>
    <w:rsid w:val="00AF2050"/>
    <w:rsid w:val="00AF20D5"/>
    <w:rsid w:val="00B03CA8"/>
    <w:rsid w:val="00B10D4C"/>
    <w:rsid w:val="00B13550"/>
    <w:rsid w:val="00B1358C"/>
    <w:rsid w:val="00B1383F"/>
    <w:rsid w:val="00B13A40"/>
    <w:rsid w:val="00B16B74"/>
    <w:rsid w:val="00B17E00"/>
    <w:rsid w:val="00B333D6"/>
    <w:rsid w:val="00B338B3"/>
    <w:rsid w:val="00B33C0A"/>
    <w:rsid w:val="00B3450B"/>
    <w:rsid w:val="00B3532D"/>
    <w:rsid w:val="00B46BA1"/>
    <w:rsid w:val="00B53510"/>
    <w:rsid w:val="00B544B9"/>
    <w:rsid w:val="00B54E40"/>
    <w:rsid w:val="00B55E19"/>
    <w:rsid w:val="00B7159D"/>
    <w:rsid w:val="00B7735D"/>
    <w:rsid w:val="00B84A96"/>
    <w:rsid w:val="00B84DA6"/>
    <w:rsid w:val="00B865D8"/>
    <w:rsid w:val="00B900C3"/>
    <w:rsid w:val="00B90753"/>
    <w:rsid w:val="00B9440C"/>
    <w:rsid w:val="00B94758"/>
    <w:rsid w:val="00BA3F56"/>
    <w:rsid w:val="00BA4B6D"/>
    <w:rsid w:val="00BA5990"/>
    <w:rsid w:val="00BB26C5"/>
    <w:rsid w:val="00BB3544"/>
    <w:rsid w:val="00BB56D4"/>
    <w:rsid w:val="00BC4CD7"/>
    <w:rsid w:val="00BC6FC0"/>
    <w:rsid w:val="00BD3D5C"/>
    <w:rsid w:val="00BE07BD"/>
    <w:rsid w:val="00BE2C20"/>
    <w:rsid w:val="00BE3DDB"/>
    <w:rsid w:val="00BE4D3B"/>
    <w:rsid w:val="00BF2F0F"/>
    <w:rsid w:val="00BF3663"/>
    <w:rsid w:val="00BF4DE6"/>
    <w:rsid w:val="00BF5BBC"/>
    <w:rsid w:val="00BF7369"/>
    <w:rsid w:val="00C03701"/>
    <w:rsid w:val="00C06B13"/>
    <w:rsid w:val="00C07449"/>
    <w:rsid w:val="00C1189E"/>
    <w:rsid w:val="00C1277A"/>
    <w:rsid w:val="00C127E4"/>
    <w:rsid w:val="00C153A4"/>
    <w:rsid w:val="00C15470"/>
    <w:rsid w:val="00C2408C"/>
    <w:rsid w:val="00C27D25"/>
    <w:rsid w:val="00C27DAD"/>
    <w:rsid w:val="00C356C8"/>
    <w:rsid w:val="00C415EF"/>
    <w:rsid w:val="00C42541"/>
    <w:rsid w:val="00C42CDE"/>
    <w:rsid w:val="00C50FAD"/>
    <w:rsid w:val="00C5182A"/>
    <w:rsid w:val="00C56DEE"/>
    <w:rsid w:val="00C6079E"/>
    <w:rsid w:val="00C620A1"/>
    <w:rsid w:val="00C63177"/>
    <w:rsid w:val="00C63EE9"/>
    <w:rsid w:val="00C65A27"/>
    <w:rsid w:val="00C672EB"/>
    <w:rsid w:val="00C6757C"/>
    <w:rsid w:val="00C73480"/>
    <w:rsid w:val="00C8204B"/>
    <w:rsid w:val="00C85CEF"/>
    <w:rsid w:val="00C85DF9"/>
    <w:rsid w:val="00C87E5B"/>
    <w:rsid w:val="00C91F35"/>
    <w:rsid w:val="00C93611"/>
    <w:rsid w:val="00C968F0"/>
    <w:rsid w:val="00CA16F3"/>
    <w:rsid w:val="00CA2A03"/>
    <w:rsid w:val="00CA37B1"/>
    <w:rsid w:val="00CB0BA5"/>
    <w:rsid w:val="00CB1959"/>
    <w:rsid w:val="00CC13D5"/>
    <w:rsid w:val="00CC15CB"/>
    <w:rsid w:val="00CC741B"/>
    <w:rsid w:val="00CD0E4B"/>
    <w:rsid w:val="00CD40A9"/>
    <w:rsid w:val="00CE4C89"/>
    <w:rsid w:val="00CF07BA"/>
    <w:rsid w:val="00CF0F5B"/>
    <w:rsid w:val="00CF2607"/>
    <w:rsid w:val="00CF2F11"/>
    <w:rsid w:val="00CF4876"/>
    <w:rsid w:val="00D00D2C"/>
    <w:rsid w:val="00D0296C"/>
    <w:rsid w:val="00D02A6B"/>
    <w:rsid w:val="00D0383A"/>
    <w:rsid w:val="00D1628D"/>
    <w:rsid w:val="00D20B98"/>
    <w:rsid w:val="00D240B0"/>
    <w:rsid w:val="00D24668"/>
    <w:rsid w:val="00D3163D"/>
    <w:rsid w:val="00D31A4D"/>
    <w:rsid w:val="00D32D6F"/>
    <w:rsid w:val="00D37B04"/>
    <w:rsid w:val="00D46D6E"/>
    <w:rsid w:val="00D540C6"/>
    <w:rsid w:val="00D56BB4"/>
    <w:rsid w:val="00D6002C"/>
    <w:rsid w:val="00D64BD1"/>
    <w:rsid w:val="00D65EF1"/>
    <w:rsid w:val="00D715B8"/>
    <w:rsid w:val="00D75948"/>
    <w:rsid w:val="00D8557A"/>
    <w:rsid w:val="00D92254"/>
    <w:rsid w:val="00D92483"/>
    <w:rsid w:val="00D92626"/>
    <w:rsid w:val="00D928A1"/>
    <w:rsid w:val="00DB06D9"/>
    <w:rsid w:val="00DB2A19"/>
    <w:rsid w:val="00DB7575"/>
    <w:rsid w:val="00DC348A"/>
    <w:rsid w:val="00DC4F19"/>
    <w:rsid w:val="00DC6E16"/>
    <w:rsid w:val="00DD2A12"/>
    <w:rsid w:val="00DD2BB6"/>
    <w:rsid w:val="00DD3836"/>
    <w:rsid w:val="00DD682B"/>
    <w:rsid w:val="00DE084C"/>
    <w:rsid w:val="00DE5369"/>
    <w:rsid w:val="00DE5C47"/>
    <w:rsid w:val="00DF220E"/>
    <w:rsid w:val="00DF3C39"/>
    <w:rsid w:val="00E01000"/>
    <w:rsid w:val="00E12FF7"/>
    <w:rsid w:val="00E13690"/>
    <w:rsid w:val="00E14F51"/>
    <w:rsid w:val="00E22132"/>
    <w:rsid w:val="00E27302"/>
    <w:rsid w:val="00E31144"/>
    <w:rsid w:val="00E357B7"/>
    <w:rsid w:val="00E3742D"/>
    <w:rsid w:val="00E53800"/>
    <w:rsid w:val="00E6081F"/>
    <w:rsid w:val="00E61F48"/>
    <w:rsid w:val="00E672B9"/>
    <w:rsid w:val="00E7260C"/>
    <w:rsid w:val="00E74BF2"/>
    <w:rsid w:val="00E824BD"/>
    <w:rsid w:val="00E8296D"/>
    <w:rsid w:val="00E8457B"/>
    <w:rsid w:val="00E87D44"/>
    <w:rsid w:val="00E94616"/>
    <w:rsid w:val="00E9547C"/>
    <w:rsid w:val="00E959D6"/>
    <w:rsid w:val="00EA04B2"/>
    <w:rsid w:val="00EA0765"/>
    <w:rsid w:val="00EA0A88"/>
    <w:rsid w:val="00EA1844"/>
    <w:rsid w:val="00EA20F3"/>
    <w:rsid w:val="00EB13F6"/>
    <w:rsid w:val="00EB3836"/>
    <w:rsid w:val="00EC7B35"/>
    <w:rsid w:val="00ED2831"/>
    <w:rsid w:val="00ED379B"/>
    <w:rsid w:val="00ED43D1"/>
    <w:rsid w:val="00ED5809"/>
    <w:rsid w:val="00ED5EA9"/>
    <w:rsid w:val="00ED634B"/>
    <w:rsid w:val="00EE0443"/>
    <w:rsid w:val="00EE4EE1"/>
    <w:rsid w:val="00EE560E"/>
    <w:rsid w:val="00EE6E2B"/>
    <w:rsid w:val="00EE7EAA"/>
    <w:rsid w:val="00EF1206"/>
    <w:rsid w:val="00EF3B0A"/>
    <w:rsid w:val="00EF4574"/>
    <w:rsid w:val="00EF496B"/>
    <w:rsid w:val="00EF77BB"/>
    <w:rsid w:val="00F1136E"/>
    <w:rsid w:val="00F11F44"/>
    <w:rsid w:val="00F21DC3"/>
    <w:rsid w:val="00F22B86"/>
    <w:rsid w:val="00F248FC"/>
    <w:rsid w:val="00F24DE6"/>
    <w:rsid w:val="00F25A93"/>
    <w:rsid w:val="00F2684E"/>
    <w:rsid w:val="00F30C4E"/>
    <w:rsid w:val="00F43F61"/>
    <w:rsid w:val="00F45EEE"/>
    <w:rsid w:val="00F5404C"/>
    <w:rsid w:val="00F55047"/>
    <w:rsid w:val="00F61EFA"/>
    <w:rsid w:val="00F62F30"/>
    <w:rsid w:val="00F659DA"/>
    <w:rsid w:val="00F729EF"/>
    <w:rsid w:val="00F74BBC"/>
    <w:rsid w:val="00F759AF"/>
    <w:rsid w:val="00F76532"/>
    <w:rsid w:val="00F77CAE"/>
    <w:rsid w:val="00F8157F"/>
    <w:rsid w:val="00F82271"/>
    <w:rsid w:val="00F83428"/>
    <w:rsid w:val="00F83C73"/>
    <w:rsid w:val="00F84664"/>
    <w:rsid w:val="00F85B13"/>
    <w:rsid w:val="00F86B2D"/>
    <w:rsid w:val="00F959B9"/>
    <w:rsid w:val="00F96BB9"/>
    <w:rsid w:val="00F976D5"/>
    <w:rsid w:val="00FB50F6"/>
    <w:rsid w:val="00FB7A8F"/>
    <w:rsid w:val="00FC01D2"/>
    <w:rsid w:val="00FC0889"/>
    <w:rsid w:val="00FC322F"/>
    <w:rsid w:val="00FC445F"/>
    <w:rsid w:val="00FC79C5"/>
    <w:rsid w:val="00FD1983"/>
    <w:rsid w:val="00FD3D63"/>
    <w:rsid w:val="00FD5D60"/>
    <w:rsid w:val="00FD5F45"/>
    <w:rsid w:val="00FE4272"/>
    <w:rsid w:val="00FE4A00"/>
    <w:rsid w:val="00FE4A2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B3C46"/>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numbering" w:customStyle="1" w:styleId="Liste31">
    <w:name w:val="Liste 31"/>
    <w:basedOn w:val="NoList"/>
    <w:rsid w:val="00880A9D"/>
    <w:pPr>
      <w:numPr>
        <w:numId w:val="21"/>
      </w:numPr>
    </w:pPr>
  </w:style>
  <w:style w:type="paragraph" w:styleId="Revision">
    <w:name w:val="Revision"/>
    <w:hidden/>
    <w:uiPriority w:val="99"/>
    <w:semiHidden/>
    <w:rsid w:val="00CC15CB"/>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F959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959B9"/>
    <w:rPr>
      <w:color w:val="495965" w:themeColor="text2"/>
      <w:sz w:val="20"/>
      <w:szCs w:val="20"/>
      <w:lang w:val="en-GB"/>
    </w:rPr>
  </w:style>
  <w:style w:type="character" w:styleId="EndnoteReference">
    <w:name w:val="endnote reference"/>
    <w:basedOn w:val="DefaultParagraphFont"/>
    <w:uiPriority w:val="99"/>
    <w:semiHidden/>
    <w:unhideWhenUsed/>
    <w:rsid w:val="00F9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769">
      <w:bodyDiv w:val="1"/>
      <w:marLeft w:val="0"/>
      <w:marRight w:val="0"/>
      <w:marTop w:val="0"/>
      <w:marBottom w:val="0"/>
      <w:divBdr>
        <w:top w:val="none" w:sz="0" w:space="0" w:color="auto"/>
        <w:left w:val="none" w:sz="0" w:space="0" w:color="auto"/>
        <w:bottom w:val="none" w:sz="0" w:space="0" w:color="auto"/>
        <w:right w:val="none" w:sz="0" w:space="0" w:color="auto"/>
      </w:divBdr>
    </w:div>
    <w:div w:id="1316688336">
      <w:bodyDiv w:val="1"/>
      <w:marLeft w:val="0"/>
      <w:marRight w:val="0"/>
      <w:marTop w:val="0"/>
      <w:marBottom w:val="0"/>
      <w:divBdr>
        <w:top w:val="none" w:sz="0" w:space="0" w:color="auto"/>
        <w:left w:val="none" w:sz="0" w:space="0" w:color="auto"/>
        <w:bottom w:val="none" w:sz="0" w:space="0" w:color="auto"/>
        <w:right w:val="none" w:sz="0" w:space="0" w:color="auto"/>
      </w:divBdr>
    </w:div>
    <w:div w:id="17038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F187-50BB-4FCE-9F95-2313A301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5250</Words>
  <Characters>31242</Characters>
  <Application>Microsoft Office Word</Application>
  <DocSecurity>0</DocSecurity>
  <Lines>568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AIHSP Design Concept</dc:title>
  <dc:creator/>
  <cp:lastModifiedBy/>
  <cp:revision>1</cp:revision>
  <dcterms:created xsi:type="dcterms:W3CDTF">2020-07-21T05:18:00Z</dcterms:created>
  <dcterms:modified xsi:type="dcterms:W3CDTF">2020-07-21T05:18:00Z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acd2cb01-bde4-44b1-a757-dc23bb5e8c0c</vt:lpwstr>
  </property>
  <property fmtid="{D5CDD505-2E9C-101B-9397-08002B2CF9AE}" pid="3" name="SEC">
    <vt:lpwstr>UNOFFICIAL</vt:lpwstr>
  </property>
</Properties>
</file>