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16C3" w14:textId="5420160A" w:rsidR="00431F10" w:rsidRPr="00B1140D" w:rsidRDefault="562DD1BC" w:rsidP="00B1140D">
      <w:pPr>
        <w:pStyle w:val="Heading1"/>
      </w:pPr>
      <w:r>
        <w:t>Management Response</w:t>
      </w:r>
      <w:r w:rsidR="0176E386">
        <w:t xml:space="preserve"> to the </w:t>
      </w:r>
      <w:r w:rsidR="295BA069">
        <w:t>Australian Infrastructure Financing Facility for the Pacific</w:t>
      </w:r>
      <w:r w:rsidR="39DD2E77">
        <w:t xml:space="preserve"> </w:t>
      </w:r>
      <w:r w:rsidR="71E0057E">
        <w:t>(AIFFP)</w:t>
      </w:r>
      <w:r w:rsidR="0176E386">
        <w:t xml:space="preserve">, </w:t>
      </w:r>
      <w:r w:rsidR="39DD2E77">
        <w:t>Two-Year System-Wide Review</w:t>
      </w:r>
    </w:p>
    <w:p w14:paraId="5432BF9D" w14:textId="77777777" w:rsidR="00B1140D" w:rsidRDefault="00B1140D" w:rsidP="00B1140D"/>
    <w:p w14:paraId="45D02DA6" w14:textId="30D0C56D" w:rsidR="00597A2C" w:rsidRPr="00B1140D" w:rsidRDefault="00E96395" w:rsidP="00B1140D">
      <w:r w:rsidRPr="00B1140D">
        <w:t>The Australian Infrastructure Financing Facility for the Pacific (AIFFP)</w:t>
      </w:r>
      <w:r w:rsidR="002C06F3" w:rsidRPr="00B1140D">
        <w:t xml:space="preserve"> </w:t>
      </w:r>
      <w:r w:rsidR="00553C95" w:rsidRPr="00B1140D">
        <w:t xml:space="preserve">provides </w:t>
      </w:r>
      <w:r w:rsidR="00597A2C" w:rsidRPr="00B1140D">
        <w:t xml:space="preserve">financing </w:t>
      </w:r>
      <w:r w:rsidR="003F270B" w:rsidRPr="00B1140D">
        <w:t>to sovereign governments, state-owned enterprises and private sector partners</w:t>
      </w:r>
      <w:r w:rsidR="000A20CB" w:rsidRPr="00B1140D">
        <w:t xml:space="preserve"> for </w:t>
      </w:r>
      <w:r w:rsidR="00D32FD1" w:rsidRPr="00B1140D">
        <w:t>key</w:t>
      </w:r>
      <w:r w:rsidR="000A20CB" w:rsidRPr="00B1140D">
        <w:t xml:space="preserve"> infrastructure</w:t>
      </w:r>
      <w:r w:rsidR="00D32FD1" w:rsidRPr="00B1140D">
        <w:t xml:space="preserve"> </w:t>
      </w:r>
      <w:r w:rsidR="00E1246E" w:rsidRPr="00B1140D">
        <w:t xml:space="preserve">projects </w:t>
      </w:r>
      <w:r w:rsidR="000A20CB" w:rsidRPr="00B1140D">
        <w:t xml:space="preserve">in </w:t>
      </w:r>
      <w:proofErr w:type="gramStart"/>
      <w:r w:rsidR="0075465B" w:rsidRPr="00B1140D">
        <w:t>Pacific island</w:t>
      </w:r>
      <w:proofErr w:type="gramEnd"/>
      <w:r w:rsidR="0075465B" w:rsidRPr="00B1140D">
        <w:t xml:space="preserve"> countries and Timor</w:t>
      </w:r>
      <w:r w:rsidR="00597A2C" w:rsidRPr="00B1140D">
        <w:t>-</w:t>
      </w:r>
      <w:r w:rsidR="0075465B" w:rsidRPr="00B1140D">
        <w:t>Leste</w:t>
      </w:r>
      <w:r w:rsidR="00F232AB" w:rsidRPr="00B1140D">
        <w:t xml:space="preserve">. The AIFFP </w:t>
      </w:r>
      <w:r w:rsidR="000A20CB" w:rsidRPr="00B1140D">
        <w:t xml:space="preserve">was announced </w:t>
      </w:r>
      <w:r w:rsidR="006579F1" w:rsidRPr="00B1140D">
        <w:t xml:space="preserve">in November 2018 and </w:t>
      </w:r>
      <w:r w:rsidR="00AF3308" w:rsidRPr="00B1140D">
        <w:t>commenced operations</w:t>
      </w:r>
      <w:r w:rsidR="00F232AB" w:rsidRPr="00B1140D">
        <w:t xml:space="preserve"> in </w:t>
      </w:r>
      <w:r w:rsidR="006579F1" w:rsidRPr="00B1140D">
        <w:t xml:space="preserve">July </w:t>
      </w:r>
      <w:r w:rsidR="00F232AB" w:rsidRPr="00B1140D">
        <w:t>2019 as a core pillar of Australia’s</w:t>
      </w:r>
      <w:r w:rsidR="0075465B" w:rsidRPr="00B1140D">
        <w:t xml:space="preserve"> </w:t>
      </w:r>
      <w:r w:rsidR="000B3EC5" w:rsidRPr="00B1140D">
        <w:t xml:space="preserve">Pacific </w:t>
      </w:r>
      <w:r w:rsidR="00F232AB" w:rsidRPr="00B1140D">
        <w:t>engagement</w:t>
      </w:r>
      <w:r w:rsidR="0075465B" w:rsidRPr="00B1140D">
        <w:t xml:space="preserve">. </w:t>
      </w:r>
      <w:r w:rsidR="00691F2E" w:rsidRPr="00B1140D">
        <w:t>The AIFFP relies on Export Finance Australia (EFA) for back-office support and as lender of record for AIFFP loans.</w:t>
      </w:r>
    </w:p>
    <w:p w14:paraId="26FDD962" w14:textId="77777777" w:rsidR="00597A2C" w:rsidRPr="00B1140D" w:rsidRDefault="00597A2C" w:rsidP="00B1140D"/>
    <w:p w14:paraId="5F23F964" w14:textId="6034EE1F" w:rsidR="00AF3308" w:rsidRPr="00B1140D" w:rsidRDefault="00597A2C" w:rsidP="00B1140D">
      <w:r w:rsidRPr="00B1140D">
        <w:t xml:space="preserve">The AIFFP prioritises finance for quality and resilient infrastructure which meets international environmental and social safeguards and generates lasting economic opportunities for </w:t>
      </w:r>
      <w:proofErr w:type="gramStart"/>
      <w:r w:rsidRPr="00B1140D">
        <w:t>Pacific island</w:t>
      </w:r>
      <w:proofErr w:type="gramEnd"/>
      <w:r w:rsidRPr="00B1140D">
        <w:t xml:space="preserve"> communities. It </w:t>
      </w:r>
      <w:r w:rsidR="00AF3308" w:rsidRPr="00B1140D">
        <w:t>was established to respond to the infrastructure deficit in the Pacific and Timor-Leste. The AIFFP has three strategic objectives: Pacific countries have increased access to capital to support quality, resilient and inclusive economic infrastructure;</w:t>
      </w:r>
      <w:r w:rsidR="003C5E22" w:rsidRPr="00B1140D">
        <w:t xml:space="preserve"> </w:t>
      </w:r>
      <w:r w:rsidR="00AF3308" w:rsidRPr="00B1140D">
        <w:t>Australia delivers infrastructure financing that meets the development needs of Pacific countries; and</w:t>
      </w:r>
      <w:r w:rsidR="003C5E22" w:rsidRPr="00B1140D">
        <w:t xml:space="preserve"> </w:t>
      </w:r>
      <w:r w:rsidR="00AF3308" w:rsidRPr="00B1140D">
        <w:t xml:space="preserve">Australia is partner of choice for financing infrastructure in the Pacific. </w:t>
      </w:r>
    </w:p>
    <w:p w14:paraId="7B24B436" w14:textId="77777777" w:rsidR="00597A2C" w:rsidRPr="00B1140D" w:rsidRDefault="00597A2C" w:rsidP="00B1140D"/>
    <w:p w14:paraId="50E0F8D8" w14:textId="4DE6DD2D" w:rsidR="00AF3308" w:rsidRPr="00B1140D" w:rsidRDefault="00A36BE8" w:rsidP="00B1140D">
      <w:r w:rsidRPr="00B1140D">
        <w:t>In 2022, t</w:t>
      </w:r>
      <w:r w:rsidR="005253B5" w:rsidRPr="00B1140D">
        <w:t xml:space="preserve">he AIFFP </w:t>
      </w:r>
      <w:r w:rsidR="00296A91" w:rsidRPr="00B1140D">
        <w:t xml:space="preserve">was independently evaluated for the Department of Foreign Affairs and Trade (DFAT) </w:t>
      </w:r>
      <w:r w:rsidR="000709DB" w:rsidRPr="00B1140D">
        <w:t>after it ha</w:t>
      </w:r>
      <w:r w:rsidR="00080DC3" w:rsidRPr="00B1140D">
        <w:t xml:space="preserve">d completed </w:t>
      </w:r>
      <w:r w:rsidR="000709DB" w:rsidRPr="00B1140D">
        <w:t>two years of operation</w:t>
      </w:r>
      <w:r w:rsidR="00080DC3" w:rsidRPr="00B1140D">
        <w:t xml:space="preserve">. The system-wide review (the Review) </w:t>
      </w:r>
      <w:r w:rsidR="00675CDF" w:rsidRPr="00B1140D">
        <w:t xml:space="preserve">was envisaged in the AIFFP design </w:t>
      </w:r>
      <w:r w:rsidR="00597A2C" w:rsidRPr="00B1140D">
        <w:t xml:space="preserve">to </w:t>
      </w:r>
      <w:r w:rsidR="00675CDF" w:rsidRPr="00B1140D">
        <w:t>focu</w:t>
      </w:r>
      <w:r w:rsidR="00597A2C" w:rsidRPr="00B1140D">
        <w:t>s</w:t>
      </w:r>
      <w:r w:rsidR="00675CDF" w:rsidRPr="00B1140D">
        <w:t xml:space="preserve"> on the </w:t>
      </w:r>
      <w:r w:rsidR="009915FF" w:rsidRPr="00B1140D">
        <w:t xml:space="preserve">development </w:t>
      </w:r>
      <w:r w:rsidR="00675CDF" w:rsidRPr="00B1140D">
        <w:t xml:space="preserve">and </w:t>
      </w:r>
      <w:r w:rsidR="00DF17C8" w:rsidRPr="00B1140D">
        <w:t>establishment of the AIFFP</w:t>
      </w:r>
      <w:r w:rsidR="00675CDF" w:rsidRPr="00B1140D">
        <w:t xml:space="preserve">. </w:t>
      </w:r>
      <w:r w:rsidR="005A5056" w:rsidRPr="00B1140D">
        <w:t xml:space="preserve">DFAT commissioned Alinea International to undertake the Review, with the findings </w:t>
      </w:r>
      <w:r w:rsidR="009915FF" w:rsidRPr="00B1140D">
        <w:t xml:space="preserve">intended </w:t>
      </w:r>
      <w:r w:rsidR="005A5056" w:rsidRPr="00B1140D">
        <w:t xml:space="preserve">to inform </w:t>
      </w:r>
      <w:r w:rsidR="00B53ED0" w:rsidRPr="00B1140D">
        <w:t>future adjustments to the operation of the AIFFP</w:t>
      </w:r>
      <w:r w:rsidR="00F31A05" w:rsidRPr="00B1140D">
        <w:t xml:space="preserve"> ensur</w:t>
      </w:r>
      <w:r w:rsidR="00597A2C" w:rsidRPr="00B1140D">
        <w:t>ing</w:t>
      </w:r>
      <w:r w:rsidR="00F31A05" w:rsidRPr="00B1140D">
        <w:t xml:space="preserve"> it meets its core objectives.</w:t>
      </w:r>
      <w:r w:rsidR="00BA7192" w:rsidRPr="00B1140D">
        <w:t xml:space="preserve"> </w:t>
      </w:r>
    </w:p>
    <w:p w14:paraId="4FBEC4BF" w14:textId="648EC3DA" w:rsidR="00F31A05" w:rsidRPr="00B1140D" w:rsidRDefault="00F31A05" w:rsidP="00B1140D"/>
    <w:p w14:paraId="53FC74AF" w14:textId="6FE28972" w:rsidR="00F31A05" w:rsidRPr="00B1140D" w:rsidRDefault="00F31A05" w:rsidP="00B1140D">
      <w:r w:rsidRPr="00B1140D">
        <w:t xml:space="preserve">DFAT welcomes the </w:t>
      </w:r>
      <w:r w:rsidR="00873694" w:rsidRPr="00B1140D">
        <w:t>Review Report</w:t>
      </w:r>
      <w:r w:rsidR="005F0707" w:rsidRPr="00B1140D">
        <w:t xml:space="preserve">. We note the Review’s overall finding that the AIFFP </w:t>
      </w:r>
      <w:r w:rsidR="001C2510" w:rsidRPr="00B1140D">
        <w:t>ha</w:t>
      </w:r>
      <w:r w:rsidR="001C60F7" w:rsidRPr="00B1140D">
        <w:t xml:space="preserve">s made good progress </w:t>
      </w:r>
      <w:r w:rsidR="0030238D" w:rsidRPr="00B1140D">
        <w:t>compared to its peers</w:t>
      </w:r>
      <w:r w:rsidR="001C60F7" w:rsidRPr="00B1140D">
        <w:t xml:space="preserve"> to become the second largest </w:t>
      </w:r>
      <w:r w:rsidR="0030238D" w:rsidRPr="00B1140D">
        <w:t xml:space="preserve">infrastructure financier in the Pacific by both financing value and number of projects. Since its establishment, the </w:t>
      </w:r>
      <w:r w:rsidR="00940C77" w:rsidRPr="00B1140D">
        <w:t xml:space="preserve">AIFFP has finalised </w:t>
      </w:r>
      <w:r w:rsidR="00645D63" w:rsidRPr="00B1140D">
        <w:t xml:space="preserve">financing arrangements for </w:t>
      </w:r>
      <w:r w:rsidR="00940C77" w:rsidRPr="00B1140D">
        <w:t>10 capital</w:t>
      </w:r>
      <w:r w:rsidR="00091798" w:rsidRPr="00B1140D">
        <w:t xml:space="preserve"> works projects</w:t>
      </w:r>
      <w:r w:rsidR="00C74135" w:rsidRPr="00B1140D">
        <w:t xml:space="preserve"> worth </w:t>
      </w:r>
      <w:r w:rsidR="000B3EC5" w:rsidRPr="00B1140D">
        <w:t>over</w:t>
      </w:r>
      <w:r w:rsidR="00CA0EC2" w:rsidRPr="00B1140D">
        <w:t xml:space="preserve"> </w:t>
      </w:r>
      <w:r w:rsidR="004F1481" w:rsidRPr="00B1140D">
        <w:t>$1 billion</w:t>
      </w:r>
      <w:r w:rsidR="00CE6507" w:rsidRPr="00B1140D">
        <w:t>.</w:t>
      </w:r>
      <w:r w:rsidR="00C74135" w:rsidRPr="00B1140D">
        <w:t xml:space="preserve"> </w:t>
      </w:r>
      <w:r w:rsidR="00633349" w:rsidRPr="00B1140D">
        <w:t>We note the Review’s findings</w:t>
      </w:r>
      <w:r w:rsidR="00C74135" w:rsidRPr="00B1140D">
        <w:t xml:space="preserve"> that </w:t>
      </w:r>
      <w:r w:rsidR="005370A5" w:rsidRPr="00B1140D">
        <w:t xml:space="preserve">the </w:t>
      </w:r>
      <w:r w:rsidR="00C74135" w:rsidRPr="00B1140D">
        <w:t xml:space="preserve">AIFFP has made </w:t>
      </w:r>
      <w:r w:rsidR="00345122" w:rsidRPr="00B1140D">
        <w:t>‘</w:t>
      </w:r>
      <w:r w:rsidR="00C74135" w:rsidRPr="00B1140D">
        <w:t>considerable and impressive progress</w:t>
      </w:r>
      <w:r w:rsidR="00345122" w:rsidRPr="00B1140D">
        <w:t>’</w:t>
      </w:r>
      <w:r w:rsidR="00C74135" w:rsidRPr="00B1140D">
        <w:t xml:space="preserve"> to develop high quality systems to meet its needs. These systems include </w:t>
      </w:r>
      <w:r w:rsidR="0063776D" w:rsidRPr="00B1140D">
        <w:t>AIFFP’s</w:t>
      </w:r>
      <w:r w:rsidR="00C74135" w:rsidRPr="00B1140D">
        <w:t xml:space="preserve"> Standard Operating Procedures and its due diligence</w:t>
      </w:r>
      <w:r w:rsidR="00947092">
        <w:t>;</w:t>
      </w:r>
      <w:r w:rsidR="00C74135" w:rsidRPr="00B1140D">
        <w:t xml:space="preserve"> risk management</w:t>
      </w:r>
      <w:r w:rsidR="00947092">
        <w:t>;</w:t>
      </w:r>
      <w:r w:rsidR="00C74135" w:rsidRPr="00B1140D">
        <w:t xml:space="preserve"> monitoring, </w:t>
      </w:r>
      <w:proofErr w:type="gramStart"/>
      <w:r w:rsidR="00C74135" w:rsidRPr="00B1140D">
        <w:t>evaluation</w:t>
      </w:r>
      <w:proofErr w:type="gramEnd"/>
      <w:r w:rsidR="00C74135" w:rsidRPr="00B1140D">
        <w:t xml:space="preserve"> and learning</w:t>
      </w:r>
      <w:r w:rsidR="00947092">
        <w:t>;</w:t>
      </w:r>
      <w:r w:rsidR="00C74135" w:rsidRPr="00B1140D">
        <w:t xml:space="preserve"> and procurement systems</w:t>
      </w:r>
      <w:r w:rsidR="00B4101B" w:rsidRPr="00B1140D">
        <w:t>.</w:t>
      </w:r>
    </w:p>
    <w:p w14:paraId="3BBE7B39" w14:textId="77777777" w:rsidR="00C05995" w:rsidRPr="00B1140D" w:rsidRDefault="00C05995" w:rsidP="00B1140D"/>
    <w:p w14:paraId="283EA360" w14:textId="3C1A1062" w:rsidR="001F4B43" w:rsidRPr="00B1140D" w:rsidRDefault="209333A2" w:rsidP="00B1140D">
      <w:r>
        <w:t>DFAT accepts</w:t>
      </w:r>
      <w:r w:rsidR="4AF71036">
        <w:t>,</w:t>
      </w:r>
      <w:r>
        <w:t xml:space="preserve"> </w:t>
      </w:r>
      <w:r w:rsidR="218B083B">
        <w:t>or partially accepts</w:t>
      </w:r>
      <w:r w:rsidR="4AF71036">
        <w:t>,</w:t>
      </w:r>
      <w:r w:rsidR="218B083B">
        <w:t xml:space="preserve"> </w:t>
      </w:r>
      <w:r w:rsidR="4619880A">
        <w:t>seven</w:t>
      </w:r>
      <w:r w:rsidR="64468A67">
        <w:t xml:space="preserve"> out of </w:t>
      </w:r>
      <w:r w:rsidR="218B083B">
        <w:t xml:space="preserve">10 </w:t>
      </w:r>
      <w:r w:rsidR="64468A67">
        <w:t xml:space="preserve">of </w:t>
      </w:r>
      <w:r>
        <w:t xml:space="preserve">the recommendations </w:t>
      </w:r>
      <w:r w:rsidR="486EC456">
        <w:t>put forward in the Review Report</w:t>
      </w:r>
      <w:r w:rsidR="64468A67">
        <w:t xml:space="preserve"> and notes the remaining </w:t>
      </w:r>
      <w:r w:rsidR="5E38D93B">
        <w:t>t</w:t>
      </w:r>
      <w:r w:rsidR="475A5B81">
        <w:t>hree</w:t>
      </w:r>
      <w:r w:rsidR="486EC456">
        <w:t xml:space="preserve">. </w:t>
      </w:r>
      <w:r w:rsidR="499F747D">
        <w:t xml:space="preserve">The full Review recommendations </w:t>
      </w:r>
      <w:r w:rsidR="3690E4E5">
        <w:t xml:space="preserve">and </w:t>
      </w:r>
      <w:r w:rsidR="197DC559">
        <w:t xml:space="preserve">management </w:t>
      </w:r>
      <w:r w:rsidR="3690E4E5">
        <w:t xml:space="preserve">responses </w:t>
      </w:r>
      <w:r w:rsidR="499F747D">
        <w:t xml:space="preserve">are provided </w:t>
      </w:r>
      <w:r w:rsidR="62708E93">
        <w:t>in the table below</w:t>
      </w:r>
      <w:r w:rsidR="499F747D">
        <w:t xml:space="preserve">. </w:t>
      </w:r>
    </w:p>
    <w:p w14:paraId="778DB148" w14:textId="48C829E2" w:rsidR="001F4B43" w:rsidRPr="00F60FC8" w:rsidRDefault="001F4B43" w:rsidP="00B1140D">
      <w:pPr>
        <w:sectPr w:rsidR="001F4B43" w:rsidRPr="00F60FC8" w:rsidSect="007F3EA0">
          <w:headerReference w:type="default" r:id="rId8"/>
          <w:footerReference w:type="default" r:id="rId9"/>
          <w:pgSz w:w="11906" w:h="16838"/>
          <w:pgMar w:top="1304" w:right="1440" w:bottom="1191" w:left="1440" w:header="1814" w:footer="709" w:gutter="0"/>
          <w:cols w:space="708"/>
          <w:docGrid w:linePitch="360"/>
        </w:sectPr>
      </w:pPr>
    </w:p>
    <w:p w14:paraId="0DBBB16F" w14:textId="193D6DF1" w:rsidR="0090360C" w:rsidRPr="003828AB" w:rsidRDefault="0090360C" w:rsidP="003828AB">
      <w:pPr>
        <w:spacing w:after="120"/>
        <w:rPr>
          <w:b/>
          <w:bCs/>
        </w:rPr>
      </w:pPr>
      <w:r w:rsidRPr="0090360C">
        <w:rPr>
          <w:b/>
          <w:bCs/>
        </w:rPr>
        <w:lastRenderedPageBreak/>
        <w:t>Priority Recommendations</w:t>
      </w:r>
    </w:p>
    <w:tbl>
      <w:tblPr>
        <w:tblStyle w:val="GridTable5Dark-Accent3"/>
        <w:tblW w:w="14738" w:type="dxa"/>
        <w:tblLayout w:type="fixed"/>
        <w:tblCellMar>
          <w:top w:w="57" w:type="dxa"/>
          <w:left w:w="57" w:type="dxa"/>
          <w:bottom w:w="28" w:type="dxa"/>
          <w:right w:w="28" w:type="dxa"/>
        </w:tblCellMar>
        <w:tblLook w:val="04A0" w:firstRow="1" w:lastRow="0" w:firstColumn="1" w:lastColumn="0" w:noHBand="0" w:noVBand="1"/>
      </w:tblPr>
      <w:tblGrid>
        <w:gridCol w:w="2971"/>
        <w:gridCol w:w="1530"/>
        <w:gridCol w:w="3999"/>
        <w:gridCol w:w="4110"/>
        <w:gridCol w:w="2128"/>
      </w:tblGrid>
      <w:tr w:rsidR="0090360C" w:rsidRPr="009F563E" w14:paraId="610487FC" w14:textId="77777777" w:rsidTr="002B2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1" w:type="dxa"/>
            <w:shd w:val="clear" w:color="auto" w:fill="36424B"/>
            <w:vAlign w:val="bottom"/>
          </w:tcPr>
          <w:p w14:paraId="6A7B8023" w14:textId="77777777" w:rsidR="0090360C" w:rsidRPr="00B1140D" w:rsidRDefault="0090360C" w:rsidP="002B28F3">
            <w:pPr>
              <w:rPr>
                <w:color w:val="auto"/>
              </w:rPr>
            </w:pPr>
            <w:r w:rsidRPr="00B1140D">
              <w:t>Review Recommendations</w:t>
            </w:r>
          </w:p>
        </w:tc>
        <w:tc>
          <w:tcPr>
            <w:tcW w:w="1530" w:type="dxa"/>
            <w:shd w:val="clear" w:color="auto" w:fill="36424B"/>
            <w:vAlign w:val="bottom"/>
          </w:tcPr>
          <w:p w14:paraId="1EEFA84B" w14:textId="77777777" w:rsidR="0090360C" w:rsidRPr="006B4A0C" w:rsidRDefault="0090360C" w:rsidP="002B28F3">
            <w:pPr>
              <w:cnfStyle w:val="100000000000" w:firstRow="1" w:lastRow="0" w:firstColumn="0" w:lastColumn="0" w:oddVBand="0" w:evenVBand="0" w:oddHBand="0" w:evenHBand="0" w:firstRowFirstColumn="0" w:firstRowLastColumn="0" w:lastRowFirstColumn="0" w:lastRowLastColumn="0"/>
            </w:pPr>
            <w:r w:rsidRPr="006B4A0C">
              <w:rPr>
                <w:lang w:val="en-GB"/>
              </w:rPr>
              <w:t>Response</w:t>
            </w:r>
          </w:p>
        </w:tc>
        <w:tc>
          <w:tcPr>
            <w:tcW w:w="3999" w:type="dxa"/>
            <w:shd w:val="clear" w:color="auto" w:fill="36424B"/>
            <w:vAlign w:val="bottom"/>
          </w:tcPr>
          <w:p w14:paraId="6B17F619" w14:textId="77777777" w:rsidR="0090360C" w:rsidRPr="006B4A0C" w:rsidRDefault="0090360C" w:rsidP="002B28F3">
            <w:pPr>
              <w:cnfStyle w:val="100000000000" w:firstRow="1" w:lastRow="0" w:firstColumn="0" w:lastColumn="0" w:oddVBand="0" w:evenVBand="0" w:oddHBand="0" w:evenHBand="0" w:firstRowFirstColumn="0" w:firstRowLastColumn="0" w:lastRowFirstColumn="0" w:lastRowLastColumn="0"/>
            </w:pPr>
            <w:r w:rsidRPr="006B4A0C">
              <w:t>Explanation</w:t>
            </w:r>
          </w:p>
        </w:tc>
        <w:tc>
          <w:tcPr>
            <w:tcW w:w="4110" w:type="dxa"/>
            <w:shd w:val="clear" w:color="auto" w:fill="36424B"/>
            <w:vAlign w:val="bottom"/>
          </w:tcPr>
          <w:p w14:paraId="11490769" w14:textId="77777777" w:rsidR="0090360C" w:rsidRPr="006B4A0C" w:rsidRDefault="0090360C" w:rsidP="002B28F3">
            <w:pPr>
              <w:cnfStyle w:val="100000000000" w:firstRow="1" w:lastRow="0" w:firstColumn="0" w:lastColumn="0" w:oddVBand="0" w:evenVBand="0" w:oddHBand="0" w:evenHBand="0" w:firstRowFirstColumn="0" w:firstRowLastColumn="0" w:lastRowFirstColumn="0" w:lastRowLastColumn="0"/>
            </w:pPr>
            <w:r w:rsidRPr="006B4A0C">
              <w:t>Action Plan</w:t>
            </w:r>
          </w:p>
        </w:tc>
        <w:tc>
          <w:tcPr>
            <w:tcW w:w="2128" w:type="dxa"/>
            <w:shd w:val="clear" w:color="auto" w:fill="36424B"/>
            <w:vAlign w:val="bottom"/>
          </w:tcPr>
          <w:p w14:paraId="39ADF108" w14:textId="77777777" w:rsidR="0090360C" w:rsidRPr="006B4A0C" w:rsidRDefault="0090360C" w:rsidP="002B28F3">
            <w:pPr>
              <w:cnfStyle w:val="100000000000" w:firstRow="1" w:lastRow="0" w:firstColumn="0" w:lastColumn="0" w:oddVBand="0" w:evenVBand="0" w:oddHBand="0" w:evenHBand="0" w:firstRowFirstColumn="0" w:firstRowLastColumn="0" w:lastRowFirstColumn="0" w:lastRowLastColumn="0"/>
            </w:pPr>
            <w:r>
              <w:t>Indicative Timeline</w:t>
            </w:r>
          </w:p>
        </w:tc>
      </w:tr>
      <w:tr w:rsidR="0090360C" w:rsidRPr="009F563E" w14:paraId="60A77FDD" w14:textId="77777777" w:rsidTr="002B28F3">
        <w:trPr>
          <w:cnfStyle w:val="000000100000" w:firstRow="0" w:lastRow="0" w:firstColumn="0" w:lastColumn="0" w:oddVBand="0" w:evenVBand="0" w:oddHBand="1" w:evenHBand="0" w:firstRowFirstColumn="0" w:firstRowLastColumn="0" w:lastRowFirstColumn="0" w:lastRowLastColumn="0"/>
          <w:trHeight w:val="2488"/>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72283446" w14:textId="77777777" w:rsidR="0090360C" w:rsidRPr="0018742E" w:rsidRDefault="0090360C" w:rsidP="002B28F3">
            <w:pPr>
              <w:pStyle w:val="ListParagraph"/>
              <w:numPr>
                <w:ilvl w:val="0"/>
                <w:numId w:val="2"/>
              </w:numPr>
              <w:rPr>
                <w:b w:val="0"/>
                <w:bCs w:val="0"/>
                <w:color w:val="auto"/>
              </w:rPr>
            </w:pPr>
            <w:r w:rsidRPr="0018742E">
              <w:rPr>
                <w:b w:val="0"/>
                <w:bCs w:val="0"/>
                <w:color w:val="auto"/>
              </w:rPr>
              <w:t>Additional staff resources to support AIFFP operations should be sought. For any additional staff resources acquired, consideration should be given to prioritising these to implementation oversight and safeguards.</w:t>
            </w:r>
          </w:p>
        </w:tc>
        <w:tc>
          <w:tcPr>
            <w:tcW w:w="1530" w:type="dxa"/>
            <w:shd w:val="clear" w:color="auto" w:fill="A8D08D" w:themeFill="accent6" w:themeFillTint="99"/>
          </w:tcPr>
          <w:p w14:paraId="0B6A4A2F" w14:textId="77777777" w:rsidR="0090360C" w:rsidRPr="009F563E" w:rsidRDefault="0090360C" w:rsidP="002B28F3">
            <w:pPr>
              <w:cnfStyle w:val="000000100000" w:firstRow="0" w:lastRow="0" w:firstColumn="0" w:lastColumn="0" w:oddVBand="0" w:evenVBand="0" w:oddHBand="1" w:evenHBand="0" w:firstRowFirstColumn="0" w:firstRowLastColumn="0" w:lastRowFirstColumn="0" w:lastRowLastColumn="0"/>
            </w:pPr>
            <w:r w:rsidRPr="009F563E">
              <w:t>Agree</w:t>
            </w:r>
          </w:p>
        </w:tc>
        <w:tc>
          <w:tcPr>
            <w:tcW w:w="3999" w:type="dxa"/>
          </w:tcPr>
          <w:p w14:paraId="07AC9E28" w14:textId="77777777" w:rsidR="0090360C" w:rsidRPr="009F563E" w:rsidRDefault="0090360C" w:rsidP="002B28F3">
            <w:pPr>
              <w:cnfStyle w:val="000000100000" w:firstRow="0" w:lastRow="0" w:firstColumn="0" w:lastColumn="0" w:oddVBand="0" w:evenVBand="0" w:oddHBand="1" w:evenHBand="0" w:firstRowFirstColumn="0" w:firstRowLastColumn="0" w:lastRowFirstColumn="0" w:lastRowLastColumn="0"/>
            </w:pPr>
            <w:r w:rsidRPr="009F563E">
              <w:t xml:space="preserve">As the AIFFP transitions from establishment to implementation, additional resources are required across the facility, with a particular focus on program management and risk capability. </w:t>
            </w:r>
          </w:p>
        </w:tc>
        <w:tc>
          <w:tcPr>
            <w:tcW w:w="4110" w:type="dxa"/>
          </w:tcPr>
          <w:p w14:paraId="043C1709" w14:textId="77777777" w:rsidR="0090360C" w:rsidRPr="009F563E" w:rsidRDefault="0090360C" w:rsidP="002B28F3">
            <w:pPr>
              <w:cnfStyle w:val="000000100000" w:firstRow="0" w:lastRow="0" w:firstColumn="0" w:lastColumn="0" w:oddVBand="0" w:evenVBand="0" w:oddHBand="1" w:evenHBand="0" w:firstRowFirstColumn="0" w:firstRowLastColumn="0" w:lastRowFirstColumn="0" w:lastRowLastColumn="0"/>
            </w:pPr>
            <w:r w:rsidRPr="009F563E">
              <w:t>Workforce planning and recruitment is underway, with additional safeguards specialists joining the AIFFP in July 2022. Additional funds were provided in the Government’s October 2022 Budget to strengthen the AIFFP’s project management and risk capability</w:t>
            </w:r>
            <w:r>
              <w:t>,</w:t>
            </w:r>
            <w:r w:rsidRPr="009F563E">
              <w:t xml:space="preserve"> reflecting that construction and procurement has started across nine countries.</w:t>
            </w:r>
          </w:p>
        </w:tc>
        <w:tc>
          <w:tcPr>
            <w:tcW w:w="2128" w:type="dxa"/>
          </w:tcPr>
          <w:p w14:paraId="104C7815" w14:textId="77777777" w:rsidR="0090360C" w:rsidRPr="009F563E" w:rsidRDefault="0090360C" w:rsidP="002B28F3">
            <w:pPr>
              <w:cnfStyle w:val="000000100000" w:firstRow="0" w:lastRow="0" w:firstColumn="0" w:lastColumn="0" w:oddVBand="0" w:evenVBand="0" w:oddHBand="1" w:evenHBand="0" w:firstRowFirstColumn="0" w:firstRowLastColumn="0" w:lastRowFirstColumn="0" w:lastRowLastColumn="0"/>
            </w:pPr>
            <w:r w:rsidRPr="009F563E">
              <w:t>Ongoing</w:t>
            </w:r>
          </w:p>
        </w:tc>
      </w:tr>
      <w:tr w:rsidR="0090360C" w:rsidRPr="009F563E" w14:paraId="2611E250" w14:textId="77777777" w:rsidTr="002B28F3">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14E13102" w14:textId="77777777" w:rsidR="0090360C" w:rsidRPr="0018742E" w:rsidRDefault="0090360C" w:rsidP="002B28F3">
            <w:pPr>
              <w:pStyle w:val="ListParagraph"/>
              <w:numPr>
                <w:ilvl w:val="0"/>
                <w:numId w:val="2"/>
              </w:numPr>
              <w:rPr>
                <w:b w:val="0"/>
                <w:bCs w:val="0"/>
                <w:color w:val="auto"/>
              </w:rPr>
            </w:pPr>
            <w:r w:rsidRPr="0018742E">
              <w:rPr>
                <w:b w:val="0"/>
                <w:bCs w:val="0"/>
                <w:color w:val="auto"/>
              </w:rPr>
              <w:t>The AIFFP should experiment with the placement of staff in-country to determine if this should become a priority.</w:t>
            </w:r>
          </w:p>
        </w:tc>
        <w:tc>
          <w:tcPr>
            <w:tcW w:w="1530" w:type="dxa"/>
            <w:shd w:val="clear" w:color="auto" w:fill="A8D08D" w:themeFill="accent6" w:themeFillTint="99"/>
          </w:tcPr>
          <w:p w14:paraId="1E21C689"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Agree</w:t>
            </w:r>
          </w:p>
        </w:tc>
        <w:tc>
          <w:tcPr>
            <w:tcW w:w="3999" w:type="dxa"/>
          </w:tcPr>
          <w:p w14:paraId="10CA4113"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 xml:space="preserve">The AIFFP operates across the Pacific and in Timor-Leste.  Investments are developed at the request of, and in close collaboration with, partner governments and the private sector in these countries.  While DFAT has an existing overseas network, the AIFFP’s investments would benefit from dedicated resources overseas, especially during implementation.      </w:t>
            </w:r>
          </w:p>
        </w:tc>
        <w:tc>
          <w:tcPr>
            <w:tcW w:w="4110" w:type="dxa"/>
          </w:tcPr>
          <w:p w14:paraId="3A2F3E6F"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 xml:space="preserve">The AIFFP has established two long-term positions in Port-Moresby to support key investments and deployed staff on short-term-missions to Fiji, the Solomon Islands and Timor-Leste. The AIFFP’s workforce plan will consider, with the agreement of partner governments, additional long-term resources in key countries. </w:t>
            </w:r>
          </w:p>
        </w:tc>
        <w:tc>
          <w:tcPr>
            <w:tcW w:w="2128" w:type="dxa"/>
          </w:tcPr>
          <w:p w14:paraId="417AFB92"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Q2, 2022 onwards</w:t>
            </w:r>
          </w:p>
        </w:tc>
      </w:tr>
      <w:tr w:rsidR="0090360C" w:rsidRPr="00694003" w14:paraId="304EDF9F" w14:textId="77777777" w:rsidTr="002B2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1723DB7A" w14:textId="77777777" w:rsidR="0090360C" w:rsidRPr="0018742E" w:rsidRDefault="0090360C" w:rsidP="002B28F3">
            <w:pPr>
              <w:pStyle w:val="ListParagraph"/>
              <w:numPr>
                <w:ilvl w:val="0"/>
                <w:numId w:val="2"/>
              </w:numPr>
              <w:rPr>
                <w:b w:val="0"/>
                <w:bCs w:val="0"/>
                <w:color w:val="auto"/>
              </w:rPr>
            </w:pPr>
            <w:r w:rsidRPr="0018742E">
              <w:rPr>
                <w:b w:val="0"/>
                <w:bCs w:val="0"/>
                <w:color w:val="auto"/>
              </w:rPr>
              <w:t xml:space="preserve">The AIFFP should propose to the Australian Government options to improve the </w:t>
            </w:r>
            <w:r w:rsidRPr="0018742E">
              <w:rPr>
                <w:b w:val="0"/>
                <w:bCs w:val="0"/>
                <w:color w:val="auto"/>
              </w:rPr>
              <w:lastRenderedPageBreak/>
              <w:t>competitiveness of the AIFFP’s loans, with a particular focus on the headline interest rate and the ease of borrowing for partners.</w:t>
            </w:r>
          </w:p>
        </w:tc>
        <w:tc>
          <w:tcPr>
            <w:tcW w:w="1530" w:type="dxa"/>
            <w:shd w:val="clear" w:color="auto" w:fill="D9E2F3" w:themeFill="accent1" w:themeFillTint="33"/>
          </w:tcPr>
          <w:p w14:paraId="55A78493" w14:textId="77777777" w:rsidR="0090360C" w:rsidRPr="00694003" w:rsidRDefault="0090360C" w:rsidP="002B28F3">
            <w:pPr>
              <w:cnfStyle w:val="000000100000" w:firstRow="0" w:lastRow="0" w:firstColumn="0" w:lastColumn="0" w:oddVBand="0" w:evenVBand="0" w:oddHBand="1" w:evenHBand="0" w:firstRowFirstColumn="0" w:firstRowLastColumn="0" w:lastRowFirstColumn="0" w:lastRowLastColumn="0"/>
            </w:pPr>
            <w:r w:rsidRPr="00694003">
              <w:lastRenderedPageBreak/>
              <w:t>Noted</w:t>
            </w:r>
          </w:p>
        </w:tc>
        <w:tc>
          <w:tcPr>
            <w:tcW w:w="3999" w:type="dxa"/>
          </w:tcPr>
          <w:p w14:paraId="1695F085" w14:textId="77777777" w:rsidR="0090360C" w:rsidRPr="00694003" w:rsidRDefault="0090360C" w:rsidP="002B28F3">
            <w:pPr>
              <w:cnfStyle w:val="000000100000" w:firstRow="0" w:lastRow="0" w:firstColumn="0" w:lastColumn="0" w:oddVBand="0" w:evenVBand="0" w:oddHBand="1" w:evenHBand="0" w:firstRowFirstColumn="0" w:firstRowLastColumn="0" w:lastRowFirstColumn="0" w:lastRowLastColumn="0"/>
            </w:pPr>
            <w:r w:rsidRPr="00694003">
              <w:t xml:space="preserve">AIFFP’s loan pricing policy in force during the review period required each AIFFP loan to cover EFA’s costs of funding and administering the loan. As </w:t>
            </w:r>
            <w:r w:rsidRPr="00694003">
              <w:lastRenderedPageBreak/>
              <w:t>global interest rates and therefore funding costs rise, this will impact AIFFP’s ability to remain competitive. In addition, the AIFFP is required to follow EFA’s lending procedures which mirror commercial lenders rather than standard sovereign lenders. This adds complexity in legal agreements and implementation of social and environmental safeguards.</w:t>
            </w:r>
          </w:p>
        </w:tc>
        <w:tc>
          <w:tcPr>
            <w:tcW w:w="4110" w:type="dxa"/>
          </w:tcPr>
          <w:p w14:paraId="1138CE20" w14:textId="77777777" w:rsidR="0090360C" w:rsidRPr="00694003" w:rsidRDefault="0090360C" w:rsidP="002B28F3">
            <w:pPr>
              <w:cnfStyle w:val="000000100000" w:firstRow="0" w:lastRow="0" w:firstColumn="0" w:lastColumn="0" w:oddVBand="0" w:evenVBand="0" w:oddHBand="1" w:evenHBand="0" w:firstRowFirstColumn="0" w:firstRowLastColumn="0" w:lastRowFirstColumn="0" w:lastRowLastColumn="0"/>
            </w:pPr>
            <w:r w:rsidRPr="00694003">
              <w:lastRenderedPageBreak/>
              <w:t xml:space="preserve">The AIFFP’s loan pricing policies and the terms and conditions of each loan are determined by the Government and take account of budget impact. DFAT will </w:t>
            </w:r>
            <w:r w:rsidRPr="00694003">
              <w:lastRenderedPageBreak/>
              <w:t xml:space="preserve">consider options to ensure the AIFFP’s lending remains competitive. The AIFFP will also work with EFA to streamline the administration and implementation of its loans to reduce complexity for borrowers, while ensuring international best practice standards continue to be met. </w:t>
            </w:r>
          </w:p>
        </w:tc>
        <w:tc>
          <w:tcPr>
            <w:tcW w:w="2128" w:type="dxa"/>
          </w:tcPr>
          <w:p w14:paraId="4B4850C1" w14:textId="77777777" w:rsidR="0090360C" w:rsidRPr="00694003" w:rsidRDefault="0090360C" w:rsidP="002B28F3">
            <w:pPr>
              <w:cnfStyle w:val="000000100000" w:firstRow="0" w:lastRow="0" w:firstColumn="0" w:lastColumn="0" w:oddVBand="0" w:evenVBand="0" w:oddHBand="1" w:evenHBand="0" w:firstRowFirstColumn="0" w:firstRowLastColumn="0" w:lastRowFirstColumn="0" w:lastRowLastColumn="0"/>
            </w:pPr>
            <w:r w:rsidRPr="00694003">
              <w:lastRenderedPageBreak/>
              <w:t>Ongoing</w:t>
            </w:r>
          </w:p>
        </w:tc>
      </w:tr>
      <w:tr w:rsidR="0090360C" w:rsidRPr="009F563E" w14:paraId="7CDB6AE3" w14:textId="77777777" w:rsidTr="002B28F3">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5CE592A1" w14:textId="77777777" w:rsidR="0090360C" w:rsidRPr="0018742E" w:rsidRDefault="0090360C" w:rsidP="002B28F3">
            <w:pPr>
              <w:pStyle w:val="ListParagraph"/>
              <w:numPr>
                <w:ilvl w:val="0"/>
                <w:numId w:val="2"/>
              </w:numPr>
              <w:rPr>
                <w:b w:val="0"/>
                <w:bCs w:val="0"/>
                <w:color w:val="auto"/>
              </w:rPr>
            </w:pPr>
            <w:r w:rsidRPr="0018742E">
              <w:rPr>
                <w:b w:val="0"/>
                <w:bCs w:val="0"/>
                <w:color w:val="auto"/>
              </w:rPr>
              <w:t>For the longer term, the AIFFP could explore the Australian Government’s appetite for operating models which may increase the AIFFP’s efficiency.</w:t>
            </w:r>
          </w:p>
        </w:tc>
        <w:tc>
          <w:tcPr>
            <w:tcW w:w="1530" w:type="dxa"/>
            <w:shd w:val="clear" w:color="auto" w:fill="D9E2F3" w:themeFill="accent1" w:themeFillTint="33"/>
          </w:tcPr>
          <w:p w14:paraId="6E370958"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Noted</w:t>
            </w:r>
          </w:p>
        </w:tc>
        <w:tc>
          <w:tcPr>
            <w:tcW w:w="3999" w:type="dxa"/>
          </w:tcPr>
          <w:p w14:paraId="506E7386"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 xml:space="preserve">The current model enabled a rapid start-up of the </w:t>
            </w:r>
            <w:proofErr w:type="gramStart"/>
            <w:r w:rsidRPr="009F563E">
              <w:t>AIFFP,</w:t>
            </w:r>
            <w:proofErr w:type="gramEnd"/>
            <w:r w:rsidRPr="009F563E">
              <w:t xml:space="preserve"> however it creates operational challenges that will need to be addressed to increase efficiency in the longer term. </w:t>
            </w:r>
          </w:p>
        </w:tc>
        <w:tc>
          <w:tcPr>
            <w:tcW w:w="4110" w:type="dxa"/>
          </w:tcPr>
          <w:p w14:paraId="3852AD94"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 xml:space="preserve">DFAT will continue to assess the appropriateness of AIFFP’s operating model to provide long-term effectiveness.  </w:t>
            </w:r>
          </w:p>
        </w:tc>
        <w:tc>
          <w:tcPr>
            <w:tcW w:w="2128" w:type="dxa"/>
          </w:tcPr>
          <w:p w14:paraId="56D9CEB2"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Ongoing</w:t>
            </w:r>
          </w:p>
        </w:tc>
      </w:tr>
    </w:tbl>
    <w:p w14:paraId="361CB79E" w14:textId="77777777" w:rsidR="0090360C" w:rsidRDefault="0090360C"/>
    <w:p w14:paraId="2883FC87" w14:textId="77777777" w:rsidR="0090360C" w:rsidRDefault="0090360C"/>
    <w:p w14:paraId="338C34AD" w14:textId="77777777" w:rsidR="00032C40" w:rsidRDefault="00032C40">
      <w:pPr>
        <w:spacing w:after="160" w:line="259" w:lineRule="auto"/>
        <w:textAlignment w:val="auto"/>
        <w:rPr>
          <w:b/>
          <w:bCs/>
        </w:rPr>
      </w:pPr>
      <w:r>
        <w:rPr>
          <w:b/>
          <w:bCs/>
        </w:rPr>
        <w:br w:type="page"/>
      </w:r>
    </w:p>
    <w:p w14:paraId="631DACA8" w14:textId="45E6920E" w:rsidR="0090360C" w:rsidRPr="0090360C" w:rsidRDefault="0090360C" w:rsidP="003828AB">
      <w:pPr>
        <w:spacing w:after="120"/>
        <w:rPr>
          <w:b/>
          <w:bCs/>
        </w:rPr>
      </w:pPr>
      <w:r w:rsidRPr="0090360C">
        <w:rPr>
          <w:b/>
          <w:bCs/>
        </w:rPr>
        <w:lastRenderedPageBreak/>
        <w:t>Other Recommendations</w:t>
      </w:r>
    </w:p>
    <w:tbl>
      <w:tblPr>
        <w:tblStyle w:val="GridTable5Dark-Accent3"/>
        <w:tblW w:w="14738" w:type="dxa"/>
        <w:tblLayout w:type="fixed"/>
        <w:tblCellMar>
          <w:top w:w="57" w:type="dxa"/>
          <w:left w:w="57" w:type="dxa"/>
          <w:bottom w:w="28" w:type="dxa"/>
          <w:right w:w="28" w:type="dxa"/>
        </w:tblCellMar>
        <w:tblLook w:val="04A0" w:firstRow="1" w:lastRow="0" w:firstColumn="1" w:lastColumn="0" w:noHBand="0" w:noVBand="1"/>
      </w:tblPr>
      <w:tblGrid>
        <w:gridCol w:w="2971"/>
        <w:gridCol w:w="1530"/>
        <w:gridCol w:w="3999"/>
        <w:gridCol w:w="4110"/>
        <w:gridCol w:w="2128"/>
      </w:tblGrid>
      <w:tr w:rsidR="00032C40" w:rsidRPr="009F563E" w14:paraId="1B93433D" w14:textId="77777777" w:rsidTr="002B2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1" w:type="dxa"/>
            <w:shd w:val="clear" w:color="auto" w:fill="36424B"/>
            <w:vAlign w:val="bottom"/>
          </w:tcPr>
          <w:p w14:paraId="7B7A41EC" w14:textId="77777777" w:rsidR="00032C40" w:rsidRPr="00B1140D" w:rsidRDefault="00032C40" w:rsidP="002B28F3">
            <w:pPr>
              <w:rPr>
                <w:color w:val="auto"/>
              </w:rPr>
            </w:pPr>
            <w:r w:rsidRPr="00B1140D">
              <w:t>Review Recommendations</w:t>
            </w:r>
          </w:p>
        </w:tc>
        <w:tc>
          <w:tcPr>
            <w:tcW w:w="1530" w:type="dxa"/>
            <w:shd w:val="clear" w:color="auto" w:fill="36424B"/>
            <w:vAlign w:val="bottom"/>
          </w:tcPr>
          <w:p w14:paraId="1C40049B" w14:textId="77777777" w:rsidR="00032C40" w:rsidRPr="006B4A0C" w:rsidRDefault="00032C40" w:rsidP="002B28F3">
            <w:pPr>
              <w:cnfStyle w:val="100000000000" w:firstRow="1" w:lastRow="0" w:firstColumn="0" w:lastColumn="0" w:oddVBand="0" w:evenVBand="0" w:oddHBand="0" w:evenHBand="0" w:firstRowFirstColumn="0" w:firstRowLastColumn="0" w:lastRowFirstColumn="0" w:lastRowLastColumn="0"/>
            </w:pPr>
            <w:r w:rsidRPr="006B4A0C">
              <w:rPr>
                <w:lang w:val="en-GB"/>
              </w:rPr>
              <w:t>Response</w:t>
            </w:r>
          </w:p>
        </w:tc>
        <w:tc>
          <w:tcPr>
            <w:tcW w:w="3999" w:type="dxa"/>
            <w:shd w:val="clear" w:color="auto" w:fill="36424B"/>
            <w:vAlign w:val="bottom"/>
          </w:tcPr>
          <w:p w14:paraId="5EFD6A2D" w14:textId="77777777" w:rsidR="00032C40" w:rsidRPr="006B4A0C" w:rsidRDefault="00032C40" w:rsidP="002B28F3">
            <w:pPr>
              <w:cnfStyle w:val="100000000000" w:firstRow="1" w:lastRow="0" w:firstColumn="0" w:lastColumn="0" w:oddVBand="0" w:evenVBand="0" w:oddHBand="0" w:evenHBand="0" w:firstRowFirstColumn="0" w:firstRowLastColumn="0" w:lastRowFirstColumn="0" w:lastRowLastColumn="0"/>
            </w:pPr>
            <w:r w:rsidRPr="006B4A0C">
              <w:t>Explanation</w:t>
            </w:r>
          </w:p>
        </w:tc>
        <w:tc>
          <w:tcPr>
            <w:tcW w:w="4110" w:type="dxa"/>
            <w:shd w:val="clear" w:color="auto" w:fill="36424B"/>
            <w:vAlign w:val="bottom"/>
          </w:tcPr>
          <w:p w14:paraId="3ADF1F35" w14:textId="77777777" w:rsidR="00032C40" w:rsidRPr="006B4A0C" w:rsidRDefault="00032C40" w:rsidP="002B28F3">
            <w:pPr>
              <w:cnfStyle w:val="100000000000" w:firstRow="1" w:lastRow="0" w:firstColumn="0" w:lastColumn="0" w:oddVBand="0" w:evenVBand="0" w:oddHBand="0" w:evenHBand="0" w:firstRowFirstColumn="0" w:firstRowLastColumn="0" w:lastRowFirstColumn="0" w:lastRowLastColumn="0"/>
            </w:pPr>
            <w:r w:rsidRPr="006B4A0C">
              <w:t>Action Plan</w:t>
            </w:r>
          </w:p>
        </w:tc>
        <w:tc>
          <w:tcPr>
            <w:tcW w:w="2128" w:type="dxa"/>
            <w:shd w:val="clear" w:color="auto" w:fill="36424B"/>
            <w:vAlign w:val="bottom"/>
          </w:tcPr>
          <w:p w14:paraId="1CBD0C72" w14:textId="77777777" w:rsidR="00032C40" w:rsidRPr="006B4A0C" w:rsidRDefault="00032C40" w:rsidP="002B28F3">
            <w:pPr>
              <w:cnfStyle w:val="100000000000" w:firstRow="1" w:lastRow="0" w:firstColumn="0" w:lastColumn="0" w:oddVBand="0" w:evenVBand="0" w:oddHBand="0" w:evenHBand="0" w:firstRowFirstColumn="0" w:firstRowLastColumn="0" w:lastRowFirstColumn="0" w:lastRowLastColumn="0"/>
            </w:pPr>
            <w:r>
              <w:t>Indicative Timeline</w:t>
            </w:r>
          </w:p>
        </w:tc>
      </w:tr>
      <w:tr w:rsidR="00597A2C" w:rsidRPr="009F563E" w14:paraId="6801F466" w14:textId="77777777" w:rsidTr="00652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0137E905" w14:textId="77777777" w:rsidR="004F152D" w:rsidRPr="0018742E" w:rsidRDefault="004F152D" w:rsidP="00B1140D">
            <w:pPr>
              <w:pStyle w:val="ListParagraph"/>
              <w:numPr>
                <w:ilvl w:val="0"/>
                <w:numId w:val="2"/>
              </w:numPr>
              <w:rPr>
                <w:b w:val="0"/>
                <w:bCs w:val="0"/>
                <w:color w:val="auto"/>
              </w:rPr>
            </w:pPr>
            <w:r w:rsidRPr="0018742E">
              <w:rPr>
                <w:b w:val="0"/>
                <w:bCs w:val="0"/>
                <w:color w:val="auto"/>
              </w:rPr>
              <w:t>The AIFFP should consider how appropriate policy and regulatory environments, and provisions for longer-term maintenance, can be supported in partner countries to ensure the AIFFP can achieve its long-term objectives.</w:t>
            </w:r>
          </w:p>
          <w:p w14:paraId="66773111" w14:textId="0902DB82" w:rsidR="008B3FA1" w:rsidRPr="0018742E" w:rsidRDefault="008B3FA1" w:rsidP="00B1140D">
            <w:pPr>
              <w:pStyle w:val="ListParagraph"/>
              <w:rPr>
                <w:b w:val="0"/>
                <w:bCs w:val="0"/>
                <w:color w:val="auto"/>
              </w:rPr>
            </w:pPr>
          </w:p>
        </w:tc>
        <w:tc>
          <w:tcPr>
            <w:tcW w:w="1530" w:type="dxa"/>
            <w:shd w:val="clear" w:color="auto" w:fill="A8D08D" w:themeFill="accent6" w:themeFillTint="99"/>
          </w:tcPr>
          <w:p w14:paraId="05A257A9" w14:textId="4B1564B0" w:rsidR="00AE3775" w:rsidRPr="0090360C" w:rsidRDefault="00525F79" w:rsidP="00B1140D">
            <w:pPr>
              <w:cnfStyle w:val="000000100000" w:firstRow="0" w:lastRow="0" w:firstColumn="0" w:lastColumn="0" w:oddVBand="0" w:evenVBand="0" w:oddHBand="1" w:evenHBand="0" w:firstRowFirstColumn="0" w:firstRowLastColumn="0" w:lastRowFirstColumn="0" w:lastRowLastColumn="0"/>
              <w:rPr>
                <w:b/>
                <w:bCs/>
              </w:rPr>
            </w:pPr>
            <w:r w:rsidRPr="0090360C">
              <w:t>Agree</w:t>
            </w:r>
          </w:p>
        </w:tc>
        <w:tc>
          <w:tcPr>
            <w:tcW w:w="3999" w:type="dxa"/>
            <w:shd w:val="clear" w:color="auto" w:fill="EDEDED" w:themeFill="accent3" w:themeFillTint="33"/>
          </w:tcPr>
          <w:p w14:paraId="400992E3" w14:textId="29CB6315" w:rsidR="00AE3775" w:rsidRPr="0090360C" w:rsidRDefault="00BE4D89" w:rsidP="00B1140D">
            <w:pPr>
              <w:cnfStyle w:val="000000100000" w:firstRow="0" w:lastRow="0" w:firstColumn="0" w:lastColumn="0" w:oddVBand="0" w:evenVBand="0" w:oddHBand="1" w:evenHBand="0" w:firstRowFirstColumn="0" w:firstRowLastColumn="0" w:lastRowFirstColumn="0" w:lastRowLastColumn="0"/>
              <w:rPr>
                <w:b/>
                <w:bCs/>
              </w:rPr>
            </w:pPr>
            <w:r w:rsidRPr="0090360C">
              <w:t xml:space="preserve">The AIFFP works closely with </w:t>
            </w:r>
            <w:r w:rsidR="004F6C7A" w:rsidRPr="0090360C">
              <w:t>borrowers</w:t>
            </w:r>
            <w:r w:rsidRPr="0090360C">
              <w:t xml:space="preserve"> to ensure</w:t>
            </w:r>
            <w:r w:rsidR="00F64298" w:rsidRPr="0090360C">
              <w:t xml:space="preserve"> investments </w:t>
            </w:r>
            <w:r w:rsidR="004F6C7A" w:rsidRPr="0090360C">
              <w:t xml:space="preserve">lead to </w:t>
            </w:r>
            <w:r w:rsidR="00812249" w:rsidRPr="0090360C">
              <w:t xml:space="preserve">quality </w:t>
            </w:r>
            <w:r w:rsidR="004F6C7A" w:rsidRPr="0090360C">
              <w:t xml:space="preserve">infrastructure </w:t>
            </w:r>
            <w:r w:rsidR="00812249" w:rsidRPr="0090360C">
              <w:t xml:space="preserve">assets </w:t>
            </w:r>
            <w:r w:rsidR="00611C23" w:rsidRPr="0090360C">
              <w:t>that</w:t>
            </w:r>
            <w:r w:rsidR="004F6C7A" w:rsidRPr="0090360C">
              <w:t xml:space="preserve"> meet real needs in the Pacific and Timor-Leste. AIFFP finance is</w:t>
            </w:r>
            <w:r w:rsidR="00611C23" w:rsidRPr="0090360C">
              <w:t xml:space="preserve"> delivered</w:t>
            </w:r>
            <w:r w:rsidR="004F6C7A" w:rsidRPr="0090360C">
              <w:t xml:space="preserve"> consistent</w:t>
            </w:r>
            <w:r w:rsidR="00611C23" w:rsidRPr="0090360C">
              <w:t xml:space="preserve"> with </w:t>
            </w:r>
            <w:r w:rsidR="00326A70" w:rsidRPr="0090360C">
              <w:t>guiding principles of</w:t>
            </w:r>
            <w:r w:rsidR="00611C23" w:rsidRPr="0090360C">
              <w:t xml:space="preserve"> </w:t>
            </w:r>
            <w:r w:rsidR="004F6C7A" w:rsidRPr="0090360C">
              <w:t xml:space="preserve">maximisation of </w:t>
            </w:r>
            <w:r w:rsidR="00611C23" w:rsidRPr="0090360C">
              <w:t>local</w:t>
            </w:r>
            <w:r w:rsidR="004F6C7A" w:rsidRPr="0090360C">
              <w:t xml:space="preserve"> Pacific</w:t>
            </w:r>
            <w:r w:rsidR="00611C23" w:rsidRPr="0090360C">
              <w:t xml:space="preserve"> content</w:t>
            </w:r>
            <w:r w:rsidR="001C2050" w:rsidRPr="0090360C">
              <w:t>;</w:t>
            </w:r>
            <w:r w:rsidR="00611C23" w:rsidRPr="0090360C">
              <w:t xml:space="preserve"> climate resilience</w:t>
            </w:r>
            <w:r w:rsidR="001C2050" w:rsidRPr="0090360C">
              <w:t>;</w:t>
            </w:r>
            <w:r w:rsidR="00611C23" w:rsidRPr="0090360C">
              <w:t xml:space="preserve"> gender equality</w:t>
            </w:r>
            <w:r w:rsidR="000527E3" w:rsidRPr="0090360C">
              <w:t xml:space="preserve">, </w:t>
            </w:r>
            <w:proofErr w:type="gramStart"/>
            <w:r w:rsidR="000527E3" w:rsidRPr="0090360C">
              <w:t>disability</w:t>
            </w:r>
            <w:proofErr w:type="gramEnd"/>
            <w:r w:rsidR="000527E3" w:rsidRPr="0090360C">
              <w:t xml:space="preserve"> and social inclusion</w:t>
            </w:r>
            <w:r w:rsidR="00A44627" w:rsidRPr="0090360C">
              <w:t>;</w:t>
            </w:r>
            <w:r w:rsidR="000527E3" w:rsidRPr="0090360C">
              <w:t xml:space="preserve"> and sustainability. </w:t>
            </w:r>
            <w:r w:rsidR="009F63BD" w:rsidRPr="0090360C">
              <w:t>In doing</w:t>
            </w:r>
            <w:r w:rsidR="000527E3" w:rsidRPr="0090360C">
              <w:t xml:space="preserve"> this, it is critical to</w:t>
            </w:r>
            <w:r w:rsidR="009F63BD" w:rsidRPr="0090360C">
              <w:t xml:space="preserve"> ensure appropriate policy and regulatory environments </w:t>
            </w:r>
            <w:r w:rsidR="00CC39BF" w:rsidRPr="0090360C">
              <w:t xml:space="preserve">with </w:t>
            </w:r>
            <w:r w:rsidR="004F6C7A" w:rsidRPr="0090360C">
              <w:t xml:space="preserve">practical </w:t>
            </w:r>
            <w:r w:rsidR="00CC39BF" w:rsidRPr="0090360C">
              <w:t>provisions for longer-term maintenance</w:t>
            </w:r>
            <w:r w:rsidR="009067B4" w:rsidRPr="0090360C">
              <w:t xml:space="preserve">.  </w:t>
            </w:r>
          </w:p>
        </w:tc>
        <w:tc>
          <w:tcPr>
            <w:tcW w:w="4110" w:type="dxa"/>
            <w:shd w:val="clear" w:color="auto" w:fill="EDEDED" w:themeFill="accent3" w:themeFillTint="33"/>
          </w:tcPr>
          <w:p w14:paraId="4A54D38C" w14:textId="7AA4D7D2" w:rsidR="00AE3775" w:rsidRPr="0090360C" w:rsidRDefault="00111988" w:rsidP="00B1140D">
            <w:pPr>
              <w:cnfStyle w:val="000000100000" w:firstRow="0" w:lastRow="0" w:firstColumn="0" w:lastColumn="0" w:oddVBand="0" w:evenVBand="0" w:oddHBand="1" w:evenHBand="0" w:firstRowFirstColumn="0" w:firstRowLastColumn="0" w:lastRowFirstColumn="0" w:lastRowLastColumn="0"/>
              <w:rPr>
                <w:b/>
                <w:bCs/>
              </w:rPr>
            </w:pPr>
            <w:r w:rsidRPr="0090360C">
              <w:t>The AIFFP will continue to work with partner countries</w:t>
            </w:r>
            <w:r w:rsidR="000A77F9" w:rsidRPr="0090360C">
              <w:t xml:space="preserve"> </w:t>
            </w:r>
            <w:r w:rsidR="001B611F" w:rsidRPr="0090360C">
              <w:t>to harness opportunities to strengthen policy and regulatory environments</w:t>
            </w:r>
            <w:r w:rsidR="00721520" w:rsidRPr="0090360C">
              <w:t xml:space="preserve"> as well as longer-term maintenance</w:t>
            </w:r>
            <w:r w:rsidR="001B611F" w:rsidRPr="0090360C">
              <w:t xml:space="preserve"> </w:t>
            </w:r>
            <w:r w:rsidR="00F25ED6" w:rsidRPr="0090360C">
              <w:t xml:space="preserve">provisions </w:t>
            </w:r>
            <w:r w:rsidR="00721520" w:rsidRPr="0090360C">
              <w:t>as</w:t>
            </w:r>
            <w:r w:rsidR="001B611F" w:rsidRPr="0090360C">
              <w:t xml:space="preserve"> appropriate</w:t>
            </w:r>
            <w:r w:rsidR="005277FA" w:rsidRPr="0090360C">
              <w:t xml:space="preserve"> through leveraging DFAT’s bilateral aid programs to the Pacific and other global and regional partnerships</w:t>
            </w:r>
            <w:r w:rsidR="00245AC1" w:rsidRPr="0090360C">
              <w:t>.</w:t>
            </w:r>
            <w:r w:rsidR="001B611F" w:rsidRPr="0090360C">
              <w:t xml:space="preserve"> </w:t>
            </w:r>
            <w:r w:rsidR="003C740E" w:rsidRPr="0090360C">
              <w:t xml:space="preserve">Where possible, AIFFP </w:t>
            </w:r>
            <w:r w:rsidR="00560966" w:rsidRPr="0090360C">
              <w:t xml:space="preserve">will </w:t>
            </w:r>
            <w:r w:rsidR="003C740E" w:rsidRPr="0090360C">
              <w:t xml:space="preserve">work with borrowers to consider revenue streams for infrastructure investments to fund maintenance plans; explore options to encourage private sector service delivery to support maintenance of investments; and where other alternatives </w:t>
            </w:r>
            <w:r w:rsidR="00756CDC" w:rsidRPr="0090360C">
              <w:t xml:space="preserve">are </w:t>
            </w:r>
            <w:r w:rsidR="003C740E" w:rsidRPr="0090360C">
              <w:t xml:space="preserve">not easily available, </w:t>
            </w:r>
            <w:r w:rsidR="00560966" w:rsidRPr="0090360C">
              <w:t xml:space="preserve">may </w:t>
            </w:r>
            <w:r w:rsidR="003C740E" w:rsidRPr="0090360C">
              <w:t>directly fund maintenance in addition to capital investments.</w:t>
            </w:r>
          </w:p>
        </w:tc>
        <w:tc>
          <w:tcPr>
            <w:tcW w:w="2128" w:type="dxa"/>
            <w:shd w:val="clear" w:color="auto" w:fill="EDEDED" w:themeFill="accent3" w:themeFillTint="33"/>
          </w:tcPr>
          <w:p w14:paraId="33448DD5" w14:textId="6BEFB840" w:rsidR="00AE3775" w:rsidRPr="002256CE" w:rsidRDefault="00721520" w:rsidP="00B1140D">
            <w:pPr>
              <w:cnfStyle w:val="000000100000" w:firstRow="0" w:lastRow="0" w:firstColumn="0" w:lastColumn="0" w:oddVBand="0" w:evenVBand="0" w:oddHBand="1" w:evenHBand="0" w:firstRowFirstColumn="0" w:firstRowLastColumn="0" w:lastRowFirstColumn="0" w:lastRowLastColumn="0"/>
            </w:pPr>
            <w:r w:rsidRPr="002256CE">
              <w:t>Ongoing</w:t>
            </w:r>
          </w:p>
        </w:tc>
      </w:tr>
      <w:tr w:rsidR="00597A2C" w:rsidRPr="009F563E" w14:paraId="79150F67" w14:textId="77777777" w:rsidTr="00652328">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37B94E21" w14:textId="1219BE8E" w:rsidR="00800B41" w:rsidRPr="0018742E" w:rsidRDefault="000E56A7" w:rsidP="00B1140D">
            <w:pPr>
              <w:pStyle w:val="ListParagraph"/>
              <w:numPr>
                <w:ilvl w:val="0"/>
                <w:numId w:val="2"/>
              </w:numPr>
              <w:rPr>
                <w:b w:val="0"/>
                <w:bCs w:val="0"/>
                <w:color w:val="auto"/>
              </w:rPr>
            </w:pPr>
            <w:r w:rsidRPr="0018742E">
              <w:rPr>
                <w:b w:val="0"/>
                <w:bCs w:val="0"/>
                <w:color w:val="auto"/>
              </w:rPr>
              <w:t xml:space="preserve">To increase efficiency and attractiveness to partners, the AIFFP and EFA should explore an agreement to establish an environmental and </w:t>
            </w:r>
            <w:r w:rsidRPr="0018742E">
              <w:rPr>
                <w:b w:val="0"/>
                <w:bCs w:val="0"/>
                <w:color w:val="auto"/>
              </w:rPr>
              <w:lastRenderedPageBreak/>
              <w:t>social due diligence process that includes a level of reliance on the AIFFP’s safeguards systems. However, full reliance may never be possible given EFA’s role as lender of record.</w:t>
            </w:r>
          </w:p>
        </w:tc>
        <w:tc>
          <w:tcPr>
            <w:tcW w:w="1530" w:type="dxa"/>
            <w:shd w:val="clear" w:color="auto" w:fill="D9E2F3" w:themeFill="accent1" w:themeFillTint="33"/>
          </w:tcPr>
          <w:p w14:paraId="5AF713BD" w14:textId="291B830D" w:rsidR="00AE3775" w:rsidRPr="009F563E" w:rsidRDefault="00691F2E" w:rsidP="00B1140D">
            <w:pPr>
              <w:cnfStyle w:val="000000000000" w:firstRow="0" w:lastRow="0" w:firstColumn="0" w:lastColumn="0" w:oddVBand="0" w:evenVBand="0" w:oddHBand="0" w:evenHBand="0" w:firstRowFirstColumn="0" w:firstRowLastColumn="0" w:lastRowFirstColumn="0" w:lastRowLastColumn="0"/>
            </w:pPr>
            <w:r w:rsidRPr="009F563E">
              <w:lastRenderedPageBreak/>
              <w:t>Noted</w:t>
            </w:r>
          </w:p>
        </w:tc>
        <w:tc>
          <w:tcPr>
            <w:tcW w:w="3999" w:type="dxa"/>
          </w:tcPr>
          <w:p w14:paraId="53BD2C00" w14:textId="1F7F637D" w:rsidR="00AE3775" w:rsidRPr="009F563E" w:rsidRDefault="00333C17" w:rsidP="00B1140D">
            <w:pPr>
              <w:cnfStyle w:val="000000000000" w:firstRow="0" w:lastRow="0" w:firstColumn="0" w:lastColumn="0" w:oddVBand="0" w:evenVBand="0" w:oddHBand="0" w:evenHBand="0" w:firstRowFirstColumn="0" w:firstRowLastColumn="0" w:lastRowFirstColumn="0" w:lastRowLastColumn="0"/>
            </w:pPr>
            <w:r w:rsidRPr="009F563E">
              <w:t>The AIFFP has developed robust environmental and social safeguard</w:t>
            </w:r>
            <w:r w:rsidR="000C26BB" w:rsidRPr="009F563E">
              <w:t>s processes</w:t>
            </w:r>
            <w:r w:rsidR="00970ED1" w:rsidRPr="009F563E">
              <w:t xml:space="preserve"> and systems</w:t>
            </w:r>
            <w:r w:rsidR="00A13F82" w:rsidRPr="009F563E">
              <w:t xml:space="preserve">. </w:t>
            </w:r>
            <w:r w:rsidR="00F82C14" w:rsidRPr="009F563E">
              <w:t>However, i</w:t>
            </w:r>
            <w:r w:rsidR="00A13F82" w:rsidRPr="009F563E">
              <w:t xml:space="preserve">n the current model, both AIFFP and EFA have safeguards processes which must </w:t>
            </w:r>
            <w:r w:rsidR="00A13F82" w:rsidRPr="009F563E">
              <w:lastRenderedPageBreak/>
              <w:t>be met</w:t>
            </w:r>
            <w:r w:rsidR="00543166" w:rsidRPr="009F563E">
              <w:t xml:space="preserve"> which creates </w:t>
            </w:r>
            <w:r w:rsidR="000D55DA" w:rsidRPr="009F563E">
              <w:t xml:space="preserve">additional complexity and </w:t>
            </w:r>
            <w:r w:rsidR="00543166" w:rsidRPr="009F563E">
              <w:t>inefficienc</w:t>
            </w:r>
            <w:r w:rsidR="000D55DA" w:rsidRPr="009F563E">
              <w:t>y</w:t>
            </w:r>
            <w:r w:rsidR="00A13F82" w:rsidRPr="009F563E">
              <w:t xml:space="preserve">.  </w:t>
            </w:r>
          </w:p>
        </w:tc>
        <w:tc>
          <w:tcPr>
            <w:tcW w:w="4110" w:type="dxa"/>
          </w:tcPr>
          <w:p w14:paraId="1B4DDCE3" w14:textId="3EE40127" w:rsidR="00AE3775" w:rsidRPr="009F563E" w:rsidRDefault="00543166" w:rsidP="00B1140D">
            <w:pPr>
              <w:cnfStyle w:val="000000000000" w:firstRow="0" w:lastRow="0" w:firstColumn="0" w:lastColumn="0" w:oddVBand="0" w:evenVBand="0" w:oddHBand="0" w:evenHBand="0" w:firstRowFirstColumn="0" w:firstRowLastColumn="0" w:lastRowFirstColumn="0" w:lastRowLastColumn="0"/>
            </w:pPr>
            <w:r w:rsidRPr="009F563E">
              <w:lastRenderedPageBreak/>
              <w:t xml:space="preserve">The AIFFP </w:t>
            </w:r>
            <w:r w:rsidR="00A455D3" w:rsidRPr="009F563E">
              <w:t xml:space="preserve">will continue to work closely with EFA and explore </w:t>
            </w:r>
            <w:r w:rsidR="002C2224" w:rsidRPr="009F563E">
              <w:t xml:space="preserve">opportunities to improve the efficiency of </w:t>
            </w:r>
            <w:r w:rsidR="0027306E" w:rsidRPr="009F563E">
              <w:t>the</w:t>
            </w:r>
            <w:r w:rsidR="00885003" w:rsidRPr="009F563E">
              <w:t xml:space="preserve"> safeguards </w:t>
            </w:r>
            <w:r w:rsidR="006666D9" w:rsidRPr="009F563E">
              <w:t>approach used by the AIFFP</w:t>
            </w:r>
            <w:r w:rsidR="005C30F8" w:rsidRPr="009F563E">
              <w:t>.</w:t>
            </w:r>
            <w:r w:rsidR="00691F2E" w:rsidRPr="009F563E">
              <w:t xml:space="preserve"> Complete reliance on AIFFP’s safeguards may not </w:t>
            </w:r>
            <w:r w:rsidR="00691F2E" w:rsidRPr="009F563E">
              <w:lastRenderedPageBreak/>
              <w:t xml:space="preserve">be possible </w:t>
            </w:r>
            <w:r w:rsidR="00D759EC" w:rsidRPr="009F563E">
              <w:t>as</w:t>
            </w:r>
            <w:r w:rsidR="00691F2E" w:rsidRPr="009F563E">
              <w:t xml:space="preserve"> EFA </w:t>
            </w:r>
            <w:r w:rsidR="00D759EC" w:rsidRPr="009F563E">
              <w:t>is the</w:t>
            </w:r>
            <w:r w:rsidR="00691F2E" w:rsidRPr="009F563E">
              <w:t xml:space="preserve"> lender of record.</w:t>
            </w:r>
          </w:p>
        </w:tc>
        <w:tc>
          <w:tcPr>
            <w:tcW w:w="2128" w:type="dxa"/>
          </w:tcPr>
          <w:p w14:paraId="151F9EA0" w14:textId="6FD4A6B6" w:rsidR="00AE3775" w:rsidRPr="009F563E" w:rsidRDefault="006666D9" w:rsidP="00B1140D">
            <w:pPr>
              <w:cnfStyle w:val="000000000000" w:firstRow="0" w:lastRow="0" w:firstColumn="0" w:lastColumn="0" w:oddVBand="0" w:evenVBand="0" w:oddHBand="0" w:evenHBand="0" w:firstRowFirstColumn="0" w:firstRowLastColumn="0" w:lastRowFirstColumn="0" w:lastRowLastColumn="0"/>
            </w:pPr>
            <w:r w:rsidRPr="009F563E">
              <w:lastRenderedPageBreak/>
              <w:t>Ongoing</w:t>
            </w:r>
          </w:p>
        </w:tc>
      </w:tr>
      <w:tr w:rsidR="00597A2C" w:rsidRPr="009F563E" w14:paraId="07A5B327" w14:textId="77777777" w:rsidTr="00652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0AEEDF9D" w14:textId="77777777" w:rsidR="00E2291A" w:rsidRPr="0018742E" w:rsidRDefault="00E2291A" w:rsidP="00B1140D">
            <w:pPr>
              <w:pStyle w:val="ListParagraph"/>
              <w:numPr>
                <w:ilvl w:val="0"/>
                <w:numId w:val="2"/>
              </w:numPr>
              <w:rPr>
                <w:b w:val="0"/>
                <w:bCs w:val="0"/>
                <w:color w:val="auto"/>
              </w:rPr>
            </w:pPr>
            <w:r w:rsidRPr="0018742E">
              <w:rPr>
                <w:b w:val="0"/>
                <w:bCs w:val="0"/>
                <w:color w:val="auto"/>
              </w:rPr>
              <w:t>The AIFFP should consider how it can shape demand from partners for investments in high-priority sectors and countries.</w:t>
            </w:r>
          </w:p>
          <w:p w14:paraId="03158C29" w14:textId="115A348F" w:rsidR="00C3030B" w:rsidRPr="0018742E" w:rsidRDefault="00C3030B" w:rsidP="00B1140D">
            <w:pPr>
              <w:pStyle w:val="ListParagraph"/>
              <w:rPr>
                <w:b w:val="0"/>
                <w:bCs w:val="0"/>
                <w:color w:val="auto"/>
              </w:rPr>
            </w:pPr>
          </w:p>
        </w:tc>
        <w:tc>
          <w:tcPr>
            <w:tcW w:w="1530" w:type="dxa"/>
            <w:shd w:val="clear" w:color="auto" w:fill="A8D08D" w:themeFill="accent6" w:themeFillTint="99"/>
          </w:tcPr>
          <w:p w14:paraId="6CAEA190" w14:textId="2E99CE20" w:rsidR="00AE3775" w:rsidRPr="002256CE" w:rsidRDefault="00525F79" w:rsidP="00B1140D">
            <w:pPr>
              <w:cnfStyle w:val="000000100000" w:firstRow="0" w:lastRow="0" w:firstColumn="0" w:lastColumn="0" w:oddVBand="0" w:evenVBand="0" w:oddHBand="1" w:evenHBand="0" w:firstRowFirstColumn="0" w:firstRowLastColumn="0" w:lastRowFirstColumn="0" w:lastRowLastColumn="0"/>
            </w:pPr>
            <w:r w:rsidRPr="002256CE">
              <w:t>Agree</w:t>
            </w:r>
          </w:p>
        </w:tc>
        <w:tc>
          <w:tcPr>
            <w:tcW w:w="3999" w:type="dxa"/>
          </w:tcPr>
          <w:p w14:paraId="0278F2A7" w14:textId="60D6C7FC" w:rsidR="00AE3775" w:rsidRPr="002256CE" w:rsidRDefault="00EE144A" w:rsidP="00B1140D">
            <w:pPr>
              <w:cnfStyle w:val="000000100000" w:firstRow="0" w:lastRow="0" w:firstColumn="0" w:lastColumn="0" w:oddVBand="0" w:evenVBand="0" w:oddHBand="1" w:evenHBand="0" w:firstRowFirstColumn="0" w:firstRowLastColumn="0" w:lastRowFirstColumn="0" w:lastRowLastColumn="0"/>
            </w:pPr>
            <w:r w:rsidRPr="002256CE">
              <w:t>The AIFFP operates on behalf of the Australian government</w:t>
            </w:r>
            <w:r w:rsidR="0093045F" w:rsidRPr="002256CE">
              <w:t xml:space="preserve"> and has a high</w:t>
            </w:r>
            <w:r w:rsidR="00D53D1A" w:rsidRPr="002256CE">
              <w:t>-</w:t>
            </w:r>
            <w:r w:rsidR="0093045F" w:rsidRPr="002256CE">
              <w:t xml:space="preserve">level objective of </w:t>
            </w:r>
            <w:r w:rsidR="00AA25AD" w:rsidRPr="002256CE">
              <w:t xml:space="preserve">advancing Australia’s national interests by </w:t>
            </w:r>
            <w:r w:rsidR="0052520E" w:rsidRPr="002256CE">
              <w:t xml:space="preserve">contributing to a stable, </w:t>
            </w:r>
            <w:proofErr w:type="gramStart"/>
            <w:r w:rsidR="0052520E" w:rsidRPr="002256CE">
              <w:t>secure</w:t>
            </w:r>
            <w:proofErr w:type="gramEnd"/>
            <w:r w:rsidR="0052520E" w:rsidRPr="002256CE">
              <w:t xml:space="preserve"> and prosperous Pacific</w:t>
            </w:r>
            <w:r w:rsidRPr="002256CE">
              <w:t>.</w:t>
            </w:r>
            <w:r w:rsidR="00AA25AD" w:rsidRPr="002256CE">
              <w:t xml:space="preserve">  </w:t>
            </w:r>
            <w:r w:rsidR="00D53D1A" w:rsidRPr="002256CE">
              <w:t xml:space="preserve">To support this, the AIFFP </w:t>
            </w:r>
            <w:r w:rsidR="002828D7" w:rsidRPr="002256CE">
              <w:t xml:space="preserve">would like to be a partner of choice for financing infrastructure in the Pacific </w:t>
            </w:r>
            <w:r w:rsidR="000B13F9" w:rsidRPr="002256CE">
              <w:t>including in high-priority sectors and countries</w:t>
            </w:r>
            <w:r w:rsidR="002828D7" w:rsidRPr="002256CE">
              <w:t>.</w:t>
            </w:r>
            <w:r w:rsidR="00AA25AD" w:rsidRPr="002256CE">
              <w:t xml:space="preserve"> </w:t>
            </w:r>
            <w:r w:rsidRPr="002256CE">
              <w:t xml:space="preserve">  </w:t>
            </w:r>
          </w:p>
        </w:tc>
        <w:tc>
          <w:tcPr>
            <w:tcW w:w="4110" w:type="dxa"/>
          </w:tcPr>
          <w:p w14:paraId="750192E8" w14:textId="78597BE2" w:rsidR="00AE3775" w:rsidRPr="002256CE" w:rsidRDefault="006B633F" w:rsidP="00B1140D">
            <w:pPr>
              <w:cnfStyle w:val="000000100000" w:firstRow="0" w:lastRow="0" w:firstColumn="0" w:lastColumn="0" w:oddVBand="0" w:evenVBand="0" w:oddHBand="1" w:evenHBand="0" w:firstRowFirstColumn="0" w:firstRowLastColumn="0" w:lastRowFirstColumn="0" w:lastRowLastColumn="0"/>
            </w:pPr>
            <w:r w:rsidRPr="002256CE">
              <w:t>The AIFFP</w:t>
            </w:r>
            <w:r w:rsidR="00BE5651" w:rsidRPr="002256CE">
              <w:t xml:space="preserve"> </w:t>
            </w:r>
            <w:r w:rsidR="004F6C7A" w:rsidRPr="002256CE">
              <w:t xml:space="preserve">engages with Pacific governments and industry to listen to their priorities and responds to quality proposals for finance consistent with AIFFP’s investment mandate. </w:t>
            </w:r>
            <w:r w:rsidR="00F46220" w:rsidRPr="002256CE">
              <w:t xml:space="preserve"> The easing of travel restrictions has enabled more face-to-face conversations that has deepened AIFFP’s </w:t>
            </w:r>
            <w:r w:rsidRPr="002256CE">
              <w:t>understanding of infrastructure financing needs</w:t>
            </w:r>
            <w:r w:rsidR="004877FE">
              <w:t xml:space="preserve">.  It </w:t>
            </w:r>
            <w:r w:rsidR="00F46220" w:rsidRPr="002256CE">
              <w:t xml:space="preserve">is </w:t>
            </w:r>
            <w:r w:rsidR="004877FE">
              <w:t xml:space="preserve">also </w:t>
            </w:r>
            <w:r w:rsidR="00F46220" w:rsidRPr="002256CE">
              <w:t>informing adjustments to AIFFP so that it can</w:t>
            </w:r>
            <w:r w:rsidR="003F33E9" w:rsidRPr="002256CE">
              <w:t xml:space="preserve"> </w:t>
            </w:r>
            <w:r w:rsidR="00570438" w:rsidRPr="002256CE">
              <w:t>be</w:t>
            </w:r>
            <w:r w:rsidR="00F46220" w:rsidRPr="002256CE">
              <w:t>come</w:t>
            </w:r>
            <w:r w:rsidR="00570438" w:rsidRPr="002256CE">
              <w:t xml:space="preserve"> the partner of choice in the region</w:t>
            </w:r>
            <w:r w:rsidR="00F46220" w:rsidRPr="002256CE">
              <w:t xml:space="preserve"> by most effectively meeting local needs</w:t>
            </w:r>
            <w:r w:rsidR="00E0359E" w:rsidRPr="002256CE">
              <w:t>.</w:t>
            </w:r>
          </w:p>
        </w:tc>
        <w:tc>
          <w:tcPr>
            <w:tcW w:w="2128" w:type="dxa"/>
          </w:tcPr>
          <w:p w14:paraId="586DCEDC" w14:textId="46E47CD8" w:rsidR="00AE3775" w:rsidRPr="002256CE" w:rsidRDefault="006B633F" w:rsidP="00B1140D">
            <w:pPr>
              <w:cnfStyle w:val="000000100000" w:firstRow="0" w:lastRow="0" w:firstColumn="0" w:lastColumn="0" w:oddVBand="0" w:evenVBand="0" w:oddHBand="1" w:evenHBand="0" w:firstRowFirstColumn="0" w:firstRowLastColumn="0" w:lastRowFirstColumn="0" w:lastRowLastColumn="0"/>
            </w:pPr>
            <w:r w:rsidRPr="002256CE">
              <w:t>Ongoing</w:t>
            </w:r>
          </w:p>
        </w:tc>
      </w:tr>
      <w:tr w:rsidR="00597A2C" w:rsidRPr="009F563E" w14:paraId="1EE489B6" w14:textId="77777777" w:rsidTr="77728BC8">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273C41F8" w14:textId="3987BD8F" w:rsidR="0012796C" w:rsidRPr="0018742E" w:rsidRDefault="00B57504" w:rsidP="00B1140D">
            <w:pPr>
              <w:pStyle w:val="ListParagraph"/>
              <w:numPr>
                <w:ilvl w:val="0"/>
                <w:numId w:val="2"/>
              </w:numPr>
              <w:rPr>
                <w:b w:val="0"/>
                <w:bCs w:val="0"/>
                <w:color w:val="auto"/>
              </w:rPr>
            </w:pPr>
            <w:r w:rsidRPr="0018742E">
              <w:rPr>
                <w:b w:val="0"/>
                <w:bCs w:val="0"/>
                <w:color w:val="auto"/>
              </w:rPr>
              <w:t xml:space="preserve">The AIFFP should consider how it can set clearer expectations </w:t>
            </w:r>
            <w:r w:rsidR="00B1540F" w:rsidRPr="0018742E">
              <w:rPr>
                <w:b w:val="0"/>
                <w:bCs w:val="0"/>
                <w:color w:val="auto"/>
              </w:rPr>
              <w:t>with</w:t>
            </w:r>
            <w:r w:rsidRPr="0018742E">
              <w:rPr>
                <w:b w:val="0"/>
                <w:bCs w:val="0"/>
                <w:color w:val="auto"/>
              </w:rPr>
              <w:t xml:space="preserve"> Pacific partners on the </w:t>
            </w:r>
            <w:r w:rsidRPr="0018742E">
              <w:rPr>
                <w:b w:val="0"/>
                <w:bCs w:val="0"/>
                <w:color w:val="auto"/>
              </w:rPr>
              <w:lastRenderedPageBreak/>
              <w:t>likely timeframes for investment approval.</w:t>
            </w:r>
          </w:p>
        </w:tc>
        <w:tc>
          <w:tcPr>
            <w:tcW w:w="1530" w:type="dxa"/>
            <w:shd w:val="clear" w:color="auto" w:fill="A8D08D" w:themeFill="accent6" w:themeFillTint="99"/>
          </w:tcPr>
          <w:p w14:paraId="4DBBA115" w14:textId="00BF9885" w:rsidR="00AE3775" w:rsidRPr="009F563E" w:rsidRDefault="00525F79" w:rsidP="00B1140D">
            <w:pPr>
              <w:cnfStyle w:val="000000000000" w:firstRow="0" w:lastRow="0" w:firstColumn="0" w:lastColumn="0" w:oddVBand="0" w:evenVBand="0" w:oddHBand="0" w:evenHBand="0" w:firstRowFirstColumn="0" w:firstRowLastColumn="0" w:lastRowFirstColumn="0" w:lastRowLastColumn="0"/>
            </w:pPr>
            <w:r w:rsidRPr="009F563E">
              <w:lastRenderedPageBreak/>
              <w:t>Agree</w:t>
            </w:r>
          </w:p>
        </w:tc>
        <w:tc>
          <w:tcPr>
            <w:tcW w:w="3999" w:type="dxa"/>
          </w:tcPr>
          <w:p w14:paraId="321F823D" w14:textId="19145CA4" w:rsidR="00AE3775" w:rsidRPr="009F563E" w:rsidRDefault="003C6F7C" w:rsidP="00B1140D">
            <w:pPr>
              <w:cnfStyle w:val="000000000000" w:firstRow="0" w:lastRow="0" w:firstColumn="0" w:lastColumn="0" w:oddVBand="0" w:evenVBand="0" w:oddHBand="0" w:evenHBand="0" w:firstRowFirstColumn="0" w:firstRowLastColumn="0" w:lastRowFirstColumn="0" w:lastRowLastColumn="0"/>
            </w:pPr>
            <w:r w:rsidRPr="009F563E">
              <w:t xml:space="preserve">As the AIFFP is focussed on quality infrastructure, there are </w:t>
            </w:r>
            <w:r w:rsidR="00650D6D" w:rsidRPr="009F563E">
              <w:t>significant due diligence</w:t>
            </w:r>
            <w:r w:rsidR="007D4204" w:rsidRPr="009F563E">
              <w:t>,</w:t>
            </w:r>
            <w:r w:rsidR="00650D6D" w:rsidRPr="009F563E">
              <w:t xml:space="preserve"> </w:t>
            </w:r>
            <w:proofErr w:type="gramStart"/>
            <w:r w:rsidR="00650D6D" w:rsidRPr="009F563E">
              <w:t>feasibility</w:t>
            </w:r>
            <w:proofErr w:type="gramEnd"/>
            <w:r w:rsidR="00650D6D" w:rsidRPr="009F563E">
              <w:t xml:space="preserve"> </w:t>
            </w:r>
            <w:r w:rsidR="007D4204" w:rsidRPr="009F563E">
              <w:t xml:space="preserve">and safeguards </w:t>
            </w:r>
            <w:r w:rsidR="00650D6D" w:rsidRPr="009F563E">
              <w:t xml:space="preserve">processes to undergo for each </w:t>
            </w:r>
            <w:r w:rsidR="00650D6D" w:rsidRPr="009F563E">
              <w:lastRenderedPageBreak/>
              <w:t xml:space="preserve">investment </w:t>
            </w:r>
            <w:r w:rsidR="007D4204" w:rsidRPr="009F563E">
              <w:t>in addition to government approval processes.</w:t>
            </w:r>
            <w:r w:rsidR="00F4748B" w:rsidRPr="009F563E">
              <w:t xml:space="preserve">  This can take a significant amount of time and needs to be clearly communicated with partners </w:t>
            </w:r>
            <w:r w:rsidR="00E76ACE" w:rsidRPr="009F563E">
              <w:t xml:space="preserve">in initial stages </w:t>
            </w:r>
            <w:r w:rsidR="00F4748B" w:rsidRPr="009F563E">
              <w:t>to manage expectations.</w:t>
            </w:r>
            <w:r w:rsidR="000F55D0" w:rsidRPr="009F563E">
              <w:t xml:space="preserve">  As the AIFFP </w:t>
            </w:r>
            <w:r w:rsidR="00272A92" w:rsidRPr="009F563E">
              <w:t>increases its portfolio, there is also more internal data available regarding timeframes.</w:t>
            </w:r>
            <w:r w:rsidR="00F4748B" w:rsidRPr="009F563E">
              <w:t xml:space="preserve"> </w:t>
            </w:r>
            <w:r w:rsidR="007D4204" w:rsidRPr="009F563E">
              <w:t xml:space="preserve">  </w:t>
            </w:r>
          </w:p>
        </w:tc>
        <w:tc>
          <w:tcPr>
            <w:tcW w:w="4110" w:type="dxa"/>
          </w:tcPr>
          <w:p w14:paraId="7DD42F4E" w14:textId="5F18E583" w:rsidR="00AE3775" w:rsidRPr="009F563E" w:rsidRDefault="000F55D0" w:rsidP="00B1140D">
            <w:pPr>
              <w:cnfStyle w:val="000000000000" w:firstRow="0" w:lastRow="0" w:firstColumn="0" w:lastColumn="0" w:oddVBand="0" w:evenVBand="0" w:oddHBand="0" w:evenHBand="0" w:firstRowFirstColumn="0" w:firstRowLastColumn="0" w:lastRowFirstColumn="0" w:lastRowLastColumn="0"/>
            </w:pPr>
            <w:r w:rsidRPr="009F563E">
              <w:lastRenderedPageBreak/>
              <w:t xml:space="preserve">The AIFFP will </w:t>
            </w:r>
            <w:r w:rsidR="0087038F" w:rsidRPr="009F563E">
              <w:t>ensure</w:t>
            </w:r>
            <w:r w:rsidRPr="009F563E">
              <w:t xml:space="preserve"> </w:t>
            </w:r>
            <w:r w:rsidR="00865EB3" w:rsidRPr="009F563E">
              <w:t xml:space="preserve">timeframes </w:t>
            </w:r>
            <w:r w:rsidR="0087038F" w:rsidRPr="009F563E">
              <w:t xml:space="preserve">are embedded </w:t>
            </w:r>
            <w:r w:rsidR="00865EB3" w:rsidRPr="009F563E">
              <w:t xml:space="preserve">in </w:t>
            </w:r>
            <w:r w:rsidRPr="009F563E">
              <w:t xml:space="preserve">discussions </w:t>
            </w:r>
            <w:r w:rsidR="00F143F5" w:rsidRPr="009F563E">
              <w:t xml:space="preserve">with Pacific partners </w:t>
            </w:r>
            <w:r w:rsidR="0087038F" w:rsidRPr="009F563E">
              <w:t>for</w:t>
            </w:r>
            <w:r w:rsidR="00F143F5" w:rsidRPr="009F563E">
              <w:t xml:space="preserve"> a common understanding</w:t>
            </w:r>
            <w:r w:rsidR="00865EB3" w:rsidRPr="009F563E">
              <w:t xml:space="preserve"> and </w:t>
            </w:r>
            <w:r w:rsidR="0087038F" w:rsidRPr="009F563E">
              <w:t xml:space="preserve">will explore additional </w:t>
            </w:r>
            <w:r w:rsidR="00A61ED7" w:rsidRPr="009F563E">
              <w:t>options</w:t>
            </w:r>
            <w:r w:rsidR="00865EB3" w:rsidRPr="009F563E">
              <w:t xml:space="preserve"> to </w:t>
            </w:r>
            <w:r w:rsidR="00850E40" w:rsidRPr="009F563E">
              <w:lastRenderedPageBreak/>
              <w:t>increase awareness of expected project timeframes</w:t>
            </w:r>
            <w:r w:rsidR="00F143F5" w:rsidRPr="009F563E">
              <w:t xml:space="preserve">. </w:t>
            </w:r>
            <w:r w:rsidRPr="009F563E">
              <w:t xml:space="preserve"> </w:t>
            </w:r>
          </w:p>
        </w:tc>
        <w:tc>
          <w:tcPr>
            <w:tcW w:w="2128" w:type="dxa"/>
          </w:tcPr>
          <w:p w14:paraId="5027B8AC" w14:textId="48BCB880" w:rsidR="00AE3775" w:rsidRPr="009F563E" w:rsidRDefault="00A61ED7" w:rsidP="00B1140D">
            <w:pPr>
              <w:cnfStyle w:val="000000000000" w:firstRow="0" w:lastRow="0" w:firstColumn="0" w:lastColumn="0" w:oddVBand="0" w:evenVBand="0" w:oddHBand="0" w:evenHBand="0" w:firstRowFirstColumn="0" w:firstRowLastColumn="0" w:lastRowFirstColumn="0" w:lastRowLastColumn="0"/>
            </w:pPr>
            <w:r w:rsidRPr="009F563E">
              <w:lastRenderedPageBreak/>
              <w:t>Ongoing</w:t>
            </w:r>
          </w:p>
        </w:tc>
      </w:tr>
      <w:tr w:rsidR="00597A2C" w:rsidRPr="009F563E" w14:paraId="037FA21D" w14:textId="77777777" w:rsidTr="0018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03D63C0F" w14:textId="07D37437" w:rsidR="00CB25F7" w:rsidRPr="0018742E" w:rsidRDefault="00F362E8" w:rsidP="00B1140D">
            <w:pPr>
              <w:pStyle w:val="ListParagraph"/>
              <w:numPr>
                <w:ilvl w:val="0"/>
                <w:numId w:val="2"/>
              </w:numPr>
              <w:rPr>
                <w:b w:val="0"/>
                <w:bCs w:val="0"/>
                <w:color w:val="auto"/>
              </w:rPr>
            </w:pPr>
            <w:r w:rsidRPr="0018742E">
              <w:rPr>
                <w:b w:val="0"/>
                <w:bCs w:val="0"/>
                <w:color w:val="auto"/>
              </w:rPr>
              <w:t>The AIFFP should consider mechanisms to improve communication and coordination with relevant programs/partners and options for increasing disability inclusion guidance in its systems and policies.</w:t>
            </w:r>
          </w:p>
        </w:tc>
        <w:tc>
          <w:tcPr>
            <w:tcW w:w="1530" w:type="dxa"/>
            <w:shd w:val="clear" w:color="auto" w:fill="FFD966" w:themeFill="accent4" w:themeFillTint="99"/>
          </w:tcPr>
          <w:p w14:paraId="4CCAC944" w14:textId="3E405837" w:rsidR="00AE3775" w:rsidRPr="002256CE" w:rsidRDefault="00A07972" w:rsidP="00B1140D">
            <w:pPr>
              <w:cnfStyle w:val="000000100000" w:firstRow="0" w:lastRow="0" w:firstColumn="0" w:lastColumn="0" w:oddVBand="0" w:evenVBand="0" w:oddHBand="1" w:evenHBand="0" w:firstRowFirstColumn="0" w:firstRowLastColumn="0" w:lastRowFirstColumn="0" w:lastRowLastColumn="0"/>
            </w:pPr>
            <w:r w:rsidRPr="002256CE">
              <w:t>Partially Agree</w:t>
            </w:r>
          </w:p>
        </w:tc>
        <w:tc>
          <w:tcPr>
            <w:tcW w:w="3999" w:type="dxa"/>
          </w:tcPr>
          <w:p w14:paraId="1A9809ED" w14:textId="1907A686" w:rsidR="00AE3775" w:rsidRPr="002256CE" w:rsidRDefault="000440A7" w:rsidP="00B1140D">
            <w:pPr>
              <w:cnfStyle w:val="000000100000" w:firstRow="0" w:lastRow="0" w:firstColumn="0" w:lastColumn="0" w:oddVBand="0" w:evenVBand="0" w:oddHBand="1" w:evenHBand="0" w:firstRowFirstColumn="0" w:firstRowLastColumn="0" w:lastRowFirstColumn="0" w:lastRowLastColumn="0"/>
            </w:pPr>
            <w:r w:rsidRPr="002256CE">
              <w:t xml:space="preserve">The AIFFP </w:t>
            </w:r>
            <w:r w:rsidR="00B36B47" w:rsidRPr="002256CE">
              <w:t>recognises that there can be improved communication and coordination with the contributing programs</w:t>
            </w:r>
            <w:r w:rsidR="001D697F" w:rsidRPr="002256CE">
              <w:t xml:space="preserve"> and </w:t>
            </w:r>
            <w:r w:rsidR="00B36B47" w:rsidRPr="002256CE">
              <w:t xml:space="preserve">partners </w:t>
            </w:r>
            <w:r w:rsidR="001D697F" w:rsidRPr="002256CE">
              <w:t xml:space="preserve">and that there </w:t>
            </w:r>
            <w:r w:rsidR="00CD503B" w:rsidRPr="002256CE">
              <w:t xml:space="preserve">could be strengthened attention on disability inclusion </w:t>
            </w:r>
            <w:r w:rsidR="00203317" w:rsidRPr="002256CE">
              <w:t xml:space="preserve">where appropriate and feasible </w:t>
            </w:r>
            <w:r w:rsidR="00CD503B" w:rsidRPr="002256CE">
              <w:t xml:space="preserve">at the investment-level.  </w:t>
            </w:r>
          </w:p>
        </w:tc>
        <w:tc>
          <w:tcPr>
            <w:tcW w:w="4110" w:type="dxa"/>
          </w:tcPr>
          <w:p w14:paraId="55C182DE" w14:textId="4C0D1B4B" w:rsidR="00AE3775" w:rsidRPr="002256CE" w:rsidRDefault="00433F16" w:rsidP="00B1140D">
            <w:pPr>
              <w:cnfStyle w:val="000000100000" w:firstRow="0" w:lastRow="0" w:firstColumn="0" w:lastColumn="0" w:oddVBand="0" w:evenVBand="0" w:oddHBand="1" w:evenHBand="0" w:firstRowFirstColumn="0" w:firstRowLastColumn="0" w:lastRowFirstColumn="0" w:lastRowLastColumn="0"/>
            </w:pPr>
            <w:r w:rsidRPr="002256CE">
              <w:t xml:space="preserve">The AIFFP will seek to engage </w:t>
            </w:r>
            <w:r w:rsidR="000D55DA" w:rsidRPr="002256CE">
              <w:t xml:space="preserve">more closely </w:t>
            </w:r>
            <w:r w:rsidRPr="002256CE">
              <w:t>with specific programs and partners mentioned in the report</w:t>
            </w:r>
            <w:r w:rsidR="00EE6332" w:rsidRPr="002256CE">
              <w:t xml:space="preserve"> as well as ensure opportunities for disability inclusion are realised for investments</w:t>
            </w:r>
            <w:r w:rsidR="00A55AD6" w:rsidRPr="002256CE">
              <w:t xml:space="preserve"> where possible</w:t>
            </w:r>
            <w:r w:rsidR="00D8472E" w:rsidRPr="002256CE">
              <w:t xml:space="preserve">, including through additional contracted </w:t>
            </w:r>
            <w:r w:rsidR="00A55AD6" w:rsidRPr="002256CE">
              <w:t>or dedicated support.</w:t>
            </w:r>
            <w:r w:rsidR="00DA2A2B" w:rsidRPr="002256CE">
              <w:t xml:space="preserve">  </w:t>
            </w:r>
            <w:r w:rsidR="00EE6332" w:rsidRPr="002256CE">
              <w:t xml:space="preserve"> </w:t>
            </w:r>
          </w:p>
        </w:tc>
        <w:tc>
          <w:tcPr>
            <w:tcW w:w="2128" w:type="dxa"/>
          </w:tcPr>
          <w:p w14:paraId="7BC65A35" w14:textId="1BB59D95" w:rsidR="00AE3775" w:rsidRPr="002256CE" w:rsidRDefault="00A55AD6" w:rsidP="00B1140D">
            <w:pPr>
              <w:cnfStyle w:val="000000100000" w:firstRow="0" w:lastRow="0" w:firstColumn="0" w:lastColumn="0" w:oddVBand="0" w:evenVBand="0" w:oddHBand="1" w:evenHBand="0" w:firstRowFirstColumn="0" w:firstRowLastColumn="0" w:lastRowFirstColumn="0" w:lastRowLastColumn="0"/>
            </w:pPr>
            <w:r w:rsidRPr="002256CE">
              <w:t xml:space="preserve">Ongoing </w:t>
            </w:r>
          </w:p>
        </w:tc>
      </w:tr>
      <w:tr w:rsidR="00597A2C" w:rsidRPr="009F563E" w14:paraId="040AE1B6" w14:textId="77777777" w:rsidTr="77728BC8">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00D2CECD" w14:textId="6E15C2AF" w:rsidR="00853BFD" w:rsidRPr="0018742E" w:rsidRDefault="00FF2CDD" w:rsidP="00B1140D">
            <w:pPr>
              <w:pStyle w:val="ListParagraph"/>
              <w:numPr>
                <w:ilvl w:val="0"/>
                <w:numId w:val="2"/>
              </w:numPr>
              <w:rPr>
                <w:b w:val="0"/>
                <w:bCs w:val="0"/>
                <w:color w:val="auto"/>
              </w:rPr>
            </w:pPr>
            <w:r w:rsidRPr="0018742E">
              <w:rPr>
                <w:b w:val="0"/>
                <w:bCs w:val="0"/>
                <w:color w:val="auto"/>
              </w:rPr>
              <w:t>The AIFFP should finalise the IMS as an immediate priority.</w:t>
            </w:r>
          </w:p>
        </w:tc>
        <w:tc>
          <w:tcPr>
            <w:tcW w:w="1530" w:type="dxa"/>
            <w:shd w:val="clear" w:color="auto" w:fill="A8D08D" w:themeFill="accent6" w:themeFillTint="99"/>
          </w:tcPr>
          <w:p w14:paraId="3254488B" w14:textId="14B7218B" w:rsidR="00AE3775" w:rsidRPr="009F563E" w:rsidRDefault="00853BFD" w:rsidP="00B1140D">
            <w:pPr>
              <w:cnfStyle w:val="000000000000" w:firstRow="0" w:lastRow="0" w:firstColumn="0" w:lastColumn="0" w:oddVBand="0" w:evenVBand="0" w:oddHBand="0" w:evenHBand="0" w:firstRowFirstColumn="0" w:firstRowLastColumn="0" w:lastRowFirstColumn="0" w:lastRowLastColumn="0"/>
            </w:pPr>
            <w:r w:rsidRPr="009F563E">
              <w:t xml:space="preserve">Agree </w:t>
            </w:r>
          </w:p>
        </w:tc>
        <w:tc>
          <w:tcPr>
            <w:tcW w:w="3999" w:type="dxa"/>
          </w:tcPr>
          <w:p w14:paraId="666FCD91" w14:textId="3156DFEC" w:rsidR="00AE3775" w:rsidRPr="009F563E" w:rsidRDefault="000E2736" w:rsidP="00B1140D">
            <w:pPr>
              <w:cnfStyle w:val="000000000000" w:firstRow="0" w:lastRow="0" w:firstColumn="0" w:lastColumn="0" w:oddVBand="0" w:evenVBand="0" w:oddHBand="0" w:evenHBand="0" w:firstRowFirstColumn="0" w:firstRowLastColumn="0" w:lastRowFirstColumn="0" w:lastRowLastColumn="0"/>
            </w:pPr>
            <w:r w:rsidRPr="009F563E">
              <w:t xml:space="preserve">The Investment Management System (IMS) is a critical tool </w:t>
            </w:r>
            <w:r w:rsidR="009773AE" w:rsidRPr="009F563E">
              <w:t xml:space="preserve">in the </w:t>
            </w:r>
            <w:r w:rsidR="00533ADB" w:rsidRPr="009F563E">
              <w:t xml:space="preserve">project </w:t>
            </w:r>
            <w:r w:rsidR="009773AE" w:rsidRPr="009F563E">
              <w:t xml:space="preserve">management of </w:t>
            </w:r>
            <w:r w:rsidRPr="009F563E">
              <w:t>the AIFFP</w:t>
            </w:r>
            <w:r w:rsidR="009773AE" w:rsidRPr="009F563E">
              <w:t xml:space="preserve"> investments.  Due to the nature of the AIFFP operations, </w:t>
            </w:r>
            <w:r w:rsidR="00646C78" w:rsidRPr="009F563E">
              <w:t xml:space="preserve">a </w:t>
            </w:r>
            <w:r w:rsidR="004054B5" w:rsidRPr="009F563E">
              <w:t xml:space="preserve">tailored </w:t>
            </w:r>
            <w:r w:rsidR="006E2159" w:rsidRPr="009F563E">
              <w:t>approach</w:t>
            </w:r>
            <w:r w:rsidR="004054B5" w:rsidRPr="009F563E">
              <w:t xml:space="preserve"> </w:t>
            </w:r>
            <w:r w:rsidR="00646C78" w:rsidRPr="009F563E">
              <w:t xml:space="preserve">was </w:t>
            </w:r>
            <w:proofErr w:type="gramStart"/>
            <w:r w:rsidR="00646C78" w:rsidRPr="009F563E">
              <w:t>required</w:t>
            </w:r>
            <w:proofErr w:type="gramEnd"/>
            <w:r w:rsidR="004054B5" w:rsidRPr="009F563E">
              <w:t xml:space="preserve"> and a </w:t>
            </w:r>
            <w:r w:rsidR="0026367E" w:rsidRPr="009F563E">
              <w:t xml:space="preserve">bespoke </w:t>
            </w:r>
            <w:r w:rsidR="004054B5" w:rsidRPr="009F563E">
              <w:t xml:space="preserve">solution was identified through collaboration with </w:t>
            </w:r>
            <w:r w:rsidR="004054B5" w:rsidRPr="009F563E">
              <w:lastRenderedPageBreak/>
              <w:t>the Department of Defence</w:t>
            </w:r>
            <w:r w:rsidR="006E2159" w:rsidRPr="009F563E">
              <w:t>.</w:t>
            </w:r>
            <w:r w:rsidR="009773AE" w:rsidRPr="009F563E">
              <w:t xml:space="preserve"> </w:t>
            </w:r>
            <w:r w:rsidRPr="009F563E">
              <w:t xml:space="preserve"> </w:t>
            </w:r>
            <w:r w:rsidR="00E74F12" w:rsidRPr="009F563E">
              <w:t>The IMS is now being rolled out incrementally across the AIFFP portfolio</w:t>
            </w:r>
            <w:r w:rsidR="001856CD" w:rsidRPr="009F563E">
              <w:t>.</w:t>
            </w:r>
          </w:p>
        </w:tc>
        <w:tc>
          <w:tcPr>
            <w:tcW w:w="4110" w:type="dxa"/>
          </w:tcPr>
          <w:p w14:paraId="6A2E2D8B" w14:textId="6E9F8719" w:rsidR="00AE3775" w:rsidRPr="009F563E" w:rsidRDefault="00960BCD" w:rsidP="00B1140D">
            <w:pPr>
              <w:cnfStyle w:val="000000000000" w:firstRow="0" w:lastRow="0" w:firstColumn="0" w:lastColumn="0" w:oddVBand="0" w:evenVBand="0" w:oddHBand="0" w:evenHBand="0" w:firstRowFirstColumn="0" w:firstRowLastColumn="0" w:lastRowFirstColumn="0" w:lastRowLastColumn="0"/>
            </w:pPr>
            <w:r w:rsidRPr="009F563E">
              <w:lastRenderedPageBreak/>
              <w:t xml:space="preserve">The AIFFP will </w:t>
            </w:r>
            <w:r w:rsidR="0087678F" w:rsidRPr="009F563E">
              <w:t xml:space="preserve">continue to </w:t>
            </w:r>
            <w:r w:rsidR="00557965" w:rsidRPr="009F563E">
              <w:t>enhance</w:t>
            </w:r>
            <w:r w:rsidR="0087678F" w:rsidRPr="009F563E">
              <w:t xml:space="preserve"> the IMS </w:t>
            </w:r>
            <w:r w:rsidR="0080588F" w:rsidRPr="009F563E">
              <w:t xml:space="preserve">as needed </w:t>
            </w:r>
            <w:r w:rsidR="0087678F" w:rsidRPr="009F563E">
              <w:t xml:space="preserve">to ensure it </w:t>
            </w:r>
            <w:r w:rsidR="0064293E" w:rsidRPr="009F563E">
              <w:t xml:space="preserve">supports investment management. </w:t>
            </w:r>
            <w:r w:rsidR="0087678F" w:rsidRPr="009F563E">
              <w:t xml:space="preserve"> </w:t>
            </w:r>
          </w:p>
        </w:tc>
        <w:tc>
          <w:tcPr>
            <w:tcW w:w="2128" w:type="dxa"/>
          </w:tcPr>
          <w:p w14:paraId="08962B61" w14:textId="3C9AE394" w:rsidR="00AE3775" w:rsidRPr="009F563E" w:rsidRDefault="006666D9" w:rsidP="00B1140D">
            <w:pPr>
              <w:cnfStyle w:val="000000000000" w:firstRow="0" w:lastRow="0" w:firstColumn="0" w:lastColumn="0" w:oddVBand="0" w:evenVBand="0" w:oddHBand="0" w:evenHBand="0" w:firstRowFirstColumn="0" w:firstRowLastColumn="0" w:lastRowFirstColumn="0" w:lastRowLastColumn="0"/>
            </w:pPr>
            <w:r w:rsidRPr="009F563E">
              <w:t>Ongoing</w:t>
            </w:r>
          </w:p>
        </w:tc>
      </w:tr>
    </w:tbl>
    <w:p w14:paraId="3E0AB6CB" w14:textId="77777777" w:rsidR="003C08DA" w:rsidRPr="00C56869" w:rsidRDefault="003C08DA" w:rsidP="00B1140D"/>
    <w:sectPr w:rsidR="003C08DA" w:rsidRPr="00C56869" w:rsidSect="00F60FC8">
      <w:headerReference w:type="default" r:id="rId10"/>
      <w:footerReference w:type="default" r:id="rId11"/>
      <w:pgSz w:w="16838" w:h="11906" w:orient="landscape"/>
      <w:pgMar w:top="1440" w:right="1080" w:bottom="1440" w:left="1080" w:header="19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4F53" w14:textId="77777777" w:rsidR="000E5DF1" w:rsidRDefault="000E5DF1" w:rsidP="00B1140D">
      <w:r>
        <w:separator/>
      </w:r>
    </w:p>
  </w:endnote>
  <w:endnote w:type="continuationSeparator" w:id="0">
    <w:p w14:paraId="4C3BB037" w14:textId="77777777" w:rsidR="000E5DF1" w:rsidRDefault="000E5DF1" w:rsidP="00B1140D">
      <w:r>
        <w:continuationSeparator/>
      </w:r>
    </w:p>
  </w:endnote>
  <w:endnote w:type="continuationNotice" w:id="1">
    <w:p w14:paraId="51AA96D4" w14:textId="77777777" w:rsidR="000E5DF1" w:rsidRDefault="000E5DF1" w:rsidP="00B1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63644"/>
      <w:docPartObj>
        <w:docPartGallery w:val="Page Numbers (Bottom of Page)"/>
        <w:docPartUnique/>
      </w:docPartObj>
    </w:sdtPr>
    <w:sdtEndPr>
      <w:rPr>
        <w:noProof/>
      </w:rPr>
    </w:sdtEndPr>
    <w:sdtContent>
      <w:p w14:paraId="38983975" w14:textId="5DCC3983" w:rsidR="0055647F" w:rsidRDefault="00A1652A" w:rsidP="00B1140D">
        <w:pPr>
          <w:pStyle w:val="Footer"/>
          <w:rPr>
            <w:noProof/>
          </w:rPr>
        </w:pPr>
        <w:r>
          <w:rPr>
            <w:b/>
            <w:noProof/>
            <w:sz w:val="28"/>
          </w:rPr>
          <w:drawing>
            <wp:anchor distT="0" distB="0" distL="114300" distR="114300" simplePos="0" relativeHeight="251658245" behindDoc="1" locked="0" layoutInCell="1" allowOverlap="1" wp14:anchorId="78B73B0E" wp14:editId="733771F7">
              <wp:simplePos x="0" y="0"/>
              <wp:positionH relativeFrom="page">
                <wp:posOffset>0</wp:posOffset>
              </wp:positionH>
              <wp:positionV relativeFrom="page">
                <wp:posOffset>10095230</wp:posOffset>
              </wp:positionV>
              <wp:extent cx="7560000" cy="6732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0C764C">
          <w:rPr>
            <w:noProof/>
          </w:rPr>
          <w:fldChar w:fldCharType="begin"/>
        </w:r>
        <w:r w:rsidR="000C764C">
          <w:instrText xml:space="preserve"> PAGE   \* MERGEFORMAT </w:instrText>
        </w:r>
        <w:r w:rsidR="000C764C">
          <w:fldChar w:fldCharType="separate"/>
        </w:r>
        <w:r w:rsidR="77728BC8">
          <w:rPr>
            <w:noProof/>
          </w:rPr>
          <w:t>2</w:t>
        </w:r>
        <w:r w:rsidR="000C764C">
          <w:rPr>
            <w:noProof/>
          </w:rPr>
          <w:fldChar w:fldCharType="end"/>
        </w:r>
        <w:r w:rsidR="00B00AB8">
          <w:rPr>
            <w:noProof/>
          </w:rPr>
          <w:tab/>
        </w:r>
        <w:r w:rsidR="77728BC8">
          <w:rPr>
            <w:noProof/>
          </w:rPr>
          <w:t>October</w:t>
        </w:r>
        <w:r w:rsidR="00E73671">
          <w:rPr>
            <w:noProof/>
          </w:rPr>
          <w:t xml:space="preserve"> </w:t>
        </w:r>
        <w:r w:rsidR="77728BC8">
          <w:rPr>
            <w:noProof/>
          </w:rPr>
          <w:t>2022</w:t>
        </w:r>
      </w:p>
      <w:p w14:paraId="3277C936" w14:textId="5619D89F" w:rsidR="000C764C" w:rsidRDefault="004578EB" w:rsidP="00B1140D">
        <w:pPr>
          <w:pStyle w:val="Footer"/>
        </w:pPr>
      </w:p>
    </w:sdtContent>
  </w:sdt>
  <w:p w14:paraId="2F92D2DE" w14:textId="51A3C7EC" w:rsidR="000C764C" w:rsidRDefault="000C764C" w:rsidP="00B11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632503"/>
      <w:docPartObj>
        <w:docPartGallery w:val="Page Numbers (Bottom of Page)"/>
        <w:docPartUnique/>
      </w:docPartObj>
    </w:sdtPr>
    <w:sdtEndPr>
      <w:rPr>
        <w:noProof/>
      </w:rPr>
    </w:sdtEndPr>
    <w:sdtContent>
      <w:p w14:paraId="3E2B430C" w14:textId="77777777" w:rsidR="00A1652A" w:rsidRDefault="00A1652A" w:rsidP="00B1140D">
        <w:pPr>
          <w:pStyle w:val="Footer"/>
        </w:pPr>
        <w:r>
          <w:rPr>
            <w:b/>
            <w:noProof/>
            <w:sz w:val="28"/>
          </w:rPr>
          <w:drawing>
            <wp:anchor distT="0" distB="0" distL="114300" distR="114300" simplePos="0" relativeHeight="251658244" behindDoc="1" locked="0" layoutInCell="1" allowOverlap="1" wp14:anchorId="57B8F35F" wp14:editId="1D916943">
              <wp:simplePos x="0" y="0"/>
              <wp:positionH relativeFrom="page">
                <wp:posOffset>5080</wp:posOffset>
              </wp:positionH>
              <wp:positionV relativeFrom="page">
                <wp:posOffset>6991985</wp:posOffset>
              </wp:positionV>
              <wp:extent cx="10677525" cy="673100"/>
              <wp:effectExtent l="0" t="0" r="952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6731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CB7F183" w14:textId="77777777" w:rsidR="00A1652A" w:rsidRDefault="00A1652A" w:rsidP="00B1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3919" w14:textId="77777777" w:rsidR="000E5DF1" w:rsidRDefault="000E5DF1" w:rsidP="00B1140D">
      <w:r>
        <w:separator/>
      </w:r>
    </w:p>
  </w:footnote>
  <w:footnote w:type="continuationSeparator" w:id="0">
    <w:p w14:paraId="5E2239F0" w14:textId="77777777" w:rsidR="000E5DF1" w:rsidRDefault="000E5DF1" w:rsidP="00B1140D">
      <w:r>
        <w:continuationSeparator/>
      </w:r>
    </w:p>
  </w:footnote>
  <w:footnote w:type="continuationNotice" w:id="1">
    <w:p w14:paraId="6F84238C" w14:textId="77777777" w:rsidR="000E5DF1" w:rsidRDefault="000E5DF1" w:rsidP="00B11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C061" w14:textId="65ED1E61" w:rsidR="00A1652A" w:rsidRDefault="00A1652A" w:rsidP="00B1140D">
    <w:pPr>
      <w:pStyle w:val="Header"/>
    </w:pPr>
    <w:r>
      <w:rPr>
        <w:noProof/>
        <w:sz w:val="28"/>
      </w:rPr>
      <w:drawing>
        <wp:anchor distT="0" distB="0" distL="114300" distR="114300" simplePos="0" relativeHeight="251658240" behindDoc="1" locked="0" layoutInCell="1" allowOverlap="1" wp14:anchorId="7E2D72BA" wp14:editId="220D3B64">
          <wp:simplePos x="0" y="0"/>
          <wp:positionH relativeFrom="page">
            <wp:posOffset>-295910</wp:posOffset>
          </wp:positionH>
          <wp:positionV relativeFrom="page">
            <wp:posOffset>57150</wp:posOffset>
          </wp:positionV>
          <wp:extent cx="8076663" cy="902219"/>
          <wp:effectExtent l="0" t="0" r="63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t="19117"/>
                  <a:stretch/>
                </pic:blipFill>
                <pic:spPr bwMode="auto">
                  <a:xfrm>
                    <a:off x="0" y="0"/>
                    <a:ext cx="8076663" cy="902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noProof/>
        <w:color w:val="FFFFFF" w:themeColor="background1"/>
      </w:rPr>
      <w:drawing>
        <wp:anchor distT="0" distB="0" distL="114300" distR="114300" simplePos="0" relativeHeight="251658243" behindDoc="1" locked="1" layoutInCell="1" allowOverlap="1" wp14:anchorId="17854431" wp14:editId="61231C70">
          <wp:simplePos x="0" y="0"/>
          <wp:positionH relativeFrom="margin">
            <wp:align>left</wp:align>
          </wp:positionH>
          <wp:positionV relativeFrom="page">
            <wp:posOffset>539750</wp:posOffset>
          </wp:positionV>
          <wp:extent cx="3166110" cy="5537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23A8" w14:textId="7A48EC74" w:rsidR="00A1652A" w:rsidRDefault="00A1652A" w:rsidP="00B1140D">
    <w:pPr>
      <w:pStyle w:val="Header"/>
    </w:pPr>
    <w:r>
      <w:rPr>
        <w:noProof/>
        <w:sz w:val="28"/>
      </w:rPr>
      <w:drawing>
        <wp:anchor distT="0" distB="0" distL="114300" distR="114300" simplePos="0" relativeHeight="251658241" behindDoc="1" locked="0" layoutInCell="1" allowOverlap="1" wp14:anchorId="34C4D5B3" wp14:editId="32DDCD2F">
          <wp:simplePos x="0" y="0"/>
          <wp:positionH relativeFrom="margin">
            <wp:align>center</wp:align>
          </wp:positionH>
          <wp:positionV relativeFrom="page">
            <wp:posOffset>95250</wp:posOffset>
          </wp:positionV>
          <wp:extent cx="9772650" cy="1009167"/>
          <wp:effectExtent l="0" t="0" r="0" b="63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l="6270" t="19117" r="6500"/>
                  <a:stretch/>
                </pic:blipFill>
                <pic:spPr bwMode="auto">
                  <a:xfrm>
                    <a:off x="0" y="0"/>
                    <a:ext cx="9772650" cy="10091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noProof/>
        <w:color w:val="FFFFFF" w:themeColor="background1"/>
      </w:rPr>
      <w:drawing>
        <wp:anchor distT="0" distB="0" distL="114300" distR="114300" simplePos="0" relativeHeight="251658242" behindDoc="1" locked="1" layoutInCell="1" allowOverlap="1" wp14:anchorId="0453CD33" wp14:editId="1B06D56C">
          <wp:simplePos x="0" y="0"/>
          <wp:positionH relativeFrom="margin">
            <wp:posOffset>6350</wp:posOffset>
          </wp:positionH>
          <wp:positionV relativeFrom="page">
            <wp:posOffset>645795</wp:posOffset>
          </wp:positionV>
          <wp:extent cx="3166110" cy="55372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5A5"/>
    <w:multiLevelType w:val="hybridMultilevel"/>
    <w:tmpl w:val="CBA63FBC"/>
    <w:lvl w:ilvl="0" w:tplc="8CC03E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575B0"/>
    <w:multiLevelType w:val="hybridMultilevel"/>
    <w:tmpl w:val="B4C21E18"/>
    <w:lvl w:ilvl="0" w:tplc="F3DCE6C4">
      <w:start w:val="1"/>
      <w:numFmt w:val="decimal"/>
      <w:lvlText w:val="%1."/>
      <w:lvlJc w:val="left"/>
      <w:pPr>
        <w:ind w:left="382" w:hanging="360"/>
      </w:pPr>
      <w:rPr>
        <w:rFonts w:hint="default"/>
        <w:color w:val="auto"/>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 w15:restartNumberingAfterBreak="0">
    <w:nsid w:val="37E50E7F"/>
    <w:multiLevelType w:val="hybridMultilevel"/>
    <w:tmpl w:val="C0EE0310"/>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3" w15:restartNumberingAfterBreak="0">
    <w:nsid w:val="3A5877B7"/>
    <w:multiLevelType w:val="hybridMultilevel"/>
    <w:tmpl w:val="92AE8BA2"/>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5F"/>
    <w:rsid w:val="00002F42"/>
    <w:rsid w:val="000173EA"/>
    <w:rsid w:val="0001792C"/>
    <w:rsid w:val="000208B2"/>
    <w:rsid w:val="00023E36"/>
    <w:rsid w:val="00032C40"/>
    <w:rsid w:val="00033808"/>
    <w:rsid w:val="00035259"/>
    <w:rsid w:val="00035549"/>
    <w:rsid w:val="00036BC5"/>
    <w:rsid w:val="0004372F"/>
    <w:rsid w:val="000440A7"/>
    <w:rsid w:val="00045D6D"/>
    <w:rsid w:val="00051CD1"/>
    <w:rsid w:val="000527E3"/>
    <w:rsid w:val="00064413"/>
    <w:rsid w:val="000709DB"/>
    <w:rsid w:val="00071B12"/>
    <w:rsid w:val="00073870"/>
    <w:rsid w:val="000775DF"/>
    <w:rsid w:val="00080DC3"/>
    <w:rsid w:val="00081483"/>
    <w:rsid w:val="00082DD7"/>
    <w:rsid w:val="000865C6"/>
    <w:rsid w:val="00091798"/>
    <w:rsid w:val="00091CE4"/>
    <w:rsid w:val="00095B9A"/>
    <w:rsid w:val="000A09CC"/>
    <w:rsid w:val="000A19B1"/>
    <w:rsid w:val="000A20CB"/>
    <w:rsid w:val="000A6711"/>
    <w:rsid w:val="000A77F9"/>
    <w:rsid w:val="000B13F9"/>
    <w:rsid w:val="000B3EC5"/>
    <w:rsid w:val="000B4F73"/>
    <w:rsid w:val="000B6DCF"/>
    <w:rsid w:val="000B7C63"/>
    <w:rsid w:val="000C1474"/>
    <w:rsid w:val="000C218A"/>
    <w:rsid w:val="000C26BB"/>
    <w:rsid w:val="000C687D"/>
    <w:rsid w:val="000C764C"/>
    <w:rsid w:val="000D116B"/>
    <w:rsid w:val="000D375D"/>
    <w:rsid w:val="000D547C"/>
    <w:rsid w:val="000D55DA"/>
    <w:rsid w:val="000E2736"/>
    <w:rsid w:val="000E56A7"/>
    <w:rsid w:val="000E5DF1"/>
    <w:rsid w:val="000F0A6E"/>
    <w:rsid w:val="000F18AA"/>
    <w:rsid w:val="000F55D0"/>
    <w:rsid w:val="00100594"/>
    <w:rsid w:val="00111988"/>
    <w:rsid w:val="00112027"/>
    <w:rsid w:val="00112DF9"/>
    <w:rsid w:val="001137FA"/>
    <w:rsid w:val="0012796C"/>
    <w:rsid w:val="00130473"/>
    <w:rsid w:val="00137A5B"/>
    <w:rsid w:val="00140F45"/>
    <w:rsid w:val="00142AE4"/>
    <w:rsid w:val="001430D3"/>
    <w:rsid w:val="00172DF5"/>
    <w:rsid w:val="00172FB9"/>
    <w:rsid w:val="00173343"/>
    <w:rsid w:val="001738C6"/>
    <w:rsid w:val="00176244"/>
    <w:rsid w:val="00180CD6"/>
    <w:rsid w:val="001839D5"/>
    <w:rsid w:val="001856CD"/>
    <w:rsid w:val="0018742E"/>
    <w:rsid w:val="00193645"/>
    <w:rsid w:val="0019529B"/>
    <w:rsid w:val="00195E1C"/>
    <w:rsid w:val="001A0468"/>
    <w:rsid w:val="001A05C0"/>
    <w:rsid w:val="001B1B93"/>
    <w:rsid w:val="001B1E18"/>
    <w:rsid w:val="001B5D01"/>
    <w:rsid w:val="001B611F"/>
    <w:rsid w:val="001C2050"/>
    <w:rsid w:val="001C2438"/>
    <w:rsid w:val="001C2510"/>
    <w:rsid w:val="001C60F7"/>
    <w:rsid w:val="001C74D5"/>
    <w:rsid w:val="001C7B7A"/>
    <w:rsid w:val="001D0D56"/>
    <w:rsid w:val="001D110A"/>
    <w:rsid w:val="001D5691"/>
    <w:rsid w:val="001D66A0"/>
    <w:rsid w:val="001D697F"/>
    <w:rsid w:val="001D6A5C"/>
    <w:rsid w:val="001D7B64"/>
    <w:rsid w:val="001E242F"/>
    <w:rsid w:val="001F118B"/>
    <w:rsid w:val="001F4B43"/>
    <w:rsid w:val="001F7BFB"/>
    <w:rsid w:val="00200868"/>
    <w:rsid w:val="00203317"/>
    <w:rsid w:val="00210493"/>
    <w:rsid w:val="00212979"/>
    <w:rsid w:val="00216468"/>
    <w:rsid w:val="002256CE"/>
    <w:rsid w:val="00226165"/>
    <w:rsid w:val="00226769"/>
    <w:rsid w:val="00227C7E"/>
    <w:rsid w:val="002329E9"/>
    <w:rsid w:val="00232A25"/>
    <w:rsid w:val="00237625"/>
    <w:rsid w:val="00241430"/>
    <w:rsid w:val="0024150B"/>
    <w:rsid w:val="00245AC1"/>
    <w:rsid w:val="00253D4B"/>
    <w:rsid w:val="00256E1D"/>
    <w:rsid w:val="00257FC3"/>
    <w:rsid w:val="002619F9"/>
    <w:rsid w:val="0026367E"/>
    <w:rsid w:val="002703FD"/>
    <w:rsid w:val="00272A92"/>
    <w:rsid w:val="0027306E"/>
    <w:rsid w:val="00273C58"/>
    <w:rsid w:val="00280560"/>
    <w:rsid w:val="002828D7"/>
    <w:rsid w:val="002941EA"/>
    <w:rsid w:val="00294F76"/>
    <w:rsid w:val="00296A91"/>
    <w:rsid w:val="002A061F"/>
    <w:rsid w:val="002A3ABE"/>
    <w:rsid w:val="002A5252"/>
    <w:rsid w:val="002B544C"/>
    <w:rsid w:val="002B562E"/>
    <w:rsid w:val="002B5B46"/>
    <w:rsid w:val="002B7279"/>
    <w:rsid w:val="002C06F3"/>
    <w:rsid w:val="002C2224"/>
    <w:rsid w:val="002C4005"/>
    <w:rsid w:val="002D1A94"/>
    <w:rsid w:val="002D5E9C"/>
    <w:rsid w:val="002D6F4A"/>
    <w:rsid w:val="002E0EB1"/>
    <w:rsid w:val="002E49C1"/>
    <w:rsid w:val="002E4F6D"/>
    <w:rsid w:val="002E7CB8"/>
    <w:rsid w:val="002F5618"/>
    <w:rsid w:val="0030238D"/>
    <w:rsid w:val="00307F14"/>
    <w:rsid w:val="0031417F"/>
    <w:rsid w:val="003167F8"/>
    <w:rsid w:val="00326A70"/>
    <w:rsid w:val="00326C6F"/>
    <w:rsid w:val="00327FB7"/>
    <w:rsid w:val="00331A54"/>
    <w:rsid w:val="00333C17"/>
    <w:rsid w:val="00341B5D"/>
    <w:rsid w:val="00345122"/>
    <w:rsid w:val="00347701"/>
    <w:rsid w:val="00351F9B"/>
    <w:rsid w:val="00356788"/>
    <w:rsid w:val="003571A6"/>
    <w:rsid w:val="0035779D"/>
    <w:rsid w:val="0036108C"/>
    <w:rsid w:val="00362B3E"/>
    <w:rsid w:val="00366814"/>
    <w:rsid w:val="00372A8E"/>
    <w:rsid w:val="003828AB"/>
    <w:rsid w:val="00386C36"/>
    <w:rsid w:val="00390885"/>
    <w:rsid w:val="00393906"/>
    <w:rsid w:val="003A033F"/>
    <w:rsid w:val="003A0567"/>
    <w:rsid w:val="003B1C4B"/>
    <w:rsid w:val="003B1DE0"/>
    <w:rsid w:val="003B2470"/>
    <w:rsid w:val="003B323D"/>
    <w:rsid w:val="003B61B2"/>
    <w:rsid w:val="003B74BD"/>
    <w:rsid w:val="003C08DA"/>
    <w:rsid w:val="003C5E22"/>
    <w:rsid w:val="003C6F7C"/>
    <w:rsid w:val="003C740E"/>
    <w:rsid w:val="003D4BF6"/>
    <w:rsid w:val="003D60AB"/>
    <w:rsid w:val="003D7C28"/>
    <w:rsid w:val="003E3E03"/>
    <w:rsid w:val="003F259C"/>
    <w:rsid w:val="003F270B"/>
    <w:rsid w:val="003F33E9"/>
    <w:rsid w:val="004012DE"/>
    <w:rsid w:val="004054B5"/>
    <w:rsid w:val="004064AD"/>
    <w:rsid w:val="004130C7"/>
    <w:rsid w:val="00417BC3"/>
    <w:rsid w:val="0042147F"/>
    <w:rsid w:val="00422DF6"/>
    <w:rsid w:val="00431F10"/>
    <w:rsid w:val="00433F16"/>
    <w:rsid w:val="0045145C"/>
    <w:rsid w:val="00451B56"/>
    <w:rsid w:val="004578EB"/>
    <w:rsid w:val="00460184"/>
    <w:rsid w:val="00462362"/>
    <w:rsid w:val="00474588"/>
    <w:rsid w:val="00475741"/>
    <w:rsid w:val="0047779F"/>
    <w:rsid w:val="00481782"/>
    <w:rsid w:val="0048218C"/>
    <w:rsid w:val="004877FE"/>
    <w:rsid w:val="004908C0"/>
    <w:rsid w:val="004A4D52"/>
    <w:rsid w:val="004B013A"/>
    <w:rsid w:val="004B6741"/>
    <w:rsid w:val="004C4FD4"/>
    <w:rsid w:val="004D24CB"/>
    <w:rsid w:val="004E66B7"/>
    <w:rsid w:val="004F11DE"/>
    <w:rsid w:val="004F135C"/>
    <w:rsid w:val="004F1481"/>
    <w:rsid w:val="004F152D"/>
    <w:rsid w:val="004F1CCB"/>
    <w:rsid w:val="004F435B"/>
    <w:rsid w:val="004F6C7A"/>
    <w:rsid w:val="00503FFC"/>
    <w:rsid w:val="00504488"/>
    <w:rsid w:val="00506989"/>
    <w:rsid w:val="00513515"/>
    <w:rsid w:val="00520D29"/>
    <w:rsid w:val="0052328A"/>
    <w:rsid w:val="00523B86"/>
    <w:rsid w:val="00523D14"/>
    <w:rsid w:val="0052520E"/>
    <w:rsid w:val="005253B5"/>
    <w:rsid w:val="00525F79"/>
    <w:rsid w:val="005277FA"/>
    <w:rsid w:val="00533ADB"/>
    <w:rsid w:val="005370A5"/>
    <w:rsid w:val="005402F3"/>
    <w:rsid w:val="00540663"/>
    <w:rsid w:val="00540A45"/>
    <w:rsid w:val="00540BE0"/>
    <w:rsid w:val="00543166"/>
    <w:rsid w:val="00545126"/>
    <w:rsid w:val="00550CF1"/>
    <w:rsid w:val="00553C95"/>
    <w:rsid w:val="005548FD"/>
    <w:rsid w:val="00555587"/>
    <w:rsid w:val="0055647F"/>
    <w:rsid w:val="00557965"/>
    <w:rsid w:val="00560131"/>
    <w:rsid w:val="00560966"/>
    <w:rsid w:val="0056166A"/>
    <w:rsid w:val="0056243B"/>
    <w:rsid w:val="00570438"/>
    <w:rsid w:val="00574822"/>
    <w:rsid w:val="00574C63"/>
    <w:rsid w:val="00581933"/>
    <w:rsid w:val="00584B86"/>
    <w:rsid w:val="00584CEB"/>
    <w:rsid w:val="00590EDD"/>
    <w:rsid w:val="00592C3E"/>
    <w:rsid w:val="00593BC6"/>
    <w:rsid w:val="00596C2A"/>
    <w:rsid w:val="00597A2C"/>
    <w:rsid w:val="005A1B2D"/>
    <w:rsid w:val="005A5056"/>
    <w:rsid w:val="005A7F86"/>
    <w:rsid w:val="005B5BD4"/>
    <w:rsid w:val="005B76C7"/>
    <w:rsid w:val="005C30F8"/>
    <w:rsid w:val="005C3711"/>
    <w:rsid w:val="005C4329"/>
    <w:rsid w:val="005C6268"/>
    <w:rsid w:val="005E304C"/>
    <w:rsid w:val="005E6BF1"/>
    <w:rsid w:val="005E7D0C"/>
    <w:rsid w:val="005F0707"/>
    <w:rsid w:val="005F27B6"/>
    <w:rsid w:val="005F3E19"/>
    <w:rsid w:val="005F4F80"/>
    <w:rsid w:val="005F603D"/>
    <w:rsid w:val="00611C23"/>
    <w:rsid w:val="006131A4"/>
    <w:rsid w:val="00624B9F"/>
    <w:rsid w:val="00630703"/>
    <w:rsid w:val="00633349"/>
    <w:rsid w:val="00634CE3"/>
    <w:rsid w:val="0063776D"/>
    <w:rsid w:val="0064293E"/>
    <w:rsid w:val="00644913"/>
    <w:rsid w:val="006459B5"/>
    <w:rsid w:val="00645D63"/>
    <w:rsid w:val="00646C78"/>
    <w:rsid w:val="00650BA4"/>
    <w:rsid w:val="00650D6D"/>
    <w:rsid w:val="00652328"/>
    <w:rsid w:val="006579F1"/>
    <w:rsid w:val="00661A27"/>
    <w:rsid w:val="0066356C"/>
    <w:rsid w:val="006666D9"/>
    <w:rsid w:val="00675CDF"/>
    <w:rsid w:val="00681F15"/>
    <w:rsid w:val="006842F9"/>
    <w:rsid w:val="006846DC"/>
    <w:rsid w:val="006849A5"/>
    <w:rsid w:val="006850D0"/>
    <w:rsid w:val="00691F2E"/>
    <w:rsid w:val="00694003"/>
    <w:rsid w:val="00696491"/>
    <w:rsid w:val="00697823"/>
    <w:rsid w:val="00697FCE"/>
    <w:rsid w:val="006A0B72"/>
    <w:rsid w:val="006A508C"/>
    <w:rsid w:val="006A57FC"/>
    <w:rsid w:val="006B096B"/>
    <w:rsid w:val="006B4A0C"/>
    <w:rsid w:val="006B633F"/>
    <w:rsid w:val="006B64CF"/>
    <w:rsid w:val="006C1326"/>
    <w:rsid w:val="006C138A"/>
    <w:rsid w:val="006C3905"/>
    <w:rsid w:val="006D720F"/>
    <w:rsid w:val="006E2159"/>
    <w:rsid w:val="006E3E7F"/>
    <w:rsid w:val="006E752C"/>
    <w:rsid w:val="006E7DEF"/>
    <w:rsid w:val="006F05E7"/>
    <w:rsid w:val="007003F8"/>
    <w:rsid w:val="00706F35"/>
    <w:rsid w:val="00711E2C"/>
    <w:rsid w:val="00712828"/>
    <w:rsid w:val="007143FC"/>
    <w:rsid w:val="0071483A"/>
    <w:rsid w:val="0071631A"/>
    <w:rsid w:val="00717447"/>
    <w:rsid w:val="00717D22"/>
    <w:rsid w:val="00717ED6"/>
    <w:rsid w:val="00721520"/>
    <w:rsid w:val="007216B0"/>
    <w:rsid w:val="007246CB"/>
    <w:rsid w:val="00724BCB"/>
    <w:rsid w:val="007309C7"/>
    <w:rsid w:val="00735980"/>
    <w:rsid w:val="0075292F"/>
    <w:rsid w:val="00753EEC"/>
    <w:rsid w:val="0075465B"/>
    <w:rsid w:val="0075512B"/>
    <w:rsid w:val="007562C9"/>
    <w:rsid w:val="00756CDC"/>
    <w:rsid w:val="007608D4"/>
    <w:rsid w:val="00765C33"/>
    <w:rsid w:val="007718CC"/>
    <w:rsid w:val="00771EF8"/>
    <w:rsid w:val="0077733C"/>
    <w:rsid w:val="00785E7C"/>
    <w:rsid w:val="00787E4E"/>
    <w:rsid w:val="00795302"/>
    <w:rsid w:val="00795D30"/>
    <w:rsid w:val="007969ED"/>
    <w:rsid w:val="00797DEA"/>
    <w:rsid w:val="007A6C92"/>
    <w:rsid w:val="007B10B4"/>
    <w:rsid w:val="007C0042"/>
    <w:rsid w:val="007C780A"/>
    <w:rsid w:val="007C7ECA"/>
    <w:rsid w:val="007D0898"/>
    <w:rsid w:val="007D4204"/>
    <w:rsid w:val="007D5DE3"/>
    <w:rsid w:val="007D632C"/>
    <w:rsid w:val="007E13E8"/>
    <w:rsid w:val="007E4596"/>
    <w:rsid w:val="007F3EA0"/>
    <w:rsid w:val="007F6696"/>
    <w:rsid w:val="007F69DE"/>
    <w:rsid w:val="00800B41"/>
    <w:rsid w:val="00800BF8"/>
    <w:rsid w:val="008035EA"/>
    <w:rsid w:val="0080588F"/>
    <w:rsid w:val="00807874"/>
    <w:rsid w:val="00812249"/>
    <w:rsid w:val="008305E9"/>
    <w:rsid w:val="008337F7"/>
    <w:rsid w:val="0083684B"/>
    <w:rsid w:val="00841B19"/>
    <w:rsid w:val="00845451"/>
    <w:rsid w:val="008457D3"/>
    <w:rsid w:val="00850E40"/>
    <w:rsid w:val="00853BFD"/>
    <w:rsid w:val="00855FE6"/>
    <w:rsid w:val="008604C5"/>
    <w:rsid w:val="008606DA"/>
    <w:rsid w:val="00860EBC"/>
    <w:rsid w:val="00865EB3"/>
    <w:rsid w:val="00867F9F"/>
    <w:rsid w:val="0087038F"/>
    <w:rsid w:val="0087350E"/>
    <w:rsid w:val="00873694"/>
    <w:rsid w:val="0087678F"/>
    <w:rsid w:val="00876AFC"/>
    <w:rsid w:val="008833E3"/>
    <w:rsid w:val="00885003"/>
    <w:rsid w:val="008876D6"/>
    <w:rsid w:val="00890B97"/>
    <w:rsid w:val="008A133B"/>
    <w:rsid w:val="008A2898"/>
    <w:rsid w:val="008A3E96"/>
    <w:rsid w:val="008B18BC"/>
    <w:rsid w:val="008B358E"/>
    <w:rsid w:val="008B3FA1"/>
    <w:rsid w:val="008B5441"/>
    <w:rsid w:val="008B71B8"/>
    <w:rsid w:val="008C43E5"/>
    <w:rsid w:val="008C5AFB"/>
    <w:rsid w:val="008D0268"/>
    <w:rsid w:val="008D227A"/>
    <w:rsid w:val="008D32D5"/>
    <w:rsid w:val="008D34F7"/>
    <w:rsid w:val="008D6F71"/>
    <w:rsid w:val="008E385A"/>
    <w:rsid w:val="008F1E25"/>
    <w:rsid w:val="008F237D"/>
    <w:rsid w:val="008F36C0"/>
    <w:rsid w:val="009010BA"/>
    <w:rsid w:val="0090360C"/>
    <w:rsid w:val="009067B4"/>
    <w:rsid w:val="009077BE"/>
    <w:rsid w:val="00917701"/>
    <w:rsid w:val="00917710"/>
    <w:rsid w:val="00920F48"/>
    <w:rsid w:val="0092449C"/>
    <w:rsid w:val="0092783C"/>
    <w:rsid w:val="0093045F"/>
    <w:rsid w:val="00940C77"/>
    <w:rsid w:val="00943F34"/>
    <w:rsid w:val="00947092"/>
    <w:rsid w:val="0096025C"/>
    <w:rsid w:val="00960BCD"/>
    <w:rsid w:val="00970ED1"/>
    <w:rsid w:val="00972431"/>
    <w:rsid w:val="009773AE"/>
    <w:rsid w:val="009914A3"/>
    <w:rsid w:val="009915FF"/>
    <w:rsid w:val="00991794"/>
    <w:rsid w:val="0099332A"/>
    <w:rsid w:val="009959DE"/>
    <w:rsid w:val="009A31C1"/>
    <w:rsid w:val="009A3878"/>
    <w:rsid w:val="009A4A17"/>
    <w:rsid w:val="009A5546"/>
    <w:rsid w:val="009B454D"/>
    <w:rsid w:val="009B6267"/>
    <w:rsid w:val="009B6E25"/>
    <w:rsid w:val="009C1761"/>
    <w:rsid w:val="009C2BAE"/>
    <w:rsid w:val="009C5FB6"/>
    <w:rsid w:val="009D5F1B"/>
    <w:rsid w:val="009E3A26"/>
    <w:rsid w:val="009E4963"/>
    <w:rsid w:val="009E4E4A"/>
    <w:rsid w:val="009E5A8A"/>
    <w:rsid w:val="009E7D83"/>
    <w:rsid w:val="009F3848"/>
    <w:rsid w:val="009F563E"/>
    <w:rsid w:val="009F5AD1"/>
    <w:rsid w:val="009F63BD"/>
    <w:rsid w:val="009F65B0"/>
    <w:rsid w:val="00A07972"/>
    <w:rsid w:val="00A13CFE"/>
    <w:rsid w:val="00A13F82"/>
    <w:rsid w:val="00A1632E"/>
    <w:rsid w:val="00A1652A"/>
    <w:rsid w:val="00A31DD6"/>
    <w:rsid w:val="00A36B55"/>
    <w:rsid w:val="00A36BE8"/>
    <w:rsid w:val="00A40F62"/>
    <w:rsid w:val="00A42EBA"/>
    <w:rsid w:val="00A44627"/>
    <w:rsid w:val="00A452C7"/>
    <w:rsid w:val="00A455D3"/>
    <w:rsid w:val="00A52913"/>
    <w:rsid w:val="00A55AD6"/>
    <w:rsid w:val="00A57F87"/>
    <w:rsid w:val="00A61ED7"/>
    <w:rsid w:val="00A64003"/>
    <w:rsid w:val="00A64130"/>
    <w:rsid w:val="00A66ABF"/>
    <w:rsid w:val="00A73A52"/>
    <w:rsid w:val="00A75835"/>
    <w:rsid w:val="00AA047A"/>
    <w:rsid w:val="00AA25AD"/>
    <w:rsid w:val="00AA4922"/>
    <w:rsid w:val="00AA60F6"/>
    <w:rsid w:val="00AA685F"/>
    <w:rsid w:val="00AB46C7"/>
    <w:rsid w:val="00AB4FAD"/>
    <w:rsid w:val="00AC3130"/>
    <w:rsid w:val="00AC5337"/>
    <w:rsid w:val="00AC6622"/>
    <w:rsid w:val="00AD6CA9"/>
    <w:rsid w:val="00AE049B"/>
    <w:rsid w:val="00AE3775"/>
    <w:rsid w:val="00AF0302"/>
    <w:rsid w:val="00AF1FA0"/>
    <w:rsid w:val="00AF3308"/>
    <w:rsid w:val="00AF79ED"/>
    <w:rsid w:val="00B00AB8"/>
    <w:rsid w:val="00B02F9D"/>
    <w:rsid w:val="00B03FBE"/>
    <w:rsid w:val="00B07D1F"/>
    <w:rsid w:val="00B10505"/>
    <w:rsid w:val="00B1140D"/>
    <w:rsid w:val="00B1540F"/>
    <w:rsid w:val="00B25B2D"/>
    <w:rsid w:val="00B26970"/>
    <w:rsid w:val="00B27609"/>
    <w:rsid w:val="00B36B47"/>
    <w:rsid w:val="00B36C38"/>
    <w:rsid w:val="00B4101B"/>
    <w:rsid w:val="00B4604F"/>
    <w:rsid w:val="00B53ED0"/>
    <w:rsid w:val="00B57504"/>
    <w:rsid w:val="00B607B3"/>
    <w:rsid w:val="00B7097B"/>
    <w:rsid w:val="00B723FF"/>
    <w:rsid w:val="00B72DEC"/>
    <w:rsid w:val="00B803AE"/>
    <w:rsid w:val="00B8206F"/>
    <w:rsid w:val="00B82103"/>
    <w:rsid w:val="00B82126"/>
    <w:rsid w:val="00B87DE9"/>
    <w:rsid w:val="00BA7192"/>
    <w:rsid w:val="00BA734E"/>
    <w:rsid w:val="00BC48FF"/>
    <w:rsid w:val="00BC70E9"/>
    <w:rsid w:val="00BD3592"/>
    <w:rsid w:val="00BE4A16"/>
    <w:rsid w:val="00BE4D89"/>
    <w:rsid w:val="00BE5651"/>
    <w:rsid w:val="00BF2D0E"/>
    <w:rsid w:val="00BF4759"/>
    <w:rsid w:val="00C01E4B"/>
    <w:rsid w:val="00C02A46"/>
    <w:rsid w:val="00C052E8"/>
    <w:rsid w:val="00C05995"/>
    <w:rsid w:val="00C06147"/>
    <w:rsid w:val="00C075E9"/>
    <w:rsid w:val="00C17D3E"/>
    <w:rsid w:val="00C239D9"/>
    <w:rsid w:val="00C3030B"/>
    <w:rsid w:val="00C31D23"/>
    <w:rsid w:val="00C41C16"/>
    <w:rsid w:val="00C42CB1"/>
    <w:rsid w:val="00C43245"/>
    <w:rsid w:val="00C56869"/>
    <w:rsid w:val="00C5764F"/>
    <w:rsid w:val="00C577B4"/>
    <w:rsid w:val="00C74135"/>
    <w:rsid w:val="00C81F45"/>
    <w:rsid w:val="00C87BD7"/>
    <w:rsid w:val="00C90C3D"/>
    <w:rsid w:val="00CA05DA"/>
    <w:rsid w:val="00CA0B76"/>
    <w:rsid w:val="00CA0EC2"/>
    <w:rsid w:val="00CA25C2"/>
    <w:rsid w:val="00CA48A7"/>
    <w:rsid w:val="00CB25F7"/>
    <w:rsid w:val="00CB2D7E"/>
    <w:rsid w:val="00CB3C1F"/>
    <w:rsid w:val="00CB459A"/>
    <w:rsid w:val="00CB70EF"/>
    <w:rsid w:val="00CB7484"/>
    <w:rsid w:val="00CC008C"/>
    <w:rsid w:val="00CC1CB9"/>
    <w:rsid w:val="00CC202A"/>
    <w:rsid w:val="00CC39BF"/>
    <w:rsid w:val="00CC7612"/>
    <w:rsid w:val="00CD136D"/>
    <w:rsid w:val="00CD1646"/>
    <w:rsid w:val="00CD503B"/>
    <w:rsid w:val="00CE0344"/>
    <w:rsid w:val="00CE0A64"/>
    <w:rsid w:val="00CE3328"/>
    <w:rsid w:val="00CE6507"/>
    <w:rsid w:val="00CF75BA"/>
    <w:rsid w:val="00D012E4"/>
    <w:rsid w:val="00D04970"/>
    <w:rsid w:val="00D06A34"/>
    <w:rsid w:val="00D06E61"/>
    <w:rsid w:val="00D1599E"/>
    <w:rsid w:val="00D17459"/>
    <w:rsid w:val="00D242CB"/>
    <w:rsid w:val="00D27AB5"/>
    <w:rsid w:val="00D32FD1"/>
    <w:rsid w:val="00D33BEC"/>
    <w:rsid w:val="00D33ED9"/>
    <w:rsid w:val="00D40105"/>
    <w:rsid w:val="00D4180B"/>
    <w:rsid w:val="00D42C3D"/>
    <w:rsid w:val="00D53D1A"/>
    <w:rsid w:val="00D611DC"/>
    <w:rsid w:val="00D6381C"/>
    <w:rsid w:val="00D70F49"/>
    <w:rsid w:val="00D759EC"/>
    <w:rsid w:val="00D7635C"/>
    <w:rsid w:val="00D8472E"/>
    <w:rsid w:val="00D8590F"/>
    <w:rsid w:val="00DA2A2B"/>
    <w:rsid w:val="00DA3201"/>
    <w:rsid w:val="00DA3AC3"/>
    <w:rsid w:val="00DA5519"/>
    <w:rsid w:val="00DA5B66"/>
    <w:rsid w:val="00DA711D"/>
    <w:rsid w:val="00DA7284"/>
    <w:rsid w:val="00DB1CF8"/>
    <w:rsid w:val="00DB40EC"/>
    <w:rsid w:val="00DB5531"/>
    <w:rsid w:val="00DB70FE"/>
    <w:rsid w:val="00DD58CF"/>
    <w:rsid w:val="00DE5270"/>
    <w:rsid w:val="00DE669A"/>
    <w:rsid w:val="00DE7F0D"/>
    <w:rsid w:val="00DE7FD4"/>
    <w:rsid w:val="00DF17C8"/>
    <w:rsid w:val="00DF1F07"/>
    <w:rsid w:val="00DF22ED"/>
    <w:rsid w:val="00E00499"/>
    <w:rsid w:val="00E0359E"/>
    <w:rsid w:val="00E04721"/>
    <w:rsid w:val="00E107E8"/>
    <w:rsid w:val="00E10E35"/>
    <w:rsid w:val="00E1246E"/>
    <w:rsid w:val="00E167F4"/>
    <w:rsid w:val="00E2291A"/>
    <w:rsid w:val="00E23610"/>
    <w:rsid w:val="00E32E04"/>
    <w:rsid w:val="00E330A2"/>
    <w:rsid w:val="00E345EF"/>
    <w:rsid w:val="00E35EF5"/>
    <w:rsid w:val="00E374B8"/>
    <w:rsid w:val="00E42F7A"/>
    <w:rsid w:val="00E44346"/>
    <w:rsid w:val="00E578D4"/>
    <w:rsid w:val="00E6105D"/>
    <w:rsid w:val="00E65354"/>
    <w:rsid w:val="00E65F60"/>
    <w:rsid w:val="00E73671"/>
    <w:rsid w:val="00E74F12"/>
    <w:rsid w:val="00E76AB8"/>
    <w:rsid w:val="00E76ACE"/>
    <w:rsid w:val="00E7719D"/>
    <w:rsid w:val="00E80B0F"/>
    <w:rsid w:val="00E8132D"/>
    <w:rsid w:val="00E84FD1"/>
    <w:rsid w:val="00E93312"/>
    <w:rsid w:val="00E96181"/>
    <w:rsid w:val="00E962E3"/>
    <w:rsid w:val="00E96395"/>
    <w:rsid w:val="00E96A41"/>
    <w:rsid w:val="00E96DB1"/>
    <w:rsid w:val="00EB0EAE"/>
    <w:rsid w:val="00EB3A75"/>
    <w:rsid w:val="00EC0E2B"/>
    <w:rsid w:val="00EC2314"/>
    <w:rsid w:val="00EC261B"/>
    <w:rsid w:val="00EC6589"/>
    <w:rsid w:val="00ED0215"/>
    <w:rsid w:val="00EE144A"/>
    <w:rsid w:val="00EE4E1A"/>
    <w:rsid w:val="00EE6332"/>
    <w:rsid w:val="00EF0D49"/>
    <w:rsid w:val="00EF72D5"/>
    <w:rsid w:val="00F00008"/>
    <w:rsid w:val="00F04B6D"/>
    <w:rsid w:val="00F0754A"/>
    <w:rsid w:val="00F11372"/>
    <w:rsid w:val="00F143F5"/>
    <w:rsid w:val="00F147F0"/>
    <w:rsid w:val="00F147FD"/>
    <w:rsid w:val="00F21A24"/>
    <w:rsid w:val="00F232AB"/>
    <w:rsid w:val="00F25ED6"/>
    <w:rsid w:val="00F31A05"/>
    <w:rsid w:val="00F362E8"/>
    <w:rsid w:val="00F4105B"/>
    <w:rsid w:val="00F42541"/>
    <w:rsid w:val="00F438AC"/>
    <w:rsid w:val="00F442CD"/>
    <w:rsid w:val="00F46220"/>
    <w:rsid w:val="00F4748B"/>
    <w:rsid w:val="00F5456E"/>
    <w:rsid w:val="00F60FC8"/>
    <w:rsid w:val="00F62B0A"/>
    <w:rsid w:val="00F64298"/>
    <w:rsid w:val="00F666A3"/>
    <w:rsid w:val="00F724A1"/>
    <w:rsid w:val="00F771BA"/>
    <w:rsid w:val="00F812FD"/>
    <w:rsid w:val="00F82C14"/>
    <w:rsid w:val="00F87419"/>
    <w:rsid w:val="00FA0E00"/>
    <w:rsid w:val="00FA69D2"/>
    <w:rsid w:val="00FC313B"/>
    <w:rsid w:val="00FC3E33"/>
    <w:rsid w:val="00FC4B34"/>
    <w:rsid w:val="00FF15DC"/>
    <w:rsid w:val="00FF248B"/>
    <w:rsid w:val="00FF2CDD"/>
    <w:rsid w:val="00FF7C68"/>
    <w:rsid w:val="0176E386"/>
    <w:rsid w:val="03DCC444"/>
    <w:rsid w:val="0AA228A2"/>
    <w:rsid w:val="148351CA"/>
    <w:rsid w:val="197DC559"/>
    <w:rsid w:val="1ECA87C4"/>
    <w:rsid w:val="209333A2"/>
    <w:rsid w:val="218B083B"/>
    <w:rsid w:val="295BA069"/>
    <w:rsid w:val="2F8AED27"/>
    <w:rsid w:val="3690E4E5"/>
    <w:rsid w:val="39DD2E77"/>
    <w:rsid w:val="3BE4012E"/>
    <w:rsid w:val="3D49C420"/>
    <w:rsid w:val="4619880A"/>
    <w:rsid w:val="475A5B81"/>
    <w:rsid w:val="486EC456"/>
    <w:rsid w:val="499F747D"/>
    <w:rsid w:val="4AF71036"/>
    <w:rsid w:val="562DD1BC"/>
    <w:rsid w:val="5E38D93B"/>
    <w:rsid w:val="62708E93"/>
    <w:rsid w:val="635824A0"/>
    <w:rsid w:val="64468A67"/>
    <w:rsid w:val="68EB4B83"/>
    <w:rsid w:val="71E0057E"/>
    <w:rsid w:val="7279056C"/>
    <w:rsid w:val="77728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45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0D"/>
    <w:pPr>
      <w:spacing w:after="0" w:line="240" w:lineRule="auto"/>
      <w:textAlignment w:val="baseline"/>
    </w:pPr>
    <w:rPr>
      <w:rFonts w:eastAsia="Times New Roman" w:cstheme="minorHAnsi"/>
      <w:sz w:val="24"/>
      <w:szCs w:val="24"/>
      <w:lang w:eastAsia="en-AU"/>
    </w:rPr>
  </w:style>
  <w:style w:type="paragraph" w:styleId="Heading1">
    <w:name w:val="heading 1"/>
    <w:basedOn w:val="Normal"/>
    <w:next w:val="Normal"/>
    <w:link w:val="Heading1Char"/>
    <w:uiPriority w:val="9"/>
    <w:qFormat/>
    <w:rsid w:val="00B1140D"/>
    <w:pPr>
      <w:spacing w:line="360" w:lineRule="auto"/>
      <w:jc w:val="center"/>
      <w:outlineLvl w:val="0"/>
    </w:pPr>
    <w:rPr>
      <w:b/>
      <w:bCs/>
      <w:sz w:val="28"/>
      <w:szCs w:val="28"/>
    </w:rPr>
  </w:style>
  <w:style w:type="paragraph" w:styleId="Heading2">
    <w:name w:val="heading 2"/>
    <w:basedOn w:val="Normal"/>
    <w:next w:val="Normal"/>
    <w:link w:val="Heading2Char"/>
    <w:uiPriority w:val="9"/>
    <w:unhideWhenUsed/>
    <w:qFormat/>
    <w:rsid w:val="008B18BC"/>
    <w:pPr>
      <w:spacing w:line="360" w:lineRule="auto"/>
      <w:outlineLvl w:val="1"/>
    </w:pPr>
    <w:rPr>
      <w:b/>
      <w:bCs/>
      <w:i/>
      <w:iCs/>
    </w:rPr>
  </w:style>
  <w:style w:type="paragraph" w:styleId="Heading3">
    <w:name w:val="heading 3"/>
    <w:basedOn w:val="Normal"/>
    <w:next w:val="Normal"/>
    <w:link w:val="Heading3Char"/>
    <w:uiPriority w:val="9"/>
    <w:unhideWhenUsed/>
    <w:qFormat/>
    <w:rsid w:val="009E4E4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85F"/>
    <w:rPr>
      <w:rFonts w:ascii="Segoe UI" w:hAnsi="Segoe UI" w:cs="Segoe UI"/>
      <w:sz w:val="18"/>
      <w:szCs w:val="18"/>
    </w:rPr>
  </w:style>
  <w:style w:type="table" w:styleId="TableGrid">
    <w:name w:val="Table Grid"/>
    <w:basedOn w:val="TableNormal"/>
    <w:uiPriority w:val="39"/>
    <w:rsid w:val="003C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003"/>
    <w:pPr>
      <w:ind w:left="720"/>
      <w:contextualSpacing/>
    </w:pPr>
  </w:style>
  <w:style w:type="paragraph" w:styleId="Header">
    <w:name w:val="header"/>
    <w:basedOn w:val="Normal"/>
    <w:link w:val="HeaderChar"/>
    <w:uiPriority w:val="99"/>
    <w:unhideWhenUsed/>
    <w:rsid w:val="006B64CF"/>
    <w:pPr>
      <w:tabs>
        <w:tab w:val="center" w:pos="4513"/>
        <w:tab w:val="right" w:pos="9026"/>
      </w:tabs>
    </w:pPr>
  </w:style>
  <w:style w:type="character" w:customStyle="1" w:styleId="HeaderChar">
    <w:name w:val="Header Char"/>
    <w:basedOn w:val="DefaultParagraphFont"/>
    <w:link w:val="Header"/>
    <w:uiPriority w:val="99"/>
    <w:rsid w:val="006B64CF"/>
  </w:style>
  <w:style w:type="paragraph" w:styleId="Footer">
    <w:name w:val="footer"/>
    <w:basedOn w:val="Normal"/>
    <w:link w:val="FooterChar"/>
    <w:uiPriority w:val="99"/>
    <w:unhideWhenUsed/>
    <w:rsid w:val="006B64CF"/>
    <w:pPr>
      <w:tabs>
        <w:tab w:val="center" w:pos="4513"/>
        <w:tab w:val="right" w:pos="9026"/>
      </w:tabs>
    </w:pPr>
  </w:style>
  <w:style w:type="character" w:customStyle="1" w:styleId="FooterChar">
    <w:name w:val="Footer Char"/>
    <w:basedOn w:val="DefaultParagraphFont"/>
    <w:link w:val="Footer"/>
    <w:uiPriority w:val="99"/>
    <w:rsid w:val="006B64CF"/>
  </w:style>
  <w:style w:type="character" w:customStyle="1" w:styleId="emailstyle15">
    <w:name w:val="emailstyle15"/>
    <w:basedOn w:val="DefaultParagraphFont"/>
    <w:semiHidden/>
    <w:rsid w:val="00AF79ED"/>
    <w:rPr>
      <w:rFonts w:ascii="Calibri" w:hAnsi="Calibri" w:cs="Calibri" w:hint="default"/>
      <w:color w:val="auto"/>
    </w:rPr>
  </w:style>
  <w:style w:type="character" w:styleId="CommentReference">
    <w:name w:val="annotation reference"/>
    <w:basedOn w:val="DefaultParagraphFont"/>
    <w:uiPriority w:val="99"/>
    <w:semiHidden/>
    <w:unhideWhenUsed/>
    <w:rsid w:val="00AF79ED"/>
    <w:rPr>
      <w:sz w:val="16"/>
      <w:szCs w:val="16"/>
    </w:rPr>
  </w:style>
  <w:style w:type="paragraph" w:styleId="CommentText">
    <w:name w:val="annotation text"/>
    <w:basedOn w:val="Normal"/>
    <w:link w:val="CommentTextChar"/>
    <w:uiPriority w:val="99"/>
    <w:unhideWhenUsed/>
    <w:rsid w:val="00AF79ED"/>
    <w:rPr>
      <w:sz w:val="20"/>
      <w:szCs w:val="20"/>
    </w:rPr>
  </w:style>
  <w:style w:type="character" w:customStyle="1" w:styleId="CommentTextChar">
    <w:name w:val="Comment Text Char"/>
    <w:basedOn w:val="DefaultParagraphFont"/>
    <w:link w:val="CommentText"/>
    <w:uiPriority w:val="99"/>
    <w:rsid w:val="00AF79ED"/>
    <w:rPr>
      <w:sz w:val="20"/>
      <w:szCs w:val="20"/>
    </w:rPr>
  </w:style>
  <w:style w:type="paragraph" w:styleId="CommentSubject">
    <w:name w:val="annotation subject"/>
    <w:basedOn w:val="CommentText"/>
    <w:next w:val="CommentText"/>
    <w:link w:val="CommentSubjectChar"/>
    <w:uiPriority w:val="99"/>
    <w:semiHidden/>
    <w:unhideWhenUsed/>
    <w:rsid w:val="00AF79ED"/>
    <w:rPr>
      <w:b/>
      <w:bCs/>
    </w:rPr>
  </w:style>
  <w:style w:type="character" w:customStyle="1" w:styleId="CommentSubjectChar">
    <w:name w:val="Comment Subject Char"/>
    <w:basedOn w:val="CommentTextChar"/>
    <w:link w:val="CommentSubject"/>
    <w:uiPriority w:val="99"/>
    <w:semiHidden/>
    <w:rsid w:val="00AF79ED"/>
    <w:rPr>
      <w:b/>
      <w:bCs/>
      <w:sz w:val="20"/>
      <w:szCs w:val="20"/>
    </w:rPr>
  </w:style>
  <w:style w:type="character" w:customStyle="1" w:styleId="Heading1Char">
    <w:name w:val="Heading 1 Char"/>
    <w:basedOn w:val="DefaultParagraphFont"/>
    <w:link w:val="Heading1"/>
    <w:uiPriority w:val="9"/>
    <w:rsid w:val="00B1140D"/>
    <w:rPr>
      <w:rFonts w:eastAsia="Times New Roman" w:cstheme="minorHAnsi"/>
      <w:b/>
      <w:bCs/>
      <w:sz w:val="28"/>
      <w:szCs w:val="28"/>
      <w:lang w:eastAsia="en-AU"/>
    </w:rPr>
  </w:style>
  <w:style w:type="character" w:customStyle="1" w:styleId="Heading2Char">
    <w:name w:val="Heading 2 Char"/>
    <w:basedOn w:val="DefaultParagraphFont"/>
    <w:link w:val="Heading2"/>
    <w:uiPriority w:val="9"/>
    <w:rsid w:val="008B18BC"/>
    <w:rPr>
      <w:rFonts w:cstheme="minorHAnsi"/>
      <w:b/>
      <w:bCs/>
      <w:i/>
      <w:iCs/>
    </w:rPr>
  </w:style>
  <w:style w:type="character" w:customStyle="1" w:styleId="Heading3Char">
    <w:name w:val="Heading 3 Char"/>
    <w:basedOn w:val="DefaultParagraphFont"/>
    <w:link w:val="Heading3"/>
    <w:uiPriority w:val="9"/>
    <w:rsid w:val="009E4E4A"/>
    <w:rPr>
      <w:rFonts w:asciiTheme="majorHAnsi" w:eastAsiaTheme="majorEastAsia" w:hAnsiTheme="majorHAnsi" w:cstheme="majorBidi"/>
      <w:color w:val="1F3763" w:themeColor="accent1" w:themeShade="7F"/>
      <w:sz w:val="24"/>
      <w:szCs w:val="24"/>
    </w:rPr>
  </w:style>
  <w:style w:type="table" w:customStyle="1" w:styleId="GridTable5Dark-Accent11">
    <w:name w:val="Grid Table 5 Dark - Accent 11"/>
    <w:basedOn w:val="TableNormal"/>
    <w:next w:val="GridTable5Dark-Accent1"/>
    <w:uiPriority w:val="50"/>
    <w:rsid w:val="00D33ED9"/>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F3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5C5B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5C5B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5C5B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5C5B4"/>
      </w:tcPr>
    </w:tblStylePr>
    <w:tblStylePr w:type="band1Vert">
      <w:tblPr/>
      <w:tcPr>
        <w:shd w:val="clear" w:color="auto" w:fill="C1E7E0"/>
      </w:tcPr>
    </w:tblStylePr>
    <w:tblStylePr w:type="band1Horz">
      <w:tblPr/>
      <w:tcPr>
        <w:shd w:val="clear" w:color="auto" w:fill="C1E7E0"/>
      </w:tcPr>
    </w:tblStylePr>
  </w:style>
  <w:style w:type="table" w:styleId="GridTable5Dark-Accent1">
    <w:name w:val="Grid Table 5 Dark Accent 1"/>
    <w:basedOn w:val="TableNormal"/>
    <w:uiPriority w:val="50"/>
    <w:rsid w:val="00D33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A13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2414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3">
    <w:name w:val="Grid Table 5 Dark Accent 3"/>
    <w:basedOn w:val="TableNormal"/>
    <w:uiPriority w:val="50"/>
    <w:rsid w:val="008454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4A4D52"/>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4A4D52"/>
  </w:style>
  <w:style w:type="character" w:customStyle="1" w:styleId="eop">
    <w:name w:val="eop"/>
    <w:basedOn w:val="DefaultParagraphFont"/>
    <w:rsid w:val="004A4D52"/>
  </w:style>
  <w:style w:type="paragraph" w:styleId="FootnoteText">
    <w:name w:val="footnote text"/>
    <w:basedOn w:val="Normal"/>
    <w:link w:val="FootnoteTextChar"/>
    <w:uiPriority w:val="99"/>
    <w:qFormat/>
    <w:rsid w:val="00F60FC8"/>
    <w:pPr>
      <w:spacing w:after="20" w:line="160" w:lineRule="atLeast"/>
    </w:pPr>
    <w:rPr>
      <w:rFonts w:eastAsiaTheme="majorEastAsia" w:cs="Calibri"/>
      <w:color w:val="000000" w:themeColor="text1"/>
      <w:sz w:val="14"/>
      <w:szCs w:val="20"/>
    </w:rPr>
  </w:style>
  <w:style w:type="character" w:customStyle="1" w:styleId="FootnoteTextChar">
    <w:name w:val="Footnote Text Char"/>
    <w:basedOn w:val="DefaultParagraphFont"/>
    <w:link w:val="FootnoteText"/>
    <w:uiPriority w:val="99"/>
    <w:rsid w:val="00F60FC8"/>
    <w:rPr>
      <w:rFonts w:eastAsiaTheme="majorEastAsia" w:cs="Calibri"/>
      <w:color w:val="000000" w:themeColor="text1"/>
      <w:sz w:val="14"/>
      <w:szCs w:val="20"/>
      <w:lang w:eastAsia="en-AU"/>
    </w:rPr>
  </w:style>
  <w:style w:type="character" w:styleId="FootnoteReference">
    <w:name w:val="footnote reference"/>
    <w:aliases w:val="Normal + Font:9 Point,Superscript 3 Point Times"/>
    <w:basedOn w:val="DefaultParagraphFont"/>
    <w:uiPriority w:val="99"/>
    <w:rsid w:val="00F60FC8"/>
    <w:rPr>
      <w:vertAlign w:val="superscript"/>
    </w:rPr>
  </w:style>
  <w:style w:type="character" w:styleId="Hyperlink">
    <w:name w:val="Hyperlink"/>
    <w:basedOn w:val="DefaultParagraphFont"/>
    <w:uiPriority w:val="99"/>
    <w:semiHidden/>
    <w:unhideWhenUsed/>
    <w:rsid w:val="00F60FC8"/>
    <w:rPr>
      <w:color w:val="0000FF"/>
      <w:u w:val="single"/>
    </w:rPr>
  </w:style>
  <w:style w:type="paragraph" w:styleId="Revision">
    <w:name w:val="Revision"/>
    <w:hidden/>
    <w:uiPriority w:val="99"/>
    <w:semiHidden/>
    <w:rsid w:val="00F60FC8"/>
    <w:pPr>
      <w:spacing w:after="0" w:line="240" w:lineRule="auto"/>
    </w:pPr>
  </w:style>
  <w:style w:type="character" w:styleId="FollowedHyperlink">
    <w:name w:val="FollowedHyperlink"/>
    <w:basedOn w:val="DefaultParagraphFont"/>
    <w:uiPriority w:val="99"/>
    <w:semiHidden/>
    <w:unhideWhenUsed/>
    <w:rsid w:val="00F07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816">
      <w:bodyDiv w:val="1"/>
      <w:marLeft w:val="0"/>
      <w:marRight w:val="0"/>
      <w:marTop w:val="0"/>
      <w:marBottom w:val="0"/>
      <w:divBdr>
        <w:top w:val="none" w:sz="0" w:space="0" w:color="auto"/>
        <w:left w:val="none" w:sz="0" w:space="0" w:color="auto"/>
        <w:bottom w:val="none" w:sz="0" w:space="0" w:color="auto"/>
        <w:right w:val="none" w:sz="0" w:space="0" w:color="auto"/>
      </w:divBdr>
      <w:divsChild>
        <w:div w:id="580598390">
          <w:marLeft w:val="0"/>
          <w:marRight w:val="0"/>
          <w:marTop w:val="0"/>
          <w:marBottom w:val="0"/>
          <w:divBdr>
            <w:top w:val="none" w:sz="0" w:space="0" w:color="auto"/>
            <w:left w:val="none" w:sz="0" w:space="0" w:color="auto"/>
            <w:bottom w:val="none" w:sz="0" w:space="0" w:color="auto"/>
            <w:right w:val="none" w:sz="0" w:space="0" w:color="auto"/>
          </w:divBdr>
        </w:div>
        <w:div w:id="1574579176">
          <w:marLeft w:val="0"/>
          <w:marRight w:val="0"/>
          <w:marTop w:val="0"/>
          <w:marBottom w:val="0"/>
          <w:divBdr>
            <w:top w:val="none" w:sz="0" w:space="0" w:color="auto"/>
            <w:left w:val="none" w:sz="0" w:space="0" w:color="auto"/>
            <w:bottom w:val="none" w:sz="0" w:space="0" w:color="auto"/>
            <w:right w:val="none" w:sz="0" w:space="0" w:color="auto"/>
          </w:divBdr>
        </w:div>
      </w:divsChild>
    </w:div>
    <w:div w:id="617683504">
      <w:bodyDiv w:val="1"/>
      <w:marLeft w:val="0"/>
      <w:marRight w:val="0"/>
      <w:marTop w:val="0"/>
      <w:marBottom w:val="0"/>
      <w:divBdr>
        <w:top w:val="none" w:sz="0" w:space="0" w:color="auto"/>
        <w:left w:val="none" w:sz="0" w:space="0" w:color="auto"/>
        <w:bottom w:val="none" w:sz="0" w:space="0" w:color="auto"/>
        <w:right w:val="none" w:sz="0" w:space="0" w:color="auto"/>
      </w:divBdr>
    </w:div>
    <w:div w:id="1114592526">
      <w:bodyDiv w:val="1"/>
      <w:marLeft w:val="0"/>
      <w:marRight w:val="0"/>
      <w:marTop w:val="0"/>
      <w:marBottom w:val="0"/>
      <w:divBdr>
        <w:top w:val="none" w:sz="0" w:space="0" w:color="auto"/>
        <w:left w:val="none" w:sz="0" w:space="0" w:color="auto"/>
        <w:bottom w:val="none" w:sz="0" w:space="0" w:color="auto"/>
        <w:right w:val="none" w:sz="0" w:space="0" w:color="auto"/>
      </w:divBdr>
      <w:divsChild>
        <w:div w:id="384987542">
          <w:marLeft w:val="0"/>
          <w:marRight w:val="0"/>
          <w:marTop w:val="0"/>
          <w:marBottom w:val="0"/>
          <w:divBdr>
            <w:top w:val="none" w:sz="0" w:space="0" w:color="auto"/>
            <w:left w:val="none" w:sz="0" w:space="0" w:color="auto"/>
            <w:bottom w:val="none" w:sz="0" w:space="0" w:color="auto"/>
            <w:right w:val="none" w:sz="0" w:space="0" w:color="auto"/>
          </w:divBdr>
        </w:div>
        <w:div w:id="773330206">
          <w:marLeft w:val="0"/>
          <w:marRight w:val="0"/>
          <w:marTop w:val="0"/>
          <w:marBottom w:val="0"/>
          <w:divBdr>
            <w:top w:val="none" w:sz="0" w:space="0" w:color="auto"/>
            <w:left w:val="none" w:sz="0" w:space="0" w:color="auto"/>
            <w:bottom w:val="none" w:sz="0" w:space="0" w:color="auto"/>
            <w:right w:val="none" w:sz="0" w:space="0" w:color="auto"/>
          </w:divBdr>
        </w:div>
        <w:div w:id="791872508">
          <w:marLeft w:val="0"/>
          <w:marRight w:val="0"/>
          <w:marTop w:val="0"/>
          <w:marBottom w:val="0"/>
          <w:divBdr>
            <w:top w:val="none" w:sz="0" w:space="0" w:color="auto"/>
            <w:left w:val="none" w:sz="0" w:space="0" w:color="auto"/>
            <w:bottom w:val="none" w:sz="0" w:space="0" w:color="auto"/>
            <w:right w:val="none" w:sz="0" w:space="0" w:color="auto"/>
          </w:divBdr>
        </w:div>
      </w:divsChild>
    </w:div>
    <w:div w:id="14802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B932-8E61-44A8-8A30-9902838F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9591</Characters>
  <Application>Microsoft Office Word</Application>
  <DocSecurity>4</DocSecurity>
  <Lines>342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Australian Infrastructure Financing Facility for the Pacific (AIFFP), Two-Year System-Wide Review</dc:title>
  <dc:subject/>
  <dc:creator/>
  <cp:keywords>[SEC=OFFICIAL]</cp:keywords>
  <dc:description/>
  <cp:lastModifiedBy/>
  <cp:revision>1</cp:revision>
  <dcterms:created xsi:type="dcterms:W3CDTF">2022-11-18T00:29:00Z</dcterms:created>
  <dcterms:modified xsi:type="dcterms:W3CDTF">2022-11-18T00:29:00Z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529EA33D0C2A4B648C332D2BF25BC80E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2022-11-18T00:29:40Z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DFE4E05FD333C45C0F89708F858DF141</vt:lpwstr>
  </property>
  <property fmtid="{D5CDD505-2E9C-101B-9397-08002B2CF9AE}" pid="21" name="PM_Hash_Salt">
    <vt:lpwstr>7B7DDC3ED28BF33666870B234DC85BB6</vt:lpwstr>
  </property>
  <property fmtid="{D5CDD505-2E9C-101B-9397-08002B2CF9AE}" pid="22" name="PM_Hash_SHA1">
    <vt:lpwstr>523E50E1EA62137A6C4831342B28CFE404E550D8</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