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6F46" w14:textId="32A75EA0" w:rsidR="008D271A" w:rsidRPr="00ED2911" w:rsidRDefault="0088640C" w:rsidP="006400EA">
      <w:pPr>
        <w:jc w:val="center"/>
        <w:rPr>
          <w:rFonts w:cs="Arial"/>
          <w:b/>
          <w:bCs/>
        </w:rPr>
      </w:pPr>
      <w:r w:rsidRPr="00ED2911">
        <w:rPr>
          <w:rFonts w:cs="Arial"/>
          <w:b/>
          <w:bCs/>
        </w:rPr>
        <w:t xml:space="preserve">ANNEX </w:t>
      </w:r>
      <w:r w:rsidR="00445108" w:rsidRPr="00ED2911">
        <w:rPr>
          <w:rFonts w:cs="Arial"/>
          <w:b/>
          <w:bCs/>
        </w:rPr>
        <w:t>8</w:t>
      </w:r>
      <w:r w:rsidRPr="00ED2911">
        <w:rPr>
          <w:rFonts w:cs="Arial"/>
          <w:b/>
          <w:bCs/>
        </w:rPr>
        <w:t>A</w:t>
      </w:r>
      <w:r w:rsidR="007D1948">
        <w:rPr>
          <w:rFonts w:cs="Arial"/>
          <w:b/>
          <w:bCs/>
        </w:rPr>
        <w:br/>
      </w:r>
      <w:r w:rsidR="008D271A" w:rsidRPr="00ED2911">
        <w:rPr>
          <w:rFonts w:cs="Arial"/>
          <w:b/>
          <w:bCs/>
        </w:rPr>
        <w:t>FINANCIAL SERVICES</w:t>
      </w:r>
    </w:p>
    <w:p w14:paraId="01FD295F" w14:textId="2301D885" w:rsidR="00445108" w:rsidRPr="00ED2911" w:rsidRDefault="00445108" w:rsidP="006400EA">
      <w:pPr>
        <w:jc w:val="center"/>
        <w:rPr>
          <w:rFonts w:cs="Arial"/>
        </w:rPr>
      </w:pPr>
    </w:p>
    <w:p w14:paraId="18DC3631" w14:textId="77777777" w:rsidR="0037467D" w:rsidRPr="00ED2911" w:rsidRDefault="0037467D" w:rsidP="006400EA">
      <w:pPr>
        <w:jc w:val="center"/>
        <w:rPr>
          <w:rFonts w:cs="Arial"/>
        </w:rPr>
      </w:pPr>
    </w:p>
    <w:p w14:paraId="7F63577C" w14:textId="241AF4C9" w:rsidR="008D271A" w:rsidRPr="00ED2911" w:rsidRDefault="008D271A" w:rsidP="005027B0">
      <w:pPr>
        <w:pStyle w:val="Heading2"/>
      </w:pPr>
      <w:r w:rsidRPr="00ED2911">
        <w:t xml:space="preserve">Article </w:t>
      </w:r>
      <w:r w:rsidR="00445108" w:rsidRPr="00ED2911">
        <w:t>8A.</w:t>
      </w:r>
      <w:r w:rsidRPr="00ED2911">
        <w:t>1</w:t>
      </w:r>
      <w:r w:rsidR="0037467D" w:rsidRPr="00ED2911">
        <w:rPr>
          <w:b w:val="0"/>
        </w:rPr>
        <w:br/>
      </w:r>
      <w:r w:rsidRPr="00ED2911">
        <w:t>Definitions</w:t>
      </w:r>
    </w:p>
    <w:p w14:paraId="212026E3" w14:textId="77777777" w:rsidR="008D271A" w:rsidRPr="006400EA" w:rsidRDefault="008D271A" w:rsidP="006400EA">
      <w:pPr>
        <w:pStyle w:val="Body"/>
        <w:rPr>
          <w:rFonts w:cs="Arial"/>
          <w:color w:val="auto"/>
          <w:lang w:val="en-AU"/>
        </w:rPr>
      </w:pPr>
    </w:p>
    <w:p w14:paraId="6980893C" w14:textId="77777777" w:rsidR="008D271A" w:rsidRPr="006400EA" w:rsidRDefault="008D271A" w:rsidP="005027B0">
      <w:pPr>
        <w:pStyle w:val="Body"/>
        <w:ind w:left="720"/>
        <w:rPr>
          <w:rFonts w:cs="Arial"/>
          <w:color w:val="auto"/>
          <w:lang w:val="en-AU"/>
        </w:rPr>
      </w:pPr>
      <w:r w:rsidRPr="006400EA">
        <w:rPr>
          <w:rFonts w:cs="Arial"/>
          <w:color w:val="auto"/>
          <w:lang w:val="en-AU"/>
        </w:rPr>
        <w:t>For the purposes of this Annex:</w:t>
      </w:r>
    </w:p>
    <w:p w14:paraId="031DBA89" w14:textId="77777777" w:rsidR="008D271A" w:rsidRPr="006400EA" w:rsidRDefault="008D271A" w:rsidP="006400EA">
      <w:pPr>
        <w:pStyle w:val="Body"/>
        <w:rPr>
          <w:rFonts w:cs="Arial"/>
          <w:color w:val="auto"/>
          <w:lang w:val="en-AU"/>
        </w:rPr>
      </w:pPr>
    </w:p>
    <w:p w14:paraId="24BAD34E" w14:textId="1DE52C44" w:rsidR="00472ABA" w:rsidRPr="005D0D9B" w:rsidRDefault="00472ABA" w:rsidP="00472ABA">
      <w:pPr>
        <w:pStyle w:val="Body"/>
        <w:ind w:left="1440" w:hanging="720"/>
        <w:rPr>
          <w:rFonts w:cs="Arial"/>
          <w:color w:val="auto"/>
          <w:lang w:val="en-AU"/>
        </w:rPr>
      </w:pPr>
      <w:r w:rsidRPr="005027B0">
        <w:rPr>
          <w:rFonts w:cs="Arial"/>
        </w:rPr>
        <w:t xml:space="preserve">(a) </w:t>
      </w:r>
      <w:r w:rsidRPr="005027B0">
        <w:rPr>
          <w:rFonts w:cs="Arial"/>
        </w:rPr>
        <w:tab/>
      </w:r>
      <w:r w:rsidR="008D271A" w:rsidRPr="006400EA">
        <w:rPr>
          <w:rFonts w:cs="Arial"/>
          <w:b/>
          <w:bCs/>
          <w:color w:val="auto"/>
          <w:lang w:val="en-AU"/>
        </w:rPr>
        <w:t>financial institution</w:t>
      </w:r>
      <w:r w:rsidR="008D271A" w:rsidRPr="006400EA">
        <w:rPr>
          <w:rFonts w:cs="Arial"/>
          <w:color w:val="auto"/>
          <w:lang w:val="en-AU"/>
        </w:rPr>
        <w:t xml:space="preserve"> means any financial intermediary or other juridical person that is authorised to do business and regulated or supervised as a financial institution, under the laws and regulations of the Party in whose territory it is located;</w:t>
      </w:r>
    </w:p>
    <w:p w14:paraId="6133E737" w14:textId="77777777" w:rsidR="00472ABA" w:rsidRPr="00472ABA" w:rsidRDefault="00472ABA" w:rsidP="005D0D9B">
      <w:pPr>
        <w:pStyle w:val="Body"/>
        <w:ind w:left="1440" w:hanging="720"/>
        <w:rPr>
          <w:rFonts w:cs="Arial"/>
          <w:color w:val="auto"/>
          <w:lang w:val="en-AU"/>
        </w:rPr>
      </w:pPr>
    </w:p>
    <w:p w14:paraId="606B6DCD" w14:textId="53881618" w:rsidR="008D271A" w:rsidRPr="006400EA" w:rsidRDefault="00472ABA" w:rsidP="005D0D9B">
      <w:pPr>
        <w:pStyle w:val="Body"/>
        <w:ind w:left="1440" w:hanging="720"/>
        <w:rPr>
          <w:rFonts w:cs="Arial"/>
          <w:color w:val="auto"/>
          <w:lang w:val="en-AU"/>
        </w:rPr>
      </w:pPr>
      <w:r>
        <w:rPr>
          <w:rFonts w:cs="Arial"/>
          <w:color w:val="auto"/>
          <w:lang w:val="en-AU"/>
        </w:rPr>
        <w:t xml:space="preserve">(b) </w:t>
      </w:r>
      <w:r>
        <w:rPr>
          <w:rFonts w:cs="Arial"/>
          <w:color w:val="auto"/>
          <w:lang w:val="en-AU"/>
        </w:rPr>
        <w:tab/>
      </w:r>
      <w:r w:rsidR="008D271A" w:rsidRPr="006400EA">
        <w:rPr>
          <w:rFonts w:cs="Arial"/>
          <w:b/>
          <w:bCs/>
          <w:color w:val="auto"/>
          <w:lang w:val="en-AU"/>
        </w:rPr>
        <w:t>financial service</w:t>
      </w:r>
      <w:r w:rsidR="008D271A" w:rsidRPr="006400EA">
        <w:rPr>
          <w:rFonts w:cs="Arial"/>
          <w:color w:val="auto"/>
          <w:lang w:val="en-AU"/>
        </w:rPr>
        <w:t xml:space="preserve"> means any service of a financial nature offered by a financial service supplier of a Party. Financial services include all insurance and insurance-related services, and all banking and other financial services (excluding insurance). Financial services include the following activities:</w:t>
      </w:r>
    </w:p>
    <w:p w14:paraId="51E19134" w14:textId="77777777" w:rsidR="00EE01B4" w:rsidRPr="006400EA" w:rsidRDefault="00EE01B4" w:rsidP="005027B0">
      <w:pPr>
        <w:pStyle w:val="ListParagraph"/>
        <w:spacing w:after="0" w:line="240" w:lineRule="auto"/>
        <w:ind w:left="2160" w:hanging="720"/>
        <w:contextualSpacing w:val="0"/>
        <w:rPr>
          <w:rFonts w:ascii="Arial" w:hAnsi="Arial" w:cs="Arial"/>
          <w:sz w:val="24"/>
          <w:szCs w:val="24"/>
          <w:lang w:val="en-AU"/>
        </w:rPr>
      </w:pPr>
    </w:p>
    <w:p w14:paraId="480E71DF" w14:textId="77777777" w:rsidR="008D271A" w:rsidRPr="00761938" w:rsidRDefault="008D271A" w:rsidP="005027B0">
      <w:pPr>
        <w:pStyle w:val="Body"/>
        <w:ind w:left="2160" w:hanging="720"/>
        <w:rPr>
          <w:rFonts w:cs="Arial"/>
          <w:i/>
          <w:iCs/>
          <w:color w:val="auto"/>
          <w:lang w:val="en-AU"/>
        </w:rPr>
      </w:pPr>
      <w:r w:rsidRPr="00761938">
        <w:rPr>
          <w:rFonts w:cs="Arial"/>
          <w:i/>
          <w:iCs/>
          <w:color w:val="auto"/>
          <w:lang w:val="en-AU"/>
        </w:rPr>
        <w:t>Insurance and insurance-related services</w:t>
      </w:r>
    </w:p>
    <w:p w14:paraId="6D33622F" w14:textId="77777777" w:rsidR="008D271A" w:rsidRPr="006400EA" w:rsidRDefault="008D271A" w:rsidP="005027B0">
      <w:pPr>
        <w:pStyle w:val="Body"/>
        <w:ind w:left="2160" w:hanging="720"/>
        <w:rPr>
          <w:rFonts w:cs="Arial"/>
          <w:color w:val="auto"/>
          <w:lang w:val="en-AU"/>
        </w:rPr>
      </w:pPr>
    </w:p>
    <w:p w14:paraId="674A8DAC" w14:textId="77777777" w:rsidR="008D271A" w:rsidRPr="006400EA" w:rsidRDefault="008D271A" w:rsidP="005027B0">
      <w:pPr>
        <w:pStyle w:val="Body"/>
        <w:ind w:left="2160" w:hanging="720"/>
        <w:rPr>
          <w:rFonts w:cs="Arial"/>
          <w:color w:val="auto"/>
          <w:lang w:val="en-AU"/>
        </w:rPr>
      </w:pPr>
      <w:r w:rsidRPr="006400EA">
        <w:rPr>
          <w:rFonts w:cs="Arial"/>
          <w:color w:val="auto"/>
          <w:lang w:val="en-AU"/>
        </w:rPr>
        <w:t>(</w:t>
      </w:r>
      <w:proofErr w:type="spellStart"/>
      <w:r w:rsidRPr="006400EA">
        <w:rPr>
          <w:rFonts w:cs="Arial"/>
          <w:color w:val="auto"/>
          <w:lang w:val="en-AU"/>
        </w:rPr>
        <w:t>i</w:t>
      </w:r>
      <w:proofErr w:type="spellEnd"/>
      <w:r w:rsidRPr="006400EA">
        <w:rPr>
          <w:rFonts w:cs="Arial"/>
          <w:color w:val="auto"/>
          <w:lang w:val="en-AU"/>
        </w:rPr>
        <w:t xml:space="preserve">) </w:t>
      </w:r>
      <w:r w:rsidRPr="006400EA">
        <w:rPr>
          <w:rFonts w:cs="Arial"/>
          <w:color w:val="auto"/>
          <w:lang w:val="en-AU"/>
        </w:rPr>
        <w:tab/>
        <w:t>direct insurance (including co-insurance):</w:t>
      </w:r>
    </w:p>
    <w:p w14:paraId="3229EF34" w14:textId="77777777" w:rsidR="008D271A" w:rsidRPr="006400EA" w:rsidRDefault="008D271A" w:rsidP="005027B0">
      <w:pPr>
        <w:pStyle w:val="Body"/>
        <w:ind w:left="2160" w:hanging="720"/>
        <w:rPr>
          <w:rFonts w:cs="Arial"/>
          <w:color w:val="auto"/>
          <w:lang w:val="en-AU"/>
        </w:rPr>
      </w:pPr>
    </w:p>
    <w:p w14:paraId="0DCA7110" w14:textId="14AAD517" w:rsidR="008D271A" w:rsidRPr="006400EA" w:rsidRDefault="009A5C21" w:rsidP="005027B0">
      <w:pPr>
        <w:pStyle w:val="Body"/>
        <w:ind w:left="2880" w:hanging="720"/>
        <w:rPr>
          <w:rFonts w:cs="Arial"/>
          <w:color w:val="auto"/>
          <w:lang w:val="en-AU"/>
        </w:rPr>
      </w:pPr>
      <w:r w:rsidRPr="006400EA">
        <w:rPr>
          <w:rFonts w:cs="Arial"/>
          <w:color w:val="auto"/>
          <w:lang w:val="en-AU"/>
        </w:rPr>
        <w:t>(A)</w:t>
      </w:r>
      <w:r w:rsidRPr="006400EA">
        <w:rPr>
          <w:rFonts w:cs="Arial"/>
          <w:color w:val="auto"/>
          <w:lang w:val="en-AU"/>
        </w:rPr>
        <w:tab/>
      </w:r>
      <w:r w:rsidR="008D271A" w:rsidRPr="006400EA">
        <w:rPr>
          <w:rFonts w:cs="Arial"/>
          <w:color w:val="auto"/>
          <w:lang w:val="en-AU"/>
        </w:rPr>
        <w:t>life; and</w:t>
      </w:r>
    </w:p>
    <w:p w14:paraId="2A603E1E" w14:textId="77777777" w:rsidR="008D271A" w:rsidRPr="006400EA" w:rsidRDefault="008D271A" w:rsidP="005027B0">
      <w:pPr>
        <w:pStyle w:val="Body"/>
        <w:ind w:left="2880" w:hanging="720"/>
        <w:rPr>
          <w:rFonts w:cs="Arial"/>
          <w:color w:val="auto"/>
          <w:lang w:val="en-AU"/>
        </w:rPr>
      </w:pPr>
    </w:p>
    <w:p w14:paraId="493BCD6E" w14:textId="77777777" w:rsidR="008D271A" w:rsidRPr="006400EA" w:rsidRDefault="008D271A" w:rsidP="005027B0">
      <w:pPr>
        <w:pStyle w:val="Body"/>
        <w:ind w:left="2880" w:hanging="720"/>
        <w:rPr>
          <w:rFonts w:cs="Arial"/>
          <w:color w:val="auto"/>
          <w:lang w:val="en-AU"/>
        </w:rPr>
      </w:pPr>
      <w:r w:rsidRPr="006400EA">
        <w:rPr>
          <w:rFonts w:cs="Arial"/>
          <w:color w:val="auto"/>
          <w:lang w:val="en-AU"/>
        </w:rPr>
        <w:t xml:space="preserve">(B) </w:t>
      </w:r>
      <w:r w:rsidRPr="006400EA">
        <w:rPr>
          <w:rFonts w:cs="Arial"/>
          <w:color w:val="auto"/>
          <w:lang w:val="en-AU"/>
        </w:rPr>
        <w:tab/>
        <w:t>non-life;</w:t>
      </w:r>
    </w:p>
    <w:p w14:paraId="1644C836" w14:textId="77777777" w:rsidR="008D271A" w:rsidRPr="006400EA" w:rsidRDefault="008D271A" w:rsidP="005027B0">
      <w:pPr>
        <w:pStyle w:val="Body"/>
        <w:ind w:left="2160" w:hanging="720"/>
        <w:rPr>
          <w:rFonts w:cs="Arial"/>
          <w:color w:val="auto"/>
          <w:lang w:val="en-AU"/>
        </w:rPr>
      </w:pPr>
    </w:p>
    <w:p w14:paraId="67C16B86" w14:textId="77777777" w:rsidR="008D271A" w:rsidRPr="006400EA" w:rsidRDefault="008D271A" w:rsidP="005027B0">
      <w:pPr>
        <w:pStyle w:val="Body"/>
        <w:ind w:left="2160" w:hanging="720"/>
        <w:rPr>
          <w:rFonts w:cs="Arial"/>
          <w:color w:val="auto"/>
          <w:lang w:val="en-AU"/>
        </w:rPr>
      </w:pPr>
      <w:r w:rsidRPr="006400EA">
        <w:rPr>
          <w:rFonts w:cs="Arial"/>
          <w:color w:val="auto"/>
          <w:lang w:val="en-AU"/>
        </w:rPr>
        <w:t xml:space="preserve">(ii) </w:t>
      </w:r>
      <w:r w:rsidRPr="006400EA">
        <w:rPr>
          <w:rFonts w:cs="Arial"/>
          <w:color w:val="auto"/>
          <w:lang w:val="en-AU"/>
        </w:rPr>
        <w:tab/>
        <w:t>reinsurance and retrocession;</w:t>
      </w:r>
    </w:p>
    <w:p w14:paraId="0246DE75" w14:textId="77777777" w:rsidR="008D271A" w:rsidRPr="006400EA" w:rsidRDefault="008D271A" w:rsidP="005027B0">
      <w:pPr>
        <w:pStyle w:val="Body"/>
        <w:ind w:left="2160" w:hanging="720"/>
        <w:rPr>
          <w:rFonts w:cs="Arial"/>
          <w:color w:val="auto"/>
          <w:lang w:val="en-AU"/>
        </w:rPr>
      </w:pPr>
    </w:p>
    <w:p w14:paraId="73D0DBC2" w14:textId="7146E2D2" w:rsidR="008D271A" w:rsidRPr="006400EA" w:rsidRDefault="008D271A" w:rsidP="005027B0">
      <w:pPr>
        <w:pStyle w:val="Body"/>
        <w:ind w:left="2160" w:hanging="720"/>
        <w:rPr>
          <w:rFonts w:cs="Arial"/>
          <w:color w:val="auto"/>
          <w:lang w:val="en-AU"/>
        </w:rPr>
      </w:pPr>
      <w:r w:rsidRPr="006400EA">
        <w:rPr>
          <w:rFonts w:cs="Arial"/>
          <w:color w:val="auto"/>
          <w:lang w:val="en-AU"/>
        </w:rPr>
        <w:t xml:space="preserve">(iii) </w:t>
      </w:r>
      <w:r w:rsidRPr="006400EA">
        <w:rPr>
          <w:rFonts w:cs="Arial"/>
          <w:color w:val="auto"/>
          <w:lang w:val="en-AU"/>
        </w:rPr>
        <w:tab/>
        <w:t>insurance intermediation, such as brokerage and agency;</w:t>
      </w:r>
    </w:p>
    <w:p w14:paraId="2E8B9698" w14:textId="77777777" w:rsidR="008D271A" w:rsidRPr="006400EA" w:rsidRDefault="008D271A" w:rsidP="005027B0">
      <w:pPr>
        <w:pStyle w:val="Body"/>
        <w:ind w:left="2160" w:hanging="720"/>
        <w:rPr>
          <w:rFonts w:cs="Arial"/>
          <w:color w:val="auto"/>
          <w:lang w:val="en-AU"/>
        </w:rPr>
      </w:pPr>
    </w:p>
    <w:p w14:paraId="3C1D0C07"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(iv) </w:t>
      </w:r>
      <w:r w:rsidRPr="006400EA">
        <w:rPr>
          <w:rFonts w:cs="Arial"/>
          <w:color w:val="auto"/>
          <w:lang w:val="en-AU"/>
        </w:rPr>
        <w:tab/>
        <w:t>services auxiliary to insurance, such as consultancy, actuarial, risk assessment, and claim settlement services;</w:t>
      </w:r>
    </w:p>
    <w:p w14:paraId="416334F8" w14:textId="77777777" w:rsidR="008D271A" w:rsidRPr="006400EA" w:rsidRDefault="008D271A" w:rsidP="005027B0">
      <w:pPr>
        <w:pStyle w:val="Body"/>
        <w:ind w:left="2160" w:hanging="720"/>
        <w:rPr>
          <w:rFonts w:cs="Arial"/>
          <w:color w:val="auto"/>
          <w:lang w:val="en-AU"/>
        </w:rPr>
      </w:pPr>
    </w:p>
    <w:p w14:paraId="15F3F26D" w14:textId="77777777" w:rsidR="008D271A" w:rsidRPr="00761938" w:rsidRDefault="008D271A" w:rsidP="005027B0">
      <w:pPr>
        <w:pStyle w:val="Body"/>
        <w:ind w:left="2160" w:hanging="720"/>
        <w:rPr>
          <w:rFonts w:cs="Arial"/>
          <w:i/>
          <w:iCs/>
          <w:color w:val="auto"/>
          <w:lang w:val="en-AU"/>
        </w:rPr>
      </w:pPr>
      <w:r w:rsidRPr="00761938">
        <w:rPr>
          <w:rFonts w:cs="Arial"/>
          <w:i/>
          <w:iCs/>
          <w:color w:val="auto"/>
          <w:lang w:val="en-AU"/>
        </w:rPr>
        <w:t>Banking and other financial services (excluding insurance)</w:t>
      </w:r>
    </w:p>
    <w:p w14:paraId="4AA7FB64" w14:textId="77777777" w:rsidR="008D271A" w:rsidRPr="006400EA" w:rsidRDefault="008D271A" w:rsidP="005027B0">
      <w:pPr>
        <w:pStyle w:val="Body"/>
        <w:ind w:left="2160" w:hanging="720"/>
        <w:rPr>
          <w:rFonts w:cs="Arial"/>
          <w:b/>
          <w:bCs/>
          <w:color w:val="auto"/>
          <w:lang w:val="en-AU"/>
        </w:rPr>
      </w:pPr>
    </w:p>
    <w:p w14:paraId="29640339"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(v) </w:t>
      </w:r>
      <w:r w:rsidRPr="006400EA">
        <w:rPr>
          <w:rFonts w:cs="Arial"/>
          <w:color w:val="auto"/>
          <w:lang w:val="en-AU"/>
        </w:rPr>
        <w:tab/>
        <w:t>acceptance of deposits and other repayable funds from the public;</w:t>
      </w:r>
    </w:p>
    <w:p w14:paraId="7CDC57A7" w14:textId="77777777" w:rsidR="008D271A" w:rsidRPr="006400EA" w:rsidRDefault="008D271A" w:rsidP="005027B0">
      <w:pPr>
        <w:pStyle w:val="Body"/>
        <w:ind w:left="2160" w:hanging="720"/>
        <w:rPr>
          <w:rFonts w:cs="Arial"/>
          <w:color w:val="auto"/>
          <w:lang w:val="en-AU"/>
        </w:rPr>
      </w:pPr>
    </w:p>
    <w:p w14:paraId="2C1B997B"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(vi) </w:t>
      </w:r>
      <w:r w:rsidRPr="006400EA">
        <w:rPr>
          <w:rFonts w:cs="Arial"/>
          <w:color w:val="auto"/>
          <w:lang w:val="en-AU"/>
        </w:rPr>
        <w:tab/>
        <w:t>lending of all types, including consumer credit, mortgage credit, factoring, and financing of commercial transaction;</w:t>
      </w:r>
    </w:p>
    <w:p w14:paraId="39DBC83E" w14:textId="77777777" w:rsidR="008D271A" w:rsidRPr="006400EA" w:rsidRDefault="008D271A" w:rsidP="00DF769F">
      <w:pPr>
        <w:pStyle w:val="Body"/>
        <w:ind w:left="2160" w:hanging="720"/>
        <w:rPr>
          <w:rFonts w:cs="Arial"/>
          <w:color w:val="auto"/>
          <w:lang w:val="en-AU"/>
        </w:rPr>
      </w:pPr>
    </w:p>
    <w:p w14:paraId="3F9DD415" w14:textId="77777777" w:rsidR="008D271A" w:rsidRPr="006400EA" w:rsidRDefault="008D271A" w:rsidP="005027B0">
      <w:pPr>
        <w:pStyle w:val="Body"/>
        <w:ind w:left="2160" w:hanging="720"/>
        <w:rPr>
          <w:rFonts w:cs="Arial"/>
          <w:color w:val="auto"/>
          <w:lang w:val="en-AU"/>
        </w:rPr>
      </w:pPr>
      <w:r w:rsidRPr="006400EA">
        <w:rPr>
          <w:rFonts w:cs="Arial"/>
          <w:color w:val="auto"/>
          <w:lang w:val="en-AU"/>
        </w:rPr>
        <w:t xml:space="preserve">(vii) </w:t>
      </w:r>
      <w:r w:rsidRPr="006400EA">
        <w:rPr>
          <w:rFonts w:cs="Arial"/>
          <w:color w:val="auto"/>
          <w:lang w:val="en-AU"/>
        </w:rPr>
        <w:tab/>
        <w:t>financial leasing;</w:t>
      </w:r>
    </w:p>
    <w:p w14:paraId="24DDF023" w14:textId="77777777" w:rsidR="008D271A" w:rsidRPr="006400EA" w:rsidRDefault="008D271A" w:rsidP="005027B0">
      <w:pPr>
        <w:pStyle w:val="Body"/>
        <w:ind w:left="2160" w:hanging="720"/>
        <w:rPr>
          <w:rFonts w:cs="Arial"/>
          <w:color w:val="auto"/>
          <w:lang w:val="en-AU"/>
        </w:rPr>
      </w:pPr>
    </w:p>
    <w:p w14:paraId="715245A1" w14:textId="7F64ED09" w:rsidR="008D271A" w:rsidRPr="006400EA" w:rsidRDefault="008D271A" w:rsidP="00DF769F">
      <w:pPr>
        <w:pStyle w:val="Body"/>
        <w:ind w:left="2160" w:hanging="720"/>
        <w:rPr>
          <w:rFonts w:cs="Arial"/>
          <w:color w:val="auto"/>
          <w:lang w:val="en-AU"/>
        </w:rPr>
      </w:pPr>
      <w:r w:rsidRPr="006400EA">
        <w:rPr>
          <w:rFonts w:cs="Arial"/>
          <w:color w:val="auto"/>
          <w:lang w:val="en-AU"/>
        </w:rPr>
        <w:t xml:space="preserve">(viii) </w:t>
      </w:r>
      <w:r w:rsidRPr="006400EA">
        <w:rPr>
          <w:rFonts w:cs="Arial"/>
          <w:color w:val="auto"/>
          <w:lang w:val="en-AU"/>
        </w:rPr>
        <w:tab/>
        <w:t>all payment and money transmission services, including credit, charge and debit cards, travellers cheques, and bankers drafts;</w:t>
      </w:r>
    </w:p>
    <w:p w14:paraId="7C46264C" w14:textId="77777777" w:rsidR="008D271A" w:rsidRPr="006400EA" w:rsidRDefault="008D271A" w:rsidP="00DF769F">
      <w:pPr>
        <w:pStyle w:val="Body"/>
        <w:ind w:left="2160" w:hanging="720"/>
        <w:rPr>
          <w:rFonts w:cs="Arial"/>
          <w:color w:val="auto"/>
          <w:lang w:val="en-AU"/>
        </w:rPr>
      </w:pPr>
    </w:p>
    <w:p w14:paraId="2A3838B5" w14:textId="77777777" w:rsidR="008D271A" w:rsidRPr="006400EA" w:rsidRDefault="008D271A" w:rsidP="005027B0">
      <w:pPr>
        <w:pStyle w:val="Body"/>
        <w:ind w:left="2160" w:hanging="720"/>
        <w:rPr>
          <w:rFonts w:cs="Arial"/>
          <w:color w:val="auto"/>
          <w:lang w:val="en-AU"/>
        </w:rPr>
      </w:pPr>
      <w:r w:rsidRPr="006400EA">
        <w:rPr>
          <w:rFonts w:cs="Arial"/>
          <w:color w:val="auto"/>
          <w:lang w:val="en-AU"/>
        </w:rPr>
        <w:t xml:space="preserve">(ix) </w:t>
      </w:r>
      <w:r w:rsidRPr="006400EA">
        <w:rPr>
          <w:rFonts w:cs="Arial"/>
          <w:color w:val="auto"/>
          <w:lang w:val="en-AU"/>
        </w:rPr>
        <w:tab/>
        <w:t>guarantees and commitments;</w:t>
      </w:r>
    </w:p>
    <w:p w14:paraId="49E43E69" w14:textId="77777777" w:rsidR="008D271A" w:rsidRPr="006400EA" w:rsidRDefault="008D271A" w:rsidP="005027B0">
      <w:pPr>
        <w:pStyle w:val="Body"/>
        <w:ind w:left="2160" w:hanging="720"/>
        <w:rPr>
          <w:rFonts w:cs="Arial"/>
          <w:color w:val="auto"/>
          <w:lang w:val="en-AU"/>
        </w:rPr>
      </w:pPr>
    </w:p>
    <w:p w14:paraId="543B26FF" w14:textId="77777777" w:rsidR="008D271A" w:rsidRPr="006400EA" w:rsidRDefault="008D271A" w:rsidP="00DF769F">
      <w:pPr>
        <w:pStyle w:val="Body"/>
        <w:ind w:left="2160" w:hanging="720"/>
        <w:rPr>
          <w:rFonts w:cs="Arial"/>
          <w:color w:val="auto"/>
          <w:lang w:val="en-AU"/>
        </w:rPr>
      </w:pPr>
      <w:r w:rsidRPr="006400EA">
        <w:rPr>
          <w:rFonts w:cs="Arial"/>
          <w:color w:val="auto"/>
          <w:lang w:val="en-AU"/>
        </w:rPr>
        <w:lastRenderedPageBreak/>
        <w:t xml:space="preserve">(x) </w:t>
      </w:r>
      <w:r w:rsidRPr="006400EA">
        <w:rPr>
          <w:rFonts w:cs="Arial"/>
          <w:color w:val="auto"/>
          <w:lang w:val="en-AU"/>
        </w:rPr>
        <w:tab/>
        <w:t>trading for own account or for account of customers, whether on an exchange, in an over-the-counter market or otherwise, the following:</w:t>
      </w:r>
    </w:p>
    <w:p w14:paraId="7C53F134" w14:textId="77777777" w:rsidR="008D271A" w:rsidRPr="006400EA" w:rsidRDefault="008D271A" w:rsidP="005027B0">
      <w:pPr>
        <w:pStyle w:val="Body"/>
        <w:ind w:left="2160" w:hanging="720"/>
        <w:rPr>
          <w:rFonts w:cs="Arial"/>
          <w:color w:val="auto"/>
          <w:lang w:val="en-AU"/>
        </w:rPr>
      </w:pPr>
    </w:p>
    <w:p w14:paraId="3B595FA9" w14:textId="6DFD464F" w:rsidR="008D271A" w:rsidRPr="006400EA" w:rsidRDefault="009A5C21" w:rsidP="00DF769F">
      <w:pPr>
        <w:pStyle w:val="Body"/>
        <w:ind w:left="2880" w:hanging="720"/>
        <w:rPr>
          <w:rFonts w:cs="Arial"/>
          <w:color w:val="auto"/>
          <w:lang w:val="en-AU"/>
        </w:rPr>
      </w:pPr>
      <w:r w:rsidRPr="006400EA">
        <w:rPr>
          <w:rFonts w:cs="Arial"/>
          <w:color w:val="auto"/>
          <w:lang w:val="en-AU"/>
        </w:rPr>
        <w:t>(A)</w:t>
      </w:r>
      <w:r w:rsidRPr="006400EA">
        <w:rPr>
          <w:rFonts w:cs="Arial"/>
          <w:color w:val="auto"/>
          <w:lang w:val="en-AU"/>
        </w:rPr>
        <w:tab/>
      </w:r>
      <w:r w:rsidR="008D271A" w:rsidRPr="006400EA">
        <w:rPr>
          <w:rFonts w:cs="Arial"/>
          <w:color w:val="auto"/>
          <w:lang w:val="en-AU"/>
        </w:rPr>
        <w:t>money market instruments (including cheques, bills, certificates of deposits);</w:t>
      </w:r>
    </w:p>
    <w:p w14:paraId="6EB7B553" w14:textId="77777777" w:rsidR="008D271A" w:rsidRPr="006400EA" w:rsidRDefault="008D271A" w:rsidP="005027B0">
      <w:pPr>
        <w:pStyle w:val="Body"/>
        <w:ind w:left="2880" w:hanging="720"/>
        <w:rPr>
          <w:rFonts w:cs="Arial"/>
          <w:color w:val="auto"/>
          <w:lang w:val="en-AU"/>
        </w:rPr>
      </w:pPr>
    </w:p>
    <w:p w14:paraId="18B436AD" w14:textId="4CF6B015" w:rsidR="008D271A" w:rsidRPr="006400EA" w:rsidRDefault="009A5C21" w:rsidP="005027B0">
      <w:pPr>
        <w:pStyle w:val="Body"/>
        <w:ind w:left="2880" w:hanging="720"/>
        <w:rPr>
          <w:rFonts w:cs="Arial"/>
          <w:color w:val="auto"/>
          <w:lang w:val="en-AU"/>
        </w:rPr>
      </w:pPr>
      <w:r w:rsidRPr="006400EA">
        <w:rPr>
          <w:rFonts w:cs="Arial"/>
          <w:color w:val="auto"/>
          <w:lang w:val="en-AU"/>
        </w:rPr>
        <w:t xml:space="preserve">(B) </w:t>
      </w:r>
      <w:r w:rsidRPr="006400EA">
        <w:rPr>
          <w:rFonts w:cs="Arial"/>
          <w:color w:val="auto"/>
          <w:lang w:val="en-AU"/>
        </w:rPr>
        <w:tab/>
      </w:r>
      <w:r w:rsidR="008D271A" w:rsidRPr="006400EA">
        <w:rPr>
          <w:rFonts w:cs="Arial"/>
          <w:color w:val="auto"/>
          <w:lang w:val="en-AU"/>
        </w:rPr>
        <w:t>foreign exchange;</w:t>
      </w:r>
    </w:p>
    <w:p w14:paraId="54A258B2" w14:textId="77777777" w:rsidR="008D271A" w:rsidRPr="006400EA" w:rsidRDefault="008D271A" w:rsidP="005027B0">
      <w:pPr>
        <w:pStyle w:val="Body"/>
        <w:ind w:left="2880" w:hanging="720"/>
        <w:rPr>
          <w:rFonts w:cs="Arial"/>
          <w:color w:val="auto"/>
          <w:lang w:val="en-AU"/>
        </w:rPr>
      </w:pPr>
    </w:p>
    <w:p w14:paraId="73319A4C" w14:textId="0FDD0EA9" w:rsidR="008D271A" w:rsidRPr="006400EA" w:rsidRDefault="009A5C21" w:rsidP="005027B0">
      <w:pPr>
        <w:pStyle w:val="Body"/>
        <w:ind w:left="2880" w:hanging="720"/>
        <w:rPr>
          <w:rFonts w:cs="Arial"/>
          <w:color w:val="auto"/>
          <w:lang w:val="en-AU"/>
        </w:rPr>
      </w:pPr>
      <w:r w:rsidRPr="006400EA">
        <w:rPr>
          <w:rFonts w:cs="Arial"/>
          <w:color w:val="auto"/>
          <w:lang w:val="en-AU"/>
        </w:rPr>
        <w:t xml:space="preserve">(C) </w:t>
      </w:r>
      <w:r w:rsidRPr="006400EA">
        <w:rPr>
          <w:rFonts w:cs="Arial"/>
          <w:color w:val="auto"/>
          <w:lang w:val="en-AU"/>
        </w:rPr>
        <w:tab/>
      </w:r>
      <w:r w:rsidR="008D271A" w:rsidRPr="006400EA">
        <w:rPr>
          <w:rFonts w:cs="Arial"/>
          <w:color w:val="auto"/>
          <w:lang w:val="en-AU"/>
        </w:rPr>
        <w:t>derivative products including futures and options;</w:t>
      </w:r>
    </w:p>
    <w:p w14:paraId="50F95C8E" w14:textId="77777777" w:rsidR="008D271A" w:rsidRPr="006400EA" w:rsidRDefault="008D271A" w:rsidP="005027B0">
      <w:pPr>
        <w:pStyle w:val="Body"/>
        <w:ind w:left="2880" w:hanging="720"/>
        <w:rPr>
          <w:rFonts w:cs="Arial"/>
          <w:color w:val="auto"/>
          <w:lang w:val="en-AU"/>
        </w:rPr>
      </w:pPr>
    </w:p>
    <w:p w14:paraId="096092AC" w14:textId="34B4D99D" w:rsidR="008D271A" w:rsidRPr="006400EA" w:rsidRDefault="009A5C21" w:rsidP="00DF769F">
      <w:pPr>
        <w:pStyle w:val="Body"/>
        <w:ind w:left="2880" w:hanging="720"/>
        <w:rPr>
          <w:rFonts w:cs="Arial"/>
          <w:color w:val="auto"/>
          <w:lang w:val="en-AU"/>
        </w:rPr>
      </w:pPr>
      <w:r w:rsidRPr="006400EA">
        <w:rPr>
          <w:rFonts w:cs="Arial"/>
          <w:color w:val="auto"/>
          <w:lang w:val="en-AU"/>
        </w:rPr>
        <w:t xml:space="preserve">(D) </w:t>
      </w:r>
      <w:r w:rsidRPr="006400EA">
        <w:rPr>
          <w:rFonts w:cs="Arial"/>
          <w:color w:val="auto"/>
          <w:lang w:val="en-AU"/>
        </w:rPr>
        <w:tab/>
      </w:r>
      <w:r w:rsidR="008D271A" w:rsidRPr="006400EA">
        <w:rPr>
          <w:rFonts w:cs="Arial"/>
          <w:color w:val="auto"/>
          <w:lang w:val="en-AU"/>
        </w:rPr>
        <w:t>exchange rate and interest rate instruments, including products such as swaps and forward rate agreements;</w:t>
      </w:r>
    </w:p>
    <w:p w14:paraId="58E79737" w14:textId="77777777" w:rsidR="008D271A" w:rsidRPr="006400EA" w:rsidRDefault="008D271A" w:rsidP="005027B0">
      <w:pPr>
        <w:pStyle w:val="Body"/>
        <w:ind w:left="2880" w:hanging="720"/>
        <w:rPr>
          <w:rFonts w:cs="Arial"/>
          <w:color w:val="auto"/>
          <w:lang w:val="en-AU"/>
        </w:rPr>
      </w:pPr>
    </w:p>
    <w:p w14:paraId="47A104CD" w14:textId="4E269A10" w:rsidR="008D271A" w:rsidRPr="006400EA" w:rsidRDefault="009A5C21" w:rsidP="005027B0">
      <w:pPr>
        <w:pStyle w:val="Body"/>
        <w:ind w:left="2880" w:hanging="720"/>
        <w:rPr>
          <w:rFonts w:cs="Arial"/>
          <w:color w:val="auto"/>
          <w:lang w:val="en-AU"/>
        </w:rPr>
      </w:pPr>
      <w:r w:rsidRPr="006400EA">
        <w:rPr>
          <w:rFonts w:cs="Arial"/>
          <w:color w:val="auto"/>
          <w:lang w:val="en-AU"/>
        </w:rPr>
        <w:t>(E)</w:t>
      </w:r>
      <w:r w:rsidRPr="006400EA">
        <w:rPr>
          <w:rFonts w:cs="Arial"/>
          <w:color w:val="auto"/>
          <w:lang w:val="en-AU"/>
        </w:rPr>
        <w:tab/>
      </w:r>
      <w:r w:rsidR="008D271A" w:rsidRPr="006400EA">
        <w:rPr>
          <w:rFonts w:cs="Arial"/>
          <w:color w:val="auto"/>
          <w:lang w:val="en-AU"/>
        </w:rPr>
        <w:t>transferable securities; and</w:t>
      </w:r>
    </w:p>
    <w:p w14:paraId="074214ED" w14:textId="77777777" w:rsidR="008D271A" w:rsidRPr="006400EA" w:rsidRDefault="008D271A" w:rsidP="005027B0">
      <w:pPr>
        <w:pStyle w:val="Body"/>
        <w:ind w:left="2880" w:hanging="720"/>
        <w:rPr>
          <w:rFonts w:cs="Arial"/>
          <w:color w:val="auto"/>
          <w:lang w:val="en-AU"/>
        </w:rPr>
      </w:pPr>
    </w:p>
    <w:p w14:paraId="0D298385" w14:textId="77777777" w:rsidR="008D271A" w:rsidRPr="006400EA" w:rsidRDefault="008D271A" w:rsidP="00DF769F">
      <w:pPr>
        <w:pStyle w:val="Body"/>
        <w:ind w:left="2880" w:hanging="720"/>
        <w:rPr>
          <w:rFonts w:cs="Arial"/>
          <w:color w:val="auto"/>
          <w:lang w:val="en-AU"/>
        </w:rPr>
      </w:pPr>
      <w:r w:rsidRPr="006400EA">
        <w:rPr>
          <w:rFonts w:cs="Arial"/>
          <w:color w:val="auto"/>
          <w:lang w:val="en-AU"/>
        </w:rPr>
        <w:t xml:space="preserve">(F) </w:t>
      </w:r>
      <w:r w:rsidRPr="006400EA">
        <w:rPr>
          <w:rFonts w:cs="Arial"/>
          <w:color w:val="auto"/>
          <w:lang w:val="en-AU"/>
        </w:rPr>
        <w:tab/>
        <w:t>other negotiable instruments and financial assets, including bullion;</w:t>
      </w:r>
    </w:p>
    <w:p w14:paraId="0CA73A5E" w14:textId="77777777" w:rsidR="008D271A" w:rsidRPr="006400EA" w:rsidRDefault="008D271A" w:rsidP="005027B0">
      <w:pPr>
        <w:pStyle w:val="Body"/>
        <w:ind w:left="2160" w:hanging="720"/>
        <w:rPr>
          <w:rFonts w:cs="Arial"/>
          <w:color w:val="auto"/>
          <w:lang w:val="en-AU"/>
        </w:rPr>
      </w:pPr>
    </w:p>
    <w:p w14:paraId="0676F2B5"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(xi) </w:t>
      </w:r>
      <w:r w:rsidRPr="006400EA">
        <w:rPr>
          <w:rFonts w:cs="Arial"/>
          <w:color w:val="auto"/>
          <w:lang w:val="en-AU"/>
        </w:rPr>
        <w:tab/>
        <w:t>participation in issues of all kinds of securities, including underwriting and placement as agent (whether publicly or privately) and provision of services related to such issues;</w:t>
      </w:r>
    </w:p>
    <w:p w14:paraId="1C49B2F8" w14:textId="77777777" w:rsidR="008D271A" w:rsidRPr="006400EA" w:rsidRDefault="008D271A" w:rsidP="00DF769F">
      <w:pPr>
        <w:pStyle w:val="Body"/>
        <w:ind w:left="2160" w:hanging="720"/>
        <w:rPr>
          <w:rFonts w:cs="Arial"/>
          <w:color w:val="auto"/>
          <w:lang w:val="en-AU"/>
        </w:rPr>
      </w:pPr>
    </w:p>
    <w:p w14:paraId="526383D3" w14:textId="77777777" w:rsidR="008D271A" w:rsidRPr="006400EA" w:rsidRDefault="008D271A" w:rsidP="005027B0">
      <w:pPr>
        <w:pStyle w:val="Body"/>
        <w:ind w:left="2160" w:hanging="720"/>
        <w:rPr>
          <w:rFonts w:cs="Arial"/>
          <w:color w:val="auto"/>
          <w:lang w:val="en-AU"/>
        </w:rPr>
      </w:pPr>
      <w:r w:rsidRPr="006400EA">
        <w:rPr>
          <w:rFonts w:cs="Arial"/>
          <w:color w:val="auto"/>
          <w:lang w:val="en-AU"/>
        </w:rPr>
        <w:t xml:space="preserve">(xii) </w:t>
      </w:r>
      <w:r w:rsidRPr="006400EA">
        <w:rPr>
          <w:rFonts w:cs="Arial"/>
          <w:color w:val="auto"/>
          <w:lang w:val="en-AU"/>
        </w:rPr>
        <w:tab/>
        <w:t>money broking;</w:t>
      </w:r>
    </w:p>
    <w:p w14:paraId="4EC5042D" w14:textId="77777777" w:rsidR="008D271A" w:rsidRPr="006400EA" w:rsidRDefault="008D271A" w:rsidP="005027B0">
      <w:pPr>
        <w:pStyle w:val="Body"/>
        <w:ind w:left="2160" w:hanging="720"/>
        <w:rPr>
          <w:rFonts w:cs="Arial"/>
          <w:color w:val="auto"/>
          <w:lang w:val="en-AU"/>
        </w:rPr>
      </w:pPr>
    </w:p>
    <w:p w14:paraId="773E19F8"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(xiii) </w:t>
      </w:r>
      <w:r w:rsidRPr="006400EA">
        <w:rPr>
          <w:rFonts w:cs="Arial"/>
          <w:color w:val="auto"/>
          <w:lang w:val="en-AU"/>
        </w:rPr>
        <w:tab/>
        <w:t>asset management, such as cash or portfolio management, all forms of collective investment management, pension fund management, custodial, depository, and trust services;</w:t>
      </w:r>
    </w:p>
    <w:p w14:paraId="24774751" w14:textId="77777777" w:rsidR="008D271A" w:rsidRPr="006400EA" w:rsidRDefault="008D271A" w:rsidP="00DF769F">
      <w:pPr>
        <w:pStyle w:val="Body"/>
        <w:ind w:left="2160" w:hanging="720"/>
        <w:rPr>
          <w:rFonts w:cs="Arial"/>
          <w:color w:val="auto"/>
          <w:lang w:val="en-AU"/>
        </w:rPr>
      </w:pPr>
    </w:p>
    <w:p w14:paraId="0EF7AA99"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(xiv) </w:t>
      </w:r>
      <w:r w:rsidRPr="006400EA">
        <w:rPr>
          <w:rFonts w:cs="Arial"/>
          <w:color w:val="auto"/>
          <w:lang w:val="en-AU"/>
        </w:rPr>
        <w:tab/>
        <w:t>settlement and clearing services for financial assets, including securities, derivative products, and other negotiable instruments;</w:t>
      </w:r>
    </w:p>
    <w:p w14:paraId="4E585D96" w14:textId="77777777" w:rsidR="008D271A" w:rsidRPr="006400EA" w:rsidRDefault="008D271A" w:rsidP="00DF769F">
      <w:pPr>
        <w:pStyle w:val="Body"/>
        <w:ind w:left="2160" w:hanging="720"/>
        <w:rPr>
          <w:rFonts w:cs="Arial"/>
          <w:color w:val="auto"/>
          <w:lang w:val="en-AU"/>
        </w:rPr>
      </w:pPr>
    </w:p>
    <w:p w14:paraId="2F0B3190"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(xv) </w:t>
      </w:r>
      <w:r w:rsidRPr="006400EA">
        <w:rPr>
          <w:rFonts w:cs="Arial"/>
          <w:color w:val="auto"/>
          <w:lang w:val="en-AU"/>
        </w:rPr>
        <w:tab/>
        <w:t>provision and transfer of financial information, and financial data processing and related software by suppliers of other financial services; and</w:t>
      </w:r>
    </w:p>
    <w:p w14:paraId="5B7934A2" w14:textId="77777777" w:rsidR="008D271A" w:rsidRPr="006400EA" w:rsidRDefault="008D271A" w:rsidP="00DF769F">
      <w:pPr>
        <w:pStyle w:val="Body"/>
        <w:ind w:left="2160" w:hanging="720"/>
        <w:rPr>
          <w:rFonts w:cs="Arial"/>
          <w:color w:val="auto"/>
          <w:lang w:val="en-AU"/>
        </w:rPr>
      </w:pPr>
    </w:p>
    <w:p w14:paraId="53E50417" w14:textId="77777777" w:rsidR="008D271A" w:rsidRPr="006400EA" w:rsidRDefault="008D271A" w:rsidP="00DF769F">
      <w:pPr>
        <w:pStyle w:val="Body"/>
        <w:ind w:left="2160" w:hanging="720"/>
        <w:rPr>
          <w:rFonts w:cs="Arial"/>
          <w:color w:val="auto"/>
          <w:lang w:val="en-AU"/>
        </w:rPr>
      </w:pPr>
      <w:r w:rsidRPr="006400EA">
        <w:rPr>
          <w:rFonts w:cs="Arial"/>
          <w:color w:val="auto"/>
          <w:lang w:val="en-AU"/>
        </w:rPr>
        <w:t xml:space="preserve">(xvi) </w:t>
      </w:r>
      <w:r w:rsidRPr="006400EA">
        <w:rPr>
          <w:rFonts w:cs="Arial"/>
          <w:color w:val="auto"/>
          <w:lang w:val="en-AU"/>
        </w:rPr>
        <w:tab/>
        <w:t>advisory, intermediation and other auxiliary financial services on all the activities listed in subparagraphs (v) through (xv), including credit reference and analysis, investment and portfolio research and advice, advice on acquisitions and on corporate restructuring and strategy;</w:t>
      </w:r>
    </w:p>
    <w:p w14:paraId="13DACD03" w14:textId="77777777" w:rsidR="008D271A" w:rsidRPr="006400EA" w:rsidRDefault="008D271A" w:rsidP="006400EA">
      <w:pPr>
        <w:pStyle w:val="Body"/>
        <w:rPr>
          <w:rFonts w:cs="Arial"/>
          <w:color w:val="auto"/>
          <w:lang w:val="en-AU"/>
        </w:rPr>
      </w:pPr>
    </w:p>
    <w:p w14:paraId="4BF799B9" w14:textId="77777777" w:rsidR="008D271A" w:rsidRPr="006400EA" w:rsidRDefault="008D271A" w:rsidP="006400EA">
      <w:pPr>
        <w:pStyle w:val="Body"/>
        <w:ind w:left="1440" w:hanging="720"/>
        <w:rPr>
          <w:rFonts w:cs="Arial"/>
          <w:color w:val="auto"/>
          <w:lang w:val="en-AU"/>
        </w:rPr>
      </w:pPr>
      <w:r w:rsidRPr="006400EA">
        <w:rPr>
          <w:rFonts w:cs="Arial"/>
          <w:color w:val="auto"/>
          <w:lang w:val="en-AU"/>
        </w:rPr>
        <w:t>(c)</w:t>
      </w:r>
      <w:r w:rsidRPr="006400EA">
        <w:rPr>
          <w:rFonts w:cs="Arial"/>
          <w:color w:val="auto"/>
          <w:lang w:val="en-AU"/>
        </w:rPr>
        <w:tab/>
      </w:r>
      <w:r w:rsidRPr="006400EA">
        <w:rPr>
          <w:rFonts w:cs="Arial"/>
          <w:b/>
          <w:bCs/>
          <w:color w:val="auto"/>
          <w:lang w:val="en-AU"/>
        </w:rPr>
        <w:t>financial service supplier</w:t>
      </w:r>
      <w:r w:rsidRPr="006400EA">
        <w:rPr>
          <w:rFonts w:cs="Arial"/>
          <w:color w:val="auto"/>
          <w:lang w:val="en-AU"/>
        </w:rPr>
        <w:t xml:space="preserve"> means any natural person or juridical person of a Party seeking to supply or supplying financial services but the term “financial service supplier” does not include a public entity;</w:t>
      </w:r>
    </w:p>
    <w:p w14:paraId="74D1196F" w14:textId="77777777" w:rsidR="008D271A" w:rsidRPr="006400EA" w:rsidRDefault="008D271A" w:rsidP="006400EA">
      <w:pPr>
        <w:pStyle w:val="Body"/>
        <w:ind w:left="720"/>
        <w:rPr>
          <w:rFonts w:cs="Arial"/>
          <w:color w:val="auto"/>
          <w:lang w:val="en-AU"/>
        </w:rPr>
      </w:pPr>
    </w:p>
    <w:p w14:paraId="61F6B8F7" w14:textId="2ADB0A1F" w:rsidR="00C57CA9" w:rsidRPr="006400EA" w:rsidRDefault="00C57CA9" w:rsidP="006400EA">
      <w:pPr>
        <w:pStyle w:val="Body"/>
        <w:ind w:left="1440" w:hanging="720"/>
        <w:rPr>
          <w:rFonts w:cs="Arial"/>
          <w:color w:val="auto"/>
          <w:lang w:val="en-AU"/>
        </w:rPr>
      </w:pPr>
      <w:r w:rsidRPr="006400EA">
        <w:rPr>
          <w:rFonts w:cs="Arial"/>
          <w:bCs/>
          <w:color w:val="auto"/>
          <w:lang w:val="en-AU"/>
        </w:rPr>
        <w:t>(d)</w:t>
      </w:r>
      <w:r w:rsidRPr="006400EA">
        <w:rPr>
          <w:rFonts w:cs="Arial"/>
          <w:bCs/>
          <w:color w:val="auto"/>
          <w:lang w:val="en-AU"/>
        </w:rPr>
        <w:tab/>
      </w:r>
      <w:r w:rsidRPr="006400EA">
        <w:rPr>
          <w:rFonts w:cs="Arial"/>
          <w:b/>
          <w:bCs/>
          <w:color w:val="auto"/>
          <w:lang w:val="en-AU"/>
        </w:rPr>
        <w:t>FinTech</w:t>
      </w:r>
      <w:r w:rsidRPr="006400EA">
        <w:rPr>
          <w:rFonts w:cs="Arial"/>
          <w:color w:val="auto"/>
          <w:lang w:val="en-AU"/>
        </w:rPr>
        <w:t xml:space="preserve"> means the use of technology to improve and automate the delivery and use of financial services;</w:t>
      </w:r>
    </w:p>
    <w:p w14:paraId="5122C84D" w14:textId="77777777" w:rsidR="00C57CA9" w:rsidRPr="006400EA" w:rsidRDefault="00C57CA9" w:rsidP="006400EA">
      <w:pPr>
        <w:pStyle w:val="Body"/>
        <w:rPr>
          <w:rFonts w:cs="Arial"/>
          <w:color w:val="auto"/>
          <w:lang w:val="en-AU"/>
        </w:rPr>
      </w:pPr>
    </w:p>
    <w:p w14:paraId="14C99F41" w14:textId="50465495" w:rsidR="008D271A" w:rsidRPr="006400EA" w:rsidRDefault="008D271A" w:rsidP="006400EA">
      <w:pPr>
        <w:pStyle w:val="Body"/>
        <w:ind w:left="1440" w:hanging="720"/>
        <w:rPr>
          <w:rFonts w:cs="Arial"/>
          <w:color w:val="auto"/>
          <w:lang w:val="en-AU"/>
        </w:rPr>
      </w:pPr>
      <w:r w:rsidRPr="006400EA">
        <w:rPr>
          <w:rFonts w:cs="Arial"/>
          <w:color w:val="auto"/>
          <w:lang w:val="en-AU"/>
        </w:rPr>
        <w:lastRenderedPageBreak/>
        <w:t>(</w:t>
      </w:r>
      <w:r w:rsidR="00DF769F">
        <w:rPr>
          <w:rFonts w:cs="Arial"/>
          <w:color w:val="auto"/>
          <w:lang w:val="en-AU"/>
        </w:rPr>
        <w:t>e</w:t>
      </w:r>
      <w:r w:rsidRPr="006400EA">
        <w:rPr>
          <w:rFonts w:cs="Arial"/>
          <w:color w:val="auto"/>
          <w:lang w:val="en-AU"/>
        </w:rPr>
        <w:t>)</w:t>
      </w:r>
      <w:r w:rsidRPr="006400EA">
        <w:rPr>
          <w:rFonts w:cs="Arial"/>
          <w:color w:val="auto"/>
          <w:lang w:val="en-AU"/>
        </w:rPr>
        <w:tab/>
      </w:r>
      <w:r w:rsidRPr="006400EA">
        <w:rPr>
          <w:rFonts w:cs="Arial"/>
          <w:b/>
          <w:bCs/>
          <w:color w:val="auto"/>
          <w:lang w:val="en-AU"/>
        </w:rPr>
        <w:t>new financial service</w:t>
      </w:r>
      <w:r w:rsidRPr="006400EA">
        <w:rPr>
          <w:rFonts w:cs="Arial"/>
          <w:color w:val="auto"/>
          <w:lang w:val="en-AU"/>
        </w:rPr>
        <w:t xml:space="preserve"> means any financial service which is not supplied in the territory of a Party but is supplied and regulated in the territory of the other Party. This may include a service related to current and new products, or the manner in which a product is delivered;</w:t>
      </w:r>
    </w:p>
    <w:p w14:paraId="15EF31B2" w14:textId="77777777" w:rsidR="008D271A" w:rsidRPr="006400EA" w:rsidRDefault="008D271A" w:rsidP="006400EA">
      <w:pPr>
        <w:pStyle w:val="Body"/>
        <w:rPr>
          <w:rFonts w:cs="Arial"/>
          <w:color w:val="auto"/>
          <w:lang w:val="en-AU"/>
        </w:rPr>
      </w:pPr>
    </w:p>
    <w:p w14:paraId="14522C2B" w14:textId="3527B544" w:rsidR="008D271A" w:rsidRPr="006400EA" w:rsidRDefault="008D271A" w:rsidP="006400EA">
      <w:pPr>
        <w:pStyle w:val="Body"/>
        <w:ind w:left="720"/>
        <w:rPr>
          <w:rFonts w:cs="Arial"/>
          <w:color w:val="auto"/>
          <w:lang w:val="en-AU"/>
        </w:rPr>
      </w:pPr>
      <w:r w:rsidRPr="006400EA">
        <w:rPr>
          <w:rFonts w:cs="Arial"/>
          <w:color w:val="auto"/>
          <w:lang w:val="en-AU"/>
        </w:rPr>
        <w:t>(</w:t>
      </w:r>
      <w:r w:rsidR="00DF769F">
        <w:rPr>
          <w:rFonts w:cs="Arial"/>
          <w:color w:val="auto"/>
          <w:lang w:val="en-AU"/>
        </w:rPr>
        <w:t>f</w:t>
      </w:r>
      <w:r w:rsidRPr="006400EA">
        <w:rPr>
          <w:rFonts w:cs="Arial"/>
          <w:color w:val="auto"/>
          <w:lang w:val="en-AU"/>
        </w:rPr>
        <w:t>)</w:t>
      </w:r>
      <w:r w:rsidRPr="006400EA">
        <w:rPr>
          <w:rFonts w:cs="Arial"/>
          <w:color w:val="auto"/>
          <w:lang w:val="en-AU"/>
        </w:rPr>
        <w:tab/>
      </w:r>
      <w:r w:rsidRPr="006400EA">
        <w:rPr>
          <w:rFonts w:cs="Arial"/>
          <w:b/>
          <w:bCs/>
          <w:color w:val="auto"/>
          <w:lang w:val="en-AU"/>
        </w:rPr>
        <w:t>public entity</w:t>
      </w:r>
      <w:r w:rsidRPr="006400EA">
        <w:rPr>
          <w:rFonts w:cs="Arial"/>
          <w:color w:val="auto"/>
          <w:lang w:val="en-AU"/>
        </w:rPr>
        <w:t xml:space="preserve"> means:</w:t>
      </w:r>
    </w:p>
    <w:p w14:paraId="2F75316F" w14:textId="77777777" w:rsidR="008D271A" w:rsidRPr="006400EA" w:rsidRDefault="008D271A" w:rsidP="006400EA">
      <w:pPr>
        <w:pStyle w:val="Body"/>
        <w:ind w:left="720" w:firstLine="720"/>
        <w:rPr>
          <w:rFonts w:cs="Arial"/>
          <w:color w:val="auto"/>
          <w:lang w:val="en-AU"/>
        </w:rPr>
      </w:pPr>
    </w:p>
    <w:p w14:paraId="3DF63190" w14:textId="0030D5E4" w:rsidR="008D271A" w:rsidRPr="006400EA" w:rsidRDefault="008D271A" w:rsidP="006400EA">
      <w:pPr>
        <w:pStyle w:val="Body"/>
        <w:ind w:left="2138" w:hanging="698"/>
        <w:rPr>
          <w:rFonts w:cs="Arial"/>
          <w:color w:val="auto"/>
          <w:lang w:val="en-AU"/>
        </w:rPr>
      </w:pPr>
      <w:r w:rsidRPr="006400EA">
        <w:rPr>
          <w:rFonts w:cs="Arial"/>
          <w:color w:val="auto"/>
          <w:lang w:val="en-AU"/>
        </w:rPr>
        <w:t>(</w:t>
      </w:r>
      <w:proofErr w:type="spellStart"/>
      <w:r w:rsidRPr="006400EA">
        <w:rPr>
          <w:rFonts w:cs="Arial"/>
          <w:color w:val="auto"/>
          <w:lang w:val="en-AU"/>
        </w:rPr>
        <w:t>i</w:t>
      </w:r>
      <w:proofErr w:type="spellEnd"/>
      <w:r w:rsidRPr="006400EA">
        <w:rPr>
          <w:rFonts w:cs="Arial"/>
          <w:color w:val="auto"/>
          <w:lang w:val="en-AU"/>
        </w:rPr>
        <w:t xml:space="preserve">) </w:t>
      </w:r>
      <w:r w:rsidR="00445108" w:rsidRPr="006400EA">
        <w:rPr>
          <w:rFonts w:cs="Arial"/>
          <w:color w:val="auto"/>
          <w:lang w:val="en-AU"/>
        </w:rPr>
        <w:tab/>
      </w:r>
      <w:r w:rsidRPr="006400EA">
        <w:rPr>
          <w:rFonts w:cs="Arial"/>
          <w:color w:val="auto"/>
          <w:lang w:val="en-AU"/>
        </w:rPr>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14:paraId="28D82AAB" w14:textId="77777777" w:rsidR="008D271A" w:rsidRPr="006400EA" w:rsidRDefault="008D271A" w:rsidP="006400EA">
      <w:pPr>
        <w:pStyle w:val="Body"/>
        <w:ind w:left="720"/>
        <w:rPr>
          <w:rFonts w:cs="Arial"/>
          <w:color w:val="auto"/>
          <w:lang w:val="en-AU"/>
        </w:rPr>
      </w:pPr>
    </w:p>
    <w:p w14:paraId="07E9B54C" w14:textId="6FCA0FE7" w:rsidR="008D271A" w:rsidRPr="006400EA" w:rsidRDefault="008D271A" w:rsidP="006400EA">
      <w:pPr>
        <w:pStyle w:val="Body"/>
        <w:ind w:left="2138" w:hanging="698"/>
        <w:rPr>
          <w:rFonts w:cs="Arial"/>
          <w:color w:val="auto"/>
          <w:lang w:val="en-AU"/>
        </w:rPr>
      </w:pPr>
      <w:r w:rsidRPr="006400EA">
        <w:rPr>
          <w:rFonts w:cs="Arial"/>
          <w:color w:val="auto"/>
          <w:lang w:val="en-AU"/>
        </w:rPr>
        <w:t xml:space="preserve">(ii) </w:t>
      </w:r>
      <w:r w:rsidR="00445108" w:rsidRPr="006400EA">
        <w:rPr>
          <w:rFonts w:cs="Arial"/>
          <w:color w:val="auto"/>
          <w:lang w:val="en-AU"/>
        </w:rPr>
        <w:tab/>
      </w:r>
      <w:r w:rsidRPr="006400EA">
        <w:rPr>
          <w:rFonts w:cs="Arial"/>
          <w:color w:val="auto"/>
          <w:lang w:val="en-AU"/>
        </w:rPr>
        <w:t>a private entity, performing functions normally performed by a central bank or monetary authority, when exercising those functions; and</w:t>
      </w:r>
    </w:p>
    <w:p w14:paraId="2BDCC98D" w14:textId="77777777" w:rsidR="008D271A" w:rsidRPr="006400EA" w:rsidRDefault="008D271A" w:rsidP="006400EA">
      <w:pPr>
        <w:pStyle w:val="Body"/>
        <w:ind w:left="720"/>
        <w:rPr>
          <w:rFonts w:cs="Arial"/>
          <w:color w:val="auto"/>
          <w:lang w:val="en-AU"/>
        </w:rPr>
      </w:pPr>
    </w:p>
    <w:p w14:paraId="0DE3BA3C" w14:textId="61143E7D" w:rsidR="00BC6831" w:rsidRPr="006400EA" w:rsidRDefault="00BC6831" w:rsidP="006400EA">
      <w:pPr>
        <w:pStyle w:val="Body"/>
        <w:ind w:left="1440" w:hanging="720"/>
        <w:rPr>
          <w:rFonts w:cs="Arial"/>
          <w:color w:val="auto"/>
          <w:lang w:val="en-AU"/>
        </w:rPr>
      </w:pPr>
      <w:bookmarkStart w:id="0" w:name="_Hlk96599850"/>
      <w:r w:rsidRPr="006400EA">
        <w:rPr>
          <w:rFonts w:cs="Arial"/>
          <w:color w:val="auto"/>
          <w:lang w:val="en-AU"/>
        </w:rPr>
        <w:t>(</w:t>
      </w:r>
      <w:r w:rsidR="00DF769F">
        <w:rPr>
          <w:rFonts w:cs="Arial"/>
          <w:color w:val="auto"/>
          <w:lang w:val="en-AU"/>
        </w:rPr>
        <w:t>g</w:t>
      </w:r>
      <w:r w:rsidRPr="006400EA">
        <w:rPr>
          <w:rFonts w:cs="Arial"/>
          <w:color w:val="auto"/>
          <w:lang w:val="en-AU"/>
        </w:rPr>
        <w:t xml:space="preserve">) </w:t>
      </w:r>
      <w:r w:rsidR="008D77F6" w:rsidRPr="006400EA">
        <w:rPr>
          <w:rFonts w:cs="Arial"/>
          <w:color w:val="auto"/>
          <w:lang w:val="en-AU"/>
        </w:rPr>
        <w:tab/>
      </w:r>
      <w:r w:rsidRPr="006400EA">
        <w:rPr>
          <w:rFonts w:cs="Arial"/>
          <w:b/>
          <w:bCs/>
          <w:color w:val="auto"/>
          <w:lang w:val="en-AU"/>
        </w:rPr>
        <w:t>self-regulatory organisation</w:t>
      </w:r>
      <w:r w:rsidRPr="006400EA">
        <w:rPr>
          <w:rFonts w:cs="Arial"/>
          <w:color w:val="auto"/>
          <w:lang w:val="en-AU"/>
        </w:rPr>
        <w:t xml:space="preserve"> means any non-governmental body, including any securities or futures exchange or market, clearing </w:t>
      </w:r>
      <w:r w:rsidR="00F240B5" w:rsidRPr="006400EA">
        <w:rPr>
          <w:rFonts w:cs="Arial"/>
          <w:color w:val="auto"/>
          <w:lang w:val="en-AU"/>
        </w:rPr>
        <w:t xml:space="preserve">or payment settlement </w:t>
      </w:r>
      <w:r w:rsidRPr="006400EA">
        <w:rPr>
          <w:rFonts w:cs="Arial"/>
          <w:color w:val="auto"/>
          <w:lang w:val="en-AU"/>
        </w:rPr>
        <w:t xml:space="preserve">agency, or other organisation or association, that exercises regulatory or supervisory authority over financial service suppliers </w:t>
      </w:r>
      <w:r w:rsidR="00F240B5" w:rsidRPr="006400EA">
        <w:rPr>
          <w:rFonts w:cs="Arial"/>
          <w:color w:val="auto"/>
          <w:lang w:val="en-AU"/>
        </w:rPr>
        <w:t xml:space="preserve">or financial institutions </w:t>
      </w:r>
      <w:r w:rsidRPr="006400EA">
        <w:rPr>
          <w:rFonts w:cs="Arial"/>
          <w:color w:val="auto"/>
          <w:lang w:val="en-AU"/>
        </w:rPr>
        <w:t xml:space="preserve">by </w:t>
      </w:r>
      <w:r w:rsidR="00F240B5" w:rsidRPr="006400EA">
        <w:rPr>
          <w:rFonts w:cs="Arial"/>
          <w:color w:val="auto"/>
          <w:lang w:val="en-AU"/>
        </w:rPr>
        <w:t xml:space="preserve">legislation </w:t>
      </w:r>
      <w:r w:rsidRPr="006400EA">
        <w:rPr>
          <w:rFonts w:cs="Arial"/>
          <w:color w:val="auto"/>
          <w:lang w:val="en-AU"/>
        </w:rPr>
        <w:t>or delegation from central</w:t>
      </w:r>
      <w:r w:rsidR="00F240B5" w:rsidRPr="006400EA">
        <w:rPr>
          <w:rFonts w:cs="Arial"/>
          <w:color w:val="auto"/>
          <w:lang w:val="en-AU"/>
        </w:rPr>
        <w:t>, regional or local governments or authorities</w:t>
      </w:r>
      <w:r w:rsidRPr="006400EA">
        <w:rPr>
          <w:rFonts w:cs="Arial"/>
          <w:color w:val="auto"/>
          <w:lang w:val="en-AU"/>
        </w:rPr>
        <w:t>.</w:t>
      </w:r>
      <w:r w:rsidR="00F240B5" w:rsidRPr="006400EA">
        <w:rPr>
          <w:rStyle w:val="FootnoteReference"/>
          <w:rFonts w:cs="Arial"/>
          <w:color w:val="auto"/>
          <w:lang w:val="en-AU"/>
        </w:rPr>
        <w:footnoteReference w:id="2"/>
      </w:r>
      <w:bookmarkEnd w:id="0"/>
    </w:p>
    <w:p w14:paraId="09FE98CF" w14:textId="210E689C" w:rsidR="00384F80" w:rsidRDefault="00384F80" w:rsidP="006400EA">
      <w:pPr>
        <w:pStyle w:val="Body"/>
        <w:ind w:left="720" w:hanging="720"/>
        <w:rPr>
          <w:rFonts w:cs="Arial"/>
          <w:color w:val="auto"/>
          <w:lang w:val="en-AU"/>
        </w:rPr>
      </w:pPr>
    </w:p>
    <w:p w14:paraId="40CFDF85" w14:textId="77777777" w:rsidR="00AD453B" w:rsidRPr="00AD453B" w:rsidRDefault="00AD453B" w:rsidP="006400EA">
      <w:pPr>
        <w:pStyle w:val="Body"/>
        <w:ind w:left="720" w:hanging="720"/>
        <w:rPr>
          <w:rFonts w:cs="Arial"/>
          <w:color w:val="auto"/>
          <w:lang w:val="en-AU"/>
        </w:rPr>
      </w:pPr>
    </w:p>
    <w:p w14:paraId="02320E63" w14:textId="4DCE98FD" w:rsidR="008D271A" w:rsidRPr="00AD453B" w:rsidRDefault="008D271A" w:rsidP="005027B0">
      <w:pPr>
        <w:pStyle w:val="Heading2"/>
      </w:pPr>
      <w:r w:rsidRPr="00AD453B">
        <w:t>Article</w:t>
      </w:r>
      <w:r w:rsidR="008F2D0D" w:rsidRPr="00AD453B">
        <w:t xml:space="preserve"> </w:t>
      </w:r>
      <w:r w:rsidR="00445108" w:rsidRPr="00AD453B">
        <w:t>8A.</w:t>
      </w:r>
      <w:r w:rsidR="008F2D0D" w:rsidRPr="00AD453B">
        <w:t>2</w:t>
      </w:r>
      <w:r w:rsidR="001B6FC0">
        <w:br/>
      </w:r>
      <w:r w:rsidRPr="00AD453B">
        <w:t>Scope</w:t>
      </w:r>
    </w:p>
    <w:p w14:paraId="555EA5F6" w14:textId="77777777" w:rsidR="008D271A" w:rsidRPr="00AD453B" w:rsidRDefault="008D271A" w:rsidP="006400EA">
      <w:pPr>
        <w:pStyle w:val="Body"/>
        <w:rPr>
          <w:rFonts w:cs="Arial"/>
          <w:color w:val="auto"/>
          <w:lang w:val="en-AU"/>
        </w:rPr>
      </w:pPr>
    </w:p>
    <w:p w14:paraId="4BEE4666" w14:textId="5D852728" w:rsidR="00266C62" w:rsidRPr="00AD453B" w:rsidRDefault="0046245D" w:rsidP="002672EF">
      <w:pPr>
        <w:pStyle w:val="Body"/>
        <w:ind w:left="720" w:hanging="720"/>
        <w:rPr>
          <w:rFonts w:cs="Arial"/>
          <w:color w:val="auto"/>
          <w:lang w:val="en-AU"/>
        </w:rPr>
      </w:pPr>
      <w:r>
        <w:rPr>
          <w:rFonts w:cs="Arial"/>
          <w:color w:val="auto"/>
          <w:lang w:val="en-AU"/>
        </w:rPr>
        <w:t xml:space="preserve">1. </w:t>
      </w:r>
      <w:r>
        <w:rPr>
          <w:rFonts w:cs="Arial"/>
          <w:color w:val="auto"/>
          <w:lang w:val="en-AU"/>
        </w:rPr>
        <w:tab/>
      </w:r>
      <w:r w:rsidR="00266C62" w:rsidRPr="00AD453B">
        <w:rPr>
          <w:rFonts w:cs="Arial"/>
          <w:color w:val="auto"/>
          <w:lang w:val="en-AU"/>
        </w:rPr>
        <w:t xml:space="preserve">This Annex shall apply to measures </w:t>
      </w:r>
      <w:r w:rsidR="008F2D0D" w:rsidRPr="00AD453B">
        <w:rPr>
          <w:rFonts w:cs="Arial"/>
          <w:color w:val="auto"/>
          <w:lang w:val="en-AU"/>
        </w:rPr>
        <w:t>taken</w:t>
      </w:r>
      <w:r w:rsidR="00266C62" w:rsidRPr="00AD453B">
        <w:rPr>
          <w:rFonts w:cs="Arial"/>
          <w:color w:val="auto"/>
          <w:lang w:val="en-AU"/>
        </w:rPr>
        <w:t xml:space="preserve"> by a Party affecting the supply of financial services. Reference to the supply of a financial service in this Annex shall mean the supply of a service as defined in </w:t>
      </w:r>
      <w:r w:rsidR="00F8505B" w:rsidRPr="005B6F7F">
        <w:rPr>
          <w:rFonts w:cs="Arial"/>
          <w:color w:val="auto"/>
          <w:lang w:val="en-AU"/>
        </w:rPr>
        <w:t>subparagraph (</w:t>
      </w:r>
      <w:r w:rsidR="00C8308F" w:rsidRPr="005B6F7F">
        <w:rPr>
          <w:rFonts w:cs="Arial"/>
          <w:color w:val="auto"/>
          <w:lang w:val="en-AU"/>
        </w:rPr>
        <w:t>s</w:t>
      </w:r>
      <w:r w:rsidR="00F8505B" w:rsidRPr="005B6F7F">
        <w:rPr>
          <w:rFonts w:cs="Arial"/>
          <w:color w:val="auto"/>
          <w:lang w:val="en-AU"/>
        </w:rPr>
        <w:t>) of</w:t>
      </w:r>
      <w:r w:rsidR="00266C62" w:rsidRPr="005B6F7F">
        <w:rPr>
          <w:rFonts w:cs="Arial"/>
          <w:color w:val="auto"/>
          <w:lang w:val="en-AU"/>
        </w:rPr>
        <w:t xml:space="preserve"> Article </w:t>
      </w:r>
      <w:r w:rsidR="00F8505B" w:rsidRPr="005B6F7F">
        <w:rPr>
          <w:rFonts w:cs="Arial"/>
          <w:color w:val="auto"/>
          <w:lang w:val="en-AU"/>
        </w:rPr>
        <w:t>8</w:t>
      </w:r>
      <w:r w:rsidR="00266C62" w:rsidRPr="005B6F7F">
        <w:rPr>
          <w:rFonts w:cs="Arial"/>
          <w:color w:val="auto"/>
          <w:lang w:val="en-AU"/>
        </w:rPr>
        <w:t>.1 (Definitions</w:t>
      </w:r>
      <w:r w:rsidR="009A5C21" w:rsidRPr="005B6F7F">
        <w:rPr>
          <w:rFonts w:cs="Arial"/>
          <w:color w:val="auto"/>
          <w:lang w:val="en-AU"/>
        </w:rPr>
        <w:t xml:space="preserve"> – Trade in Services</w:t>
      </w:r>
      <w:r w:rsidR="00266C62" w:rsidRPr="005B6F7F">
        <w:rPr>
          <w:rFonts w:cs="Arial"/>
          <w:color w:val="auto"/>
          <w:lang w:val="en-AU"/>
        </w:rPr>
        <w:t>).</w:t>
      </w:r>
      <w:r w:rsidR="00266C62" w:rsidRPr="00AD453B">
        <w:rPr>
          <w:rFonts w:cs="Arial"/>
          <w:color w:val="auto"/>
          <w:lang w:val="en-AU"/>
        </w:rPr>
        <w:t xml:space="preserve"> </w:t>
      </w:r>
    </w:p>
    <w:p w14:paraId="5F3A9A3D" w14:textId="77777777" w:rsidR="008D271A" w:rsidRPr="00AD453B" w:rsidRDefault="008D271A" w:rsidP="006400EA">
      <w:pPr>
        <w:pStyle w:val="Body"/>
        <w:rPr>
          <w:rFonts w:cs="Arial"/>
          <w:color w:val="auto"/>
          <w:lang w:val="en-AU"/>
        </w:rPr>
      </w:pPr>
    </w:p>
    <w:p w14:paraId="663BF3F8" w14:textId="0ECCFBB2" w:rsidR="008D271A" w:rsidRPr="00AD453B" w:rsidRDefault="008D271A" w:rsidP="006400EA">
      <w:pPr>
        <w:pStyle w:val="Body"/>
        <w:ind w:left="720" w:hanging="720"/>
        <w:rPr>
          <w:rFonts w:cs="Arial"/>
          <w:color w:val="auto"/>
          <w:lang w:val="en-AU"/>
        </w:rPr>
      </w:pPr>
      <w:r w:rsidRPr="00AD453B">
        <w:rPr>
          <w:rFonts w:cs="Arial"/>
          <w:color w:val="auto"/>
          <w:lang w:val="en-AU"/>
        </w:rPr>
        <w:t>2.</w:t>
      </w:r>
      <w:r w:rsidRPr="00AD453B">
        <w:rPr>
          <w:rFonts w:cs="Arial"/>
          <w:color w:val="auto"/>
          <w:lang w:val="en-AU"/>
        </w:rPr>
        <w:tab/>
      </w:r>
      <w:r w:rsidR="00266C62" w:rsidRPr="00AD453B">
        <w:rPr>
          <w:rFonts w:cs="Arial"/>
          <w:color w:val="auto"/>
          <w:lang w:val="en-AU"/>
        </w:rPr>
        <w:t xml:space="preserve">For the purposes of this Annex, “services supplied in the exercise of governmental authority” as referred to in </w:t>
      </w:r>
      <w:r w:rsidR="00F8505B" w:rsidRPr="005B6F7F">
        <w:rPr>
          <w:rFonts w:cs="Arial"/>
          <w:color w:val="auto"/>
          <w:lang w:val="en-AU"/>
        </w:rPr>
        <w:t>subparagraph (</w:t>
      </w:r>
      <w:r w:rsidR="000F44B1" w:rsidRPr="005B6F7F">
        <w:rPr>
          <w:rFonts w:cs="Arial"/>
          <w:color w:val="auto"/>
          <w:lang w:val="en-AU"/>
        </w:rPr>
        <w:t>p</w:t>
      </w:r>
      <w:r w:rsidR="00F8505B" w:rsidRPr="005B6F7F">
        <w:rPr>
          <w:rFonts w:cs="Arial"/>
          <w:color w:val="auto"/>
          <w:lang w:val="en-AU"/>
        </w:rPr>
        <w:t xml:space="preserve">) of </w:t>
      </w:r>
      <w:r w:rsidR="00266C62" w:rsidRPr="005B6F7F">
        <w:rPr>
          <w:rFonts w:cs="Arial"/>
          <w:color w:val="auto"/>
          <w:lang w:val="en-AU"/>
        </w:rPr>
        <w:t xml:space="preserve">Article </w:t>
      </w:r>
      <w:r w:rsidR="00F8505B" w:rsidRPr="005B6F7F">
        <w:rPr>
          <w:rFonts w:cs="Arial"/>
          <w:color w:val="auto"/>
          <w:lang w:val="en-AU"/>
        </w:rPr>
        <w:t>8</w:t>
      </w:r>
      <w:r w:rsidR="00266C62" w:rsidRPr="005B6F7F">
        <w:rPr>
          <w:rFonts w:cs="Arial"/>
          <w:color w:val="auto"/>
          <w:lang w:val="en-AU"/>
        </w:rPr>
        <w:t>.1 (Definitions</w:t>
      </w:r>
      <w:r w:rsidR="009A5C21" w:rsidRPr="005B6F7F">
        <w:rPr>
          <w:rFonts w:cs="Arial"/>
          <w:color w:val="auto"/>
          <w:lang w:val="en-AU"/>
        </w:rPr>
        <w:t xml:space="preserve"> – Trade in Services</w:t>
      </w:r>
      <w:r w:rsidR="00266C62" w:rsidRPr="00AD453B">
        <w:rPr>
          <w:rFonts w:cs="Arial"/>
          <w:color w:val="auto"/>
          <w:lang w:val="en-AU"/>
        </w:rPr>
        <w:t>) means the following:</w:t>
      </w:r>
    </w:p>
    <w:p w14:paraId="250B5AD2" w14:textId="77777777" w:rsidR="008D271A" w:rsidRPr="00AD453B" w:rsidRDefault="008D271A" w:rsidP="006400EA">
      <w:pPr>
        <w:pStyle w:val="Body"/>
        <w:rPr>
          <w:rFonts w:cs="Arial"/>
          <w:color w:val="auto"/>
          <w:lang w:val="en-AU"/>
        </w:rPr>
      </w:pPr>
      <w:r w:rsidRPr="00AD453B">
        <w:rPr>
          <w:rFonts w:cs="Arial"/>
          <w:color w:val="auto"/>
          <w:lang w:val="en-AU"/>
        </w:rPr>
        <w:tab/>
      </w:r>
      <w:r w:rsidRPr="00AD453B">
        <w:rPr>
          <w:rFonts w:cs="Arial"/>
          <w:color w:val="auto"/>
          <w:lang w:val="en-AU"/>
        </w:rPr>
        <w:tab/>
      </w:r>
    </w:p>
    <w:p w14:paraId="3FA7E914" w14:textId="12E09C69" w:rsidR="008D271A" w:rsidRPr="00AD453B" w:rsidRDefault="008D271A" w:rsidP="006400EA">
      <w:pPr>
        <w:pStyle w:val="Body"/>
        <w:ind w:left="1440" w:hanging="720"/>
        <w:rPr>
          <w:rFonts w:cs="Arial"/>
          <w:color w:val="auto"/>
          <w:lang w:val="en-AU"/>
        </w:rPr>
      </w:pPr>
      <w:r w:rsidRPr="00AD453B">
        <w:rPr>
          <w:rFonts w:cs="Arial"/>
          <w:color w:val="auto"/>
          <w:lang w:val="en-AU"/>
        </w:rPr>
        <w:t xml:space="preserve">(a) </w:t>
      </w:r>
      <w:r w:rsidRPr="00AD453B">
        <w:rPr>
          <w:rFonts w:cs="Arial"/>
          <w:color w:val="auto"/>
          <w:lang w:val="en-AU"/>
        </w:rPr>
        <w:tab/>
        <w:t>activities conducted by a central bank or monetary authority or by any other public entity in pursuit of monetary or exchange rate policies</w:t>
      </w:r>
      <w:r w:rsidR="005618F1" w:rsidRPr="00AD453B">
        <w:rPr>
          <w:rFonts w:cs="Arial"/>
          <w:color w:val="auto"/>
          <w:lang w:val="en-AU"/>
        </w:rPr>
        <w:t>;</w:t>
      </w:r>
      <w:r w:rsidRPr="00AD453B">
        <w:rPr>
          <w:rStyle w:val="FootnoteReference"/>
          <w:rFonts w:cs="Arial"/>
          <w:color w:val="auto"/>
          <w:lang w:val="en-AU"/>
        </w:rPr>
        <w:footnoteReference w:id="3"/>
      </w:r>
      <w:r w:rsidR="00895AB4" w:rsidRPr="00AD453B">
        <w:rPr>
          <w:rStyle w:val="CommentReference"/>
          <w:rFonts w:eastAsia="Times New Roman" w:cs="Arial"/>
          <w:color w:val="auto"/>
          <w:sz w:val="24"/>
          <w:szCs w:val="24"/>
          <w:lang w:val="en-AU" w:eastAsia="en-US"/>
        </w:rPr>
        <w:t xml:space="preserve"> </w:t>
      </w:r>
    </w:p>
    <w:p w14:paraId="27A58659" w14:textId="77777777" w:rsidR="008D271A" w:rsidRPr="00AD453B" w:rsidRDefault="008D271A" w:rsidP="006400EA">
      <w:pPr>
        <w:pStyle w:val="Body"/>
        <w:rPr>
          <w:rFonts w:cs="Arial"/>
          <w:color w:val="auto"/>
          <w:lang w:val="en-AU"/>
        </w:rPr>
      </w:pPr>
    </w:p>
    <w:p w14:paraId="141FD542" w14:textId="77777777" w:rsidR="008D271A" w:rsidRPr="00AD453B" w:rsidRDefault="008D271A" w:rsidP="006400EA">
      <w:pPr>
        <w:pStyle w:val="Body"/>
        <w:ind w:left="1440" w:hanging="720"/>
        <w:rPr>
          <w:rFonts w:cs="Arial"/>
          <w:color w:val="auto"/>
          <w:lang w:val="en-AU"/>
        </w:rPr>
      </w:pPr>
      <w:r w:rsidRPr="00AD453B">
        <w:rPr>
          <w:rFonts w:cs="Arial"/>
          <w:color w:val="auto"/>
          <w:lang w:val="en-AU"/>
        </w:rPr>
        <w:t xml:space="preserve">(b) </w:t>
      </w:r>
      <w:r w:rsidRPr="00AD453B">
        <w:rPr>
          <w:rFonts w:cs="Arial"/>
          <w:color w:val="auto"/>
          <w:lang w:val="en-AU"/>
        </w:rPr>
        <w:tab/>
        <w:t>activities forming part of a statutory system of social security or public retirement plans; or</w:t>
      </w:r>
    </w:p>
    <w:p w14:paraId="2444FF0C" w14:textId="77777777" w:rsidR="008D271A" w:rsidRPr="00AD453B" w:rsidRDefault="008D271A" w:rsidP="006400EA">
      <w:pPr>
        <w:pStyle w:val="Body"/>
        <w:rPr>
          <w:rFonts w:cs="Arial"/>
          <w:color w:val="auto"/>
          <w:lang w:val="en-AU"/>
        </w:rPr>
      </w:pPr>
    </w:p>
    <w:p w14:paraId="05F94070" w14:textId="77777777" w:rsidR="008D271A" w:rsidRPr="00AD453B" w:rsidRDefault="008D271A" w:rsidP="006400EA">
      <w:pPr>
        <w:pStyle w:val="Body"/>
        <w:ind w:left="1440" w:hanging="720"/>
        <w:rPr>
          <w:rFonts w:cs="Arial"/>
          <w:color w:val="auto"/>
          <w:lang w:val="en-AU"/>
        </w:rPr>
      </w:pPr>
      <w:r w:rsidRPr="00AD453B">
        <w:rPr>
          <w:rFonts w:cs="Arial"/>
          <w:color w:val="auto"/>
          <w:lang w:val="en-AU"/>
        </w:rPr>
        <w:t xml:space="preserve">(c) </w:t>
      </w:r>
      <w:r w:rsidRPr="00AD453B">
        <w:rPr>
          <w:rFonts w:cs="Arial"/>
          <w:color w:val="auto"/>
          <w:lang w:val="en-AU"/>
        </w:rPr>
        <w:tab/>
        <w:t>other activities conducted by a public entity for the account or with the guarantee or using the financial resources of the government.</w:t>
      </w:r>
    </w:p>
    <w:p w14:paraId="4629AA55" w14:textId="77777777" w:rsidR="008D271A" w:rsidRPr="00AD453B" w:rsidRDefault="008D271A" w:rsidP="006400EA">
      <w:pPr>
        <w:pStyle w:val="Body"/>
        <w:rPr>
          <w:rFonts w:cs="Arial"/>
          <w:color w:val="auto"/>
          <w:lang w:val="en-AU"/>
        </w:rPr>
      </w:pPr>
    </w:p>
    <w:p w14:paraId="477847B6" w14:textId="67C9EE5C" w:rsidR="008D271A" w:rsidRPr="00B45683" w:rsidRDefault="008D271A" w:rsidP="006400EA">
      <w:pPr>
        <w:pStyle w:val="Body"/>
        <w:ind w:left="720"/>
        <w:rPr>
          <w:rFonts w:cs="Arial"/>
          <w:color w:val="auto"/>
          <w:lang w:val="en-AU"/>
        </w:rPr>
      </w:pPr>
      <w:r w:rsidRPr="00AD453B">
        <w:rPr>
          <w:rFonts w:cs="Arial"/>
          <w:color w:val="auto"/>
          <w:lang w:val="en-AU"/>
        </w:rPr>
        <w:t>If a Party allows any of the activities referred to in subparagraph (b) or (c)</w:t>
      </w:r>
      <w:r w:rsidR="00551F73" w:rsidRPr="00AD453B">
        <w:rPr>
          <w:rFonts w:cs="Arial"/>
          <w:color w:val="auto"/>
          <w:lang w:val="en-AU"/>
        </w:rPr>
        <w:t xml:space="preserve"> </w:t>
      </w:r>
      <w:r w:rsidRPr="00AD453B">
        <w:rPr>
          <w:rFonts w:cs="Arial"/>
          <w:color w:val="auto"/>
          <w:lang w:val="en-AU"/>
        </w:rPr>
        <w:t xml:space="preserve">to be conducted by its financial service suppliers in competition with a public entity or a </w:t>
      </w:r>
      <w:r w:rsidRPr="00B45683">
        <w:rPr>
          <w:rFonts w:cs="Arial"/>
          <w:color w:val="auto"/>
          <w:lang w:val="en-AU"/>
        </w:rPr>
        <w:t>financial service supplier, “services” shall include such activities.</w:t>
      </w:r>
    </w:p>
    <w:p w14:paraId="5397279E" w14:textId="68D7C26B" w:rsidR="008D6317" w:rsidRPr="00B45683" w:rsidRDefault="008D6317" w:rsidP="006400EA">
      <w:pPr>
        <w:pStyle w:val="Body"/>
        <w:ind w:left="720"/>
        <w:rPr>
          <w:rFonts w:cs="Arial"/>
          <w:color w:val="auto"/>
          <w:lang w:val="en-AU"/>
        </w:rPr>
      </w:pPr>
    </w:p>
    <w:p w14:paraId="4876B958" w14:textId="21FB157B" w:rsidR="00D86569" w:rsidRPr="00B45683" w:rsidRDefault="00D86569" w:rsidP="006400EA">
      <w:pPr>
        <w:pStyle w:val="Body"/>
        <w:ind w:left="720" w:hanging="720"/>
        <w:rPr>
          <w:rFonts w:cs="Arial"/>
          <w:color w:val="auto"/>
          <w:lang w:val="en-AU"/>
        </w:rPr>
      </w:pPr>
      <w:r w:rsidRPr="00B45683">
        <w:rPr>
          <w:rFonts w:cs="Arial"/>
          <w:color w:val="auto"/>
          <w:lang w:val="en-AU"/>
        </w:rPr>
        <w:t xml:space="preserve">3. </w:t>
      </w:r>
      <w:bookmarkStart w:id="1" w:name="_Hlk96611226"/>
      <w:r w:rsidRPr="00B45683">
        <w:rPr>
          <w:rFonts w:cs="Arial"/>
          <w:color w:val="auto"/>
          <w:lang w:val="en-AU"/>
        </w:rPr>
        <w:tab/>
        <w:t xml:space="preserve">The </w:t>
      </w:r>
      <w:r w:rsidR="00225C97" w:rsidRPr="00B45683">
        <w:rPr>
          <w:rFonts w:cs="Arial"/>
          <w:color w:val="auto"/>
          <w:lang w:val="en-AU"/>
        </w:rPr>
        <w:t>d</w:t>
      </w:r>
      <w:r w:rsidRPr="00B45683">
        <w:rPr>
          <w:rFonts w:cs="Arial"/>
          <w:color w:val="auto"/>
          <w:lang w:val="en-AU"/>
        </w:rPr>
        <w:t xml:space="preserve">efinition of “service supplied in the exercise of government authority” in Article </w:t>
      </w:r>
      <w:r w:rsidR="009A5C21" w:rsidRPr="00B45683">
        <w:rPr>
          <w:rFonts w:cs="Arial"/>
          <w:color w:val="auto"/>
          <w:lang w:val="en-AU"/>
        </w:rPr>
        <w:t>8.1</w:t>
      </w:r>
      <w:r w:rsidRPr="00B45683">
        <w:rPr>
          <w:rFonts w:cs="Arial"/>
          <w:color w:val="auto"/>
          <w:lang w:val="en-AU"/>
        </w:rPr>
        <w:t xml:space="preserve"> (Definitions</w:t>
      </w:r>
      <w:r w:rsidR="009A5C21" w:rsidRPr="00B45683">
        <w:rPr>
          <w:rFonts w:cs="Arial"/>
          <w:color w:val="auto"/>
          <w:lang w:val="en-AU"/>
        </w:rPr>
        <w:t xml:space="preserve"> – Trade in Services</w:t>
      </w:r>
      <w:r w:rsidRPr="00B45683">
        <w:rPr>
          <w:rFonts w:cs="Arial"/>
          <w:color w:val="auto"/>
          <w:lang w:val="en-AU"/>
        </w:rPr>
        <w:t>) shall not apply to services covered by this Annex.</w:t>
      </w:r>
    </w:p>
    <w:p w14:paraId="3FE10624" w14:textId="77777777" w:rsidR="0046245D" w:rsidRPr="00AD453B" w:rsidRDefault="0046245D" w:rsidP="006400EA">
      <w:pPr>
        <w:pStyle w:val="Body"/>
        <w:ind w:left="720" w:hanging="720"/>
        <w:rPr>
          <w:rFonts w:cs="Arial"/>
          <w:color w:val="auto"/>
          <w:lang w:val="en-AU"/>
        </w:rPr>
      </w:pPr>
    </w:p>
    <w:bookmarkEnd w:id="1"/>
    <w:p w14:paraId="384A83E6" w14:textId="0A42B4E9" w:rsidR="008D6317" w:rsidRDefault="008D6317" w:rsidP="006400EA">
      <w:pPr>
        <w:pStyle w:val="Body"/>
        <w:ind w:left="720" w:hanging="720"/>
        <w:rPr>
          <w:rFonts w:cs="Arial"/>
          <w:color w:val="auto"/>
          <w:lang w:val="en-AU"/>
        </w:rPr>
      </w:pPr>
      <w:r w:rsidRPr="00EA5547">
        <w:rPr>
          <w:rFonts w:cs="Arial"/>
          <w:color w:val="auto"/>
          <w:lang w:val="en-AU"/>
        </w:rPr>
        <w:t xml:space="preserve">4.  </w:t>
      </w:r>
      <w:r w:rsidRPr="00EA5547">
        <w:rPr>
          <w:rFonts w:cs="Arial"/>
          <w:color w:val="auto"/>
          <w:lang w:val="en-AU"/>
        </w:rPr>
        <w:tab/>
        <w:t xml:space="preserve">Article </w:t>
      </w:r>
      <w:r w:rsidR="00445108" w:rsidRPr="00EA5547">
        <w:rPr>
          <w:rFonts w:cs="Arial"/>
          <w:color w:val="auto"/>
          <w:lang w:val="en-AU"/>
        </w:rPr>
        <w:t>8</w:t>
      </w:r>
      <w:r w:rsidRPr="00EA5547">
        <w:rPr>
          <w:rFonts w:cs="Arial"/>
          <w:color w:val="auto"/>
          <w:lang w:val="en-AU"/>
        </w:rPr>
        <w:t>.</w:t>
      </w:r>
      <w:r w:rsidR="00EA5547" w:rsidRPr="00EA5547">
        <w:rPr>
          <w:rFonts w:cs="Arial"/>
          <w:color w:val="auto"/>
          <w:lang w:val="en-AU"/>
        </w:rPr>
        <w:t>7</w:t>
      </w:r>
      <w:r w:rsidRPr="00EA5547">
        <w:rPr>
          <w:rFonts w:cs="Arial"/>
          <w:color w:val="auto"/>
          <w:lang w:val="en-AU"/>
        </w:rPr>
        <w:t xml:space="preserve"> (Local Presence</w:t>
      </w:r>
      <w:r w:rsidR="00CE2FAD" w:rsidRPr="00EA5547">
        <w:rPr>
          <w:rFonts w:cs="Arial"/>
          <w:color w:val="auto"/>
          <w:lang w:val="en-AU"/>
        </w:rPr>
        <w:t xml:space="preserve"> – Trade in Services</w:t>
      </w:r>
      <w:r w:rsidR="008F2D0D" w:rsidRPr="00EA5547">
        <w:rPr>
          <w:rFonts w:cs="Arial"/>
          <w:color w:val="auto"/>
          <w:lang w:val="en-AU"/>
        </w:rPr>
        <w:t xml:space="preserve">) </w:t>
      </w:r>
      <w:r w:rsidRPr="00EA5547">
        <w:rPr>
          <w:rFonts w:cs="Arial"/>
          <w:color w:val="auto"/>
          <w:lang w:val="en-AU"/>
        </w:rPr>
        <w:t>shall not apply to services covered by this Annex.</w:t>
      </w:r>
    </w:p>
    <w:p w14:paraId="4B36945C" w14:textId="77777777" w:rsidR="0046245D" w:rsidRPr="00EA5547" w:rsidRDefault="0046245D" w:rsidP="006400EA">
      <w:pPr>
        <w:pStyle w:val="Body"/>
        <w:ind w:left="720" w:hanging="720"/>
        <w:rPr>
          <w:rFonts w:cs="Arial"/>
          <w:color w:val="auto"/>
          <w:lang w:val="en-AU"/>
        </w:rPr>
      </w:pPr>
    </w:p>
    <w:p w14:paraId="3C4B5780" w14:textId="77777777" w:rsidR="008D271A" w:rsidRPr="00EA5547" w:rsidRDefault="008D271A" w:rsidP="006400EA">
      <w:pPr>
        <w:pStyle w:val="Body"/>
        <w:rPr>
          <w:rFonts w:cs="Arial"/>
          <w:color w:val="auto"/>
          <w:lang w:val="en-AU"/>
        </w:rPr>
      </w:pPr>
    </w:p>
    <w:p w14:paraId="3168B0E7" w14:textId="15E5E5C4" w:rsidR="008D271A" w:rsidRPr="00AD453B" w:rsidRDefault="008D271A" w:rsidP="005027B0">
      <w:pPr>
        <w:pStyle w:val="Heading2"/>
      </w:pPr>
      <w:r w:rsidRPr="00EA5547">
        <w:t xml:space="preserve">Article </w:t>
      </w:r>
      <w:r w:rsidR="00F8505B" w:rsidRPr="00EA5547">
        <w:t>8A.</w:t>
      </w:r>
      <w:r w:rsidRPr="00EA5547">
        <w:t>3</w:t>
      </w:r>
      <w:bookmarkStart w:id="2" w:name="_Hlk94024900"/>
      <w:r w:rsidR="001B6FC0" w:rsidRPr="00EA5547">
        <w:br/>
      </w:r>
      <w:r w:rsidRPr="00AD453B">
        <w:t>Financial Services Exceptions</w:t>
      </w:r>
      <w:bookmarkEnd w:id="2"/>
    </w:p>
    <w:p w14:paraId="18575ADF" w14:textId="77777777" w:rsidR="008D271A" w:rsidRPr="00AD453B" w:rsidRDefault="008D271A" w:rsidP="006400EA">
      <w:pPr>
        <w:pStyle w:val="Body"/>
        <w:rPr>
          <w:rFonts w:cs="Arial"/>
          <w:color w:val="auto"/>
          <w:lang w:val="en-AU"/>
        </w:rPr>
      </w:pPr>
    </w:p>
    <w:p w14:paraId="6A45E564" w14:textId="44BC1552" w:rsidR="008D271A" w:rsidRPr="00AD453B" w:rsidRDefault="008D271A" w:rsidP="005027B0">
      <w:pPr>
        <w:pStyle w:val="Body"/>
        <w:ind w:left="720"/>
        <w:rPr>
          <w:rFonts w:cs="Arial"/>
          <w:color w:val="auto"/>
          <w:lang w:val="en-AU"/>
        </w:rPr>
      </w:pPr>
      <w:r w:rsidRPr="00AD453B">
        <w:rPr>
          <w:rFonts w:cs="Arial"/>
          <w:color w:val="auto"/>
          <w:lang w:val="en-AU"/>
        </w:rPr>
        <w:t xml:space="preserve">For greater certainty, nothing in this Annex shall be construed to prevent a Party from adopting or enforcing measures necessary to secure compliance with laws or regulations that are not inconsistent with this Annex, including those relating to the prevention of deceptive and fraudulent practices or to deal with the effects of a default on financial services contracts, subject to the requirement that such measures are not applied in a manner which would constitute a means of arbitrary or unjustifiable discrimination between </w:t>
      </w:r>
      <w:r w:rsidR="005618F1" w:rsidRPr="00AD453B">
        <w:rPr>
          <w:rFonts w:cs="Arial"/>
          <w:color w:val="auto"/>
          <w:lang w:val="en-AU"/>
        </w:rPr>
        <w:t xml:space="preserve">the </w:t>
      </w:r>
      <w:r w:rsidRPr="00AD453B">
        <w:rPr>
          <w:rFonts w:cs="Arial"/>
          <w:color w:val="auto"/>
          <w:lang w:val="en-AU"/>
        </w:rPr>
        <w:t xml:space="preserve">Parties or between </w:t>
      </w:r>
      <w:r w:rsidR="005618F1" w:rsidRPr="00AD453B">
        <w:rPr>
          <w:rFonts w:cs="Arial"/>
          <w:color w:val="auto"/>
          <w:lang w:val="en-AU"/>
        </w:rPr>
        <w:t xml:space="preserve">the </w:t>
      </w:r>
      <w:r w:rsidRPr="00AD453B">
        <w:rPr>
          <w:rFonts w:cs="Arial"/>
          <w:color w:val="auto"/>
          <w:lang w:val="en-AU"/>
        </w:rPr>
        <w:t>Parties and non-Parties where like conditions prevail, or a disguised restriction on investment in financial institutions or trade in financial services.</w:t>
      </w:r>
    </w:p>
    <w:p w14:paraId="5FF7E723" w14:textId="76F17B19" w:rsidR="00A8417F" w:rsidRDefault="00A8417F" w:rsidP="006400EA">
      <w:pPr>
        <w:pStyle w:val="Body"/>
        <w:rPr>
          <w:rFonts w:cs="Arial"/>
          <w:color w:val="auto"/>
          <w:lang w:val="en-AU"/>
        </w:rPr>
      </w:pPr>
    </w:p>
    <w:p w14:paraId="290C6DB0" w14:textId="77777777" w:rsidR="0046245D" w:rsidRPr="00AD453B" w:rsidRDefault="0046245D" w:rsidP="006400EA">
      <w:pPr>
        <w:pStyle w:val="Body"/>
        <w:rPr>
          <w:rFonts w:cs="Arial"/>
          <w:color w:val="auto"/>
          <w:lang w:val="en-AU"/>
        </w:rPr>
      </w:pPr>
    </w:p>
    <w:p w14:paraId="5E858F7E" w14:textId="794594DD" w:rsidR="008D271A" w:rsidRPr="00B90074" w:rsidRDefault="008D271A" w:rsidP="005027B0">
      <w:pPr>
        <w:pStyle w:val="Heading2"/>
      </w:pPr>
      <w:r w:rsidRPr="00B90074">
        <w:t xml:space="preserve">Article </w:t>
      </w:r>
      <w:r w:rsidR="00F8505B" w:rsidRPr="00B90074">
        <w:t>8A.</w:t>
      </w:r>
      <w:r w:rsidRPr="00B90074">
        <w:t>4</w:t>
      </w:r>
      <w:r w:rsidR="001B6FC0" w:rsidRPr="00B90074">
        <w:br/>
      </w:r>
      <w:r w:rsidRPr="00B90074">
        <w:t>Prudential Measures</w:t>
      </w:r>
    </w:p>
    <w:p w14:paraId="44DEC970" w14:textId="77777777" w:rsidR="008D271A" w:rsidRPr="00AD453B" w:rsidRDefault="008D271A" w:rsidP="006400EA">
      <w:pPr>
        <w:pStyle w:val="Body"/>
        <w:rPr>
          <w:rFonts w:cs="Arial"/>
          <w:color w:val="auto"/>
          <w:lang w:val="en-AU"/>
        </w:rPr>
      </w:pPr>
    </w:p>
    <w:p w14:paraId="31E2A069" w14:textId="1D9C93E7" w:rsidR="008D271A" w:rsidRPr="00B90074" w:rsidRDefault="008D271A" w:rsidP="005027B0">
      <w:pPr>
        <w:pStyle w:val="Body"/>
        <w:ind w:left="720"/>
        <w:rPr>
          <w:rFonts w:cs="Arial"/>
          <w:color w:val="auto"/>
          <w:lang w:val="en-AU"/>
        </w:rPr>
      </w:pPr>
      <w:r w:rsidRPr="00AD453B">
        <w:rPr>
          <w:rFonts w:cs="Arial"/>
          <w:color w:val="auto"/>
          <w:lang w:val="en-AU"/>
        </w:rPr>
        <w:t>Notwithstanding any other provision of this Agreement, a Party shall not be prevented from adopting or maintaining measures for prudential reasons</w:t>
      </w:r>
      <w:r w:rsidRPr="00AD453B">
        <w:rPr>
          <w:rStyle w:val="FootnoteReference"/>
          <w:rFonts w:cs="Arial"/>
          <w:color w:val="auto"/>
          <w:lang w:val="en-AU"/>
        </w:rPr>
        <w:footnoteReference w:id="4"/>
      </w:r>
      <w:r w:rsidR="00A20503">
        <w:rPr>
          <w:rFonts w:cs="Arial"/>
          <w:color w:val="auto"/>
          <w:lang w:val="en-AU"/>
        </w:rPr>
        <w:t>,</w:t>
      </w:r>
      <w:r w:rsidRPr="005027B0">
        <w:rPr>
          <w:rFonts w:cs="Arial"/>
          <w:color w:val="auto"/>
          <w:lang w:val="en-AU"/>
        </w:rPr>
        <w:t xml:space="preserve"> including for the protection of investors, depositors, policyholders, or persons to whom a fiduciary duty is owed by a financial service supplier, or to ensure the integrity and stability of the financial system. Where such measures do not conform with the provisions of this Agreement, they shall not be used as a means of avoiding the Party’s commitments or obligations under this </w:t>
      </w:r>
      <w:r w:rsidRPr="00B90074">
        <w:rPr>
          <w:rFonts w:cs="Arial"/>
          <w:color w:val="auto"/>
          <w:lang w:val="en-AU"/>
        </w:rPr>
        <w:t>Agreement.</w:t>
      </w:r>
    </w:p>
    <w:p w14:paraId="6AEC48A7" w14:textId="08DDE32D" w:rsidR="008D271A" w:rsidRPr="00B90074" w:rsidRDefault="008D271A" w:rsidP="006400EA">
      <w:pPr>
        <w:pStyle w:val="Body"/>
        <w:rPr>
          <w:rFonts w:cs="Arial"/>
          <w:color w:val="auto"/>
          <w:lang w:val="en-AU"/>
        </w:rPr>
      </w:pPr>
    </w:p>
    <w:p w14:paraId="4360EF7F" w14:textId="77777777" w:rsidR="0046245D" w:rsidRPr="00B90074" w:rsidRDefault="0046245D" w:rsidP="006400EA">
      <w:pPr>
        <w:pStyle w:val="Body"/>
        <w:rPr>
          <w:rFonts w:cs="Arial"/>
          <w:color w:val="auto"/>
          <w:lang w:val="en-AU"/>
        </w:rPr>
      </w:pPr>
    </w:p>
    <w:p w14:paraId="05AC2B6D" w14:textId="3F9D628D" w:rsidR="008D271A" w:rsidRPr="005027B0" w:rsidRDefault="008D271A" w:rsidP="005027B0">
      <w:pPr>
        <w:pStyle w:val="Heading2"/>
        <w:rPr>
          <w:b w:val="0"/>
        </w:rPr>
      </w:pPr>
      <w:bookmarkStart w:id="3" w:name="_Hlk96608357"/>
      <w:r w:rsidRPr="00B90074">
        <w:t xml:space="preserve">Article </w:t>
      </w:r>
      <w:r w:rsidR="00EA7964" w:rsidRPr="00B90074">
        <w:t>8A.</w:t>
      </w:r>
      <w:r w:rsidRPr="00B90074">
        <w:t>5</w:t>
      </w:r>
      <w:r w:rsidR="001B6FC0" w:rsidRPr="00B90074">
        <w:br/>
      </w:r>
      <w:r w:rsidRPr="00EF33FC">
        <w:t>New Financial Services</w:t>
      </w:r>
    </w:p>
    <w:p w14:paraId="390AB8B5" w14:textId="77777777" w:rsidR="008D271A" w:rsidRPr="005027B0" w:rsidRDefault="008D271A" w:rsidP="006400EA">
      <w:pPr>
        <w:pStyle w:val="Body"/>
        <w:rPr>
          <w:rFonts w:cs="Arial"/>
          <w:color w:val="auto"/>
          <w:lang w:val="en-AU"/>
        </w:rPr>
      </w:pPr>
    </w:p>
    <w:p w14:paraId="6B5CD5DD" w14:textId="0F55B974" w:rsidR="008D271A" w:rsidRPr="00AD453B" w:rsidRDefault="008D271A" w:rsidP="006400EA">
      <w:pPr>
        <w:pStyle w:val="Body"/>
        <w:ind w:left="720" w:hanging="720"/>
        <w:rPr>
          <w:rFonts w:cs="Arial"/>
          <w:color w:val="auto"/>
          <w:lang w:val="en-AU"/>
        </w:rPr>
      </w:pPr>
      <w:r w:rsidRPr="005027B0">
        <w:rPr>
          <w:rFonts w:cs="Arial"/>
          <w:color w:val="auto"/>
          <w:lang w:val="en-AU"/>
        </w:rPr>
        <w:t xml:space="preserve">1. </w:t>
      </w:r>
      <w:r w:rsidRPr="005027B0">
        <w:rPr>
          <w:rFonts w:cs="Arial"/>
          <w:color w:val="auto"/>
          <w:lang w:val="en-AU"/>
        </w:rPr>
        <w:tab/>
      </w:r>
      <w:r w:rsidR="00520704" w:rsidRPr="005027B0">
        <w:rPr>
          <w:rFonts w:cs="Arial"/>
          <w:color w:val="auto"/>
          <w:lang w:val="en-AU"/>
        </w:rPr>
        <w:t xml:space="preserve">The </w:t>
      </w:r>
      <w:r w:rsidRPr="005027B0">
        <w:rPr>
          <w:rFonts w:cs="Arial"/>
          <w:color w:val="auto"/>
          <w:lang w:val="en-AU"/>
        </w:rPr>
        <w:t xml:space="preserve">host Party shall endeavour to permit financial institutions of </w:t>
      </w:r>
      <w:r w:rsidR="00520704" w:rsidRPr="005027B0">
        <w:rPr>
          <w:rFonts w:cs="Arial"/>
          <w:color w:val="auto"/>
          <w:lang w:val="en-AU"/>
        </w:rPr>
        <w:t xml:space="preserve">the other </w:t>
      </w:r>
      <w:r w:rsidRPr="005027B0">
        <w:rPr>
          <w:rFonts w:cs="Arial"/>
          <w:color w:val="auto"/>
          <w:lang w:val="en-AU"/>
        </w:rPr>
        <w:t xml:space="preserve">Party established in the territory of the host Party to supply a new financial </w:t>
      </w:r>
      <w:r w:rsidRPr="005027B0">
        <w:rPr>
          <w:rFonts w:cs="Arial"/>
          <w:color w:val="auto"/>
          <w:lang w:val="en-AU"/>
        </w:rPr>
        <w:lastRenderedPageBreak/>
        <w:t>service in the territory of the host Party</w:t>
      </w:r>
      <w:r w:rsidR="00EA7964" w:rsidRPr="005027B0">
        <w:rPr>
          <w:rFonts w:cs="Arial"/>
          <w:color w:val="auto"/>
          <w:lang w:val="en-AU"/>
        </w:rPr>
        <w:t xml:space="preserve"> that the host Party </w:t>
      </w:r>
      <w:r w:rsidRPr="005027B0">
        <w:rPr>
          <w:rFonts w:cs="Arial"/>
          <w:color w:val="auto"/>
          <w:lang w:val="en-AU"/>
        </w:rPr>
        <w:t>would permit its own financial institutions, in like circumstances, to supply without adopting a law or modifying an existing law.</w:t>
      </w:r>
      <w:r w:rsidRPr="00AD453B">
        <w:rPr>
          <w:rStyle w:val="FootnoteReference"/>
          <w:rFonts w:cs="Arial"/>
          <w:color w:val="auto"/>
          <w:lang w:val="en-AU"/>
        </w:rPr>
        <w:footnoteReference w:id="5"/>
      </w:r>
    </w:p>
    <w:p w14:paraId="001DD726" w14:textId="77777777" w:rsidR="0046245D" w:rsidRDefault="0046245D" w:rsidP="006400EA">
      <w:pPr>
        <w:pStyle w:val="Body"/>
        <w:ind w:left="720" w:hanging="720"/>
        <w:rPr>
          <w:rFonts w:cs="Arial"/>
          <w:color w:val="auto"/>
          <w:lang w:val="en-AU"/>
        </w:rPr>
      </w:pPr>
    </w:p>
    <w:p w14:paraId="5EAE9C2A" w14:textId="31D62A34" w:rsidR="00433EF4" w:rsidRPr="00AD453B" w:rsidRDefault="008D271A" w:rsidP="006400EA">
      <w:pPr>
        <w:pStyle w:val="Body"/>
        <w:ind w:left="720" w:hanging="720"/>
        <w:rPr>
          <w:rFonts w:cs="Arial"/>
          <w:color w:val="auto"/>
          <w:lang w:val="en-AU"/>
        </w:rPr>
      </w:pPr>
      <w:r w:rsidRPr="00AD453B">
        <w:rPr>
          <w:rFonts w:cs="Arial"/>
          <w:color w:val="auto"/>
          <w:lang w:val="en-AU"/>
        </w:rPr>
        <w:t xml:space="preserve">2. </w:t>
      </w:r>
      <w:r w:rsidRPr="00AD453B">
        <w:rPr>
          <w:rFonts w:cs="Arial"/>
          <w:color w:val="auto"/>
          <w:lang w:val="en-AU"/>
        </w:rPr>
        <w:tab/>
        <w:t>Where an application is approved, the supply of the new financial service is subject to relevant licensing, institutional or juridical form, or other requirements of the host Party.</w:t>
      </w:r>
    </w:p>
    <w:bookmarkEnd w:id="3"/>
    <w:p w14:paraId="2F128632" w14:textId="03CCBB3D" w:rsidR="00894383" w:rsidRDefault="00894383" w:rsidP="006400EA">
      <w:pPr>
        <w:pStyle w:val="Body"/>
        <w:jc w:val="center"/>
        <w:rPr>
          <w:rFonts w:cs="Arial"/>
          <w:color w:val="auto"/>
          <w:lang w:val="en-AU"/>
        </w:rPr>
      </w:pPr>
    </w:p>
    <w:p w14:paraId="6037B3C1" w14:textId="77777777" w:rsidR="0046245D" w:rsidRPr="00AD453B" w:rsidRDefault="0046245D" w:rsidP="006400EA">
      <w:pPr>
        <w:pStyle w:val="Body"/>
        <w:jc w:val="center"/>
        <w:rPr>
          <w:rFonts w:cs="Arial"/>
          <w:color w:val="auto"/>
          <w:lang w:val="en-AU"/>
        </w:rPr>
      </w:pPr>
    </w:p>
    <w:p w14:paraId="1B96D499" w14:textId="698A63BE" w:rsidR="008D271A" w:rsidRPr="00AD453B" w:rsidRDefault="008D271A" w:rsidP="005027B0">
      <w:pPr>
        <w:pStyle w:val="Heading2"/>
      </w:pPr>
      <w:r w:rsidRPr="00AD453B">
        <w:t xml:space="preserve">Article </w:t>
      </w:r>
      <w:r w:rsidR="00F8505B" w:rsidRPr="00AD453B">
        <w:t>8A.</w:t>
      </w:r>
      <w:r w:rsidRPr="00AD453B">
        <w:t>6</w:t>
      </w:r>
      <w:r w:rsidR="001B6FC0">
        <w:br/>
      </w:r>
      <w:r w:rsidRPr="00AD453B">
        <w:t>Treatment of Financial Services Information</w:t>
      </w:r>
    </w:p>
    <w:p w14:paraId="0B9D77A8" w14:textId="77777777" w:rsidR="00BC6E26" w:rsidRPr="00AD453B" w:rsidRDefault="00BC6E26" w:rsidP="006400EA">
      <w:pPr>
        <w:pStyle w:val="Body"/>
        <w:rPr>
          <w:rFonts w:cs="Arial"/>
          <w:color w:val="auto"/>
          <w:lang w:val="en-AU"/>
        </w:rPr>
      </w:pPr>
    </w:p>
    <w:p w14:paraId="0466A044" w14:textId="0B627901" w:rsidR="008D271A" w:rsidRPr="00AD453B" w:rsidRDefault="008D271A" w:rsidP="005027B0">
      <w:pPr>
        <w:pStyle w:val="Body"/>
        <w:ind w:left="720"/>
        <w:rPr>
          <w:rFonts w:cs="Arial"/>
          <w:color w:val="auto"/>
          <w:lang w:val="en-AU"/>
        </w:rPr>
      </w:pPr>
      <w:r w:rsidRPr="00AD453B">
        <w:rPr>
          <w:rFonts w:cs="Arial"/>
          <w:color w:val="auto"/>
          <w:lang w:val="en-AU"/>
        </w:rPr>
        <w:t>Nothing in this Agreement shall be construed to require a Party to disclose information relating to the affairs and accounts of individual customers, or any confidential or proprietary information in the possession of public entities.</w:t>
      </w:r>
    </w:p>
    <w:p w14:paraId="5BC8C433" w14:textId="63C6BD74" w:rsidR="00945444" w:rsidRDefault="00945444" w:rsidP="006400EA">
      <w:pPr>
        <w:pStyle w:val="Body"/>
        <w:rPr>
          <w:rFonts w:cs="Arial"/>
          <w:color w:val="auto"/>
          <w:lang w:val="en-AU"/>
        </w:rPr>
      </w:pPr>
    </w:p>
    <w:p w14:paraId="5A5F06D9" w14:textId="77777777" w:rsidR="0046245D" w:rsidRPr="00AD453B" w:rsidRDefault="0046245D" w:rsidP="006400EA">
      <w:pPr>
        <w:pStyle w:val="Body"/>
        <w:rPr>
          <w:rFonts w:cs="Arial"/>
          <w:color w:val="auto"/>
          <w:lang w:val="en-AU"/>
        </w:rPr>
      </w:pPr>
    </w:p>
    <w:p w14:paraId="61845B99" w14:textId="2246BAA1" w:rsidR="008D271A" w:rsidRPr="00B90074" w:rsidRDefault="008D271A" w:rsidP="005027B0">
      <w:pPr>
        <w:pStyle w:val="Heading2"/>
      </w:pPr>
      <w:bookmarkStart w:id="4" w:name="_Hlk96603512"/>
      <w:r w:rsidRPr="00AD453B">
        <w:t xml:space="preserve">Article </w:t>
      </w:r>
      <w:r w:rsidR="00F8505B" w:rsidRPr="00AD453B">
        <w:t>8A.</w:t>
      </w:r>
      <w:r w:rsidR="00400627" w:rsidRPr="00AD453B">
        <w:t>7</w:t>
      </w:r>
      <w:bookmarkStart w:id="5" w:name="_Hlk93650373"/>
      <w:r w:rsidR="001B6FC0">
        <w:br/>
      </w:r>
      <w:r w:rsidRPr="00B90074">
        <w:t>Recognition</w:t>
      </w:r>
      <w:bookmarkEnd w:id="5"/>
    </w:p>
    <w:p w14:paraId="018DF236" w14:textId="77777777" w:rsidR="00945444" w:rsidRPr="00B90074" w:rsidRDefault="00945444" w:rsidP="006400EA">
      <w:pPr>
        <w:pStyle w:val="Body"/>
        <w:rPr>
          <w:rFonts w:cs="Arial"/>
          <w:color w:val="auto"/>
          <w:lang w:val="en-AU"/>
        </w:rPr>
      </w:pPr>
    </w:p>
    <w:p w14:paraId="45B3F633" w14:textId="3AB3DC3B" w:rsidR="008D271A" w:rsidRPr="00AD453B" w:rsidRDefault="00F8505B" w:rsidP="006400EA">
      <w:pPr>
        <w:ind w:left="709" w:hanging="709"/>
        <w:rPr>
          <w:rFonts w:cs="Arial"/>
        </w:rPr>
      </w:pPr>
      <w:r w:rsidRPr="00B90074">
        <w:rPr>
          <w:rFonts w:cs="Arial"/>
        </w:rPr>
        <w:t>1.</w:t>
      </w:r>
      <w:r w:rsidRPr="00B90074">
        <w:rPr>
          <w:rFonts w:cs="Arial"/>
        </w:rPr>
        <w:tab/>
      </w:r>
      <w:r w:rsidR="008D271A" w:rsidRPr="00B90074">
        <w:rPr>
          <w:rFonts w:cs="Arial"/>
        </w:rPr>
        <w:t xml:space="preserve">A </w:t>
      </w:r>
      <w:r w:rsidR="00CE2FAD" w:rsidRPr="00B90074">
        <w:rPr>
          <w:rFonts w:cs="Arial"/>
        </w:rPr>
        <w:t>P</w:t>
      </w:r>
      <w:r w:rsidR="008D271A" w:rsidRPr="00B90074">
        <w:rPr>
          <w:rFonts w:cs="Arial"/>
        </w:rPr>
        <w:t xml:space="preserve">arty may </w:t>
      </w:r>
      <w:r w:rsidR="00894383" w:rsidRPr="00B90074">
        <w:rPr>
          <w:rFonts w:cs="Arial"/>
        </w:rPr>
        <w:t xml:space="preserve">recognise </w:t>
      </w:r>
      <w:r w:rsidR="008D271A" w:rsidRPr="00B90074">
        <w:rPr>
          <w:rFonts w:cs="Arial"/>
        </w:rPr>
        <w:t>prudential measures of any international standard setting body</w:t>
      </w:r>
      <w:r w:rsidR="008D271A" w:rsidRPr="00AD453B">
        <w:rPr>
          <w:rFonts w:cs="Arial"/>
        </w:rPr>
        <w:t xml:space="preserve">, </w:t>
      </w:r>
      <w:r w:rsidR="00796AD8" w:rsidRPr="00AD453B">
        <w:rPr>
          <w:rFonts w:cs="Arial"/>
        </w:rPr>
        <w:t>the other</w:t>
      </w:r>
      <w:r w:rsidR="00305D40" w:rsidRPr="00AD453B">
        <w:rPr>
          <w:rFonts w:cs="Arial"/>
        </w:rPr>
        <w:t xml:space="preserve"> </w:t>
      </w:r>
      <w:r w:rsidR="008D271A" w:rsidRPr="00AD453B">
        <w:rPr>
          <w:rFonts w:cs="Arial"/>
        </w:rPr>
        <w:t>Party, or a non-Party in determining how the Party’s measures relating to financial services shall be applied.</w:t>
      </w:r>
      <w:r w:rsidR="005F32E6" w:rsidRPr="00AD453B">
        <w:rPr>
          <w:rStyle w:val="FootnoteReference"/>
          <w:rFonts w:cs="Arial"/>
        </w:rPr>
        <w:footnoteReference w:id="6"/>
      </w:r>
      <w:r w:rsidR="008D271A" w:rsidRPr="00AD453B">
        <w:rPr>
          <w:rFonts w:cs="Arial"/>
        </w:rPr>
        <w:t xml:space="preserve"> Such recognition, which may be achieved through harmonisation or otherwise, may be based upon an agreement or arrangement with the international standard setting body, </w:t>
      </w:r>
      <w:r w:rsidR="00796AD8" w:rsidRPr="00AD453B">
        <w:rPr>
          <w:rFonts w:cs="Arial"/>
        </w:rPr>
        <w:t xml:space="preserve">the other </w:t>
      </w:r>
      <w:r w:rsidR="008D271A" w:rsidRPr="00AD453B">
        <w:rPr>
          <w:rFonts w:cs="Arial"/>
        </w:rPr>
        <w:t xml:space="preserve">Party, or </w:t>
      </w:r>
      <w:r w:rsidR="00894383" w:rsidRPr="00AD453B">
        <w:rPr>
          <w:rFonts w:cs="Arial"/>
        </w:rPr>
        <w:t xml:space="preserve">the </w:t>
      </w:r>
      <w:r w:rsidR="008D271A" w:rsidRPr="00AD453B">
        <w:rPr>
          <w:rFonts w:cs="Arial"/>
        </w:rPr>
        <w:t>non-Party concerned or may be accorded autonomously.</w:t>
      </w:r>
    </w:p>
    <w:p w14:paraId="6BD4DD05" w14:textId="77777777" w:rsidR="00F8505B" w:rsidRPr="00AD453B" w:rsidRDefault="00F8505B" w:rsidP="006400EA">
      <w:pPr>
        <w:rPr>
          <w:rFonts w:cs="Arial"/>
          <w:i/>
          <w:iCs/>
        </w:rPr>
      </w:pPr>
    </w:p>
    <w:p w14:paraId="23F8E50F" w14:textId="31CD1CAA" w:rsidR="008D271A" w:rsidRPr="00AD453B" w:rsidRDefault="00F8505B" w:rsidP="006400EA">
      <w:pPr>
        <w:ind w:left="709" w:hanging="709"/>
        <w:rPr>
          <w:rFonts w:cs="Arial"/>
        </w:rPr>
      </w:pPr>
      <w:r w:rsidRPr="00AD453B">
        <w:rPr>
          <w:rFonts w:cs="Arial"/>
        </w:rPr>
        <w:t>2.</w:t>
      </w:r>
      <w:r w:rsidRPr="00AD453B">
        <w:rPr>
          <w:rFonts w:cs="Arial"/>
        </w:rPr>
        <w:tab/>
      </w:r>
      <w:r w:rsidR="00796AD8" w:rsidRPr="00AD453B">
        <w:rPr>
          <w:rFonts w:cs="Arial"/>
        </w:rPr>
        <w:t>Where a</w:t>
      </w:r>
      <w:r w:rsidR="008D271A" w:rsidRPr="00AD453B">
        <w:rPr>
          <w:rFonts w:cs="Arial"/>
        </w:rPr>
        <w:t xml:space="preserve"> Party is a </w:t>
      </w:r>
      <w:r w:rsidR="00CE2FAD" w:rsidRPr="00AD453B">
        <w:rPr>
          <w:rFonts w:cs="Arial"/>
        </w:rPr>
        <w:t>p</w:t>
      </w:r>
      <w:r w:rsidR="008D271A" w:rsidRPr="00AD453B">
        <w:rPr>
          <w:rFonts w:cs="Arial"/>
        </w:rPr>
        <w:t xml:space="preserve">arty to such an agreement or arrangement referred to in paragraph 1, whether future or existing, </w:t>
      </w:r>
      <w:r w:rsidR="00376091" w:rsidRPr="00AD453B">
        <w:rPr>
          <w:rFonts w:cs="Arial"/>
        </w:rPr>
        <w:t xml:space="preserve">that Party </w:t>
      </w:r>
      <w:r w:rsidR="008D271A" w:rsidRPr="00AD453B">
        <w:rPr>
          <w:rFonts w:cs="Arial"/>
        </w:rPr>
        <w:t xml:space="preserve">shall </w:t>
      </w:r>
      <w:r w:rsidR="00376091" w:rsidRPr="00AD453B">
        <w:rPr>
          <w:rFonts w:cs="Arial"/>
        </w:rPr>
        <w:t xml:space="preserve">provide </w:t>
      </w:r>
      <w:r w:rsidR="008D271A" w:rsidRPr="00AD453B">
        <w:rPr>
          <w:rFonts w:cs="Arial"/>
        </w:rPr>
        <w:t xml:space="preserve">adequate opportunity for </w:t>
      </w:r>
      <w:r w:rsidR="00376091" w:rsidRPr="00AD453B">
        <w:rPr>
          <w:rFonts w:cs="Arial"/>
        </w:rPr>
        <w:t xml:space="preserve">the </w:t>
      </w:r>
      <w:r w:rsidR="008D271A" w:rsidRPr="00AD453B">
        <w:rPr>
          <w:rFonts w:cs="Arial"/>
        </w:rPr>
        <w:t>other Part</w:t>
      </w:r>
      <w:r w:rsidR="00305D40" w:rsidRPr="00AD453B">
        <w:rPr>
          <w:rFonts w:cs="Arial"/>
        </w:rPr>
        <w:t>y</w:t>
      </w:r>
      <w:r w:rsidR="008D271A" w:rsidRPr="00AD453B">
        <w:rPr>
          <w:rFonts w:cs="Arial"/>
        </w:rPr>
        <w:t xml:space="preserve"> to negotiate</w:t>
      </w:r>
      <w:r w:rsidR="00305D40" w:rsidRPr="00AD453B">
        <w:rPr>
          <w:rFonts w:cs="Arial"/>
        </w:rPr>
        <w:t xml:space="preserve"> </w:t>
      </w:r>
      <w:r w:rsidR="008D271A" w:rsidRPr="00AD453B">
        <w:rPr>
          <w:rFonts w:cs="Arial"/>
        </w:rPr>
        <w:t xml:space="preserve">accession to such </w:t>
      </w:r>
      <w:r w:rsidR="00376091" w:rsidRPr="00AD453B">
        <w:rPr>
          <w:rFonts w:cs="Arial"/>
        </w:rPr>
        <w:t xml:space="preserve">an </w:t>
      </w:r>
      <w:r w:rsidR="008D271A" w:rsidRPr="00AD453B">
        <w:rPr>
          <w:rFonts w:cs="Arial"/>
        </w:rPr>
        <w:t xml:space="preserve">agreement or arrangements, or to negotiate </w:t>
      </w:r>
      <w:r w:rsidR="00F56AF0">
        <w:rPr>
          <w:rFonts w:cs="Arial"/>
        </w:rPr>
        <w:t xml:space="preserve">a </w:t>
      </w:r>
      <w:r w:rsidR="008D271A" w:rsidRPr="00AD453B">
        <w:rPr>
          <w:rFonts w:cs="Arial"/>
        </w:rPr>
        <w:t xml:space="preserve">comparable </w:t>
      </w:r>
      <w:r w:rsidR="00B51DB1">
        <w:rPr>
          <w:rFonts w:cs="Arial"/>
        </w:rPr>
        <w:t>agreement or arrangement</w:t>
      </w:r>
      <w:r w:rsidR="008D271A" w:rsidRPr="00AD453B">
        <w:rPr>
          <w:rFonts w:cs="Arial"/>
        </w:rPr>
        <w:t xml:space="preserve"> with it, under circumstances in which there would be equivalent regulation, oversight, implementation of such regulation, and,</w:t>
      </w:r>
      <w:r w:rsidR="00D71655" w:rsidRPr="00AD453B">
        <w:rPr>
          <w:rFonts w:cs="Arial"/>
        </w:rPr>
        <w:t xml:space="preserve"> </w:t>
      </w:r>
      <w:r w:rsidR="008D271A" w:rsidRPr="00AD453B">
        <w:rPr>
          <w:rFonts w:cs="Arial"/>
        </w:rPr>
        <w:t xml:space="preserve">if appropriate, procedures concerning the sharing of information between the </w:t>
      </w:r>
      <w:r w:rsidR="00226CC3" w:rsidRPr="00AD453B">
        <w:rPr>
          <w:rFonts w:cs="Arial"/>
        </w:rPr>
        <w:t>p</w:t>
      </w:r>
      <w:r w:rsidR="008D271A" w:rsidRPr="00AD453B">
        <w:rPr>
          <w:rFonts w:cs="Arial"/>
        </w:rPr>
        <w:t>arties to the agreement or arrangement.</w:t>
      </w:r>
    </w:p>
    <w:p w14:paraId="1BCE68CB" w14:textId="77777777" w:rsidR="00F8505B" w:rsidRPr="00AD453B" w:rsidRDefault="00F8505B" w:rsidP="006400EA">
      <w:pPr>
        <w:ind w:left="709" w:hanging="709"/>
        <w:rPr>
          <w:rFonts w:cs="Arial"/>
        </w:rPr>
      </w:pPr>
    </w:p>
    <w:p w14:paraId="2ACBA03F" w14:textId="1C376CED" w:rsidR="008D271A" w:rsidRPr="00AD453B" w:rsidRDefault="00F8505B" w:rsidP="006400EA">
      <w:pPr>
        <w:ind w:left="709" w:hanging="709"/>
        <w:rPr>
          <w:rFonts w:cs="Arial"/>
        </w:rPr>
      </w:pPr>
      <w:r w:rsidRPr="00AD453B">
        <w:rPr>
          <w:rFonts w:cs="Arial"/>
        </w:rPr>
        <w:t>3.</w:t>
      </w:r>
      <w:r w:rsidRPr="00AD453B">
        <w:rPr>
          <w:rFonts w:cs="Arial"/>
        </w:rPr>
        <w:tab/>
      </w:r>
      <w:r w:rsidR="008D271A" w:rsidRPr="00AD453B">
        <w:rPr>
          <w:rFonts w:cs="Arial"/>
        </w:rPr>
        <w:t>Where a Party accords recognition autonomously, it shall afford adequate opportunity for</w:t>
      </w:r>
      <w:r w:rsidR="00376091" w:rsidRPr="00AD453B">
        <w:rPr>
          <w:rFonts w:cs="Arial"/>
        </w:rPr>
        <w:t xml:space="preserve"> the</w:t>
      </w:r>
      <w:r w:rsidR="008D271A" w:rsidRPr="00AD453B">
        <w:rPr>
          <w:rFonts w:cs="Arial"/>
        </w:rPr>
        <w:t xml:space="preserve"> other Party to demonstrate that such circumstances as referred to in paragraph 2 exist.</w:t>
      </w:r>
      <w:bookmarkEnd w:id="4"/>
    </w:p>
    <w:p w14:paraId="54191043" w14:textId="268E0BB0" w:rsidR="00376091" w:rsidRDefault="00376091" w:rsidP="00436C28">
      <w:pPr>
        <w:pStyle w:val="Body"/>
        <w:widowControl w:val="0"/>
        <w:rPr>
          <w:rFonts w:cs="Arial"/>
          <w:color w:val="auto"/>
          <w:lang w:val="en-AU"/>
        </w:rPr>
      </w:pPr>
      <w:bookmarkStart w:id="6" w:name="_Hlk96582152"/>
    </w:p>
    <w:p w14:paraId="326320CD" w14:textId="77777777" w:rsidR="0046245D" w:rsidRPr="00AD453B" w:rsidRDefault="0046245D" w:rsidP="00436C28">
      <w:pPr>
        <w:pStyle w:val="Body"/>
        <w:widowControl w:val="0"/>
        <w:rPr>
          <w:rFonts w:cs="Arial"/>
          <w:color w:val="auto"/>
          <w:lang w:val="en-AU"/>
        </w:rPr>
      </w:pPr>
    </w:p>
    <w:p w14:paraId="60CF5140" w14:textId="6E54CD1D" w:rsidR="008D271A" w:rsidRPr="003A5AD3" w:rsidRDefault="008D271A" w:rsidP="00436C28">
      <w:pPr>
        <w:pStyle w:val="Heading2"/>
        <w:keepNext w:val="0"/>
        <w:keepLines w:val="0"/>
        <w:widowControl w:val="0"/>
      </w:pPr>
      <w:r w:rsidRPr="00AD453B">
        <w:t xml:space="preserve">Article </w:t>
      </w:r>
      <w:r w:rsidR="00F8505B" w:rsidRPr="00AD453B">
        <w:t>8A.</w:t>
      </w:r>
      <w:r w:rsidRPr="00AD453B">
        <w:t>8</w:t>
      </w:r>
      <w:r w:rsidR="001B6FC0" w:rsidRPr="00436C28">
        <w:br/>
      </w:r>
      <w:r w:rsidRPr="00436C28">
        <w:t>Regulatory</w:t>
      </w:r>
      <w:r w:rsidR="00551F73" w:rsidRPr="00436C28">
        <w:t xml:space="preserve"> </w:t>
      </w:r>
      <w:r w:rsidRPr="003A5AD3">
        <w:t>Transparency</w:t>
      </w:r>
    </w:p>
    <w:p w14:paraId="0C6CDF37" w14:textId="77777777" w:rsidR="008D271A" w:rsidRPr="003A5AD3" w:rsidRDefault="008D271A" w:rsidP="006400EA">
      <w:pPr>
        <w:pStyle w:val="Body"/>
        <w:rPr>
          <w:rFonts w:cs="Arial"/>
          <w:color w:val="auto"/>
          <w:lang w:val="en-AU"/>
        </w:rPr>
      </w:pPr>
    </w:p>
    <w:p w14:paraId="47BC0816" w14:textId="15507A6C" w:rsidR="008D271A" w:rsidRPr="00AD453B" w:rsidRDefault="008D271A" w:rsidP="006400EA">
      <w:pPr>
        <w:pStyle w:val="Body"/>
        <w:ind w:left="720" w:hanging="720"/>
        <w:rPr>
          <w:rFonts w:cs="Arial"/>
          <w:color w:val="auto"/>
          <w:lang w:val="en-AU"/>
        </w:rPr>
      </w:pPr>
      <w:r w:rsidRPr="003A5AD3">
        <w:rPr>
          <w:rFonts w:cs="Arial"/>
          <w:color w:val="auto"/>
          <w:lang w:val="en-AU"/>
        </w:rPr>
        <w:lastRenderedPageBreak/>
        <w:t>1.</w:t>
      </w:r>
      <w:r w:rsidRPr="003A5AD3">
        <w:rPr>
          <w:rFonts w:cs="Arial"/>
          <w:color w:val="auto"/>
          <w:lang w:val="en-AU"/>
        </w:rPr>
        <w:tab/>
        <w:t xml:space="preserve">The Parties recognise that transparent measures governing </w:t>
      </w:r>
      <w:r w:rsidRPr="00AD453B">
        <w:rPr>
          <w:rFonts w:cs="Arial"/>
          <w:color w:val="auto"/>
          <w:lang w:val="en-AU"/>
        </w:rPr>
        <w:t>the activities of financial service suppliers are important in facilitating their ability to gain access to, and operate in, each other’s markets.</w:t>
      </w:r>
      <w:r w:rsidR="003A5AD3">
        <w:rPr>
          <w:rFonts w:cs="Arial"/>
          <w:color w:val="auto"/>
          <w:lang w:val="en-AU"/>
        </w:rPr>
        <w:t xml:space="preserve"> </w:t>
      </w:r>
      <w:r w:rsidRPr="00AD453B">
        <w:rPr>
          <w:rFonts w:cs="Arial"/>
          <w:color w:val="auto"/>
          <w:lang w:val="en-AU"/>
        </w:rPr>
        <w:t xml:space="preserve"> Each Party commits to promote regulatory transparency in financial services.</w:t>
      </w:r>
    </w:p>
    <w:p w14:paraId="138F1C4C" w14:textId="77777777" w:rsidR="008D271A" w:rsidRPr="00AD453B" w:rsidRDefault="008D271A" w:rsidP="006400EA">
      <w:pPr>
        <w:pStyle w:val="Body"/>
        <w:rPr>
          <w:rFonts w:cs="Arial"/>
          <w:color w:val="auto"/>
          <w:lang w:val="en-AU"/>
        </w:rPr>
      </w:pPr>
    </w:p>
    <w:p w14:paraId="743D3D17" w14:textId="77777777" w:rsidR="008D271A" w:rsidRPr="00AD453B" w:rsidRDefault="008D271A" w:rsidP="006400EA">
      <w:pPr>
        <w:pStyle w:val="Body"/>
        <w:ind w:left="720" w:hanging="720"/>
        <w:rPr>
          <w:rFonts w:cs="Arial"/>
          <w:color w:val="auto"/>
          <w:lang w:val="en-AU"/>
        </w:rPr>
      </w:pPr>
      <w:r w:rsidRPr="00AD453B">
        <w:rPr>
          <w:rFonts w:cs="Arial"/>
          <w:color w:val="auto"/>
          <w:lang w:val="en-AU"/>
        </w:rPr>
        <w:t>2.</w:t>
      </w:r>
      <w:r w:rsidRPr="00AD453B">
        <w:rPr>
          <w:rFonts w:cs="Arial"/>
          <w:color w:val="auto"/>
          <w:lang w:val="en-AU"/>
        </w:rPr>
        <w:tab/>
        <w:t>Each Party shall ensure that all measures of general application to which this Annex applies are administered in a reasonable, objective, and impartial manner.</w:t>
      </w:r>
    </w:p>
    <w:p w14:paraId="6C5D7F02" w14:textId="77777777" w:rsidR="008D271A" w:rsidRPr="00AD453B" w:rsidRDefault="008D271A" w:rsidP="006400EA">
      <w:pPr>
        <w:pStyle w:val="Body"/>
        <w:rPr>
          <w:rFonts w:cs="Arial"/>
          <w:color w:val="auto"/>
          <w:lang w:val="en-AU"/>
        </w:rPr>
      </w:pPr>
    </w:p>
    <w:p w14:paraId="43176AA0" w14:textId="78735CC0" w:rsidR="008D271A" w:rsidRPr="00AD453B" w:rsidRDefault="008D271A" w:rsidP="006400EA">
      <w:pPr>
        <w:pStyle w:val="Body"/>
        <w:ind w:left="720" w:hanging="720"/>
        <w:rPr>
          <w:rFonts w:cs="Arial"/>
          <w:color w:val="auto"/>
          <w:lang w:val="en-AU"/>
        </w:rPr>
      </w:pPr>
      <w:r w:rsidRPr="00AD453B">
        <w:rPr>
          <w:rFonts w:cs="Arial"/>
          <w:color w:val="auto"/>
          <w:lang w:val="en-AU"/>
        </w:rPr>
        <w:t>3.</w:t>
      </w:r>
      <w:r w:rsidRPr="00AD453B">
        <w:rPr>
          <w:rFonts w:cs="Arial"/>
          <w:color w:val="auto"/>
          <w:lang w:val="en-AU"/>
        </w:rPr>
        <w:tab/>
        <w:t>Each Party shall ensure that measures of general application</w:t>
      </w:r>
      <w:r w:rsidR="00894383" w:rsidRPr="00AD453B">
        <w:rPr>
          <w:rFonts w:cs="Arial"/>
          <w:color w:val="auto"/>
          <w:lang w:val="en-AU"/>
        </w:rPr>
        <w:t xml:space="preserve"> that it</w:t>
      </w:r>
      <w:r w:rsidRPr="00AD453B">
        <w:rPr>
          <w:rFonts w:cs="Arial"/>
          <w:color w:val="auto"/>
          <w:lang w:val="en-AU"/>
        </w:rPr>
        <w:t xml:space="preserve"> </w:t>
      </w:r>
      <w:r w:rsidR="00894383" w:rsidRPr="00AD453B">
        <w:rPr>
          <w:rFonts w:cs="Arial"/>
          <w:color w:val="auto"/>
          <w:lang w:val="en-AU"/>
        </w:rPr>
        <w:t xml:space="preserve">adopts </w:t>
      </w:r>
      <w:r w:rsidRPr="00AD453B">
        <w:rPr>
          <w:rFonts w:cs="Arial"/>
          <w:color w:val="auto"/>
          <w:lang w:val="en-AU"/>
        </w:rPr>
        <w:t>or maintain</w:t>
      </w:r>
      <w:r w:rsidR="00894383" w:rsidRPr="00AD453B">
        <w:rPr>
          <w:rFonts w:cs="Arial"/>
          <w:color w:val="auto"/>
          <w:lang w:val="en-AU"/>
        </w:rPr>
        <w:t>s</w:t>
      </w:r>
      <w:r w:rsidRPr="00AD453B">
        <w:rPr>
          <w:rFonts w:cs="Arial"/>
          <w:color w:val="auto"/>
          <w:lang w:val="en-AU"/>
        </w:rPr>
        <w:t xml:space="preserve"> are promptly published, or otherwise made publicly available</w:t>
      </w:r>
      <w:r w:rsidR="00B608E0" w:rsidRPr="00AD453B">
        <w:rPr>
          <w:rFonts w:cs="Arial"/>
          <w:color w:val="auto"/>
          <w:lang w:val="en-AU"/>
        </w:rPr>
        <w:t>.</w:t>
      </w:r>
      <w:r w:rsidRPr="00AD453B">
        <w:rPr>
          <w:rStyle w:val="FootnoteReference"/>
          <w:rFonts w:cs="Arial"/>
          <w:color w:val="auto"/>
          <w:lang w:val="en-AU"/>
        </w:rPr>
        <w:footnoteReference w:id="7"/>
      </w:r>
      <w:r w:rsidRPr="00AD453B">
        <w:rPr>
          <w:rFonts w:cs="Arial"/>
          <w:color w:val="auto"/>
          <w:lang w:val="en-AU"/>
        </w:rPr>
        <w:t xml:space="preserve"> </w:t>
      </w:r>
    </w:p>
    <w:p w14:paraId="2B345775" w14:textId="77777777" w:rsidR="00B608E0" w:rsidRPr="00AD453B" w:rsidRDefault="00B608E0" w:rsidP="006400EA">
      <w:pPr>
        <w:pStyle w:val="Body"/>
        <w:ind w:left="720" w:hanging="720"/>
        <w:rPr>
          <w:rFonts w:cs="Arial"/>
          <w:color w:val="auto"/>
          <w:lang w:val="en-AU"/>
        </w:rPr>
      </w:pPr>
    </w:p>
    <w:p w14:paraId="746253CA" w14:textId="44EA53D5" w:rsidR="008D271A" w:rsidRPr="00AD453B" w:rsidRDefault="008D271A" w:rsidP="006400EA">
      <w:pPr>
        <w:pStyle w:val="Body"/>
        <w:rPr>
          <w:rFonts w:cs="Arial"/>
          <w:color w:val="auto"/>
          <w:lang w:val="en-AU"/>
        </w:rPr>
      </w:pPr>
      <w:r w:rsidRPr="00AD453B">
        <w:rPr>
          <w:rFonts w:cs="Arial"/>
          <w:color w:val="auto"/>
          <w:lang w:val="en-AU"/>
        </w:rPr>
        <w:t>4</w:t>
      </w:r>
      <w:r w:rsidR="005861E5">
        <w:rPr>
          <w:rFonts w:cs="Arial"/>
          <w:color w:val="auto"/>
          <w:lang w:val="en-AU"/>
        </w:rPr>
        <w:t xml:space="preserve"> </w:t>
      </w:r>
      <w:r w:rsidRPr="00AD453B">
        <w:rPr>
          <w:rFonts w:cs="Arial"/>
          <w:color w:val="auto"/>
          <w:lang w:val="en-AU"/>
        </w:rPr>
        <w:tab/>
        <w:t>To the extent practicable, each Party shall:</w:t>
      </w:r>
    </w:p>
    <w:p w14:paraId="7B355A26" w14:textId="77777777" w:rsidR="008D271A" w:rsidRPr="00AD453B" w:rsidRDefault="008D271A" w:rsidP="006400EA">
      <w:pPr>
        <w:pStyle w:val="Body"/>
        <w:rPr>
          <w:rFonts w:cs="Arial"/>
          <w:color w:val="auto"/>
          <w:lang w:val="en-AU"/>
        </w:rPr>
      </w:pPr>
    </w:p>
    <w:p w14:paraId="48D0680E" w14:textId="5A5D7707" w:rsidR="008D271A" w:rsidRPr="00AD453B" w:rsidRDefault="008D271A" w:rsidP="006400EA">
      <w:pPr>
        <w:pStyle w:val="Body"/>
        <w:numPr>
          <w:ilvl w:val="0"/>
          <w:numId w:val="27"/>
        </w:numPr>
        <w:rPr>
          <w:rFonts w:cs="Arial"/>
          <w:color w:val="auto"/>
          <w:lang w:val="en-AU"/>
        </w:rPr>
      </w:pPr>
      <w:r w:rsidRPr="00AD453B">
        <w:rPr>
          <w:rFonts w:cs="Arial"/>
          <w:color w:val="auto"/>
          <w:lang w:val="en-AU"/>
        </w:rPr>
        <w:t>publish or make available to interested persons</w:t>
      </w:r>
      <w:r w:rsidRPr="00AD453B">
        <w:rPr>
          <w:rStyle w:val="FootnoteReference"/>
          <w:rFonts w:cs="Arial"/>
          <w:color w:val="auto"/>
          <w:lang w:val="en-AU"/>
        </w:rPr>
        <w:footnoteReference w:id="8"/>
      </w:r>
      <w:r w:rsidRPr="00AD453B">
        <w:rPr>
          <w:rFonts w:cs="Arial"/>
          <w:color w:val="auto"/>
          <w:lang w:val="en-AU"/>
        </w:rPr>
        <w:t xml:space="preserve"> in advance any regulation of general application relating to this Annex that it proposes to adopt, and the purpose of such regulation; and</w:t>
      </w:r>
    </w:p>
    <w:p w14:paraId="3666147B" w14:textId="77777777" w:rsidR="008D271A" w:rsidRPr="00AD453B" w:rsidRDefault="008D271A" w:rsidP="006400EA">
      <w:pPr>
        <w:pStyle w:val="Body"/>
        <w:rPr>
          <w:rFonts w:cs="Arial"/>
          <w:color w:val="auto"/>
          <w:lang w:val="en-AU"/>
        </w:rPr>
      </w:pPr>
    </w:p>
    <w:p w14:paraId="052C8077" w14:textId="4B753C47" w:rsidR="008D271A" w:rsidRPr="00AD453B" w:rsidRDefault="008D271A" w:rsidP="006400EA">
      <w:pPr>
        <w:pStyle w:val="Body"/>
        <w:ind w:left="1440" w:hanging="720"/>
        <w:rPr>
          <w:rFonts w:cs="Arial"/>
          <w:color w:val="auto"/>
          <w:lang w:val="en-AU"/>
        </w:rPr>
      </w:pPr>
      <w:r w:rsidRPr="00AD453B">
        <w:rPr>
          <w:rFonts w:cs="Arial"/>
          <w:color w:val="auto"/>
          <w:lang w:val="en-AU"/>
        </w:rPr>
        <w:t>(b)</w:t>
      </w:r>
      <w:r w:rsidRPr="00AD453B">
        <w:rPr>
          <w:rFonts w:cs="Arial"/>
          <w:color w:val="auto"/>
          <w:lang w:val="en-AU"/>
        </w:rPr>
        <w:tab/>
        <w:t xml:space="preserve">provide interested persons and </w:t>
      </w:r>
      <w:r w:rsidR="00B3795A" w:rsidRPr="00AD453B">
        <w:rPr>
          <w:rFonts w:cs="Arial"/>
          <w:color w:val="auto"/>
          <w:lang w:val="en-AU"/>
        </w:rPr>
        <w:t xml:space="preserve">the </w:t>
      </w:r>
      <w:r w:rsidRPr="00AD453B">
        <w:rPr>
          <w:rFonts w:cs="Arial"/>
          <w:color w:val="auto"/>
          <w:lang w:val="en-AU"/>
        </w:rPr>
        <w:t>other Part</w:t>
      </w:r>
      <w:r w:rsidR="00B3795A" w:rsidRPr="00AD453B">
        <w:rPr>
          <w:rFonts w:cs="Arial"/>
          <w:color w:val="auto"/>
          <w:lang w:val="en-AU"/>
        </w:rPr>
        <w:t>y</w:t>
      </w:r>
      <w:r w:rsidRPr="00AD453B">
        <w:rPr>
          <w:rFonts w:cs="Arial"/>
          <w:color w:val="auto"/>
          <w:lang w:val="en-AU"/>
        </w:rPr>
        <w:t xml:space="preserve"> with a reasonable opportunity to comment on such proposed regulation.</w:t>
      </w:r>
    </w:p>
    <w:p w14:paraId="1748F72D" w14:textId="77777777" w:rsidR="008D271A" w:rsidRPr="00AD453B" w:rsidRDefault="008D271A" w:rsidP="006400EA">
      <w:pPr>
        <w:pStyle w:val="Body"/>
        <w:rPr>
          <w:rFonts w:cs="Arial"/>
          <w:color w:val="auto"/>
          <w:lang w:val="en-AU"/>
        </w:rPr>
      </w:pPr>
    </w:p>
    <w:p w14:paraId="653F37B0" w14:textId="71C2C47B" w:rsidR="008D271A" w:rsidRPr="00AD453B" w:rsidRDefault="008D271A" w:rsidP="006400EA">
      <w:pPr>
        <w:pStyle w:val="Body"/>
        <w:ind w:left="720" w:hanging="720"/>
        <w:rPr>
          <w:rFonts w:cs="Arial"/>
          <w:color w:val="auto"/>
          <w:lang w:val="en-AU"/>
        </w:rPr>
      </w:pPr>
      <w:r w:rsidRPr="00AD453B">
        <w:rPr>
          <w:rFonts w:cs="Arial"/>
          <w:color w:val="auto"/>
          <w:lang w:val="en-AU"/>
        </w:rPr>
        <w:t>5.</w:t>
      </w:r>
      <w:r w:rsidRPr="00AD453B">
        <w:rPr>
          <w:rFonts w:cs="Arial"/>
          <w:color w:val="auto"/>
          <w:lang w:val="en-AU"/>
        </w:rPr>
        <w:tab/>
      </w:r>
      <w:bookmarkStart w:id="7" w:name="_Hlk95469482"/>
      <w:r w:rsidRPr="00AD453B">
        <w:rPr>
          <w:rFonts w:cs="Arial"/>
          <w:color w:val="auto"/>
          <w:lang w:val="en-AU"/>
        </w:rPr>
        <w:t xml:space="preserve">To the extent practicable, each Party </w:t>
      </w:r>
      <w:r w:rsidR="001F0C26" w:rsidRPr="00AD453B">
        <w:rPr>
          <w:rFonts w:cs="Arial"/>
          <w:color w:val="auto"/>
          <w:lang w:val="en-AU"/>
        </w:rPr>
        <w:t xml:space="preserve">shall </w:t>
      </w:r>
      <w:r w:rsidRPr="00AD453B">
        <w:rPr>
          <w:rFonts w:cs="Arial"/>
          <w:color w:val="auto"/>
          <w:lang w:val="en-AU"/>
        </w:rPr>
        <w:t>allow a reasonable period of time between the date of publication of any final regulation of general application and the date</w:t>
      </w:r>
      <w:r w:rsidR="005A64F3" w:rsidRPr="00AD453B">
        <w:rPr>
          <w:rFonts w:cs="Arial"/>
          <w:color w:val="auto"/>
          <w:lang w:val="en-AU"/>
        </w:rPr>
        <w:t xml:space="preserve"> </w:t>
      </w:r>
      <w:r w:rsidRPr="00AD453B">
        <w:rPr>
          <w:rFonts w:cs="Arial"/>
          <w:color w:val="auto"/>
          <w:lang w:val="en-AU"/>
        </w:rPr>
        <w:t>when it enters into effect.</w:t>
      </w:r>
      <w:bookmarkEnd w:id="7"/>
    </w:p>
    <w:p w14:paraId="45483992" w14:textId="77777777" w:rsidR="008D271A" w:rsidRPr="00AD453B" w:rsidRDefault="008D271A" w:rsidP="006400EA">
      <w:pPr>
        <w:pStyle w:val="Body"/>
        <w:rPr>
          <w:rFonts w:cs="Arial"/>
          <w:color w:val="auto"/>
          <w:lang w:val="en-AU"/>
        </w:rPr>
      </w:pPr>
    </w:p>
    <w:p w14:paraId="7ED57FAF" w14:textId="219CCB19" w:rsidR="008D271A" w:rsidRPr="00AD453B" w:rsidRDefault="008D271A" w:rsidP="006400EA">
      <w:pPr>
        <w:pStyle w:val="Body"/>
        <w:ind w:left="720" w:hanging="720"/>
        <w:rPr>
          <w:rFonts w:cs="Arial"/>
          <w:color w:val="auto"/>
          <w:lang w:val="en-AU"/>
        </w:rPr>
      </w:pPr>
      <w:r w:rsidRPr="00AD453B">
        <w:rPr>
          <w:rFonts w:cs="Arial"/>
          <w:color w:val="auto"/>
          <w:lang w:val="en-AU"/>
        </w:rPr>
        <w:t>6.</w:t>
      </w:r>
      <w:r w:rsidRPr="00AD453B">
        <w:rPr>
          <w:rFonts w:cs="Arial"/>
          <w:color w:val="auto"/>
          <w:lang w:val="en-AU"/>
        </w:rPr>
        <w:tab/>
        <w:t>Each Party shall take such reasonable measures as may be available to it to ensure that the rules of general application adopted or maintained by a self-regulatory organisation of the Party are promptly published or otherwise made available.</w:t>
      </w:r>
      <w:r w:rsidRPr="00AD453B">
        <w:rPr>
          <w:rStyle w:val="FootnoteReference"/>
          <w:rFonts w:cs="Arial"/>
          <w:color w:val="auto"/>
          <w:lang w:val="en-AU"/>
        </w:rPr>
        <w:footnoteReference w:id="9"/>
      </w:r>
    </w:p>
    <w:p w14:paraId="5F90611F" w14:textId="77777777" w:rsidR="008D271A" w:rsidRPr="003A5AD3" w:rsidRDefault="008D271A" w:rsidP="006400EA">
      <w:pPr>
        <w:pStyle w:val="Body"/>
        <w:rPr>
          <w:rFonts w:cs="Arial"/>
          <w:color w:val="auto"/>
          <w:lang w:val="en-AU"/>
        </w:rPr>
      </w:pPr>
    </w:p>
    <w:p w14:paraId="40EAC88A" w14:textId="3C0F0C37" w:rsidR="008D271A" w:rsidRPr="003A5AD3" w:rsidRDefault="008D271A" w:rsidP="006400EA">
      <w:pPr>
        <w:pStyle w:val="Body"/>
        <w:ind w:left="720" w:hanging="720"/>
        <w:rPr>
          <w:rFonts w:cs="Arial"/>
          <w:color w:val="auto"/>
          <w:lang w:val="en-AU"/>
        </w:rPr>
      </w:pPr>
      <w:r w:rsidRPr="003A5AD3">
        <w:rPr>
          <w:rFonts w:cs="Arial"/>
          <w:color w:val="auto"/>
          <w:lang w:val="en-AU"/>
        </w:rPr>
        <w:t>7.</w:t>
      </w:r>
      <w:r w:rsidRPr="003A5AD3">
        <w:rPr>
          <w:rFonts w:cs="Arial"/>
          <w:color w:val="auto"/>
          <w:lang w:val="en-AU"/>
        </w:rPr>
        <w:tab/>
      </w:r>
      <w:bookmarkStart w:id="8" w:name="_Hlk95469442"/>
      <w:r w:rsidRPr="003A5AD3">
        <w:rPr>
          <w:rFonts w:cs="Arial"/>
          <w:color w:val="auto"/>
          <w:lang w:val="en-AU"/>
        </w:rPr>
        <w:t xml:space="preserve">Each Party shall maintain or establish appropriate mechanisms for responding to enquiries from interested persons of </w:t>
      </w:r>
      <w:r w:rsidR="00B3795A" w:rsidRPr="003A5AD3">
        <w:rPr>
          <w:rFonts w:cs="Arial"/>
          <w:color w:val="auto"/>
          <w:lang w:val="en-AU"/>
        </w:rPr>
        <w:t xml:space="preserve">the </w:t>
      </w:r>
      <w:r w:rsidRPr="003A5AD3">
        <w:rPr>
          <w:rFonts w:cs="Arial"/>
          <w:color w:val="auto"/>
          <w:lang w:val="en-AU"/>
        </w:rPr>
        <w:t>other Party regarding measures of general application covered by this Annex.</w:t>
      </w:r>
      <w:bookmarkEnd w:id="8"/>
    </w:p>
    <w:p w14:paraId="0A1C2DA7" w14:textId="77777777" w:rsidR="008D271A" w:rsidRPr="00AD453B" w:rsidRDefault="008D271A" w:rsidP="006400EA">
      <w:pPr>
        <w:pStyle w:val="Body"/>
        <w:rPr>
          <w:rFonts w:cs="Arial"/>
          <w:color w:val="auto"/>
          <w:lang w:val="en-AU"/>
        </w:rPr>
      </w:pPr>
    </w:p>
    <w:p w14:paraId="76101923" w14:textId="557EFA77" w:rsidR="008D271A" w:rsidRPr="00AD453B" w:rsidRDefault="008D271A" w:rsidP="006400EA">
      <w:pPr>
        <w:pStyle w:val="Body"/>
        <w:ind w:left="720" w:hanging="720"/>
        <w:rPr>
          <w:rFonts w:cs="Arial"/>
          <w:color w:val="auto"/>
          <w:lang w:val="en-AU"/>
        </w:rPr>
      </w:pPr>
      <w:bookmarkStart w:id="9" w:name="_Hlk95474310"/>
      <w:r w:rsidRPr="00AD453B">
        <w:rPr>
          <w:rFonts w:cs="Arial"/>
          <w:color w:val="auto"/>
          <w:lang w:val="en-AU"/>
        </w:rPr>
        <w:t xml:space="preserve">8. </w:t>
      </w:r>
      <w:r w:rsidRPr="00AD453B">
        <w:rPr>
          <w:rFonts w:cs="Arial"/>
          <w:color w:val="7030A0"/>
          <w:lang w:val="en-AU"/>
        </w:rPr>
        <w:tab/>
      </w:r>
      <w:r w:rsidRPr="00AD453B">
        <w:rPr>
          <w:rFonts w:cs="Arial"/>
          <w:color w:val="auto"/>
          <w:lang w:val="en-AU"/>
        </w:rPr>
        <w:t>Each</w:t>
      </w:r>
      <w:r w:rsidR="00CD322C" w:rsidRPr="00AD453B">
        <w:rPr>
          <w:rFonts w:cs="Arial"/>
          <w:color w:val="7030A0"/>
          <w:lang w:val="en-AU"/>
        </w:rPr>
        <w:t xml:space="preserve"> </w:t>
      </w:r>
      <w:r w:rsidRPr="00AD453B">
        <w:rPr>
          <w:rFonts w:cs="Arial"/>
          <w:color w:val="auto"/>
          <w:lang w:val="en-AU"/>
        </w:rPr>
        <w:t xml:space="preserve">Party’s regulatory authority shall make available to interested persons of </w:t>
      </w:r>
      <w:r w:rsidR="00B3795A" w:rsidRPr="00AD453B">
        <w:rPr>
          <w:rFonts w:cs="Arial"/>
          <w:color w:val="auto"/>
          <w:lang w:val="en-AU"/>
        </w:rPr>
        <w:t xml:space="preserve">the </w:t>
      </w:r>
      <w:r w:rsidRPr="00AD453B">
        <w:rPr>
          <w:rFonts w:cs="Arial"/>
          <w:color w:val="auto"/>
          <w:lang w:val="en-AU"/>
        </w:rPr>
        <w:t>other Party</w:t>
      </w:r>
      <w:r w:rsidRPr="00AD453B">
        <w:rPr>
          <w:rFonts w:cs="Arial"/>
          <w:color w:val="0070C0"/>
          <w:lang w:val="en-AU"/>
        </w:rPr>
        <w:t xml:space="preserve"> </w:t>
      </w:r>
      <w:r w:rsidRPr="00AD453B">
        <w:rPr>
          <w:rFonts w:cs="Arial"/>
          <w:color w:val="auto"/>
          <w:lang w:val="en-AU"/>
        </w:rPr>
        <w:t>its requirements, including any documentation required, for completing applications relating to the supply of financial services.</w:t>
      </w:r>
    </w:p>
    <w:bookmarkEnd w:id="9"/>
    <w:p w14:paraId="62A139C4" w14:textId="77777777" w:rsidR="008D271A" w:rsidRPr="00AD453B" w:rsidRDefault="008D271A" w:rsidP="006400EA">
      <w:pPr>
        <w:pStyle w:val="Body"/>
        <w:rPr>
          <w:rFonts w:cs="Arial"/>
          <w:color w:val="auto"/>
          <w:lang w:val="en-AU"/>
        </w:rPr>
      </w:pPr>
    </w:p>
    <w:p w14:paraId="5E31FD53" w14:textId="77777777" w:rsidR="008D271A" w:rsidRPr="00AD453B" w:rsidRDefault="008D271A" w:rsidP="006400EA">
      <w:pPr>
        <w:pStyle w:val="Body"/>
        <w:ind w:left="720" w:hanging="720"/>
        <w:rPr>
          <w:rFonts w:cs="Arial"/>
          <w:color w:val="auto"/>
          <w:lang w:val="en-AU"/>
        </w:rPr>
      </w:pPr>
      <w:r w:rsidRPr="00AD453B">
        <w:rPr>
          <w:rFonts w:cs="Arial"/>
          <w:color w:val="auto"/>
          <w:lang w:val="en-AU"/>
        </w:rPr>
        <w:t>9.</w:t>
      </w:r>
      <w:r w:rsidRPr="00AD453B">
        <w:rPr>
          <w:rFonts w:cs="Arial"/>
          <w:color w:val="auto"/>
          <w:lang w:val="en-AU"/>
        </w:rPr>
        <w:tab/>
        <w:t>On request of an applicant in writing, a Party’s regulatory authority shall inform the applicant of the status of its application. If the authority requires additional information from the applicant, it shall notify the applicant without undue delay.</w:t>
      </w:r>
    </w:p>
    <w:p w14:paraId="3ED05349" w14:textId="77777777" w:rsidR="008D271A" w:rsidRPr="00AD453B" w:rsidRDefault="008D271A" w:rsidP="006400EA">
      <w:pPr>
        <w:pStyle w:val="Body"/>
        <w:rPr>
          <w:rFonts w:cs="Arial"/>
          <w:color w:val="auto"/>
          <w:lang w:val="en-AU"/>
        </w:rPr>
      </w:pPr>
    </w:p>
    <w:p w14:paraId="5917F434" w14:textId="422CB137" w:rsidR="008D271A" w:rsidRPr="00AD453B" w:rsidRDefault="008D271A" w:rsidP="006400EA">
      <w:pPr>
        <w:pStyle w:val="Body"/>
        <w:ind w:left="720" w:hanging="720"/>
        <w:rPr>
          <w:rFonts w:cs="Arial"/>
          <w:color w:val="auto"/>
          <w:lang w:val="en-AU"/>
        </w:rPr>
      </w:pPr>
      <w:r w:rsidRPr="00AD453B">
        <w:rPr>
          <w:rFonts w:cs="Arial"/>
          <w:color w:val="auto"/>
          <w:lang w:val="en-AU"/>
        </w:rPr>
        <w:t>10.</w:t>
      </w:r>
      <w:r w:rsidRPr="00AD453B">
        <w:rPr>
          <w:rFonts w:cs="Arial"/>
          <w:color w:val="auto"/>
          <w:lang w:val="en-AU"/>
        </w:rPr>
        <w:tab/>
        <w:t xml:space="preserve">A Party’s regulatory authority shall make an administrative decision on a complete application of a financial service supplier of the other Party relating </w:t>
      </w:r>
      <w:r w:rsidRPr="00AD453B">
        <w:rPr>
          <w:rFonts w:cs="Arial"/>
          <w:color w:val="auto"/>
          <w:lang w:val="en-AU"/>
        </w:rPr>
        <w:lastRenderedPageBreak/>
        <w:t>to the supply of a financial service within 180 days, and shall notify the applicant of the decision without undue delay.</w:t>
      </w:r>
      <w:r w:rsidR="003A5AD3">
        <w:rPr>
          <w:rFonts w:cs="Arial"/>
          <w:color w:val="auto"/>
          <w:lang w:val="en-AU"/>
        </w:rPr>
        <w:t xml:space="preserve"> </w:t>
      </w:r>
      <w:r w:rsidRPr="00AD453B">
        <w:rPr>
          <w:rFonts w:cs="Arial"/>
          <w:color w:val="auto"/>
          <w:lang w:val="en-AU"/>
        </w:rPr>
        <w:t xml:space="preserve"> An application shall not be considered complete until all relevant proceedings are conducted and all necessary information is received. Where it is not practicable for such a decision to be made within 180 days, the regulatory authority shall notify the applicant without undue delay and shall endeavour to make the decision within a reasonable period of time thereafter.</w:t>
      </w:r>
    </w:p>
    <w:p w14:paraId="0700632F" w14:textId="77777777" w:rsidR="008D271A" w:rsidRPr="00AD453B" w:rsidRDefault="008D271A" w:rsidP="006400EA">
      <w:pPr>
        <w:pStyle w:val="Body"/>
        <w:rPr>
          <w:rFonts w:cs="Arial"/>
          <w:color w:val="auto"/>
          <w:lang w:val="en-AU"/>
        </w:rPr>
      </w:pPr>
    </w:p>
    <w:p w14:paraId="34E9B1F4" w14:textId="77777777" w:rsidR="008D271A" w:rsidRPr="00AD453B" w:rsidRDefault="008D271A" w:rsidP="006400EA">
      <w:pPr>
        <w:pStyle w:val="Body"/>
        <w:ind w:left="720" w:hanging="720"/>
        <w:rPr>
          <w:rFonts w:cs="Arial"/>
          <w:color w:val="auto"/>
          <w:lang w:val="en-AU"/>
        </w:rPr>
      </w:pPr>
      <w:r w:rsidRPr="00AD453B">
        <w:rPr>
          <w:rFonts w:cs="Arial"/>
          <w:color w:val="auto"/>
          <w:lang w:val="en-AU"/>
        </w:rPr>
        <w:t>11.</w:t>
      </w:r>
      <w:r w:rsidRPr="00AD453B">
        <w:rPr>
          <w:rFonts w:cs="Arial"/>
          <w:color w:val="auto"/>
          <w:lang w:val="en-AU"/>
        </w:rPr>
        <w:tab/>
        <w:t>On request of an unsuccessful applicant in writing, a Party’s regulatory authority that has denied an application shall, to the extent practicable, inform the applicant of the reasons for the denial of the application.</w:t>
      </w:r>
    </w:p>
    <w:bookmarkEnd w:id="6"/>
    <w:p w14:paraId="4C2C6F31" w14:textId="4963593A" w:rsidR="002E4C03" w:rsidRDefault="002E4C03" w:rsidP="006400EA">
      <w:pPr>
        <w:pStyle w:val="Body"/>
        <w:rPr>
          <w:rFonts w:cs="Arial"/>
          <w:color w:val="auto"/>
          <w:lang w:val="en-AU"/>
        </w:rPr>
      </w:pPr>
    </w:p>
    <w:p w14:paraId="0362F545" w14:textId="77777777" w:rsidR="005861E5" w:rsidRPr="00AD453B" w:rsidRDefault="005861E5" w:rsidP="006400EA">
      <w:pPr>
        <w:pStyle w:val="Body"/>
        <w:rPr>
          <w:rFonts w:cs="Arial"/>
          <w:color w:val="auto"/>
          <w:lang w:val="en-AU"/>
        </w:rPr>
      </w:pPr>
    </w:p>
    <w:p w14:paraId="2824BDE0" w14:textId="1CE3E1D3" w:rsidR="00E0662F" w:rsidRPr="00AD453B" w:rsidRDefault="00E0662F" w:rsidP="005027B0">
      <w:pPr>
        <w:pStyle w:val="Heading2"/>
        <w:rPr>
          <w:rFonts w:eastAsia="Arial Unicode MS"/>
          <w:u w:color="000000"/>
          <w:lang w:eastAsia="en-GB"/>
        </w:rPr>
      </w:pPr>
      <w:r w:rsidRPr="00AD453B">
        <w:rPr>
          <w:rFonts w:eastAsia="Arial Unicode MS"/>
          <w:u w:color="000000"/>
          <w:lang w:eastAsia="en-GB"/>
        </w:rPr>
        <w:t xml:space="preserve">Article </w:t>
      </w:r>
      <w:r w:rsidR="00EA7964" w:rsidRPr="00AD453B">
        <w:rPr>
          <w:rFonts w:eastAsia="Arial Unicode MS"/>
          <w:u w:color="000000"/>
          <w:lang w:eastAsia="en-GB"/>
        </w:rPr>
        <w:t>8A.</w:t>
      </w:r>
      <w:r w:rsidRPr="00AD453B">
        <w:rPr>
          <w:rFonts w:eastAsia="Arial Unicode MS"/>
          <w:u w:color="000000"/>
          <w:lang w:eastAsia="en-GB"/>
        </w:rPr>
        <w:t>9</w:t>
      </w:r>
      <w:r w:rsidR="00746F65">
        <w:rPr>
          <w:rFonts w:eastAsia="Arial Unicode MS"/>
          <w:u w:color="000000"/>
          <w:lang w:eastAsia="en-GB"/>
        </w:rPr>
        <w:br/>
      </w:r>
      <w:r w:rsidRPr="00AD453B">
        <w:rPr>
          <w:rFonts w:eastAsia="Arial Unicode MS"/>
          <w:u w:color="000000"/>
          <w:lang w:eastAsia="en-GB"/>
        </w:rPr>
        <w:t>Transfers of Financial Information and Processing of Financial Information</w:t>
      </w:r>
    </w:p>
    <w:p w14:paraId="249510C5" w14:textId="77777777" w:rsidR="00E0662F" w:rsidRPr="00AD453B" w:rsidRDefault="00E0662F" w:rsidP="006400EA">
      <w:pPr>
        <w:suppressAutoHyphens/>
        <w:ind w:left="720" w:hanging="720"/>
        <w:rPr>
          <w:rFonts w:eastAsia="Arial Unicode MS" w:cs="Arial"/>
          <w:u w:color="000000"/>
          <w:lang w:eastAsia="en-GB"/>
        </w:rPr>
      </w:pPr>
    </w:p>
    <w:p w14:paraId="05B1199B" w14:textId="47097519" w:rsidR="00E0662F" w:rsidRPr="00AD453B" w:rsidRDefault="00E0662F" w:rsidP="006400EA">
      <w:pPr>
        <w:suppressAutoHyphens/>
        <w:ind w:left="720" w:hanging="720"/>
        <w:rPr>
          <w:rFonts w:eastAsia="Arial Unicode MS" w:cs="Arial"/>
          <w:u w:color="000000"/>
          <w:lang w:eastAsia="en-GB"/>
        </w:rPr>
      </w:pPr>
      <w:r w:rsidRPr="00AD453B">
        <w:rPr>
          <w:rFonts w:eastAsia="Arial Unicode MS" w:cs="Arial"/>
          <w:u w:color="000000"/>
          <w:lang w:eastAsia="en-GB"/>
        </w:rPr>
        <w:t xml:space="preserve">1. </w:t>
      </w:r>
      <w:r w:rsidRPr="00AD453B">
        <w:rPr>
          <w:rFonts w:eastAsia="Arial Unicode MS" w:cs="Arial"/>
          <w:u w:color="000000"/>
          <w:lang w:eastAsia="en-GB"/>
        </w:rPr>
        <w:tab/>
      </w:r>
      <w:bookmarkStart w:id="10" w:name="_Hlk97050894"/>
      <w:r w:rsidRPr="00AD453B">
        <w:rPr>
          <w:rFonts w:eastAsia="Arial Unicode MS" w:cs="Arial"/>
          <w:u w:color="000000"/>
          <w:lang w:eastAsia="en-GB"/>
        </w:rPr>
        <w:t>The Parties recognise that each Party may have its own regulatory requirements</w:t>
      </w:r>
      <w:r w:rsidR="008C6BFF" w:rsidRPr="00AD453B">
        <w:rPr>
          <w:rFonts w:eastAsia="Arial Unicode MS" w:cs="Arial"/>
          <w:u w:color="000000"/>
          <w:lang w:eastAsia="en-GB"/>
        </w:rPr>
        <w:t>,</w:t>
      </w:r>
      <w:r w:rsidRPr="00AD453B">
        <w:rPr>
          <w:rFonts w:eastAsia="Arial Unicode MS" w:cs="Arial"/>
          <w:u w:color="000000"/>
          <w:lang w:eastAsia="en-GB"/>
        </w:rPr>
        <w:t xml:space="preserve"> </w:t>
      </w:r>
      <w:r w:rsidR="008C6BFF" w:rsidRPr="00AD453B">
        <w:rPr>
          <w:rFonts w:eastAsia="Arial Unicode MS" w:cs="Arial"/>
          <w:u w:color="000000"/>
          <w:lang w:eastAsia="en-GB"/>
        </w:rPr>
        <w:t xml:space="preserve">including requirements set out in legislation, </w:t>
      </w:r>
      <w:r w:rsidRPr="00AD453B">
        <w:rPr>
          <w:rFonts w:eastAsia="Arial Unicode MS" w:cs="Arial"/>
          <w:u w:color="000000"/>
          <w:lang w:eastAsia="en-GB"/>
        </w:rPr>
        <w:t>concerning the transfer of financial information and the processing of financial information.</w:t>
      </w:r>
      <w:r w:rsidRPr="00AD453B">
        <w:rPr>
          <w:rFonts w:eastAsia="Arial Unicode MS" w:cs="Arial"/>
          <w:u w:color="000000"/>
          <w:vertAlign w:val="superscript"/>
          <w:lang w:eastAsia="en-GB"/>
        </w:rPr>
        <w:footnoteReference w:id="10"/>
      </w:r>
      <w:r w:rsidR="00894383" w:rsidRPr="00AD453B">
        <w:rPr>
          <w:rFonts w:eastAsia="Arial Unicode MS" w:cs="Arial"/>
          <w:u w:color="000000"/>
          <w:vertAlign w:val="superscript"/>
          <w:lang w:eastAsia="en-GB"/>
        </w:rPr>
        <w:t>,</w:t>
      </w:r>
      <w:r w:rsidRPr="00AD453B">
        <w:rPr>
          <w:rFonts w:eastAsia="Arial Unicode MS" w:cs="Arial"/>
          <w:u w:color="000000"/>
          <w:vertAlign w:val="superscript"/>
          <w:lang w:eastAsia="en-GB"/>
        </w:rPr>
        <w:footnoteReference w:id="11"/>
      </w:r>
      <w:r w:rsidRPr="00AD453B">
        <w:rPr>
          <w:rFonts w:eastAsia="Arial Unicode MS" w:cs="Arial"/>
          <w:u w:color="000000"/>
          <w:lang w:eastAsia="en-GB"/>
        </w:rPr>
        <w:t xml:space="preserve"> </w:t>
      </w:r>
      <w:bookmarkEnd w:id="10"/>
    </w:p>
    <w:p w14:paraId="76300015" w14:textId="77777777" w:rsidR="00E0662F" w:rsidRPr="00AD453B" w:rsidRDefault="00E0662F" w:rsidP="006400EA">
      <w:pPr>
        <w:suppressAutoHyphens/>
        <w:ind w:left="720" w:hanging="720"/>
        <w:rPr>
          <w:rFonts w:eastAsia="Arial Unicode MS" w:cs="Arial"/>
          <w:u w:color="000000"/>
          <w:lang w:eastAsia="en-GB"/>
        </w:rPr>
      </w:pPr>
    </w:p>
    <w:p w14:paraId="73C34256" w14:textId="77777777" w:rsidR="00894383" w:rsidRPr="00AD453B" w:rsidRDefault="00E0662F" w:rsidP="006400EA">
      <w:pPr>
        <w:suppressAutoHyphens/>
        <w:ind w:left="720" w:hanging="720"/>
        <w:rPr>
          <w:rFonts w:eastAsia="Arial Unicode MS" w:cs="Arial"/>
          <w:u w:color="000000"/>
          <w:lang w:eastAsia="en-GB"/>
        </w:rPr>
      </w:pPr>
      <w:r w:rsidRPr="00AD453B">
        <w:rPr>
          <w:rFonts w:eastAsia="Arial Unicode MS" w:cs="Arial"/>
          <w:u w:color="000000"/>
          <w:lang w:eastAsia="en-GB"/>
        </w:rPr>
        <w:t xml:space="preserve">2. </w:t>
      </w:r>
      <w:r w:rsidRPr="00AD453B">
        <w:rPr>
          <w:rFonts w:eastAsia="Arial Unicode MS" w:cs="Arial"/>
          <w:u w:color="000000"/>
          <w:lang w:eastAsia="en-GB"/>
        </w:rPr>
        <w:tab/>
        <w:t xml:space="preserve">A Party shall not, other than in pursuance of the requirements mentioned in paragraph 1, take measures that prevent: </w:t>
      </w:r>
    </w:p>
    <w:p w14:paraId="110D2088" w14:textId="77777777" w:rsidR="00894383" w:rsidRPr="00AD453B" w:rsidRDefault="00894383" w:rsidP="006400EA">
      <w:pPr>
        <w:suppressAutoHyphens/>
        <w:ind w:left="720"/>
        <w:rPr>
          <w:rFonts w:eastAsia="Arial Unicode MS" w:cs="Arial"/>
          <w:u w:color="000000"/>
          <w:lang w:eastAsia="en-GB"/>
        </w:rPr>
      </w:pPr>
    </w:p>
    <w:p w14:paraId="5515DCE2" w14:textId="4D149D5A" w:rsidR="00894383" w:rsidRPr="00AD453B" w:rsidRDefault="00E0662F" w:rsidP="006400EA">
      <w:pPr>
        <w:pStyle w:val="Body"/>
        <w:ind w:left="1440" w:hanging="731"/>
        <w:rPr>
          <w:rFonts w:cs="Arial"/>
        </w:rPr>
      </w:pPr>
      <w:r w:rsidRPr="00AD453B">
        <w:rPr>
          <w:rFonts w:cs="Arial"/>
          <w:color w:val="auto"/>
          <w:lang w:val="en-AU"/>
        </w:rPr>
        <w:t xml:space="preserve">(a) </w:t>
      </w:r>
      <w:r w:rsidR="00894383" w:rsidRPr="00AD453B">
        <w:rPr>
          <w:rFonts w:cs="Arial"/>
          <w:color w:val="auto"/>
          <w:lang w:val="en-AU"/>
        </w:rPr>
        <w:tab/>
      </w:r>
      <w:r w:rsidRPr="00AD453B">
        <w:rPr>
          <w:rFonts w:cs="Arial"/>
          <w:color w:val="auto"/>
          <w:lang w:val="en-AU"/>
        </w:rPr>
        <w:t xml:space="preserve">transfers of financial information, including transfers of data by electronic or other means, necessary for the conduct of the ordinary business of a financial service supplier in its territory; or </w:t>
      </w:r>
    </w:p>
    <w:p w14:paraId="7FC3C7E6" w14:textId="77777777" w:rsidR="00894383" w:rsidRPr="00AD453B" w:rsidRDefault="00894383" w:rsidP="006400EA">
      <w:pPr>
        <w:pStyle w:val="Body"/>
        <w:ind w:left="1440"/>
        <w:rPr>
          <w:rFonts w:cs="Arial"/>
        </w:rPr>
      </w:pPr>
    </w:p>
    <w:p w14:paraId="2A802F59" w14:textId="0AF64204" w:rsidR="00E0662F" w:rsidRPr="00AD453B" w:rsidRDefault="00E0662F" w:rsidP="006400EA">
      <w:pPr>
        <w:pStyle w:val="Body"/>
        <w:ind w:left="1440" w:hanging="731"/>
        <w:rPr>
          <w:rFonts w:cs="Arial"/>
          <w:lang w:val="en-AU"/>
        </w:rPr>
      </w:pPr>
      <w:r w:rsidRPr="00AD453B">
        <w:rPr>
          <w:rFonts w:cs="Arial"/>
          <w:color w:val="auto"/>
          <w:lang w:val="en-AU"/>
        </w:rPr>
        <w:t xml:space="preserve">(b) </w:t>
      </w:r>
      <w:r w:rsidR="00894383" w:rsidRPr="00AD453B">
        <w:rPr>
          <w:rFonts w:cs="Arial"/>
          <w:color w:val="auto"/>
          <w:lang w:val="en-AU"/>
        </w:rPr>
        <w:tab/>
      </w:r>
      <w:r w:rsidRPr="00AD453B">
        <w:rPr>
          <w:rFonts w:cs="Arial"/>
          <w:color w:val="auto"/>
          <w:lang w:val="en-AU"/>
        </w:rPr>
        <w:t xml:space="preserve">processing of financial information necessary for the conduct of the ordinary business of a financial service supplier in its territory. </w:t>
      </w:r>
    </w:p>
    <w:p w14:paraId="12A53DC8" w14:textId="77777777" w:rsidR="00E0662F" w:rsidRPr="00AD453B" w:rsidRDefault="00E0662F" w:rsidP="006400EA">
      <w:pPr>
        <w:suppressAutoHyphens/>
        <w:ind w:left="720" w:hanging="720"/>
        <w:rPr>
          <w:rFonts w:eastAsia="Arial Unicode MS" w:cs="Arial"/>
          <w:u w:color="000000"/>
          <w:lang w:eastAsia="en-GB"/>
        </w:rPr>
      </w:pPr>
    </w:p>
    <w:p w14:paraId="683FC9F7" w14:textId="74F5151A" w:rsidR="00E0662F" w:rsidRPr="00AD453B" w:rsidRDefault="00E0662F" w:rsidP="006400EA">
      <w:pPr>
        <w:suppressAutoHyphens/>
        <w:ind w:left="720" w:hanging="720"/>
        <w:rPr>
          <w:rFonts w:eastAsia="Arial Unicode MS" w:cs="Arial"/>
          <w:u w:color="000000"/>
          <w:lang w:eastAsia="en-GB"/>
        </w:rPr>
      </w:pPr>
      <w:r w:rsidRPr="00AD453B">
        <w:rPr>
          <w:rFonts w:eastAsia="Arial Unicode MS" w:cs="Arial"/>
          <w:u w:color="000000"/>
          <w:lang w:eastAsia="en-GB"/>
        </w:rPr>
        <w:t xml:space="preserve">3. </w:t>
      </w:r>
      <w:r w:rsidRPr="00AD453B">
        <w:rPr>
          <w:rFonts w:eastAsia="Arial Unicode MS" w:cs="Arial"/>
          <w:u w:color="000000"/>
          <w:lang w:eastAsia="en-GB"/>
        </w:rPr>
        <w:tab/>
        <w:t>Nothing in paragraph 2 prevent</w:t>
      </w:r>
      <w:r w:rsidR="0084047A">
        <w:rPr>
          <w:rFonts w:eastAsia="Arial Unicode MS" w:cs="Arial"/>
          <w:u w:color="000000"/>
          <w:lang w:eastAsia="en-GB"/>
        </w:rPr>
        <w:t>s</w:t>
      </w:r>
      <w:r w:rsidRPr="00AD453B">
        <w:rPr>
          <w:rFonts w:eastAsia="Arial Unicode MS" w:cs="Arial"/>
          <w:u w:color="000000"/>
          <w:lang w:eastAsia="en-GB"/>
        </w:rPr>
        <w:t xml:space="preserve"> a regulatory authority of a Party, for regulatory or prudential reasons, from requiring a financial service supplier in its territory to comply with its laws and regulations in relation to data management and storage and system maintenance, as well as to retain within its territory copies of records</w:t>
      </w:r>
      <w:r w:rsidR="00894383" w:rsidRPr="00AD453B">
        <w:rPr>
          <w:rFonts w:eastAsia="Arial Unicode MS" w:cs="Arial"/>
          <w:u w:color="000000"/>
          <w:lang w:eastAsia="en-GB"/>
        </w:rPr>
        <w:t>,</w:t>
      </w:r>
      <w:r w:rsidRPr="00AD453B">
        <w:rPr>
          <w:rFonts w:eastAsia="Arial Unicode MS" w:cs="Arial"/>
          <w:u w:color="000000"/>
          <w:vertAlign w:val="superscript"/>
          <w:lang w:eastAsia="en-GB"/>
        </w:rPr>
        <w:footnoteReference w:id="12"/>
      </w:r>
      <w:r w:rsidRPr="00AD453B">
        <w:rPr>
          <w:rFonts w:eastAsia="Arial Unicode MS" w:cs="Arial"/>
          <w:u w:color="000000"/>
          <w:lang w:eastAsia="en-GB"/>
        </w:rPr>
        <w:t xml:space="preserve"> provided that such requirements shall not be used as a means of avoiding the Party’s commitments or obligations under this Agreement. </w:t>
      </w:r>
    </w:p>
    <w:p w14:paraId="7233FE4A" w14:textId="77777777" w:rsidR="00E0662F" w:rsidRPr="00AD453B" w:rsidRDefault="00E0662F" w:rsidP="006400EA">
      <w:pPr>
        <w:suppressAutoHyphens/>
        <w:ind w:left="720" w:hanging="720"/>
        <w:rPr>
          <w:rFonts w:eastAsia="Arial Unicode MS" w:cs="Arial"/>
          <w:u w:color="000000"/>
          <w:lang w:eastAsia="en-GB"/>
        </w:rPr>
      </w:pPr>
    </w:p>
    <w:p w14:paraId="4FAF5CDC" w14:textId="79378838" w:rsidR="00E0662F" w:rsidRPr="00AD453B" w:rsidRDefault="00E0662F" w:rsidP="006400EA">
      <w:pPr>
        <w:suppressAutoHyphens/>
        <w:ind w:left="720" w:hanging="720"/>
        <w:rPr>
          <w:rFonts w:eastAsia="Arial Unicode MS" w:cs="Arial"/>
          <w:u w:color="000000"/>
          <w:lang w:eastAsia="en-GB"/>
        </w:rPr>
      </w:pPr>
      <w:r w:rsidRPr="00AD453B">
        <w:rPr>
          <w:rFonts w:eastAsia="Arial Unicode MS" w:cs="Arial"/>
          <w:u w:color="000000"/>
          <w:lang w:eastAsia="en-GB"/>
        </w:rPr>
        <w:t>4.</w:t>
      </w:r>
      <w:r w:rsidRPr="00AD453B">
        <w:rPr>
          <w:rFonts w:eastAsia="Arial Unicode MS" w:cs="Arial"/>
          <w:u w:color="000000"/>
          <w:lang w:eastAsia="en-GB"/>
        </w:rPr>
        <w:tab/>
        <w:t>Nothing in paragraph 2 restrict</w:t>
      </w:r>
      <w:r w:rsidR="0084047A">
        <w:rPr>
          <w:rFonts w:eastAsia="Arial Unicode MS" w:cs="Arial"/>
          <w:u w:color="000000"/>
          <w:lang w:eastAsia="en-GB"/>
        </w:rPr>
        <w:t>s</w:t>
      </w:r>
      <w:r w:rsidRPr="00AD453B">
        <w:rPr>
          <w:rFonts w:eastAsia="Arial Unicode MS" w:cs="Arial"/>
          <w:u w:color="000000"/>
          <w:lang w:eastAsia="en-GB"/>
        </w:rPr>
        <w:t xml:space="preserve"> the right of a Party to protect personal data, personal privacy, and the confidentiality of individual records and accounts </w:t>
      </w:r>
      <w:r w:rsidRPr="00AD453B">
        <w:rPr>
          <w:rFonts w:eastAsia="Arial Unicode MS" w:cs="Arial"/>
          <w:u w:color="000000"/>
          <w:lang w:eastAsia="en-GB"/>
        </w:rPr>
        <w:lastRenderedPageBreak/>
        <w:t>including in accordance with its laws and regulations</w:t>
      </w:r>
      <w:r w:rsidR="00894383" w:rsidRPr="00AD453B">
        <w:rPr>
          <w:rFonts w:eastAsia="Arial Unicode MS" w:cs="Arial"/>
          <w:u w:color="000000"/>
          <w:lang w:eastAsia="en-GB"/>
        </w:rPr>
        <w:t>,</w:t>
      </w:r>
      <w:r w:rsidR="00281057" w:rsidRPr="00AD453B">
        <w:rPr>
          <w:rStyle w:val="FootnoteReference"/>
          <w:rFonts w:eastAsia="Arial Unicode MS" w:cs="Arial"/>
          <w:u w:color="000000"/>
          <w:lang w:eastAsia="en-GB"/>
        </w:rPr>
        <w:footnoteReference w:id="13"/>
      </w:r>
      <w:r w:rsidRPr="00AD453B">
        <w:rPr>
          <w:rFonts w:eastAsia="Arial Unicode MS" w:cs="Arial"/>
          <w:u w:color="000000"/>
          <w:lang w:eastAsia="en-GB"/>
        </w:rPr>
        <w:t xml:space="preserve"> provided that such a right shall not be used as a means of avoiding the Party’s commitments or obligations under this Agreement. </w:t>
      </w:r>
    </w:p>
    <w:p w14:paraId="158A470E" w14:textId="77777777" w:rsidR="00E0662F" w:rsidRPr="009732FA" w:rsidRDefault="00E0662F" w:rsidP="006400EA">
      <w:pPr>
        <w:suppressAutoHyphens/>
        <w:ind w:left="720" w:hanging="720"/>
        <w:rPr>
          <w:rFonts w:eastAsia="Arial Unicode MS" w:cs="Arial"/>
          <w:u w:color="000000"/>
          <w:lang w:eastAsia="en-GB"/>
        </w:rPr>
      </w:pPr>
    </w:p>
    <w:p w14:paraId="74D4A379" w14:textId="04A6960F" w:rsidR="00E0662F" w:rsidRPr="009732FA" w:rsidRDefault="00E0662F" w:rsidP="006400EA">
      <w:pPr>
        <w:suppressAutoHyphens/>
        <w:ind w:left="720" w:hanging="720"/>
        <w:rPr>
          <w:rFonts w:eastAsia="Arial Unicode MS" w:cs="Arial"/>
          <w:u w:color="000000"/>
          <w:lang w:eastAsia="en-GB"/>
        </w:rPr>
      </w:pPr>
      <w:r w:rsidRPr="009732FA">
        <w:rPr>
          <w:rFonts w:eastAsia="Arial Unicode MS" w:cs="Arial"/>
          <w:u w:color="000000"/>
          <w:lang w:eastAsia="en-GB"/>
        </w:rPr>
        <w:t xml:space="preserve">5. </w:t>
      </w:r>
      <w:r w:rsidRPr="009732FA">
        <w:rPr>
          <w:rFonts w:eastAsia="Arial Unicode MS" w:cs="Arial"/>
          <w:u w:color="000000"/>
          <w:lang w:eastAsia="en-GB"/>
        </w:rPr>
        <w:tab/>
        <w:t xml:space="preserve">Nothing in paragraph 2 shall be construed to require a Party to allow the cross-border supply or consumption abroad of services in relation to which it has not made commitments, including to allow non-resident suppliers of financial services to supply, as a principal, through an intermediary or as an intermediary, the provision and transfer of financial information and financial data processing as referred to in subparagraph (b)(xv) of Article </w:t>
      </w:r>
      <w:r w:rsidR="00894383" w:rsidRPr="009732FA">
        <w:rPr>
          <w:rFonts w:eastAsia="Arial Unicode MS" w:cs="Arial"/>
          <w:u w:color="000000"/>
          <w:lang w:eastAsia="en-GB"/>
        </w:rPr>
        <w:t>8A.</w:t>
      </w:r>
      <w:r w:rsidRPr="009732FA">
        <w:rPr>
          <w:rFonts w:eastAsia="Arial Unicode MS" w:cs="Arial"/>
          <w:u w:color="000000"/>
          <w:lang w:eastAsia="en-GB"/>
        </w:rPr>
        <w:t>1 (Definitions).</w:t>
      </w:r>
    </w:p>
    <w:p w14:paraId="5576D138" w14:textId="57692302" w:rsidR="008C6BFF" w:rsidRPr="009732FA" w:rsidRDefault="008C6BFF" w:rsidP="006400EA">
      <w:pPr>
        <w:pStyle w:val="Body"/>
        <w:rPr>
          <w:rFonts w:cs="Arial"/>
          <w:color w:val="auto"/>
          <w:lang w:val="en-AU"/>
        </w:rPr>
      </w:pPr>
    </w:p>
    <w:p w14:paraId="7770D64B" w14:textId="77777777" w:rsidR="005861E5" w:rsidRPr="009732FA" w:rsidRDefault="005861E5" w:rsidP="006400EA">
      <w:pPr>
        <w:pStyle w:val="Body"/>
        <w:rPr>
          <w:rFonts w:cs="Arial"/>
          <w:color w:val="auto"/>
          <w:lang w:val="en-AU"/>
        </w:rPr>
      </w:pPr>
    </w:p>
    <w:p w14:paraId="796D6DEB" w14:textId="72AEBA9E" w:rsidR="008D271A" w:rsidRPr="009732FA" w:rsidRDefault="008D271A" w:rsidP="005027B0">
      <w:pPr>
        <w:pStyle w:val="Heading2"/>
      </w:pPr>
      <w:bookmarkStart w:id="11" w:name="_Hlk95469791"/>
      <w:r w:rsidRPr="009732FA">
        <w:t xml:space="preserve">Article </w:t>
      </w:r>
      <w:r w:rsidR="00F8505B" w:rsidRPr="009732FA">
        <w:t>8A.</w:t>
      </w:r>
      <w:r w:rsidRPr="009732FA">
        <w:t>10</w:t>
      </w:r>
      <w:r w:rsidR="00746F65" w:rsidRPr="009732FA">
        <w:br/>
      </w:r>
      <w:r w:rsidRPr="009732FA">
        <w:t>Self-Regulatory Organisations</w:t>
      </w:r>
    </w:p>
    <w:p w14:paraId="761ED9B6" w14:textId="77777777" w:rsidR="008D271A" w:rsidRPr="009732FA" w:rsidRDefault="008D271A" w:rsidP="006400EA">
      <w:pPr>
        <w:pStyle w:val="Body"/>
        <w:rPr>
          <w:rFonts w:cs="Arial"/>
          <w:color w:val="auto"/>
          <w:lang w:val="en-AU"/>
        </w:rPr>
      </w:pPr>
    </w:p>
    <w:p w14:paraId="18931960" w14:textId="5FA6BC33" w:rsidR="008D271A" w:rsidRPr="009732FA" w:rsidRDefault="008D271A" w:rsidP="003A7063">
      <w:pPr>
        <w:pStyle w:val="Body"/>
        <w:ind w:left="720"/>
        <w:rPr>
          <w:rFonts w:cs="Arial"/>
          <w:color w:val="auto"/>
          <w:lang w:val="en-AU"/>
        </w:rPr>
      </w:pPr>
      <w:r w:rsidRPr="009732FA">
        <w:rPr>
          <w:rFonts w:cs="Arial"/>
          <w:color w:val="auto"/>
          <w:lang w:val="en-AU"/>
        </w:rPr>
        <w:t xml:space="preserve">If a Party requires a financial institution of the other Party to be a member of, participate in, or have access to a self-regulatory organisation to provide a financial service in its territory, that Party shall ensure that the self-regulatory organisation observes that Party’s obligations under Article </w:t>
      </w:r>
      <w:r w:rsidR="00F8505B" w:rsidRPr="009732FA">
        <w:rPr>
          <w:rFonts w:cs="Arial"/>
          <w:color w:val="auto"/>
          <w:lang w:val="en-AU"/>
        </w:rPr>
        <w:t>8.</w:t>
      </w:r>
      <w:r w:rsidR="00894383" w:rsidRPr="009732FA">
        <w:rPr>
          <w:rFonts w:cs="Arial"/>
          <w:color w:val="auto"/>
          <w:lang w:val="en-AU"/>
        </w:rPr>
        <w:t>4</w:t>
      </w:r>
      <w:r w:rsidRPr="009732FA">
        <w:rPr>
          <w:rFonts w:cs="Arial"/>
          <w:color w:val="auto"/>
          <w:lang w:val="en-AU"/>
        </w:rPr>
        <w:t xml:space="preserve"> (National Treatment</w:t>
      </w:r>
      <w:r w:rsidR="00226CC3" w:rsidRPr="009732FA">
        <w:rPr>
          <w:rFonts w:cs="Arial"/>
          <w:color w:val="auto"/>
          <w:lang w:val="en-AU"/>
        </w:rPr>
        <w:t xml:space="preserve"> – Trade in Services</w:t>
      </w:r>
      <w:r w:rsidR="00AC0BFE" w:rsidRPr="009732FA">
        <w:rPr>
          <w:rFonts w:cs="Arial"/>
          <w:color w:val="auto"/>
          <w:lang w:val="en-AU"/>
        </w:rPr>
        <w:t>).</w:t>
      </w:r>
    </w:p>
    <w:bookmarkEnd w:id="11"/>
    <w:p w14:paraId="5E412DE6" w14:textId="42C8ABF9" w:rsidR="008D271A" w:rsidRPr="009732FA" w:rsidRDefault="008D271A" w:rsidP="006400EA">
      <w:pPr>
        <w:rPr>
          <w:rFonts w:cs="Arial"/>
        </w:rPr>
      </w:pPr>
    </w:p>
    <w:p w14:paraId="277A5091" w14:textId="77777777" w:rsidR="005861E5" w:rsidRPr="009732FA" w:rsidRDefault="005861E5" w:rsidP="006400EA">
      <w:pPr>
        <w:rPr>
          <w:rFonts w:cs="Arial"/>
        </w:rPr>
      </w:pPr>
    </w:p>
    <w:p w14:paraId="64283F6E" w14:textId="1E89278C" w:rsidR="008D271A" w:rsidRPr="009732FA" w:rsidRDefault="008D271A" w:rsidP="005027B0">
      <w:pPr>
        <w:pStyle w:val="Heading2"/>
      </w:pPr>
      <w:r w:rsidRPr="009732FA">
        <w:t>Article</w:t>
      </w:r>
      <w:r w:rsidR="008D77F6" w:rsidRPr="009732FA">
        <w:t xml:space="preserve"> </w:t>
      </w:r>
      <w:r w:rsidR="00F8505B" w:rsidRPr="009732FA">
        <w:t>8A.</w:t>
      </w:r>
      <w:r w:rsidRPr="009732FA">
        <w:t>11</w:t>
      </w:r>
      <w:r w:rsidR="00746F65" w:rsidRPr="009732FA">
        <w:br/>
      </w:r>
      <w:r w:rsidRPr="009732FA">
        <w:t>Payment and Clearing Systems</w:t>
      </w:r>
    </w:p>
    <w:p w14:paraId="77165D10" w14:textId="77777777" w:rsidR="008D271A" w:rsidRPr="009732FA" w:rsidRDefault="008D271A" w:rsidP="006400EA">
      <w:pPr>
        <w:pStyle w:val="Body"/>
        <w:rPr>
          <w:rFonts w:cs="Arial"/>
          <w:color w:val="auto"/>
          <w:lang w:val="en-AU"/>
        </w:rPr>
      </w:pPr>
    </w:p>
    <w:p w14:paraId="2FFD238D" w14:textId="4495B21E" w:rsidR="008D271A" w:rsidRPr="009732FA" w:rsidRDefault="008D271A" w:rsidP="005027B0">
      <w:pPr>
        <w:pStyle w:val="Body"/>
        <w:ind w:left="720"/>
        <w:rPr>
          <w:rFonts w:cs="Arial"/>
          <w:color w:val="auto"/>
          <w:lang w:val="en-AU"/>
        </w:rPr>
      </w:pPr>
      <w:r w:rsidRPr="009732FA">
        <w:rPr>
          <w:rFonts w:cs="Arial"/>
          <w:color w:val="auto"/>
          <w:lang w:val="en-AU"/>
        </w:rPr>
        <w:t xml:space="preserve">Under </w:t>
      </w:r>
      <w:r w:rsidR="002F6A27" w:rsidRPr="009732FA">
        <w:rPr>
          <w:rFonts w:cs="Arial"/>
          <w:color w:val="auto"/>
          <w:lang w:val="en-AU"/>
        </w:rPr>
        <w:t xml:space="preserve">the </w:t>
      </w:r>
      <w:r w:rsidRPr="009732FA">
        <w:rPr>
          <w:rFonts w:cs="Arial"/>
          <w:color w:val="auto"/>
          <w:lang w:val="en-AU"/>
        </w:rPr>
        <w:t xml:space="preserve">terms and conditions that accord national treatment, each Party shall grant financial institutions of </w:t>
      </w:r>
      <w:r w:rsidR="00B3795A" w:rsidRPr="009732FA">
        <w:rPr>
          <w:rFonts w:cs="Arial"/>
          <w:color w:val="auto"/>
          <w:lang w:val="en-AU"/>
        </w:rPr>
        <w:t xml:space="preserve">the </w:t>
      </w:r>
      <w:r w:rsidRPr="009732FA">
        <w:rPr>
          <w:rFonts w:cs="Arial"/>
          <w:color w:val="auto"/>
          <w:lang w:val="en-AU"/>
        </w:rPr>
        <w:t>other Party established in its territory access to payment and clearing systems operated by public entities, and to official funding and refinancing facilities available in the normal course of ordinary business. This Article is not intended to confer access to the Party’s lender of last resort facilities.</w:t>
      </w:r>
      <w:r w:rsidRPr="009732FA">
        <w:rPr>
          <w:rStyle w:val="FootnoteReference"/>
          <w:rFonts w:cs="Arial"/>
          <w:color w:val="auto"/>
          <w:lang w:val="en-AU"/>
        </w:rPr>
        <w:footnoteReference w:id="14"/>
      </w:r>
    </w:p>
    <w:p w14:paraId="16FD93BB" w14:textId="6212F01F" w:rsidR="008D271A" w:rsidRDefault="008D271A" w:rsidP="006400EA">
      <w:pPr>
        <w:rPr>
          <w:rFonts w:cs="Arial"/>
        </w:rPr>
      </w:pPr>
    </w:p>
    <w:p w14:paraId="7AB4E699" w14:textId="77777777" w:rsidR="005861E5" w:rsidRPr="00AD453B" w:rsidRDefault="005861E5" w:rsidP="006400EA">
      <w:pPr>
        <w:rPr>
          <w:rFonts w:cs="Arial"/>
        </w:rPr>
      </w:pPr>
    </w:p>
    <w:p w14:paraId="5357F639" w14:textId="08627C55" w:rsidR="00A76DD9" w:rsidRPr="00AD453B" w:rsidRDefault="00A76DD9" w:rsidP="005027B0">
      <w:pPr>
        <w:pStyle w:val="Heading2"/>
      </w:pPr>
      <w:bookmarkStart w:id="12" w:name="_Hlk96581597"/>
      <w:r w:rsidRPr="00AD453B">
        <w:t xml:space="preserve">Article </w:t>
      </w:r>
      <w:r w:rsidR="00F8505B" w:rsidRPr="00AD453B">
        <w:t>8A.</w:t>
      </w:r>
      <w:r w:rsidRPr="00AD453B">
        <w:t>1</w:t>
      </w:r>
      <w:r w:rsidR="00400627" w:rsidRPr="00AD453B">
        <w:t>2</w:t>
      </w:r>
      <w:r w:rsidR="00746F65">
        <w:br/>
      </w:r>
      <w:r w:rsidRPr="00AD453B">
        <w:t>Cross-</w:t>
      </w:r>
      <w:r w:rsidR="00384F80" w:rsidRPr="00AD453B">
        <w:t>B</w:t>
      </w:r>
      <w:r w:rsidRPr="00AD453B">
        <w:t xml:space="preserve">order </w:t>
      </w:r>
      <w:r w:rsidR="00384F80" w:rsidRPr="00AD453B">
        <w:t>E</w:t>
      </w:r>
      <w:r w:rsidRPr="00AD453B">
        <w:t xml:space="preserve">lectronic </w:t>
      </w:r>
      <w:r w:rsidR="00384F80" w:rsidRPr="00AD453B">
        <w:t>P</w:t>
      </w:r>
      <w:r w:rsidRPr="00AD453B">
        <w:t>ayments</w:t>
      </w:r>
    </w:p>
    <w:p w14:paraId="708DBCA0" w14:textId="77777777" w:rsidR="00A76DD9" w:rsidRPr="00AD453B" w:rsidRDefault="00A76DD9" w:rsidP="006400EA">
      <w:pPr>
        <w:rPr>
          <w:rFonts w:cs="Arial"/>
        </w:rPr>
      </w:pPr>
    </w:p>
    <w:bookmarkEnd w:id="12"/>
    <w:p w14:paraId="74D5593F" w14:textId="4AA5CFFC" w:rsidR="006D2F26" w:rsidRPr="009732FA" w:rsidRDefault="006D2F26" w:rsidP="00F75385">
      <w:pPr>
        <w:ind w:left="720"/>
        <w:rPr>
          <w:rFonts w:cs="Arial"/>
          <w:lang w:eastAsia="en-GB"/>
        </w:rPr>
      </w:pPr>
      <w:r w:rsidRPr="00AD453B">
        <w:rPr>
          <w:rFonts w:cs="Arial"/>
        </w:rPr>
        <w:t xml:space="preserve">Both </w:t>
      </w:r>
      <w:r w:rsidR="004A75FE" w:rsidRPr="00AD453B">
        <w:rPr>
          <w:rFonts w:cs="Arial"/>
        </w:rPr>
        <w:t>P</w:t>
      </w:r>
      <w:r w:rsidRPr="00AD453B">
        <w:rPr>
          <w:rFonts w:cs="Arial"/>
        </w:rPr>
        <w:t xml:space="preserve">arties shall support the development of efficient and secure cross-border electronic payments, including those provided by non-banks and FinTech </w:t>
      </w:r>
      <w:r w:rsidRPr="009732FA">
        <w:rPr>
          <w:rFonts w:cs="Arial"/>
        </w:rPr>
        <w:t>entities, to foster the development and adoption of internationally accepted standards for electronic payments, and to promote</w:t>
      </w:r>
      <w:r w:rsidRPr="009732FA">
        <w:rPr>
          <w:rFonts w:eastAsia="Arial Unicode MS" w:cs="Arial"/>
          <w:u w:color="000000"/>
          <w:lang w:eastAsia="en-GB"/>
        </w:rPr>
        <w:t xml:space="preserve"> innovation, competition and</w:t>
      </w:r>
      <w:r w:rsidRPr="009732FA">
        <w:rPr>
          <w:rFonts w:cs="Arial"/>
        </w:rPr>
        <w:t xml:space="preserve"> interoperability of electronic payment</w:t>
      </w:r>
      <w:r w:rsidR="00C76433" w:rsidRPr="009732FA">
        <w:rPr>
          <w:rFonts w:cs="Arial"/>
        </w:rPr>
        <w:t xml:space="preserve"> </w:t>
      </w:r>
      <w:r w:rsidRPr="009732FA">
        <w:rPr>
          <w:rFonts w:eastAsia="Arial Unicode MS" w:cs="Arial"/>
          <w:u w:color="000000"/>
          <w:lang w:eastAsia="en-GB"/>
        </w:rPr>
        <w:t>infrastructure.</w:t>
      </w:r>
      <w:r w:rsidR="008A6DEB" w:rsidRPr="009732FA">
        <w:rPr>
          <w:rFonts w:eastAsia="Arial Unicode MS" w:cs="Arial"/>
          <w:u w:color="000000"/>
          <w:lang w:eastAsia="en-GB"/>
        </w:rPr>
        <w:t xml:space="preserve"> </w:t>
      </w:r>
      <w:r w:rsidRPr="009732FA">
        <w:rPr>
          <w:rFonts w:eastAsia="Arial Unicode MS" w:cs="Arial"/>
          <w:u w:color="000000"/>
          <w:lang w:eastAsia="en-GB"/>
        </w:rPr>
        <w:t>Each Party shall, to the extent practica</w:t>
      </w:r>
      <w:r w:rsidR="005027B0" w:rsidRPr="009732FA">
        <w:rPr>
          <w:rFonts w:eastAsia="Arial Unicode MS" w:cs="Arial"/>
          <w:u w:color="000000"/>
          <w:lang w:eastAsia="en-GB"/>
        </w:rPr>
        <w:t>b</w:t>
      </w:r>
      <w:r w:rsidRPr="009732FA">
        <w:rPr>
          <w:rFonts w:eastAsia="Arial Unicode MS" w:cs="Arial"/>
          <w:u w:color="000000"/>
          <w:lang w:eastAsia="en-GB"/>
        </w:rPr>
        <w:t>l</w:t>
      </w:r>
      <w:r w:rsidR="005027B0" w:rsidRPr="009732FA">
        <w:rPr>
          <w:rFonts w:eastAsia="Arial Unicode MS" w:cs="Arial"/>
          <w:u w:color="000000"/>
          <w:lang w:eastAsia="en-GB"/>
        </w:rPr>
        <w:t>e</w:t>
      </w:r>
      <w:r w:rsidRPr="009732FA">
        <w:rPr>
          <w:rFonts w:eastAsia="Arial Unicode MS" w:cs="Arial"/>
          <w:u w:color="000000"/>
          <w:lang w:eastAsia="en-GB"/>
        </w:rPr>
        <w:t>, make regulations on electronic payments, including in relation to regulatory approval, licensing requirements, procedures and technical standards, publicly available.</w:t>
      </w:r>
    </w:p>
    <w:p w14:paraId="047BB909" w14:textId="001144C1" w:rsidR="009D7EA6" w:rsidRDefault="009D7EA6" w:rsidP="006400EA">
      <w:pPr>
        <w:pStyle w:val="Body"/>
        <w:rPr>
          <w:rFonts w:cs="Arial"/>
          <w:color w:val="auto"/>
          <w:lang w:val="en-AU"/>
        </w:rPr>
      </w:pPr>
    </w:p>
    <w:p w14:paraId="3187401C" w14:textId="77777777" w:rsidR="00597B3C" w:rsidRPr="009732FA" w:rsidRDefault="00597B3C" w:rsidP="006400EA">
      <w:pPr>
        <w:pStyle w:val="Body"/>
        <w:rPr>
          <w:rFonts w:cs="Arial"/>
          <w:color w:val="auto"/>
          <w:lang w:val="en-AU"/>
        </w:rPr>
      </w:pPr>
    </w:p>
    <w:p w14:paraId="15DE9CED" w14:textId="70443D72" w:rsidR="008D271A" w:rsidRPr="00AD453B" w:rsidRDefault="008D271A" w:rsidP="005027B0">
      <w:pPr>
        <w:pStyle w:val="Heading2"/>
      </w:pPr>
      <w:r w:rsidRPr="009732FA">
        <w:t xml:space="preserve">Article </w:t>
      </w:r>
      <w:r w:rsidR="00F8505B" w:rsidRPr="009732FA">
        <w:t>8A.</w:t>
      </w:r>
      <w:r w:rsidRPr="009732FA">
        <w:t>13</w:t>
      </w:r>
      <w:r w:rsidR="00746F65" w:rsidRPr="009732FA">
        <w:br/>
      </w:r>
      <w:r w:rsidRPr="009732FA">
        <w:t xml:space="preserve">Performance </w:t>
      </w:r>
      <w:r w:rsidRPr="00AD453B">
        <w:t>of Back-Office Functions</w:t>
      </w:r>
    </w:p>
    <w:p w14:paraId="1836F6D5" w14:textId="77777777" w:rsidR="008D271A" w:rsidRPr="00AD453B" w:rsidRDefault="008D271A" w:rsidP="006400EA">
      <w:pPr>
        <w:pStyle w:val="Body"/>
        <w:rPr>
          <w:rFonts w:cs="Arial"/>
          <w:color w:val="auto"/>
          <w:lang w:val="en-AU"/>
        </w:rPr>
      </w:pPr>
    </w:p>
    <w:p w14:paraId="4A677B09" w14:textId="2D9567E5" w:rsidR="00232E81" w:rsidRPr="00AD453B" w:rsidRDefault="00A90C0B" w:rsidP="006400EA">
      <w:pPr>
        <w:pStyle w:val="Body"/>
        <w:ind w:left="720" w:hanging="720"/>
        <w:rPr>
          <w:rFonts w:cs="Arial"/>
          <w:color w:val="auto"/>
          <w:lang w:val="en-AU"/>
        </w:rPr>
      </w:pPr>
      <w:r w:rsidRPr="00AD453B">
        <w:rPr>
          <w:rFonts w:cs="Arial"/>
          <w:color w:val="auto"/>
          <w:lang w:val="en-AU"/>
        </w:rPr>
        <w:t>1.</w:t>
      </w:r>
      <w:r w:rsidRPr="00AD453B">
        <w:rPr>
          <w:rFonts w:cs="Arial"/>
          <w:color w:val="auto"/>
          <w:lang w:val="en-AU"/>
        </w:rPr>
        <w:tab/>
      </w:r>
      <w:r w:rsidR="004A75FE" w:rsidRPr="00AD453B">
        <w:rPr>
          <w:rFonts w:cs="Arial"/>
          <w:color w:val="auto"/>
          <w:lang w:val="en-AU"/>
        </w:rPr>
        <w:t xml:space="preserve">Each Party </w:t>
      </w:r>
      <w:r w:rsidR="008D271A" w:rsidRPr="00AD453B">
        <w:rPr>
          <w:rFonts w:cs="Arial"/>
          <w:color w:val="auto"/>
          <w:lang w:val="en-AU"/>
        </w:rPr>
        <w:t>recognise</w:t>
      </w:r>
      <w:r w:rsidR="004A75FE" w:rsidRPr="00AD453B">
        <w:rPr>
          <w:rFonts w:cs="Arial"/>
          <w:color w:val="auto"/>
          <w:lang w:val="en-AU"/>
        </w:rPr>
        <w:t>s</w:t>
      </w:r>
      <w:r w:rsidR="008D271A" w:rsidRPr="00AD453B">
        <w:rPr>
          <w:rFonts w:cs="Arial"/>
          <w:color w:val="auto"/>
          <w:lang w:val="en-AU"/>
        </w:rPr>
        <w:t xml:space="preserve"> that the performance of the back-office functions of a financial institution in its territory by the head office or an affiliate of the financial institution</w:t>
      </w:r>
      <w:r w:rsidR="00381206" w:rsidRPr="00AD453B">
        <w:rPr>
          <w:rFonts w:cs="Arial"/>
          <w:color w:val="auto"/>
          <w:lang w:val="en-AU"/>
        </w:rPr>
        <w:t xml:space="preserve"> can</w:t>
      </w:r>
      <w:r w:rsidR="000842F0" w:rsidRPr="00AD453B">
        <w:rPr>
          <w:rFonts w:cs="Arial"/>
          <w:color w:val="auto"/>
          <w:lang w:val="en-AU"/>
        </w:rPr>
        <w:t xml:space="preserve"> be </w:t>
      </w:r>
      <w:r w:rsidR="008D271A" w:rsidRPr="00AD453B">
        <w:rPr>
          <w:rFonts w:cs="Arial"/>
          <w:color w:val="auto"/>
          <w:lang w:val="en-AU"/>
        </w:rPr>
        <w:t>important to the effective management and efficient operation of that financial institution.</w:t>
      </w:r>
    </w:p>
    <w:p w14:paraId="6024C5C5" w14:textId="77777777" w:rsidR="003911BF" w:rsidRDefault="003911BF" w:rsidP="006400EA">
      <w:pPr>
        <w:pStyle w:val="Body"/>
        <w:ind w:left="720" w:hanging="720"/>
        <w:rPr>
          <w:rFonts w:cs="Arial"/>
          <w:color w:val="auto"/>
          <w:lang w:val="en-AU"/>
        </w:rPr>
      </w:pPr>
    </w:p>
    <w:p w14:paraId="71F928AB" w14:textId="51EF886A" w:rsidR="00064274" w:rsidRPr="009732FA" w:rsidRDefault="00381206" w:rsidP="006400EA">
      <w:pPr>
        <w:pStyle w:val="Body"/>
        <w:ind w:left="720" w:hanging="720"/>
        <w:rPr>
          <w:rFonts w:cs="Arial"/>
          <w:color w:val="auto"/>
          <w:lang w:val="en-AU"/>
        </w:rPr>
      </w:pPr>
      <w:r w:rsidRPr="00AD453B">
        <w:rPr>
          <w:rFonts w:cs="Arial"/>
          <w:color w:val="auto"/>
          <w:lang w:val="en-AU"/>
        </w:rPr>
        <w:t>2.</w:t>
      </w:r>
      <w:r w:rsidRPr="00AD453B">
        <w:rPr>
          <w:rFonts w:cs="Arial"/>
          <w:color w:val="auto"/>
          <w:lang w:val="en-AU"/>
        </w:rPr>
        <w:tab/>
      </w:r>
      <w:r w:rsidR="00232E81" w:rsidRPr="00AD453B">
        <w:rPr>
          <w:rFonts w:cs="Arial"/>
          <w:color w:val="auto"/>
          <w:lang w:val="en-AU"/>
        </w:rPr>
        <w:t xml:space="preserve">A </w:t>
      </w:r>
      <w:r w:rsidR="008D271A" w:rsidRPr="009732FA">
        <w:rPr>
          <w:rFonts w:cs="Arial"/>
          <w:color w:val="auto"/>
          <w:lang w:val="en-AU"/>
        </w:rPr>
        <w:t xml:space="preserve">Party may require financial institutions </w:t>
      </w:r>
      <w:r w:rsidR="00A90C0B" w:rsidRPr="009732FA">
        <w:rPr>
          <w:rFonts w:cs="Arial"/>
          <w:color w:val="auto"/>
          <w:lang w:val="en-AU"/>
        </w:rPr>
        <w:t xml:space="preserve">to </w:t>
      </w:r>
      <w:r w:rsidR="008D271A" w:rsidRPr="009732FA">
        <w:rPr>
          <w:rFonts w:cs="Arial"/>
          <w:color w:val="auto"/>
          <w:lang w:val="en-AU"/>
        </w:rPr>
        <w:t xml:space="preserve">ensure </w:t>
      </w:r>
      <w:r w:rsidR="00232E81" w:rsidRPr="009732FA">
        <w:rPr>
          <w:rFonts w:cs="Arial"/>
          <w:color w:val="auto"/>
          <w:lang w:val="en-AU"/>
        </w:rPr>
        <w:t xml:space="preserve">core </w:t>
      </w:r>
      <w:r w:rsidR="008D271A" w:rsidRPr="009732FA">
        <w:rPr>
          <w:rFonts w:cs="Arial"/>
          <w:color w:val="auto"/>
          <w:lang w:val="en-AU"/>
        </w:rPr>
        <w:t xml:space="preserve">compliance </w:t>
      </w:r>
      <w:r w:rsidR="00232E81" w:rsidRPr="009732FA">
        <w:rPr>
          <w:rFonts w:cs="Arial"/>
          <w:color w:val="auto"/>
          <w:lang w:val="en-AU"/>
        </w:rPr>
        <w:t xml:space="preserve">and critical functions satisfy </w:t>
      </w:r>
      <w:r w:rsidR="008D271A" w:rsidRPr="009732FA">
        <w:rPr>
          <w:rFonts w:cs="Arial"/>
          <w:color w:val="auto"/>
          <w:lang w:val="en-AU"/>
        </w:rPr>
        <w:t xml:space="preserve">any domestic requirements, </w:t>
      </w:r>
      <w:r w:rsidR="00232E81" w:rsidRPr="009732FA">
        <w:rPr>
          <w:rFonts w:cs="Arial"/>
          <w:color w:val="auto"/>
          <w:lang w:val="en-AU"/>
        </w:rPr>
        <w:t xml:space="preserve">but </w:t>
      </w:r>
      <w:r w:rsidR="008D271A" w:rsidRPr="009732FA">
        <w:rPr>
          <w:rFonts w:cs="Arial"/>
          <w:color w:val="auto"/>
          <w:lang w:val="en-AU"/>
        </w:rPr>
        <w:t>recognise</w:t>
      </w:r>
      <w:r w:rsidR="00275748" w:rsidRPr="009732FA">
        <w:rPr>
          <w:rFonts w:cs="Arial"/>
          <w:color w:val="auto"/>
          <w:lang w:val="en-AU"/>
        </w:rPr>
        <w:t>s</w:t>
      </w:r>
      <w:r w:rsidR="008D271A" w:rsidRPr="009732FA">
        <w:rPr>
          <w:rFonts w:cs="Arial"/>
          <w:color w:val="auto"/>
          <w:lang w:val="en-AU"/>
        </w:rPr>
        <w:t xml:space="preserve"> the importance of avoiding the imposition of arbitrary requirements on the performance of </w:t>
      </w:r>
      <w:r w:rsidRPr="009732FA">
        <w:rPr>
          <w:rFonts w:cs="Arial"/>
          <w:color w:val="auto"/>
          <w:lang w:val="en-AU"/>
        </w:rPr>
        <w:t>back-office</w:t>
      </w:r>
      <w:r w:rsidR="008D271A" w:rsidRPr="009732FA">
        <w:rPr>
          <w:rFonts w:cs="Arial"/>
          <w:color w:val="auto"/>
          <w:lang w:val="en-AU"/>
        </w:rPr>
        <w:t xml:space="preserve"> functions.</w:t>
      </w:r>
      <w:r w:rsidR="00064274" w:rsidRPr="009732FA">
        <w:rPr>
          <w:rFonts w:cs="Arial"/>
          <w:color w:val="auto"/>
          <w:lang w:val="en-AU"/>
        </w:rPr>
        <w:t xml:space="preserve"> </w:t>
      </w:r>
    </w:p>
    <w:p w14:paraId="5A2BEC00" w14:textId="77777777" w:rsidR="003911BF" w:rsidRPr="009732FA" w:rsidRDefault="003911BF" w:rsidP="006400EA">
      <w:pPr>
        <w:pStyle w:val="Body"/>
        <w:ind w:left="720" w:hanging="720"/>
        <w:rPr>
          <w:rFonts w:cs="Arial"/>
          <w:color w:val="auto"/>
          <w:lang w:val="en-AU"/>
        </w:rPr>
      </w:pPr>
    </w:p>
    <w:p w14:paraId="76D00994" w14:textId="1B16F118" w:rsidR="008D271A" w:rsidRPr="009732FA" w:rsidRDefault="00A90C0B" w:rsidP="006400EA">
      <w:pPr>
        <w:pStyle w:val="Body"/>
        <w:ind w:left="720" w:hanging="720"/>
        <w:rPr>
          <w:rFonts w:cs="Arial"/>
          <w:color w:val="auto"/>
          <w:lang w:val="en-AU"/>
        </w:rPr>
      </w:pPr>
      <w:r w:rsidRPr="009732FA">
        <w:rPr>
          <w:rFonts w:cs="Arial"/>
          <w:color w:val="auto"/>
          <w:lang w:val="en-AU"/>
        </w:rPr>
        <w:t>3</w:t>
      </w:r>
      <w:r w:rsidR="008D271A" w:rsidRPr="009732FA">
        <w:rPr>
          <w:rFonts w:cs="Arial"/>
          <w:color w:val="auto"/>
          <w:lang w:val="en-AU"/>
        </w:rPr>
        <w:t xml:space="preserve">. </w:t>
      </w:r>
      <w:r w:rsidR="008D271A" w:rsidRPr="009732FA">
        <w:rPr>
          <w:rFonts w:cs="Arial"/>
          <w:color w:val="auto"/>
          <w:lang w:val="en-AU"/>
        </w:rPr>
        <w:tab/>
        <w:t xml:space="preserve">For greater certainty, nothing in paragraph 1 prevents a Party from requiring a financial institution in its territory to retain certain </w:t>
      </w:r>
      <w:r w:rsidR="00381206" w:rsidRPr="009732FA">
        <w:rPr>
          <w:rFonts w:cs="Arial"/>
          <w:color w:val="auto"/>
          <w:lang w:val="en-AU"/>
        </w:rPr>
        <w:t xml:space="preserve">core </w:t>
      </w:r>
      <w:r w:rsidR="008D271A" w:rsidRPr="009732FA">
        <w:rPr>
          <w:rFonts w:cs="Arial"/>
          <w:color w:val="auto"/>
          <w:lang w:val="en-AU"/>
        </w:rPr>
        <w:t>functions.</w:t>
      </w:r>
    </w:p>
    <w:p w14:paraId="17A843FB" w14:textId="46EAE54D" w:rsidR="008C6BFF" w:rsidRPr="009732FA" w:rsidRDefault="008C6BFF" w:rsidP="006400EA">
      <w:pPr>
        <w:pStyle w:val="Body"/>
        <w:rPr>
          <w:rFonts w:cs="Arial"/>
          <w:color w:val="auto"/>
          <w:lang w:val="en-AU"/>
        </w:rPr>
      </w:pPr>
    </w:p>
    <w:p w14:paraId="3C6BA4B2" w14:textId="77777777" w:rsidR="003911BF" w:rsidRPr="009732FA" w:rsidRDefault="003911BF" w:rsidP="006400EA">
      <w:pPr>
        <w:pStyle w:val="Body"/>
        <w:rPr>
          <w:rFonts w:cs="Arial"/>
          <w:color w:val="auto"/>
          <w:lang w:val="en-AU"/>
        </w:rPr>
      </w:pPr>
    </w:p>
    <w:p w14:paraId="75E7CEB3" w14:textId="06327683" w:rsidR="008D271A" w:rsidRPr="009732FA" w:rsidRDefault="008D271A" w:rsidP="005027B0">
      <w:pPr>
        <w:pStyle w:val="Heading2"/>
      </w:pPr>
      <w:bookmarkStart w:id="13" w:name="_Hlk95470568"/>
      <w:r w:rsidRPr="009732FA">
        <w:t xml:space="preserve">Article </w:t>
      </w:r>
      <w:r w:rsidR="00F8505B" w:rsidRPr="009732FA">
        <w:t>8A.</w:t>
      </w:r>
      <w:r w:rsidRPr="009732FA">
        <w:t>14</w:t>
      </w:r>
      <w:r w:rsidR="00746F65" w:rsidRPr="009732FA">
        <w:br/>
      </w:r>
      <w:r w:rsidRPr="009732FA">
        <w:t>Dispute Settlement</w:t>
      </w:r>
    </w:p>
    <w:p w14:paraId="58F19DEA" w14:textId="77777777" w:rsidR="008D271A" w:rsidRPr="009732FA" w:rsidRDefault="008D271A" w:rsidP="006400EA">
      <w:pPr>
        <w:pStyle w:val="Body"/>
        <w:rPr>
          <w:rFonts w:cs="Arial"/>
          <w:color w:val="auto"/>
          <w:lang w:val="en-AU"/>
        </w:rPr>
      </w:pPr>
    </w:p>
    <w:p w14:paraId="484401A2" w14:textId="3510860C" w:rsidR="008D271A" w:rsidRPr="00AD453B" w:rsidRDefault="008D271A" w:rsidP="002010E8">
      <w:pPr>
        <w:pStyle w:val="Body"/>
        <w:ind w:left="720"/>
        <w:rPr>
          <w:rFonts w:cs="Arial"/>
          <w:color w:val="auto"/>
          <w:lang w:val="en-AU"/>
        </w:rPr>
      </w:pPr>
      <w:r w:rsidRPr="009732FA">
        <w:rPr>
          <w:rFonts w:cs="Arial"/>
          <w:color w:val="auto"/>
          <w:lang w:val="en-AU"/>
        </w:rPr>
        <w:t>Panels</w:t>
      </w:r>
      <w:r w:rsidR="001C23DD" w:rsidRPr="009732FA">
        <w:rPr>
          <w:rFonts w:cs="Arial"/>
          <w:color w:val="auto"/>
          <w:lang w:val="en-AU"/>
        </w:rPr>
        <w:t xml:space="preserve"> </w:t>
      </w:r>
      <w:r w:rsidRPr="009732FA">
        <w:rPr>
          <w:rFonts w:cs="Arial"/>
          <w:color w:val="auto"/>
          <w:lang w:val="en-AU"/>
        </w:rPr>
        <w:t xml:space="preserve">established pursuant to Chapter </w:t>
      </w:r>
      <w:r w:rsidR="0088640C" w:rsidRPr="009732FA">
        <w:rPr>
          <w:rFonts w:cs="Arial"/>
          <w:color w:val="auto"/>
          <w:lang w:val="en-AU"/>
        </w:rPr>
        <w:t>1</w:t>
      </w:r>
      <w:r w:rsidR="004A75FE" w:rsidRPr="009732FA">
        <w:rPr>
          <w:rFonts w:cs="Arial"/>
          <w:color w:val="auto"/>
          <w:lang w:val="en-AU"/>
        </w:rPr>
        <w:t>3</w:t>
      </w:r>
      <w:r w:rsidRPr="009732FA">
        <w:rPr>
          <w:rFonts w:cs="Arial"/>
          <w:color w:val="auto"/>
          <w:lang w:val="en-AU"/>
        </w:rPr>
        <w:t xml:space="preserve"> (Dispute Settlement)</w:t>
      </w:r>
      <w:r w:rsidR="001C23DD" w:rsidRPr="009732FA">
        <w:rPr>
          <w:rFonts w:cs="Arial"/>
          <w:color w:val="auto"/>
          <w:lang w:val="en-AU"/>
        </w:rPr>
        <w:t xml:space="preserve"> </w:t>
      </w:r>
      <w:r w:rsidR="009D1098" w:rsidRPr="009732FA">
        <w:rPr>
          <w:rFonts w:cs="Arial"/>
          <w:color w:val="auto"/>
          <w:lang w:val="en-AU"/>
        </w:rPr>
        <w:t xml:space="preserve">to examine matters relating to </w:t>
      </w:r>
      <w:r w:rsidRPr="009732FA">
        <w:rPr>
          <w:rFonts w:cs="Arial"/>
          <w:color w:val="auto"/>
          <w:lang w:val="en-AU"/>
        </w:rPr>
        <w:t xml:space="preserve">disputes on prudential issues and other financial matters shall have the </w:t>
      </w:r>
      <w:r w:rsidRPr="00AD453B">
        <w:rPr>
          <w:rFonts w:cs="Arial"/>
          <w:color w:val="auto"/>
          <w:lang w:val="en-AU"/>
        </w:rPr>
        <w:t>necessary expertise relevant to the specific financial service under dispute.</w:t>
      </w:r>
    </w:p>
    <w:bookmarkEnd w:id="13"/>
    <w:p w14:paraId="3D6B6560" w14:textId="66BD63E9" w:rsidR="00FF2A06" w:rsidRDefault="00FF2A06" w:rsidP="006400EA">
      <w:pPr>
        <w:pStyle w:val="Body"/>
        <w:ind w:left="720" w:hanging="720"/>
        <w:rPr>
          <w:rFonts w:cs="Arial"/>
          <w:color w:val="auto"/>
          <w:lang w:val="en-AU"/>
        </w:rPr>
      </w:pPr>
    </w:p>
    <w:p w14:paraId="0AAECDD8" w14:textId="77777777" w:rsidR="003911BF" w:rsidRPr="00AD453B" w:rsidRDefault="003911BF" w:rsidP="006400EA">
      <w:pPr>
        <w:pStyle w:val="Body"/>
        <w:ind w:left="720" w:hanging="720"/>
        <w:rPr>
          <w:rFonts w:cs="Arial"/>
          <w:color w:val="auto"/>
          <w:lang w:val="en-AU"/>
        </w:rPr>
      </w:pPr>
    </w:p>
    <w:p w14:paraId="03357BED" w14:textId="50D1CA31" w:rsidR="008C6BFF" w:rsidRPr="00AD453B" w:rsidRDefault="008C6BFF" w:rsidP="005027B0">
      <w:pPr>
        <w:pStyle w:val="Heading2"/>
        <w:rPr>
          <w:rFonts w:eastAsia="Arial Unicode MS"/>
          <w:u w:color="000000"/>
          <w:lang w:eastAsia="en-GB"/>
        </w:rPr>
      </w:pPr>
      <w:bookmarkStart w:id="14" w:name="_Hlk96609698"/>
      <w:r w:rsidRPr="00AD453B">
        <w:rPr>
          <w:rFonts w:eastAsia="Arial Unicode MS"/>
          <w:u w:color="000000"/>
          <w:lang w:eastAsia="en-GB"/>
        </w:rPr>
        <w:t xml:space="preserve">Article </w:t>
      </w:r>
      <w:r w:rsidR="00EA7964" w:rsidRPr="00AD453B">
        <w:rPr>
          <w:rFonts w:eastAsia="Arial Unicode MS"/>
          <w:u w:color="000000"/>
          <w:lang w:eastAsia="en-GB"/>
        </w:rPr>
        <w:t>8A.</w:t>
      </w:r>
      <w:r w:rsidRPr="00AD453B">
        <w:rPr>
          <w:rFonts w:eastAsia="Arial Unicode MS"/>
          <w:u w:color="000000"/>
          <w:lang w:eastAsia="en-GB"/>
        </w:rPr>
        <w:t>15</w:t>
      </w:r>
      <w:r w:rsidR="00746F65">
        <w:rPr>
          <w:rFonts w:eastAsia="Arial Unicode MS"/>
          <w:u w:color="000000"/>
          <w:lang w:eastAsia="en-GB"/>
        </w:rPr>
        <w:br/>
      </w:r>
      <w:r w:rsidRPr="00AD453B">
        <w:rPr>
          <w:rFonts w:eastAsia="Arial Unicode MS"/>
          <w:u w:color="000000"/>
          <w:lang w:eastAsia="en-GB"/>
        </w:rPr>
        <w:t>Credit Rating of Financial Services Suppliers</w:t>
      </w:r>
    </w:p>
    <w:p w14:paraId="35DFE779" w14:textId="77777777" w:rsidR="008C6BFF" w:rsidRPr="00AD453B" w:rsidRDefault="008C6BFF" w:rsidP="006400EA">
      <w:pPr>
        <w:rPr>
          <w:rFonts w:eastAsia="Arial Unicode MS" w:cs="Arial"/>
          <w:u w:color="000000"/>
          <w:lang w:eastAsia="en-GB"/>
        </w:rPr>
      </w:pPr>
    </w:p>
    <w:p w14:paraId="3DDAD8B2" w14:textId="5EDDF515" w:rsidR="0009512D" w:rsidRPr="00A54ECC" w:rsidRDefault="0009512D" w:rsidP="002263FC">
      <w:pPr>
        <w:ind w:left="720"/>
        <w:rPr>
          <w:rFonts w:eastAsia="Arial Unicode MS" w:cs="Arial"/>
          <w:lang w:eastAsia="en-GB"/>
        </w:rPr>
      </w:pPr>
      <w:r w:rsidRPr="00A54ECC">
        <w:rPr>
          <w:rFonts w:eastAsia="Arial Unicode MS" w:cs="Arial"/>
          <w:lang w:eastAsia="en-GB"/>
        </w:rPr>
        <w:t>In relation to the provision of a financial service in the territory of a Party (</w:t>
      </w:r>
      <w:r w:rsidR="000F52C5" w:rsidRPr="00A54ECC">
        <w:rPr>
          <w:rFonts w:eastAsia="Arial Unicode MS" w:cs="Arial"/>
          <w:lang w:eastAsia="en-GB"/>
        </w:rPr>
        <w:t>“</w:t>
      </w:r>
      <w:r w:rsidRPr="00A54ECC">
        <w:rPr>
          <w:rFonts w:eastAsia="Arial Unicode MS" w:cs="Arial"/>
          <w:lang w:eastAsia="en-GB"/>
        </w:rPr>
        <w:t xml:space="preserve">the </w:t>
      </w:r>
      <w:r w:rsidR="00572D9D" w:rsidRPr="00A54ECC">
        <w:rPr>
          <w:rFonts w:eastAsia="Arial Unicode MS" w:cs="Arial"/>
          <w:lang w:eastAsia="en-GB"/>
        </w:rPr>
        <w:t>h</w:t>
      </w:r>
      <w:r w:rsidRPr="00A54ECC">
        <w:rPr>
          <w:rFonts w:eastAsia="Arial Unicode MS" w:cs="Arial"/>
          <w:lang w:eastAsia="en-GB"/>
        </w:rPr>
        <w:t>ost Party</w:t>
      </w:r>
      <w:r w:rsidR="000B4990" w:rsidRPr="00A54ECC">
        <w:rPr>
          <w:rFonts w:eastAsia="Arial Unicode MS" w:cs="Arial"/>
          <w:lang w:eastAsia="en-GB"/>
        </w:rPr>
        <w:t>”</w:t>
      </w:r>
      <w:r w:rsidRPr="00A54ECC">
        <w:rPr>
          <w:rFonts w:eastAsia="Arial Unicode MS" w:cs="Arial"/>
          <w:lang w:eastAsia="en-GB"/>
        </w:rPr>
        <w:t>):</w:t>
      </w:r>
    </w:p>
    <w:p w14:paraId="62D93111" w14:textId="77777777" w:rsidR="002D1E8E" w:rsidRPr="00A54ECC" w:rsidRDefault="002D1E8E" w:rsidP="006400EA">
      <w:pPr>
        <w:rPr>
          <w:rFonts w:eastAsia="Arial Unicode MS" w:cs="Arial"/>
          <w:lang w:eastAsia="en-GB"/>
        </w:rPr>
      </w:pPr>
    </w:p>
    <w:p w14:paraId="1EE820D7" w14:textId="0A09FBF2" w:rsidR="0009512D" w:rsidRPr="00A54ECC" w:rsidRDefault="0009512D" w:rsidP="003911BF">
      <w:pPr>
        <w:pStyle w:val="Body"/>
        <w:ind w:left="1440" w:hanging="720"/>
        <w:rPr>
          <w:rFonts w:cs="Arial"/>
          <w:color w:val="auto"/>
          <w:lang w:val="en-AU"/>
        </w:rPr>
      </w:pPr>
      <w:r w:rsidRPr="00A54ECC">
        <w:rPr>
          <w:rFonts w:cs="Arial"/>
          <w:color w:val="auto"/>
          <w:lang w:val="en-AU"/>
        </w:rPr>
        <w:t>(a)</w:t>
      </w:r>
      <w:r w:rsidRPr="00A54ECC">
        <w:rPr>
          <w:rFonts w:cs="Arial"/>
          <w:color w:val="auto"/>
          <w:lang w:val="en-AU"/>
        </w:rPr>
        <w:tab/>
        <w:t>by a financial service suppl</w:t>
      </w:r>
      <w:r w:rsidR="00D04482" w:rsidRPr="00A54ECC">
        <w:rPr>
          <w:rFonts w:cs="Arial"/>
          <w:color w:val="auto"/>
          <w:lang w:val="en-AU"/>
        </w:rPr>
        <w:t>i</w:t>
      </w:r>
      <w:r w:rsidRPr="00A54ECC">
        <w:rPr>
          <w:rFonts w:cs="Arial"/>
          <w:color w:val="auto"/>
          <w:lang w:val="en-AU"/>
        </w:rPr>
        <w:t>er of the other Party, which is already licensed or authorised by the host Party to supply financial services in its territory</w:t>
      </w:r>
      <w:r w:rsidR="00957416">
        <w:rPr>
          <w:rFonts w:cs="Arial"/>
          <w:color w:val="auto"/>
          <w:lang w:val="en-AU"/>
        </w:rPr>
        <w:t>,</w:t>
      </w:r>
      <w:r w:rsidRPr="00A54ECC">
        <w:rPr>
          <w:rFonts w:cs="Arial"/>
          <w:color w:val="auto"/>
          <w:lang w:val="en-AU"/>
        </w:rPr>
        <w:t xml:space="preserve"> and</w:t>
      </w:r>
    </w:p>
    <w:p w14:paraId="4A40AC53" w14:textId="77777777" w:rsidR="0009512D" w:rsidRPr="00A54ECC" w:rsidRDefault="0009512D" w:rsidP="003911BF">
      <w:pPr>
        <w:pStyle w:val="Body"/>
        <w:ind w:left="1440" w:hanging="720"/>
        <w:rPr>
          <w:rFonts w:cs="Arial"/>
          <w:color w:val="auto"/>
          <w:lang w:val="en-AU"/>
        </w:rPr>
      </w:pPr>
    </w:p>
    <w:p w14:paraId="2E1FCC49" w14:textId="7E9A87D1" w:rsidR="0009512D" w:rsidRPr="00A54ECC" w:rsidRDefault="0009512D" w:rsidP="003911BF">
      <w:pPr>
        <w:pStyle w:val="Body"/>
        <w:ind w:left="1440" w:hanging="720"/>
        <w:rPr>
          <w:rFonts w:cs="Arial"/>
          <w:color w:val="auto"/>
          <w:lang w:val="en-AU"/>
        </w:rPr>
      </w:pPr>
      <w:r w:rsidRPr="00A54ECC">
        <w:rPr>
          <w:rFonts w:cs="Arial"/>
          <w:color w:val="auto"/>
          <w:lang w:val="en-AU"/>
        </w:rPr>
        <w:t xml:space="preserve">(b) </w:t>
      </w:r>
      <w:r w:rsidRPr="00A54ECC">
        <w:rPr>
          <w:rFonts w:cs="Arial"/>
          <w:color w:val="auto"/>
          <w:lang w:val="en-AU"/>
        </w:rPr>
        <w:tab/>
      </w:r>
      <w:r w:rsidR="00825808">
        <w:rPr>
          <w:rFonts w:cs="Arial"/>
          <w:color w:val="auto"/>
          <w:lang w:val="en-AU"/>
        </w:rPr>
        <w:t xml:space="preserve">where </w:t>
      </w:r>
      <w:r w:rsidR="00E4792C">
        <w:rPr>
          <w:rFonts w:cs="Arial"/>
          <w:color w:val="auto"/>
          <w:lang w:val="en-AU"/>
        </w:rPr>
        <w:t xml:space="preserve">the </w:t>
      </w:r>
      <w:r w:rsidR="00BD2678">
        <w:rPr>
          <w:rFonts w:cs="Arial"/>
          <w:color w:val="auto"/>
          <w:lang w:val="en-AU"/>
        </w:rPr>
        <w:t xml:space="preserve">provision of financial services </w:t>
      </w:r>
      <w:r w:rsidR="00A73C88" w:rsidRPr="00A54ECC">
        <w:rPr>
          <w:rFonts w:cs="Arial"/>
          <w:color w:val="auto"/>
          <w:lang w:val="en-AU"/>
        </w:rPr>
        <w:t xml:space="preserve">is </w:t>
      </w:r>
      <w:r w:rsidRPr="00A54ECC">
        <w:rPr>
          <w:rFonts w:cs="Arial"/>
          <w:color w:val="auto"/>
          <w:lang w:val="en-AU"/>
        </w:rPr>
        <w:t>wholly or partially contingent on an assessment by the host Party of the credit rating of the financial service supplier or the sovereign credit rating of the other Party,</w:t>
      </w:r>
    </w:p>
    <w:p w14:paraId="14ECE816" w14:textId="77777777" w:rsidR="0009512D" w:rsidRPr="00A54ECC" w:rsidRDefault="0009512D" w:rsidP="006400EA">
      <w:pPr>
        <w:ind w:left="720"/>
        <w:rPr>
          <w:rFonts w:eastAsia="Arial Unicode MS" w:cs="Arial"/>
          <w:lang w:eastAsia="en-GB"/>
        </w:rPr>
      </w:pPr>
    </w:p>
    <w:p w14:paraId="5F90461E" w14:textId="76E80D28" w:rsidR="0009512D" w:rsidRDefault="0009512D" w:rsidP="003911BF">
      <w:pPr>
        <w:pStyle w:val="ListParagraph"/>
        <w:spacing w:after="0" w:line="240" w:lineRule="auto"/>
        <w:contextualSpacing w:val="0"/>
        <w:jc w:val="both"/>
        <w:rPr>
          <w:rFonts w:ascii="Arial" w:eastAsia="Arial Unicode MS" w:hAnsi="Arial" w:cs="Arial"/>
          <w:sz w:val="24"/>
          <w:szCs w:val="24"/>
          <w:lang w:val="en-AU" w:eastAsia="en-GB"/>
        </w:rPr>
      </w:pPr>
      <w:bookmarkStart w:id="15" w:name="_Hlk97959424"/>
      <w:r w:rsidRPr="00A54ECC">
        <w:rPr>
          <w:rFonts w:ascii="Arial" w:eastAsia="Arial Unicode MS" w:hAnsi="Arial" w:cs="Arial"/>
          <w:sz w:val="24"/>
          <w:szCs w:val="24"/>
          <w:lang w:val="en-AU" w:eastAsia="en-GB"/>
        </w:rPr>
        <w:t>the host Party shall, to the extent practicable, undertake</w:t>
      </w:r>
      <w:r w:rsidR="006D33B5">
        <w:rPr>
          <w:rFonts w:ascii="Arial" w:eastAsia="Arial Unicode MS" w:hAnsi="Arial" w:cs="Arial"/>
          <w:sz w:val="24"/>
          <w:szCs w:val="24"/>
          <w:lang w:val="en-AU" w:eastAsia="en-GB"/>
        </w:rPr>
        <w:t xml:space="preserve"> </w:t>
      </w:r>
      <w:r w:rsidRPr="00A54ECC">
        <w:rPr>
          <w:rFonts w:ascii="Arial" w:eastAsia="Arial Unicode MS" w:hAnsi="Arial" w:cs="Arial"/>
          <w:sz w:val="24"/>
          <w:szCs w:val="24"/>
          <w:lang w:val="en-AU" w:eastAsia="en-GB"/>
        </w:rPr>
        <w:t>its assessment in a reasonable manner</w:t>
      </w:r>
      <w:bookmarkEnd w:id="15"/>
      <w:r w:rsidRPr="00A54ECC">
        <w:rPr>
          <w:rFonts w:ascii="Arial" w:eastAsia="Arial Unicode MS" w:hAnsi="Arial" w:cs="Arial"/>
          <w:sz w:val="24"/>
          <w:szCs w:val="24"/>
          <w:lang w:val="en-AU" w:eastAsia="en-GB"/>
        </w:rPr>
        <w:t>.</w:t>
      </w:r>
      <w:r w:rsidRPr="00A54ECC">
        <w:rPr>
          <w:rStyle w:val="FootnoteReference"/>
          <w:rFonts w:ascii="Arial" w:eastAsia="Arial Unicode MS" w:hAnsi="Arial" w:cs="Arial"/>
          <w:sz w:val="24"/>
          <w:szCs w:val="24"/>
          <w:lang w:val="en-AU" w:eastAsia="en-GB"/>
        </w:rPr>
        <w:footnoteReference w:id="15"/>
      </w:r>
    </w:p>
    <w:p w14:paraId="3F4DA560" w14:textId="77777777" w:rsidR="003911BF" w:rsidDel="00597B3C" w:rsidRDefault="003911BF" w:rsidP="003911BF">
      <w:pPr>
        <w:pStyle w:val="ListParagraph"/>
        <w:spacing w:after="0" w:line="240" w:lineRule="auto"/>
        <w:contextualSpacing w:val="0"/>
        <w:jc w:val="both"/>
        <w:rPr>
          <w:rFonts w:ascii="Arial" w:eastAsia="Arial Unicode MS" w:hAnsi="Arial" w:cs="Arial"/>
          <w:sz w:val="24"/>
          <w:szCs w:val="24"/>
          <w:lang w:val="en-AU" w:eastAsia="en-GB"/>
        </w:rPr>
      </w:pPr>
    </w:p>
    <w:p w14:paraId="3AE60A5A" w14:textId="58C63F1F" w:rsidR="006F640B" w:rsidRPr="00AD453B" w:rsidRDefault="006F640B" w:rsidP="005027B0">
      <w:pPr>
        <w:pStyle w:val="Heading2"/>
      </w:pPr>
      <w:bookmarkStart w:id="16" w:name="_Hlk95471300"/>
      <w:bookmarkEnd w:id="14"/>
      <w:r w:rsidRPr="00AD453B">
        <w:lastRenderedPageBreak/>
        <w:t xml:space="preserve">Article </w:t>
      </w:r>
      <w:r w:rsidR="00F8505B" w:rsidRPr="00AD453B">
        <w:t>8A.</w:t>
      </w:r>
      <w:r w:rsidRPr="00AD453B">
        <w:t>1</w:t>
      </w:r>
      <w:r w:rsidR="00EA7964" w:rsidRPr="00AD453B">
        <w:t>6</w:t>
      </w:r>
      <w:r w:rsidR="00746F65">
        <w:br/>
      </w:r>
      <w:r w:rsidRPr="00AD453B">
        <w:t xml:space="preserve">Consultations </w:t>
      </w:r>
      <w:r w:rsidR="00384F80" w:rsidRPr="00AD453B">
        <w:t>R</w:t>
      </w:r>
      <w:r w:rsidRPr="00AD453B">
        <w:t xml:space="preserve">elating to </w:t>
      </w:r>
      <w:r w:rsidR="00384F80" w:rsidRPr="00AD453B">
        <w:t>F</w:t>
      </w:r>
      <w:r w:rsidRPr="00AD453B">
        <w:t xml:space="preserve">inancial </w:t>
      </w:r>
      <w:r w:rsidR="00384F80" w:rsidRPr="00AD453B">
        <w:t>S</w:t>
      </w:r>
      <w:r w:rsidRPr="00AD453B">
        <w:t xml:space="preserve">ervices </w:t>
      </w:r>
      <w:r w:rsidR="00384F80" w:rsidRPr="00AD453B">
        <w:t>I</w:t>
      </w:r>
      <w:r w:rsidRPr="00AD453B">
        <w:t>ssues</w:t>
      </w:r>
    </w:p>
    <w:p w14:paraId="2627E4AE" w14:textId="77777777" w:rsidR="006F640B" w:rsidRPr="00AD453B" w:rsidRDefault="006F640B" w:rsidP="006400EA">
      <w:pPr>
        <w:pStyle w:val="Body"/>
        <w:rPr>
          <w:rFonts w:cs="Arial"/>
          <w:color w:val="auto"/>
          <w:lang w:val="en-AU"/>
        </w:rPr>
      </w:pPr>
    </w:p>
    <w:p w14:paraId="637CB3B6" w14:textId="19E49D25" w:rsidR="006F640B" w:rsidRPr="00AD453B" w:rsidRDefault="006F640B" w:rsidP="006400EA">
      <w:pPr>
        <w:pStyle w:val="Body"/>
        <w:ind w:left="720" w:hanging="720"/>
        <w:rPr>
          <w:rFonts w:cs="Arial"/>
          <w:color w:val="auto"/>
          <w:lang w:val="en-AU"/>
        </w:rPr>
      </w:pPr>
      <w:r w:rsidRPr="00AD453B">
        <w:rPr>
          <w:rFonts w:cs="Arial"/>
          <w:color w:val="auto"/>
          <w:lang w:val="en-AU"/>
        </w:rPr>
        <w:t>1.</w:t>
      </w:r>
      <w:r w:rsidRPr="00AD453B">
        <w:rPr>
          <w:rFonts w:cs="Arial"/>
          <w:color w:val="auto"/>
          <w:lang w:val="en-AU"/>
        </w:rPr>
        <w:tab/>
        <w:t xml:space="preserve">A Party may request consultations with </w:t>
      </w:r>
      <w:r w:rsidR="004A75FE" w:rsidRPr="00AD453B">
        <w:rPr>
          <w:rFonts w:cs="Arial"/>
          <w:color w:val="auto"/>
          <w:lang w:val="en-AU"/>
        </w:rPr>
        <w:t xml:space="preserve">the </w:t>
      </w:r>
      <w:r w:rsidRPr="00AD453B">
        <w:rPr>
          <w:rFonts w:cs="Arial"/>
          <w:color w:val="auto"/>
          <w:lang w:val="en-AU"/>
        </w:rPr>
        <w:t>other Party regarding any matter arising under this Agreement that affects financial services. The other Party shall consider such a request.</w:t>
      </w:r>
    </w:p>
    <w:p w14:paraId="4207386A" w14:textId="77777777" w:rsidR="006F640B" w:rsidRPr="00AD453B" w:rsidRDefault="006F640B" w:rsidP="006400EA">
      <w:pPr>
        <w:pStyle w:val="Body"/>
        <w:rPr>
          <w:rFonts w:cs="Arial"/>
          <w:color w:val="auto"/>
          <w:lang w:val="en-AU"/>
        </w:rPr>
      </w:pPr>
    </w:p>
    <w:p w14:paraId="2A0C188B" w14:textId="1AB5DD02" w:rsidR="006F640B" w:rsidRPr="00AD453B" w:rsidRDefault="006F640B" w:rsidP="006400EA">
      <w:pPr>
        <w:pStyle w:val="Body"/>
        <w:ind w:left="720" w:hanging="720"/>
        <w:rPr>
          <w:rFonts w:cs="Arial"/>
          <w:color w:val="auto"/>
          <w:lang w:val="en-AU"/>
        </w:rPr>
      </w:pPr>
      <w:r w:rsidRPr="00AD453B">
        <w:rPr>
          <w:rFonts w:cs="Arial"/>
          <w:color w:val="auto"/>
          <w:lang w:val="en-AU"/>
        </w:rPr>
        <w:t>2.</w:t>
      </w:r>
      <w:r w:rsidRPr="00AD453B">
        <w:rPr>
          <w:rFonts w:cs="Arial"/>
          <w:color w:val="auto"/>
          <w:lang w:val="en-AU"/>
        </w:rPr>
        <w:tab/>
        <w:t xml:space="preserve">Consultations under this Article shall include the relevant representatives of the contact points specified in Article </w:t>
      </w:r>
      <w:r w:rsidR="004A75FE" w:rsidRPr="00AD453B">
        <w:rPr>
          <w:rFonts w:cs="Arial"/>
          <w:color w:val="auto"/>
          <w:lang w:val="en-AU"/>
        </w:rPr>
        <w:t xml:space="preserve">8A.17 </w:t>
      </w:r>
      <w:r w:rsidRPr="00AD453B">
        <w:rPr>
          <w:rFonts w:cs="Arial"/>
          <w:color w:val="auto"/>
          <w:lang w:val="en-AU"/>
        </w:rPr>
        <w:t>(Contact Points).</w:t>
      </w:r>
    </w:p>
    <w:bookmarkEnd w:id="16"/>
    <w:p w14:paraId="36E13AEB" w14:textId="4F6EFD9D" w:rsidR="007A43ED" w:rsidRDefault="007A43ED" w:rsidP="006400EA">
      <w:pPr>
        <w:pStyle w:val="Body"/>
        <w:rPr>
          <w:rFonts w:cs="Arial"/>
          <w:color w:val="auto"/>
          <w:lang w:val="en-AU"/>
        </w:rPr>
      </w:pPr>
    </w:p>
    <w:p w14:paraId="70045303" w14:textId="77777777" w:rsidR="003911BF" w:rsidRPr="00AD453B" w:rsidRDefault="003911BF" w:rsidP="006400EA">
      <w:pPr>
        <w:pStyle w:val="Body"/>
        <w:rPr>
          <w:rFonts w:cs="Arial"/>
          <w:color w:val="auto"/>
          <w:lang w:val="en-AU"/>
        </w:rPr>
      </w:pPr>
    </w:p>
    <w:p w14:paraId="58268359" w14:textId="7B7507A2" w:rsidR="008D271A" w:rsidRPr="00AD453B" w:rsidRDefault="008D271A" w:rsidP="005027B0">
      <w:pPr>
        <w:pStyle w:val="Heading2"/>
      </w:pPr>
      <w:r w:rsidRPr="00AD453B">
        <w:t xml:space="preserve">Article </w:t>
      </w:r>
      <w:r w:rsidR="00F8505B" w:rsidRPr="00AD453B">
        <w:t>8A.</w:t>
      </w:r>
      <w:r w:rsidR="00400627" w:rsidRPr="00AD453B">
        <w:t>1</w:t>
      </w:r>
      <w:r w:rsidR="00EA7964" w:rsidRPr="00AD453B">
        <w:t>7</w:t>
      </w:r>
      <w:r w:rsidR="00746F65">
        <w:br/>
      </w:r>
      <w:r w:rsidRPr="00AD453B">
        <w:t>Contact Points</w:t>
      </w:r>
    </w:p>
    <w:p w14:paraId="5889C8E5" w14:textId="77777777" w:rsidR="008D271A" w:rsidRPr="00AD453B" w:rsidRDefault="008D271A" w:rsidP="006400EA">
      <w:pPr>
        <w:pStyle w:val="Body"/>
        <w:rPr>
          <w:rFonts w:cs="Arial"/>
          <w:color w:val="auto"/>
          <w:lang w:val="en-AU"/>
        </w:rPr>
      </w:pPr>
    </w:p>
    <w:p w14:paraId="38ECD1AF" w14:textId="3B36FF33" w:rsidR="008D271A" w:rsidRPr="00AD453B" w:rsidRDefault="008D271A" w:rsidP="006400EA">
      <w:pPr>
        <w:pStyle w:val="Body"/>
        <w:numPr>
          <w:ilvl w:val="0"/>
          <w:numId w:val="1"/>
        </w:numPr>
        <w:ind w:left="709" w:hanging="709"/>
        <w:rPr>
          <w:rFonts w:cs="Arial"/>
          <w:color w:val="auto"/>
          <w:lang w:val="en-AU"/>
        </w:rPr>
      </w:pPr>
      <w:r w:rsidRPr="00AD453B">
        <w:rPr>
          <w:rFonts w:cs="Arial"/>
          <w:color w:val="auto"/>
          <w:lang w:val="en-AU"/>
        </w:rPr>
        <w:t>For the purposes of this Annex, the contact points for financial services are:</w:t>
      </w:r>
    </w:p>
    <w:p w14:paraId="7034EDE7" w14:textId="77777777" w:rsidR="008D271A" w:rsidRPr="00AD453B" w:rsidRDefault="008D271A" w:rsidP="006400EA">
      <w:pPr>
        <w:pStyle w:val="Body"/>
        <w:ind w:left="720"/>
        <w:rPr>
          <w:rFonts w:cs="Arial"/>
          <w:color w:val="auto"/>
          <w:lang w:val="en-AU"/>
        </w:rPr>
      </w:pPr>
    </w:p>
    <w:p w14:paraId="3997B420" w14:textId="1412B0E9" w:rsidR="008D271A" w:rsidRPr="00AD453B" w:rsidRDefault="008D271A" w:rsidP="006400EA">
      <w:pPr>
        <w:pStyle w:val="Body"/>
        <w:ind w:left="1440" w:hanging="720"/>
        <w:rPr>
          <w:rFonts w:cs="Arial"/>
          <w:color w:val="auto"/>
          <w:lang w:val="en-AU"/>
        </w:rPr>
      </w:pPr>
      <w:r w:rsidRPr="00AD453B">
        <w:rPr>
          <w:rFonts w:cs="Arial"/>
          <w:color w:val="auto"/>
          <w:lang w:val="en-AU"/>
        </w:rPr>
        <w:t xml:space="preserve">(a) </w:t>
      </w:r>
      <w:r w:rsidRPr="00AD453B">
        <w:rPr>
          <w:rFonts w:cs="Arial"/>
          <w:color w:val="auto"/>
          <w:lang w:val="en-AU"/>
        </w:rPr>
        <w:tab/>
        <w:t>for Australia, the Department of the Treasury and the Department of Foreign Affairs and Trade and, as necessary, officials from the relevant regulatory authorities, including the Australian Prudential Regulation Authority, the Reserve Bank of Australia, and the Australian Securities and Investment Commission;</w:t>
      </w:r>
      <w:r w:rsidR="009E13AF" w:rsidRPr="00AD453B">
        <w:rPr>
          <w:rFonts w:cs="Arial"/>
          <w:color w:val="auto"/>
          <w:lang w:val="en-AU"/>
        </w:rPr>
        <w:t xml:space="preserve"> and</w:t>
      </w:r>
    </w:p>
    <w:p w14:paraId="0BE5F72F" w14:textId="77777777" w:rsidR="008D271A" w:rsidRPr="00AD453B" w:rsidRDefault="008D271A" w:rsidP="006400EA">
      <w:pPr>
        <w:pStyle w:val="Body"/>
        <w:rPr>
          <w:rFonts w:cs="Arial"/>
          <w:color w:val="auto"/>
          <w:lang w:val="en-AU"/>
        </w:rPr>
      </w:pPr>
    </w:p>
    <w:p w14:paraId="10488B76" w14:textId="0DBB0536" w:rsidR="008D271A" w:rsidRPr="00AD453B" w:rsidRDefault="008D271A" w:rsidP="006400EA">
      <w:pPr>
        <w:pStyle w:val="Body"/>
        <w:ind w:left="1418" w:hanging="709"/>
        <w:rPr>
          <w:rFonts w:cs="Arial"/>
          <w:color w:val="auto"/>
          <w:lang w:val="en-AU"/>
        </w:rPr>
      </w:pPr>
      <w:r w:rsidRPr="00AD453B">
        <w:rPr>
          <w:rFonts w:cs="Arial"/>
          <w:color w:val="auto"/>
          <w:lang w:val="en-AU"/>
        </w:rPr>
        <w:t xml:space="preserve">(b) </w:t>
      </w:r>
      <w:r w:rsidR="00F8505B" w:rsidRPr="00AD453B">
        <w:rPr>
          <w:rFonts w:cs="Arial"/>
          <w:color w:val="auto"/>
          <w:lang w:val="en-AU"/>
        </w:rPr>
        <w:tab/>
      </w:r>
      <w:r w:rsidRPr="00AD453B">
        <w:rPr>
          <w:rFonts w:cs="Arial"/>
          <w:color w:val="auto"/>
          <w:lang w:val="en-AU"/>
        </w:rPr>
        <w:t>for India, the Department of Commerce.</w:t>
      </w:r>
    </w:p>
    <w:p w14:paraId="4A1AE8FC" w14:textId="77777777" w:rsidR="008D271A" w:rsidRPr="00AD453B" w:rsidRDefault="008D271A" w:rsidP="006400EA">
      <w:pPr>
        <w:pStyle w:val="Body"/>
        <w:rPr>
          <w:rFonts w:cs="Arial"/>
          <w:color w:val="auto"/>
          <w:lang w:val="en-AU"/>
        </w:rPr>
      </w:pPr>
    </w:p>
    <w:p w14:paraId="6EFC9C6C" w14:textId="4D7284C1" w:rsidR="008D271A" w:rsidRPr="00AD453B" w:rsidRDefault="008D271A" w:rsidP="005027B0">
      <w:pPr>
        <w:pStyle w:val="Body"/>
        <w:ind w:left="709" w:hanging="709"/>
      </w:pPr>
      <w:r w:rsidRPr="00AD453B">
        <w:rPr>
          <w:rFonts w:cs="Arial"/>
          <w:color w:val="auto"/>
          <w:lang w:val="en-AU"/>
        </w:rPr>
        <w:t xml:space="preserve">2.  </w:t>
      </w:r>
      <w:r w:rsidR="00F8505B" w:rsidRPr="00AD453B">
        <w:rPr>
          <w:rFonts w:cs="Arial"/>
          <w:color w:val="auto"/>
          <w:lang w:val="en-AU"/>
        </w:rPr>
        <w:tab/>
      </w:r>
      <w:r w:rsidRPr="00AD453B">
        <w:rPr>
          <w:rFonts w:cs="Arial"/>
          <w:color w:val="auto"/>
          <w:lang w:val="en-AU"/>
        </w:rPr>
        <w:t>A Party shall promptly notify the other Part</w:t>
      </w:r>
      <w:r w:rsidR="004A75FE" w:rsidRPr="00AD453B">
        <w:rPr>
          <w:rFonts w:cs="Arial"/>
          <w:color w:val="auto"/>
          <w:lang w:val="en-AU"/>
        </w:rPr>
        <w:t>y</w:t>
      </w:r>
      <w:r w:rsidRPr="00AD453B">
        <w:rPr>
          <w:rFonts w:cs="Arial"/>
          <w:color w:val="auto"/>
          <w:lang w:val="en-AU"/>
        </w:rPr>
        <w:t xml:space="preserve"> of any change of its contact point.</w:t>
      </w:r>
    </w:p>
    <w:sectPr w:rsidR="008D271A" w:rsidRPr="00AD453B" w:rsidSect="00C73D4D">
      <w:headerReference w:type="default" r:id="rId8"/>
      <w:footerReference w:type="default" r:id="rId9"/>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47341" w14:textId="77777777" w:rsidR="00092352" w:rsidRDefault="00092352" w:rsidP="008D271A">
      <w:r>
        <w:separator/>
      </w:r>
    </w:p>
  </w:endnote>
  <w:endnote w:type="continuationSeparator" w:id="0">
    <w:p w14:paraId="5C1C74B6" w14:textId="77777777" w:rsidR="00092352" w:rsidRDefault="00092352" w:rsidP="008D271A">
      <w:r>
        <w:continuationSeparator/>
      </w:r>
    </w:p>
  </w:endnote>
  <w:endnote w:type="continuationNotice" w:id="1">
    <w:p w14:paraId="4F48496E" w14:textId="77777777" w:rsidR="00092352" w:rsidRDefault="00092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szCs w:val="20"/>
      </w:rPr>
      <w:id w:val="-28579862"/>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4C0EE0AE" w14:textId="01B593FF" w:rsidR="00D3473F" w:rsidRPr="005027B0" w:rsidRDefault="005A2474" w:rsidP="00D3473F">
            <w:pPr>
              <w:jc w:val="center"/>
              <w:rPr>
                <w:rFonts w:cs="Arial"/>
                <w:sz w:val="20"/>
                <w:szCs w:val="20"/>
              </w:rPr>
            </w:pPr>
            <w:r>
              <w:rPr>
                <w:rFonts w:cs="Arial"/>
                <w:sz w:val="20"/>
                <w:szCs w:val="20"/>
              </w:rPr>
              <w:t xml:space="preserve">ANNEX </w:t>
            </w:r>
            <w:r w:rsidR="00445108" w:rsidRPr="005027B0">
              <w:rPr>
                <w:rFonts w:cs="Arial"/>
                <w:sz w:val="20"/>
                <w:szCs w:val="20"/>
              </w:rPr>
              <w:t>8A -</w:t>
            </w:r>
            <w:r w:rsidR="001944BC" w:rsidRPr="005027B0">
              <w:rPr>
                <w:rFonts w:cs="Arial"/>
                <w:sz w:val="20"/>
                <w:szCs w:val="20"/>
              </w:rPr>
              <w:t xml:space="preserve"> </w:t>
            </w:r>
            <w:r w:rsidR="001944BC" w:rsidRPr="005027B0">
              <w:rPr>
                <w:rFonts w:cs="Arial"/>
                <w:bCs/>
                <w:sz w:val="20"/>
                <w:szCs w:val="20"/>
              </w:rPr>
              <w:fldChar w:fldCharType="begin"/>
            </w:r>
            <w:r w:rsidR="001944BC" w:rsidRPr="005027B0">
              <w:rPr>
                <w:rFonts w:cs="Arial"/>
                <w:bCs/>
                <w:sz w:val="20"/>
                <w:szCs w:val="20"/>
              </w:rPr>
              <w:instrText xml:space="preserve"> PAGE </w:instrText>
            </w:r>
            <w:r w:rsidR="001944BC" w:rsidRPr="005027B0">
              <w:rPr>
                <w:rFonts w:cs="Arial"/>
                <w:bCs/>
                <w:sz w:val="20"/>
                <w:szCs w:val="20"/>
              </w:rPr>
              <w:fldChar w:fldCharType="separate"/>
            </w:r>
            <w:r w:rsidR="001944BC" w:rsidRPr="005027B0">
              <w:rPr>
                <w:rFonts w:cs="Arial"/>
                <w:bCs/>
                <w:noProof/>
                <w:sz w:val="20"/>
                <w:szCs w:val="20"/>
              </w:rPr>
              <w:t>2</w:t>
            </w:r>
            <w:r w:rsidR="001944BC" w:rsidRPr="005027B0">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6994" w14:textId="77777777" w:rsidR="00092352" w:rsidRDefault="00092352" w:rsidP="008D271A">
      <w:r>
        <w:separator/>
      </w:r>
    </w:p>
  </w:footnote>
  <w:footnote w:type="continuationSeparator" w:id="0">
    <w:p w14:paraId="62C7A47D" w14:textId="77777777" w:rsidR="00092352" w:rsidRDefault="00092352" w:rsidP="008D271A">
      <w:r>
        <w:continuationSeparator/>
      </w:r>
    </w:p>
  </w:footnote>
  <w:footnote w:type="continuationNotice" w:id="1">
    <w:p w14:paraId="750587F8" w14:textId="77777777" w:rsidR="00092352" w:rsidRDefault="00092352"/>
  </w:footnote>
  <w:footnote w:id="2">
    <w:p w14:paraId="3BFAC37C" w14:textId="364DAE98" w:rsidR="00F240B5" w:rsidRPr="00A432FD" w:rsidRDefault="00F240B5" w:rsidP="0049363C">
      <w:pPr>
        <w:pStyle w:val="FootnoteText"/>
        <w:rPr>
          <w:rFonts w:cs="Arial"/>
        </w:rPr>
      </w:pPr>
      <w:r w:rsidRPr="00A432FD">
        <w:rPr>
          <w:rStyle w:val="FootnoteReference"/>
          <w:rFonts w:cs="Arial"/>
        </w:rPr>
        <w:footnoteRef/>
      </w:r>
      <w:r w:rsidRPr="00A432FD">
        <w:rPr>
          <w:rFonts w:cs="Arial"/>
        </w:rPr>
        <w:t xml:space="preserve"> For greater clarity, a Party may require a self-regulatory organisation to be recognised.</w:t>
      </w:r>
    </w:p>
  </w:footnote>
  <w:footnote w:id="3">
    <w:p w14:paraId="532D84A7" w14:textId="5D2FD8DB" w:rsidR="008D271A" w:rsidRPr="00A432FD" w:rsidRDefault="008D271A" w:rsidP="0049363C">
      <w:pPr>
        <w:pStyle w:val="FootnoteText"/>
        <w:rPr>
          <w:rFonts w:cs="Arial"/>
        </w:rPr>
      </w:pPr>
      <w:r w:rsidRPr="00A432FD">
        <w:rPr>
          <w:rStyle w:val="FootnoteReference"/>
          <w:rFonts w:cs="Arial"/>
        </w:rPr>
        <w:footnoteRef/>
      </w:r>
      <w:r w:rsidRPr="00A432FD">
        <w:rPr>
          <w:rFonts w:cs="Arial"/>
        </w:rPr>
        <w:t xml:space="preserve"> Activities referred to in this subparagraph include any regulatory and enforcement activities conducted in pursuit of monetary or exchange rate policies.</w:t>
      </w:r>
    </w:p>
  </w:footnote>
  <w:footnote w:id="4">
    <w:p w14:paraId="7CC36BDA" w14:textId="0F9F2905" w:rsidR="008D271A" w:rsidRPr="00A432FD" w:rsidRDefault="008D271A" w:rsidP="0049363C">
      <w:pPr>
        <w:pStyle w:val="FootnoteText"/>
        <w:rPr>
          <w:rFonts w:cs="Arial"/>
        </w:rPr>
      </w:pPr>
      <w:r w:rsidRPr="00A432FD">
        <w:rPr>
          <w:rStyle w:val="FootnoteReference"/>
          <w:rFonts w:cs="Arial"/>
        </w:rPr>
        <w:footnoteRef/>
      </w:r>
      <w:r w:rsidRPr="00A432FD">
        <w:rPr>
          <w:rFonts w:cs="Arial"/>
        </w:rPr>
        <w:t xml:space="preserve">  The Parties understand that “prudential reasons” includes the maintenance of the safety, soundness, integrity, or financial responsibility of individual financial institutions or financial service suppliers, as well as the safety and financial and operational integrity of payment and clearing systems.</w:t>
      </w:r>
    </w:p>
  </w:footnote>
  <w:footnote w:id="5">
    <w:p w14:paraId="700D82AD" w14:textId="67F56806" w:rsidR="008D271A" w:rsidRPr="003A5AD3" w:rsidRDefault="008D271A" w:rsidP="0049363C">
      <w:pPr>
        <w:pStyle w:val="FootnoteText"/>
        <w:rPr>
          <w:rFonts w:cs="Arial"/>
        </w:rPr>
      </w:pPr>
      <w:r w:rsidRPr="00A432FD">
        <w:rPr>
          <w:rStyle w:val="FootnoteReference"/>
          <w:rFonts w:cs="Arial"/>
        </w:rPr>
        <w:footnoteRef/>
      </w:r>
      <w:r w:rsidRPr="00A432FD">
        <w:rPr>
          <w:rFonts w:cs="Arial"/>
        </w:rPr>
        <w:t xml:space="preserve"> For greater certainty, a Party may issue a new regulation or other subordinate measure in permitting the supply of the new financial ser</w:t>
      </w:r>
      <w:r w:rsidRPr="003A5AD3">
        <w:rPr>
          <w:rFonts w:cs="Arial"/>
        </w:rPr>
        <w:t>vice.</w:t>
      </w:r>
    </w:p>
  </w:footnote>
  <w:footnote w:id="6">
    <w:p w14:paraId="6CD48D32" w14:textId="4CA4ABC2" w:rsidR="005F32E6" w:rsidRPr="00A432FD" w:rsidRDefault="005F32E6" w:rsidP="0049363C">
      <w:pPr>
        <w:pStyle w:val="FootnoteText"/>
        <w:rPr>
          <w:rFonts w:cs="Arial"/>
        </w:rPr>
      </w:pPr>
      <w:r w:rsidRPr="003A5AD3">
        <w:rPr>
          <w:rStyle w:val="FootnoteReference"/>
          <w:rFonts w:cs="Arial"/>
        </w:rPr>
        <w:footnoteRef/>
      </w:r>
      <w:r w:rsidRPr="003A5AD3">
        <w:rPr>
          <w:rFonts w:cs="Arial"/>
        </w:rPr>
        <w:t xml:space="preserve"> For greater certainty, nothing in Article </w:t>
      </w:r>
      <w:r w:rsidR="00894383" w:rsidRPr="003A5AD3">
        <w:rPr>
          <w:rFonts w:cs="Arial"/>
        </w:rPr>
        <w:t>8.5 (</w:t>
      </w:r>
      <w:r w:rsidRPr="003A5AD3">
        <w:rPr>
          <w:rFonts w:cs="Arial"/>
        </w:rPr>
        <w:t>Most-Favoured</w:t>
      </w:r>
      <w:r w:rsidR="00226CC3" w:rsidRPr="003A5AD3">
        <w:rPr>
          <w:rFonts w:cs="Arial"/>
        </w:rPr>
        <w:t>-</w:t>
      </w:r>
      <w:r w:rsidRPr="003A5AD3">
        <w:rPr>
          <w:rFonts w:cs="Arial"/>
        </w:rPr>
        <w:t>Nation Treatment</w:t>
      </w:r>
      <w:r w:rsidR="00894383" w:rsidRPr="003A5AD3">
        <w:rPr>
          <w:rFonts w:cs="Arial"/>
        </w:rPr>
        <w:t xml:space="preserve"> – Trade in Services</w:t>
      </w:r>
      <w:r w:rsidRPr="003A5AD3">
        <w:rPr>
          <w:rFonts w:cs="Arial"/>
        </w:rPr>
        <w:t xml:space="preserve">) shall be construed to require the Party to accord </w:t>
      </w:r>
      <w:r w:rsidRPr="00A432FD">
        <w:rPr>
          <w:rFonts w:cs="Arial"/>
        </w:rPr>
        <w:t xml:space="preserve">such recognition to prudential measures of </w:t>
      </w:r>
      <w:r w:rsidR="00524B88" w:rsidRPr="00A432FD">
        <w:rPr>
          <w:rFonts w:cs="Arial"/>
        </w:rPr>
        <w:t>the</w:t>
      </w:r>
      <w:r w:rsidRPr="00A432FD">
        <w:rPr>
          <w:rFonts w:cs="Arial"/>
        </w:rPr>
        <w:t xml:space="preserve"> other Party</w:t>
      </w:r>
      <w:r w:rsidR="00524B88" w:rsidRPr="00A432FD">
        <w:rPr>
          <w:rFonts w:cs="Arial"/>
        </w:rPr>
        <w:t>.</w:t>
      </w:r>
    </w:p>
  </w:footnote>
  <w:footnote w:id="7">
    <w:p w14:paraId="3168EA4C" w14:textId="645E1BCC" w:rsidR="008D271A" w:rsidRPr="003A5AD3" w:rsidRDefault="008D271A" w:rsidP="0049363C">
      <w:pPr>
        <w:pStyle w:val="FootnoteText"/>
        <w:rPr>
          <w:rFonts w:cs="Arial"/>
        </w:rPr>
      </w:pPr>
      <w:r w:rsidRPr="00A432FD">
        <w:rPr>
          <w:rStyle w:val="FootnoteReference"/>
          <w:rFonts w:cs="Arial"/>
        </w:rPr>
        <w:footnoteRef/>
      </w:r>
      <w:r w:rsidR="005861E5">
        <w:rPr>
          <w:rFonts w:cs="Arial"/>
        </w:rPr>
        <w:t xml:space="preserve"> </w:t>
      </w:r>
      <w:r w:rsidRPr="00A432FD">
        <w:rPr>
          <w:rFonts w:cs="Arial"/>
        </w:rPr>
        <w:t>For greater certainty, each Party</w:t>
      </w:r>
      <w:r w:rsidR="005318D5" w:rsidRPr="00A432FD">
        <w:rPr>
          <w:rFonts w:cs="Arial"/>
        </w:rPr>
        <w:t xml:space="preserve"> may, </w:t>
      </w:r>
      <w:r w:rsidR="005318D5" w:rsidRPr="003A5AD3">
        <w:rPr>
          <w:rFonts w:cs="Arial"/>
        </w:rPr>
        <w:t>to the extent practical</w:t>
      </w:r>
      <w:r w:rsidR="005A12F0" w:rsidRPr="003A5AD3">
        <w:rPr>
          <w:rFonts w:cs="Arial"/>
        </w:rPr>
        <w:t xml:space="preserve">, </w:t>
      </w:r>
      <w:r w:rsidRPr="003A5AD3">
        <w:rPr>
          <w:rFonts w:cs="Arial"/>
        </w:rPr>
        <w:t>publish information in English.</w:t>
      </w:r>
    </w:p>
  </w:footnote>
  <w:footnote w:id="8">
    <w:p w14:paraId="20F13A95" w14:textId="095D57A6" w:rsidR="008D271A" w:rsidRPr="003A5AD3" w:rsidRDefault="008D271A" w:rsidP="0049363C">
      <w:pPr>
        <w:pStyle w:val="FootnoteText"/>
        <w:rPr>
          <w:rFonts w:cs="Arial"/>
        </w:rPr>
      </w:pPr>
      <w:r w:rsidRPr="003A5AD3">
        <w:rPr>
          <w:rStyle w:val="FootnoteReference"/>
          <w:rFonts w:cs="Arial"/>
        </w:rPr>
        <w:footnoteRef/>
      </w:r>
      <w:r w:rsidRPr="003A5AD3">
        <w:rPr>
          <w:rFonts w:cs="Arial"/>
        </w:rPr>
        <w:t xml:space="preserve"> For the purposes of this Article, the Parties confirm their shared understanding that “interested persons” are persons whose direct financial interest could potentially be affected by the adoption of the regulations of general application.</w:t>
      </w:r>
    </w:p>
  </w:footnote>
  <w:footnote w:id="9">
    <w:p w14:paraId="0A8C9C38" w14:textId="5CF83C6A" w:rsidR="005318D5" w:rsidRPr="00DC60E5" w:rsidRDefault="008D271A" w:rsidP="0049363C">
      <w:pPr>
        <w:pStyle w:val="FootnoteText"/>
        <w:rPr>
          <w:rFonts w:cs="Arial"/>
        </w:rPr>
      </w:pPr>
      <w:r w:rsidRPr="003A5AD3">
        <w:rPr>
          <w:rStyle w:val="FootnoteReference"/>
          <w:rFonts w:cs="Arial"/>
        </w:rPr>
        <w:footnoteRef/>
      </w:r>
      <w:r w:rsidRPr="003A5AD3">
        <w:rPr>
          <w:rFonts w:cs="Arial"/>
        </w:rPr>
        <w:t xml:space="preserve"> For greater certainty, each Party</w:t>
      </w:r>
      <w:r w:rsidR="005318D5" w:rsidRPr="003A5AD3">
        <w:rPr>
          <w:rFonts w:cs="Arial"/>
        </w:rPr>
        <w:t xml:space="preserve"> may, to the extent </w:t>
      </w:r>
      <w:r w:rsidR="005318D5" w:rsidRPr="00DC60E5">
        <w:rPr>
          <w:rFonts w:cs="Arial"/>
        </w:rPr>
        <w:t>practical</w:t>
      </w:r>
      <w:r w:rsidR="00894383">
        <w:rPr>
          <w:rFonts w:cs="Arial"/>
        </w:rPr>
        <w:t>,</w:t>
      </w:r>
      <w:r w:rsidRPr="00DC60E5">
        <w:rPr>
          <w:rFonts w:cs="Arial"/>
        </w:rPr>
        <w:t xml:space="preserve"> publish information in English.</w:t>
      </w:r>
    </w:p>
  </w:footnote>
  <w:footnote w:id="10">
    <w:p w14:paraId="1C904C6D" w14:textId="3A32A8CB" w:rsidR="00E0662F" w:rsidRPr="00DC60E5" w:rsidRDefault="00E0662F" w:rsidP="0049363C">
      <w:pPr>
        <w:pStyle w:val="FootnoteText"/>
        <w:rPr>
          <w:rFonts w:cs="Arial"/>
        </w:rPr>
      </w:pPr>
      <w:r w:rsidRPr="00DC60E5">
        <w:rPr>
          <w:rFonts w:cs="Arial"/>
          <w:vertAlign w:val="superscript"/>
        </w:rPr>
        <w:footnoteRef/>
      </w:r>
      <w:r w:rsidRPr="00DC60E5">
        <w:rPr>
          <w:rFonts w:cs="Arial"/>
          <w:vertAlign w:val="superscript"/>
        </w:rPr>
        <w:t xml:space="preserve"> </w:t>
      </w:r>
      <w:r w:rsidRPr="00DC60E5">
        <w:rPr>
          <w:rFonts w:cs="Arial"/>
        </w:rPr>
        <w:t>For greater certainty, a Party may adopt a different regulatory approach, and this paragraph does not affect and is without prejudice to a Party’s rights and obligations under this Article.</w:t>
      </w:r>
    </w:p>
  </w:footnote>
  <w:footnote w:id="11">
    <w:p w14:paraId="66D0A1A0" w14:textId="44823801" w:rsidR="00E0662F" w:rsidRPr="00DC60E5" w:rsidRDefault="00E0662F" w:rsidP="0049363C">
      <w:pPr>
        <w:pStyle w:val="FootnoteText"/>
        <w:rPr>
          <w:rFonts w:cs="Arial"/>
          <w:lang w:val="en-US"/>
        </w:rPr>
      </w:pPr>
      <w:r w:rsidRPr="00DC60E5">
        <w:rPr>
          <w:rStyle w:val="FootnoteReference"/>
          <w:rFonts w:eastAsiaTheme="majorEastAsia" w:cs="Arial"/>
        </w:rPr>
        <w:footnoteRef/>
      </w:r>
      <w:r w:rsidRPr="00DC60E5">
        <w:rPr>
          <w:rFonts w:cs="Arial"/>
        </w:rPr>
        <w:t xml:space="preserve"> </w:t>
      </w:r>
      <w:r w:rsidRPr="001C76A7">
        <w:rPr>
          <w:rFonts w:cs="Arial"/>
        </w:rPr>
        <w:t xml:space="preserve">For greater certainty, </w:t>
      </w:r>
      <w:r w:rsidR="0004684B">
        <w:rPr>
          <w:rFonts w:cs="Arial"/>
        </w:rPr>
        <w:t>“</w:t>
      </w:r>
      <w:r w:rsidRPr="001C76A7">
        <w:rPr>
          <w:rFonts w:cs="Arial"/>
        </w:rPr>
        <w:t>financial information</w:t>
      </w:r>
      <w:r w:rsidR="00BC0A20">
        <w:rPr>
          <w:rFonts w:cs="Arial"/>
        </w:rPr>
        <w:t>”</w:t>
      </w:r>
      <w:r w:rsidRPr="001C76A7">
        <w:rPr>
          <w:rFonts w:cs="Arial"/>
        </w:rPr>
        <w:t xml:space="preserve"> includes any number or other personal data used to identify an account opened by, or card or payment instrument</w:t>
      </w:r>
      <w:r w:rsidR="008C6BFF" w:rsidRPr="001C76A7">
        <w:rPr>
          <w:rFonts w:cs="Arial"/>
        </w:rPr>
        <w:t>s</w:t>
      </w:r>
      <w:r w:rsidRPr="001C76A7">
        <w:rPr>
          <w:rFonts w:cs="Arial"/>
        </w:rPr>
        <w:t xml:space="preserve"> issued by a financial institution to a data principal, or any personal data regarding the relationship between a financial institution and a data principal including financial status and credit history.</w:t>
      </w:r>
    </w:p>
  </w:footnote>
  <w:footnote w:id="12">
    <w:p w14:paraId="6CD56185" w14:textId="52AB6A69" w:rsidR="00E0662F" w:rsidRPr="00DC60E5" w:rsidRDefault="008C6BFF" w:rsidP="0049363C">
      <w:pPr>
        <w:rPr>
          <w:rFonts w:cs="Arial"/>
          <w:sz w:val="20"/>
          <w:szCs w:val="20"/>
        </w:rPr>
      </w:pPr>
      <w:r w:rsidRPr="00DC60E5">
        <w:rPr>
          <w:rFonts w:cs="Arial"/>
          <w:sz w:val="20"/>
          <w:szCs w:val="20"/>
          <w:vertAlign w:val="superscript"/>
        </w:rPr>
        <w:t>11</w:t>
      </w:r>
      <w:r w:rsidRPr="00DC60E5">
        <w:rPr>
          <w:rFonts w:cs="Arial"/>
          <w:sz w:val="20"/>
          <w:szCs w:val="20"/>
        </w:rPr>
        <w:t xml:space="preserve"> When a Party’s regulatory authority requires financial service suppliers</w:t>
      </w:r>
      <w:r w:rsidR="00B3795A" w:rsidRPr="00DC60E5">
        <w:rPr>
          <w:rFonts w:cs="Arial"/>
          <w:sz w:val="20"/>
          <w:szCs w:val="20"/>
        </w:rPr>
        <w:t xml:space="preserve"> to</w:t>
      </w:r>
      <w:r w:rsidRPr="00DC60E5">
        <w:rPr>
          <w:rFonts w:cs="Arial"/>
          <w:sz w:val="20"/>
          <w:szCs w:val="20"/>
        </w:rPr>
        <w:t xml:space="preserve"> retain within its territory copies of records, that regulatory authority may mandate that financial services suppliers in its territory store such copies only in the territory of that Party. </w:t>
      </w:r>
    </w:p>
  </w:footnote>
  <w:footnote w:id="13">
    <w:p w14:paraId="55BCB27C" w14:textId="151E1524" w:rsidR="00281057" w:rsidRPr="00894383" w:rsidRDefault="00281057" w:rsidP="0049363C">
      <w:pPr>
        <w:pStyle w:val="FootnoteText"/>
        <w:rPr>
          <w:rFonts w:cs="Arial"/>
        </w:rPr>
      </w:pPr>
      <w:r w:rsidRPr="00DC60E5">
        <w:rPr>
          <w:rFonts w:cs="Arial"/>
          <w:vertAlign w:val="superscript"/>
        </w:rPr>
        <w:footnoteRef/>
      </w:r>
      <w:r w:rsidRPr="00DC60E5">
        <w:rPr>
          <w:rFonts w:cs="Arial"/>
        </w:rPr>
        <w:t xml:space="preserve"> Australia is considered to be a country that provides adequate data protection.</w:t>
      </w:r>
    </w:p>
  </w:footnote>
  <w:footnote w:id="14">
    <w:p w14:paraId="4169E070" w14:textId="3E1DB522" w:rsidR="008D271A" w:rsidRPr="00DC60E5" w:rsidRDefault="008D271A" w:rsidP="0049363C">
      <w:pPr>
        <w:pStyle w:val="FootnoteText"/>
        <w:rPr>
          <w:rFonts w:cs="Arial"/>
        </w:rPr>
      </w:pPr>
      <w:r w:rsidRPr="00DC60E5">
        <w:rPr>
          <w:rStyle w:val="FootnoteReference"/>
          <w:rFonts w:cs="Arial"/>
        </w:rPr>
        <w:footnoteRef/>
      </w:r>
      <w:r w:rsidRPr="00DC60E5">
        <w:rPr>
          <w:rFonts w:cs="Arial"/>
        </w:rPr>
        <w:t xml:space="preserve"> For greater certainty, a Party need not grant access under this Article to a financial institution of </w:t>
      </w:r>
      <w:r w:rsidR="005F0512">
        <w:rPr>
          <w:rFonts w:cs="Arial"/>
        </w:rPr>
        <w:t>the other</w:t>
      </w:r>
      <w:r w:rsidRPr="00DC60E5">
        <w:rPr>
          <w:rFonts w:cs="Arial"/>
        </w:rPr>
        <w:t xml:space="preserve"> Party established in its territory if such access or treatment is not granted to its own like financial institutions.</w:t>
      </w:r>
    </w:p>
  </w:footnote>
  <w:footnote w:id="15">
    <w:p w14:paraId="3CDEDA98" w14:textId="14BAB5E4" w:rsidR="0009512D" w:rsidRPr="00DC60E5" w:rsidRDefault="0009512D" w:rsidP="0049363C">
      <w:pPr>
        <w:pStyle w:val="FootnoteText"/>
        <w:jc w:val="left"/>
        <w:rPr>
          <w:rFonts w:cs="Arial"/>
        </w:rPr>
      </w:pPr>
      <w:r w:rsidRPr="00DC60E5">
        <w:rPr>
          <w:rStyle w:val="FootnoteReference"/>
          <w:rFonts w:eastAsiaTheme="minorEastAsia" w:cs="Arial"/>
        </w:rPr>
        <w:footnoteRef/>
      </w:r>
      <w:r w:rsidRPr="00DC60E5">
        <w:rPr>
          <w:rFonts w:cs="Arial"/>
        </w:rPr>
        <w:t xml:space="preserve"> </w:t>
      </w:r>
      <w:r w:rsidRPr="00DC60E5">
        <w:rPr>
          <w:rFonts w:eastAsia="Arial Unicode MS" w:cs="Arial"/>
          <w:lang w:val="en-GB" w:eastAsia="en-GB"/>
        </w:rPr>
        <w:t>For greater certainty, this paragraph does not apply in relation to credit rating assessments undertaken by financial service suppliers.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5AE3" w14:textId="36EBF963" w:rsidR="00D3473F" w:rsidRPr="00641BA3" w:rsidRDefault="00D3473F" w:rsidP="00D3473F">
    <w:pPr>
      <w:jc w:val="cente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41EB"/>
    <w:multiLevelType w:val="hybridMultilevel"/>
    <w:tmpl w:val="721E4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F5F92"/>
    <w:multiLevelType w:val="hybridMultilevel"/>
    <w:tmpl w:val="4FA4A070"/>
    <w:lvl w:ilvl="0" w:tplc="5C0A800C">
      <w:start w:val="1"/>
      <w:numFmt w:val="decimal"/>
      <w:lvlText w:val="%1."/>
      <w:lvlJc w:val="left"/>
      <w:pPr>
        <w:ind w:left="1005" w:hanging="360"/>
      </w:pPr>
      <w:rPr>
        <w:rFonts w:ascii="Times New Roman" w:eastAsia="Arial Unicode MS" w:hAnsi="Times New Roman" w:cs="Times New Roman"/>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2" w15:restartNumberingAfterBreak="0">
    <w:nsid w:val="05A24DC2"/>
    <w:multiLevelType w:val="hybridMultilevel"/>
    <w:tmpl w:val="D8D4F6BE"/>
    <w:lvl w:ilvl="0" w:tplc="0CE40C6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19302C"/>
    <w:multiLevelType w:val="hybridMultilevel"/>
    <w:tmpl w:val="848EB0CA"/>
    <w:lvl w:ilvl="0" w:tplc="3FBEC0D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97B20"/>
    <w:multiLevelType w:val="hybridMultilevel"/>
    <w:tmpl w:val="67D23FB2"/>
    <w:lvl w:ilvl="0" w:tplc="288CE4BA">
      <w:start w:val="1"/>
      <w:numFmt w:val="decimal"/>
      <w:lvlText w:val="%1."/>
      <w:lvlJc w:val="left"/>
      <w:pPr>
        <w:ind w:left="1080" w:hanging="720"/>
      </w:pPr>
      <w:rPr>
        <w:rFonts w:hint="default"/>
        <w:color w:val="0070C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3650E8"/>
    <w:multiLevelType w:val="hybridMultilevel"/>
    <w:tmpl w:val="7CFE8BE0"/>
    <w:lvl w:ilvl="0" w:tplc="8AA68CE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229D6"/>
    <w:multiLevelType w:val="hybridMultilevel"/>
    <w:tmpl w:val="62188B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A7C5F"/>
    <w:multiLevelType w:val="hybridMultilevel"/>
    <w:tmpl w:val="9E98C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EA7A68"/>
    <w:multiLevelType w:val="hybridMultilevel"/>
    <w:tmpl w:val="67105B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34083"/>
    <w:multiLevelType w:val="hybridMultilevel"/>
    <w:tmpl w:val="961C2F1A"/>
    <w:lvl w:ilvl="0" w:tplc="0464CE0E">
      <w:start w:val="1"/>
      <w:numFmt w:val="decimal"/>
      <w:lvlText w:val="%1."/>
      <w:lvlJc w:val="left"/>
      <w:pPr>
        <w:ind w:left="720" w:hanging="720"/>
      </w:pPr>
      <w:rPr>
        <w:rFonts w:hint="default"/>
        <w:color w:val="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A61F12"/>
    <w:multiLevelType w:val="hybridMultilevel"/>
    <w:tmpl w:val="75AA7BD8"/>
    <w:lvl w:ilvl="0" w:tplc="20082E9C">
      <w:start w:val="4"/>
      <w:numFmt w:val="lowerLetter"/>
      <w:lvlText w:val="(%1)"/>
      <w:lvlJc w:val="left"/>
      <w:pPr>
        <w:ind w:left="1170" w:hanging="45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1B4F5BDC"/>
    <w:multiLevelType w:val="hybridMultilevel"/>
    <w:tmpl w:val="C1184CD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2A2689"/>
    <w:multiLevelType w:val="hybridMultilevel"/>
    <w:tmpl w:val="5E2C1A60"/>
    <w:lvl w:ilvl="0" w:tplc="0C090001">
      <w:start w:val="1"/>
      <w:numFmt w:val="bullet"/>
      <w:lvlText w:val=""/>
      <w:lvlJc w:val="left"/>
      <w:pPr>
        <w:ind w:left="360" w:hanging="360"/>
      </w:pPr>
      <w:rPr>
        <w:rFonts w:ascii="Symbol" w:hAnsi="Symbol" w:hint="default"/>
      </w:rPr>
    </w:lvl>
    <w:lvl w:ilvl="1" w:tplc="08E6BF18">
      <w:numFmt w:val="bullet"/>
      <w:lvlText w:val="-"/>
      <w:lvlJc w:val="left"/>
      <w:pPr>
        <w:ind w:left="1080" w:hanging="360"/>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1574560"/>
    <w:multiLevelType w:val="hybridMultilevel"/>
    <w:tmpl w:val="0FE2BEEC"/>
    <w:lvl w:ilvl="0" w:tplc="99946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3F82B2E"/>
    <w:multiLevelType w:val="hybridMultilevel"/>
    <w:tmpl w:val="BD82B288"/>
    <w:lvl w:ilvl="0" w:tplc="1C52D2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A36F7B"/>
    <w:multiLevelType w:val="hybridMultilevel"/>
    <w:tmpl w:val="7DA45C9A"/>
    <w:lvl w:ilvl="0" w:tplc="06F66CB2">
      <w:start w:val="4"/>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2E2916A6"/>
    <w:multiLevelType w:val="hybridMultilevel"/>
    <w:tmpl w:val="95243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9569DC"/>
    <w:multiLevelType w:val="hybridMultilevel"/>
    <w:tmpl w:val="14208AD2"/>
    <w:lvl w:ilvl="0" w:tplc="E4623C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3BF6B7B"/>
    <w:multiLevelType w:val="hybridMultilevel"/>
    <w:tmpl w:val="799487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3B66DD"/>
    <w:multiLevelType w:val="hybridMultilevel"/>
    <w:tmpl w:val="14208AD2"/>
    <w:lvl w:ilvl="0" w:tplc="E4623C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7CD794D"/>
    <w:multiLevelType w:val="hybridMultilevel"/>
    <w:tmpl w:val="89E8F4D8"/>
    <w:lvl w:ilvl="0" w:tplc="526ECC1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7D1040F"/>
    <w:multiLevelType w:val="hybridMultilevel"/>
    <w:tmpl w:val="CD1676D6"/>
    <w:lvl w:ilvl="0" w:tplc="88BAC27E">
      <w:start w:val="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C5940"/>
    <w:multiLevelType w:val="hybridMultilevel"/>
    <w:tmpl w:val="9EB2BF7E"/>
    <w:lvl w:ilvl="0" w:tplc="6A6292D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1D5EEF"/>
    <w:multiLevelType w:val="hybridMultilevel"/>
    <w:tmpl w:val="85D0168C"/>
    <w:lvl w:ilvl="0" w:tplc="53F092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4ED69F9"/>
    <w:multiLevelType w:val="hybridMultilevel"/>
    <w:tmpl w:val="D8D4F6BE"/>
    <w:lvl w:ilvl="0" w:tplc="0CE40C6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A601C5B"/>
    <w:multiLevelType w:val="hybridMultilevel"/>
    <w:tmpl w:val="1A8A5E84"/>
    <w:lvl w:ilvl="0" w:tplc="3D94C668">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B7F04A2"/>
    <w:multiLevelType w:val="hybridMultilevel"/>
    <w:tmpl w:val="3C20061A"/>
    <w:lvl w:ilvl="0" w:tplc="277C3DB2">
      <w:start w:val="4"/>
      <w:numFmt w:val="lowerLetter"/>
      <w:lvlText w:val="(%1)"/>
      <w:lvlJc w:val="left"/>
      <w:pPr>
        <w:ind w:left="1170" w:hanging="450"/>
      </w:pPr>
      <w:rPr>
        <w:color w:val="FF000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52BE1C44"/>
    <w:multiLevelType w:val="hybridMultilevel"/>
    <w:tmpl w:val="998C3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263311"/>
    <w:multiLevelType w:val="hybridMultilevel"/>
    <w:tmpl w:val="A0208440"/>
    <w:styleLink w:val="Itemreference3"/>
    <w:lvl w:ilvl="0" w:tplc="0C090001">
      <w:start w:val="1"/>
      <w:numFmt w:val="bullet"/>
      <w:pStyle w:val="BulletPoin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3C6598"/>
    <w:multiLevelType w:val="hybridMultilevel"/>
    <w:tmpl w:val="9A0C5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D8A30B7"/>
    <w:multiLevelType w:val="hybridMultilevel"/>
    <w:tmpl w:val="24785BD4"/>
    <w:lvl w:ilvl="0" w:tplc="53F092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D2783F"/>
    <w:multiLevelType w:val="hybridMultilevel"/>
    <w:tmpl w:val="B7B2C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73C74"/>
    <w:multiLevelType w:val="hybridMultilevel"/>
    <w:tmpl w:val="B944EF5C"/>
    <w:lvl w:ilvl="0" w:tplc="D074A886">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ECC59E2"/>
    <w:multiLevelType w:val="hybridMultilevel"/>
    <w:tmpl w:val="458EC33C"/>
    <w:lvl w:ilvl="0" w:tplc="4BE62E56">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FBA0826"/>
    <w:multiLevelType w:val="hybridMultilevel"/>
    <w:tmpl w:val="4AF05FAC"/>
    <w:lvl w:ilvl="0" w:tplc="6ED0AE9C">
      <w:numFmt w:val="bullet"/>
      <w:lvlText w:val="-"/>
      <w:lvlJc w:val="left"/>
      <w:pPr>
        <w:ind w:left="720" w:hanging="360"/>
      </w:pPr>
      <w:rPr>
        <w:rFonts w:ascii="Calibri" w:eastAsia="Times New Roman" w:hAnsi="Calibr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CB7BBA"/>
    <w:multiLevelType w:val="hybridMultilevel"/>
    <w:tmpl w:val="8766CA10"/>
    <w:lvl w:ilvl="0" w:tplc="C9E87E68">
      <w:start w:val="1"/>
      <w:numFmt w:val="bullet"/>
      <w:lvlText w:val=""/>
      <w:lvlJc w:val="left"/>
      <w:pPr>
        <w:ind w:left="360" w:hanging="360"/>
      </w:pPr>
      <w:rPr>
        <w:rFonts w:ascii="Symbol" w:hAnsi="Symbol" w:hint="default"/>
      </w:rPr>
    </w:lvl>
    <w:lvl w:ilvl="1" w:tplc="77822E5E">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514F9C"/>
    <w:multiLevelType w:val="hybridMultilevel"/>
    <w:tmpl w:val="9CF29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5"/>
  </w:num>
  <w:num w:numId="4">
    <w:abstractNumId w:val="19"/>
  </w:num>
  <w:num w:numId="5">
    <w:abstractNumId w:val="30"/>
  </w:num>
  <w:num w:numId="6">
    <w:abstractNumId w:val="18"/>
  </w:num>
  <w:num w:numId="7">
    <w:abstractNumId w:val="27"/>
  </w:num>
  <w:num w:numId="8">
    <w:abstractNumId w:val="0"/>
  </w:num>
  <w:num w:numId="9">
    <w:abstractNumId w:val="36"/>
  </w:num>
  <w:num w:numId="10">
    <w:abstractNumId w:val="8"/>
  </w:num>
  <w:num w:numId="11">
    <w:abstractNumId w:val="6"/>
  </w:num>
  <w:num w:numId="12">
    <w:abstractNumId w:val="28"/>
  </w:num>
  <w:num w:numId="13">
    <w:abstractNumId w:val="35"/>
  </w:num>
  <w:num w:numId="14">
    <w:abstractNumId w:val="34"/>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3"/>
  </w:num>
  <w:num w:numId="20">
    <w:abstractNumId w:val="31"/>
  </w:num>
  <w:num w:numId="21">
    <w:abstractNumId w:val="5"/>
  </w:num>
  <w:num w:numId="22">
    <w:abstractNumId w:val="21"/>
  </w:num>
  <w:num w:numId="23">
    <w:abstractNumId w:val="22"/>
  </w:num>
  <w:num w:numId="24">
    <w:abstractNumId w:val="3"/>
  </w:num>
  <w:num w:numId="25">
    <w:abstractNumId w:val="12"/>
  </w:num>
  <w:num w:numId="26">
    <w:abstractNumId w:val="29"/>
  </w:num>
  <w:num w:numId="27">
    <w:abstractNumId w:val="2"/>
  </w:num>
  <w:num w:numId="28">
    <w:abstractNumId w:val="4"/>
  </w:num>
  <w:num w:numId="29">
    <w:abstractNumId w:val="9"/>
  </w:num>
  <w:num w:numId="30">
    <w:abstractNumId w:val="17"/>
  </w:num>
  <w:num w:numId="31">
    <w:abstractNumId w:val="1"/>
  </w:num>
  <w:num w:numId="32">
    <w:abstractNumId w:val="11"/>
  </w:num>
  <w:num w:numId="33">
    <w:abstractNumId w:val="23"/>
  </w:num>
  <w:num w:numId="34">
    <w:abstractNumId w:val="14"/>
  </w:num>
  <w:num w:numId="35">
    <w:abstractNumId w:val="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1A"/>
    <w:rsid w:val="00001C49"/>
    <w:rsid w:val="00004C86"/>
    <w:rsid w:val="00005155"/>
    <w:rsid w:val="00017493"/>
    <w:rsid w:val="00020678"/>
    <w:rsid w:val="0002788F"/>
    <w:rsid w:val="00032FAA"/>
    <w:rsid w:val="0003576D"/>
    <w:rsid w:val="000425B2"/>
    <w:rsid w:val="0004684B"/>
    <w:rsid w:val="000509BB"/>
    <w:rsid w:val="000573B7"/>
    <w:rsid w:val="00061E19"/>
    <w:rsid w:val="00064274"/>
    <w:rsid w:val="00073120"/>
    <w:rsid w:val="00074320"/>
    <w:rsid w:val="000748A6"/>
    <w:rsid w:val="000815DD"/>
    <w:rsid w:val="000842F0"/>
    <w:rsid w:val="00092352"/>
    <w:rsid w:val="0009512D"/>
    <w:rsid w:val="000B4990"/>
    <w:rsid w:val="000D78B1"/>
    <w:rsid w:val="000E1E68"/>
    <w:rsid w:val="000E7E01"/>
    <w:rsid w:val="000F44B1"/>
    <w:rsid w:val="000F52C5"/>
    <w:rsid w:val="00105326"/>
    <w:rsid w:val="001208A8"/>
    <w:rsid w:val="00133915"/>
    <w:rsid w:val="00162929"/>
    <w:rsid w:val="00176068"/>
    <w:rsid w:val="00184FFF"/>
    <w:rsid w:val="00186ADC"/>
    <w:rsid w:val="00192F60"/>
    <w:rsid w:val="001944BC"/>
    <w:rsid w:val="00196B2F"/>
    <w:rsid w:val="001A476E"/>
    <w:rsid w:val="001A6323"/>
    <w:rsid w:val="001B6FC0"/>
    <w:rsid w:val="001B777D"/>
    <w:rsid w:val="001C23DD"/>
    <w:rsid w:val="001C76A7"/>
    <w:rsid w:val="001D6266"/>
    <w:rsid w:val="001E6A7B"/>
    <w:rsid w:val="001F0C26"/>
    <w:rsid w:val="001F7143"/>
    <w:rsid w:val="00200AE8"/>
    <w:rsid w:val="002010E8"/>
    <w:rsid w:val="00203B83"/>
    <w:rsid w:val="00217093"/>
    <w:rsid w:val="00225C97"/>
    <w:rsid w:val="002263FC"/>
    <w:rsid w:val="00226CC3"/>
    <w:rsid w:val="0022757D"/>
    <w:rsid w:val="00231E1B"/>
    <w:rsid w:val="00232E81"/>
    <w:rsid w:val="00244E56"/>
    <w:rsid w:val="00247D0F"/>
    <w:rsid w:val="00251A35"/>
    <w:rsid w:val="002557C4"/>
    <w:rsid w:val="00266C62"/>
    <w:rsid w:val="002672EF"/>
    <w:rsid w:val="00270DC7"/>
    <w:rsid w:val="00273A91"/>
    <w:rsid w:val="00275748"/>
    <w:rsid w:val="00276D58"/>
    <w:rsid w:val="002803AF"/>
    <w:rsid w:val="00281057"/>
    <w:rsid w:val="00282EB9"/>
    <w:rsid w:val="00284DCD"/>
    <w:rsid w:val="00285C3D"/>
    <w:rsid w:val="00286B1E"/>
    <w:rsid w:val="00287B37"/>
    <w:rsid w:val="0029080B"/>
    <w:rsid w:val="0029281C"/>
    <w:rsid w:val="002A1DBA"/>
    <w:rsid w:val="002A3A3E"/>
    <w:rsid w:val="002B39E8"/>
    <w:rsid w:val="002D1E8E"/>
    <w:rsid w:val="002D3C21"/>
    <w:rsid w:val="002D67C3"/>
    <w:rsid w:val="002E4C03"/>
    <w:rsid w:val="002E7DE8"/>
    <w:rsid w:val="002F24B7"/>
    <w:rsid w:val="002F6A27"/>
    <w:rsid w:val="00305D40"/>
    <w:rsid w:val="003340FE"/>
    <w:rsid w:val="0035260A"/>
    <w:rsid w:val="00363881"/>
    <w:rsid w:val="0037467D"/>
    <w:rsid w:val="00376091"/>
    <w:rsid w:val="00381206"/>
    <w:rsid w:val="00384F80"/>
    <w:rsid w:val="003902EB"/>
    <w:rsid w:val="003911BF"/>
    <w:rsid w:val="003A5AD3"/>
    <w:rsid w:val="003A7063"/>
    <w:rsid w:val="003D5C65"/>
    <w:rsid w:val="003E6C0D"/>
    <w:rsid w:val="003E79E0"/>
    <w:rsid w:val="003F1163"/>
    <w:rsid w:val="003F20EE"/>
    <w:rsid w:val="00400627"/>
    <w:rsid w:val="00420788"/>
    <w:rsid w:val="00424E70"/>
    <w:rsid w:val="00432045"/>
    <w:rsid w:val="00433EF4"/>
    <w:rsid w:val="00436C28"/>
    <w:rsid w:val="00443AC1"/>
    <w:rsid w:val="00445108"/>
    <w:rsid w:val="0045177D"/>
    <w:rsid w:val="0045409C"/>
    <w:rsid w:val="0046166E"/>
    <w:rsid w:val="0046245D"/>
    <w:rsid w:val="00472ABA"/>
    <w:rsid w:val="00473A73"/>
    <w:rsid w:val="0049363C"/>
    <w:rsid w:val="004A75FE"/>
    <w:rsid w:val="004B4048"/>
    <w:rsid w:val="004C319E"/>
    <w:rsid w:val="004C4677"/>
    <w:rsid w:val="004C7B43"/>
    <w:rsid w:val="004F3DF7"/>
    <w:rsid w:val="004F7116"/>
    <w:rsid w:val="005027B0"/>
    <w:rsid w:val="00506246"/>
    <w:rsid w:val="00514987"/>
    <w:rsid w:val="00515AD9"/>
    <w:rsid w:val="00517840"/>
    <w:rsid w:val="00520704"/>
    <w:rsid w:val="00524B88"/>
    <w:rsid w:val="00526D98"/>
    <w:rsid w:val="005318D5"/>
    <w:rsid w:val="00532263"/>
    <w:rsid w:val="00533D2C"/>
    <w:rsid w:val="0053425E"/>
    <w:rsid w:val="00540852"/>
    <w:rsid w:val="005416AD"/>
    <w:rsid w:val="00551F73"/>
    <w:rsid w:val="0055328B"/>
    <w:rsid w:val="005565C2"/>
    <w:rsid w:val="005618F1"/>
    <w:rsid w:val="0056392F"/>
    <w:rsid w:val="00566B9D"/>
    <w:rsid w:val="00570129"/>
    <w:rsid w:val="00570D94"/>
    <w:rsid w:val="00572D9D"/>
    <w:rsid w:val="005822FC"/>
    <w:rsid w:val="005861E5"/>
    <w:rsid w:val="00586383"/>
    <w:rsid w:val="00594CF3"/>
    <w:rsid w:val="00597B3C"/>
    <w:rsid w:val="005A12F0"/>
    <w:rsid w:val="005A2474"/>
    <w:rsid w:val="005A498E"/>
    <w:rsid w:val="005A64F3"/>
    <w:rsid w:val="005B6758"/>
    <w:rsid w:val="005B6F7F"/>
    <w:rsid w:val="005C222D"/>
    <w:rsid w:val="005C7DE0"/>
    <w:rsid w:val="005D0D9B"/>
    <w:rsid w:val="005D5989"/>
    <w:rsid w:val="005F0512"/>
    <w:rsid w:val="005F11B7"/>
    <w:rsid w:val="005F32E6"/>
    <w:rsid w:val="00600D4F"/>
    <w:rsid w:val="00606341"/>
    <w:rsid w:val="00622C7B"/>
    <w:rsid w:val="006400EA"/>
    <w:rsid w:val="00646447"/>
    <w:rsid w:val="00663E7B"/>
    <w:rsid w:val="00673FBD"/>
    <w:rsid w:val="006824F8"/>
    <w:rsid w:val="006848D7"/>
    <w:rsid w:val="00687082"/>
    <w:rsid w:val="00697D97"/>
    <w:rsid w:val="006A7D35"/>
    <w:rsid w:val="006C3564"/>
    <w:rsid w:val="006C4DB6"/>
    <w:rsid w:val="006C5E3B"/>
    <w:rsid w:val="006C66A8"/>
    <w:rsid w:val="006D2441"/>
    <w:rsid w:val="006D2F26"/>
    <w:rsid w:val="006D33B5"/>
    <w:rsid w:val="006E3308"/>
    <w:rsid w:val="006F640B"/>
    <w:rsid w:val="006F7026"/>
    <w:rsid w:val="007004E1"/>
    <w:rsid w:val="00710E80"/>
    <w:rsid w:val="007118F7"/>
    <w:rsid w:val="0072075D"/>
    <w:rsid w:val="007345EB"/>
    <w:rsid w:val="007351D9"/>
    <w:rsid w:val="00735A69"/>
    <w:rsid w:val="00746F65"/>
    <w:rsid w:val="00747DD3"/>
    <w:rsid w:val="007527CD"/>
    <w:rsid w:val="00757B0A"/>
    <w:rsid w:val="00761938"/>
    <w:rsid w:val="0076488F"/>
    <w:rsid w:val="0077287C"/>
    <w:rsid w:val="0077672E"/>
    <w:rsid w:val="00783339"/>
    <w:rsid w:val="00784DED"/>
    <w:rsid w:val="007918E3"/>
    <w:rsid w:val="00796AD8"/>
    <w:rsid w:val="007A43ED"/>
    <w:rsid w:val="007A66B0"/>
    <w:rsid w:val="007B18C5"/>
    <w:rsid w:val="007B64DC"/>
    <w:rsid w:val="007D1948"/>
    <w:rsid w:val="007E38D2"/>
    <w:rsid w:val="007F380C"/>
    <w:rsid w:val="007F71EE"/>
    <w:rsid w:val="008024DE"/>
    <w:rsid w:val="00815D35"/>
    <w:rsid w:val="00821FA4"/>
    <w:rsid w:val="00824FFF"/>
    <w:rsid w:val="00825808"/>
    <w:rsid w:val="008327D2"/>
    <w:rsid w:val="0084047A"/>
    <w:rsid w:val="00846624"/>
    <w:rsid w:val="008469C5"/>
    <w:rsid w:val="00853574"/>
    <w:rsid w:val="008824AC"/>
    <w:rsid w:val="0088640C"/>
    <w:rsid w:val="00894383"/>
    <w:rsid w:val="00895AB4"/>
    <w:rsid w:val="008A0D16"/>
    <w:rsid w:val="008A6DEB"/>
    <w:rsid w:val="008A7794"/>
    <w:rsid w:val="008C6BFF"/>
    <w:rsid w:val="008C7D90"/>
    <w:rsid w:val="008D271A"/>
    <w:rsid w:val="008D6317"/>
    <w:rsid w:val="008D77F6"/>
    <w:rsid w:val="008E6E08"/>
    <w:rsid w:val="008F08DC"/>
    <w:rsid w:val="008F2D0D"/>
    <w:rsid w:val="0090224B"/>
    <w:rsid w:val="00926AC7"/>
    <w:rsid w:val="00934C46"/>
    <w:rsid w:val="009357F1"/>
    <w:rsid w:val="00941631"/>
    <w:rsid w:val="00945444"/>
    <w:rsid w:val="00947016"/>
    <w:rsid w:val="00957416"/>
    <w:rsid w:val="00963E66"/>
    <w:rsid w:val="009729A9"/>
    <w:rsid w:val="009732FA"/>
    <w:rsid w:val="00974AE0"/>
    <w:rsid w:val="009850FB"/>
    <w:rsid w:val="009942EC"/>
    <w:rsid w:val="009A09AC"/>
    <w:rsid w:val="009A5C21"/>
    <w:rsid w:val="009A70F2"/>
    <w:rsid w:val="009C6449"/>
    <w:rsid w:val="009C7162"/>
    <w:rsid w:val="009D1098"/>
    <w:rsid w:val="009D7EA6"/>
    <w:rsid w:val="009E13AF"/>
    <w:rsid w:val="009F6157"/>
    <w:rsid w:val="00A03AAD"/>
    <w:rsid w:val="00A102A9"/>
    <w:rsid w:val="00A20503"/>
    <w:rsid w:val="00A32E15"/>
    <w:rsid w:val="00A432FD"/>
    <w:rsid w:val="00A47816"/>
    <w:rsid w:val="00A54ECC"/>
    <w:rsid w:val="00A65178"/>
    <w:rsid w:val="00A72B75"/>
    <w:rsid w:val="00A73C88"/>
    <w:rsid w:val="00A76DD9"/>
    <w:rsid w:val="00A804F5"/>
    <w:rsid w:val="00A8417F"/>
    <w:rsid w:val="00A84F34"/>
    <w:rsid w:val="00A90C0B"/>
    <w:rsid w:val="00AB1B4C"/>
    <w:rsid w:val="00AC0BFE"/>
    <w:rsid w:val="00AD453B"/>
    <w:rsid w:val="00AD4B80"/>
    <w:rsid w:val="00AF3B1E"/>
    <w:rsid w:val="00AF4484"/>
    <w:rsid w:val="00AF714A"/>
    <w:rsid w:val="00B11044"/>
    <w:rsid w:val="00B1267F"/>
    <w:rsid w:val="00B1369B"/>
    <w:rsid w:val="00B1490F"/>
    <w:rsid w:val="00B23560"/>
    <w:rsid w:val="00B309D0"/>
    <w:rsid w:val="00B3795A"/>
    <w:rsid w:val="00B40031"/>
    <w:rsid w:val="00B45683"/>
    <w:rsid w:val="00B51DB1"/>
    <w:rsid w:val="00B535B1"/>
    <w:rsid w:val="00B608E0"/>
    <w:rsid w:val="00B835B2"/>
    <w:rsid w:val="00B872C3"/>
    <w:rsid w:val="00B90074"/>
    <w:rsid w:val="00B925A3"/>
    <w:rsid w:val="00BC0A20"/>
    <w:rsid w:val="00BC1AF8"/>
    <w:rsid w:val="00BC6831"/>
    <w:rsid w:val="00BC6E26"/>
    <w:rsid w:val="00BD2678"/>
    <w:rsid w:val="00BE0BE4"/>
    <w:rsid w:val="00BE3E06"/>
    <w:rsid w:val="00C0333A"/>
    <w:rsid w:val="00C04400"/>
    <w:rsid w:val="00C0761F"/>
    <w:rsid w:val="00C127CA"/>
    <w:rsid w:val="00C161D4"/>
    <w:rsid w:val="00C17DB9"/>
    <w:rsid w:val="00C26344"/>
    <w:rsid w:val="00C33993"/>
    <w:rsid w:val="00C4009B"/>
    <w:rsid w:val="00C4399C"/>
    <w:rsid w:val="00C46AB3"/>
    <w:rsid w:val="00C57CA9"/>
    <w:rsid w:val="00C61992"/>
    <w:rsid w:val="00C63652"/>
    <w:rsid w:val="00C65039"/>
    <w:rsid w:val="00C67731"/>
    <w:rsid w:val="00C70CC1"/>
    <w:rsid w:val="00C73D4D"/>
    <w:rsid w:val="00C76433"/>
    <w:rsid w:val="00C8308F"/>
    <w:rsid w:val="00C93EB7"/>
    <w:rsid w:val="00C94DC0"/>
    <w:rsid w:val="00C97183"/>
    <w:rsid w:val="00CA42B9"/>
    <w:rsid w:val="00CA7F93"/>
    <w:rsid w:val="00CB2392"/>
    <w:rsid w:val="00CB7E27"/>
    <w:rsid w:val="00CC669D"/>
    <w:rsid w:val="00CD2F89"/>
    <w:rsid w:val="00CD322C"/>
    <w:rsid w:val="00CE2BC8"/>
    <w:rsid w:val="00CE2FAD"/>
    <w:rsid w:val="00CF302E"/>
    <w:rsid w:val="00CF5E5A"/>
    <w:rsid w:val="00D04482"/>
    <w:rsid w:val="00D06D0E"/>
    <w:rsid w:val="00D112BA"/>
    <w:rsid w:val="00D178CB"/>
    <w:rsid w:val="00D3473F"/>
    <w:rsid w:val="00D47C9C"/>
    <w:rsid w:val="00D5419E"/>
    <w:rsid w:val="00D6015D"/>
    <w:rsid w:val="00D62948"/>
    <w:rsid w:val="00D66076"/>
    <w:rsid w:val="00D71655"/>
    <w:rsid w:val="00D74BF1"/>
    <w:rsid w:val="00D74C71"/>
    <w:rsid w:val="00D7792B"/>
    <w:rsid w:val="00D86569"/>
    <w:rsid w:val="00D868A9"/>
    <w:rsid w:val="00D9565A"/>
    <w:rsid w:val="00D97853"/>
    <w:rsid w:val="00DA4E79"/>
    <w:rsid w:val="00DB522B"/>
    <w:rsid w:val="00DC44C0"/>
    <w:rsid w:val="00DC60E5"/>
    <w:rsid w:val="00DD6D1C"/>
    <w:rsid w:val="00DF0DDC"/>
    <w:rsid w:val="00DF45D6"/>
    <w:rsid w:val="00DF769F"/>
    <w:rsid w:val="00E0005E"/>
    <w:rsid w:val="00E0277B"/>
    <w:rsid w:val="00E0662F"/>
    <w:rsid w:val="00E32897"/>
    <w:rsid w:val="00E34E3E"/>
    <w:rsid w:val="00E426DF"/>
    <w:rsid w:val="00E4792C"/>
    <w:rsid w:val="00E57437"/>
    <w:rsid w:val="00E57AC3"/>
    <w:rsid w:val="00E605A5"/>
    <w:rsid w:val="00E61C7C"/>
    <w:rsid w:val="00E62820"/>
    <w:rsid w:val="00E64BE2"/>
    <w:rsid w:val="00E6623C"/>
    <w:rsid w:val="00E77A58"/>
    <w:rsid w:val="00E90DD2"/>
    <w:rsid w:val="00E924EC"/>
    <w:rsid w:val="00E926C7"/>
    <w:rsid w:val="00EA1AFA"/>
    <w:rsid w:val="00EA5547"/>
    <w:rsid w:val="00EA7964"/>
    <w:rsid w:val="00EB1A7A"/>
    <w:rsid w:val="00EB5BBC"/>
    <w:rsid w:val="00EB6B5F"/>
    <w:rsid w:val="00EC1AE1"/>
    <w:rsid w:val="00EC50E3"/>
    <w:rsid w:val="00ED2911"/>
    <w:rsid w:val="00EE01B4"/>
    <w:rsid w:val="00EF21F1"/>
    <w:rsid w:val="00EF33FC"/>
    <w:rsid w:val="00F02AFA"/>
    <w:rsid w:val="00F045B5"/>
    <w:rsid w:val="00F04A20"/>
    <w:rsid w:val="00F04B62"/>
    <w:rsid w:val="00F127D3"/>
    <w:rsid w:val="00F2043F"/>
    <w:rsid w:val="00F240B5"/>
    <w:rsid w:val="00F24EBA"/>
    <w:rsid w:val="00F4097D"/>
    <w:rsid w:val="00F52ABE"/>
    <w:rsid w:val="00F53E29"/>
    <w:rsid w:val="00F56AF0"/>
    <w:rsid w:val="00F63EB9"/>
    <w:rsid w:val="00F66F2E"/>
    <w:rsid w:val="00F72165"/>
    <w:rsid w:val="00F75385"/>
    <w:rsid w:val="00F77E01"/>
    <w:rsid w:val="00F8505B"/>
    <w:rsid w:val="00FA0297"/>
    <w:rsid w:val="00FA6247"/>
    <w:rsid w:val="00FD294F"/>
    <w:rsid w:val="00FD6BE4"/>
    <w:rsid w:val="00FD7F58"/>
    <w:rsid w:val="00FE51DE"/>
    <w:rsid w:val="00FF2A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62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1A"/>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6400EA"/>
    <w:pPr>
      <w:jc w:val="center"/>
      <w:outlineLvl w:val="0"/>
    </w:pPr>
    <w:rPr>
      <w:rFonts w:cs="Arial"/>
      <w:b/>
      <w:lang w:val="en-GB"/>
    </w:rPr>
  </w:style>
  <w:style w:type="paragraph" w:styleId="Heading2">
    <w:name w:val="heading 2"/>
    <w:basedOn w:val="Normal"/>
    <w:next w:val="Normal"/>
    <w:link w:val="Heading2Char"/>
    <w:uiPriority w:val="9"/>
    <w:unhideWhenUsed/>
    <w:qFormat/>
    <w:rsid w:val="0037467D"/>
    <w:pPr>
      <w:keepNext/>
      <w:keepLines/>
      <w:jc w:val="center"/>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8D271A"/>
    <w:pPr>
      <w:keepNext/>
      <w:keepLines/>
      <w:spacing w:before="40" w:line="259" w:lineRule="auto"/>
      <w:jc w:val="left"/>
      <w:outlineLvl w:val="3"/>
    </w:pPr>
    <w:rPr>
      <w:rFonts w:asciiTheme="majorHAnsi" w:eastAsiaTheme="majorEastAsia" w:hAnsiTheme="majorHAnsi" w:cstheme="majorBidi"/>
      <w:i/>
      <w:iCs/>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0EA"/>
    <w:rPr>
      <w:rFonts w:ascii="Arial" w:eastAsia="Times New Roman" w:hAnsi="Arial" w:cs="Arial"/>
      <w:b/>
      <w:sz w:val="24"/>
      <w:szCs w:val="24"/>
      <w:lang w:val="en-GB"/>
    </w:rPr>
  </w:style>
  <w:style w:type="character" w:customStyle="1" w:styleId="Heading4Char">
    <w:name w:val="Heading 4 Char"/>
    <w:basedOn w:val="DefaultParagraphFont"/>
    <w:link w:val="Heading4"/>
    <w:uiPriority w:val="9"/>
    <w:semiHidden/>
    <w:rsid w:val="008D271A"/>
    <w:rPr>
      <w:rFonts w:asciiTheme="majorHAnsi" w:eastAsiaTheme="majorEastAsia" w:hAnsiTheme="majorHAnsi" w:cstheme="majorBidi"/>
      <w:i/>
      <w:iCs/>
      <w:color w:val="2F5496" w:themeColor="accent1" w:themeShade="BF"/>
      <w:lang w:val="en-GB"/>
    </w:rPr>
  </w:style>
  <w:style w:type="paragraph" w:styleId="Title">
    <w:name w:val="Title"/>
    <w:basedOn w:val="Normal"/>
    <w:next w:val="Normal"/>
    <w:link w:val="TitleChar"/>
    <w:uiPriority w:val="10"/>
    <w:qFormat/>
    <w:rsid w:val="008D271A"/>
    <w:pPr>
      <w:jc w:val="center"/>
    </w:pPr>
    <w:rPr>
      <w:rFonts w:cs="Arial"/>
      <w:b/>
      <w:lang w:val="en-GB"/>
    </w:rPr>
  </w:style>
  <w:style w:type="character" w:customStyle="1" w:styleId="TitleChar">
    <w:name w:val="Title Char"/>
    <w:basedOn w:val="DefaultParagraphFont"/>
    <w:link w:val="Title"/>
    <w:uiPriority w:val="10"/>
    <w:rsid w:val="008D271A"/>
    <w:rPr>
      <w:rFonts w:ascii="Arial" w:eastAsia="Times New Roman" w:hAnsi="Arial" w:cs="Arial"/>
      <w:b/>
      <w:sz w:val="24"/>
      <w:szCs w:val="24"/>
      <w:lang w:val="en-GB"/>
    </w:rPr>
  </w:style>
  <w:style w:type="table" w:styleId="TableGrid">
    <w:name w:val="Table Grid"/>
    <w:basedOn w:val="TableNormal"/>
    <w:uiPriority w:val="39"/>
    <w:rsid w:val="008D27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71A"/>
    <w:pPr>
      <w:tabs>
        <w:tab w:val="center" w:pos="4513"/>
        <w:tab w:val="right" w:pos="9026"/>
      </w:tabs>
    </w:pPr>
  </w:style>
  <w:style w:type="character" w:customStyle="1" w:styleId="HeaderChar">
    <w:name w:val="Header Char"/>
    <w:basedOn w:val="DefaultParagraphFont"/>
    <w:link w:val="Header"/>
    <w:uiPriority w:val="99"/>
    <w:rsid w:val="008D271A"/>
    <w:rPr>
      <w:rFonts w:ascii="Arial" w:eastAsia="Times New Roman" w:hAnsi="Arial" w:cs="Times New Roman"/>
      <w:sz w:val="24"/>
      <w:szCs w:val="24"/>
    </w:rPr>
  </w:style>
  <w:style w:type="paragraph" w:customStyle="1" w:styleId="Body">
    <w:name w:val="Body"/>
    <w:qFormat/>
    <w:rsid w:val="00DD6D1C"/>
    <w:pPr>
      <w:suppressAutoHyphens/>
      <w:spacing w:after="0" w:line="240" w:lineRule="auto"/>
      <w:jc w:val="both"/>
    </w:pPr>
    <w:rPr>
      <w:rFonts w:ascii="Arial" w:eastAsia="Arial Unicode MS" w:hAnsi="Arial" w:cs="Arial Unicode MS"/>
      <w:color w:val="000000"/>
      <w:sz w:val="24"/>
      <w:szCs w:val="24"/>
      <w:u w:color="000000"/>
      <w:lang w:val="en-GB" w:eastAsia="en-GB"/>
    </w:rPr>
  </w:style>
  <w:style w:type="paragraph" w:styleId="ListParagraph">
    <w:name w:val="List Paragraph"/>
    <w:aliases w:val="Recommendation,List Paragraph1,FooterText,Bullet List,numbered,Paragraphe de liste1,Bulletr List Paragraph,列出段落,列出段落1,List Paragraph2,List Paragraph21,Listeafsnit1,Parágrafo da Lista1,Párrafo de lista1,リスト段落1,bullet point list,L,Dot pt,Te"/>
    <w:basedOn w:val="Normal"/>
    <w:link w:val="ListParagraphChar"/>
    <w:uiPriority w:val="34"/>
    <w:qFormat/>
    <w:rsid w:val="008D271A"/>
    <w:pPr>
      <w:spacing w:after="200" w:line="276" w:lineRule="auto"/>
      <w:ind w:left="720"/>
      <w:contextualSpacing/>
      <w:jc w:val="left"/>
    </w:pPr>
    <w:rPr>
      <w:rFonts w:asciiTheme="minorHAnsi" w:eastAsiaTheme="minorEastAsia" w:hAnsiTheme="minorHAnsi" w:cstheme="minorBidi"/>
      <w:sz w:val="22"/>
      <w:szCs w:val="22"/>
      <w:lang w:val="en-IN" w:eastAsia="en-IN"/>
    </w:rPr>
  </w:style>
  <w:style w:type="character" w:styleId="FootnoteReference">
    <w:name w:val="footnote reference"/>
    <w:aliases w:val="Ref,de nota al pie"/>
    <w:qFormat/>
    <w:rsid w:val="008D271A"/>
    <w:rPr>
      <w:vertAlign w:val="superscript"/>
    </w:rPr>
  </w:style>
  <w:style w:type="paragraph" w:styleId="FootnoteText">
    <w:name w:val="footnote text"/>
    <w:basedOn w:val="Normal"/>
    <w:link w:val="FootnoteTextChar"/>
    <w:uiPriority w:val="99"/>
    <w:semiHidden/>
    <w:unhideWhenUsed/>
    <w:rsid w:val="008D271A"/>
    <w:rPr>
      <w:sz w:val="20"/>
      <w:szCs w:val="20"/>
    </w:rPr>
  </w:style>
  <w:style w:type="character" w:customStyle="1" w:styleId="FootnoteTextChar">
    <w:name w:val="Footnote Text Char"/>
    <w:basedOn w:val="DefaultParagraphFont"/>
    <w:link w:val="FootnoteText"/>
    <w:uiPriority w:val="99"/>
    <w:semiHidden/>
    <w:rsid w:val="008D271A"/>
    <w:rPr>
      <w:rFonts w:ascii="Arial" w:eastAsia="Times New Roman" w:hAnsi="Arial" w:cs="Times New Roman"/>
      <w:sz w:val="20"/>
      <w:szCs w:val="20"/>
    </w:rPr>
  </w:style>
  <w:style w:type="character" w:customStyle="1" w:styleId="ListParagraphChar">
    <w:name w:val="List Paragraph Char"/>
    <w:aliases w:val="Recommendation Char,List Paragraph1 Char,FooterText Char,Bullet List Char,numbered Char,Paragraphe de liste1 Char,Bulletr List Paragraph Char,列出段落 Char,列出段落1 Char,List Paragraph2 Char,List Paragraph21 Char,Listeafsnit1 Char,L Char"/>
    <w:basedOn w:val="DefaultParagraphFont"/>
    <w:link w:val="ListParagraph"/>
    <w:uiPriority w:val="34"/>
    <w:qFormat/>
    <w:rsid w:val="008D271A"/>
    <w:rPr>
      <w:rFonts w:eastAsiaTheme="minorEastAsia"/>
      <w:lang w:val="en-IN" w:eastAsia="en-IN"/>
    </w:rPr>
  </w:style>
  <w:style w:type="numbering" w:customStyle="1" w:styleId="Itemreference3">
    <w:name w:val="Item reference3"/>
    <w:rsid w:val="008D271A"/>
    <w:pPr>
      <w:numPr>
        <w:numId w:val="12"/>
      </w:numPr>
    </w:pPr>
  </w:style>
  <w:style w:type="paragraph" w:customStyle="1" w:styleId="BulletPoint1">
    <w:name w:val="Bullet Point 1"/>
    <w:basedOn w:val="ListParagraph"/>
    <w:link w:val="BulletPoint1Char"/>
    <w:qFormat/>
    <w:rsid w:val="008D271A"/>
    <w:pPr>
      <w:numPr>
        <w:numId w:val="12"/>
      </w:numPr>
      <w:spacing w:after="0" w:line="240" w:lineRule="auto"/>
    </w:pPr>
    <w:rPr>
      <w:rFonts w:eastAsiaTheme="minorHAnsi" w:cstheme="minorHAnsi"/>
      <w:lang w:val="en-GB" w:eastAsia="en-US"/>
    </w:rPr>
  </w:style>
  <w:style w:type="character" w:customStyle="1" w:styleId="BulletPoint1Char">
    <w:name w:val="Bullet Point 1 Char"/>
    <w:basedOn w:val="DefaultParagraphFont"/>
    <w:link w:val="BulletPoint1"/>
    <w:rsid w:val="008D271A"/>
    <w:rPr>
      <w:rFonts w:cstheme="minorHAnsi"/>
      <w:lang w:val="en-GB"/>
    </w:rPr>
  </w:style>
  <w:style w:type="character" w:styleId="CommentReference">
    <w:name w:val="annotation reference"/>
    <w:basedOn w:val="DefaultParagraphFont"/>
    <w:uiPriority w:val="99"/>
    <w:semiHidden/>
    <w:unhideWhenUsed/>
    <w:rsid w:val="000509BB"/>
    <w:rPr>
      <w:sz w:val="16"/>
      <w:szCs w:val="16"/>
    </w:rPr>
  </w:style>
  <w:style w:type="paragraph" w:styleId="CommentText">
    <w:name w:val="annotation text"/>
    <w:basedOn w:val="Normal"/>
    <w:link w:val="CommentTextChar"/>
    <w:uiPriority w:val="99"/>
    <w:semiHidden/>
    <w:unhideWhenUsed/>
    <w:rsid w:val="000509BB"/>
    <w:rPr>
      <w:sz w:val="20"/>
      <w:szCs w:val="20"/>
    </w:rPr>
  </w:style>
  <w:style w:type="character" w:customStyle="1" w:styleId="CommentTextChar">
    <w:name w:val="Comment Text Char"/>
    <w:basedOn w:val="DefaultParagraphFont"/>
    <w:link w:val="CommentText"/>
    <w:uiPriority w:val="99"/>
    <w:semiHidden/>
    <w:rsid w:val="000509B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09BB"/>
    <w:rPr>
      <w:b/>
      <w:bCs/>
    </w:rPr>
  </w:style>
  <w:style w:type="character" w:customStyle="1" w:styleId="CommentSubjectChar">
    <w:name w:val="Comment Subject Char"/>
    <w:basedOn w:val="CommentTextChar"/>
    <w:link w:val="CommentSubject"/>
    <w:uiPriority w:val="99"/>
    <w:semiHidden/>
    <w:rsid w:val="000509BB"/>
    <w:rPr>
      <w:rFonts w:ascii="Arial" w:eastAsia="Times New Roman" w:hAnsi="Arial" w:cs="Times New Roman"/>
      <w:b/>
      <w:bCs/>
      <w:sz w:val="20"/>
      <w:szCs w:val="20"/>
    </w:rPr>
  </w:style>
  <w:style w:type="paragraph" w:customStyle="1" w:styleId="Default">
    <w:name w:val="Default"/>
    <w:rsid w:val="0006427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842F0"/>
    <w:pPr>
      <w:spacing w:after="0" w:line="240" w:lineRule="auto"/>
    </w:pPr>
    <w:rPr>
      <w:rFonts w:ascii="Arial" w:eastAsia="Times New Roman" w:hAnsi="Arial" w:cs="Times New Roman"/>
      <w:sz w:val="24"/>
      <w:szCs w:val="24"/>
    </w:rPr>
  </w:style>
  <w:style w:type="paragraph" w:styleId="Footer">
    <w:name w:val="footer"/>
    <w:basedOn w:val="Normal"/>
    <w:link w:val="FooterChar"/>
    <w:uiPriority w:val="99"/>
    <w:unhideWhenUsed/>
    <w:rsid w:val="00445108"/>
    <w:pPr>
      <w:tabs>
        <w:tab w:val="center" w:pos="4513"/>
        <w:tab w:val="right" w:pos="9026"/>
      </w:tabs>
    </w:pPr>
  </w:style>
  <w:style w:type="character" w:customStyle="1" w:styleId="FooterChar">
    <w:name w:val="Footer Char"/>
    <w:basedOn w:val="DefaultParagraphFont"/>
    <w:link w:val="Footer"/>
    <w:uiPriority w:val="99"/>
    <w:rsid w:val="0044510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F702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7026"/>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37467D"/>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454751">
      <w:bodyDiv w:val="1"/>
      <w:marLeft w:val="0"/>
      <w:marRight w:val="0"/>
      <w:marTop w:val="0"/>
      <w:marBottom w:val="0"/>
      <w:divBdr>
        <w:top w:val="none" w:sz="0" w:space="0" w:color="auto"/>
        <w:left w:val="none" w:sz="0" w:space="0" w:color="auto"/>
        <w:bottom w:val="none" w:sz="0" w:space="0" w:color="auto"/>
        <w:right w:val="none" w:sz="0" w:space="0" w:color="auto"/>
      </w:divBdr>
    </w:div>
    <w:div w:id="575673449">
      <w:bodyDiv w:val="1"/>
      <w:marLeft w:val="0"/>
      <w:marRight w:val="0"/>
      <w:marTop w:val="0"/>
      <w:marBottom w:val="0"/>
      <w:divBdr>
        <w:top w:val="none" w:sz="0" w:space="0" w:color="auto"/>
        <w:left w:val="none" w:sz="0" w:space="0" w:color="auto"/>
        <w:bottom w:val="none" w:sz="0" w:space="0" w:color="auto"/>
        <w:right w:val="none" w:sz="0" w:space="0" w:color="auto"/>
      </w:divBdr>
    </w:div>
    <w:div w:id="1363507383">
      <w:bodyDiv w:val="1"/>
      <w:marLeft w:val="0"/>
      <w:marRight w:val="0"/>
      <w:marTop w:val="0"/>
      <w:marBottom w:val="0"/>
      <w:divBdr>
        <w:top w:val="none" w:sz="0" w:space="0" w:color="auto"/>
        <w:left w:val="none" w:sz="0" w:space="0" w:color="auto"/>
        <w:bottom w:val="none" w:sz="0" w:space="0" w:color="auto"/>
        <w:right w:val="none" w:sz="0" w:space="0" w:color="auto"/>
      </w:divBdr>
    </w:div>
    <w:div w:id="1624461734">
      <w:bodyDiv w:val="1"/>
      <w:marLeft w:val="0"/>
      <w:marRight w:val="0"/>
      <w:marTop w:val="0"/>
      <w:marBottom w:val="0"/>
      <w:divBdr>
        <w:top w:val="none" w:sz="0" w:space="0" w:color="auto"/>
        <w:left w:val="none" w:sz="0" w:space="0" w:color="auto"/>
        <w:bottom w:val="none" w:sz="0" w:space="0" w:color="auto"/>
        <w:right w:val="none" w:sz="0" w:space="0" w:color="auto"/>
      </w:divBdr>
    </w:div>
    <w:div w:id="1781098873">
      <w:bodyDiv w:val="1"/>
      <w:marLeft w:val="0"/>
      <w:marRight w:val="0"/>
      <w:marTop w:val="0"/>
      <w:marBottom w:val="0"/>
      <w:divBdr>
        <w:top w:val="none" w:sz="0" w:space="0" w:color="auto"/>
        <w:left w:val="none" w:sz="0" w:space="0" w:color="auto"/>
        <w:bottom w:val="none" w:sz="0" w:space="0" w:color="auto"/>
        <w:right w:val="none" w:sz="0" w:space="0" w:color="auto"/>
      </w:divBdr>
    </w:div>
    <w:div w:id="19213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6069-76A3-6243-A1F6-54DC0153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2737</Words>
  <Characters>15655</Characters>
  <Application>Microsoft Office Word</Application>
  <DocSecurity>0</DocSecurity>
  <Lines>440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8A Financial Services</dc:title>
  <dc:subject/>
  <dc:creator/>
  <cp:keywords/>
  <dc:description/>
  <cp:lastModifiedBy/>
  <cp:revision>1</cp:revision>
  <dcterms:created xsi:type="dcterms:W3CDTF">2022-04-01T07:22:00Z</dcterms:created>
  <dcterms:modified xsi:type="dcterms:W3CDTF">2022-04-01T07:22:00Z</dcterms:modified>
  <cp:category/>
</cp:coreProperties>
</file>