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FA576" w14:textId="77777777" w:rsidR="00632F41" w:rsidRDefault="00632F41" w:rsidP="00632F41">
      <w:pPr>
        <w:jc w:val="center"/>
        <w:rPr>
          <w:lang w:val="en-US"/>
        </w:rPr>
      </w:pPr>
    </w:p>
    <w:p w14:paraId="2C8B6421" w14:textId="3E3F1F91" w:rsidR="00632F41" w:rsidRPr="00DC0EE5" w:rsidRDefault="00C55B9C" w:rsidP="00632F41">
      <w:pPr>
        <w:jc w:val="center"/>
        <w:rPr>
          <w:rFonts w:ascii="Arial" w:hAnsi="Arial" w:cs="Arial"/>
          <w:lang w:val="en-US"/>
        </w:rPr>
      </w:pPr>
      <w:r w:rsidRPr="00DC0EE5">
        <w:rPr>
          <w:rFonts w:ascii="Arial" w:hAnsi="Arial" w:cs="Arial"/>
          <w:b/>
          <w:lang w:val="en-US"/>
        </w:rPr>
        <w:t>ANNEX 7A</w:t>
      </w:r>
    </w:p>
    <w:p w14:paraId="7A8D0BAB" w14:textId="2D2CB6FF" w:rsidR="00632F41" w:rsidRPr="00DC0EE5" w:rsidRDefault="00C55B9C" w:rsidP="00632F41">
      <w:pPr>
        <w:jc w:val="center"/>
        <w:rPr>
          <w:rFonts w:ascii="Arial" w:hAnsi="Arial" w:cs="Arial"/>
          <w:b/>
          <w:lang w:val="en-US"/>
        </w:rPr>
      </w:pPr>
      <w:r w:rsidRPr="00DC0EE5">
        <w:rPr>
          <w:rFonts w:ascii="Arial" w:hAnsi="Arial" w:cs="Arial"/>
          <w:b/>
          <w:lang w:val="en-US"/>
        </w:rPr>
        <w:t>PHARMACEUTICALS</w:t>
      </w:r>
    </w:p>
    <w:p w14:paraId="10059C7B" w14:textId="77777777" w:rsidR="00632F41" w:rsidRPr="00DC0EE5" w:rsidRDefault="00632F41" w:rsidP="00632F41">
      <w:pPr>
        <w:jc w:val="center"/>
        <w:rPr>
          <w:rFonts w:ascii="Arial" w:hAnsi="Arial" w:cs="Arial"/>
          <w:b/>
          <w:lang w:val="en-US"/>
        </w:rPr>
      </w:pPr>
    </w:p>
    <w:p w14:paraId="4250C9D0" w14:textId="77777777" w:rsidR="00632F41" w:rsidRPr="00DC0EE5" w:rsidRDefault="00632F41" w:rsidP="00632F41">
      <w:pPr>
        <w:jc w:val="center"/>
        <w:rPr>
          <w:rFonts w:ascii="Arial" w:hAnsi="Arial" w:cs="Arial"/>
          <w:b/>
          <w:lang w:val="en-US"/>
        </w:rPr>
      </w:pPr>
    </w:p>
    <w:p w14:paraId="305B1412" w14:textId="42043086" w:rsidR="00632F41" w:rsidRPr="00DC0EE5" w:rsidRDefault="006F512A" w:rsidP="00DC0EE5">
      <w:pPr>
        <w:ind w:left="720" w:hanging="720"/>
        <w:jc w:val="both"/>
        <w:rPr>
          <w:rFonts w:ascii="Arial" w:hAnsi="Arial" w:cs="Arial"/>
          <w:b/>
          <w:lang w:val="en-US"/>
        </w:rPr>
      </w:pPr>
      <w:r>
        <w:rPr>
          <w:rFonts w:ascii="Arial" w:hAnsi="Arial" w:cs="Arial"/>
          <w:lang w:val="en-GB"/>
        </w:rPr>
        <w:t>1.</w:t>
      </w:r>
      <w:r>
        <w:rPr>
          <w:rFonts w:ascii="Arial" w:hAnsi="Arial" w:cs="Arial"/>
          <w:lang w:val="en-GB"/>
        </w:rPr>
        <w:tab/>
      </w:r>
      <w:r w:rsidR="00632F41" w:rsidRPr="00DC0EE5">
        <w:rPr>
          <w:rFonts w:ascii="Arial" w:hAnsi="Arial" w:cs="Arial"/>
          <w:lang w:val="en-GB"/>
        </w:rPr>
        <w:t>The Parties’ Therapeutic Goods Regulators</w:t>
      </w:r>
      <w:r w:rsidR="00632F41" w:rsidRPr="00DC0EE5">
        <w:rPr>
          <w:rStyle w:val="FootnoteReference"/>
          <w:rFonts w:ascii="Arial" w:hAnsi="Arial" w:cs="Arial"/>
          <w:lang w:val="en-GB"/>
        </w:rPr>
        <w:footnoteReference w:id="2"/>
      </w:r>
      <w:r w:rsidR="00632F41" w:rsidRPr="00DC0EE5">
        <w:rPr>
          <w:rFonts w:ascii="Arial" w:hAnsi="Arial" w:cs="Arial"/>
          <w:lang w:val="en-GB"/>
        </w:rPr>
        <w:t xml:space="preserve"> shall work together to facilitate trade in human prescription medicines and medical devices. </w:t>
      </w:r>
    </w:p>
    <w:p w14:paraId="311DB268" w14:textId="77777777" w:rsidR="00632F41" w:rsidRPr="00DC0EE5" w:rsidRDefault="00632F41" w:rsidP="00632F41">
      <w:pPr>
        <w:pStyle w:val="ListParagraph"/>
        <w:jc w:val="both"/>
        <w:rPr>
          <w:rFonts w:ascii="Arial" w:hAnsi="Arial" w:cs="Arial"/>
          <w:b/>
          <w:lang w:val="en-US"/>
        </w:rPr>
      </w:pPr>
    </w:p>
    <w:p w14:paraId="5B521EA4" w14:textId="6CFB25B2" w:rsidR="00632F41" w:rsidRPr="00DC0EE5" w:rsidRDefault="002E7419" w:rsidP="00DC0EE5">
      <w:pPr>
        <w:ind w:left="720" w:hanging="720"/>
        <w:jc w:val="both"/>
        <w:rPr>
          <w:rFonts w:ascii="Arial" w:hAnsi="Arial" w:cs="Arial"/>
          <w:b/>
          <w:lang w:val="en-US"/>
        </w:rPr>
      </w:pPr>
      <w:r>
        <w:rPr>
          <w:rFonts w:ascii="Arial" w:hAnsi="Arial" w:cs="Arial"/>
          <w:color w:val="000000"/>
          <w:lang w:val="en-GB"/>
        </w:rPr>
        <w:t>2.</w:t>
      </w:r>
      <w:r>
        <w:rPr>
          <w:rFonts w:ascii="Arial" w:hAnsi="Arial" w:cs="Arial"/>
          <w:color w:val="000000"/>
          <w:lang w:val="en-GB"/>
        </w:rPr>
        <w:tab/>
      </w:r>
      <w:r w:rsidR="00632F41" w:rsidRPr="00DC0EE5">
        <w:rPr>
          <w:rFonts w:ascii="Arial" w:hAnsi="Arial" w:cs="Arial"/>
          <w:color w:val="000000"/>
          <w:lang w:val="en-GB"/>
        </w:rPr>
        <w:t xml:space="preserve">To facilitate trade </w:t>
      </w:r>
      <w:r w:rsidR="00632F41" w:rsidRPr="00DC0EE5">
        <w:rPr>
          <w:rFonts w:ascii="Arial" w:hAnsi="Arial" w:cs="Arial"/>
          <w:lang w:val="en-GB"/>
        </w:rPr>
        <w:t>in human prescription medicines, including prescription generic and biosimilar medicines, and medical devices, each Party’s Therapeutic Goods Regulator shall utilise, as appropriate, reports from regulatory authorities recognised by that Party’s Therapeutic Goods Regulator as a comparable regulator in relation to the pre-market evaluation of products manufactured in the territory of the other Party, subject to its laws and regulations,</w:t>
      </w:r>
      <w:r w:rsidR="00632F41" w:rsidRPr="00DC0EE5">
        <w:rPr>
          <w:rStyle w:val="FootnoteReference"/>
          <w:rFonts w:ascii="Arial" w:hAnsi="Arial" w:cs="Arial"/>
          <w:lang w:val="en-GB"/>
        </w:rPr>
        <w:footnoteReference w:id="3"/>
      </w:r>
      <w:r w:rsidR="00632F41" w:rsidRPr="00DC0EE5">
        <w:rPr>
          <w:rFonts w:ascii="Arial" w:hAnsi="Arial" w:cs="Arial"/>
          <w:lang w:val="en-GB"/>
        </w:rPr>
        <w:t xml:space="preserve"> as amended from time to time.</w:t>
      </w:r>
    </w:p>
    <w:p w14:paraId="786E51C4" w14:textId="705CC517" w:rsidR="00632F41" w:rsidRPr="00DC0EE5" w:rsidRDefault="00632F41" w:rsidP="00632F41">
      <w:pPr>
        <w:pStyle w:val="ListParagraph"/>
        <w:jc w:val="both"/>
        <w:rPr>
          <w:rFonts w:ascii="Arial" w:hAnsi="Arial" w:cs="Arial"/>
          <w:b/>
          <w:color w:val="000000" w:themeColor="text1"/>
          <w:lang w:val="en-US"/>
        </w:rPr>
      </w:pPr>
    </w:p>
    <w:p w14:paraId="3B43C464" w14:textId="2A4FED4B" w:rsidR="00632F41" w:rsidRPr="00DC0EE5" w:rsidRDefault="002E7419" w:rsidP="00DC0EE5">
      <w:pPr>
        <w:ind w:left="720" w:hanging="720"/>
        <w:jc w:val="both"/>
        <w:rPr>
          <w:rFonts w:ascii="Arial" w:hAnsi="Arial" w:cs="Arial"/>
          <w:b/>
          <w:color w:val="000000" w:themeColor="text1"/>
          <w:lang w:val="en-US"/>
        </w:rPr>
      </w:pPr>
      <w:r>
        <w:rPr>
          <w:rStyle w:val="Emphasis"/>
          <w:rFonts w:ascii="Arial" w:hAnsi="Arial" w:cs="Arial"/>
          <w:i w:val="0"/>
          <w:iCs w:val="0"/>
          <w:lang w:val="en-GB"/>
        </w:rPr>
        <w:t>3.</w:t>
      </w:r>
      <w:r>
        <w:rPr>
          <w:rStyle w:val="Emphasis"/>
          <w:rFonts w:ascii="Arial" w:hAnsi="Arial" w:cs="Arial"/>
          <w:i w:val="0"/>
          <w:iCs w:val="0"/>
          <w:lang w:val="en-GB"/>
        </w:rPr>
        <w:tab/>
      </w:r>
      <w:r w:rsidR="00632F41" w:rsidRPr="00DC0EE5">
        <w:rPr>
          <w:rStyle w:val="Emphasis"/>
          <w:rFonts w:ascii="Arial" w:hAnsi="Arial" w:cs="Arial"/>
          <w:i w:val="0"/>
          <w:lang w:val="en-GB"/>
        </w:rPr>
        <w:t xml:space="preserve">To </w:t>
      </w:r>
      <w:r w:rsidR="00632F41" w:rsidRPr="00DC0EE5">
        <w:rPr>
          <w:rFonts w:ascii="Arial" w:hAnsi="Arial" w:cs="Arial"/>
          <w:color w:val="000000" w:themeColor="text1"/>
        </w:rPr>
        <w:t>facilitate</w:t>
      </w:r>
      <w:r w:rsidR="00632F41" w:rsidRPr="00DC0EE5">
        <w:rPr>
          <w:rStyle w:val="Emphasis"/>
          <w:rFonts w:ascii="Arial" w:hAnsi="Arial" w:cs="Arial"/>
          <w:i w:val="0"/>
          <w:lang w:val="en-GB"/>
        </w:rPr>
        <w:t xml:space="preserve"> trade in human prescription medicines, including prescription generic and biosimilar medicines, each Part</w:t>
      </w:r>
      <w:r w:rsidR="003755F1" w:rsidRPr="00DC0EE5">
        <w:rPr>
          <w:rStyle w:val="Emphasis"/>
          <w:rFonts w:ascii="Arial" w:hAnsi="Arial" w:cs="Arial"/>
          <w:i w:val="0"/>
          <w:lang w:val="en-GB"/>
        </w:rPr>
        <w:t>y’s</w:t>
      </w:r>
      <w:r w:rsidR="00632F41" w:rsidRPr="00DC0EE5">
        <w:rPr>
          <w:rStyle w:val="Emphasis"/>
          <w:rFonts w:ascii="Arial" w:hAnsi="Arial" w:cs="Arial"/>
          <w:i w:val="0"/>
          <w:lang w:val="en-GB"/>
        </w:rPr>
        <w:t xml:space="preserve"> Therapeutic Goods Regulator may utilise, as appropriate, Good Manufacturing Practice (GMP) inspection </w:t>
      </w:r>
      <w:r w:rsidR="00632F41" w:rsidRPr="00DC0EE5">
        <w:rPr>
          <w:rStyle w:val="Emphasis"/>
          <w:rFonts w:ascii="Arial" w:hAnsi="Arial" w:cs="Arial"/>
          <w:i w:val="0"/>
          <w:color w:val="000000" w:themeColor="text1"/>
          <w:lang w:val="en-GB"/>
        </w:rPr>
        <w:t xml:space="preserve">reports from regulatory authorities </w:t>
      </w:r>
      <w:r w:rsidR="00632F41" w:rsidRPr="00DC0EE5">
        <w:rPr>
          <w:rFonts w:ascii="Arial" w:hAnsi="Arial" w:cs="Arial"/>
          <w:lang w:val="en-GB"/>
        </w:rPr>
        <w:t>recognised by that Party’s Therapeutic Goods Regulator as a comparable regulator</w:t>
      </w:r>
      <w:r w:rsidR="00632F41" w:rsidRPr="00DC0EE5">
        <w:rPr>
          <w:rStyle w:val="Emphasis"/>
          <w:rFonts w:ascii="Arial" w:hAnsi="Arial" w:cs="Arial"/>
          <w:i w:val="0"/>
          <w:color w:val="000000" w:themeColor="text1"/>
          <w:lang w:val="en-GB"/>
        </w:rPr>
        <w:t xml:space="preserve"> in relation to the quality assessment of manufacturing facilities in the territory of the other Party, subject to its laws and regulations, as amended from time</w:t>
      </w:r>
      <w:r w:rsidR="00691BD8" w:rsidRPr="00DC0EE5">
        <w:rPr>
          <w:rStyle w:val="Emphasis"/>
          <w:rFonts w:ascii="Arial" w:hAnsi="Arial" w:cs="Arial"/>
          <w:i w:val="0"/>
          <w:color w:val="000000" w:themeColor="text1"/>
          <w:lang w:val="en-GB"/>
        </w:rPr>
        <w:t xml:space="preserve"> to time</w:t>
      </w:r>
      <w:r w:rsidR="00632F41" w:rsidRPr="00DC0EE5">
        <w:rPr>
          <w:rStyle w:val="Emphasis"/>
          <w:rFonts w:ascii="Arial" w:hAnsi="Arial" w:cs="Arial"/>
          <w:color w:val="000000" w:themeColor="text1"/>
          <w:lang w:val="en-GB"/>
        </w:rPr>
        <w:t xml:space="preserve">. </w:t>
      </w:r>
      <w:r w:rsidR="00632F41" w:rsidRPr="00DC0EE5">
        <w:rPr>
          <w:rFonts w:ascii="Arial" w:hAnsi="Arial" w:cs="Arial"/>
          <w:lang w:val="en-GB"/>
        </w:rPr>
        <w:t xml:space="preserve">This may reduce the requirement for, or duration of, in-country inspections in the territory of the other Party. </w:t>
      </w:r>
    </w:p>
    <w:p w14:paraId="31D1F14B" w14:textId="77777777" w:rsidR="00632F41" w:rsidRPr="00DC0EE5" w:rsidRDefault="00632F41" w:rsidP="00632F41">
      <w:pPr>
        <w:pStyle w:val="ListParagraph"/>
        <w:jc w:val="both"/>
        <w:rPr>
          <w:rFonts w:ascii="Arial" w:hAnsi="Arial" w:cs="Arial"/>
          <w:b/>
          <w:color w:val="000000" w:themeColor="text1"/>
          <w:lang w:val="en-US"/>
        </w:rPr>
      </w:pPr>
    </w:p>
    <w:p w14:paraId="5E22903A" w14:textId="24B6CE27" w:rsidR="00632F41" w:rsidRPr="00DC0EE5" w:rsidRDefault="002E7419" w:rsidP="00DC0EE5">
      <w:pPr>
        <w:ind w:left="720" w:hanging="720"/>
        <w:jc w:val="both"/>
        <w:rPr>
          <w:rFonts w:ascii="Arial" w:hAnsi="Arial" w:cs="Arial"/>
          <w:b/>
          <w:color w:val="000000"/>
          <w:lang w:val="en-US"/>
        </w:rPr>
      </w:pPr>
      <w:r>
        <w:rPr>
          <w:rFonts w:ascii="Arial" w:hAnsi="Arial" w:cs="Arial"/>
        </w:rPr>
        <w:t>4.</w:t>
      </w:r>
      <w:r>
        <w:rPr>
          <w:rFonts w:ascii="Arial" w:hAnsi="Arial" w:cs="Arial"/>
        </w:rPr>
        <w:tab/>
      </w:r>
      <w:r w:rsidR="00632F41" w:rsidRPr="00DC0EE5">
        <w:rPr>
          <w:rFonts w:ascii="Arial" w:hAnsi="Arial" w:cs="Arial"/>
        </w:rPr>
        <w:t>Neither Party shall have recourse to dispute settlement under Chapter 13 (Dispute Settlement) for any matter arising under this Annex.</w:t>
      </w:r>
    </w:p>
    <w:p w14:paraId="6F03F3EF" w14:textId="77777777" w:rsidR="00632F41" w:rsidRPr="005A193F" w:rsidRDefault="00632F41" w:rsidP="00632F41">
      <w:pPr>
        <w:pStyle w:val="ListParagraph"/>
        <w:jc w:val="both"/>
        <w:rPr>
          <w:b/>
          <w:bCs/>
          <w:color w:val="000000"/>
          <w:lang w:val="en-US"/>
        </w:rPr>
      </w:pPr>
    </w:p>
    <w:p w14:paraId="05B20320" w14:textId="77777777" w:rsidR="00632F41" w:rsidRDefault="00632F41" w:rsidP="00632F41">
      <w:pPr>
        <w:pStyle w:val="ListParagraph"/>
      </w:pPr>
    </w:p>
    <w:p w14:paraId="192E9A4D" w14:textId="77777777" w:rsidR="00632F41" w:rsidRPr="00E513C6" w:rsidRDefault="00632F41" w:rsidP="00632F41">
      <w:pPr>
        <w:pStyle w:val="ListParagraph"/>
        <w:jc w:val="both"/>
        <w:rPr>
          <w:b/>
          <w:bCs/>
          <w:color w:val="000000" w:themeColor="text1"/>
          <w:lang w:val="en-US"/>
        </w:rPr>
      </w:pPr>
    </w:p>
    <w:p w14:paraId="2BE22DE0" w14:textId="77777777" w:rsidR="00632F41" w:rsidRPr="00E513C6" w:rsidRDefault="00632F41" w:rsidP="00632F41">
      <w:pPr>
        <w:pStyle w:val="ListParagraph"/>
        <w:rPr>
          <w:b/>
          <w:bCs/>
          <w:color w:val="000000" w:themeColor="text1"/>
          <w:lang w:val="en-US"/>
        </w:rPr>
      </w:pPr>
    </w:p>
    <w:p w14:paraId="1F06C32B" w14:textId="77777777" w:rsidR="00632F41" w:rsidRPr="00832F8E" w:rsidRDefault="00632F41" w:rsidP="00632F41">
      <w:pPr>
        <w:pStyle w:val="ListParagraph"/>
        <w:jc w:val="both"/>
        <w:rPr>
          <w:b/>
          <w:bCs/>
          <w:color w:val="000000" w:themeColor="text1"/>
          <w:lang w:val="en-US"/>
        </w:rPr>
      </w:pPr>
    </w:p>
    <w:p w14:paraId="617A0576" w14:textId="77777777" w:rsidR="00632F41" w:rsidRPr="00832F8E" w:rsidRDefault="00632F41" w:rsidP="00632F41">
      <w:pPr>
        <w:pStyle w:val="ListParagraph"/>
        <w:jc w:val="both"/>
        <w:rPr>
          <w:b/>
          <w:bCs/>
          <w:lang w:val="en-US"/>
        </w:rPr>
      </w:pPr>
    </w:p>
    <w:p w14:paraId="7FEF9213" w14:textId="77777777" w:rsidR="00064F97" w:rsidRDefault="00064F97"/>
    <w:sectPr w:rsidR="00064F97" w:rsidSect="00DC0EE5">
      <w:footerReference w:type="default" r:id="rId7"/>
      <w:pgSz w:w="11900" w:h="16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61979" w14:textId="77777777" w:rsidR="003B0A1D" w:rsidRDefault="003B0A1D" w:rsidP="00064F97">
      <w:r>
        <w:separator/>
      </w:r>
    </w:p>
  </w:endnote>
  <w:endnote w:type="continuationSeparator" w:id="0">
    <w:p w14:paraId="4E7851D7" w14:textId="77777777" w:rsidR="003B0A1D" w:rsidRDefault="003B0A1D" w:rsidP="00064F97">
      <w:r>
        <w:continuationSeparator/>
      </w:r>
    </w:p>
  </w:endnote>
  <w:endnote w:type="continuationNotice" w:id="1">
    <w:p w14:paraId="3A04AFEF" w14:textId="77777777" w:rsidR="00D34FAB" w:rsidRDefault="00D34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BDA6" w14:textId="77FBD336" w:rsidR="003B0A1D" w:rsidRPr="00D124B7" w:rsidRDefault="00005B42" w:rsidP="00D124B7">
    <w:pPr>
      <w:pStyle w:val="Footer"/>
      <w:jc w:val="center"/>
      <w:rPr>
        <w:rFonts w:ascii="Arial" w:hAnsi="Arial" w:cs="Arial"/>
        <w:sz w:val="20"/>
        <w:szCs w:val="20"/>
      </w:rPr>
    </w:pPr>
    <w:r>
      <w:rPr>
        <w:rFonts w:ascii="Arial" w:hAnsi="Arial" w:cs="Arial"/>
        <w:sz w:val="20"/>
        <w:szCs w:val="20"/>
      </w:rPr>
      <w:t xml:space="preserve">ANNEX </w:t>
    </w:r>
    <w:r w:rsidR="00D124B7" w:rsidRPr="00D124B7">
      <w:rPr>
        <w:rFonts w:ascii="Arial" w:hAnsi="Arial" w:cs="Arial"/>
        <w:sz w:val="20"/>
        <w:szCs w:val="20"/>
      </w:rPr>
      <w:t xml:space="preserve">7A - </w:t>
    </w:r>
    <w:r w:rsidR="00D124B7" w:rsidRPr="00D124B7">
      <w:rPr>
        <w:rFonts w:ascii="Arial" w:hAnsi="Arial" w:cs="Arial"/>
        <w:sz w:val="20"/>
        <w:szCs w:val="20"/>
      </w:rPr>
      <w:fldChar w:fldCharType="begin"/>
    </w:r>
    <w:r w:rsidR="00D124B7" w:rsidRPr="00D124B7">
      <w:rPr>
        <w:rFonts w:ascii="Arial" w:hAnsi="Arial" w:cs="Arial"/>
        <w:sz w:val="20"/>
        <w:szCs w:val="20"/>
      </w:rPr>
      <w:instrText xml:space="preserve"> PAGE   \* MERGEFORMAT </w:instrText>
    </w:r>
    <w:r w:rsidR="00D124B7" w:rsidRPr="00D124B7">
      <w:rPr>
        <w:rFonts w:ascii="Arial" w:hAnsi="Arial" w:cs="Arial"/>
        <w:sz w:val="20"/>
        <w:szCs w:val="20"/>
      </w:rPr>
      <w:fldChar w:fldCharType="separate"/>
    </w:r>
    <w:r w:rsidR="00D124B7" w:rsidRPr="00D124B7">
      <w:rPr>
        <w:rFonts w:ascii="Arial" w:hAnsi="Arial" w:cs="Arial"/>
        <w:noProof/>
        <w:sz w:val="20"/>
        <w:szCs w:val="20"/>
      </w:rPr>
      <w:t>1</w:t>
    </w:r>
    <w:r w:rsidR="00D124B7" w:rsidRPr="00D124B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C19E" w14:textId="77777777" w:rsidR="003B0A1D" w:rsidRDefault="003B0A1D" w:rsidP="00064F97">
      <w:r>
        <w:separator/>
      </w:r>
    </w:p>
  </w:footnote>
  <w:footnote w:type="continuationSeparator" w:id="0">
    <w:p w14:paraId="1D0E70D6" w14:textId="77777777" w:rsidR="003B0A1D" w:rsidRDefault="003B0A1D" w:rsidP="00064F97">
      <w:r>
        <w:continuationSeparator/>
      </w:r>
    </w:p>
  </w:footnote>
  <w:footnote w:type="continuationNotice" w:id="1">
    <w:p w14:paraId="7BD2FE80" w14:textId="77777777" w:rsidR="00D34FAB" w:rsidRDefault="00D34FAB"/>
  </w:footnote>
  <w:footnote w:id="2">
    <w:p w14:paraId="6D82573B" w14:textId="77777777" w:rsidR="003B0A1D" w:rsidRPr="00DC0EE5" w:rsidRDefault="003B0A1D" w:rsidP="00DC0EE5">
      <w:pPr>
        <w:pStyle w:val="FootnoteText"/>
        <w:jc w:val="both"/>
        <w:rPr>
          <w:rFonts w:ascii="Arial" w:hAnsi="Arial" w:cs="Arial"/>
        </w:rPr>
      </w:pPr>
      <w:r w:rsidRPr="00DC0EE5">
        <w:rPr>
          <w:rStyle w:val="FootnoteReference"/>
          <w:rFonts w:ascii="Arial" w:hAnsi="Arial" w:cs="Arial"/>
        </w:rPr>
        <w:footnoteRef/>
      </w:r>
      <w:r w:rsidRPr="00DC0EE5">
        <w:rPr>
          <w:rFonts w:ascii="Arial" w:hAnsi="Arial" w:cs="Arial"/>
        </w:rPr>
        <w:t xml:space="preserve"> </w:t>
      </w:r>
      <w:proofErr w:type="gramStart"/>
      <w:r w:rsidRPr="00DC0EE5">
        <w:rPr>
          <w:rFonts w:ascii="Arial" w:hAnsi="Arial" w:cs="Arial"/>
        </w:rPr>
        <w:t>For the purpose of</w:t>
      </w:r>
      <w:proofErr w:type="gramEnd"/>
      <w:r w:rsidRPr="00DC0EE5">
        <w:rPr>
          <w:rFonts w:ascii="Arial" w:hAnsi="Arial" w:cs="Arial"/>
        </w:rPr>
        <w:t xml:space="preserve"> this Annex “Therapeutic Goods Regulator” means for Australia, the Therapeutic Goods Administration (TGA) of Australia, or its successor; and for India, the Central Drugs Standard Control Organisation (CDSCO), or its successor. </w:t>
      </w:r>
    </w:p>
  </w:footnote>
  <w:footnote w:id="3">
    <w:p w14:paraId="3C595F74" w14:textId="77777777" w:rsidR="003B0A1D" w:rsidRDefault="003B0A1D" w:rsidP="00DC0EE5">
      <w:pPr>
        <w:pStyle w:val="FootnoteText"/>
        <w:jc w:val="both"/>
      </w:pPr>
      <w:r w:rsidRPr="00DC0EE5">
        <w:rPr>
          <w:rStyle w:val="FootnoteReference"/>
          <w:rFonts w:ascii="Arial" w:hAnsi="Arial" w:cs="Arial"/>
        </w:rPr>
        <w:footnoteRef/>
      </w:r>
      <w:r w:rsidRPr="00DC0EE5">
        <w:rPr>
          <w:rFonts w:ascii="Arial" w:hAnsi="Arial" w:cs="Arial"/>
        </w:rPr>
        <w:t xml:space="preserve"> This is currently provided through the Comparable Overseas Regulators (CORs) pathway under the </w:t>
      </w:r>
      <w:r w:rsidRPr="00DC0EE5">
        <w:rPr>
          <w:rFonts w:ascii="Arial" w:hAnsi="Arial" w:cs="Arial"/>
          <w:i/>
        </w:rPr>
        <w:t xml:space="preserve">Therapeutic Goods Act 1989 </w:t>
      </w:r>
      <w:r w:rsidRPr="00DC0EE5">
        <w:rPr>
          <w:rFonts w:ascii="Arial" w:hAnsi="Arial" w:cs="Arial"/>
        </w:rPr>
        <w:t>(</w:t>
      </w:r>
      <w:proofErr w:type="spellStart"/>
      <w:r w:rsidRPr="00DC0EE5">
        <w:rPr>
          <w:rFonts w:ascii="Arial" w:hAnsi="Arial" w:cs="Arial"/>
        </w:rPr>
        <w:t>Cth</w:t>
      </w:r>
      <w:proofErr w:type="spellEnd"/>
      <w:r w:rsidRPr="00DC0EE5">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D7B59"/>
    <w:multiLevelType w:val="hybridMultilevel"/>
    <w:tmpl w:val="B9EC1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97"/>
    <w:rsid w:val="00005B42"/>
    <w:rsid w:val="00064F97"/>
    <w:rsid w:val="000E4041"/>
    <w:rsid w:val="00220265"/>
    <w:rsid w:val="00270947"/>
    <w:rsid w:val="002E7419"/>
    <w:rsid w:val="0032420C"/>
    <w:rsid w:val="003755F1"/>
    <w:rsid w:val="003B0A1D"/>
    <w:rsid w:val="003B3400"/>
    <w:rsid w:val="00632F41"/>
    <w:rsid w:val="00691BD8"/>
    <w:rsid w:val="006A48EE"/>
    <w:rsid w:val="006F512A"/>
    <w:rsid w:val="008376E7"/>
    <w:rsid w:val="00914D4A"/>
    <w:rsid w:val="00985E7F"/>
    <w:rsid w:val="009B645F"/>
    <w:rsid w:val="00A7240F"/>
    <w:rsid w:val="00B460DE"/>
    <w:rsid w:val="00BC1AD1"/>
    <w:rsid w:val="00C55B9C"/>
    <w:rsid w:val="00D124B7"/>
    <w:rsid w:val="00D34FAB"/>
    <w:rsid w:val="00DC0EE5"/>
    <w:rsid w:val="00F64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1D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97"/>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F97"/>
    <w:pPr>
      <w:tabs>
        <w:tab w:val="center" w:pos="4513"/>
        <w:tab w:val="right" w:pos="9026"/>
      </w:tabs>
    </w:pPr>
  </w:style>
  <w:style w:type="character" w:customStyle="1" w:styleId="HeaderChar">
    <w:name w:val="Header Char"/>
    <w:basedOn w:val="DefaultParagraphFont"/>
    <w:link w:val="Header"/>
    <w:uiPriority w:val="99"/>
    <w:rsid w:val="00064F97"/>
    <w:rPr>
      <w:sz w:val="24"/>
      <w:szCs w:val="24"/>
      <w:lang w:val="en-IN"/>
    </w:r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064F97"/>
    <w:pPr>
      <w:ind w:left="720"/>
      <w:contextualSpacing/>
    </w:pPr>
  </w:style>
  <w:style w:type="paragraph" w:styleId="FootnoteText">
    <w:name w:val="footnote text"/>
    <w:basedOn w:val="Normal"/>
    <w:link w:val="FootnoteTextChar"/>
    <w:uiPriority w:val="99"/>
    <w:semiHidden/>
    <w:unhideWhenUsed/>
    <w:rsid w:val="00064F97"/>
    <w:rPr>
      <w:sz w:val="20"/>
      <w:szCs w:val="20"/>
      <w:lang w:val="en-AU"/>
    </w:rPr>
  </w:style>
  <w:style w:type="character" w:customStyle="1" w:styleId="FootnoteTextChar">
    <w:name w:val="Footnote Text Char"/>
    <w:basedOn w:val="DefaultParagraphFont"/>
    <w:link w:val="FootnoteText"/>
    <w:uiPriority w:val="99"/>
    <w:semiHidden/>
    <w:rsid w:val="00064F97"/>
    <w:rPr>
      <w:sz w:val="20"/>
      <w:szCs w:val="20"/>
    </w:rPr>
  </w:style>
  <w:style w:type="character" w:styleId="FootnoteReference">
    <w:name w:val="footnote reference"/>
    <w:basedOn w:val="DefaultParagraphFont"/>
    <w:uiPriority w:val="99"/>
    <w:semiHidden/>
    <w:unhideWhenUsed/>
    <w:rsid w:val="00064F97"/>
    <w:rPr>
      <w:vertAlign w:val="superscript"/>
    </w:rPr>
  </w:style>
  <w:style w:type="character" w:styleId="Emphasis">
    <w:name w:val="Emphasis"/>
    <w:basedOn w:val="DefaultParagraphFont"/>
    <w:uiPriority w:val="20"/>
    <w:qFormat/>
    <w:rsid w:val="00064F97"/>
    <w:rPr>
      <w:i/>
      <w:iCs/>
    </w:rPr>
  </w:style>
  <w:style w:type="character" w:styleId="CommentReference">
    <w:name w:val="annotation reference"/>
    <w:basedOn w:val="DefaultParagraphFont"/>
    <w:uiPriority w:val="99"/>
    <w:semiHidden/>
    <w:unhideWhenUsed/>
    <w:rsid w:val="00064F97"/>
    <w:rPr>
      <w:sz w:val="16"/>
      <w:szCs w:val="16"/>
    </w:rPr>
  </w:style>
  <w:style w:type="paragraph" w:styleId="CommentText">
    <w:name w:val="annotation text"/>
    <w:basedOn w:val="Normal"/>
    <w:link w:val="CommentTextChar"/>
    <w:uiPriority w:val="99"/>
    <w:semiHidden/>
    <w:unhideWhenUsed/>
    <w:rsid w:val="00064F97"/>
    <w:rPr>
      <w:sz w:val="20"/>
      <w:szCs w:val="20"/>
    </w:rPr>
  </w:style>
  <w:style w:type="character" w:customStyle="1" w:styleId="CommentTextChar">
    <w:name w:val="Comment Text Char"/>
    <w:basedOn w:val="DefaultParagraphFont"/>
    <w:link w:val="CommentText"/>
    <w:uiPriority w:val="99"/>
    <w:semiHidden/>
    <w:rsid w:val="00064F97"/>
    <w:rPr>
      <w:sz w:val="20"/>
      <w:szCs w:val="20"/>
      <w:lang w:val="en-IN"/>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basedOn w:val="DefaultParagraphFont"/>
    <w:link w:val="ListParagraph"/>
    <w:uiPriority w:val="34"/>
    <w:locked/>
    <w:rsid w:val="00064F97"/>
    <w:rPr>
      <w:sz w:val="24"/>
      <w:szCs w:val="24"/>
      <w:lang w:val="en-IN"/>
    </w:rPr>
  </w:style>
  <w:style w:type="paragraph" w:styleId="Footer">
    <w:name w:val="footer"/>
    <w:basedOn w:val="Normal"/>
    <w:link w:val="FooterChar"/>
    <w:uiPriority w:val="99"/>
    <w:unhideWhenUsed/>
    <w:rsid w:val="009B645F"/>
    <w:pPr>
      <w:tabs>
        <w:tab w:val="center" w:pos="4513"/>
        <w:tab w:val="right" w:pos="9026"/>
      </w:tabs>
    </w:pPr>
  </w:style>
  <w:style w:type="character" w:customStyle="1" w:styleId="FooterChar">
    <w:name w:val="Footer Char"/>
    <w:basedOn w:val="DefaultParagraphFont"/>
    <w:link w:val="Footer"/>
    <w:uiPriority w:val="99"/>
    <w:rsid w:val="009B645F"/>
    <w:rPr>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1223</Characters>
  <Application>Microsoft Office Word</Application>
  <DocSecurity>0</DocSecurity>
  <Lines>34</Lines>
  <Paragraphs>6</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7A Pharmaceuticals</dc:title>
  <dc:subject/>
  <dc:creator/>
  <cp:keywords/>
  <dc:description/>
  <cp:lastModifiedBy/>
  <cp:revision>1</cp:revision>
  <dcterms:created xsi:type="dcterms:W3CDTF">2022-04-01T07:19:00Z</dcterms:created>
  <dcterms:modified xsi:type="dcterms:W3CDTF">2022-04-01T07:19:00Z</dcterms:modified>
  <cp:category/>
</cp:coreProperties>
</file>