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684C" w14:textId="596EFF11" w:rsidR="00E32BA4" w:rsidRPr="00530F1B" w:rsidRDefault="00E32BA4" w:rsidP="00DA0779">
      <w:pPr>
        <w:pStyle w:val="Heading1"/>
        <w:spacing w:before="0" w:after="0"/>
      </w:pPr>
      <w:r w:rsidRPr="00530F1B">
        <w:t xml:space="preserve">CHAPTER </w:t>
      </w:r>
      <w:r w:rsidR="007F421D">
        <w:t>7</w:t>
      </w:r>
      <w:r w:rsidR="001611FB">
        <w:br/>
      </w:r>
      <w:r w:rsidRPr="00530F1B">
        <w:t>TECHNICAL BARRIERS TO TRADE</w:t>
      </w:r>
    </w:p>
    <w:p w14:paraId="16D72406" w14:textId="017964F2" w:rsidR="00E32BA4" w:rsidRDefault="00E32BA4" w:rsidP="00027180">
      <w:pPr>
        <w:spacing w:after="0" w:line="240" w:lineRule="auto"/>
        <w:jc w:val="center"/>
        <w:rPr>
          <w:rFonts w:ascii="Arial" w:eastAsia="Times New Roman" w:hAnsi="Arial" w:cs="Arial"/>
          <w:b/>
          <w:bCs/>
          <w:sz w:val="24"/>
          <w:szCs w:val="24"/>
          <w:lang w:eastAsia="en-IN"/>
        </w:rPr>
      </w:pPr>
    </w:p>
    <w:p w14:paraId="75EE9577" w14:textId="536CB4CA" w:rsidR="004D60D2" w:rsidRPr="00530F1B" w:rsidRDefault="004D60D2" w:rsidP="00027180">
      <w:pPr>
        <w:spacing w:after="0" w:line="240" w:lineRule="auto"/>
        <w:jc w:val="center"/>
        <w:rPr>
          <w:rFonts w:ascii="Arial" w:eastAsia="Times New Roman" w:hAnsi="Arial" w:cs="Arial"/>
          <w:sz w:val="24"/>
          <w:szCs w:val="24"/>
          <w:lang w:eastAsia="en-IN"/>
        </w:rPr>
      </w:pPr>
    </w:p>
    <w:p w14:paraId="679BB164" w14:textId="694FE182" w:rsidR="00FE3D7B" w:rsidRPr="00530F1B" w:rsidRDefault="00FE3D7B" w:rsidP="00DA0779">
      <w:pPr>
        <w:pStyle w:val="Heading2"/>
      </w:pPr>
      <w:r w:rsidRPr="00530F1B">
        <w:t>A</w:t>
      </w:r>
      <w:r>
        <w:t>rticle</w:t>
      </w:r>
      <w:r w:rsidRPr="00530F1B">
        <w:t xml:space="preserve"> </w:t>
      </w:r>
      <w:r>
        <w:t>7</w:t>
      </w:r>
      <w:r w:rsidRPr="00530F1B">
        <w:t>.</w:t>
      </w:r>
      <w:r w:rsidR="0069635B">
        <w:t>1</w:t>
      </w:r>
      <w:r w:rsidR="001611FB">
        <w:br/>
      </w:r>
      <w:r>
        <w:t>Definitions</w:t>
      </w:r>
    </w:p>
    <w:p w14:paraId="5AF1390B" w14:textId="77777777" w:rsidR="00FE3D7B" w:rsidRPr="00530F1B" w:rsidRDefault="00FE3D7B" w:rsidP="00FE3D7B">
      <w:pPr>
        <w:spacing w:after="0" w:line="240" w:lineRule="auto"/>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3F687C05" w14:textId="08FBDAD0" w:rsidR="00FE3D7B" w:rsidRDefault="00FE3D7B" w:rsidP="009A4221">
      <w:pPr>
        <w:spacing w:after="0" w:line="240" w:lineRule="auto"/>
        <w:ind w:left="720"/>
        <w:jc w:val="both"/>
        <w:rPr>
          <w:rFonts w:ascii="Arial" w:eastAsia="Times New Roman" w:hAnsi="Arial" w:cs="Arial"/>
          <w:b/>
          <w:bCs/>
          <w:sz w:val="24"/>
          <w:szCs w:val="24"/>
          <w:lang w:eastAsia="en-IN"/>
        </w:rPr>
      </w:pPr>
      <w:r w:rsidRPr="00530F1B">
        <w:rPr>
          <w:rFonts w:ascii="Arial" w:eastAsia="Times New Roman" w:hAnsi="Arial" w:cs="Arial"/>
          <w:sz w:val="24"/>
          <w:szCs w:val="24"/>
          <w:lang w:eastAsia="en-IN"/>
        </w:rPr>
        <w:t>For the purposes of this Chapter, the terms and their definitions set out in Annex</w:t>
      </w:r>
      <w:r w:rsidR="00331E43">
        <w:rPr>
          <w:rFonts w:ascii="Arial" w:eastAsia="Times New Roman" w:hAnsi="Arial" w:cs="Arial"/>
          <w:sz w:val="24"/>
          <w:szCs w:val="24"/>
          <w:lang w:eastAsia="en-IN"/>
        </w:rPr>
        <w:t> </w:t>
      </w:r>
      <w:r w:rsidRPr="00530F1B">
        <w:rPr>
          <w:rFonts w:ascii="Arial" w:eastAsia="Times New Roman" w:hAnsi="Arial" w:cs="Arial"/>
          <w:sz w:val="24"/>
          <w:szCs w:val="24"/>
          <w:lang w:eastAsia="en-IN"/>
        </w:rPr>
        <w:t>1 of the TBT Agreement shall apply. </w:t>
      </w:r>
    </w:p>
    <w:p w14:paraId="6405F3D7" w14:textId="2085B0B6" w:rsidR="00FE3D7B" w:rsidRDefault="00FE3D7B" w:rsidP="00027180">
      <w:pPr>
        <w:spacing w:after="0" w:line="240" w:lineRule="auto"/>
        <w:jc w:val="center"/>
        <w:rPr>
          <w:rFonts w:ascii="Arial" w:eastAsia="Times New Roman" w:hAnsi="Arial" w:cs="Arial"/>
          <w:b/>
          <w:bCs/>
          <w:sz w:val="24"/>
          <w:szCs w:val="24"/>
          <w:lang w:eastAsia="en-IN"/>
        </w:rPr>
      </w:pPr>
    </w:p>
    <w:p w14:paraId="43D8FEB9" w14:textId="77777777" w:rsidR="00FE3D7B" w:rsidRDefault="00FE3D7B" w:rsidP="00027180">
      <w:pPr>
        <w:spacing w:after="0" w:line="240" w:lineRule="auto"/>
        <w:jc w:val="center"/>
        <w:rPr>
          <w:rFonts w:ascii="Arial" w:eastAsia="Times New Roman" w:hAnsi="Arial" w:cs="Arial"/>
          <w:b/>
          <w:bCs/>
          <w:sz w:val="24"/>
          <w:szCs w:val="24"/>
          <w:lang w:eastAsia="en-IN"/>
        </w:rPr>
      </w:pPr>
    </w:p>
    <w:p w14:paraId="568DA9AF" w14:textId="772E07C6" w:rsidR="00E32BA4" w:rsidRPr="00530F1B" w:rsidRDefault="0026556A" w:rsidP="00DA0779">
      <w:pPr>
        <w:pStyle w:val="Heading2"/>
      </w:pPr>
      <w:r w:rsidRPr="00762EC4">
        <w:t>A</w:t>
      </w:r>
      <w:r w:rsidR="00762EC4" w:rsidRPr="00D83A2F">
        <w:t>rticle</w:t>
      </w:r>
      <w:r w:rsidR="00810920">
        <w:t xml:space="preserve"> </w:t>
      </w:r>
      <w:r w:rsidR="00810920">
        <w:rPr>
          <w:caps/>
        </w:rPr>
        <w:t>7</w:t>
      </w:r>
      <w:r w:rsidR="00E32BA4" w:rsidRPr="00530F1B">
        <w:rPr>
          <w:caps/>
        </w:rPr>
        <w:t>.</w:t>
      </w:r>
      <w:r w:rsidR="0069635B">
        <w:rPr>
          <w:caps/>
        </w:rPr>
        <w:t>2</w:t>
      </w:r>
      <w:r w:rsidR="001611FB">
        <w:rPr>
          <w:caps/>
        </w:rPr>
        <w:br/>
      </w:r>
      <w:r w:rsidR="00E32BA4" w:rsidRPr="00530F1B">
        <w:t>O</w:t>
      </w:r>
      <w:r>
        <w:t>bjectives</w:t>
      </w:r>
    </w:p>
    <w:p w14:paraId="13B37E8F" w14:textId="032304AC" w:rsidR="00E32BA4" w:rsidRPr="00530F1B" w:rsidRDefault="00E32BA4" w:rsidP="00027180">
      <w:pPr>
        <w:spacing w:after="0" w:line="240" w:lineRule="auto"/>
        <w:jc w:val="center"/>
        <w:rPr>
          <w:rFonts w:ascii="Arial" w:eastAsia="Times New Roman" w:hAnsi="Arial" w:cs="Arial"/>
          <w:sz w:val="24"/>
          <w:szCs w:val="24"/>
          <w:lang w:eastAsia="en-IN"/>
        </w:rPr>
      </w:pPr>
    </w:p>
    <w:p w14:paraId="69A8FEC2" w14:textId="173EC023" w:rsidR="0026556A" w:rsidRPr="0026556A" w:rsidRDefault="00E32BA4" w:rsidP="00F47A79">
      <w:pPr>
        <w:spacing w:after="0" w:line="240" w:lineRule="auto"/>
        <w:ind w:left="720"/>
        <w:jc w:val="both"/>
        <w:rPr>
          <w:rFonts w:ascii="Arial" w:eastAsia="Times New Roman" w:hAnsi="Arial" w:cs="Arial"/>
          <w:sz w:val="24"/>
          <w:szCs w:val="24"/>
          <w:lang w:eastAsia="en-IN"/>
        </w:rPr>
      </w:pPr>
      <w:r w:rsidRPr="0026556A">
        <w:rPr>
          <w:rFonts w:ascii="Arial" w:eastAsia="Times New Roman" w:hAnsi="Arial" w:cs="Arial"/>
          <w:sz w:val="24"/>
          <w:szCs w:val="24"/>
          <w:lang w:eastAsia="en-IN"/>
        </w:rPr>
        <w:t>The objective</w:t>
      </w:r>
      <w:r w:rsidR="00784496" w:rsidRPr="0026556A">
        <w:rPr>
          <w:rFonts w:ascii="Arial" w:eastAsia="Times New Roman" w:hAnsi="Arial" w:cs="Arial"/>
          <w:sz w:val="24"/>
          <w:szCs w:val="24"/>
          <w:lang w:eastAsia="en-IN"/>
        </w:rPr>
        <w:t xml:space="preserve"> </w:t>
      </w:r>
      <w:r w:rsidRPr="0026556A">
        <w:rPr>
          <w:rFonts w:ascii="Arial" w:eastAsia="Times New Roman" w:hAnsi="Arial" w:cs="Arial"/>
          <w:sz w:val="24"/>
          <w:szCs w:val="24"/>
          <w:lang w:eastAsia="en-IN"/>
        </w:rPr>
        <w:t>of this Chapter</w:t>
      </w:r>
      <w:r w:rsidR="00E86047" w:rsidRPr="0026556A">
        <w:rPr>
          <w:rFonts w:ascii="Arial" w:eastAsia="Times New Roman" w:hAnsi="Arial" w:cs="Arial"/>
          <w:sz w:val="24"/>
          <w:szCs w:val="24"/>
          <w:lang w:eastAsia="en-IN"/>
        </w:rPr>
        <w:t xml:space="preserve"> is</w:t>
      </w:r>
      <w:r w:rsidRPr="0026556A">
        <w:rPr>
          <w:rFonts w:ascii="Arial" w:eastAsia="Times New Roman" w:hAnsi="Arial" w:cs="Arial"/>
          <w:sz w:val="24"/>
          <w:szCs w:val="24"/>
          <w:lang w:eastAsia="en-IN"/>
        </w:rPr>
        <w:t xml:space="preserve"> to facilitate trade in goods </w:t>
      </w:r>
      <w:r w:rsidR="00E86047" w:rsidRPr="0026556A">
        <w:rPr>
          <w:rFonts w:ascii="Arial" w:eastAsia="Times New Roman" w:hAnsi="Arial" w:cs="Arial"/>
          <w:sz w:val="24"/>
          <w:szCs w:val="24"/>
          <w:lang w:eastAsia="en-IN"/>
        </w:rPr>
        <w:t>between</w:t>
      </w:r>
      <w:r w:rsidR="00784496" w:rsidRPr="0026556A">
        <w:rPr>
          <w:rFonts w:ascii="Arial" w:eastAsia="Times New Roman" w:hAnsi="Arial" w:cs="Arial"/>
          <w:sz w:val="24"/>
          <w:szCs w:val="24"/>
          <w:lang w:eastAsia="en-IN"/>
        </w:rPr>
        <w:t xml:space="preserve"> </w:t>
      </w:r>
      <w:r w:rsidRPr="0026556A">
        <w:rPr>
          <w:rFonts w:ascii="Arial" w:eastAsia="Times New Roman" w:hAnsi="Arial" w:cs="Arial"/>
          <w:sz w:val="24"/>
          <w:szCs w:val="24"/>
          <w:lang w:eastAsia="en-IN"/>
        </w:rPr>
        <w:t>the Parties by:</w:t>
      </w:r>
    </w:p>
    <w:p w14:paraId="723D18FD" w14:textId="77777777" w:rsidR="0026556A" w:rsidRDefault="0026556A" w:rsidP="00F47A79">
      <w:pPr>
        <w:spacing w:after="0" w:line="240" w:lineRule="auto"/>
        <w:ind w:left="360" w:hanging="360"/>
        <w:jc w:val="both"/>
        <w:rPr>
          <w:rFonts w:ascii="Arial" w:eastAsia="Times New Roman" w:hAnsi="Arial" w:cs="Arial"/>
          <w:sz w:val="24"/>
          <w:szCs w:val="24"/>
          <w:lang w:eastAsia="en-IN"/>
        </w:rPr>
      </w:pPr>
    </w:p>
    <w:p w14:paraId="30BBAB2D" w14:textId="77777777" w:rsidR="0026556A" w:rsidRDefault="0026556A"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(a)</w:t>
      </w:r>
      <w:r>
        <w:rPr>
          <w:rFonts w:ascii="Arial" w:eastAsia="Times New Roman" w:hAnsi="Arial" w:cs="Arial"/>
          <w:sz w:val="24"/>
          <w:szCs w:val="24"/>
          <w:lang w:eastAsia="en-IN"/>
        </w:rPr>
        <w:tab/>
      </w:r>
      <w:r w:rsidR="00E32BA4" w:rsidRPr="001F73CF">
        <w:rPr>
          <w:rFonts w:ascii="Arial" w:eastAsia="Times New Roman" w:hAnsi="Arial" w:cs="Arial"/>
          <w:sz w:val="24"/>
          <w:szCs w:val="24"/>
          <w:lang w:eastAsia="en-IN"/>
        </w:rPr>
        <w:t xml:space="preserve">ensuring that standards, technical regulations, and conformity assessment procedures do not create unnecessary obstacles to international trade;  </w:t>
      </w:r>
    </w:p>
    <w:p w14:paraId="548BE4A3" w14:textId="77777777" w:rsidR="009E5423" w:rsidRDefault="009E5423" w:rsidP="00F47A79">
      <w:pPr>
        <w:spacing w:after="0" w:line="240" w:lineRule="auto"/>
        <w:ind w:left="1440" w:hanging="720"/>
        <w:jc w:val="both"/>
        <w:rPr>
          <w:rFonts w:ascii="Arial" w:eastAsia="Times New Roman" w:hAnsi="Arial" w:cs="Arial"/>
          <w:sz w:val="24"/>
          <w:szCs w:val="24"/>
          <w:lang w:eastAsia="en-IN"/>
        </w:rPr>
      </w:pPr>
    </w:p>
    <w:p w14:paraId="0FD1AF5A" w14:textId="7C834F73" w:rsidR="000B310E" w:rsidRPr="00784496" w:rsidRDefault="0026556A"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(b)</w:t>
      </w:r>
      <w:r>
        <w:rPr>
          <w:rFonts w:ascii="Arial" w:eastAsia="Times New Roman" w:hAnsi="Arial" w:cs="Arial"/>
          <w:sz w:val="24"/>
          <w:szCs w:val="24"/>
          <w:lang w:eastAsia="en-IN"/>
        </w:rPr>
        <w:tab/>
      </w:r>
      <w:r w:rsidR="00E32BA4" w:rsidRPr="001F73CF">
        <w:rPr>
          <w:rFonts w:ascii="Arial" w:eastAsia="Times New Roman" w:hAnsi="Arial" w:cs="Arial"/>
          <w:sz w:val="24"/>
          <w:szCs w:val="24"/>
          <w:lang w:eastAsia="en-IN"/>
        </w:rPr>
        <w:t>furthering cooperation o</w:t>
      </w:r>
      <w:r w:rsidR="00DE1B6A" w:rsidRPr="001F73CF">
        <w:rPr>
          <w:rFonts w:ascii="Arial" w:eastAsia="Times New Roman" w:hAnsi="Arial" w:cs="Arial"/>
          <w:sz w:val="24"/>
          <w:szCs w:val="24"/>
          <w:lang w:eastAsia="en-IN"/>
        </w:rPr>
        <w:t>n</w:t>
      </w:r>
      <w:r w:rsidR="00E32BA4" w:rsidRPr="001F73CF">
        <w:rPr>
          <w:rFonts w:ascii="Arial" w:eastAsia="Times New Roman" w:hAnsi="Arial" w:cs="Arial"/>
          <w:sz w:val="24"/>
          <w:szCs w:val="24"/>
          <w:lang w:eastAsia="en-IN"/>
        </w:rPr>
        <w:t xml:space="preserve"> </w:t>
      </w:r>
      <w:r w:rsidR="009F728E" w:rsidRPr="001F73CF">
        <w:rPr>
          <w:rFonts w:ascii="Arial" w:eastAsia="Times New Roman" w:hAnsi="Arial" w:cs="Arial"/>
          <w:sz w:val="24"/>
          <w:szCs w:val="24"/>
          <w:lang w:eastAsia="en-IN"/>
        </w:rPr>
        <w:t xml:space="preserve">matters related </w:t>
      </w:r>
      <w:r w:rsidR="009F728E" w:rsidRPr="00784496">
        <w:rPr>
          <w:rFonts w:ascii="Arial" w:eastAsia="Times New Roman" w:hAnsi="Arial" w:cs="Arial"/>
          <w:sz w:val="24"/>
          <w:szCs w:val="24"/>
          <w:lang w:eastAsia="en-IN"/>
        </w:rPr>
        <w:t>to</w:t>
      </w:r>
      <w:r w:rsidR="00CE458B" w:rsidRPr="00784496">
        <w:rPr>
          <w:rFonts w:ascii="Arial" w:eastAsia="Times New Roman" w:hAnsi="Arial" w:cs="Arial"/>
          <w:sz w:val="24"/>
          <w:szCs w:val="24"/>
          <w:lang w:eastAsia="en-IN"/>
        </w:rPr>
        <w:t xml:space="preserve"> the </w:t>
      </w:r>
      <w:r w:rsidR="00E32BA4" w:rsidRPr="00784496">
        <w:rPr>
          <w:rFonts w:ascii="Arial" w:eastAsia="Times New Roman" w:hAnsi="Arial" w:cs="Arial"/>
          <w:sz w:val="24"/>
          <w:szCs w:val="24"/>
          <w:lang w:eastAsia="en-IN"/>
        </w:rPr>
        <w:t>TBT Agreement</w:t>
      </w:r>
      <w:r w:rsidR="00784496" w:rsidRPr="00784496">
        <w:rPr>
          <w:rFonts w:ascii="Arial" w:eastAsia="Times New Roman" w:hAnsi="Arial" w:cs="Arial"/>
          <w:sz w:val="24"/>
          <w:szCs w:val="24"/>
          <w:lang w:eastAsia="en-IN"/>
        </w:rPr>
        <w:t>;</w:t>
      </w:r>
    </w:p>
    <w:p w14:paraId="497549E8" w14:textId="77777777" w:rsidR="009E5423" w:rsidRDefault="009E5423" w:rsidP="00F47A79">
      <w:pPr>
        <w:spacing w:after="0" w:line="240" w:lineRule="auto"/>
        <w:ind w:left="1440" w:hanging="720"/>
        <w:jc w:val="both"/>
        <w:rPr>
          <w:rFonts w:ascii="Arial" w:eastAsia="Times New Roman" w:hAnsi="Arial" w:cs="Arial"/>
          <w:sz w:val="24"/>
          <w:szCs w:val="24"/>
          <w:lang w:eastAsia="en-IN"/>
        </w:rPr>
      </w:pPr>
    </w:p>
    <w:p w14:paraId="1BDD2274" w14:textId="15CF36C8" w:rsidR="0026556A" w:rsidRDefault="0026556A"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(c)</w:t>
      </w:r>
      <w:r>
        <w:rPr>
          <w:rFonts w:ascii="Arial" w:eastAsia="Times New Roman" w:hAnsi="Arial" w:cs="Arial"/>
          <w:sz w:val="24"/>
          <w:szCs w:val="24"/>
          <w:lang w:eastAsia="en-IN"/>
        </w:rPr>
        <w:tab/>
      </w:r>
      <w:r w:rsidR="00E32BA4" w:rsidRPr="001F73CF">
        <w:rPr>
          <w:rFonts w:ascii="Arial" w:eastAsia="Times New Roman" w:hAnsi="Arial" w:cs="Arial"/>
          <w:sz w:val="24"/>
          <w:szCs w:val="24"/>
          <w:lang w:eastAsia="en-IN"/>
        </w:rPr>
        <w:t>promoting mutual understanding of each Party’s standards, technical regulations, and conformity assessment procedures and enhancing transparency;</w:t>
      </w:r>
      <w:r w:rsidR="00562E71" w:rsidRPr="001F73CF">
        <w:rPr>
          <w:rFonts w:ascii="Arial" w:eastAsia="Times New Roman" w:hAnsi="Arial" w:cs="Arial"/>
          <w:sz w:val="24"/>
          <w:szCs w:val="24"/>
          <w:lang w:eastAsia="en-IN"/>
        </w:rPr>
        <w:t xml:space="preserve"> </w:t>
      </w:r>
    </w:p>
    <w:p w14:paraId="49319DE6" w14:textId="77777777" w:rsidR="009E5423" w:rsidRDefault="009E5423" w:rsidP="00F47A79">
      <w:pPr>
        <w:spacing w:after="0" w:line="240" w:lineRule="auto"/>
        <w:ind w:left="1440" w:hanging="720"/>
        <w:jc w:val="both"/>
        <w:rPr>
          <w:rFonts w:ascii="Arial" w:eastAsia="Times New Roman" w:hAnsi="Arial" w:cs="Arial"/>
          <w:sz w:val="24"/>
          <w:szCs w:val="24"/>
          <w:lang w:eastAsia="en-IN"/>
        </w:rPr>
      </w:pPr>
    </w:p>
    <w:p w14:paraId="64E884F6" w14:textId="33A12C6A" w:rsidR="000B310E" w:rsidRPr="00784496" w:rsidRDefault="0026556A"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(d)</w:t>
      </w:r>
      <w:r>
        <w:rPr>
          <w:rFonts w:ascii="Arial" w:eastAsia="Times New Roman" w:hAnsi="Arial" w:cs="Arial"/>
          <w:sz w:val="24"/>
          <w:szCs w:val="24"/>
          <w:lang w:eastAsia="en-IN"/>
        </w:rPr>
        <w:tab/>
      </w:r>
      <w:r w:rsidR="00784496">
        <w:rPr>
          <w:rFonts w:ascii="Arial" w:eastAsia="Times New Roman" w:hAnsi="Arial" w:cs="Arial"/>
          <w:sz w:val="24"/>
          <w:szCs w:val="24"/>
          <w:lang w:eastAsia="en-IN"/>
        </w:rPr>
        <w:t>f</w:t>
      </w:r>
      <w:r w:rsidR="00E32BA4" w:rsidRPr="001F73CF">
        <w:rPr>
          <w:rFonts w:ascii="Arial" w:eastAsia="Times New Roman" w:hAnsi="Arial" w:cs="Arial"/>
          <w:sz w:val="24"/>
          <w:szCs w:val="24"/>
          <w:lang w:eastAsia="en-IN"/>
        </w:rPr>
        <w:t>acilitating information</w:t>
      </w:r>
      <w:r w:rsidR="00E32BA4" w:rsidRPr="00530F1B">
        <w:rPr>
          <w:rFonts w:ascii="Arial" w:eastAsia="Times New Roman" w:hAnsi="Arial" w:cs="Arial"/>
          <w:sz w:val="24"/>
          <w:szCs w:val="24"/>
          <w:lang w:eastAsia="en-IN"/>
        </w:rPr>
        <w:t xml:space="preserve"> exchange and cooperation among the Parties in the field of standards, technical regulations and conformity assessment procedures including in the work of </w:t>
      </w:r>
      <w:r w:rsidR="00E32BA4" w:rsidRPr="00784496">
        <w:rPr>
          <w:rFonts w:ascii="Arial" w:eastAsia="Times New Roman" w:hAnsi="Arial" w:cs="Arial"/>
          <w:sz w:val="24"/>
          <w:szCs w:val="24"/>
          <w:lang w:eastAsia="en-IN"/>
        </w:rPr>
        <w:t>relevant</w:t>
      </w:r>
      <w:r w:rsidR="00401E11" w:rsidRPr="00784496">
        <w:rPr>
          <w:rFonts w:ascii="Arial" w:eastAsia="Times New Roman" w:hAnsi="Arial" w:cs="Arial"/>
          <w:sz w:val="24"/>
          <w:szCs w:val="24"/>
          <w:lang w:eastAsia="en-IN"/>
        </w:rPr>
        <w:t xml:space="preserve"> regional</w:t>
      </w:r>
      <w:r w:rsidR="00784496" w:rsidRPr="00784496">
        <w:rPr>
          <w:rFonts w:ascii="Arial" w:eastAsia="Times New Roman" w:hAnsi="Arial" w:cs="Arial"/>
          <w:sz w:val="24"/>
          <w:szCs w:val="24"/>
          <w:lang w:eastAsia="en-IN"/>
        </w:rPr>
        <w:t xml:space="preserve"> and</w:t>
      </w:r>
      <w:r w:rsidR="00401E11" w:rsidRPr="00784496">
        <w:rPr>
          <w:rFonts w:ascii="Arial" w:eastAsia="Times New Roman" w:hAnsi="Arial" w:cs="Arial"/>
          <w:sz w:val="24"/>
          <w:szCs w:val="24"/>
          <w:lang w:eastAsia="en-IN"/>
        </w:rPr>
        <w:t xml:space="preserve"> </w:t>
      </w:r>
      <w:r w:rsidR="00E32BA4" w:rsidRPr="00784496">
        <w:rPr>
          <w:rFonts w:ascii="Arial" w:eastAsia="Times New Roman" w:hAnsi="Arial" w:cs="Arial"/>
          <w:sz w:val="24"/>
          <w:szCs w:val="24"/>
          <w:lang w:eastAsia="en-IN"/>
        </w:rPr>
        <w:t>international bodies; and</w:t>
      </w:r>
    </w:p>
    <w:p w14:paraId="3B46FC59" w14:textId="77777777" w:rsidR="009E5423" w:rsidRDefault="009E5423" w:rsidP="00F47A79">
      <w:pPr>
        <w:spacing w:after="0" w:line="240" w:lineRule="auto"/>
        <w:ind w:left="720"/>
        <w:jc w:val="both"/>
        <w:rPr>
          <w:rFonts w:ascii="Arial" w:eastAsia="Times New Roman" w:hAnsi="Arial" w:cs="Arial"/>
          <w:sz w:val="24"/>
          <w:szCs w:val="24"/>
          <w:lang w:eastAsia="en-IN"/>
        </w:rPr>
      </w:pPr>
    </w:p>
    <w:p w14:paraId="5DE77743" w14:textId="0F834DA9" w:rsidR="00E32BA4" w:rsidRPr="00530F1B" w:rsidRDefault="0026556A" w:rsidP="00F47A79">
      <w:pPr>
        <w:spacing w:after="0" w:line="24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(e)</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addressing the issues that may arise under this Chapter.</w:t>
      </w:r>
    </w:p>
    <w:p w14:paraId="17D433BA" w14:textId="77777777" w:rsidR="002B4308" w:rsidRDefault="002B4308" w:rsidP="00F47A79">
      <w:pPr>
        <w:spacing w:after="0" w:line="240" w:lineRule="auto"/>
        <w:ind w:left="720"/>
        <w:jc w:val="both"/>
        <w:rPr>
          <w:rFonts w:ascii="Arial" w:eastAsia="Times New Roman" w:hAnsi="Arial" w:cs="Arial"/>
          <w:caps/>
          <w:sz w:val="24"/>
          <w:szCs w:val="24"/>
          <w:lang w:eastAsia="en-IN"/>
        </w:rPr>
      </w:pPr>
    </w:p>
    <w:p w14:paraId="5FF6BDEE" w14:textId="77777777" w:rsidR="001611FB" w:rsidRDefault="001611FB" w:rsidP="00F47A79">
      <w:pPr>
        <w:spacing w:after="0" w:line="240" w:lineRule="auto"/>
        <w:ind w:left="720"/>
        <w:jc w:val="both"/>
        <w:rPr>
          <w:rFonts w:ascii="Arial" w:eastAsia="Times New Roman" w:hAnsi="Arial" w:cs="Arial"/>
          <w:caps/>
          <w:sz w:val="24"/>
          <w:szCs w:val="24"/>
          <w:lang w:eastAsia="en-IN"/>
        </w:rPr>
      </w:pPr>
    </w:p>
    <w:p w14:paraId="1BA088B4" w14:textId="39A1328F" w:rsidR="00E32BA4" w:rsidRPr="00530F1B" w:rsidRDefault="00E32BA4" w:rsidP="00DA0779">
      <w:pPr>
        <w:pStyle w:val="Heading2"/>
      </w:pPr>
      <w:r w:rsidRPr="00530F1B">
        <w:t>A</w:t>
      </w:r>
      <w:r w:rsidR="00810920">
        <w:t>rticle 7</w:t>
      </w:r>
      <w:r w:rsidRPr="00530F1B">
        <w:t>.3</w:t>
      </w:r>
      <w:r w:rsidR="001611FB">
        <w:br/>
      </w:r>
      <w:r w:rsidR="00C11354">
        <w:t>Scope</w:t>
      </w:r>
    </w:p>
    <w:p w14:paraId="10909D8C" w14:textId="77777777" w:rsidR="00A409E0" w:rsidRDefault="00A409E0" w:rsidP="00F47A79">
      <w:pPr>
        <w:spacing w:after="0" w:line="240" w:lineRule="auto"/>
        <w:jc w:val="both"/>
        <w:rPr>
          <w:rFonts w:ascii="Arial" w:eastAsia="Times New Roman" w:hAnsi="Arial" w:cs="Arial"/>
          <w:sz w:val="24"/>
          <w:szCs w:val="24"/>
          <w:lang w:eastAsia="en-IN"/>
        </w:rPr>
      </w:pPr>
    </w:p>
    <w:p w14:paraId="36A9FC6B" w14:textId="6FE4D6F0" w:rsidR="009D009D" w:rsidRDefault="00A409E0"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1.</w:t>
      </w:r>
      <w:r>
        <w:rPr>
          <w:rFonts w:ascii="Arial" w:eastAsia="Times New Roman" w:hAnsi="Arial" w:cs="Arial"/>
          <w:sz w:val="24"/>
          <w:szCs w:val="24"/>
          <w:lang w:eastAsia="en-IN"/>
        </w:rPr>
        <w:tab/>
      </w:r>
      <w:r w:rsidR="00E32BA4" w:rsidRPr="00B206C5">
        <w:rPr>
          <w:rFonts w:ascii="Arial" w:eastAsia="Times New Roman" w:hAnsi="Arial" w:cs="Arial"/>
          <w:sz w:val="24"/>
          <w:szCs w:val="24"/>
          <w:lang w:eastAsia="en-IN"/>
        </w:rPr>
        <w:t xml:space="preserve">This Chapter shall apply to standards, technical regulations and conformity assessment </w:t>
      </w:r>
      <w:r w:rsidR="00E32BA4" w:rsidRPr="00186D94">
        <w:rPr>
          <w:rFonts w:ascii="Arial" w:eastAsia="Times New Roman" w:hAnsi="Arial" w:cs="Arial"/>
          <w:sz w:val="24"/>
          <w:szCs w:val="24"/>
          <w:lang w:eastAsia="en-IN"/>
        </w:rPr>
        <w:t xml:space="preserve">procedures </w:t>
      </w:r>
      <w:r w:rsidR="00562E71" w:rsidRPr="006E1A6C">
        <w:rPr>
          <w:rFonts w:ascii="Arial" w:eastAsia="Times New Roman" w:hAnsi="Arial" w:cs="Arial"/>
          <w:sz w:val="24"/>
          <w:szCs w:val="24"/>
          <w:lang w:eastAsia="en-IN"/>
        </w:rPr>
        <w:t>at the central level of government</w:t>
      </w:r>
      <w:r w:rsidR="00562E71" w:rsidRPr="00656167">
        <w:rPr>
          <w:rFonts w:ascii="Arial" w:eastAsia="Times New Roman" w:hAnsi="Arial" w:cs="Arial"/>
          <w:sz w:val="24"/>
          <w:szCs w:val="24"/>
          <w:lang w:eastAsia="en-IN"/>
        </w:rPr>
        <w:t xml:space="preserve"> </w:t>
      </w:r>
      <w:r w:rsidR="00E32BA4" w:rsidRPr="00186D94">
        <w:rPr>
          <w:rFonts w:ascii="Arial" w:eastAsia="Times New Roman" w:hAnsi="Arial" w:cs="Arial"/>
          <w:sz w:val="24"/>
          <w:szCs w:val="24"/>
          <w:lang w:eastAsia="en-IN"/>
        </w:rPr>
        <w:t>that</w:t>
      </w:r>
      <w:r w:rsidR="00E32BA4" w:rsidRPr="00B206C5">
        <w:rPr>
          <w:rFonts w:ascii="Arial" w:eastAsia="Times New Roman" w:hAnsi="Arial" w:cs="Arial"/>
          <w:sz w:val="24"/>
          <w:szCs w:val="24"/>
          <w:lang w:eastAsia="en-IN"/>
        </w:rPr>
        <w:t xml:space="preserve"> may affect trade in goods between the Parties. </w:t>
      </w:r>
    </w:p>
    <w:p w14:paraId="4A31F6E2" w14:textId="77777777" w:rsidR="00324C35" w:rsidRPr="00530F1B" w:rsidRDefault="00324C35" w:rsidP="00F47A79">
      <w:pPr>
        <w:spacing w:after="0" w:line="240" w:lineRule="auto"/>
        <w:ind w:left="360"/>
        <w:jc w:val="both"/>
        <w:rPr>
          <w:rFonts w:ascii="Arial" w:eastAsia="Times New Roman" w:hAnsi="Arial" w:cs="Arial"/>
          <w:sz w:val="24"/>
          <w:szCs w:val="24"/>
          <w:lang w:eastAsia="en-IN"/>
        </w:rPr>
      </w:pPr>
    </w:p>
    <w:p w14:paraId="621487FC" w14:textId="410D2420" w:rsidR="00716615" w:rsidRPr="008E63E5" w:rsidRDefault="00716615" w:rsidP="00F47A79">
      <w:pPr>
        <w:spacing w:after="0" w:line="240" w:lineRule="auto"/>
        <w:ind w:left="720" w:hanging="720"/>
        <w:jc w:val="both"/>
        <w:rPr>
          <w:rFonts w:ascii="Arial" w:hAnsi="Arial" w:cs="Arial"/>
          <w:sz w:val="24"/>
          <w:szCs w:val="24"/>
        </w:rPr>
      </w:pPr>
      <w:r w:rsidRPr="008E63E5">
        <w:rPr>
          <w:rFonts w:ascii="Arial" w:hAnsi="Arial" w:cs="Arial"/>
          <w:sz w:val="24"/>
          <w:szCs w:val="24"/>
        </w:rPr>
        <w:t>2.</w:t>
      </w:r>
      <w:r w:rsidRPr="00EB3C87">
        <w:rPr>
          <w:rFonts w:ascii="Arial" w:hAnsi="Arial" w:cs="Arial"/>
          <w:color w:val="ED7D31" w:themeColor="accent2"/>
          <w:sz w:val="24"/>
          <w:szCs w:val="24"/>
        </w:rPr>
        <w:tab/>
      </w:r>
      <w:r w:rsidRPr="008E63E5">
        <w:rPr>
          <w:rFonts w:ascii="Arial" w:hAnsi="Arial" w:cs="Arial"/>
          <w:sz w:val="24"/>
          <w:szCs w:val="24"/>
        </w:rPr>
        <w:t>Each Party shall take such reasonable measures as may be available to it to ensure compliance, in the implementation of this Chapter, by local government bodies and non-governmental bodies within its territory which are responsible for the preparation, adoption, and application of standards, technical regulations, and conformity assessment procedures.</w:t>
      </w:r>
      <w:r w:rsidR="009D6BE5" w:rsidRPr="008E63E5">
        <w:rPr>
          <w:rFonts w:ascii="Arial" w:hAnsi="Arial" w:cs="Arial"/>
          <w:sz w:val="24"/>
          <w:szCs w:val="24"/>
        </w:rPr>
        <w:t xml:space="preserve"> </w:t>
      </w:r>
    </w:p>
    <w:p w14:paraId="535AA187" w14:textId="56F39ADF" w:rsidR="009D6BE5" w:rsidRDefault="009D6BE5" w:rsidP="00F47A79">
      <w:pPr>
        <w:spacing w:after="0" w:line="240" w:lineRule="auto"/>
        <w:ind w:left="720" w:hanging="720"/>
        <w:jc w:val="both"/>
        <w:rPr>
          <w:rFonts w:ascii="Arial" w:hAnsi="Arial" w:cs="Arial"/>
          <w:color w:val="ED7D31" w:themeColor="accent2"/>
          <w:sz w:val="24"/>
          <w:szCs w:val="24"/>
        </w:rPr>
      </w:pPr>
    </w:p>
    <w:p w14:paraId="772EB550" w14:textId="36DF7F05" w:rsidR="005E54F7" w:rsidRPr="00EB3C87" w:rsidRDefault="00392522" w:rsidP="00F47A79">
      <w:pPr>
        <w:spacing w:after="0" w:line="240" w:lineRule="auto"/>
        <w:ind w:left="720" w:hanging="720"/>
        <w:jc w:val="both"/>
      </w:pPr>
      <w:r w:rsidRPr="008E63E5">
        <w:rPr>
          <w:rFonts w:ascii="Arial" w:hAnsi="Arial" w:cs="Arial"/>
          <w:sz w:val="24"/>
          <w:szCs w:val="24"/>
        </w:rPr>
        <w:t>3.</w:t>
      </w:r>
      <w:r w:rsidR="009D6BE5" w:rsidRPr="008E63E5">
        <w:rPr>
          <w:rFonts w:ascii="Arial" w:hAnsi="Arial" w:cs="Arial"/>
          <w:sz w:val="24"/>
          <w:szCs w:val="24"/>
        </w:rPr>
        <w:t xml:space="preserve"> </w:t>
      </w:r>
      <w:r w:rsidRPr="00EB3C87">
        <w:rPr>
          <w:rFonts w:ascii="Arial" w:hAnsi="Arial" w:cs="Arial"/>
          <w:color w:val="ED7D31" w:themeColor="accent2"/>
          <w:sz w:val="24"/>
          <w:szCs w:val="24"/>
        </w:rPr>
        <w:tab/>
      </w:r>
      <w:r w:rsidRPr="008E63E5">
        <w:rPr>
          <w:rFonts w:ascii="Arial" w:hAnsi="Arial" w:cs="Arial"/>
          <w:sz w:val="24"/>
          <w:szCs w:val="24"/>
        </w:rPr>
        <w:t xml:space="preserve">Nothing in this Chapter shall prevent a Party from preparing, adopting, applying, or maintaining standards, technical regulations, and conformity </w:t>
      </w:r>
      <w:r w:rsidRPr="008E63E5">
        <w:rPr>
          <w:rFonts w:ascii="Arial" w:hAnsi="Arial" w:cs="Arial"/>
          <w:sz w:val="24"/>
          <w:szCs w:val="24"/>
        </w:rPr>
        <w:lastRenderedPageBreak/>
        <w:t>assessment procedures in a manner consistent with the TBT Agreement and this Chapter.</w:t>
      </w:r>
      <w:r w:rsidR="005E54F7" w:rsidRPr="00EB3C87">
        <w:rPr>
          <w:rFonts w:ascii="Arial" w:hAnsi="Arial" w:cs="Arial"/>
          <w:color w:val="4472C4"/>
          <w:sz w:val="24"/>
          <w:szCs w:val="24"/>
        </w:rPr>
        <w:t xml:space="preserve"> </w:t>
      </w:r>
    </w:p>
    <w:p w14:paraId="31DDDE98" w14:textId="77777777" w:rsidR="00871D7A" w:rsidRDefault="00871D7A" w:rsidP="00F47A79">
      <w:pPr>
        <w:spacing w:after="0" w:line="240" w:lineRule="auto"/>
        <w:jc w:val="both"/>
        <w:rPr>
          <w:rFonts w:ascii="Arial" w:eastAsia="Times New Roman" w:hAnsi="Arial" w:cs="Arial"/>
          <w:sz w:val="24"/>
          <w:szCs w:val="24"/>
          <w:lang w:eastAsia="en-IN"/>
        </w:rPr>
      </w:pPr>
    </w:p>
    <w:p w14:paraId="378F439F" w14:textId="69368468" w:rsidR="00A409E0" w:rsidRPr="00E04BC0" w:rsidRDefault="005E54F7" w:rsidP="00F47A79">
      <w:p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4</w:t>
      </w:r>
      <w:r w:rsidR="00A409E0">
        <w:rPr>
          <w:rFonts w:ascii="Arial" w:eastAsia="Times New Roman" w:hAnsi="Arial" w:cs="Arial"/>
          <w:sz w:val="24"/>
          <w:szCs w:val="24"/>
          <w:lang w:eastAsia="en-IN"/>
        </w:rPr>
        <w:t>.</w:t>
      </w:r>
      <w:r w:rsidR="00A409E0">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The Chapter shall not apply to:</w:t>
      </w:r>
    </w:p>
    <w:p w14:paraId="54FA7366" w14:textId="77777777" w:rsidR="00871D7A" w:rsidRDefault="00871D7A" w:rsidP="00F47A79">
      <w:pPr>
        <w:spacing w:after="0" w:line="240" w:lineRule="auto"/>
        <w:ind w:left="1440" w:hanging="720"/>
        <w:jc w:val="both"/>
        <w:rPr>
          <w:rFonts w:ascii="Arial" w:eastAsia="Times New Roman" w:hAnsi="Arial" w:cs="Arial"/>
          <w:sz w:val="24"/>
          <w:szCs w:val="24"/>
          <w:lang w:eastAsia="en-IN"/>
        </w:rPr>
      </w:pPr>
    </w:p>
    <w:p w14:paraId="4BFE4279" w14:textId="29866555" w:rsidR="00E32BA4" w:rsidRPr="00E04BC0" w:rsidRDefault="00E04BC0" w:rsidP="00F47A79">
      <w:pPr>
        <w:spacing w:after="0" w:line="240" w:lineRule="auto"/>
        <w:ind w:left="1440" w:hanging="720"/>
        <w:jc w:val="both"/>
        <w:rPr>
          <w:rFonts w:ascii="Arial" w:eastAsia="Times New Roman" w:hAnsi="Arial" w:cs="Arial"/>
          <w:sz w:val="24"/>
          <w:szCs w:val="24"/>
          <w:lang w:eastAsia="en-IN"/>
        </w:rPr>
      </w:pPr>
      <w:r w:rsidRPr="00E04BC0">
        <w:rPr>
          <w:rFonts w:ascii="Arial" w:eastAsia="Times New Roman" w:hAnsi="Arial" w:cs="Arial"/>
          <w:sz w:val="24"/>
          <w:szCs w:val="24"/>
          <w:lang w:eastAsia="en-IN"/>
        </w:rPr>
        <w:t>(a)</w:t>
      </w:r>
      <w:r w:rsidRPr="00E04BC0">
        <w:rPr>
          <w:rFonts w:ascii="Arial" w:eastAsia="Times New Roman" w:hAnsi="Arial" w:cs="Arial"/>
          <w:sz w:val="24"/>
          <w:szCs w:val="24"/>
          <w:lang w:eastAsia="en-IN"/>
        </w:rPr>
        <w:tab/>
      </w:r>
      <w:r w:rsidR="00871D7A">
        <w:rPr>
          <w:rFonts w:ascii="Arial" w:eastAsia="Times New Roman" w:hAnsi="Arial" w:cs="Arial"/>
          <w:sz w:val="24"/>
          <w:szCs w:val="24"/>
          <w:lang w:eastAsia="en-IN"/>
        </w:rPr>
        <w:t>s</w:t>
      </w:r>
      <w:r w:rsidR="009D009D" w:rsidRPr="00E04BC0">
        <w:rPr>
          <w:rFonts w:ascii="Arial" w:eastAsia="Times New Roman" w:hAnsi="Arial" w:cs="Arial"/>
          <w:sz w:val="24"/>
          <w:szCs w:val="24"/>
          <w:lang w:eastAsia="en-IN"/>
        </w:rPr>
        <w:t>anitary and phytosanitary</w:t>
      </w:r>
      <w:r w:rsidR="00E32BA4" w:rsidRPr="00E04BC0">
        <w:rPr>
          <w:rFonts w:ascii="Arial" w:eastAsia="Times New Roman" w:hAnsi="Arial" w:cs="Arial"/>
          <w:sz w:val="24"/>
          <w:szCs w:val="24"/>
          <w:lang w:eastAsia="en-IN"/>
        </w:rPr>
        <w:t xml:space="preserve"> measures which are covered in Chapter </w:t>
      </w:r>
      <w:r w:rsidR="009502BF">
        <w:rPr>
          <w:rFonts w:ascii="Arial" w:eastAsia="Times New Roman" w:hAnsi="Arial" w:cs="Arial"/>
          <w:sz w:val="24"/>
          <w:szCs w:val="24"/>
          <w:lang w:eastAsia="en-IN"/>
        </w:rPr>
        <w:t>6</w:t>
      </w:r>
      <w:r w:rsidR="00E32BA4" w:rsidRPr="00E04BC0">
        <w:rPr>
          <w:rFonts w:ascii="Arial" w:eastAsia="Times New Roman" w:hAnsi="Arial" w:cs="Arial"/>
          <w:sz w:val="24"/>
          <w:szCs w:val="24"/>
          <w:lang w:eastAsia="en-IN"/>
        </w:rPr>
        <w:t xml:space="preserve"> </w:t>
      </w:r>
      <w:r w:rsidR="00E24439">
        <w:rPr>
          <w:rFonts w:ascii="Arial" w:eastAsia="Times New Roman" w:hAnsi="Arial" w:cs="Arial"/>
          <w:sz w:val="24"/>
          <w:szCs w:val="24"/>
          <w:lang w:eastAsia="en-IN"/>
        </w:rPr>
        <w:t>(Sanitary and Phyto</w:t>
      </w:r>
      <w:r w:rsidR="00A77B40">
        <w:rPr>
          <w:rFonts w:ascii="Arial" w:eastAsia="Times New Roman" w:hAnsi="Arial" w:cs="Arial"/>
          <w:sz w:val="24"/>
          <w:szCs w:val="24"/>
          <w:lang w:eastAsia="en-IN"/>
        </w:rPr>
        <w:t>sanitary Measures)</w:t>
      </w:r>
      <w:r w:rsidR="00E32BA4" w:rsidRPr="00E04BC0">
        <w:rPr>
          <w:rFonts w:ascii="Arial" w:eastAsia="Times New Roman" w:hAnsi="Arial" w:cs="Arial"/>
          <w:sz w:val="24"/>
          <w:szCs w:val="24"/>
          <w:lang w:eastAsia="en-IN"/>
        </w:rPr>
        <w:t>; and</w:t>
      </w:r>
    </w:p>
    <w:p w14:paraId="0FDBF266" w14:textId="77777777" w:rsidR="00871D7A" w:rsidRDefault="00871D7A" w:rsidP="00F47A79">
      <w:pPr>
        <w:spacing w:after="0" w:line="240" w:lineRule="auto"/>
        <w:ind w:left="1440" w:hanging="720"/>
        <w:jc w:val="both"/>
        <w:rPr>
          <w:rFonts w:ascii="Arial" w:eastAsia="Times New Roman" w:hAnsi="Arial" w:cs="Arial"/>
          <w:sz w:val="24"/>
          <w:szCs w:val="24"/>
          <w:lang w:eastAsia="en-IN"/>
        </w:rPr>
      </w:pPr>
    </w:p>
    <w:p w14:paraId="7448FBB6" w14:textId="2729F655" w:rsidR="00E32BA4" w:rsidRDefault="00A409E0" w:rsidP="00F47A79">
      <w:pPr>
        <w:spacing w:after="0" w:line="240" w:lineRule="auto"/>
        <w:ind w:left="1440" w:hanging="720"/>
        <w:jc w:val="both"/>
        <w:rPr>
          <w:rFonts w:ascii="Arial" w:eastAsia="Times New Roman" w:hAnsi="Arial" w:cs="Arial"/>
          <w:sz w:val="24"/>
          <w:szCs w:val="24"/>
          <w:lang w:eastAsia="en-IN"/>
        </w:rPr>
      </w:pPr>
      <w:r w:rsidRPr="00E04BC0">
        <w:rPr>
          <w:rFonts w:ascii="Arial" w:eastAsia="Times New Roman" w:hAnsi="Arial" w:cs="Arial"/>
          <w:sz w:val="24"/>
          <w:szCs w:val="24"/>
          <w:lang w:eastAsia="en-IN"/>
        </w:rPr>
        <w:t>(b)</w:t>
      </w:r>
      <w:r w:rsidRPr="00E04BC0">
        <w:rPr>
          <w:rFonts w:ascii="Arial" w:eastAsia="Times New Roman" w:hAnsi="Arial" w:cs="Arial"/>
          <w:sz w:val="24"/>
          <w:szCs w:val="24"/>
          <w:lang w:eastAsia="en-IN"/>
        </w:rPr>
        <w:tab/>
      </w:r>
      <w:r w:rsidR="00E32BA4" w:rsidRPr="00E04BC0">
        <w:rPr>
          <w:rFonts w:ascii="Arial" w:eastAsia="Times New Roman" w:hAnsi="Arial" w:cs="Arial"/>
          <w:sz w:val="24"/>
          <w:szCs w:val="24"/>
          <w:lang w:eastAsia="en-IN"/>
        </w:rPr>
        <w:t xml:space="preserve">purchasing specifications prepared by governmental bodies for production or consumption requirements of </w:t>
      </w:r>
      <w:r w:rsidR="009D009D" w:rsidRPr="00E04BC0">
        <w:rPr>
          <w:rFonts w:ascii="Arial" w:eastAsia="Times New Roman" w:hAnsi="Arial" w:cs="Arial"/>
          <w:sz w:val="24"/>
          <w:szCs w:val="24"/>
          <w:lang w:eastAsia="en-IN"/>
        </w:rPr>
        <w:t>such</w:t>
      </w:r>
      <w:r w:rsidR="00E32BA4" w:rsidRPr="00E04BC0">
        <w:rPr>
          <w:rFonts w:ascii="Arial" w:eastAsia="Times New Roman" w:hAnsi="Arial" w:cs="Arial"/>
          <w:sz w:val="24"/>
          <w:szCs w:val="24"/>
          <w:lang w:eastAsia="en-IN"/>
        </w:rPr>
        <w:t xml:space="preserve"> bodies. </w:t>
      </w:r>
    </w:p>
    <w:p w14:paraId="3FF474EA" w14:textId="03EEEC87" w:rsidR="00222E72" w:rsidRDefault="00222E72" w:rsidP="00F47A79">
      <w:pPr>
        <w:spacing w:after="0" w:line="240" w:lineRule="auto"/>
        <w:ind w:left="1440" w:hanging="720"/>
        <w:jc w:val="both"/>
        <w:rPr>
          <w:rFonts w:ascii="Arial" w:eastAsia="Times New Roman" w:hAnsi="Arial" w:cs="Arial"/>
          <w:sz w:val="24"/>
          <w:szCs w:val="24"/>
          <w:lang w:eastAsia="en-IN"/>
        </w:rPr>
      </w:pPr>
    </w:p>
    <w:p w14:paraId="7FF4B6BA" w14:textId="77777777" w:rsidR="00871D7A" w:rsidRDefault="00871D7A" w:rsidP="00F47A79">
      <w:pPr>
        <w:spacing w:after="0" w:line="240" w:lineRule="auto"/>
        <w:ind w:left="1440" w:hanging="720"/>
        <w:jc w:val="both"/>
        <w:rPr>
          <w:rFonts w:ascii="Arial" w:eastAsia="Times New Roman" w:hAnsi="Arial" w:cs="Arial"/>
          <w:sz w:val="24"/>
          <w:szCs w:val="24"/>
          <w:lang w:eastAsia="en-IN"/>
        </w:rPr>
      </w:pPr>
    </w:p>
    <w:p w14:paraId="6783D37B" w14:textId="74D2A007" w:rsidR="00890032" w:rsidRPr="00530F1B" w:rsidRDefault="00890032" w:rsidP="00DA0779">
      <w:pPr>
        <w:pStyle w:val="Heading2"/>
      </w:pPr>
      <w:r w:rsidRPr="00530F1B">
        <w:t>A</w:t>
      </w:r>
      <w:r w:rsidR="006E24DA">
        <w:t>rticle 7</w:t>
      </w:r>
      <w:r w:rsidRPr="00530F1B">
        <w:t>.4</w:t>
      </w:r>
      <w:r w:rsidR="001611FB">
        <w:br/>
      </w:r>
      <w:r w:rsidR="009D009D" w:rsidRPr="008E63E5">
        <w:t>A</w:t>
      </w:r>
      <w:r w:rsidR="00023D64" w:rsidRPr="008E63E5">
        <w:t xml:space="preserve">ffirmation </w:t>
      </w:r>
      <w:r w:rsidR="00C11354" w:rsidRPr="00023D64">
        <w:t>of the TBT Agreement</w:t>
      </w:r>
    </w:p>
    <w:p w14:paraId="5A2ED86B" w14:textId="77777777" w:rsidR="00A409E0" w:rsidRDefault="00A409E0" w:rsidP="00F47A79">
      <w:pPr>
        <w:spacing w:after="0" w:line="240" w:lineRule="auto"/>
        <w:jc w:val="both"/>
        <w:rPr>
          <w:rFonts w:ascii="Arial" w:eastAsia="Times New Roman" w:hAnsi="Arial" w:cs="Arial"/>
          <w:sz w:val="24"/>
          <w:szCs w:val="24"/>
          <w:lang w:eastAsia="en-IN"/>
        </w:rPr>
      </w:pPr>
    </w:p>
    <w:p w14:paraId="7950EC18" w14:textId="0DB19C7C" w:rsidR="000D6D39" w:rsidRPr="00E35087" w:rsidRDefault="00890032" w:rsidP="009D47F0">
      <w:pPr>
        <w:spacing w:after="0" w:line="240" w:lineRule="auto"/>
        <w:ind w:firstLine="720"/>
        <w:jc w:val="both"/>
        <w:rPr>
          <w:rFonts w:ascii="Verdana" w:eastAsia="Times New Roman" w:hAnsi="Verdana" w:cs="Calibri"/>
          <w:b/>
          <w:lang w:eastAsia="en-IN"/>
        </w:rPr>
      </w:pPr>
      <w:r w:rsidRPr="00530F1B">
        <w:rPr>
          <w:rFonts w:ascii="Arial" w:eastAsia="Times New Roman" w:hAnsi="Arial" w:cs="Arial"/>
          <w:sz w:val="24"/>
          <w:szCs w:val="24"/>
          <w:lang w:eastAsia="en-IN"/>
        </w:rPr>
        <w:t>Each Party affirms its rights and obligations under the TBT Agreement</w:t>
      </w:r>
      <w:r w:rsidR="00E507CF">
        <w:rPr>
          <w:rFonts w:ascii="Arial" w:eastAsia="Times New Roman" w:hAnsi="Arial" w:cs="Arial"/>
          <w:sz w:val="24"/>
          <w:szCs w:val="24"/>
          <w:lang w:eastAsia="en-IN"/>
        </w:rPr>
        <w:t>.</w:t>
      </w:r>
    </w:p>
    <w:p w14:paraId="7E476999" w14:textId="6A5D3D3B" w:rsidR="00EC2B47" w:rsidRDefault="00EC2B47" w:rsidP="00F47A79">
      <w:pPr>
        <w:spacing w:after="0" w:line="240" w:lineRule="auto"/>
        <w:jc w:val="both"/>
        <w:rPr>
          <w:rFonts w:ascii="Arial" w:eastAsia="Times New Roman" w:hAnsi="Arial" w:cs="Arial"/>
          <w:b/>
          <w:bCs/>
          <w:sz w:val="24"/>
          <w:szCs w:val="24"/>
          <w:lang w:eastAsia="en-IN"/>
        </w:rPr>
      </w:pPr>
    </w:p>
    <w:p w14:paraId="2F777699" w14:textId="77777777" w:rsidR="00871D7A" w:rsidRPr="00530F1B" w:rsidRDefault="00871D7A" w:rsidP="00F47A79">
      <w:pPr>
        <w:spacing w:after="0" w:line="240" w:lineRule="auto"/>
        <w:jc w:val="both"/>
        <w:rPr>
          <w:rFonts w:ascii="Arial" w:eastAsia="Times New Roman" w:hAnsi="Arial" w:cs="Arial"/>
          <w:b/>
          <w:bCs/>
          <w:sz w:val="24"/>
          <w:szCs w:val="24"/>
          <w:lang w:eastAsia="en-IN"/>
        </w:rPr>
      </w:pPr>
    </w:p>
    <w:p w14:paraId="14AB06A6" w14:textId="2B627A83" w:rsidR="00E32BA4" w:rsidRPr="00530F1B" w:rsidRDefault="00E32BA4" w:rsidP="00DA0779">
      <w:pPr>
        <w:pStyle w:val="Heading2"/>
      </w:pPr>
      <w:r w:rsidRPr="00530F1B">
        <w:t>A</w:t>
      </w:r>
      <w:r w:rsidR="006E24DA">
        <w:t>rticle 7</w:t>
      </w:r>
      <w:r w:rsidRPr="00530F1B">
        <w:t>.</w:t>
      </w:r>
      <w:r w:rsidR="00890032" w:rsidRPr="00530F1B">
        <w:t>5</w:t>
      </w:r>
      <w:r w:rsidR="001611FB">
        <w:br/>
      </w:r>
      <w:r w:rsidR="00C11354">
        <w:t>Standards</w:t>
      </w:r>
    </w:p>
    <w:p w14:paraId="002ACFB9" w14:textId="77777777" w:rsidR="00E32BA4" w:rsidRPr="00530F1B" w:rsidRDefault="00E32BA4" w:rsidP="00F47A79">
      <w:pPr>
        <w:spacing w:after="0" w:line="240" w:lineRule="auto"/>
        <w:ind w:left="452"/>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056F8F47" w14:textId="0BB31A0E" w:rsidR="00E32BA4" w:rsidRPr="009E0065" w:rsidRDefault="00A409E0"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1.</w:t>
      </w:r>
      <w:r>
        <w:rPr>
          <w:rFonts w:ascii="Arial" w:eastAsia="Times New Roman" w:hAnsi="Arial" w:cs="Arial"/>
          <w:sz w:val="24"/>
          <w:szCs w:val="24"/>
          <w:lang w:eastAsia="en-IN"/>
        </w:rPr>
        <w:tab/>
      </w:r>
      <w:bookmarkStart w:id="0" w:name="_Hlk98242350"/>
      <w:r w:rsidR="00E32BA4" w:rsidRPr="009E0065">
        <w:rPr>
          <w:rFonts w:ascii="Arial" w:eastAsia="Times New Roman" w:hAnsi="Arial" w:cs="Arial"/>
          <w:sz w:val="24"/>
          <w:szCs w:val="24"/>
          <w:lang w:eastAsia="en-IN"/>
        </w:rPr>
        <w:t xml:space="preserve">In </w:t>
      </w:r>
      <w:r w:rsidR="00E32BA4" w:rsidRPr="00F55ED9">
        <w:rPr>
          <w:rFonts w:ascii="Arial" w:eastAsia="Times New Roman" w:hAnsi="Arial" w:cs="Arial"/>
          <w:sz w:val="24"/>
          <w:szCs w:val="24"/>
          <w:lang w:eastAsia="en-IN"/>
        </w:rPr>
        <w:t xml:space="preserve">determining whether an </w:t>
      </w:r>
      <w:r w:rsidR="00AC4B7E" w:rsidRPr="00F55ED9">
        <w:rPr>
          <w:rFonts w:ascii="Arial" w:eastAsia="Times New Roman" w:hAnsi="Arial" w:cs="Arial"/>
          <w:sz w:val="24"/>
          <w:szCs w:val="24"/>
          <w:lang w:eastAsia="en-IN"/>
        </w:rPr>
        <w:t>i</w:t>
      </w:r>
      <w:r w:rsidR="00E32BA4" w:rsidRPr="00F55ED9">
        <w:rPr>
          <w:rFonts w:ascii="Arial" w:eastAsia="Times New Roman" w:hAnsi="Arial" w:cs="Arial"/>
          <w:sz w:val="24"/>
          <w:szCs w:val="24"/>
          <w:lang w:eastAsia="en-IN"/>
        </w:rPr>
        <w:t>nternational standard, guide, or recommendation within the meaning of Articles 2 and 5 and Annex 3 of the TBT Agreement</w:t>
      </w:r>
      <w:r w:rsidR="005217AC" w:rsidRPr="00F55ED9">
        <w:rPr>
          <w:rFonts w:ascii="Arial" w:eastAsia="Times New Roman" w:hAnsi="Arial" w:cs="Arial"/>
          <w:sz w:val="24"/>
          <w:szCs w:val="24"/>
          <w:lang w:eastAsia="en-IN"/>
        </w:rPr>
        <w:t xml:space="preserve"> exists</w:t>
      </w:r>
      <w:r w:rsidR="00E32BA4" w:rsidRPr="00F55ED9">
        <w:rPr>
          <w:rFonts w:ascii="Arial" w:eastAsia="Times New Roman" w:hAnsi="Arial" w:cs="Arial"/>
          <w:sz w:val="24"/>
          <w:szCs w:val="24"/>
          <w:lang w:eastAsia="en-IN"/>
        </w:rPr>
        <w:t xml:space="preserve">, each Party shall </w:t>
      </w:r>
      <w:r w:rsidR="00953BE5" w:rsidRPr="00F55ED9">
        <w:rPr>
          <w:rFonts w:ascii="Arial" w:eastAsia="Times New Roman" w:hAnsi="Arial" w:cs="Arial"/>
          <w:sz w:val="24"/>
          <w:szCs w:val="24"/>
          <w:lang w:eastAsia="en-IN"/>
        </w:rPr>
        <w:t>apply</w:t>
      </w:r>
      <w:r w:rsidR="00E32BA4" w:rsidRPr="00F55ED9">
        <w:rPr>
          <w:rFonts w:ascii="Arial" w:eastAsia="Times New Roman" w:hAnsi="Arial" w:cs="Arial"/>
          <w:sz w:val="24"/>
          <w:szCs w:val="24"/>
          <w:lang w:eastAsia="en-IN"/>
        </w:rPr>
        <w:t xml:space="preserve"> the principles set out</w:t>
      </w:r>
      <w:r w:rsidR="00CE2597" w:rsidRPr="00F55ED9">
        <w:rPr>
          <w:rFonts w:ascii="Arial" w:eastAsia="Times New Roman" w:hAnsi="Arial" w:cs="Arial"/>
          <w:sz w:val="24"/>
          <w:szCs w:val="24"/>
          <w:lang w:eastAsia="en-IN"/>
        </w:rPr>
        <w:t xml:space="preserve"> in</w:t>
      </w:r>
      <w:r w:rsidR="00E32BA4" w:rsidRPr="00F55ED9">
        <w:rPr>
          <w:rFonts w:ascii="Arial" w:eastAsia="Times New Roman" w:hAnsi="Arial" w:cs="Arial"/>
          <w:sz w:val="24"/>
          <w:szCs w:val="24"/>
          <w:lang w:eastAsia="en-IN"/>
        </w:rPr>
        <w:t xml:space="preserve"> </w:t>
      </w:r>
      <w:r w:rsidR="00953BE5" w:rsidRPr="00F55ED9">
        <w:rPr>
          <w:rFonts w:ascii="Arial" w:eastAsia="Times New Roman" w:hAnsi="Arial" w:cs="Arial"/>
          <w:sz w:val="24"/>
          <w:szCs w:val="24"/>
          <w:lang w:eastAsia="en-IN"/>
        </w:rPr>
        <w:t xml:space="preserve">the </w:t>
      </w:r>
      <w:r w:rsidR="00E32BA4" w:rsidRPr="00F55ED9">
        <w:rPr>
          <w:rFonts w:ascii="Arial" w:eastAsia="Times New Roman" w:hAnsi="Arial" w:cs="Arial"/>
          <w:i/>
          <w:iCs/>
          <w:sz w:val="24"/>
          <w:szCs w:val="24"/>
          <w:lang w:eastAsia="en-IN"/>
        </w:rPr>
        <w:t>Decision</w:t>
      </w:r>
      <w:r w:rsidR="00BB744E" w:rsidRPr="00F55ED9">
        <w:rPr>
          <w:rFonts w:ascii="Arial" w:eastAsia="Times New Roman" w:hAnsi="Arial" w:cs="Arial"/>
          <w:i/>
          <w:iCs/>
          <w:sz w:val="24"/>
          <w:szCs w:val="24"/>
          <w:lang w:eastAsia="en-IN"/>
        </w:rPr>
        <w:t xml:space="preserve"> of the Committee</w:t>
      </w:r>
      <w:r w:rsidR="00E32BA4" w:rsidRPr="00F55ED9">
        <w:rPr>
          <w:rFonts w:ascii="Arial" w:eastAsia="Times New Roman" w:hAnsi="Arial" w:cs="Arial"/>
          <w:i/>
          <w:iCs/>
          <w:sz w:val="24"/>
          <w:szCs w:val="24"/>
          <w:lang w:eastAsia="en-IN"/>
        </w:rPr>
        <w:t xml:space="preserve"> on Principles for the Development of International Standards, Guides and Recommendations with relation to Article</w:t>
      </w:r>
      <w:r w:rsidR="00953BE5" w:rsidRPr="00F55ED9">
        <w:rPr>
          <w:rFonts w:ascii="Arial" w:eastAsia="Times New Roman" w:hAnsi="Arial" w:cs="Arial"/>
          <w:i/>
          <w:iCs/>
          <w:sz w:val="24"/>
          <w:szCs w:val="24"/>
          <w:lang w:eastAsia="en-IN"/>
        </w:rPr>
        <w:t>s</w:t>
      </w:r>
      <w:r w:rsidR="00E32BA4" w:rsidRPr="00F55ED9">
        <w:rPr>
          <w:rFonts w:ascii="Arial" w:eastAsia="Times New Roman" w:hAnsi="Arial" w:cs="Arial"/>
          <w:i/>
          <w:iCs/>
          <w:sz w:val="24"/>
          <w:szCs w:val="24"/>
          <w:lang w:eastAsia="en-IN"/>
        </w:rPr>
        <w:t xml:space="preserve"> 2, 5 and Annex 3 of the TBT </w:t>
      </w:r>
      <w:r w:rsidR="00953BE5" w:rsidRPr="009E0065">
        <w:rPr>
          <w:rFonts w:ascii="Arial" w:eastAsia="Times New Roman" w:hAnsi="Arial" w:cs="Arial"/>
          <w:i/>
          <w:iCs/>
          <w:sz w:val="24"/>
          <w:szCs w:val="24"/>
          <w:lang w:eastAsia="en-IN"/>
        </w:rPr>
        <w:t>A</w:t>
      </w:r>
      <w:r w:rsidR="00E32BA4" w:rsidRPr="009E0065">
        <w:rPr>
          <w:rFonts w:ascii="Arial" w:eastAsia="Times New Roman" w:hAnsi="Arial" w:cs="Arial"/>
          <w:i/>
          <w:iCs/>
          <w:sz w:val="24"/>
          <w:szCs w:val="24"/>
          <w:lang w:eastAsia="en-IN"/>
        </w:rPr>
        <w:t>greement</w:t>
      </w:r>
      <w:r w:rsidR="00953BE5" w:rsidRPr="009E0065">
        <w:rPr>
          <w:rFonts w:ascii="Arial" w:eastAsia="Times New Roman" w:hAnsi="Arial" w:cs="Arial"/>
          <w:i/>
          <w:iCs/>
          <w:sz w:val="24"/>
          <w:szCs w:val="24"/>
          <w:lang w:eastAsia="en-IN"/>
        </w:rPr>
        <w:t xml:space="preserve"> </w:t>
      </w:r>
      <w:r w:rsidR="00953BE5" w:rsidRPr="008E63E5">
        <w:rPr>
          <w:rFonts w:ascii="Arial" w:eastAsia="Times New Roman" w:hAnsi="Arial" w:cs="Arial"/>
          <w:sz w:val="24"/>
          <w:szCs w:val="24"/>
          <w:lang w:eastAsia="en-IN"/>
        </w:rPr>
        <w:t>(G/TBT/9, 13 November 2000, Annex 4)</w:t>
      </w:r>
      <w:r w:rsidR="009E0065">
        <w:rPr>
          <w:rFonts w:ascii="Arial" w:eastAsia="Times New Roman" w:hAnsi="Arial" w:cs="Arial"/>
          <w:i/>
          <w:iCs/>
          <w:sz w:val="24"/>
          <w:szCs w:val="24"/>
          <w:lang w:eastAsia="en-IN"/>
        </w:rPr>
        <w:t>.</w:t>
      </w:r>
    </w:p>
    <w:bookmarkEnd w:id="0"/>
    <w:p w14:paraId="54D5C4D1" w14:textId="77777777" w:rsidR="00F2420E" w:rsidRPr="00530F1B" w:rsidRDefault="00F2420E" w:rsidP="00F47A79">
      <w:pPr>
        <w:spacing w:after="0" w:line="240" w:lineRule="auto"/>
        <w:ind w:left="360"/>
        <w:jc w:val="both"/>
        <w:rPr>
          <w:rFonts w:ascii="Arial" w:eastAsia="Times New Roman" w:hAnsi="Arial" w:cs="Arial"/>
          <w:sz w:val="24"/>
          <w:szCs w:val="24"/>
          <w:lang w:eastAsia="en-IN"/>
        </w:rPr>
      </w:pPr>
    </w:p>
    <w:p w14:paraId="3BB19898" w14:textId="18302117" w:rsidR="00E32BA4" w:rsidRPr="00086C0A" w:rsidRDefault="00027180"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2</w:t>
      </w:r>
      <w:r w:rsidR="00A409E0">
        <w:rPr>
          <w:rFonts w:ascii="Arial" w:eastAsia="Times New Roman" w:hAnsi="Arial" w:cs="Arial"/>
          <w:sz w:val="24"/>
          <w:szCs w:val="24"/>
          <w:lang w:eastAsia="en-IN"/>
        </w:rPr>
        <w:t>.</w:t>
      </w:r>
      <w:r w:rsidR="00A409E0">
        <w:rPr>
          <w:rFonts w:ascii="Arial" w:eastAsia="Times New Roman" w:hAnsi="Arial" w:cs="Arial"/>
          <w:sz w:val="24"/>
          <w:szCs w:val="24"/>
          <w:lang w:eastAsia="en-IN"/>
        </w:rPr>
        <w:tab/>
      </w:r>
      <w:r w:rsidR="00E32BA4" w:rsidRPr="00086C0A">
        <w:rPr>
          <w:rFonts w:ascii="Arial" w:eastAsia="Times New Roman" w:hAnsi="Arial" w:cs="Arial"/>
          <w:sz w:val="24"/>
          <w:szCs w:val="24"/>
          <w:lang w:eastAsia="en-IN"/>
        </w:rPr>
        <w:t xml:space="preserve">Whenever modifications of contents </w:t>
      </w:r>
      <w:r w:rsidR="009E0065">
        <w:rPr>
          <w:rFonts w:ascii="Arial" w:eastAsia="Times New Roman" w:hAnsi="Arial" w:cs="Arial"/>
          <w:sz w:val="24"/>
          <w:szCs w:val="24"/>
          <w:lang w:eastAsia="en-IN"/>
        </w:rPr>
        <w:t>or</w:t>
      </w:r>
      <w:r w:rsidR="00E32BA4" w:rsidRPr="00086C0A">
        <w:rPr>
          <w:rFonts w:ascii="Arial" w:eastAsia="Times New Roman" w:hAnsi="Arial" w:cs="Arial"/>
          <w:sz w:val="24"/>
          <w:szCs w:val="24"/>
          <w:lang w:eastAsia="en-IN"/>
        </w:rPr>
        <w:t xml:space="preserve"> structure of the relevant </w:t>
      </w:r>
      <w:r w:rsidR="00425F4E">
        <w:rPr>
          <w:rFonts w:ascii="Arial" w:eastAsia="Times New Roman" w:hAnsi="Arial" w:cs="Arial"/>
          <w:sz w:val="24"/>
          <w:szCs w:val="24"/>
          <w:lang w:eastAsia="en-IN"/>
        </w:rPr>
        <w:t>i</w:t>
      </w:r>
      <w:r w:rsidR="00E32BA4" w:rsidRPr="00086C0A">
        <w:rPr>
          <w:rFonts w:ascii="Arial" w:eastAsia="Times New Roman" w:hAnsi="Arial" w:cs="Arial"/>
          <w:sz w:val="24"/>
          <w:szCs w:val="24"/>
          <w:lang w:eastAsia="en-IN"/>
        </w:rPr>
        <w:t>nternational standards are necessary in developing national standards, upon request of</w:t>
      </w:r>
      <w:r w:rsidR="00E32BA4" w:rsidRPr="00086C0A" w:rsidDel="00210653">
        <w:rPr>
          <w:rFonts w:ascii="Arial" w:eastAsia="Times New Roman" w:hAnsi="Arial" w:cs="Arial"/>
          <w:sz w:val="24"/>
          <w:szCs w:val="24"/>
          <w:lang w:eastAsia="en-IN"/>
        </w:rPr>
        <w:t xml:space="preserve"> </w:t>
      </w:r>
      <w:r w:rsidR="00210653">
        <w:rPr>
          <w:rFonts w:ascii="Arial" w:eastAsia="Times New Roman" w:hAnsi="Arial" w:cs="Arial"/>
          <w:sz w:val="24"/>
          <w:szCs w:val="24"/>
          <w:lang w:eastAsia="en-IN"/>
        </w:rPr>
        <w:t>a</w:t>
      </w:r>
      <w:r w:rsidR="00E32BA4" w:rsidRPr="00086C0A">
        <w:rPr>
          <w:rFonts w:ascii="Arial" w:eastAsia="Times New Roman" w:hAnsi="Arial" w:cs="Arial"/>
          <w:sz w:val="24"/>
          <w:szCs w:val="24"/>
          <w:lang w:eastAsia="en-IN"/>
        </w:rPr>
        <w:t xml:space="preserve"> Party, </w:t>
      </w:r>
      <w:r w:rsidR="00622613">
        <w:rPr>
          <w:rFonts w:ascii="Arial" w:eastAsia="Times New Roman" w:hAnsi="Arial" w:cs="Arial"/>
          <w:sz w:val="24"/>
          <w:szCs w:val="24"/>
          <w:lang w:eastAsia="en-IN"/>
        </w:rPr>
        <w:t>the other</w:t>
      </w:r>
      <w:r w:rsidR="00F478C0">
        <w:rPr>
          <w:rFonts w:ascii="Arial" w:eastAsia="Times New Roman" w:hAnsi="Arial" w:cs="Arial"/>
          <w:sz w:val="24"/>
          <w:szCs w:val="24"/>
          <w:lang w:eastAsia="en-IN"/>
        </w:rPr>
        <w:t xml:space="preserve"> Party</w:t>
      </w:r>
      <w:r w:rsidR="00F478C0" w:rsidRPr="00086C0A">
        <w:rPr>
          <w:rFonts w:ascii="Arial" w:eastAsia="Times New Roman" w:hAnsi="Arial" w:cs="Arial"/>
          <w:sz w:val="24"/>
          <w:szCs w:val="24"/>
          <w:lang w:eastAsia="en-IN"/>
        </w:rPr>
        <w:t xml:space="preserve"> </w:t>
      </w:r>
      <w:r w:rsidR="00E32BA4" w:rsidRPr="00086C0A">
        <w:rPr>
          <w:rFonts w:ascii="Arial" w:eastAsia="Times New Roman" w:hAnsi="Arial" w:cs="Arial"/>
          <w:sz w:val="24"/>
          <w:szCs w:val="24"/>
          <w:lang w:eastAsia="en-IN"/>
        </w:rPr>
        <w:t xml:space="preserve">shall encourage </w:t>
      </w:r>
      <w:r w:rsidR="000000AE">
        <w:rPr>
          <w:rFonts w:ascii="Arial" w:eastAsia="Times New Roman" w:hAnsi="Arial" w:cs="Arial"/>
          <w:sz w:val="24"/>
          <w:szCs w:val="24"/>
          <w:lang w:eastAsia="en-IN"/>
        </w:rPr>
        <w:t>its</w:t>
      </w:r>
      <w:r w:rsidR="000000AE" w:rsidRPr="00086C0A">
        <w:rPr>
          <w:rFonts w:ascii="Arial" w:eastAsia="Times New Roman" w:hAnsi="Arial" w:cs="Arial"/>
          <w:sz w:val="24"/>
          <w:szCs w:val="24"/>
          <w:lang w:eastAsia="en-IN"/>
        </w:rPr>
        <w:t xml:space="preserve"> </w:t>
      </w:r>
      <w:r w:rsidR="006618CA" w:rsidRPr="00086C0A">
        <w:rPr>
          <w:rFonts w:ascii="Arial" w:eastAsia="Times New Roman" w:hAnsi="Arial" w:cs="Arial"/>
          <w:sz w:val="24"/>
          <w:szCs w:val="24"/>
          <w:lang w:eastAsia="en-IN"/>
        </w:rPr>
        <w:t>standardi</w:t>
      </w:r>
      <w:r w:rsidR="006618CA">
        <w:rPr>
          <w:rFonts w:ascii="Arial" w:eastAsia="Times New Roman" w:hAnsi="Arial" w:cs="Arial"/>
          <w:sz w:val="24"/>
          <w:szCs w:val="24"/>
          <w:lang w:eastAsia="en-IN"/>
        </w:rPr>
        <w:t>s</w:t>
      </w:r>
      <w:r w:rsidR="006618CA" w:rsidRPr="00086C0A">
        <w:rPr>
          <w:rFonts w:ascii="Arial" w:eastAsia="Times New Roman" w:hAnsi="Arial" w:cs="Arial"/>
          <w:sz w:val="24"/>
          <w:szCs w:val="24"/>
          <w:lang w:eastAsia="en-IN"/>
        </w:rPr>
        <w:t xml:space="preserve">ing </w:t>
      </w:r>
      <w:r w:rsidR="00E32BA4" w:rsidRPr="00086C0A">
        <w:rPr>
          <w:rFonts w:ascii="Arial" w:eastAsia="Times New Roman" w:hAnsi="Arial" w:cs="Arial"/>
          <w:sz w:val="24"/>
          <w:szCs w:val="24"/>
          <w:lang w:eastAsia="en-IN"/>
        </w:rPr>
        <w:t>bodies to provide the differences in the contents and structure and reasons for those differences in English</w:t>
      </w:r>
      <w:r w:rsidR="00086C0A">
        <w:rPr>
          <w:rFonts w:ascii="Arial" w:eastAsia="Times New Roman" w:hAnsi="Arial" w:cs="Arial"/>
          <w:sz w:val="24"/>
          <w:szCs w:val="24"/>
          <w:lang w:eastAsia="en-IN"/>
        </w:rPr>
        <w:t xml:space="preserve"> </w:t>
      </w:r>
      <w:r w:rsidR="00086C0A" w:rsidRPr="009D5098">
        <w:rPr>
          <w:rFonts w:ascii="Arial" w:eastAsia="Times New Roman" w:hAnsi="Arial" w:cs="Arial"/>
          <w:sz w:val="24"/>
          <w:szCs w:val="24"/>
          <w:lang w:eastAsia="en-IN"/>
        </w:rPr>
        <w:t>if this information has not already been provided within the standard</w:t>
      </w:r>
      <w:r w:rsidR="00E32BA4" w:rsidRPr="009D5098">
        <w:rPr>
          <w:rFonts w:ascii="Arial" w:eastAsia="Times New Roman" w:hAnsi="Arial" w:cs="Arial"/>
          <w:sz w:val="24"/>
          <w:szCs w:val="24"/>
          <w:lang w:eastAsia="en-IN"/>
        </w:rPr>
        <w:t xml:space="preserve">. Any fees charged for this service shall, apart from the real cost of delivery, be the same for foreign and </w:t>
      </w:r>
      <w:r w:rsidR="00E32BA4" w:rsidRPr="00086C0A">
        <w:rPr>
          <w:rFonts w:ascii="Arial" w:eastAsia="Times New Roman" w:hAnsi="Arial" w:cs="Arial"/>
          <w:sz w:val="24"/>
          <w:szCs w:val="24"/>
          <w:lang w:eastAsia="en-IN"/>
        </w:rPr>
        <w:t>domestic parties.</w:t>
      </w:r>
    </w:p>
    <w:p w14:paraId="2737D2CE" w14:textId="77777777" w:rsidR="00EC2B47" w:rsidRPr="0072276E" w:rsidRDefault="00EC2B47" w:rsidP="00F47A79">
      <w:pPr>
        <w:spacing w:after="0" w:line="240" w:lineRule="auto"/>
        <w:ind w:left="360"/>
        <w:jc w:val="both"/>
        <w:rPr>
          <w:rFonts w:ascii="Arial" w:eastAsia="Times New Roman" w:hAnsi="Arial" w:cs="Arial"/>
          <w:sz w:val="24"/>
          <w:szCs w:val="24"/>
          <w:lang w:eastAsia="en-IN"/>
        </w:rPr>
      </w:pPr>
    </w:p>
    <w:p w14:paraId="7D0B6750" w14:textId="530DE9F3" w:rsidR="007C0CF9" w:rsidRPr="0072276E" w:rsidRDefault="00A409E0" w:rsidP="00F47A79">
      <w:pPr>
        <w:spacing w:after="0" w:line="240" w:lineRule="auto"/>
        <w:ind w:left="720" w:hanging="720"/>
        <w:jc w:val="both"/>
        <w:rPr>
          <w:rFonts w:ascii="Arial" w:hAnsi="Arial" w:cs="Arial"/>
          <w:color w:val="4472C4" w:themeColor="accent1"/>
          <w:sz w:val="24"/>
          <w:szCs w:val="24"/>
        </w:rPr>
      </w:pPr>
      <w:r w:rsidRPr="0072276E">
        <w:rPr>
          <w:rFonts w:ascii="Arial" w:eastAsia="Times New Roman" w:hAnsi="Arial" w:cs="Arial"/>
          <w:sz w:val="24"/>
          <w:szCs w:val="24"/>
          <w:lang w:eastAsia="en-IN"/>
        </w:rPr>
        <w:t>3.</w:t>
      </w:r>
      <w:r w:rsidRPr="0072276E">
        <w:rPr>
          <w:rFonts w:ascii="Arial" w:eastAsia="Times New Roman" w:hAnsi="Arial" w:cs="Arial"/>
          <w:sz w:val="24"/>
          <w:szCs w:val="24"/>
          <w:lang w:eastAsia="en-IN"/>
        </w:rPr>
        <w:tab/>
      </w:r>
      <w:r w:rsidR="00E32BA4" w:rsidRPr="0072276E">
        <w:rPr>
          <w:rFonts w:ascii="Arial" w:eastAsia="Times New Roman" w:hAnsi="Arial" w:cs="Arial"/>
          <w:sz w:val="24"/>
          <w:szCs w:val="24"/>
          <w:lang w:eastAsia="en-IN"/>
        </w:rPr>
        <w:t>Each Party shall ensure that its standardi</w:t>
      </w:r>
      <w:r w:rsidR="00944A27">
        <w:rPr>
          <w:rFonts w:ascii="Arial" w:eastAsia="Times New Roman" w:hAnsi="Arial" w:cs="Arial"/>
          <w:sz w:val="24"/>
          <w:szCs w:val="24"/>
          <w:lang w:eastAsia="en-IN"/>
        </w:rPr>
        <w:t>s</w:t>
      </w:r>
      <w:r w:rsidR="00E32BA4" w:rsidRPr="0072276E">
        <w:rPr>
          <w:rFonts w:ascii="Arial" w:eastAsia="Times New Roman" w:hAnsi="Arial" w:cs="Arial"/>
          <w:sz w:val="24"/>
          <w:szCs w:val="24"/>
          <w:lang w:eastAsia="en-IN"/>
        </w:rPr>
        <w:t xml:space="preserve">ing bodies ensure </w:t>
      </w:r>
      <w:r w:rsidR="007C0CF9" w:rsidRPr="0072276E">
        <w:rPr>
          <w:rFonts w:ascii="Arial" w:eastAsia="Times New Roman" w:hAnsi="Arial" w:cs="Arial"/>
          <w:sz w:val="24"/>
          <w:szCs w:val="24"/>
          <w:lang w:eastAsia="en-IN"/>
        </w:rPr>
        <w:t>that standards are not prepared, adopted or applied with a view to, or with the effect of, creating unnecessary obstacles to international trade</w:t>
      </w:r>
      <w:r w:rsidR="0072276E">
        <w:rPr>
          <w:rFonts w:ascii="Arial" w:eastAsia="Times New Roman" w:hAnsi="Arial" w:cs="Arial"/>
          <w:sz w:val="24"/>
          <w:szCs w:val="24"/>
          <w:lang w:eastAsia="en-IN"/>
        </w:rPr>
        <w:t>.</w:t>
      </w:r>
    </w:p>
    <w:p w14:paraId="5854E87B" w14:textId="77777777" w:rsidR="00D02FC2" w:rsidRDefault="00D02FC2" w:rsidP="00F47A79">
      <w:pPr>
        <w:spacing w:after="0" w:line="240" w:lineRule="auto"/>
        <w:ind w:left="360"/>
        <w:jc w:val="both"/>
        <w:rPr>
          <w:rFonts w:ascii="Verdana" w:eastAsia="Times New Roman" w:hAnsi="Verdana" w:cs="Calibri"/>
          <w:b/>
          <w:bCs/>
          <w:i/>
          <w:iCs/>
          <w:caps/>
          <w:highlight w:val="yellow"/>
          <w:u w:val="single"/>
          <w:lang w:eastAsia="en-IN"/>
        </w:rPr>
      </w:pPr>
    </w:p>
    <w:p w14:paraId="1E8B6430" w14:textId="4F132D2F" w:rsidR="007E246D" w:rsidRPr="00C57AD5" w:rsidRDefault="00C57AD5"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4.</w:t>
      </w:r>
      <w:r>
        <w:rPr>
          <w:rFonts w:ascii="Arial" w:eastAsia="Times New Roman" w:hAnsi="Arial" w:cs="Arial"/>
          <w:sz w:val="24"/>
          <w:szCs w:val="24"/>
          <w:lang w:eastAsia="en-IN"/>
        </w:rPr>
        <w:tab/>
      </w:r>
      <w:r w:rsidR="00E32BA4" w:rsidRPr="00C57AD5">
        <w:rPr>
          <w:rFonts w:ascii="Arial" w:eastAsia="Times New Roman" w:hAnsi="Arial" w:cs="Arial"/>
          <w:sz w:val="24"/>
          <w:szCs w:val="24"/>
          <w:lang w:eastAsia="en-IN"/>
        </w:rPr>
        <w:t xml:space="preserve">Each Party shall encourage </w:t>
      </w:r>
      <w:r w:rsidR="00BB744E" w:rsidRPr="00C57AD5">
        <w:rPr>
          <w:rFonts w:ascii="Arial" w:eastAsia="Times New Roman" w:hAnsi="Arial" w:cs="Arial"/>
          <w:sz w:val="24"/>
          <w:szCs w:val="24"/>
          <w:lang w:eastAsia="en-IN"/>
        </w:rPr>
        <w:t xml:space="preserve">its </w:t>
      </w:r>
      <w:r w:rsidR="00E32BA4" w:rsidRPr="00C57AD5">
        <w:rPr>
          <w:rFonts w:ascii="Arial" w:eastAsia="Times New Roman" w:hAnsi="Arial" w:cs="Arial"/>
          <w:sz w:val="24"/>
          <w:szCs w:val="24"/>
          <w:lang w:eastAsia="en-IN"/>
        </w:rPr>
        <w:t>standardi</w:t>
      </w:r>
      <w:r w:rsidR="0072276E">
        <w:rPr>
          <w:rFonts w:ascii="Arial" w:eastAsia="Times New Roman" w:hAnsi="Arial" w:cs="Arial"/>
          <w:sz w:val="24"/>
          <w:szCs w:val="24"/>
          <w:lang w:eastAsia="en-IN"/>
        </w:rPr>
        <w:t>s</w:t>
      </w:r>
      <w:r w:rsidR="00E32BA4" w:rsidRPr="00C57AD5">
        <w:rPr>
          <w:rFonts w:ascii="Arial" w:eastAsia="Times New Roman" w:hAnsi="Arial" w:cs="Arial"/>
          <w:sz w:val="24"/>
          <w:szCs w:val="24"/>
          <w:lang w:eastAsia="en-IN"/>
        </w:rPr>
        <w:t>ing bodies in its territory to cooperate with the standardi</w:t>
      </w:r>
      <w:r w:rsidR="0072276E">
        <w:rPr>
          <w:rFonts w:ascii="Arial" w:eastAsia="Times New Roman" w:hAnsi="Arial" w:cs="Arial"/>
          <w:sz w:val="24"/>
          <w:szCs w:val="24"/>
          <w:lang w:eastAsia="en-IN"/>
        </w:rPr>
        <w:t>s</w:t>
      </w:r>
      <w:r w:rsidR="00E32BA4" w:rsidRPr="00C57AD5">
        <w:rPr>
          <w:rFonts w:ascii="Arial" w:eastAsia="Times New Roman" w:hAnsi="Arial" w:cs="Arial"/>
          <w:sz w:val="24"/>
          <w:szCs w:val="24"/>
          <w:lang w:eastAsia="en-IN"/>
        </w:rPr>
        <w:t>ing</w:t>
      </w:r>
      <w:r w:rsidR="00AD7901" w:rsidRPr="00C57AD5">
        <w:rPr>
          <w:rFonts w:ascii="Arial" w:eastAsia="Times New Roman" w:hAnsi="Arial" w:cs="Arial"/>
          <w:sz w:val="24"/>
          <w:szCs w:val="24"/>
          <w:lang w:eastAsia="en-IN"/>
        </w:rPr>
        <w:t xml:space="preserve"> </w:t>
      </w:r>
      <w:r w:rsidR="00E32BA4" w:rsidRPr="00C57AD5">
        <w:rPr>
          <w:rFonts w:ascii="Arial" w:eastAsia="Times New Roman" w:hAnsi="Arial" w:cs="Arial"/>
          <w:sz w:val="24"/>
          <w:szCs w:val="24"/>
          <w:lang w:eastAsia="en-IN"/>
        </w:rPr>
        <w:t xml:space="preserve">bodies of </w:t>
      </w:r>
      <w:r w:rsidR="00C10D2D">
        <w:rPr>
          <w:rFonts w:ascii="Arial" w:eastAsia="Times New Roman" w:hAnsi="Arial" w:cs="Arial"/>
          <w:sz w:val="24"/>
          <w:szCs w:val="24"/>
          <w:lang w:eastAsia="en-IN"/>
        </w:rPr>
        <w:t xml:space="preserve">the </w:t>
      </w:r>
      <w:r w:rsidR="00E32BA4" w:rsidRPr="00C57AD5">
        <w:rPr>
          <w:rFonts w:ascii="Arial" w:eastAsia="Times New Roman" w:hAnsi="Arial" w:cs="Arial"/>
          <w:sz w:val="24"/>
          <w:szCs w:val="24"/>
          <w:lang w:eastAsia="en-IN"/>
        </w:rPr>
        <w:t>other Party, including</w:t>
      </w:r>
      <w:r w:rsidR="002E32B8">
        <w:rPr>
          <w:rFonts w:ascii="Arial" w:eastAsia="Times New Roman" w:hAnsi="Arial" w:cs="Arial"/>
          <w:sz w:val="24"/>
          <w:szCs w:val="24"/>
          <w:lang w:eastAsia="en-IN"/>
        </w:rPr>
        <w:t xml:space="preserve"> through</w:t>
      </w:r>
      <w:r w:rsidR="00E32BA4" w:rsidRPr="00C57AD5">
        <w:rPr>
          <w:rFonts w:ascii="Arial" w:eastAsia="Times New Roman" w:hAnsi="Arial" w:cs="Arial"/>
          <w:sz w:val="24"/>
          <w:szCs w:val="24"/>
          <w:lang w:eastAsia="en-IN"/>
        </w:rPr>
        <w:t xml:space="preserve">: </w:t>
      </w:r>
    </w:p>
    <w:p w14:paraId="592AD65B" w14:textId="77777777" w:rsidR="004E7827" w:rsidRDefault="004E7827" w:rsidP="00F47A79">
      <w:pPr>
        <w:spacing w:after="0" w:line="240" w:lineRule="auto"/>
        <w:jc w:val="both"/>
        <w:rPr>
          <w:rFonts w:ascii="Arial" w:eastAsia="Times New Roman" w:hAnsi="Arial" w:cs="Arial"/>
          <w:sz w:val="24"/>
          <w:szCs w:val="24"/>
          <w:lang w:eastAsia="en-IN"/>
        </w:rPr>
      </w:pPr>
    </w:p>
    <w:p w14:paraId="67BAA154" w14:textId="0641F821" w:rsidR="007E246D" w:rsidRDefault="00E32BA4" w:rsidP="00F47A79">
      <w:pPr>
        <w:spacing w:after="0" w:line="240" w:lineRule="auto"/>
        <w:ind w:firstLine="720"/>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xml:space="preserve">(a) </w:t>
      </w:r>
      <w:r w:rsidR="00C57AD5">
        <w:rPr>
          <w:rFonts w:ascii="Arial" w:eastAsia="Times New Roman" w:hAnsi="Arial" w:cs="Arial"/>
          <w:sz w:val="24"/>
          <w:szCs w:val="24"/>
          <w:lang w:eastAsia="en-IN"/>
        </w:rPr>
        <w:tab/>
      </w:r>
      <w:r w:rsidRPr="00530F1B">
        <w:rPr>
          <w:rFonts w:ascii="Arial" w:eastAsia="Times New Roman" w:hAnsi="Arial" w:cs="Arial"/>
          <w:sz w:val="24"/>
          <w:szCs w:val="24"/>
          <w:lang w:eastAsia="en-IN"/>
        </w:rPr>
        <w:t xml:space="preserve">exchange of information on standards; </w:t>
      </w:r>
    </w:p>
    <w:p w14:paraId="75056536" w14:textId="77777777" w:rsidR="00DD7E22" w:rsidRPr="00530F1B" w:rsidRDefault="00DD7E22" w:rsidP="00F47A79">
      <w:pPr>
        <w:spacing w:after="0" w:line="240" w:lineRule="auto"/>
        <w:ind w:firstLine="720"/>
        <w:jc w:val="both"/>
        <w:rPr>
          <w:rFonts w:ascii="Arial" w:eastAsia="Times New Roman" w:hAnsi="Arial" w:cs="Arial"/>
          <w:sz w:val="24"/>
          <w:szCs w:val="24"/>
          <w:lang w:eastAsia="en-IN"/>
        </w:rPr>
      </w:pPr>
    </w:p>
    <w:p w14:paraId="6288DA6D" w14:textId="33204477" w:rsidR="004E7827" w:rsidRDefault="00C57AD5" w:rsidP="00F47A79">
      <w:pPr>
        <w:spacing w:after="0" w:line="240" w:lineRule="auto"/>
        <w:ind w:firstLine="720"/>
        <w:jc w:val="both"/>
        <w:rPr>
          <w:rFonts w:ascii="Arial" w:eastAsia="Times New Roman" w:hAnsi="Arial" w:cs="Arial"/>
          <w:sz w:val="24"/>
          <w:szCs w:val="24"/>
          <w:lang w:eastAsia="en-IN"/>
        </w:rPr>
      </w:pPr>
      <w:r>
        <w:rPr>
          <w:rFonts w:ascii="Arial" w:eastAsia="Times New Roman" w:hAnsi="Arial" w:cs="Arial"/>
          <w:sz w:val="24"/>
          <w:szCs w:val="24"/>
          <w:lang w:eastAsia="en-IN"/>
        </w:rPr>
        <w:t>(b)</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exchange of information relating to standard setting procedures; and </w:t>
      </w:r>
    </w:p>
    <w:p w14:paraId="1E99B7E8" w14:textId="77777777" w:rsidR="00DD7E22" w:rsidRDefault="00DD7E22" w:rsidP="00F47A79">
      <w:pPr>
        <w:spacing w:after="0" w:line="240" w:lineRule="auto"/>
        <w:ind w:left="1440" w:hanging="720"/>
        <w:jc w:val="both"/>
        <w:rPr>
          <w:rFonts w:ascii="Arial" w:eastAsia="Times New Roman" w:hAnsi="Arial" w:cs="Arial"/>
          <w:sz w:val="24"/>
          <w:szCs w:val="24"/>
          <w:lang w:eastAsia="en-IN"/>
        </w:rPr>
      </w:pPr>
    </w:p>
    <w:p w14:paraId="51ED9AA5" w14:textId="614F6783" w:rsidR="004E7827" w:rsidRDefault="00E32BA4" w:rsidP="00F47A79">
      <w:pPr>
        <w:spacing w:after="0" w:line="240" w:lineRule="auto"/>
        <w:ind w:left="1440" w:hanging="720"/>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(c)</w:t>
      </w:r>
      <w:r w:rsidR="00C57AD5">
        <w:rPr>
          <w:rFonts w:ascii="Arial" w:eastAsia="Times New Roman" w:hAnsi="Arial" w:cs="Arial"/>
          <w:sz w:val="24"/>
          <w:szCs w:val="24"/>
          <w:lang w:eastAsia="en-IN"/>
        </w:rPr>
        <w:tab/>
      </w:r>
      <w:r w:rsidRPr="00530F1B">
        <w:rPr>
          <w:rFonts w:ascii="Arial" w:eastAsia="Times New Roman" w:hAnsi="Arial" w:cs="Arial"/>
          <w:sz w:val="24"/>
          <w:szCs w:val="24"/>
          <w:lang w:eastAsia="en-IN"/>
        </w:rPr>
        <w:t xml:space="preserve">cooperation in the work </w:t>
      </w:r>
      <w:r w:rsidRPr="004E7827">
        <w:rPr>
          <w:rFonts w:ascii="Arial" w:eastAsia="Times New Roman" w:hAnsi="Arial" w:cs="Arial"/>
          <w:sz w:val="24"/>
          <w:szCs w:val="24"/>
          <w:lang w:eastAsia="en-IN"/>
        </w:rPr>
        <w:t xml:space="preserve">of </w:t>
      </w:r>
      <w:r w:rsidR="00401E11" w:rsidRPr="004E7827">
        <w:rPr>
          <w:rFonts w:ascii="Arial" w:eastAsia="Times New Roman" w:hAnsi="Arial" w:cs="Arial"/>
          <w:sz w:val="24"/>
          <w:szCs w:val="24"/>
          <w:lang w:eastAsia="en-IN"/>
        </w:rPr>
        <w:t xml:space="preserve">regional and </w:t>
      </w:r>
      <w:r w:rsidRPr="004E7827">
        <w:rPr>
          <w:rFonts w:ascii="Arial" w:eastAsia="Times New Roman" w:hAnsi="Arial" w:cs="Arial"/>
          <w:sz w:val="24"/>
          <w:szCs w:val="24"/>
          <w:lang w:eastAsia="en-IN"/>
        </w:rPr>
        <w:t xml:space="preserve">international </w:t>
      </w:r>
      <w:r w:rsidRPr="00530F1B">
        <w:rPr>
          <w:rFonts w:ascii="Arial" w:eastAsia="Times New Roman" w:hAnsi="Arial" w:cs="Arial"/>
          <w:sz w:val="24"/>
          <w:szCs w:val="24"/>
          <w:lang w:eastAsia="en-IN"/>
        </w:rPr>
        <w:t>standardi</w:t>
      </w:r>
      <w:r w:rsidR="007E246D" w:rsidRPr="00530F1B">
        <w:rPr>
          <w:rFonts w:ascii="Arial" w:eastAsia="Times New Roman" w:hAnsi="Arial" w:cs="Arial"/>
          <w:sz w:val="24"/>
          <w:szCs w:val="24"/>
          <w:lang w:eastAsia="en-IN"/>
        </w:rPr>
        <w:t>s</w:t>
      </w:r>
      <w:r w:rsidRPr="00530F1B">
        <w:rPr>
          <w:rFonts w:ascii="Arial" w:eastAsia="Times New Roman" w:hAnsi="Arial" w:cs="Arial"/>
          <w:sz w:val="24"/>
          <w:szCs w:val="24"/>
          <w:lang w:eastAsia="en-IN"/>
        </w:rPr>
        <w:t xml:space="preserve">ing bodies in areas of mutual interest. </w:t>
      </w:r>
    </w:p>
    <w:p w14:paraId="2FA99DEA" w14:textId="77777777" w:rsidR="004E7827" w:rsidRDefault="004E7827" w:rsidP="00F47A79">
      <w:pPr>
        <w:spacing w:after="0" w:line="240" w:lineRule="auto"/>
        <w:ind w:left="360"/>
        <w:jc w:val="both"/>
        <w:rPr>
          <w:rFonts w:ascii="Arial" w:eastAsia="Times New Roman" w:hAnsi="Arial" w:cs="Arial"/>
          <w:sz w:val="24"/>
          <w:szCs w:val="24"/>
          <w:lang w:eastAsia="en-IN"/>
        </w:rPr>
      </w:pPr>
    </w:p>
    <w:p w14:paraId="4CADD304" w14:textId="0382F8C5" w:rsidR="00E32BA4" w:rsidRPr="00C57AD5" w:rsidRDefault="00C57AD5"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lastRenderedPageBreak/>
        <w:t>5.</w:t>
      </w:r>
      <w:r>
        <w:rPr>
          <w:rFonts w:ascii="Arial" w:eastAsia="Times New Roman" w:hAnsi="Arial" w:cs="Arial"/>
          <w:sz w:val="24"/>
          <w:szCs w:val="24"/>
          <w:lang w:eastAsia="en-IN"/>
        </w:rPr>
        <w:tab/>
      </w:r>
      <w:r w:rsidR="007E246D" w:rsidRPr="00C57AD5">
        <w:rPr>
          <w:rFonts w:ascii="Arial" w:eastAsia="Times New Roman" w:hAnsi="Arial" w:cs="Arial"/>
          <w:sz w:val="24"/>
          <w:szCs w:val="24"/>
          <w:lang w:eastAsia="en-IN"/>
        </w:rPr>
        <w:t xml:space="preserve">The </w:t>
      </w:r>
      <w:r w:rsidR="00E32BA4" w:rsidRPr="00C57AD5">
        <w:rPr>
          <w:rFonts w:ascii="Arial" w:eastAsia="Times New Roman" w:hAnsi="Arial" w:cs="Arial"/>
          <w:sz w:val="24"/>
          <w:szCs w:val="24"/>
          <w:lang w:eastAsia="en-IN"/>
        </w:rPr>
        <w:t xml:space="preserve">Parties shall, </w:t>
      </w:r>
      <w:r w:rsidR="007E246D" w:rsidRPr="00C57AD5">
        <w:rPr>
          <w:rFonts w:ascii="Arial" w:eastAsia="Times New Roman" w:hAnsi="Arial" w:cs="Arial"/>
          <w:sz w:val="24"/>
          <w:szCs w:val="24"/>
          <w:lang w:eastAsia="en-IN"/>
        </w:rPr>
        <w:t>as</w:t>
      </w:r>
      <w:r w:rsidR="00E32BA4" w:rsidRPr="00C57AD5">
        <w:rPr>
          <w:rFonts w:ascii="Arial" w:eastAsia="Times New Roman" w:hAnsi="Arial" w:cs="Arial"/>
          <w:sz w:val="24"/>
          <w:szCs w:val="24"/>
          <w:lang w:eastAsia="en-IN"/>
        </w:rPr>
        <w:t xml:space="preserve"> appropriate, strengthen coordination and communication with each other in the context of discussion</w:t>
      </w:r>
      <w:r w:rsidR="00FB5D15">
        <w:rPr>
          <w:rFonts w:ascii="Arial" w:eastAsia="Times New Roman" w:hAnsi="Arial" w:cs="Arial"/>
          <w:sz w:val="24"/>
          <w:szCs w:val="24"/>
          <w:lang w:eastAsia="en-IN"/>
        </w:rPr>
        <w:t>s</w:t>
      </w:r>
      <w:r w:rsidR="00E32BA4" w:rsidRPr="00C57AD5">
        <w:rPr>
          <w:rFonts w:ascii="Arial" w:eastAsia="Times New Roman" w:hAnsi="Arial" w:cs="Arial"/>
          <w:sz w:val="24"/>
          <w:szCs w:val="24"/>
          <w:lang w:eastAsia="en-IN"/>
        </w:rPr>
        <w:t xml:space="preserve"> on international standards and related issues in other international fora, such as </w:t>
      </w:r>
      <w:r w:rsidR="007E246D" w:rsidRPr="00C57AD5">
        <w:rPr>
          <w:rFonts w:ascii="Arial" w:eastAsia="Times New Roman" w:hAnsi="Arial" w:cs="Arial"/>
          <w:sz w:val="24"/>
          <w:szCs w:val="24"/>
          <w:lang w:eastAsia="en-IN"/>
        </w:rPr>
        <w:t xml:space="preserve">the </w:t>
      </w:r>
      <w:r w:rsidR="00E32BA4" w:rsidRPr="00C57AD5">
        <w:rPr>
          <w:rFonts w:ascii="Arial" w:eastAsia="Times New Roman" w:hAnsi="Arial" w:cs="Arial"/>
          <w:sz w:val="24"/>
          <w:szCs w:val="24"/>
          <w:lang w:eastAsia="en-IN"/>
        </w:rPr>
        <w:t xml:space="preserve">WTO </w:t>
      </w:r>
      <w:r w:rsidR="00494496" w:rsidRPr="00C57AD5">
        <w:rPr>
          <w:rFonts w:ascii="Arial" w:eastAsia="Times New Roman" w:hAnsi="Arial" w:cs="Arial"/>
          <w:sz w:val="24"/>
          <w:szCs w:val="24"/>
          <w:lang w:eastAsia="en-IN"/>
        </w:rPr>
        <w:t xml:space="preserve">TBT </w:t>
      </w:r>
      <w:r w:rsidR="00E32BA4" w:rsidRPr="00C57AD5">
        <w:rPr>
          <w:rFonts w:ascii="Arial" w:eastAsia="Times New Roman" w:hAnsi="Arial" w:cs="Arial"/>
          <w:sz w:val="24"/>
          <w:szCs w:val="24"/>
          <w:lang w:eastAsia="en-IN"/>
        </w:rPr>
        <w:t>Committee</w:t>
      </w:r>
      <w:r w:rsidR="004E7827" w:rsidRPr="00C57AD5">
        <w:rPr>
          <w:rFonts w:ascii="Arial" w:eastAsia="Times New Roman" w:hAnsi="Arial" w:cs="Arial"/>
          <w:sz w:val="24"/>
          <w:szCs w:val="24"/>
          <w:lang w:eastAsia="en-IN"/>
        </w:rPr>
        <w:t>.</w:t>
      </w:r>
    </w:p>
    <w:p w14:paraId="767B5F40" w14:textId="1044946C" w:rsidR="003D48F8" w:rsidRDefault="003D48F8" w:rsidP="00F47A79">
      <w:pPr>
        <w:spacing w:after="0" w:line="240" w:lineRule="auto"/>
        <w:jc w:val="both"/>
        <w:rPr>
          <w:rFonts w:ascii="Arial" w:eastAsia="Times New Roman" w:hAnsi="Arial" w:cs="Arial"/>
          <w:sz w:val="24"/>
          <w:szCs w:val="24"/>
          <w:lang w:eastAsia="en-IN"/>
        </w:rPr>
      </w:pPr>
    </w:p>
    <w:p w14:paraId="43852588" w14:textId="77777777" w:rsidR="00E32BA4" w:rsidRPr="00530F1B" w:rsidRDefault="00E32BA4" w:rsidP="00F47A79">
      <w:pPr>
        <w:spacing w:after="0" w:line="240" w:lineRule="auto"/>
        <w:jc w:val="both"/>
        <w:rPr>
          <w:rFonts w:ascii="Arial" w:eastAsia="Times New Roman" w:hAnsi="Arial" w:cs="Arial"/>
          <w:sz w:val="24"/>
          <w:szCs w:val="24"/>
          <w:lang w:eastAsia="en-IN"/>
        </w:rPr>
      </w:pPr>
      <w:r w:rsidRPr="00530F1B">
        <w:rPr>
          <w:rFonts w:ascii="Arial" w:eastAsia="Times New Roman" w:hAnsi="Arial" w:cs="Arial"/>
          <w:b/>
          <w:bCs/>
          <w:sz w:val="24"/>
          <w:szCs w:val="24"/>
          <w:lang w:eastAsia="en-IN"/>
        </w:rPr>
        <w:t> </w:t>
      </w:r>
    </w:p>
    <w:p w14:paraId="65FDAD84" w14:textId="3CE81544" w:rsidR="00E32BA4" w:rsidRPr="00530F1B" w:rsidRDefault="00E32BA4" w:rsidP="00DA0779">
      <w:pPr>
        <w:pStyle w:val="Heading2"/>
      </w:pPr>
      <w:r w:rsidRPr="00530F1B">
        <w:t>A</w:t>
      </w:r>
      <w:r w:rsidR="006E24DA">
        <w:t>rticle 7</w:t>
      </w:r>
      <w:r w:rsidRPr="00530F1B">
        <w:t>.</w:t>
      </w:r>
      <w:r w:rsidR="00890032" w:rsidRPr="00530F1B">
        <w:t>6</w:t>
      </w:r>
      <w:r w:rsidR="001611FB">
        <w:br/>
      </w:r>
      <w:r w:rsidR="00C11354">
        <w:t>Technical Regulations</w:t>
      </w:r>
    </w:p>
    <w:p w14:paraId="419E815F" w14:textId="4A783EED" w:rsidR="0061721B" w:rsidRPr="00530F1B" w:rsidRDefault="00E32BA4" w:rsidP="00F47A79">
      <w:pPr>
        <w:spacing w:after="0" w:line="240" w:lineRule="auto"/>
        <w:ind w:left="311"/>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194BC584" w14:textId="2827C732" w:rsidR="00B930C7" w:rsidRPr="007911C1" w:rsidRDefault="00C57AD5"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1.</w:t>
      </w:r>
      <w:r>
        <w:rPr>
          <w:rFonts w:ascii="Arial" w:eastAsia="Times New Roman" w:hAnsi="Arial" w:cs="Arial"/>
          <w:sz w:val="24"/>
          <w:szCs w:val="24"/>
          <w:lang w:eastAsia="en-IN"/>
        </w:rPr>
        <w:tab/>
      </w:r>
      <w:r w:rsidR="00C00192" w:rsidRPr="002A6CDB">
        <w:rPr>
          <w:rFonts w:ascii="Arial" w:eastAsia="Times New Roman" w:hAnsi="Arial" w:cs="Arial"/>
          <w:sz w:val="24"/>
          <w:szCs w:val="24"/>
          <w:lang w:eastAsia="en-IN"/>
        </w:rPr>
        <w:t xml:space="preserve">Where </w:t>
      </w:r>
      <w:r w:rsidR="002A6CDB" w:rsidRPr="002A6CDB">
        <w:rPr>
          <w:rFonts w:ascii="Arial" w:eastAsia="Times New Roman" w:hAnsi="Arial" w:cs="Arial"/>
          <w:sz w:val="24"/>
          <w:szCs w:val="24"/>
          <w:lang w:eastAsia="en-IN"/>
        </w:rPr>
        <w:t>technical regulation</w:t>
      </w:r>
      <w:r w:rsidR="002A6CDB">
        <w:rPr>
          <w:rFonts w:ascii="Arial" w:eastAsia="Times New Roman" w:hAnsi="Arial" w:cs="Arial"/>
          <w:sz w:val="24"/>
          <w:szCs w:val="24"/>
          <w:lang w:eastAsia="en-IN"/>
        </w:rPr>
        <w:t>s</w:t>
      </w:r>
      <w:r w:rsidR="002A6CDB" w:rsidRPr="002A6CDB">
        <w:rPr>
          <w:rFonts w:ascii="Arial" w:eastAsia="Times New Roman" w:hAnsi="Arial" w:cs="Arial"/>
          <w:sz w:val="24"/>
          <w:szCs w:val="24"/>
          <w:lang w:eastAsia="en-IN"/>
        </w:rPr>
        <w:t xml:space="preserve"> are required and </w:t>
      </w:r>
      <w:r w:rsidR="00C00192" w:rsidRPr="002A6CDB">
        <w:rPr>
          <w:rFonts w:ascii="Arial" w:eastAsia="Times New Roman" w:hAnsi="Arial" w:cs="Arial"/>
          <w:sz w:val="24"/>
          <w:szCs w:val="24"/>
          <w:lang w:eastAsia="en-IN"/>
        </w:rPr>
        <w:t xml:space="preserve">relevant international standards exist or their completion is imminent, each </w:t>
      </w:r>
      <w:r w:rsidR="00D03B03">
        <w:rPr>
          <w:rFonts w:ascii="Arial" w:eastAsia="Times New Roman" w:hAnsi="Arial" w:cs="Arial"/>
          <w:sz w:val="24"/>
          <w:szCs w:val="24"/>
          <w:lang w:eastAsia="en-IN"/>
        </w:rPr>
        <w:t>P</w:t>
      </w:r>
      <w:r w:rsidR="00C00192" w:rsidRPr="002A6CDB">
        <w:rPr>
          <w:rFonts w:ascii="Arial" w:eastAsia="Times New Roman" w:hAnsi="Arial" w:cs="Arial"/>
          <w:sz w:val="24"/>
          <w:szCs w:val="24"/>
          <w:lang w:eastAsia="en-IN"/>
        </w:rPr>
        <w:t>arty shall use them, or relevant parts of them</w:t>
      </w:r>
      <w:r w:rsidR="00054AD7">
        <w:rPr>
          <w:rFonts w:ascii="Arial" w:eastAsia="Times New Roman" w:hAnsi="Arial" w:cs="Arial"/>
          <w:sz w:val="24"/>
          <w:szCs w:val="24"/>
          <w:lang w:eastAsia="en-IN"/>
        </w:rPr>
        <w:t>,</w:t>
      </w:r>
      <w:r w:rsidR="00E32BA4" w:rsidRPr="002A6CDB">
        <w:rPr>
          <w:rFonts w:ascii="Arial" w:eastAsia="Times New Roman" w:hAnsi="Arial" w:cs="Arial"/>
          <w:sz w:val="24"/>
          <w:szCs w:val="24"/>
          <w:lang w:eastAsia="en-IN"/>
        </w:rPr>
        <w:t xml:space="preserve"> as a basis for its technical regulations</w:t>
      </w:r>
      <w:r w:rsidR="00C00192" w:rsidRPr="002A6CDB">
        <w:rPr>
          <w:rFonts w:ascii="Arial" w:eastAsia="Times New Roman" w:hAnsi="Arial" w:cs="Arial"/>
          <w:sz w:val="24"/>
          <w:szCs w:val="24"/>
          <w:lang w:eastAsia="en-IN"/>
        </w:rPr>
        <w:t xml:space="preserve"> except when such international standards or relevant parts would be an ineffective or inappropriate means for the fulfilment of the legitimate objectives pursued, for instance because of fundamental climatic or geographical factors or fundamental technological problems</w:t>
      </w:r>
      <w:r w:rsidR="00E32BA4" w:rsidRPr="002A6CDB">
        <w:rPr>
          <w:rFonts w:ascii="Arial" w:eastAsia="Times New Roman" w:hAnsi="Arial" w:cs="Arial"/>
          <w:sz w:val="24"/>
          <w:szCs w:val="24"/>
          <w:lang w:eastAsia="en-IN"/>
        </w:rPr>
        <w:t>.</w:t>
      </w:r>
      <w:r w:rsidR="002A6CDB">
        <w:rPr>
          <w:rFonts w:ascii="Arial" w:eastAsia="Times New Roman" w:hAnsi="Arial" w:cs="Arial"/>
          <w:sz w:val="24"/>
          <w:szCs w:val="24"/>
          <w:lang w:eastAsia="en-IN"/>
        </w:rPr>
        <w:t xml:space="preserve"> </w:t>
      </w:r>
      <w:r w:rsidR="00E32BA4" w:rsidRPr="002A6CDB">
        <w:rPr>
          <w:rFonts w:ascii="Arial" w:eastAsia="Times New Roman" w:hAnsi="Arial" w:cs="Arial"/>
          <w:sz w:val="24"/>
          <w:szCs w:val="24"/>
          <w:lang w:eastAsia="en-IN"/>
        </w:rPr>
        <w:t>Where a Party does not use such international standards, or their relevant parts, as a basis for its technical regulations and these may have a significant effect on its trade with the other Party, it shall, upon request of the other Party, explain the reasons therefore.</w:t>
      </w:r>
    </w:p>
    <w:p w14:paraId="2B41FC36" w14:textId="1D755AFE" w:rsidR="00BB3A9D" w:rsidRPr="00FC5E10" w:rsidRDefault="00BB3A9D" w:rsidP="00F47A79">
      <w:pPr>
        <w:spacing w:after="0" w:line="240" w:lineRule="auto"/>
        <w:ind w:left="360"/>
        <w:jc w:val="both"/>
        <w:rPr>
          <w:rFonts w:ascii="Arial" w:eastAsia="Times New Roman" w:hAnsi="Arial" w:cs="Arial"/>
          <w:sz w:val="24"/>
          <w:szCs w:val="24"/>
          <w:highlight w:val="yellow"/>
          <w:lang w:eastAsia="en-IN"/>
        </w:rPr>
      </w:pPr>
    </w:p>
    <w:p w14:paraId="74C99467" w14:textId="34C6B3DF" w:rsidR="00E32BA4" w:rsidRPr="00C57AD5" w:rsidRDefault="00C57AD5" w:rsidP="00F47A79">
      <w:pPr>
        <w:pStyle w:val="ListParagraph"/>
        <w:spacing w:after="0" w:line="240" w:lineRule="auto"/>
        <w:ind w:hanging="720"/>
        <w:jc w:val="both"/>
        <w:rPr>
          <w:rFonts w:ascii="Arial" w:eastAsia="Times New Roman" w:hAnsi="Arial" w:cs="Arial"/>
          <w:sz w:val="24"/>
          <w:szCs w:val="24"/>
          <w:lang w:eastAsia="en-IN"/>
        </w:rPr>
      </w:pPr>
      <w:r>
        <w:rPr>
          <w:rFonts w:ascii="Arial" w:eastAsia="Times New Roman" w:hAnsi="Arial" w:cs="Arial"/>
          <w:sz w:val="24"/>
          <w:szCs w:val="24"/>
          <w:lang w:eastAsia="en-IN"/>
        </w:rPr>
        <w:t>2.</w:t>
      </w:r>
      <w:r>
        <w:rPr>
          <w:rFonts w:ascii="Arial" w:eastAsia="Times New Roman" w:hAnsi="Arial" w:cs="Arial"/>
          <w:sz w:val="24"/>
          <w:szCs w:val="24"/>
          <w:lang w:eastAsia="en-IN"/>
        </w:rPr>
        <w:tab/>
      </w:r>
      <w:r w:rsidRPr="00491E88">
        <w:rPr>
          <w:rFonts w:ascii="Arial" w:eastAsia="Times New Roman" w:hAnsi="Arial" w:cs="Arial"/>
          <w:sz w:val="24"/>
          <w:szCs w:val="24"/>
          <w:lang w:eastAsia="en-IN"/>
        </w:rPr>
        <w:t>Upon request, each</w:t>
      </w:r>
      <w:r w:rsidR="00E32BA4" w:rsidRPr="00491E88">
        <w:rPr>
          <w:rFonts w:ascii="Arial" w:eastAsia="Times New Roman" w:hAnsi="Arial" w:cs="Arial"/>
          <w:sz w:val="24"/>
          <w:szCs w:val="24"/>
          <w:lang w:eastAsia="en-IN"/>
        </w:rPr>
        <w:t xml:space="preserve"> Party </w:t>
      </w:r>
      <w:r w:rsidR="00E32BA4" w:rsidRPr="00C57AD5">
        <w:rPr>
          <w:rFonts w:ascii="Arial" w:eastAsia="Times New Roman" w:hAnsi="Arial" w:cs="Arial"/>
          <w:sz w:val="24"/>
          <w:szCs w:val="24"/>
          <w:lang w:eastAsia="en-IN"/>
        </w:rPr>
        <w:t>shall give positive consideration to accepting as equivalent, technical regulations of the other Party, even if these regulations differ from its own, provided it is satisfied that these regulations adequately fulfil the objectives of its own regulations</w:t>
      </w:r>
      <w:r w:rsidR="00E43CB0">
        <w:rPr>
          <w:rFonts w:ascii="Arial" w:eastAsia="Times New Roman" w:hAnsi="Arial" w:cs="Arial"/>
          <w:sz w:val="24"/>
          <w:szCs w:val="24"/>
          <w:lang w:eastAsia="en-IN"/>
        </w:rPr>
        <w:t>.</w:t>
      </w:r>
      <w:r w:rsidR="00530F1B" w:rsidRPr="00082D61">
        <w:rPr>
          <w:rStyle w:val="FootnoteReference"/>
          <w:rFonts w:ascii="Arial" w:eastAsia="Times New Roman" w:hAnsi="Arial" w:cs="Arial"/>
          <w:sz w:val="24"/>
          <w:szCs w:val="24"/>
          <w:lang w:eastAsia="en-IN"/>
        </w:rPr>
        <w:footnoteReference w:id="2"/>
      </w:r>
    </w:p>
    <w:p w14:paraId="744F20BC" w14:textId="77777777" w:rsidR="00EC2B47" w:rsidRPr="00530F1B" w:rsidRDefault="00EC2B47" w:rsidP="00F47A79">
      <w:pPr>
        <w:spacing w:after="0" w:line="240" w:lineRule="auto"/>
        <w:jc w:val="both"/>
        <w:rPr>
          <w:rFonts w:ascii="Arial" w:eastAsia="Times New Roman" w:hAnsi="Arial" w:cs="Arial"/>
          <w:sz w:val="24"/>
          <w:szCs w:val="24"/>
          <w:lang w:eastAsia="en-IN"/>
        </w:rPr>
      </w:pPr>
    </w:p>
    <w:p w14:paraId="1AA7CD1A" w14:textId="034FE2F6" w:rsidR="00E32BA4" w:rsidRPr="00530F1B" w:rsidRDefault="00C57AD5" w:rsidP="00F47A79">
      <w:pPr>
        <w:spacing w:after="0" w:line="240" w:lineRule="auto"/>
        <w:ind w:left="720" w:hanging="720"/>
        <w:jc w:val="both"/>
        <w:rPr>
          <w:rFonts w:ascii="Arial" w:eastAsia="Times New Roman" w:hAnsi="Arial" w:cs="Arial"/>
          <w:b/>
          <w:sz w:val="24"/>
          <w:szCs w:val="24"/>
          <w:lang w:eastAsia="en-IN"/>
        </w:rPr>
      </w:pPr>
      <w:r>
        <w:rPr>
          <w:rFonts w:ascii="Arial" w:eastAsia="Times New Roman" w:hAnsi="Arial" w:cs="Arial"/>
          <w:sz w:val="24"/>
          <w:szCs w:val="24"/>
          <w:lang w:eastAsia="en-IN"/>
        </w:rPr>
        <w:t>3.</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Except where urgent problems of safety, health, environmental protection</w:t>
      </w:r>
      <w:r w:rsidR="00B91151">
        <w:rPr>
          <w:rFonts w:ascii="Arial" w:eastAsia="Times New Roman" w:hAnsi="Arial" w:cs="Arial"/>
          <w:sz w:val="24"/>
          <w:szCs w:val="24"/>
          <w:lang w:eastAsia="en-IN"/>
        </w:rPr>
        <w:t>,</w:t>
      </w:r>
      <w:r w:rsidR="00E32BA4" w:rsidRPr="00530F1B">
        <w:rPr>
          <w:rFonts w:ascii="Arial" w:eastAsia="Times New Roman" w:hAnsi="Arial" w:cs="Arial"/>
          <w:sz w:val="24"/>
          <w:szCs w:val="24"/>
          <w:lang w:eastAsia="en-IN"/>
        </w:rPr>
        <w:t xml:space="preserve"> or national security arise or threaten to arise, </w:t>
      </w:r>
      <w:r w:rsidR="00617086">
        <w:rPr>
          <w:rFonts w:ascii="Arial" w:eastAsia="Times New Roman" w:hAnsi="Arial" w:cs="Arial"/>
          <w:sz w:val="24"/>
          <w:szCs w:val="24"/>
          <w:lang w:eastAsia="en-IN"/>
        </w:rPr>
        <w:t xml:space="preserve">the </w:t>
      </w:r>
      <w:r w:rsidR="00E32BA4" w:rsidRPr="00530F1B">
        <w:rPr>
          <w:rFonts w:ascii="Arial" w:eastAsia="Times New Roman" w:hAnsi="Arial" w:cs="Arial"/>
          <w:sz w:val="24"/>
          <w:szCs w:val="24"/>
          <w:lang w:eastAsia="en-IN"/>
        </w:rPr>
        <w:t>Parties shall allow a reasonable interval</w:t>
      </w:r>
      <w:r w:rsidR="00F967D8">
        <w:rPr>
          <w:rStyle w:val="FootnoteReference"/>
          <w:rFonts w:ascii="Arial" w:eastAsia="Times New Roman" w:hAnsi="Arial" w:cs="Arial"/>
          <w:sz w:val="24"/>
          <w:szCs w:val="24"/>
          <w:lang w:eastAsia="en-IN"/>
        </w:rPr>
        <w:footnoteReference w:id="3"/>
      </w:r>
      <w:r w:rsidR="00F967D8">
        <w:rPr>
          <w:rFonts w:ascii="Arial" w:eastAsia="Times New Roman" w:hAnsi="Arial" w:cs="Arial"/>
          <w:sz w:val="24"/>
          <w:szCs w:val="24"/>
          <w:lang w:eastAsia="en-IN"/>
        </w:rPr>
        <w:t xml:space="preserve"> </w:t>
      </w:r>
      <w:r w:rsidR="00E32BA4" w:rsidRPr="00530F1B">
        <w:rPr>
          <w:rFonts w:ascii="Arial" w:eastAsia="Times New Roman" w:hAnsi="Arial" w:cs="Arial"/>
          <w:sz w:val="24"/>
          <w:szCs w:val="24"/>
          <w:lang w:eastAsia="en-IN"/>
        </w:rPr>
        <w:t>between the publication of technical regulations and their entry into force in order to provide sufficient time for producers in the exporting Party to adapt their products or methods of production to the requirements of the importing Party.</w:t>
      </w:r>
    </w:p>
    <w:p w14:paraId="32741B37" w14:textId="77777777" w:rsidR="009B76C4" w:rsidRPr="00530F1B" w:rsidRDefault="009B76C4" w:rsidP="00F47A79">
      <w:pPr>
        <w:spacing w:after="0" w:line="240" w:lineRule="auto"/>
        <w:ind w:left="360"/>
        <w:jc w:val="both"/>
        <w:rPr>
          <w:rFonts w:ascii="Arial" w:eastAsia="Times New Roman" w:hAnsi="Arial" w:cs="Arial"/>
          <w:sz w:val="24"/>
          <w:szCs w:val="24"/>
          <w:lang w:eastAsia="en-IN"/>
        </w:rPr>
      </w:pPr>
    </w:p>
    <w:p w14:paraId="2B44CC5F" w14:textId="55E7740B" w:rsidR="00E32BA4" w:rsidRDefault="00C57AD5"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4.</w:t>
      </w:r>
      <w:r>
        <w:rPr>
          <w:rFonts w:ascii="Arial" w:eastAsia="Times New Roman" w:hAnsi="Arial" w:cs="Arial"/>
          <w:sz w:val="24"/>
          <w:szCs w:val="24"/>
          <w:lang w:eastAsia="en-IN"/>
        </w:rPr>
        <w:tab/>
      </w:r>
      <w:r w:rsidR="00E32BA4" w:rsidRPr="00C57AD5">
        <w:rPr>
          <w:rFonts w:ascii="Arial" w:eastAsia="Times New Roman" w:hAnsi="Arial" w:cs="Arial"/>
          <w:sz w:val="24"/>
          <w:szCs w:val="24"/>
          <w:lang w:eastAsia="en-IN"/>
        </w:rPr>
        <w:t xml:space="preserve">At the request of a Party that has an interest in developing a technical regulation similar to a technical regulation of the other Party, </w:t>
      </w:r>
      <w:r w:rsidR="00AD7901" w:rsidRPr="00C57AD5">
        <w:rPr>
          <w:rFonts w:ascii="Arial" w:eastAsia="Times New Roman" w:hAnsi="Arial" w:cs="Arial"/>
          <w:sz w:val="24"/>
          <w:szCs w:val="24"/>
          <w:lang w:eastAsia="en-IN"/>
        </w:rPr>
        <w:t>the</w:t>
      </w:r>
      <w:r w:rsidR="00E32BA4" w:rsidRPr="00C57AD5">
        <w:rPr>
          <w:rFonts w:ascii="Arial" w:eastAsia="Times New Roman" w:hAnsi="Arial" w:cs="Arial"/>
          <w:color w:val="4472C4" w:themeColor="accent1"/>
          <w:sz w:val="24"/>
          <w:szCs w:val="24"/>
          <w:lang w:eastAsia="en-IN"/>
        </w:rPr>
        <w:t xml:space="preserve"> </w:t>
      </w:r>
      <w:r w:rsidR="00E32BA4" w:rsidRPr="00C57AD5">
        <w:rPr>
          <w:rFonts w:ascii="Arial" w:eastAsia="Times New Roman" w:hAnsi="Arial" w:cs="Arial"/>
          <w:sz w:val="24"/>
          <w:szCs w:val="24"/>
          <w:lang w:eastAsia="en-IN"/>
        </w:rPr>
        <w:t>other Party shall endeavour to provide, to the extent practicable, relevant information, including studies or documents, except for confidential information, on which it has relied in its development.</w:t>
      </w:r>
    </w:p>
    <w:p w14:paraId="3226E498" w14:textId="07FB0F31" w:rsidR="00656167" w:rsidRDefault="00656167" w:rsidP="00F47A79">
      <w:pPr>
        <w:spacing w:after="0" w:line="240" w:lineRule="auto"/>
        <w:jc w:val="both"/>
        <w:rPr>
          <w:rFonts w:ascii="Arial" w:eastAsia="Times New Roman" w:hAnsi="Arial" w:cs="Arial"/>
          <w:b/>
          <w:bCs/>
          <w:sz w:val="24"/>
          <w:szCs w:val="24"/>
          <w:lang w:eastAsia="en-IN"/>
        </w:rPr>
      </w:pPr>
    </w:p>
    <w:p w14:paraId="28DBFF32" w14:textId="77777777" w:rsidR="00E32BA4" w:rsidRPr="00530F1B" w:rsidRDefault="00E32BA4" w:rsidP="00F47A79">
      <w:pPr>
        <w:spacing w:after="0" w:line="240" w:lineRule="auto"/>
        <w:jc w:val="both"/>
        <w:rPr>
          <w:rFonts w:ascii="Arial" w:eastAsia="Times New Roman" w:hAnsi="Arial" w:cs="Arial"/>
          <w:sz w:val="24"/>
          <w:szCs w:val="24"/>
          <w:lang w:eastAsia="en-IN"/>
        </w:rPr>
      </w:pPr>
    </w:p>
    <w:p w14:paraId="6EECCE5A" w14:textId="1413721F" w:rsidR="00E32BA4" w:rsidRPr="00530F1B" w:rsidRDefault="00E32BA4" w:rsidP="00DA0779">
      <w:pPr>
        <w:pStyle w:val="Heading2"/>
      </w:pPr>
      <w:r w:rsidRPr="00530F1B">
        <w:lastRenderedPageBreak/>
        <w:t>A</w:t>
      </w:r>
      <w:r w:rsidR="006E24DA">
        <w:t>rticle 7</w:t>
      </w:r>
      <w:r w:rsidRPr="00530F1B">
        <w:t>.</w:t>
      </w:r>
      <w:r w:rsidR="00890032" w:rsidRPr="00530F1B">
        <w:t>7</w:t>
      </w:r>
      <w:r w:rsidR="001611FB">
        <w:br/>
      </w:r>
      <w:r w:rsidR="00C11354">
        <w:t>Conformity Assessment Procedures</w:t>
      </w:r>
    </w:p>
    <w:p w14:paraId="0DB53621" w14:textId="77777777" w:rsidR="00E32BA4" w:rsidRPr="00530F1B" w:rsidRDefault="00E32BA4" w:rsidP="007E00E8">
      <w:pPr>
        <w:keepNext/>
        <w:keepLines/>
        <w:spacing w:after="0" w:line="240" w:lineRule="auto"/>
        <w:ind w:left="311"/>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1BF9E5AD" w14:textId="28ACF771" w:rsidR="000B51D6" w:rsidRPr="00C74934" w:rsidRDefault="00744019" w:rsidP="007E00E8">
      <w:pPr>
        <w:keepNext/>
        <w:keepLines/>
        <w:spacing w:after="0" w:line="240" w:lineRule="auto"/>
        <w:ind w:left="720" w:hanging="720"/>
        <w:jc w:val="both"/>
        <w:rPr>
          <w:rFonts w:ascii="Arial" w:eastAsia="Times New Roman" w:hAnsi="Arial" w:cs="Arial"/>
          <w:color w:val="ED7D31" w:themeColor="accent2"/>
          <w:sz w:val="24"/>
          <w:szCs w:val="24"/>
          <w:lang w:eastAsia="en-IN"/>
        </w:rPr>
      </w:pPr>
      <w:r w:rsidRPr="00C74934">
        <w:rPr>
          <w:rFonts w:ascii="Arial" w:eastAsia="Times New Roman" w:hAnsi="Arial" w:cs="Arial"/>
          <w:sz w:val="24"/>
          <w:szCs w:val="24"/>
          <w:lang w:eastAsia="en-IN"/>
        </w:rPr>
        <w:t>1.</w:t>
      </w:r>
      <w:r w:rsidRPr="00C74934">
        <w:rPr>
          <w:rFonts w:ascii="Arial" w:eastAsia="Times New Roman" w:hAnsi="Arial" w:cs="Arial"/>
          <w:sz w:val="24"/>
          <w:szCs w:val="24"/>
          <w:lang w:eastAsia="en-IN"/>
        </w:rPr>
        <w:tab/>
      </w:r>
      <w:r w:rsidR="00E32BA4" w:rsidRPr="00C74934">
        <w:rPr>
          <w:rFonts w:ascii="Arial" w:eastAsia="Times New Roman" w:hAnsi="Arial" w:cs="Arial"/>
          <w:sz w:val="24"/>
          <w:szCs w:val="24"/>
          <w:lang w:eastAsia="en-IN"/>
        </w:rPr>
        <w:t xml:space="preserve">In cases where a positive assurance is required that products conform with technical regulations or standards, and </w:t>
      </w:r>
      <w:r w:rsidR="001669BC" w:rsidRPr="00C74934">
        <w:rPr>
          <w:rFonts w:ascii="Arial" w:eastAsia="Times New Roman" w:hAnsi="Arial" w:cs="Arial"/>
          <w:sz w:val="24"/>
          <w:szCs w:val="24"/>
          <w:lang w:eastAsia="en-IN"/>
        </w:rPr>
        <w:t xml:space="preserve">relevant </w:t>
      </w:r>
      <w:r w:rsidR="00E32BA4" w:rsidRPr="00C74934">
        <w:rPr>
          <w:rFonts w:ascii="Arial" w:eastAsia="Times New Roman" w:hAnsi="Arial" w:cs="Arial"/>
          <w:sz w:val="24"/>
          <w:szCs w:val="24"/>
          <w:lang w:eastAsia="en-IN"/>
        </w:rPr>
        <w:t>guides or recommendations issued by international standardi</w:t>
      </w:r>
      <w:r w:rsidR="00D23CF1" w:rsidRPr="00C74934">
        <w:rPr>
          <w:rFonts w:ascii="Arial" w:eastAsia="Times New Roman" w:hAnsi="Arial" w:cs="Arial"/>
          <w:sz w:val="24"/>
          <w:szCs w:val="24"/>
          <w:lang w:eastAsia="en-IN"/>
        </w:rPr>
        <w:t>s</w:t>
      </w:r>
      <w:r w:rsidR="00E32BA4" w:rsidRPr="00C74934">
        <w:rPr>
          <w:rFonts w:ascii="Arial" w:eastAsia="Times New Roman" w:hAnsi="Arial" w:cs="Arial"/>
          <w:sz w:val="24"/>
          <w:szCs w:val="24"/>
          <w:lang w:eastAsia="en-IN"/>
        </w:rPr>
        <w:t xml:space="preserve">ing bodies exist or their completion is imminent, </w:t>
      </w:r>
      <w:r w:rsidR="00530F1B" w:rsidRPr="00C74934">
        <w:rPr>
          <w:rFonts w:ascii="Arial" w:eastAsia="Times New Roman" w:hAnsi="Arial" w:cs="Arial"/>
          <w:sz w:val="24"/>
          <w:szCs w:val="24"/>
          <w:lang w:eastAsia="en-IN"/>
        </w:rPr>
        <w:t xml:space="preserve">each Party </w:t>
      </w:r>
      <w:r w:rsidR="00E32BA4" w:rsidRPr="00C74934">
        <w:rPr>
          <w:rFonts w:ascii="Arial" w:eastAsia="Times New Roman" w:hAnsi="Arial" w:cs="Arial"/>
          <w:sz w:val="24"/>
          <w:szCs w:val="24"/>
          <w:lang w:eastAsia="en-IN"/>
        </w:rPr>
        <w:t>shall ensure that central government bodies use them, or the relevant parts of them, as a basis for their conformity assessment procedures, except where, as duly explained upon request, such international standards, guides or recommendations or relevant parts are inappropriate for the</w:t>
      </w:r>
      <w:r w:rsidR="00E32BA4" w:rsidRPr="00C74934">
        <w:rPr>
          <w:rFonts w:ascii="Arial" w:eastAsia="Times New Roman" w:hAnsi="Arial" w:cs="Arial"/>
          <w:color w:val="ED7D31" w:themeColor="accent2"/>
          <w:sz w:val="24"/>
          <w:szCs w:val="24"/>
          <w:lang w:eastAsia="en-IN"/>
        </w:rPr>
        <w:t xml:space="preserve"> </w:t>
      </w:r>
      <w:r w:rsidR="00530F1B" w:rsidRPr="00C74934">
        <w:rPr>
          <w:rFonts w:ascii="Arial" w:eastAsia="Times New Roman" w:hAnsi="Arial" w:cs="Arial"/>
          <w:sz w:val="24"/>
          <w:szCs w:val="24"/>
          <w:lang w:eastAsia="en-IN"/>
        </w:rPr>
        <w:t>Party</w:t>
      </w:r>
      <w:r w:rsidR="00E32BA4" w:rsidRPr="00C74934">
        <w:rPr>
          <w:rFonts w:ascii="Arial" w:eastAsia="Times New Roman" w:hAnsi="Arial" w:cs="Arial"/>
          <w:sz w:val="24"/>
          <w:szCs w:val="24"/>
          <w:lang w:eastAsia="en-IN"/>
        </w:rPr>
        <w:t xml:space="preserve"> concerned, for, </w:t>
      </w:r>
      <w:r w:rsidR="00E32BA4" w:rsidRPr="00C74934">
        <w:rPr>
          <w:rFonts w:ascii="Arial" w:eastAsia="Times New Roman" w:hAnsi="Arial" w:cs="Arial"/>
          <w:i/>
          <w:iCs/>
          <w:sz w:val="24"/>
          <w:szCs w:val="24"/>
          <w:lang w:eastAsia="en-IN"/>
        </w:rPr>
        <w:t>inter alia</w:t>
      </w:r>
      <w:r w:rsidR="00E32BA4" w:rsidRPr="00C74934">
        <w:rPr>
          <w:rFonts w:ascii="Arial" w:eastAsia="Times New Roman" w:hAnsi="Arial" w:cs="Arial"/>
          <w:sz w:val="24"/>
          <w:szCs w:val="24"/>
          <w:lang w:eastAsia="en-IN"/>
        </w:rPr>
        <w:t>, such reasons as: national security requirements; the prevention of deceptive practices; protection of human health or safety, animal or plant life or health, or the environment; fundamental climatic or other geographical factors; fundamental technological or infrastructural problems</w:t>
      </w:r>
      <w:r w:rsidR="00E32BA4" w:rsidRPr="00C74934">
        <w:rPr>
          <w:rFonts w:ascii="Arial" w:eastAsia="Times New Roman" w:hAnsi="Arial" w:cs="Arial"/>
          <w:b/>
          <w:bCs/>
          <w:sz w:val="24"/>
          <w:szCs w:val="24"/>
          <w:lang w:eastAsia="en-IN"/>
        </w:rPr>
        <w:t>.</w:t>
      </w:r>
    </w:p>
    <w:p w14:paraId="632B3ED2" w14:textId="77777777" w:rsidR="000B51D6" w:rsidRPr="00C74934" w:rsidRDefault="000B51D6" w:rsidP="00F47A79">
      <w:pPr>
        <w:spacing w:after="0" w:line="240" w:lineRule="auto"/>
        <w:ind w:left="360"/>
        <w:jc w:val="both"/>
        <w:rPr>
          <w:rFonts w:ascii="Arial" w:eastAsia="Times New Roman" w:hAnsi="Arial" w:cs="Arial"/>
          <w:color w:val="ED7D31" w:themeColor="accent2"/>
          <w:sz w:val="24"/>
          <w:szCs w:val="24"/>
          <w:lang w:eastAsia="en-IN"/>
        </w:rPr>
      </w:pPr>
    </w:p>
    <w:p w14:paraId="5ADBA645" w14:textId="45279C4D" w:rsidR="00EC2B47" w:rsidRPr="006968B0" w:rsidRDefault="00744019" w:rsidP="00F47A79">
      <w:pPr>
        <w:spacing w:after="0" w:line="240" w:lineRule="auto"/>
        <w:ind w:left="72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2.</w:t>
      </w:r>
      <w:r w:rsidRPr="00C74934">
        <w:rPr>
          <w:rFonts w:ascii="Arial" w:eastAsia="Times New Roman" w:hAnsi="Arial" w:cs="Arial"/>
          <w:sz w:val="24"/>
          <w:szCs w:val="24"/>
          <w:lang w:eastAsia="en-IN"/>
        </w:rPr>
        <w:tab/>
      </w:r>
      <w:r w:rsidR="00E32BA4" w:rsidRPr="006968B0">
        <w:rPr>
          <w:rFonts w:ascii="Arial" w:eastAsia="Times New Roman" w:hAnsi="Arial" w:cs="Arial"/>
          <w:sz w:val="24"/>
          <w:szCs w:val="24"/>
          <w:lang w:eastAsia="en-IN"/>
        </w:rPr>
        <w:t xml:space="preserve">Each Party </w:t>
      </w:r>
      <w:r w:rsidR="00E32BA4" w:rsidRPr="00930477">
        <w:rPr>
          <w:rFonts w:ascii="Arial" w:eastAsia="Times New Roman" w:hAnsi="Arial" w:cs="Arial"/>
          <w:bCs/>
          <w:sz w:val="24"/>
          <w:szCs w:val="24"/>
          <w:lang w:eastAsia="en-IN"/>
        </w:rPr>
        <w:t>shall ensure</w:t>
      </w:r>
      <w:r w:rsidR="00E32BA4" w:rsidRPr="00930477">
        <w:rPr>
          <w:rFonts w:ascii="Arial" w:eastAsia="Times New Roman" w:hAnsi="Arial" w:cs="Arial"/>
          <w:sz w:val="24"/>
          <w:szCs w:val="24"/>
          <w:lang w:eastAsia="en-IN"/>
        </w:rPr>
        <w:t xml:space="preserve">, whenever possible, that results of </w:t>
      </w:r>
      <w:r w:rsidR="00E32BA4" w:rsidRPr="006968B0">
        <w:rPr>
          <w:rFonts w:ascii="Arial" w:eastAsia="Times New Roman" w:hAnsi="Arial" w:cs="Arial"/>
          <w:sz w:val="24"/>
          <w:szCs w:val="24"/>
          <w:lang w:eastAsia="en-IN"/>
        </w:rPr>
        <w:t>conformity assessment procedures in the other Party</w:t>
      </w:r>
      <w:r w:rsidR="00BA47F7" w:rsidRPr="008E63E5">
        <w:rPr>
          <w:rStyle w:val="FootnoteReference"/>
          <w:rFonts w:ascii="Arial" w:eastAsia="Times New Roman" w:hAnsi="Arial" w:cs="Arial"/>
          <w:sz w:val="24"/>
          <w:szCs w:val="24"/>
          <w:lang w:eastAsia="en-IN"/>
        </w:rPr>
        <w:footnoteReference w:id="4"/>
      </w:r>
      <w:r w:rsidR="00E32BA4" w:rsidRPr="006968B0">
        <w:rPr>
          <w:rFonts w:ascii="Arial" w:eastAsia="Times New Roman" w:hAnsi="Arial" w:cs="Arial"/>
          <w:sz w:val="24"/>
          <w:szCs w:val="24"/>
          <w:lang w:eastAsia="en-IN"/>
        </w:rPr>
        <w:t xml:space="preserve"> are accepted, even when those </w:t>
      </w:r>
      <w:r w:rsidR="00E32BA4" w:rsidRPr="009901CF">
        <w:rPr>
          <w:rFonts w:ascii="Arial" w:eastAsia="Times New Roman" w:hAnsi="Arial" w:cs="Arial"/>
          <w:sz w:val="24"/>
          <w:szCs w:val="24"/>
          <w:lang w:eastAsia="en-IN"/>
        </w:rPr>
        <w:t>procedures differ from its own, provided it is satisfied that those procedures offer an assurance of conformity with applicable technical regulations or standards equivalent to its own procedures</w:t>
      </w:r>
      <w:r w:rsidR="008936D7" w:rsidRPr="006968B0">
        <w:rPr>
          <w:rFonts w:ascii="Arial" w:eastAsia="Times New Roman" w:hAnsi="Arial" w:cs="Arial"/>
          <w:sz w:val="24"/>
          <w:szCs w:val="24"/>
          <w:lang w:eastAsia="en-IN"/>
        </w:rPr>
        <w:t>.</w:t>
      </w:r>
    </w:p>
    <w:p w14:paraId="378688B9" w14:textId="77777777" w:rsidR="00EC2B47" w:rsidRPr="00C74934" w:rsidRDefault="00EC2B47" w:rsidP="00F47A79">
      <w:pPr>
        <w:pStyle w:val="ListParagraph"/>
        <w:spacing w:after="0" w:line="240" w:lineRule="auto"/>
        <w:jc w:val="both"/>
        <w:rPr>
          <w:rFonts w:ascii="Arial" w:eastAsia="Times New Roman" w:hAnsi="Arial" w:cs="Arial"/>
          <w:sz w:val="24"/>
          <w:szCs w:val="24"/>
          <w:lang w:eastAsia="en-IN"/>
        </w:rPr>
      </w:pPr>
    </w:p>
    <w:p w14:paraId="3F37EB03" w14:textId="574BF2F8" w:rsidR="00DE3B73" w:rsidRPr="00520F88" w:rsidRDefault="005826A8" w:rsidP="00F47A79">
      <w:pPr>
        <w:spacing w:after="0" w:line="240" w:lineRule="auto"/>
        <w:ind w:left="72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3.</w:t>
      </w:r>
      <w:r w:rsidRPr="00C74934">
        <w:rPr>
          <w:rFonts w:ascii="Arial" w:eastAsia="Times New Roman" w:hAnsi="Arial" w:cs="Arial"/>
          <w:sz w:val="24"/>
          <w:szCs w:val="24"/>
          <w:lang w:eastAsia="en-IN"/>
        </w:rPr>
        <w:tab/>
      </w:r>
      <w:r w:rsidR="00E32BA4" w:rsidRPr="00C74934">
        <w:rPr>
          <w:rFonts w:ascii="Arial" w:eastAsia="Times New Roman" w:hAnsi="Arial" w:cs="Arial"/>
          <w:sz w:val="24"/>
          <w:szCs w:val="24"/>
          <w:lang w:eastAsia="en-IN"/>
        </w:rPr>
        <w:t>A Party shall, upon request of the other Party, explain its reasons for not accepting the results of a conformity assessment procedure conducted in the other Party</w:t>
      </w:r>
      <w:r w:rsidR="00DE3B73" w:rsidRPr="00C74934">
        <w:rPr>
          <w:rFonts w:ascii="Arial" w:eastAsia="Times New Roman" w:hAnsi="Arial" w:cs="Arial"/>
          <w:sz w:val="24"/>
          <w:szCs w:val="24"/>
          <w:lang w:eastAsia="en-IN"/>
        </w:rPr>
        <w:t>.</w:t>
      </w:r>
    </w:p>
    <w:p w14:paraId="14356C82" w14:textId="77777777" w:rsidR="002467A1" w:rsidRPr="002467A1" w:rsidRDefault="002467A1" w:rsidP="00F47A79">
      <w:pPr>
        <w:spacing w:after="0" w:line="240" w:lineRule="auto"/>
        <w:ind w:left="720" w:hanging="720"/>
        <w:jc w:val="both"/>
        <w:rPr>
          <w:rFonts w:ascii="Arial" w:eastAsia="Times New Roman" w:hAnsi="Arial" w:cs="Arial"/>
          <w:color w:val="ED7D31" w:themeColor="accent2"/>
          <w:sz w:val="24"/>
          <w:szCs w:val="24"/>
          <w:lang w:eastAsia="en-IN"/>
        </w:rPr>
      </w:pPr>
    </w:p>
    <w:p w14:paraId="3349065E" w14:textId="4059B604" w:rsidR="00EE38FD" w:rsidRPr="00C74934" w:rsidRDefault="00831724" w:rsidP="00F47A79">
      <w:pPr>
        <w:spacing w:after="0" w:line="240" w:lineRule="auto"/>
        <w:ind w:left="72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 xml:space="preserve">4. </w:t>
      </w:r>
      <w:r w:rsidR="00DA6F9D">
        <w:rPr>
          <w:rFonts w:ascii="Arial" w:eastAsia="Times New Roman" w:hAnsi="Arial" w:cs="Arial"/>
          <w:sz w:val="24"/>
          <w:szCs w:val="24"/>
          <w:lang w:eastAsia="en-IN"/>
        </w:rPr>
        <w:tab/>
      </w:r>
      <w:r w:rsidRPr="00C74934">
        <w:rPr>
          <w:rFonts w:ascii="Arial" w:eastAsia="Times New Roman" w:hAnsi="Arial" w:cs="Arial"/>
          <w:sz w:val="24"/>
          <w:szCs w:val="24"/>
          <w:lang w:eastAsia="en-IN"/>
        </w:rPr>
        <w:t xml:space="preserve">Each Party recognises that, depending on the situation of the Party and the specific sectors involved, a broad range of mechanisms exists to facilitate the acceptance of the results of </w:t>
      </w:r>
      <w:r w:rsidRPr="00DA6F9D">
        <w:rPr>
          <w:rFonts w:ascii="Arial" w:eastAsia="Times New Roman" w:hAnsi="Arial" w:cs="Arial"/>
          <w:sz w:val="24"/>
          <w:szCs w:val="24"/>
          <w:lang w:eastAsia="en-IN"/>
        </w:rPr>
        <w:t>conformity</w:t>
      </w:r>
      <w:r w:rsidRPr="00C74934">
        <w:rPr>
          <w:rFonts w:ascii="Arial" w:eastAsia="Times New Roman" w:hAnsi="Arial" w:cs="Arial"/>
          <w:sz w:val="24"/>
          <w:szCs w:val="24"/>
          <w:lang w:eastAsia="en-IN"/>
        </w:rPr>
        <w:t xml:space="preserve"> assessment procedures conducted in </w:t>
      </w:r>
      <w:r w:rsidR="00D839B9">
        <w:rPr>
          <w:rFonts w:ascii="Arial" w:eastAsia="Times New Roman" w:hAnsi="Arial" w:cs="Arial"/>
          <w:sz w:val="24"/>
          <w:szCs w:val="24"/>
          <w:lang w:eastAsia="en-IN"/>
        </w:rPr>
        <w:t>the other</w:t>
      </w:r>
      <w:r w:rsidR="00D839B9" w:rsidRPr="00C74934">
        <w:rPr>
          <w:rFonts w:ascii="Arial" w:eastAsia="Times New Roman" w:hAnsi="Arial" w:cs="Arial"/>
          <w:sz w:val="24"/>
          <w:szCs w:val="24"/>
          <w:lang w:eastAsia="en-IN"/>
        </w:rPr>
        <w:t xml:space="preserve"> </w:t>
      </w:r>
      <w:r w:rsidRPr="00C74934">
        <w:rPr>
          <w:rFonts w:ascii="Arial" w:eastAsia="Times New Roman" w:hAnsi="Arial" w:cs="Arial"/>
          <w:sz w:val="24"/>
          <w:szCs w:val="24"/>
          <w:lang w:eastAsia="en-IN"/>
        </w:rPr>
        <w:t>Party. Such mechanisms may include:</w:t>
      </w:r>
    </w:p>
    <w:p w14:paraId="51EC3CF3" w14:textId="77777777" w:rsidR="00DA6F9D" w:rsidRDefault="00DA6F9D" w:rsidP="00F47A79">
      <w:pPr>
        <w:spacing w:after="0" w:line="240" w:lineRule="auto"/>
        <w:ind w:left="-90" w:firstLine="810"/>
        <w:jc w:val="both"/>
        <w:rPr>
          <w:rFonts w:ascii="Arial" w:eastAsia="Times New Roman" w:hAnsi="Arial" w:cs="Arial"/>
          <w:sz w:val="24"/>
          <w:szCs w:val="24"/>
          <w:lang w:eastAsia="en-IN"/>
        </w:rPr>
      </w:pPr>
    </w:p>
    <w:p w14:paraId="1D3F4A70" w14:textId="7FC1CDBB" w:rsidR="00831724" w:rsidRPr="00DA6F9D" w:rsidRDefault="00DD7E22"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(a)</w:t>
      </w:r>
      <w:r>
        <w:rPr>
          <w:rFonts w:ascii="Arial" w:eastAsia="Times New Roman" w:hAnsi="Arial" w:cs="Arial"/>
          <w:sz w:val="24"/>
          <w:szCs w:val="24"/>
          <w:lang w:eastAsia="en-IN"/>
        </w:rPr>
        <w:tab/>
      </w:r>
      <w:r w:rsidR="00831724" w:rsidRPr="00DA6F9D">
        <w:rPr>
          <w:rFonts w:ascii="Arial" w:eastAsia="Times New Roman" w:hAnsi="Arial" w:cs="Arial"/>
          <w:sz w:val="24"/>
          <w:szCs w:val="24"/>
          <w:lang w:eastAsia="en-IN"/>
        </w:rPr>
        <w:t xml:space="preserve">mutual recognition agreements for the results of conformity assessment procedures conducted by bodies in the </w:t>
      </w:r>
      <w:r w:rsidR="000171C8">
        <w:rPr>
          <w:rFonts w:ascii="Arial" w:eastAsia="Times New Roman" w:hAnsi="Arial" w:cs="Arial"/>
          <w:sz w:val="24"/>
          <w:szCs w:val="24"/>
          <w:lang w:eastAsia="en-IN"/>
        </w:rPr>
        <w:t xml:space="preserve">other </w:t>
      </w:r>
      <w:r w:rsidR="00831724" w:rsidRPr="00DA6F9D">
        <w:rPr>
          <w:rFonts w:ascii="Arial" w:eastAsia="Times New Roman" w:hAnsi="Arial" w:cs="Arial"/>
          <w:sz w:val="24"/>
          <w:szCs w:val="24"/>
          <w:lang w:eastAsia="en-IN"/>
        </w:rPr>
        <w:t>Part</w:t>
      </w:r>
      <w:r w:rsidR="000171C8">
        <w:rPr>
          <w:rFonts w:ascii="Arial" w:eastAsia="Times New Roman" w:hAnsi="Arial" w:cs="Arial"/>
          <w:sz w:val="24"/>
          <w:szCs w:val="24"/>
          <w:lang w:eastAsia="en-IN"/>
        </w:rPr>
        <w:t>y</w:t>
      </w:r>
      <w:r w:rsidR="00831724" w:rsidRPr="00DA6F9D">
        <w:rPr>
          <w:rFonts w:ascii="Arial" w:eastAsia="Times New Roman" w:hAnsi="Arial" w:cs="Arial"/>
          <w:sz w:val="24"/>
          <w:szCs w:val="24"/>
          <w:lang w:eastAsia="en-IN"/>
        </w:rPr>
        <w:t>;</w:t>
      </w:r>
    </w:p>
    <w:p w14:paraId="2BCC728A" w14:textId="77777777" w:rsidR="00EE38FD" w:rsidRPr="00C74934" w:rsidRDefault="00EE38FD" w:rsidP="00F47A79">
      <w:pPr>
        <w:spacing w:after="0" w:line="240" w:lineRule="auto"/>
        <w:jc w:val="both"/>
        <w:rPr>
          <w:rFonts w:ascii="Arial" w:eastAsia="Times New Roman" w:hAnsi="Arial" w:cs="Arial"/>
          <w:sz w:val="24"/>
          <w:szCs w:val="24"/>
          <w:lang w:eastAsia="en-IN"/>
        </w:rPr>
      </w:pPr>
    </w:p>
    <w:p w14:paraId="46620282" w14:textId="4B0B5DB8" w:rsidR="00831724" w:rsidRPr="00C74934" w:rsidRDefault="00831724" w:rsidP="00F47A79">
      <w:pPr>
        <w:spacing w:after="0" w:line="240" w:lineRule="auto"/>
        <w:ind w:left="144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(b)</w:t>
      </w:r>
      <w:r w:rsidR="0073364C">
        <w:rPr>
          <w:rFonts w:ascii="Arial" w:eastAsia="Times New Roman" w:hAnsi="Arial" w:cs="Arial"/>
          <w:sz w:val="24"/>
          <w:szCs w:val="24"/>
          <w:lang w:eastAsia="en-IN"/>
        </w:rPr>
        <w:tab/>
      </w:r>
      <w:r w:rsidRPr="00C74934">
        <w:rPr>
          <w:rFonts w:ascii="Arial" w:eastAsia="Times New Roman" w:hAnsi="Arial" w:cs="Arial"/>
          <w:sz w:val="24"/>
          <w:szCs w:val="24"/>
          <w:lang w:eastAsia="en-IN"/>
        </w:rPr>
        <w:t xml:space="preserve">cooperative (voluntary) arrangements between accreditation bodies or those between conformity assessment bodies in the </w:t>
      </w:r>
      <w:r w:rsidR="000171C8">
        <w:rPr>
          <w:rFonts w:ascii="Arial" w:eastAsia="Times New Roman" w:hAnsi="Arial" w:cs="Arial"/>
          <w:sz w:val="24"/>
          <w:szCs w:val="24"/>
          <w:lang w:eastAsia="en-IN"/>
        </w:rPr>
        <w:t xml:space="preserve">other </w:t>
      </w:r>
      <w:r w:rsidRPr="00C74934">
        <w:rPr>
          <w:rFonts w:ascii="Arial" w:eastAsia="Times New Roman" w:hAnsi="Arial" w:cs="Arial"/>
          <w:sz w:val="24"/>
          <w:szCs w:val="24"/>
          <w:lang w:eastAsia="en-IN"/>
        </w:rPr>
        <w:t>Part</w:t>
      </w:r>
      <w:r w:rsidR="000171C8">
        <w:rPr>
          <w:rFonts w:ascii="Arial" w:eastAsia="Times New Roman" w:hAnsi="Arial" w:cs="Arial"/>
          <w:sz w:val="24"/>
          <w:szCs w:val="24"/>
          <w:lang w:eastAsia="en-IN"/>
        </w:rPr>
        <w:t>y</w:t>
      </w:r>
      <w:r w:rsidRPr="00C74934">
        <w:rPr>
          <w:rFonts w:ascii="Arial" w:eastAsia="Times New Roman" w:hAnsi="Arial" w:cs="Arial"/>
          <w:sz w:val="24"/>
          <w:szCs w:val="24"/>
          <w:lang w:eastAsia="en-IN"/>
        </w:rPr>
        <w:t>;</w:t>
      </w:r>
    </w:p>
    <w:p w14:paraId="67260F6D" w14:textId="77777777" w:rsidR="00213FCB" w:rsidRPr="00C74934" w:rsidRDefault="00213FCB" w:rsidP="00F47A79">
      <w:pPr>
        <w:spacing w:after="0" w:line="240" w:lineRule="auto"/>
        <w:ind w:left="360"/>
        <w:jc w:val="both"/>
        <w:rPr>
          <w:rFonts w:ascii="Arial" w:eastAsia="Times New Roman" w:hAnsi="Arial" w:cs="Arial"/>
          <w:sz w:val="24"/>
          <w:szCs w:val="24"/>
          <w:lang w:eastAsia="en-IN"/>
        </w:rPr>
      </w:pPr>
    </w:p>
    <w:p w14:paraId="4BF2D96C" w14:textId="36774924" w:rsidR="00831724" w:rsidRPr="00C74934" w:rsidRDefault="00831724" w:rsidP="00F47A79">
      <w:pPr>
        <w:spacing w:after="0" w:line="240" w:lineRule="auto"/>
        <w:ind w:left="144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(c)</w:t>
      </w:r>
      <w:r w:rsidR="0073364C">
        <w:rPr>
          <w:rFonts w:ascii="Arial" w:eastAsia="Times New Roman" w:hAnsi="Arial" w:cs="Arial"/>
          <w:sz w:val="24"/>
          <w:szCs w:val="24"/>
          <w:lang w:eastAsia="en-IN"/>
        </w:rPr>
        <w:tab/>
      </w:r>
      <w:r w:rsidRPr="00C74934">
        <w:rPr>
          <w:rFonts w:ascii="Arial" w:eastAsia="Times New Roman" w:hAnsi="Arial" w:cs="Arial"/>
          <w:sz w:val="24"/>
          <w:szCs w:val="24"/>
          <w:lang w:eastAsia="en-IN"/>
        </w:rPr>
        <w:t>the use of accreditation to qualify conformity assessment bodies, including through relevant multilateral agreements or arrangements, to recognise the accreditation granted by</w:t>
      </w:r>
      <w:r w:rsidR="00C10D2D" w:rsidRPr="00C74934">
        <w:rPr>
          <w:rFonts w:ascii="Arial" w:eastAsia="Times New Roman" w:hAnsi="Arial" w:cs="Arial"/>
          <w:sz w:val="24"/>
          <w:szCs w:val="24"/>
          <w:lang w:eastAsia="en-IN"/>
        </w:rPr>
        <w:t xml:space="preserve"> the</w:t>
      </w:r>
      <w:r w:rsidRPr="00C74934">
        <w:rPr>
          <w:rFonts w:ascii="Arial" w:eastAsia="Times New Roman" w:hAnsi="Arial" w:cs="Arial"/>
          <w:sz w:val="24"/>
          <w:szCs w:val="24"/>
          <w:lang w:eastAsia="en-IN"/>
        </w:rPr>
        <w:t xml:space="preserve"> other Part</w:t>
      </w:r>
      <w:r w:rsidR="00DE1A8E">
        <w:rPr>
          <w:rFonts w:ascii="Arial" w:eastAsia="Times New Roman" w:hAnsi="Arial" w:cs="Arial"/>
          <w:sz w:val="24"/>
          <w:szCs w:val="24"/>
          <w:lang w:eastAsia="en-IN"/>
        </w:rPr>
        <w:t>y</w:t>
      </w:r>
      <w:r w:rsidRPr="00C74934">
        <w:rPr>
          <w:rFonts w:ascii="Arial" w:eastAsia="Times New Roman" w:hAnsi="Arial" w:cs="Arial"/>
          <w:sz w:val="24"/>
          <w:szCs w:val="24"/>
          <w:lang w:eastAsia="en-IN"/>
        </w:rPr>
        <w:t>;</w:t>
      </w:r>
    </w:p>
    <w:p w14:paraId="63E9D9B3" w14:textId="77777777" w:rsidR="00EE38FD" w:rsidRPr="00C74934" w:rsidRDefault="00EE38FD" w:rsidP="00F47A79">
      <w:pPr>
        <w:spacing w:after="0" w:line="240" w:lineRule="auto"/>
        <w:jc w:val="both"/>
        <w:rPr>
          <w:rFonts w:ascii="Arial" w:eastAsia="Times New Roman" w:hAnsi="Arial" w:cs="Arial"/>
          <w:sz w:val="24"/>
          <w:szCs w:val="24"/>
          <w:lang w:eastAsia="en-IN"/>
        </w:rPr>
      </w:pPr>
    </w:p>
    <w:p w14:paraId="149D0A0E" w14:textId="70FC66C4" w:rsidR="00831724" w:rsidRPr="00C74934" w:rsidRDefault="00831724" w:rsidP="00F47A79">
      <w:pPr>
        <w:spacing w:after="0" w:line="240" w:lineRule="auto"/>
        <w:ind w:left="144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(d)</w:t>
      </w:r>
      <w:r w:rsidR="0073364C">
        <w:rPr>
          <w:rFonts w:ascii="Arial" w:eastAsia="Times New Roman" w:hAnsi="Arial" w:cs="Arial"/>
          <w:sz w:val="24"/>
          <w:szCs w:val="24"/>
          <w:lang w:eastAsia="en-IN"/>
        </w:rPr>
        <w:tab/>
      </w:r>
      <w:r w:rsidRPr="00C74934">
        <w:rPr>
          <w:rFonts w:ascii="Arial" w:eastAsia="Times New Roman" w:hAnsi="Arial" w:cs="Arial"/>
          <w:sz w:val="24"/>
          <w:szCs w:val="24"/>
          <w:lang w:eastAsia="en-IN"/>
        </w:rPr>
        <w:t xml:space="preserve">the designation of conformity assessment bodies in </w:t>
      </w:r>
      <w:r w:rsidR="00C10D2D" w:rsidRPr="00C74934">
        <w:rPr>
          <w:rFonts w:ascii="Arial" w:eastAsia="Times New Roman" w:hAnsi="Arial" w:cs="Arial"/>
          <w:sz w:val="24"/>
          <w:szCs w:val="24"/>
          <w:lang w:eastAsia="en-IN"/>
        </w:rPr>
        <w:t xml:space="preserve">the other </w:t>
      </w:r>
      <w:r w:rsidRPr="00C74934">
        <w:rPr>
          <w:rFonts w:ascii="Arial" w:eastAsia="Times New Roman" w:hAnsi="Arial" w:cs="Arial"/>
          <w:sz w:val="24"/>
          <w:szCs w:val="24"/>
          <w:lang w:eastAsia="en-IN"/>
        </w:rPr>
        <w:t>Party;</w:t>
      </w:r>
    </w:p>
    <w:p w14:paraId="7C6CE7DC" w14:textId="77777777" w:rsidR="00213FCB" w:rsidRPr="00C74934" w:rsidRDefault="00213FCB" w:rsidP="00F47A79">
      <w:pPr>
        <w:spacing w:after="0" w:line="240" w:lineRule="auto"/>
        <w:ind w:left="360"/>
        <w:jc w:val="both"/>
        <w:rPr>
          <w:rFonts w:ascii="Arial" w:eastAsia="Times New Roman" w:hAnsi="Arial" w:cs="Arial"/>
          <w:sz w:val="24"/>
          <w:szCs w:val="24"/>
          <w:lang w:eastAsia="en-IN"/>
        </w:rPr>
      </w:pPr>
    </w:p>
    <w:p w14:paraId="3856B207" w14:textId="68A25CB8" w:rsidR="00831724" w:rsidRPr="00C74934" w:rsidRDefault="00831724" w:rsidP="00F47A79">
      <w:pPr>
        <w:spacing w:after="0" w:line="240" w:lineRule="auto"/>
        <w:ind w:left="144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lastRenderedPageBreak/>
        <w:t>(e)</w:t>
      </w:r>
      <w:r w:rsidR="0073364C">
        <w:rPr>
          <w:rFonts w:ascii="Arial" w:eastAsia="Times New Roman" w:hAnsi="Arial" w:cs="Arial"/>
          <w:sz w:val="24"/>
          <w:szCs w:val="24"/>
          <w:lang w:eastAsia="en-IN"/>
        </w:rPr>
        <w:tab/>
      </w:r>
      <w:r w:rsidRPr="00C74934">
        <w:rPr>
          <w:rFonts w:ascii="Arial" w:eastAsia="Times New Roman" w:hAnsi="Arial" w:cs="Arial"/>
          <w:sz w:val="24"/>
          <w:szCs w:val="24"/>
          <w:lang w:eastAsia="en-IN"/>
        </w:rPr>
        <w:t xml:space="preserve">unilateral recognition by a Party of results of conformity assessment procedures conducted in </w:t>
      </w:r>
      <w:r w:rsidR="00425F4E">
        <w:rPr>
          <w:rFonts w:ascii="Arial" w:eastAsia="Times New Roman" w:hAnsi="Arial" w:cs="Arial"/>
          <w:sz w:val="24"/>
          <w:szCs w:val="24"/>
          <w:lang w:eastAsia="en-IN"/>
        </w:rPr>
        <w:t xml:space="preserve">the other </w:t>
      </w:r>
      <w:r w:rsidRPr="00C74934">
        <w:rPr>
          <w:rFonts w:ascii="Arial" w:eastAsia="Times New Roman" w:hAnsi="Arial" w:cs="Arial"/>
          <w:sz w:val="24"/>
          <w:szCs w:val="24"/>
          <w:lang w:eastAsia="en-IN"/>
        </w:rPr>
        <w:t>Party; and</w:t>
      </w:r>
    </w:p>
    <w:p w14:paraId="520DF6BF" w14:textId="77777777" w:rsidR="00EE38FD" w:rsidRPr="00C74934" w:rsidRDefault="00EE38FD" w:rsidP="00F47A79">
      <w:pPr>
        <w:spacing w:after="0" w:line="240" w:lineRule="auto"/>
        <w:jc w:val="both"/>
        <w:rPr>
          <w:rFonts w:ascii="Arial" w:eastAsia="Times New Roman" w:hAnsi="Arial" w:cs="Arial"/>
          <w:sz w:val="24"/>
          <w:szCs w:val="24"/>
          <w:lang w:eastAsia="en-IN"/>
        </w:rPr>
      </w:pPr>
    </w:p>
    <w:p w14:paraId="3B550C6A" w14:textId="5FE5506A" w:rsidR="00E32BA4" w:rsidRPr="00C74934" w:rsidRDefault="00831724" w:rsidP="00F47A79">
      <w:pPr>
        <w:spacing w:after="0" w:line="240" w:lineRule="auto"/>
        <w:ind w:firstLine="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(f)</w:t>
      </w:r>
      <w:r w:rsidR="0073364C">
        <w:rPr>
          <w:rFonts w:ascii="Arial" w:eastAsia="Times New Roman" w:hAnsi="Arial" w:cs="Arial"/>
          <w:sz w:val="24"/>
          <w:szCs w:val="24"/>
          <w:lang w:eastAsia="en-IN"/>
        </w:rPr>
        <w:tab/>
      </w:r>
      <w:r w:rsidRPr="00C74934">
        <w:rPr>
          <w:rFonts w:ascii="Arial" w:eastAsia="Times New Roman" w:hAnsi="Arial" w:cs="Arial"/>
          <w:sz w:val="24"/>
          <w:szCs w:val="24"/>
          <w:lang w:eastAsia="en-IN"/>
        </w:rPr>
        <w:t>manufacturer's or supplier's declaration of conformity.</w:t>
      </w:r>
    </w:p>
    <w:p w14:paraId="44B353CC" w14:textId="31F7FFB7" w:rsidR="00576E3B" w:rsidRPr="00C74934" w:rsidRDefault="00576E3B" w:rsidP="00F47A79">
      <w:pPr>
        <w:spacing w:after="0" w:line="240" w:lineRule="auto"/>
        <w:jc w:val="both"/>
        <w:rPr>
          <w:rFonts w:ascii="Arial" w:eastAsia="Times New Roman" w:hAnsi="Arial" w:cs="Arial"/>
          <w:sz w:val="24"/>
          <w:szCs w:val="24"/>
          <w:lang w:eastAsia="en-IN"/>
        </w:rPr>
      </w:pPr>
    </w:p>
    <w:p w14:paraId="2B01AB60" w14:textId="000F9E30" w:rsidR="00213FCB" w:rsidRPr="00C74934" w:rsidRDefault="00213FCB" w:rsidP="00F47A79">
      <w:pPr>
        <w:spacing w:after="0" w:line="240" w:lineRule="auto"/>
        <w:ind w:left="72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5.</w:t>
      </w:r>
      <w:r w:rsidR="00AF505E">
        <w:rPr>
          <w:rFonts w:ascii="Arial" w:eastAsia="Times New Roman" w:hAnsi="Arial" w:cs="Arial"/>
          <w:sz w:val="24"/>
          <w:szCs w:val="24"/>
          <w:lang w:eastAsia="en-IN"/>
        </w:rPr>
        <w:tab/>
      </w:r>
      <w:r w:rsidRPr="00C74934">
        <w:rPr>
          <w:rFonts w:ascii="Arial" w:eastAsia="Times New Roman" w:hAnsi="Arial" w:cs="Arial"/>
          <w:sz w:val="24"/>
          <w:szCs w:val="24"/>
          <w:lang w:eastAsia="en-IN"/>
        </w:rPr>
        <w:t>Upon reasonable request</w:t>
      </w:r>
      <w:r w:rsidR="00B02C2C">
        <w:rPr>
          <w:rFonts w:ascii="Arial" w:eastAsia="Times New Roman" w:hAnsi="Arial" w:cs="Arial"/>
          <w:sz w:val="24"/>
          <w:szCs w:val="24"/>
          <w:lang w:eastAsia="en-IN"/>
        </w:rPr>
        <w:t xml:space="preserve"> by a Party</w:t>
      </w:r>
      <w:r w:rsidRPr="00C74934">
        <w:rPr>
          <w:rFonts w:ascii="Arial" w:eastAsia="Times New Roman" w:hAnsi="Arial" w:cs="Arial"/>
          <w:sz w:val="24"/>
          <w:szCs w:val="24"/>
          <w:lang w:eastAsia="en-IN"/>
        </w:rPr>
        <w:t xml:space="preserve">, the </w:t>
      </w:r>
      <w:r w:rsidR="007F1175">
        <w:rPr>
          <w:rFonts w:ascii="Arial" w:eastAsia="Times New Roman" w:hAnsi="Arial" w:cs="Arial"/>
          <w:sz w:val="24"/>
          <w:szCs w:val="24"/>
          <w:lang w:eastAsia="en-IN"/>
        </w:rPr>
        <w:t>other Party</w:t>
      </w:r>
      <w:r w:rsidRPr="00C74934">
        <w:rPr>
          <w:rFonts w:ascii="Arial" w:eastAsia="Times New Roman" w:hAnsi="Arial" w:cs="Arial"/>
          <w:sz w:val="24"/>
          <w:szCs w:val="24"/>
          <w:lang w:eastAsia="en-IN"/>
        </w:rPr>
        <w:t xml:space="preserve"> shall exchange information or share experiences on the mechanisms referred to in paragraph </w:t>
      </w:r>
      <w:r w:rsidR="000D60CB" w:rsidRPr="00C74934">
        <w:rPr>
          <w:rFonts w:ascii="Arial" w:eastAsia="Times New Roman" w:hAnsi="Arial" w:cs="Arial"/>
          <w:sz w:val="24"/>
          <w:szCs w:val="24"/>
          <w:lang w:eastAsia="en-IN"/>
        </w:rPr>
        <w:t>4</w:t>
      </w:r>
      <w:r w:rsidRPr="00C74934">
        <w:rPr>
          <w:rFonts w:ascii="Arial" w:eastAsia="Times New Roman" w:hAnsi="Arial" w:cs="Arial"/>
          <w:sz w:val="24"/>
          <w:szCs w:val="24"/>
          <w:lang w:eastAsia="en-IN"/>
        </w:rPr>
        <w:t xml:space="preserve">, including their development and application, with a view to facilitating the acceptance of the results of conformity assessment </w:t>
      </w:r>
      <w:r w:rsidRPr="00C74934">
        <w:rPr>
          <w:rFonts w:ascii="Arial" w:eastAsia="Times New Roman" w:hAnsi="Arial" w:cs="Arial"/>
          <w:sz w:val="24"/>
          <w:szCs w:val="24"/>
          <w:shd w:val="clear" w:color="auto" w:fill="FFFFFF" w:themeFill="background1"/>
          <w:lang w:eastAsia="en-IN"/>
        </w:rPr>
        <w:t>procedures</w:t>
      </w:r>
      <w:r w:rsidR="000D60CB" w:rsidRPr="00C74934">
        <w:rPr>
          <w:rFonts w:ascii="Arial" w:eastAsia="Times New Roman" w:hAnsi="Arial" w:cs="Arial"/>
          <w:sz w:val="24"/>
          <w:szCs w:val="24"/>
          <w:shd w:val="clear" w:color="auto" w:fill="FFFFFF" w:themeFill="background1"/>
          <w:lang w:eastAsia="en-IN"/>
        </w:rPr>
        <w:t>, provided it is satisfied that those procedures offer an assurance of conformity with applicable technical regulations or standards equivalent to its own procedures</w:t>
      </w:r>
      <w:r w:rsidR="00EE38FD" w:rsidRPr="00C74934">
        <w:rPr>
          <w:rFonts w:ascii="Arial" w:eastAsia="Times New Roman" w:hAnsi="Arial" w:cs="Arial"/>
          <w:sz w:val="24"/>
          <w:szCs w:val="24"/>
          <w:shd w:val="clear" w:color="auto" w:fill="FFFFFF" w:themeFill="background1"/>
          <w:lang w:eastAsia="en-IN"/>
        </w:rPr>
        <w:t>.</w:t>
      </w:r>
    </w:p>
    <w:p w14:paraId="4D3A5772" w14:textId="77777777" w:rsidR="00EE38FD" w:rsidRPr="00C74934" w:rsidRDefault="00EE38FD" w:rsidP="00F47A79">
      <w:pPr>
        <w:spacing w:after="0" w:line="240" w:lineRule="auto"/>
        <w:jc w:val="both"/>
        <w:rPr>
          <w:rFonts w:ascii="Arial" w:eastAsia="Times New Roman" w:hAnsi="Arial" w:cs="Arial"/>
          <w:sz w:val="24"/>
          <w:szCs w:val="24"/>
          <w:lang w:eastAsia="en-IN"/>
        </w:rPr>
      </w:pPr>
    </w:p>
    <w:p w14:paraId="4DEDBD22" w14:textId="08C945A5" w:rsidR="00213FCB" w:rsidRPr="00C74934" w:rsidRDefault="00213FCB" w:rsidP="00F47A79">
      <w:pPr>
        <w:spacing w:after="0" w:line="240" w:lineRule="auto"/>
        <w:ind w:left="72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6.</w:t>
      </w:r>
      <w:r w:rsidR="00AF505E">
        <w:rPr>
          <w:rFonts w:ascii="Arial" w:eastAsia="Times New Roman" w:hAnsi="Arial" w:cs="Arial"/>
          <w:sz w:val="24"/>
          <w:szCs w:val="24"/>
          <w:lang w:eastAsia="en-IN"/>
        </w:rPr>
        <w:tab/>
      </w:r>
      <w:r w:rsidRPr="00C74934">
        <w:rPr>
          <w:rFonts w:ascii="Arial" w:eastAsia="Times New Roman" w:hAnsi="Arial" w:cs="Arial"/>
          <w:sz w:val="24"/>
          <w:szCs w:val="24"/>
          <w:lang w:eastAsia="en-IN"/>
        </w:rPr>
        <w:t xml:space="preserve">The Parties recognise the important role that relevant international, including regional, organisations can play in cooperation in the area of conformity assessment. In this regard, each Party shall take into consideration the participation status or membership in such organisations of relevant bodies </w:t>
      </w:r>
      <w:r w:rsidR="00C10D2D" w:rsidRPr="00C74934">
        <w:rPr>
          <w:rFonts w:ascii="Arial" w:eastAsia="Times New Roman" w:hAnsi="Arial" w:cs="Arial"/>
          <w:sz w:val="24"/>
          <w:szCs w:val="24"/>
          <w:lang w:eastAsia="en-IN"/>
        </w:rPr>
        <w:t xml:space="preserve">of the other </w:t>
      </w:r>
      <w:r w:rsidRPr="00C74934">
        <w:rPr>
          <w:rFonts w:ascii="Arial" w:eastAsia="Times New Roman" w:hAnsi="Arial" w:cs="Arial"/>
          <w:sz w:val="24"/>
          <w:szCs w:val="24"/>
          <w:lang w:eastAsia="en-IN"/>
        </w:rPr>
        <w:t>Part</w:t>
      </w:r>
      <w:r w:rsidR="00C10D2D" w:rsidRPr="00C74934">
        <w:rPr>
          <w:rFonts w:ascii="Arial" w:eastAsia="Times New Roman" w:hAnsi="Arial" w:cs="Arial"/>
          <w:sz w:val="24"/>
          <w:szCs w:val="24"/>
          <w:lang w:eastAsia="en-IN"/>
        </w:rPr>
        <w:t xml:space="preserve">y </w:t>
      </w:r>
      <w:r w:rsidRPr="00C74934">
        <w:rPr>
          <w:rFonts w:ascii="Arial" w:eastAsia="Times New Roman" w:hAnsi="Arial" w:cs="Arial"/>
          <w:sz w:val="24"/>
          <w:szCs w:val="24"/>
          <w:lang w:eastAsia="en-IN"/>
        </w:rPr>
        <w:t>in facilitating this cooperation.</w:t>
      </w:r>
    </w:p>
    <w:p w14:paraId="09B5B05C" w14:textId="77777777" w:rsidR="00EE38FD" w:rsidRPr="00C74934" w:rsidRDefault="00EE38FD" w:rsidP="00F47A79">
      <w:pPr>
        <w:spacing w:after="0" w:line="240" w:lineRule="auto"/>
        <w:jc w:val="both"/>
        <w:rPr>
          <w:rFonts w:ascii="Arial" w:eastAsia="Times New Roman" w:hAnsi="Arial" w:cs="Arial"/>
          <w:sz w:val="24"/>
          <w:szCs w:val="24"/>
          <w:lang w:eastAsia="en-IN"/>
        </w:rPr>
      </w:pPr>
    </w:p>
    <w:p w14:paraId="47F9266A" w14:textId="62A26750" w:rsidR="00213FCB" w:rsidRPr="00C74934" w:rsidRDefault="00213FCB" w:rsidP="00F47A79">
      <w:pPr>
        <w:spacing w:after="0" w:line="240" w:lineRule="auto"/>
        <w:ind w:left="72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 xml:space="preserve">7. </w:t>
      </w:r>
      <w:r w:rsidR="00AF505E">
        <w:rPr>
          <w:rFonts w:ascii="Arial" w:eastAsia="Times New Roman" w:hAnsi="Arial" w:cs="Arial"/>
          <w:sz w:val="24"/>
          <w:szCs w:val="24"/>
          <w:lang w:eastAsia="en-IN"/>
        </w:rPr>
        <w:tab/>
      </w:r>
      <w:r w:rsidRPr="00C74934">
        <w:rPr>
          <w:rFonts w:ascii="Arial" w:eastAsia="Times New Roman" w:hAnsi="Arial" w:cs="Arial"/>
          <w:sz w:val="24"/>
          <w:szCs w:val="24"/>
          <w:lang w:eastAsia="en-IN"/>
        </w:rPr>
        <w:t>The Parties agree to encourage cooperation between their relevant conformity assessment bodies in working closer with a view to facilitating the acceptance of conformity assessment results between</w:t>
      </w:r>
      <w:r w:rsidR="00624C03">
        <w:rPr>
          <w:rFonts w:ascii="Arial" w:eastAsia="Times New Roman" w:hAnsi="Arial" w:cs="Arial"/>
          <w:sz w:val="24"/>
          <w:szCs w:val="24"/>
          <w:lang w:eastAsia="en-IN"/>
        </w:rPr>
        <w:t xml:space="preserve"> the</w:t>
      </w:r>
      <w:r w:rsidRPr="00C74934">
        <w:rPr>
          <w:rFonts w:ascii="Arial" w:eastAsia="Times New Roman" w:hAnsi="Arial" w:cs="Arial"/>
          <w:sz w:val="24"/>
          <w:szCs w:val="24"/>
          <w:lang w:eastAsia="en-IN"/>
        </w:rPr>
        <w:t xml:space="preserve"> Parties.</w:t>
      </w:r>
    </w:p>
    <w:p w14:paraId="7E9D6E2C" w14:textId="77777777" w:rsidR="00EE38FD" w:rsidRPr="00C74934" w:rsidRDefault="00EE38FD" w:rsidP="00F47A79">
      <w:pPr>
        <w:spacing w:after="0" w:line="240" w:lineRule="auto"/>
        <w:jc w:val="both"/>
        <w:rPr>
          <w:rFonts w:ascii="Arial" w:eastAsia="Times New Roman" w:hAnsi="Arial" w:cs="Arial"/>
          <w:sz w:val="24"/>
          <w:szCs w:val="24"/>
          <w:lang w:eastAsia="en-IN"/>
        </w:rPr>
      </w:pPr>
    </w:p>
    <w:p w14:paraId="4215797B" w14:textId="66F04375" w:rsidR="00213FCB" w:rsidRPr="00C74934" w:rsidRDefault="00213FCB" w:rsidP="00F47A79">
      <w:pPr>
        <w:spacing w:after="0" w:line="240" w:lineRule="auto"/>
        <w:ind w:left="72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 xml:space="preserve">8. </w:t>
      </w:r>
      <w:r w:rsidR="00AF505E">
        <w:rPr>
          <w:rFonts w:ascii="Arial" w:eastAsia="Times New Roman" w:hAnsi="Arial" w:cs="Arial"/>
          <w:sz w:val="24"/>
          <w:szCs w:val="24"/>
          <w:lang w:eastAsia="en-IN"/>
        </w:rPr>
        <w:tab/>
      </w:r>
      <w:r w:rsidRPr="00C74934">
        <w:rPr>
          <w:rFonts w:ascii="Arial" w:eastAsia="Times New Roman" w:hAnsi="Arial" w:cs="Arial"/>
          <w:sz w:val="24"/>
          <w:szCs w:val="24"/>
          <w:lang w:eastAsia="en-IN"/>
        </w:rPr>
        <w:t xml:space="preserve">Each Party shall, whenever possible, permit the participation of conformity assessment bodies </w:t>
      </w:r>
      <w:r w:rsidR="00C10D2D" w:rsidRPr="00C74934">
        <w:rPr>
          <w:rFonts w:ascii="Arial" w:eastAsia="Times New Roman" w:hAnsi="Arial" w:cs="Arial"/>
          <w:sz w:val="24"/>
          <w:szCs w:val="24"/>
          <w:lang w:eastAsia="en-IN"/>
        </w:rPr>
        <w:t xml:space="preserve">of the other </w:t>
      </w:r>
      <w:r w:rsidRPr="00C74934">
        <w:rPr>
          <w:rFonts w:ascii="Arial" w:eastAsia="Times New Roman" w:hAnsi="Arial" w:cs="Arial"/>
          <w:sz w:val="24"/>
          <w:szCs w:val="24"/>
          <w:lang w:eastAsia="en-IN"/>
        </w:rPr>
        <w:t xml:space="preserve">Party in its conformity assessment procedures under conditions no less favourable than those accorded to conformity assessment bodies </w:t>
      </w:r>
      <w:r w:rsidR="00870DEC">
        <w:rPr>
          <w:rFonts w:ascii="Arial" w:eastAsia="Times New Roman" w:hAnsi="Arial" w:cs="Arial"/>
          <w:sz w:val="24"/>
          <w:szCs w:val="24"/>
          <w:lang w:eastAsia="en-IN"/>
        </w:rPr>
        <w:t>in that</w:t>
      </w:r>
      <w:r w:rsidRPr="00C74934">
        <w:rPr>
          <w:rFonts w:ascii="Arial" w:eastAsia="Times New Roman" w:hAnsi="Arial" w:cs="Arial"/>
          <w:sz w:val="24"/>
          <w:szCs w:val="24"/>
          <w:lang w:eastAsia="en-IN"/>
        </w:rPr>
        <w:t xml:space="preserve"> Party.</w:t>
      </w:r>
    </w:p>
    <w:p w14:paraId="32385DD4" w14:textId="77777777" w:rsidR="00EE38FD" w:rsidRPr="00C74934" w:rsidRDefault="00EE38FD" w:rsidP="00F47A79">
      <w:pPr>
        <w:spacing w:after="0" w:line="240" w:lineRule="auto"/>
        <w:jc w:val="both"/>
        <w:rPr>
          <w:rFonts w:ascii="Arial" w:eastAsia="Times New Roman" w:hAnsi="Arial" w:cs="Arial"/>
          <w:sz w:val="24"/>
          <w:szCs w:val="24"/>
          <w:lang w:eastAsia="en-IN"/>
        </w:rPr>
      </w:pPr>
    </w:p>
    <w:p w14:paraId="1AC26406" w14:textId="354168AB" w:rsidR="00C74934" w:rsidRDefault="00213FCB" w:rsidP="00400F3C">
      <w:pPr>
        <w:spacing w:after="0" w:line="240" w:lineRule="auto"/>
        <w:ind w:left="720" w:hanging="720"/>
        <w:jc w:val="both"/>
        <w:rPr>
          <w:rFonts w:ascii="Arial" w:eastAsia="Times New Roman" w:hAnsi="Arial" w:cs="Arial"/>
          <w:sz w:val="24"/>
          <w:szCs w:val="24"/>
          <w:lang w:eastAsia="en-IN"/>
        </w:rPr>
      </w:pPr>
      <w:r w:rsidRPr="00C74934">
        <w:rPr>
          <w:rFonts w:ascii="Arial" w:eastAsia="Times New Roman" w:hAnsi="Arial" w:cs="Arial"/>
          <w:sz w:val="24"/>
          <w:szCs w:val="24"/>
          <w:lang w:eastAsia="en-IN"/>
        </w:rPr>
        <w:t xml:space="preserve">9. </w:t>
      </w:r>
      <w:r w:rsidR="00AF505E">
        <w:rPr>
          <w:rFonts w:ascii="Arial" w:eastAsia="Times New Roman" w:hAnsi="Arial" w:cs="Arial"/>
          <w:sz w:val="24"/>
          <w:szCs w:val="24"/>
          <w:lang w:eastAsia="en-IN"/>
        </w:rPr>
        <w:tab/>
      </w:r>
      <w:r w:rsidRPr="00C74934">
        <w:rPr>
          <w:rFonts w:ascii="Arial" w:eastAsia="Times New Roman" w:hAnsi="Arial" w:cs="Arial"/>
          <w:sz w:val="24"/>
          <w:szCs w:val="24"/>
          <w:lang w:eastAsia="en-IN"/>
        </w:rPr>
        <w:t xml:space="preserve">Where a Party permits participation of its conformity assessment bodies and does not permit participation of conformity assessment bodies in </w:t>
      </w:r>
      <w:r w:rsidR="00C10D2D" w:rsidRPr="00C74934">
        <w:rPr>
          <w:rFonts w:ascii="Arial" w:eastAsia="Times New Roman" w:hAnsi="Arial" w:cs="Arial"/>
          <w:sz w:val="24"/>
          <w:szCs w:val="24"/>
          <w:lang w:eastAsia="en-IN"/>
        </w:rPr>
        <w:t xml:space="preserve">the other </w:t>
      </w:r>
      <w:r w:rsidRPr="00C74934">
        <w:rPr>
          <w:rFonts w:ascii="Arial" w:eastAsia="Times New Roman" w:hAnsi="Arial" w:cs="Arial"/>
          <w:sz w:val="24"/>
          <w:szCs w:val="24"/>
          <w:lang w:eastAsia="en-IN"/>
        </w:rPr>
        <w:t>Party in its conformity assessment procedures, it shall, on request of that other Party, explain the reason for its refusal decision.</w:t>
      </w:r>
    </w:p>
    <w:p w14:paraId="225701AB" w14:textId="0D422749" w:rsidR="0063370F" w:rsidRDefault="0063370F" w:rsidP="00F47A79">
      <w:pPr>
        <w:spacing w:after="0" w:line="240" w:lineRule="auto"/>
        <w:jc w:val="both"/>
        <w:rPr>
          <w:rFonts w:ascii="Arial" w:eastAsia="Times New Roman" w:hAnsi="Arial" w:cs="Arial"/>
          <w:b/>
          <w:bCs/>
          <w:sz w:val="24"/>
          <w:szCs w:val="24"/>
          <w:lang w:eastAsia="en-IN"/>
        </w:rPr>
      </w:pPr>
    </w:p>
    <w:p w14:paraId="30CEDBCA" w14:textId="77777777" w:rsidR="002B4308" w:rsidRDefault="002B4308" w:rsidP="008E63E5">
      <w:pPr>
        <w:spacing w:after="0" w:line="240" w:lineRule="auto"/>
        <w:jc w:val="both"/>
        <w:rPr>
          <w:rFonts w:ascii="Arial" w:eastAsia="Times New Roman" w:hAnsi="Arial" w:cs="Arial"/>
          <w:b/>
          <w:bCs/>
          <w:sz w:val="24"/>
          <w:szCs w:val="24"/>
          <w:lang w:eastAsia="en-IN"/>
        </w:rPr>
      </w:pPr>
    </w:p>
    <w:p w14:paraId="48CA0996" w14:textId="6908000E" w:rsidR="00E32BA4" w:rsidRPr="00530F1B" w:rsidRDefault="00E32BA4" w:rsidP="00DA0779">
      <w:pPr>
        <w:pStyle w:val="Heading2"/>
      </w:pPr>
      <w:r w:rsidRPr="00530F1B">
        <w:t>A</w:t>
      </w:r>
      <w:r w:rsidR="006E24DA">
        <w:t>rticle 7</w:t>
      </w:r>
      <w:r w:rsidRPr="00530F1B">
        <w:t>.</w:t>
      </w:r>
      <w:r w:rsidR="00890032" w:rsidRPr="00530F1B">
        <w:t>8</w:t>
      </w:r>
      <w:r w:rsidR="005C263B">
        <w:br/>
      </w:r>
      <w:r w:rsidR="00C11354">
        <w:t>Cooperation</w:t>
      </w:r>
    </w:p>
    <w:p w14:paraId="09DE997C" w14:textId="77777777" w:rsidR="00E32BA4" w:rsidRPr="00530F1B" w:rsidRDefault="00E32BA4" w:rsidP="00492E86">
      <w:pPr>
        <w:spacing w:after="0" w:line="240" w:lineRule="auto"/>
        <w:ind w:left="452"/>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47E1763A" w14:textId="77777777" w:rsidR="00AB6CCA" w:rsidRDefault="004C38E9" w:rsidP="00492E86">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1.</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The Parties shall encourage cooperation between their respective organisations responsible for standardisation, conformity assessment and accreditation, with a view to </w:t>
      </w:r>
      <w:r w:rsidR="00E32BA4" w:rsidRPr="00670BC3">
        <w:rPr>
          <w:rFonts w:ascii="Arial" w:eastAsia="Times New Roman" w:hAnsi="Arial" w:cs="Arial"/>
          <w:sz w:val="24"/>
          <w:szCs w:val="24"/>
          <w:lang w:eastAsia="en-IN"/>
        </w:rPr>
        <w:t>facilitat</w:t>
      </w:r>
      <w:r w:rsidR="009205A9" w:rsidRPr="00670BC3">
        <w:rPr>
          <w:rFonts w:ascii="Arial" w:eastAsia="Times New Roman" w:hAnsi="Arial" w:cs="Arial"/>
          <w:sz w:val="24"/>
          <w:szCs w:val="24"/>
          <w:lang w:eastAsia="en-IN"/>
        </w:rPr>
        <w:t>ing</w:t>
      </w:r>
      <w:r w:rsidR="00E32BA4" w:rsidRPr="00530F1B">
        <w:rPr>
          <w:rFonts w:ascii="Arial" w:eastAsia="Times New Roman" w:hAnsi="Arial" w:cs="Arial"/>
          <w:sz w:val="24"/>
          <w:szCs w:val="24"/>
          <w:lang w:eastAsia="en-IN"/>
        </w:rPr>
        <w:t xml:space="preserve"> trade.</w:t>
      </w:r>
    </w:p>
    <w:p w14:paraId="262F3010" w14:textId="7694DCA4" w:rsidR="00670BC3" w:rsidRPr="00530F1B" w:rsidRDefault="00AB6CCA" w:rsidP="00F47A79">
      <w:pPr>
        <w:spacing w:after="0" w:line="240" w:lineRule="auto"/>
        <w:ind w:left="720" w:hanging="720"/>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xml:space="preserve"> </w:t>
      </w:r>
    </w:p>
    <w:p w14:paraId="52F842AA" w14:textId="7A73CCC1" w:rsidR="00E32BA4" w:rsidRPr="00530F1B" w:rsidRDefault="004C38E9"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2.</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Each Party shall, upon request of the other Party, give positive consideration to proposals for cooperation on matters of mutual interest on standards, technical regulations and conformity assessment procedures. </w:t>
      </w:r>
    </w:p>
    <w:p w14:paraId="19225ED5" w14:textId="77777777" w:rsidR="00EC2B47" w:rsidRPr="00530F1B" w:rsidRDefault="00EC2B47" w:rsidP="00F47A79">
      <w:pPr>
        <w:pStyle w:val="ListParagraph"/>
        <w:spacing w:after="0" w:line="240" w:lineRule="auto"/>
        <w:jc w:val="both"/>
        <w:rPr>
          <w:rFonts w:ascii="Arial" w:eastAsia="Times New Roman" w:hAnsi="Arial" w:cs="Arial"/>
          <w:sz w:val="24"/>
          <w:szCs w:val="24"/>
          <w:lang w:eastAsia="en-IN"/>
        </w:rPr>
      </w:pPr>
    </w:p>
    <w:p w14:paraId="569CDA82" w14:textId="63C076A9" w:rsidR="00E32BA4" w:rsidRPr="00530F1B" w:rsidRDefault="004C38E9"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3.</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Such cooperation, which shall be on mutually determined terms and conditions, may include: </w:t>
      </w:r>
    </w:p>
    <w:p w14:paraId="12289B3E" w14:textId="77777777" w:rsidR="004C38E9" w:rsidRDefault="004C38E9" w:rsidP="00F47A79">
      <w:pPr>
        <w:spacing w:after="0" w:line="240" w:lineRule="auto"/>
        <w:ind w:left="360" w:firstLine="360"/>
        <w:jc w:val="both"/>
        <w:rPr>
          <w:rFonts w:ascii="Arial" w:eastAsia="Times New Roman" w:hAnsi="Arial" w:cs="Arial"/>
          <w:sz w:val="24"/>
          <w:szCs w:val="24"/>
          <w:lang w:eastAsia="en-IN"/>
        </w:rPr>
      </w:pPr>
    </w:p>
    <w:p w14:paraId="5A7791DB" w14:textId="63F7845E" w:rsidR="00E32BA4" w:rsidRDefault="004C38E9"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lastRenderedPageBreak/>
        <w:t>(a)</w:t>
      </w:r>
      <w:r>
        <w:rPr>
          <w:rFonts w:ascii="Arial" w:eastAsia="Times New Roman" w:hAnsi="Arial" w:cs="Arial"/>
          <w:sz w:val="24"/>
          <w:szCs w:val="24"/>
          <w:lang w:eastAsia="en-IN"/>
        </w:rPr>
        <w:tab/>
      </w:r>
      <w:r w:rsidR="001F5626" w:rsidRPr="001F5626">
        <w:rPr>
          <w:rFonts w:ascii="Arial" w:eastAsia="Times New Roman" w:hAnsi="Arial" w:cs="Arial"/>
          <w:sz w:val="24"/>
          <w:szCs w:val="24"/>
          <w:lang w:eastAsia="en-IN"/>
        </w:rPr>
        <w:t>advice, technical assistance or capacity building relating to the development and application of standards, technical regulations and conformity assessment procedures;</w:t>
      </w:r>
    </w:p>
    <w:p w14:paraId="299DEE1B" w14:textId="77777777" w:rsidR="00AF505E" w:rsidRDefault="00AF505E" w:rsidP="00F47A79">
      <w:pPr>
        <w:spacing w:after="0" w:line="240" w:lineRule="auto"/>
        <w:ind w:left="1440" w:hanging="720"/>
        <w:jc w:val="both"/>
        <w:rPr>
          <w:rFonts w:ascii="Arial" w:eastAsia="Times New Roman" w:hAnsi="Arial" w:cs="Arial"/>
          <w:sz w:val="24"/>
          <w:szCs w:val="24"/>
          <w:lang w:eastAsia="en-IN"/>
        </w:rPr>
      </w:pPr>
    </w:p>
    <w:p w14:paraId="0F53447F" w14:textId="548F9532" w:rsidR="00670BC3" w:rsidRPr="00C6414C" w:rsidRDefault="00C6414C"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(b)</w:t>
      </w:r>
      <w:r>
        <w:rPr>
          <w:rFonts w:ascii="Arial" w:eastAsia="Times New Roman" w:hAnsi="Arial" w:cs="Arial"/>
          <w:sz w:val="24"/>
          <w:szCs w:val="24"/>
          <w:lang w:eastAsia="en-IN"/>
        </w:rPr>
        <w:tab/>
      </w:r>
      <w:r w:rsidR="00C22292" w:rsidRPr="00C6414C">
        <w:rPr>
          <w:rFonts w:ascii="Arial" w:eastAsia="Times New Roman" w:hAnsi="Arial" w:cs="Arial"/>
          <w:sz w:val="24"/>
          <w:szCs w:val="24"/>
          <w:lang w:eastAsia="en-IN"/>
        </w:rPr>
        <w:t>cooperation between conformity assessment bodies, both governmental and non</w:t>
      </w:r>
      <w:r w:rsidR="000D38F3">
        <w:rPr>
          <w:rFonts w:ascii="Arial" w:eastAsia="Times New Roman" w:hAnsi="Arial" w:cs="Arial"/>
          <w:sz w:val="24"/>
          <w:szCs w:val="24"/>
          <w:lang w:eastAsia="en-IN"/>
        </w:rPr>
        <w:t>-</w:t>
      </w:r>
      <w:r w:rsidR="00C22292" w:rsidRPr="00C6414C">
        <w:rPr>
          <w:rFonts w:ascii="Arial" w:eastAsia="Times New Roman" w:hAnsi="Arial" w:cs="Arial"/>
          <w:sz w:val="24"/>
          <w:szCs w:val="24"/>
          <w:lang w:eastAsia="en-IN"/>
        </w:rPr>
        <w:t>governmental, on matters of mutual interest;</w:t>
      </w:r>
    </w:p>
    <w:p w14:paraId="757CEC11" w14:textId="77777777" w:rsidR="00AF505E" w:rsidRDefault="00AF505E" w:rsidP="00F47A79">
      <w:pPr>
        <w:spacing w:after="0" w:line="240" w:lineRule="auto"/>
        <w:ind w:left="1440" w:hanging="720"/>
        <w:jc w:val="both"/>
        <w:rPr>
          <w:rFonts w:ascii="Arial" w:eastAsia="Times New Roman" w:hAnsi="Arial" w:cs="Arial"/>
          <w:sz w:val="24"/>
          <w:szCs w:val="24"/>
          <w:lang w:eastAsia="en-IN"/>
        </w:rPr>
      </w:pPr>
    </w:p>
    <w:p w14:paraId="3EAFB67A" w14:textId="18BF8D3C" w:rsidR="00E32BA4" w:rsidRPr="00530F1B" w:rsidRDefault="00477295"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(c)</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cooperation in areas of mutual interest in the work of relevant regional and international bodies relating to the development and application of standards and conformity assessment procedures, such as enhancing participation in the frameworks for mutual recognition developed by relevant regional and international bodies;</w:t>
      </w:r>
    </w:p>
    <w:p w14:paraId="4BC38405" w14:textId="77777777" w:rsidR="00AF505E" w:rsidRDefault="00AF505E" w:rsidP="00F47A79">
      <w:pPr>
        <w:spacing w:after="0" w:line="240" w:lineRule="auto"/>
        <w:ind w:left="1440" w:hanging="720"/>
        <w:jc w:val="both"/>
        <w:rPr>
          <w:rFonts w:ascii="Arial" w:eastAsia="Times New Roman" w:hAnsi="Arial" w:cs="Arial"/>
          <w:sz w:val="24"/>
          <w:szCs w:val="24"/>
          <w:lang w:eastAsia="en-IN"/>
        </w:rPr>
      </w:pPr>
    </w:p>
    <w:p w14:paraId="75F84421" w14:textId="0799F8E3" w:rsidR="00E32BA4" w:rsidRPr="00477295" w:rsidRDefault="00477295"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(d)</w:t>
      </w:r>
      <w:r>
        <w:rPr>
          <w:rFonts w:ascii="Arial" w:eastAsia="Times New Roman" w:hAnsi="Arial" w:cs="Arial"/>
          <w:sz w:val="24"/>
          <w:szCs w:val="24"/>
          <w:lang w:eastAsia="en-IN"/>
        </w:rPr>
        <w:tab/>
      </w:r>
      <w:r w:rsidR="00E32BA4" w:rsidRPr="00477295">
        <w:rPr>
          <w:rFonts w:ascii="Arial" w:eastAsia="Times New Roman" w:hAnsi="Arial" w:cs="Arial"/>
          <w:sz w:val="24"/>
          <w:szCs w:val="24"/>
          <w:lang w:eastAsia="en-IN"/>
        </w:rPr>
        <w:t>enhancing cooperation in the development and improvement of standards, technical regulations and conformity assessment procedures; and</w:t>
      </w:r>
    </w:p>
    <w:p w14:paraId="44EE55C3" w14:textId="77777777" w:rsidR="00AF505E" w:rsidRDefault="00AF505E" w:rsidP="00F47A79">
      <w:pPr>
        <w:spacing w:after="0" w:line="240" w:lineRule="auto"/>
        <w:ind w:left="1440" w:hanging="720"/>
        <w:jc w:val="both"/>
        <w:rPr>
          <w:rFonts w:ascii="Arial" w:eastAsia="Times New Roman" w:hAnsi="Arial" w:cs="Arial"/>
          <w:sz w:val="24"/>
          <w:szCs w:val="24"/>
          <w:lang w:eastAsia="en-IN"/>
        </w:rPr>
      </w:pPr>
    </w:p>
    <w:p w14:paraId="4C315DA8" w14:textId="26AC8EC8" w:rsidR="00D46117" w:rsidRPr="00C22292" w:rsidRDefault="00477295"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(e)</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strengthening communication and coordination in the WTO TBT Committee and other relevant international or regional </w:t>
      </w:r>
      <w:r w:rsidR="00C22292">
        <w:rPr>
          <w:rFonts w:ascii="Arial" w:eastAsia="Times New Roman" w:hAnsi="Arial" w:cs="Arial"/>
          <w:sz w:val="24"/>
          <w:szCs w:val="24"/>
          <w:lang w:eastAsia="en-IN"/>
        </w:rPr>
        <w:t>fora</w:t>
      </w:r>
      <w:r w:rsidR="00C22292">
        <w:rPr>
          <w:rFonts w:ascii="Arial" w:eastAsia="Times New Roman" w:hAnsi="Arial" w:cs="Arial"/>
          <w:color w:val="4472C4" w:themeColor="accent1"/>
          <w:sz w:val="24"/>
          <w:szCs w:val="24"/>
          <w:lang w:eastAsia="en-IN"/>
        </w:rPr>
        <w:t>.</w:t>
      </w:r>
    </w:p>
    <w:p w14:paraId="3D481E59" w14:textId="77777777" w:rsidR="00E32BA4" w:rsidRPr="00530F1B" w:rsidRDefault="00E32BA4" w:rsidP="00F47A79">
      <w:pPr>
        <w:spacing w:after="0" w:line="240" w:lineRule="auto"/>
        <w:ind w:left="360"/>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12C0FF05" w14:textId="3A6CAD42" w:rsidR="00E32BA4" w:rsidRPr="00D46117" w:rsidRDefault="00E54AE5"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4.</w:t>
      </w:r>
      <w:r>
        <w:rPr>
          <w:rFonts w:ascii="Arial" w:eastAsia="Times New Roman" w:hAnsi="Arial" w:cs="Arial"/>
          <w:sz w:val="24"/>
          <w:szCs w:val="24"/>
          <w:lang w:eastAsia="en-IN"/>
        </w:rPr>
        <w:tab/>
      </w:r>
      <w:r w:rsidR="00E32BA4" w:rsidRPr="00D46117">
        <w:rPr>
          <w:rFonts w:ascii="Arial" w:eastAsia="Times New Roman" w:hAnsi="Arial" w:cs="Arial"/>
          <w:sz w:val="24"/>
          <w:szCs w:val="24"/>
          <w:lang w:eastAsia="en-IN"/>
        </w:rPr>
        <w:t xml:space="preserve">Each Party shall, </w:t>
      </w:r>
      <w:r w:rsidR="00E32BA4" w:rsidRPr="00DF215D">
        <w:rPr>
          <w:rFonts w:ascii="Arial" w:eastAsia="Times New Roman" w:hAnsi="Arial" w:cs="Arial"/>
          <w:sz w:val="24"/>
          <w:szCs w:val="24"/>
          <w:lang w:eastAsia="en-IN"/>
        </w:rPr>
        <w:t xml:space="preserve">upon request of the other Party, give consideration to sector specific proposals, </w:t>
      </w:r>
      <w:r w:rsidR="001B30BA" w:rsidRPr="00DF215D">
        <w:rPr>
          <w:rFonts w:ascii="Arial" w:eastAsia="Times New Roman" w:hAnsi="Arial" w:cs="Arial"/>
          <w:sz w:val="24"/>
          <w:szCs w:val="24"/>
          <w:lang w:eastAsia="en-IN"/>
        </w:rPr>
        <w:t xml:space="preserve">for cooperation under this Chapter </w:t>
      </w:r>
      <w:r w:rsidR="008949DF" w:rsidRPr="00DF215D">
        <w:rPr>
          <w:rFonts w:ascii="Arial" w:eastAsia="Times New Roman" w:hAnsi="Arial" w:cs="Arial"/>
          <w:sz w:val="24"/>
          <w:szCs w:val="24"/>
          <w:lang w:eastAsia="en-IN"/>
        </w:rPr>
        <w:t>on matters of</w:t>
      </w:r>
      <w:r w:rsidR="00E32BA4" w:rsidRPr="00DF215D">
        <w:rPr>
          <w:rFonts w:ascii="Arial" w:eastAsia="Times New Roman" w:hAnsi="Arial" w:cs="Arial"/>
          <w:sz w:val="24"/>
          <w:szCs w:val="24"/>
          <w:lang w:eastAsia="en-IN"/>
        </w:rPr>
        <w:t xml:space="preserve"> mutual benefit</w:t>
      </w:r>
      <w:r w:rsidR="00DF215D" w:rsidRPr="00DF215D">
        <w:rPr>
          <w:rFonts w:ascii="Arial" w:eastAsia="Times New Roman" w:hAnsi="Arial" w:cs="Arial"/>
          <w:sz w:val="24"/>
          <w:szCs w:val="24"/>
          <w:lang w:eastAsia="en-IN"/>
        </w:rPr>
        <w:t>.</w:t>
      </w:r>
    </w:p>
    <w:p w14:paraId="76C27A99" w14:textId="77777777" w:rsidR="00BA0AC5" w:rsidRDefault="00BA0AC5" w:rsidP="00F47A79">
      <w:pPr>
        <w:spacing w:after="0" w:line="240" w:lineRule="auto"/>
        <w:jc w:val="both"/>
        <w:rPr>
          <w:rFonts w:ascii="Arial" w:eastAsia="Times New Roman" w:hAnsi="Arial" w:cs="Arial"/>
          <w:b/>
          <w:bCs/>
          <w:sz w:val="24"/>
          <w:szCs w:val="24"/>
          <w:lang w:eastAsia="en-IN"/>
        </w:rPr>
      </w:pPr>
    </w:p>
    <w:p w14:paraId="6CC0A961" w14:textId="77777777" w:rsidR="00BA0AC5" w:rsidRPr="00530F1B" w:rsidRDefault="00BA0AC5" w:rsidP="00F47A79">
      <w:pPr>
        <w:spacing w:after="0" w:line="240" w:lineRule="auto"/>
        <w:jc w:val="both"/>
        <w:rPr>
          <w:rFonts w:ascii="Arial" w:eastAsia="Times New Roman" w:hAnsi="Arial" w:cs="Arial"/>
          <w:sz w:val="24"/>
          <w:szCs w:val="24"/>
          <w:lang w:eastAsia="en-IN"/>
        </w:rPr>
      </w:pPr>
    </w:p>
    <w:p w14:paraId="68A3A134" w14:textId="593277E2" w:rsidR="00E32BA4" w:rsidRPr="00530F1B" w:rsidRDefault="00E32BA4" w:rsidP="00DA0779">
      <w:pPr>
        <w:pStyle w:val="Heading2"/>
      </w:pPr>
      <w:r w:rsidRPr="00530F1B">
        <w:t>A</w:t>
      </w:r>
      <w:r w:rsidR="006E24DA">
        <w:t>rticle 7</w:t>
      </w:r>
      <w:r w:rsidRPr="00530F1B">
        <w:t>.</w:t>
      </w:r>
      <w:r w:rsidR="00890032" w:rsidRPr="00530F1B">
        <w:t>9</w:t>
      </w:r>
      <w:r w:rsidR="001611FB">
        <w:br/>
      </w:r>
      <w:r w:rsidR="00C11354">
        <w:t>Information Exchange and Technical Discussions</w:t>
      </w:r>
    </w:p>
    <w:p w14:paraId="686C3BCD" w14:textId="77777777" w:rsidR="00E32BA4" w:rsidRPr="00530F1B" w:rsidRDefault="00E32BA4" w:rsidP="00DA0779">
      <w:pPr>
        <w:spacing w:after="0" w:line="240" w:lineRule="auto"/>
      </w:pPr>
      <w:r w:rsidRPr="00530F1B">
        <w:t> </w:t>
      </w:r>
    </w:p>
    <w:p w14:paraId="4D80B356" w14:textId="47831222" w:rsidR="00F5630A" w:rsidRDefault="006B2391" w:rsidP="003929B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1.</w:t>
      </w:r>
      <w:r>
        <w:rPr>
          <w:rFonts w:ascii="Arial" w:eastAsia="Times New Roman" w:hAnsi="Arial" w:cs="Arial"/>
          <w:sz w:val="24"/>
          <w:szCs w:val="24"/>
          <w:lang w:eastAsia="en-IN"/>
        </w:rPr>
        <w:tab/>
      </w:r>
      <w:r w:rsidR="001B30BA" w:rsidRPr="00FA02A3">
        <w:rPr>
          <w:rFonts w:ascii="Arial" w:eastAsia="Times New Roman" w:hAnsi="Arial" w:cs="Arial"/>
          <w:sz w:val="24"/>
          <w:szCs w:val="24"/>
          <w:lang w:eastAsia="en-IN"/>
        </w:rPr>
        <w:t>A Party may request the other Party provide information on any matter arising under this Chapter, and the other Party shall provide such information within a reasonable period of time.</w:t>
      </w:r>
    </w:p>
    <w:p w14:paraId="53EAE6CB" w14:textId="22131ED2" w:rsidR="00BA0AC5" w:rsidRPr="00EB1D6F" w:rsidRDefault="00BA0AC5" w:rsidP="003929B9">
      <w:pPr>
        <w:spacing w:after="0" w:line="240" w:lineRule="auto"/>
        <w:ind w:left="720" w:hanging="720"/>
        <w:jc w:val="both"/>
        <w:rPr>
          <w:rFonts w:ascii="Arial" w:eastAsia="Times New Roman" w:hAnsi="Arial" w:cs="Arial"/>
          <w:sz w:val="24"/>
          <w:szCs w:val="24"/>
          <w:lang w:eastAsia="en-IN"/>
        </w:rPr>
      </w:pPr>
    </w:p>
    <w:p w14:paraId="2C26F82A" w14:textId="0A5B6C4F" w:rsidR="008F1513" w:rsidRDefault="006B2391" w:rsidP="00F47A79">
      <w:pPr>
        <w:spacing w:after="0" w:line="240" w:lineRule="auto"/>
        <w:ind w:left="720" w:hanging="720"/>
        <w:jc w:val="both"/>
        <w:rPr>
          <w:rFonts w:ascii="Times New Roman" w:hAnsi="Times New Roman" w:cs="Times New Roman"/>
          <w:sz w:val="24"/>
          <w:szCs w:val="24"/>
          <w:u w:val="single"/>
          <w:lang w:val="en-AU" w:eastAsia="en-AU"/>
        </w:rPr>
      </w:pPr>
      <w:r w:rsidRPr="00EB1D6F">
        <w:rPr>
          <w:rFonts w:ascii="Arial" w:eastAsia="Times New Roman" w:hAnsi="Arial" w:cs="Arial"/>
          <w:sz w:val="24"/>
          <w:szCs w:val="24"/>
          <w:lang w:eastAsia="en-IN"/>
        </w:rPr>
        <w:t>2.</w:t>
      </w:r>
      <w:r w:rsidRPr="00EB1D6F">
        <w:rPr>
          <w:rFonts w:ascii="Arial" w:eastAsia="Times New Roman" w:hAnsi="Arial" w:cs="Arial"/>
          <w:sz w:val="24"/>
          <w:szCs w:val="24"/>
          <w:lang w:eastAsia="en-IN"/>
        </w:rPr>
        <w:tab/>
      </w:r>
      <w:r w:rsidR="00D25BF5" w:rsidRPr="00FD003C">
        <w:rPr>
          <w:rFonts w:ascii="Arial" w:eastAsia="Times New Roman" w:hAnsi="Arial" w:cs="Arial"/>
          <w:sz w:val="24"/>
          <w:szCs w:val="24"/>
          <w:lang w:eastAsia="en-IN"/>
        </w:rPr>
        <w:t>A Party may make a written request for technical discussions with the other Party with the aim or resolving an issue relating to trade or any other matter that arises under this Chapter.</w:t>
      </w:r>
      <w:r w:rsidR="008F1513" w:rsidRPr="00FD003C">
        <w:rPr>
          <w:rFonts w:ascii="Arial" w:eastAsia="Times New Roman" w:hAnsi="Arial" w:cs="Arial"/>
          <w:sz w:val="24"/>
          <w:szCs w:val="24"/>
          <w:lang w:eastAsia="en-IN"/>
        </w:rPr>
        <w:t xml:space="preserve"> </w:t>
      </w:r>
      <w:r w:rsidR="008F1513" w:rsidRPr="0022667E">
        <w:rPr>
          <w:rFonts w:ascii="Arial" w:eastAsia="Times New Roman" w:hAnsi="Arial" w:cs="Arial"/>
          <w:sz w:val="24"/>
          <w:szCs w:val="24"/>
          <w:lang w:eastAsia="en-IN"/>
        </w:rPr>
        <w:t>The other Party shall respond as early as possible to such a request.</w:t>
      </w:r>
    </w:p>
    <w:p w14:paraId="042642F9" w14:textId="77777777" w:rsidR="006E24DA" w:rsidRPr="00FD003C" w:rsidRDefault="006E24DA" w:rsidP="00F47A79">
      <w:pPr>
        <w:spacing w:after="0" w:line="240" w:lineRule="auto"/>
        <w:ind w:left="720" w:hanging="720"/>
        <w:jc w:val="both"/>
        <w:rPr>
          <w:rFonts w:ascii="Times New Roman" w:hAnsi="Times New Roman" w:cs="Times New Roman"/>
          <w:sz w:val="24"/>
          <w:szCs w:val="24"/>
          <w:u w:val="single"/>
          <w:lang w:val="en-AU" w:eastAsia="en-AU"/>
        </w:rPr>
      </w:pPr>
    </w:p>
    <w:p w14:paraId="6DBDCB4B" w14:textId="70904198" w:rsidR="000C1D54" w:rsidRPr="006B2391" w:rsidRDefault="006B2391"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3.</w:t>
      </w:r>
      <w:r>
        <w:rPr>
          <w:rFonts w:ascii="Arial" w:eastAsia="Times New Roman" w:hAnsi="Arial" w:cs="Arial"/>
          <w:sz w:val="24"/>
          <w:szCs w:val="24"/>
          <w:lang w:eastAsia="en-IN"/>
        </w:rPr>
        <w:tab/>
      </w:r>
      <w:r w:rsidR="00E32BA4" w:rsidRPr="006B2391">
        <w:rPr>
          <w:rFonts w:ascii="Arial" w:eastAsia="Times New Roman" w:hAnsi="Arial" w:cs="Arial"/>
          <w:sz w:val="24"/>
          <w:szCs w:val="24"/>
          <w:lang w:eastAsia="en-IN"/>
        </w:rPr>
        <w:t xml:space="preserve">The </w:t>
      </w:r>
      <w:r w:rsidR="001B30BA" w:rsidRPr="006B2391">
        <w:rPr>
          <w:rFonts w:ascii="Arial" w:eastAsia="Times New Roman" w:hAnsi="Arial" w:cs="Arial"/>
          <w:sz w:val="24"/>
          <w:szCs w:val="24"/>
          <w:lang w:eastAsia="en-IN"/>
        </w:rPr>
        <w:t>Parties</w:t>
      </w:r>
      <w:r w:rsidR="00E32BA4" w:rsidRPr="006B2391">
        <w:rPr>
          <w:rFonts w:ascii="Arial" w:eastAsia="Times New Roman" w:hAnsi="Arial" w:cs="Arial"/>
          <w:sz w:val="24"/>
          <w:szCs w:val="24"/>
          <w:lang w:eastAsia="en-IN"/>
        </w:rPr>
        <w:t xml:space="preserve"> shall enter into technical discussions within 60 days, unless otherwise mutually determined, with a view to reaching a mutually satisfactory solution. Technical discussions may be conducted via any means mutually agreed by the Parties.</w:t>
      </w:r>
    </w:p>
    <w:p w14:paraId="2E53203F" w14:textId="77777777" w:rsidR="000C1D54" w:rsidRPr="002F53B7" w:rsidRDefault="000C1D54" w:rsidP="00F47A79">
      <w:pPr>
        <w:spacing w:after="0" w:line="240" w:lineRule="auto"/>
        <w:jc w:val="both"/>
        <w:rPr>
          <w:rFonts w:ascii="Arial" w:eastAsia="Times New Roman" w:hAnsi="Arial" w:cs="Arial"/>
          <w:sz w:val="24"/>
          <w:szCs w:val="24"/>
          <w:lang w:eastAsia="en-IN"/>
        </w:rPr>
      </w:pPr>
    </w:p>
    <w:p w14:paraId="42F9B911" w14:textId="52921C2E" w:rsidR="002F53B7" w:rsidRPr="006B2391" w:rsidRDefault="006B2391"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4.</w:t>
      </w:r>
      <w:r>
        <w:rPr>
          <w:rFonts w:ascii="Arial" w:eastAsia="Times New Roman" w:hAnsi="Arial" w:cs="Arial"/>
          <w:sz w:val="24"/>
          <w:szCs w:val="24"/>
          <w:lang w:eastAsia="en-IN"/>
        </w:rPr>
        <w:tab/>
      </w:r>
      <w:r w:rsidR="00E32BA4" w:rsidRPr="006B2391">
        <w:rPr>
          <w:rFonts w:ascii="Arial" w:eastAsia="Times New Roman" w:hAnsi="Arial" w:cs="Arial"/>
          <w:sz w:val="24"/>
          <w:szCs w:val="24"/>
          <w:lang w:eastAsia="en-IN"/>
        </w:rPr>
        <w:t>Requests for information or technical</w:t>
      </w:r>
      <w:r w:rsidR="00266E35" w:rsidRPr="006B2391">
        <w:rPr>
          <w:rFonts w:ascii="Arial" w:eastAsia="Times New Roman" w:hAnsi="Arial" w:cs="Arial"/>
          <w:sz w:val="24"/>
          <w:szCs w:val="24"/>
          <w:lang w:eastAsia="en-IN"/>
        </w:rPr>
        <w:t xml:space="preserve"> discussions</w:t>
      </w:r>
      <w:r w:rsidR="00E32BA4" w:rsidRPr="006B2391">
        <w:rPr>
          <w:rFonts w:ascii="Arial" w:eastAsia="Times New Roman" w:hAnsi="Arial" w:cs="Arial"/>
          <w:sz w:val="24"/>
          <w:szCs w:val="24"/>
          <w:lang w:eastAsia="en-IN"/>
        </w:rPr>
        <w:t xml:space="preserve"> shall be </w:t>
      </w:r>
      <w:r w:rsidR="008412F6" w:rsidRPr="006B2391">
        <w:rPr>
          <w:rFonts w:ascii="Arial" w:eastAsia="Times New Roman" w:hAnsi="Arial" w:cs="Arial"/>
          <w:sz w:val="24"/>
          <w:szCs w:val="24"/>
          <w:lang w:eastAsia="en-IN"/>
        </w:rPr>
        <w:t>made</w:t>
      </w:r>
      <w:r w:rsidR="00266E35" w:rsidRPr="006B2391">
        <w:rPr>
          <w:rFonts w:ascii="Arial" w:eastAsia="Times New Roman" w:hAnsi="Arial" w:cs="Arial"/>
          <w:sz w:val="24"/>
          <w:szCs w:val="24"/>
          <w:lang w:eastAsia="en-IN"/>
        </w:rPr>
        <w:t xml:space="preserve"> </w:t>
      </w:r>
      <w:r w:rsidR="00E32BA4" w:rsidRPr="006B2391">
        <w:rPr>
          <w:rFonts w:ascii="Arial" w:eastAsia="Times New Roman" w:hAnsi="Arial" w:cs="Arial"/>
          <w:sz w:val="24"/>
          <w:szCs w:val="24"/>
          <w:lang w:eastAsia="en-IN"/>
        </w:rPr>
        <w:t xml:space="preserve">through the </w:t>
      </w:r>
      <w:r w:rsidR="008412F6" w:rsidRPr="006B2391">
        <w:rPr>
          <w:rFonts w:ascii="Arial" w:eastAsia="Times New Roman" w:hAnsi="Arial" w:cs="Arial"/>
          <w:sz w:val="24"/>
          <w:szCs w:val="24"/>
          <w:lang w:eastAsia="en-IN"/>
        </w:rPr>
        <w:t>Parties’</w:t>
      </w:r>
      <w:r w:rsidR="00266E35" w:rsidRPr="006B2391">
        <w:rPr>
          <w:rFonts w:ascii="Arial" w:eastAsia="Times New Roman" w:hAnsi="Arial" w:cs="Arial"/>
          <w:sz w:val="24"/>
          <w:szCs w:val="24"/>
          <w:lang w:eastAsia="en-IN"/>
        </w:rPr>
        <w:t xml:space="preserve"> </w:t>
      </w:r>
      <w:r w:rsidR="00E32BA4" w:rsidRPr="006B2391">
        <w:rPr>
          <w:rFonts w:ascii="Arial" w:eastAsia="Times New Roman" w:hAnsi="Arial" w:cs="Arial"/>
          <w:sz w:val="24"/>
          <w:szCs w:val="24"/>
          <w:lang w:eastAsia="en-IN"/>
        </w:rPr>
        <w:t xml:space="preserve">respective contact points designated pursuant to Article </w:t>
      </w:r>
      <w:r w:rsidR="00C0099C">
        <w:rPr>
          <w:rFonts w:ascii="Arial" w:eastAsia="Times New Roman" w:hAnsi="Arial" w:cs="Arial"/>
          <w:sz w:val="24"/>
          <w:szCs w:val="24"/>
          <w:lang w:eastAsia="en-IN"/>
        </w:rPr>
        <w:t>7</w:t>
      </w:r>
      <w:r w:rsidR="00E32BA4" w:rsidRPr="006B2391">
        <w:rPr>
          <w:rFonts w:ascii="Arial" w:eastAsia="Times New Roman" w:hAnsi="Arial" w:cs="Arial"/>
          <w:sz w:val="24"/>
          <w:szCs w:val="24"/>
          <w:lang w:eastAsia="en-IN"/>
        </w:rPr>
        <w:t>.</w:t>
      </w:r>
      <w:r w:rsidR="001B30BA" w:rsidRPr="006B2391">
        <w:rPr>
          <w:rFonts w:ascii="Arial" w:eastAsia="Times New Roman" w:hAnsi="Arial" w:cs="Arial"/>
          <w:sz w:val="24"/>
          <w:szCs w:val="24"/>
          <w:lang w:eastAsia="en-IN"/>
        </w:rPr>
        <w:t xml:space="preserve">11 </w:t>
      </w:r>
      <w:r w:rsidR="00E32BA4" w:rsidRPr="006B2391">
        <w:rPr>
          <w:rFonts w:ascii="Arial" w:eastAsia="Times New Roman" w:hAnsi="Arial" w:cs="Arial"/>
          <w:sz w:val="24"/>
          <w:szCs w:val="24"/>
          <w:lang w:eastAsia="en-IN"/>
        </w:rPr>
        <w:t>(Contact Points).</w:t>
      </w:r>
    </w:p>
    <w:p w14:paraId="14267944" w14:textId="77777777" w:rsidR="009B76C4" w:rsidRPr="00B46034" w:rsidRDefault="009B76C4" w:rsidP="00F47A79">
      <w:pPr>
        <w:spacing w:after="0" w:line="240" w:lineRule="auto"/>
        <w:ind w:left="360"/>
        <w:jc w:val="both"/>
        <w:rPr>
          <w:rFonts w:ascii="Arial" w:eastAsia="Times New Roman" w:hAnsi="Arial" w:cs="Arial"/>
          <w:sz w:val="24"/>
          <w:szCs w:val="24"/>
          <w:highlight w:val="green"/>
          <w:lang w:eastAsia="en-IN"/>
        </w:rPr>
      </w:pPr>
    </w:p>
    <w:p w14:paraId="2306CEFE" w14:textId="2FE4409D" w:rsidR="00E32BA4" w:rsidRPr="00BD2932" w:rsidRDefault="00475490" w:rsidP="00F47A79">
      <w:pPr>
        <w:spacing w:after="0" w:line="240" w:lineRule="auto"/>
        <w:ind w:left="720" w:hanging="720"/>
        <w:jc w:val="both"/>
        <w:rPr>
          <w:rFonts w:ascii="Arial" w:eastAsia="Times New Roman" w:hAnsi="Arial" w:cs="Arial"/>
          <w:sz w:val="24"/>
          <w:szCs w:val="24"/>
          <w:lang w:eastAsia="en-IN"/>
        </w:rPr>
      </w:pPr>
      <w:r w:rsidRPr="00BD2932">
        <w:rPr>
          <w:rFonts w:ascii="Arial" w:eastAsia="Times New Roman" w:hAnsi="Arial" w:cs="Arial"/>
          <w:sz w:val="24"/>
          <w:szCs w:val="24"/>
          <w:lang w:eastAsia="en-IN"/>
        </w:rPr>
        <w:t>5.</w:t>
      </w:r>
      <w:r w:rsidRPr="00BD2932">
        <w:rPr>
          <w:rFonts w:ascii="Arial" w:eastAsia="Times New Roman" w:hAnsi="Arial" w:cs="Arial"/>
          <w:sz w:val="24"/>
          <w:szCs w:val="24"/>
          <w:lang w:eastAsia="en-IN"/>
        </w:rPr>
        <w:tab/>
      </w:r>
      <w:r w:rsidR="008412F6" w:rsidRPr="00CF2847">
        <w:rPr>
          <w:rFonts w:ascii="Arial" w:eastAsia="Times New Roman" w:hAnsi="Arial" w:cs="Arial"/>
          <w:sz w:val="24"/>
          <w:szCs w:val="24"/>
          <w:lang w:eastAsia="en-IN"/>
        </w:rPr>
        <w:t>T</w:t>
      </w:r>
      <w:r w:rsidR="00E32BA4" w:rsidRPr="00CF2847">
        <w:rPr>
          <w:rFonts w:ascii="Arial" w:eastAsia="Times New Roman" w:hAnsi="Arial" w:cs="Arial"/>
          <w:sz w:val="24"/>
          <w:szCs w:val="24"/>
          <w:lang w:eastAsia="en-IN"/>
        </w:rPr>
        <w:t xml:space="preserve">his Article is without prejudice to the rights and obligations of the Parties under Chapter </w:t>
      </w:r>
      <w:r w:rsidR="00FB339F">
        <w:rPr>
          <w:rFonts w:ascii="Arial" w:eastAsia="Times New Roman" w:hAnsi="Arial" w:cs="Arial"/>
          <w:sz w:val="24"/>
          <w:szCs w:val="24"/>
          <w:lang w:eastAsia="en-IN"/>
        </w:rPr>
        <w:t>13</w:t>
      </w:r>
      <w:r w:rsidR="00E32BA4" w:rsidRPr="00CF2847">
        <w:rPr>
          <w:rFonts w:ascii="Arial" w:eastAsia="Times New Roman" w:hAnsi="Arial" w:cs="Arial"/>
          <w:sz w:val="24"/>
          <w:szCs w:val="24"/>
          <w:lang w:eastAsia="en-IN"/>
        </w:rPr>
        <w:t xml:space="preserve"> (Dispute Settlement).</w:t>
      </w:r>
    </w:p>
    <w:p w14:paraId="0D175083" w14:textId="4E7244B4" w:rsidR="002B4308" w:rsidRDefault="00E32BA4" w:rsidP="00F47A79">
      <w:pPr>
        <w:spacing w:after="0" w:line="240" w:lineRule="auto"/>
        <w:jc w:val="both"/>
        <w:rPr>
          <w:rFonts w:ascii="Arial" w:eastAsia="Times New Roman" w:hAnsi="Arial" w:cs="Arial"/>
          <w:b/>
          <w:bCs/>
          <w:color w:val="ED7D31" w:themeColor="accent2"/>
          <w:sz w:val="24"/>
          <w:szCs w:val="24"/>
          <w:lang w:eastAsia="en-IN"/>
        </w:rPr>
      </w:pPr>
      <w:r w:rsidRPr="0022667E">
        <w:rPr>
          <w:rFonts w:ascii="Arial" w:eastAsia="Times New Roman" w:hAnsi="Arial" w:cs="Arial"/>
          <w:b/>
          <w:bCs/>
          <w:color w:val="ED7D31" w:themeColor="accent2"/>
          <w:sz w:val="24"/>
          <w:szCs w:val="24"/>
          <w:lang w:eastAsia="en-IN"/>
        </w:rPr>
        <w:t> </w:t>
      </w:r>
    </w:p>
    <w:p w14:paraId="10C27E3E" w14:textId="77777777" w:rsidR="00EA60E6" w:rsidRPr="00530F1B" w:rsidRDefault="00EA60E6" w:rsidP="00F47A79">
      <w:pPr>
        <w:spacing w:after="0" w:line="240" w:lineRule="auto"/>
        <w:jc w:val="both"/>
        <w:rPr>
          <w:rFonts w:ascii="Arial" w:eastAsia="Times New Roman" w:hAnsi="Arial" w:cs="Arial"/>
          <w:sz w:val="24"/>
          <w:szCs w:val="24"/>
          <w:lang w:eastAsia="en-IN"/>
        </w:rPr>
      </w:pPr>
    </w:p>
    <w:p w14:paraId="3E75C6DC" w14:textId="70373ED7" w:rsidR="00E32BA4" w:rsidRPr="00530F1B" w:rsidRDefault="00E32BA4" w:rsidP="00DA0779">
      <w:pPr>
        <w:pStyle w:val="Heading2"/>
      </w:pPr>
      <w:r w:rsidRPr="00530F1B">
        <w:lastRenderedPageBreak/>
        <w:t>A</w:t>
      </w:r>
      <w:r w:rsidR="006E24DA">
        <w:t>rticle 7</w:t>
      </w:r>
      <w:r w:rsidRPr="00530F1B">
        <w:t>.</w:t>
      </w:r>
      <w:r w:rsidR="00890032" w:rsidRPr="00530F1B">
        <w:t>10</w:t>
      </w:r>
      <w:r w:rsidR="001611FB">
        <w:br/>
      </w:r>
      <w:r w:rsidR="00C11354">
        <w:t>Transparency</w:t>
      </w:r>
    </w:p>
    <w:p w14:paraId="475ACDEC" w14:textId="77777777" w:rsidR="00E32BA4" w:rsidRPr="00530F1B" w:rsidRDefault="00E32BA4" w:rsidP="00F47A79">
      <w:pPr>
        <w:spacing w:after="0" w:line="240" w:lineRule="auto"/>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019AB513" w14:textId="1071C3A1" w:rsidR="00E32BA4" w:rsidRPr="00475490" w:rsidRDefault="001903E0" w:rsidP="00F47A79">
      <w:pPr>
        <w:keepNext/>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ab/>
      </w:r>
      <w:r w:rsidR="00E32BA4" w:rsidRPr="00475490">
        <w:rPr>
          <w:rFonts w:ascii="Arial" w:eastAsia="Times New Roman" w:hAnsi="Arial" w:cs="Arial"/>
          <w:sz w:val="24"/>
          <w:szCs w:val="24"/>
          <w:lang w:eastAsia="en-IN"/>
        </w:rPr>
        <w:t xml:space="preserve">Each Party affirms its commitment to ensuring that information regarding proposed new or amended standards, technical regulations and conformity assessment procedures is made available in accordance with the relevant requirements of the TBT Agreement as well as the </w:t>
      </w:r>
      <w:r w:rsidR="00E32BA4" w:rsidRPr="00475490">
        <w:rPr>
          <w:rFonts w:ascii="Arial" w:eastAsia="Times New Roman" w:hAnsi="Arial" w:cs="Arial"/>
          <w:i/>
          <w:iCs/>
          <w:sz w:val="24"/>
          <w:szCs w:val="24"/>
          <w:lang w:eastAsia="en-IN"/>
        </w:rPr>
        <w:t>Decisions and Recommendations Adopted by the WTO Committee on Technical Barriers to Trade since 1 January 1995</w:t>
      </w:r>
      <w:r w:rsidR="00E32BA4" w:rsidRPr="00475490">
        <w:rPr>
          <w:rFonts w:ascii="Arial" w:eastAsia="Times New Roman" w:hAnsi="Arial" w:cs="Arial"/>
          <w:sz w:val="24"/>
          <w:szCs w:val="24"/>
          <w:lang w:eastAsia="en-IN"/>
        </w:rPr>
        <w:t xml:space="preserve"> (G/TBT/1/Rev.1</w:t>
      </w:r>
      <w:r w:rsidR="008412F6" w:rsidRPr="00475490">
        <w:rPr>
          <w:rFonts w:ascii="Arial" w:eastAsia="Times New Roman" w:hAnsi="Arial" w:cs="Arial"/>
          <w:sz w:val="24"/>
          <w:szCs w:val="24"/>
          <w:lang w:eastAsia="en-IN"/>
        </w:rPr>
        <w:t>3</w:t>
      </w:r>
      <w:r w:rsidR="007D13A8">
        <w:rPr>
          <w:rFonts w:ascii="Arial" w:eastAsia="Times New Roman" w:hAnsi="Arial" w:cs="Arial"/>
          <w:sz w:val="24"/>
          <w:szCs w:val="24"/>
          <w:lang w:eastAsia="en-IN"/>
        </w:rPr>
        <w:t>)</w:t>
      </w:r>
      <w:r w:rsidR="00E32BA4" w:rsidRPr="00475490">
        <w:rPr>
          <w:rFonts w:ascii="Arial" w:eastAsia="Times New Roman" w:hAnsi="Arial" w:cs="Arial"/>
          <w:sz w:val="24"/>
          <w:szCs w:val="24"/>
          <w:lang w:eastAsia="en-IN"/>
        </w:rPr>
        <w:t xml:space="preserve">, and </w:t>
      </w:r>
      <w:r w:rsidR="00FA02A3" w:rsidRPr="00475490">
        <w:rPr>
          <w:rFonts w:ascii="Arial" w:eastAsia="Times New Roman" w:hAnsi="Arial" w:cs="Arial"/>
          <w:sz w:val="24"/>
          <w:szCs w:val="24"/>
          <w:lang w:eastAsia="en-IN"/>
        </w:rPr>
        <w:t>any</w:t>
      </w:r>
      <w:r w:rsidR="00E32BA4" w:rsidRPr="00475490">
        <w:rPr>
          <w:rFonts w:ascii="Arial" w:eastAsia="Times New Roman" w:hAnsi="Arial" w:cs="Arial"/>
          <w:sz w:val="24"/>
          <w:szCs w:val="24"/>
          <w:lang w:eastAsia="en-IN"/>
        </w:rPr>
        <w:t xml:space="preserve"> subsequent revisions. </w:t>
      </w:r>
    </w:p>
    <w:p w14:paraId="41D388BC" w14:textId="7D04C7B7" w:rsidR="00E32BA4" w:rsidRDefault="00E32BA4" w:rsidP="00F47A79">
      <w:pPr>
        <w:spacing w:after="0" w:line="240" w:lineRule="auto"/>
        <w:ind w:left="720" w:hanging="720"/>
        <w:jc w:val="both"/>
        <w:rPr>
          <w:rFonts w:ascii="Arial" w:eastAsia="Times New Roman" w:hAnsi="Arial" w:cs="Arial"/>
          <w:color w:val="ED7D31" w:themeColor="accent2"/>
          <w:sz w:val="24"/>
          <w:szCs w:val="24"/>
          <w:lang w:eastAsia="en-IN"/>
        </w:rPr>
      </w:pPr>
    </w:p>
    <w:p w14:paraId="5D793048" w14:textId="77777777" w:rsidR="002B4308" w:rsidRDefault="002B4308" w:rsidP="00F47A79">
      <w:pPr>
        <w:spacing w:after="0" w:line="240" w:lineRule="auto"/>
        <w:jc w:val="both"/>
        <w:rPr>
          <w:rFonts w:ascii="Arial" w:eastAsia="Times New Roman" w:hAnsi="Arial" w:cs="Arial"/>
          <w:color w:val="ED7D31" w:themeColor="accent2"/>
          <w:sz w:val="24"/>
          <w:szCs w:val="24"/>
          <w:lang w:eastAsia="en-IN"/>
        </w:rPr>
      </w:pPr>
    </w:p>
    <w:p w14:paraId="5FF551F5" w14:textId="26D218B3" w:rsidR="00E32BA4" w:rsidRPr="00530F1B" w:rsidRDefault="00E32BA4" w:rsidP="00DA0779">
      <w:pPr>
        <w:pStyle w:val="Heading2"/>
      </w:pPr>
      <w:r w:rsidRPr="00530F1B">
        <w:t>A</w:t>
      </w:r>
      <w:r w:rsidR="006E24DA">
        <w:t>rticle 7</w:t>
      </w:r>
      <w:r w:rsidRPr="00530F1B">
        <w:t>.1</w:t>
      </w:r>
      <w:r w:rsidR="00890032" w:rsidRPr="00530F1B">
        <w:t>1</w:t>
      </w:r>
      <w:r w:rsidR="001611FB">
        <w:br/>
      </w:r>
      <w:r w:rsidR="00485521">
        <w:t>Contact Points</w:t>
      </w:r>
    </w:p>
    <w:p w14:paraId="61561DE9" w14:textId="77777777" w:rsidR="00E32BA4" w:rsidRPr="00530F1B" w:rsidRDefault="00E32BA4" w:rsidP="00F47A79">
      <w:pPr>
        <w:spacing w:after="0" w:line="240" w:lineRule="auto"/>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3FC661CA" w14:textId="4E266B44" w:rsidR="00E32BA4" w:rsidRPr="00530F1B" w:rsidRDefault="00224A8D"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1.</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Within 60 days of the date of entry into force of this Agreement, each Party shall designate a contact point or contact points responsible for coordinating the implementation of this Chapter. </w:t>
      </w:r>
    </w:p>
    <w:p w14:paraId="38A25CAC" w14:textId="77777777" w:rsidR="00EC2B47" w:rsidRPr="00530F1B" w:rsidRDefault="00EC2B47" w:rsidP="00F47A79">
      <w:pPr>
        <w:spacing w:after="0" w:line="240" w:lineRule="auto"/>
        <w:ind w:left="360"/>
        <w:jc w:val="both"/>
        <w:rPr>
          <w:rFonts w:ascii="Arial" w:eastAsia="Times New Roman" w:hAnsi="Arial" w:cs="Arial"/>
          <w:sz w:val="24"/>
          <w:szCs w:val="24"/>
          <w:lang w:eastAsia="en-IN"/>
        </w:rPr>
      </w:pPr>
    </w:p>
    <w:p w14:paraId="40368F7C" w14:textId="2F2BC53B" w:rsidR="00A20786" w:rsidRPr="00FA02A3" w:rsidRDefault="00224A8D"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2.</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Each Party shall provide the other Party with the name of the designated contact point or contact points and the contact details of the relevant official</w:t>
      </w:r>
      <w:r w:rsidR="00887794">
        <w:rPr>
          <w:rFonts w:ascii="Arial" w:eastAsia="Times New Roman" w:hAnsi="Arial" w:cs="Arial"/>
          <w:sz w:val="24"/>
          <w:szCs w:val="24"/>
          <w:lang w:eastAsia="en-IN"/>
        </w:rPr>
        <w:t xml:space="preserve"> o</w:t>
      </w:r>
      <w:r w:rsidR="00BB3243">
        <w:rPr>
          <w:rFonts w:ascii="Arial" w:eastAsia="Times New Roman" w:hAnsi="Arial" w:cs="Arial"/>
          <w:sz w:val="24"/>
          <w:szCs w:val="24"/>
          <w:lang w:eastAsia="en-IN"/>
        </w:rPr>
        <w:t>r</w:t>
      </w:r>
      <w:r w:rsidR="00887794">
        <w:rPr>
          <w:rFonts w:ascii="Arial" w:eastAsia="Times New Roman" w:hAnsi="Arial" w:cs="Arial"/>
          <w:sz w:val="24"/>
          <w:szCs w:val="24"/>
          <w:lang w:eastAsia="en-IN"/>
        </w:rPr>
        <w:t xml:space="preserve"> officials</w:t>
      </w:r>
      <w:r w:rsidR="00E32BA4" w:rsidRPr="00530F1B">
        <w:rPr>
          <w:rFonts w:ascii="Arial" w:eastAsia="Times New Roman" w:hAnsi="Arial" w:cs="Arial"/>
          <w:sz w:val="24"/>
          <w:szCs w:val="24"/>
          <w:lang w:eastAsia="en-IN"/>
        </w:rPr>
        <w:t xml:space="preserve"> in that organisation, including telephone, email and any other relevant details.</w:t>
      </w:r>
    </w:p>
    <w:p w14:paraId="2C9285F9" w14:textId="77777777" w:rsidR="00EC2B47" w:rsidRPr="00530F1B" w:rsidRDefault="00EC2B47" w:rsidP="00F47A79">
      <w:pPr>
        <w:spacing w:after="0" w:line="240" w:lineRule="auto"/>
        <w:ind w:left="360"/>
        <w:jc w:val="both"/>
        <w:rPr>
          <w:rFonts w:ascii="Arial" w:eastAsia="Times New Roman" w:hAnsi="Arial" w:cs="Arial"/>
          <w:sz w:val="24"/>
          <w:szCs w:val="24"/>
          <w:lang w:eastAsia="en-IN"/>
        </w:rPr>
      </w:pPr>
    </w:p>
    <w:p w14:paraId="3B27CC2E" w14:textId="48AC3867" w:rsidR="00A20786" w:rsidRPr="00A20786" w:rsidRDefault="00224A8D"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3.</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Each Party shall notify the other Party promptly of any change in their contact </w:t>
      </w:r>
      <w:r w:rsidR="00E32BA4" w:rsidRPr="00A20786">
        <w:rPr>
          <w:rFonts w:ascii="Arial" w:eastAsia="Times New Roman" w:hAnsi="Arial" w:cs="Arial"/>
          <w:sz w:val="24"/>
          <w:szCs w:val="24"/>
          <w:lang w:eastAsia="en-IN"/>
        </w:rPr>
        <w:t>points</w:t>
      </w:r>
      <w:r w:rsidR="00A106CC">
        <w:rPr>
          <w:rFonts w:ascii="Arial" w:eastAsia="Times New Roman" w:hAnsi="Arial" w:cs="Arial"/>
          <w:sz w:val="24"/>
          <w:szCs w:val="24"/>
          <w:lang w:eastAsia="en-IN"/>
        </w:rPr>
        <w:t>.</w:t>
      </w:r>
    </w:p>
    <w:p w14:paraId="53619472" w14:textId="77777777" w:rsidR="00EC2B47" w:rsidRPr="00530F1B" w:rsidRDefault="00EC2B47" w:rsidP="00F47A79">
      <w:pPr>
        <w:spacing w:after="0" w:line="240" w:lineRule="auto"/>
        <w:ind w:left="360"/>
        <w:jc w:val="both"/>
        <w:rPr>
          <w:rFonts w:ascii="Arial" w:eastAsia="Times New Roman" w:hAnsi="Arial" w:cs="Arial"/>
          <w:sz w:val="24"/>
          <w:szCs w:val="24"/>
          <w:lang w:eastAsia="en-IN"/>
        </w:rPr>
      </w:pPr>
    </w:p>
    <w:p w14:paraId="6188C336" w14:textId="03B29D72" w:rsidR="00E32BA4" w:rsidRDefault="00CA7AE9"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4.</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Each Party shall ensure that its contact point or contact points facilitate the exchange of information between the Parties on standards, technical regulations and conformity assessment procedures, in response to all reasonable requests for such information from a Party. </w:t>
      </w:r>
    </w:p>
    <w:p w14:paraId="6173D1CF" w14:textId="77777777" w:rsidR="00D87B4E" w:rsidRDefault="00D87B4E" w:rsidP="00F47A79">
      <w:pPr>
        <w:spacing w:after="0" w:line="240" w:lineRule="auto"/>
        <w:jc w:val="both"/>
        <w:rPr>
          <w:rFonts w:ascii="Arial" w:eastAsia="Times New Roman" w:hAnsi="Arial" w:cs="Arial"/>
          <w:sz w:val="24"/>
          <w:szCs w:val="24"/>
          <w:lang w:eastAsia="en-IN"/>
        </w:rPr>
      </w:pPr>
    </w:p>
    <w:p w14:paraId="56B5DABD" w14:textId="6FB00D70" w:rsidR="00E32BA4" w:rsidRPr="00530F1B" w:rsidRDefault="00E32BA4" w:rsidP="008E63E5">
      <w:pPr>
        <w:spacing w:after="0" w:line="240" w:lineRule="auto"/>
        <w:jc w:val="both"/>
        <w:rPr>
          <w:rFonts w:ascii="Arial" w:eastAsia="Times New Roman" w:hAnsi="Arial" w:cs="Arial"/>
          <w:sz w:val="24"/>
          <w:szCs w:val="24"/>
          <w:lang w:eastAsia="en-IN"/>
        </w:rPr>
      </w:pPr>
    </w:p>
    <w:p w14:paraId="1995629F" w14:textId="303A5ECB" w:rsidR="00E32BA4" w:rsidRPr="00530F1B" w:rsidRDefault="00E32BA4" w:rsidP="00DA0779">
      <w:pPr>
        <w:pStyle w:val="Heading2"/>
        <w:tabs>
          <w:tab w:val="left" w:pos="5529"/>
        </w:tabs>
      </w:pPr>
      <w:r w:rsidRPr="00530F1B">
        <w:t>A</w:t>
      </w:r>
      <w:r w:rsidR="006E24DA">
        <w:t>rticle 7</w:t>
      </w:r>
      <w:r w:rsidRPr="00530F1B">
        <w:t>.1</w:t>
      </w:r>
      <w:r w:rsidR="00890032" w:rsidRPr="00530F1B">
        <w:t>2</w:t>
      </w:r>
      <w:r w:rsidR="005C263B">
        <w:br/>
      </w:r>
      <w:r w:rsidR="00485521">
        <w:t>Subcommittee on Standards, Technical Regulations and Conformity Assessment Procedures</w:t>
      </w:r>
    </w:p>
    <w:p w14:paraId="12F53F10" w14:textId="77777777" w:rsidR="00E32BA4" w:rsidRPr="00530F1B" w:rsidRDefault="00E32BA4" w:rsidP="008E63E5">
      <w:pPr>
        <w:keepNext/>
        <w:spacing w:after="0" w:line="240" w:lineRule="auto"/>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6580FF5C" w14:textId="70F81A27" w:rsidR="00E32BA4" w:rsidRPr="00530F1B" w:rsidRDefault="00321548" w:rsidP="008E63E5">
      <w:pPr>
        <w:keepNext/>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1.</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The Parties hereby establish a Sub</w:t>
      </w:r>
      <w:r w:rsidR="006D51EA">
        <w:rPr>
          <w:rFonts w:ascii="Arial" w:eastAsia="Times New Roman" w:hAnsi="Arial" w:cs="Arial"/>
          <w:sz w:val="24"/>
          <w:szCs w:val="24"/>
          <w:lang w:eastAsia="en-IN"/>
        </w:rPr>
        <w:t>c</w:t>
      </w:r>
      <w:r w:rsidR="00E32BA4" w:rsidRPr="00530F1B">
        <w:rPr>
          <w:rFonts w:ascii="Arial" w:eastAsia="Times New Roman" w:hAnsi="Arial" w:cs="Arial"/>
          <w:sz w:val="24"/>
          <w:szCs w:val="24"/>
          <w:lang w:eastAsia="en-IN"/>
        </w:rPr>
        <w:t>ommittee on Standards, Technical Regulations and Conformity Assessment Procedures</w:t>
      </w:r>
      <w:r w:rsidR="00CC327C">
        <w:rPr>
          <w:rFonts w:ascii="Arial" w:eastAsia="Times New Roman" w:hAnsi="Arial" w:cs="Arial"/>
          <w:sz w:val="24"/>
          <w:szCs w:val="24"/>
          <w:lang w:eastAsia="en-IN"/>
        </w:rPr>
        <w:t xml:space="preserve"> (</w:t>
      </w:r>
      <w:r w:rsidR="001F43C5">
        <w:rPr>
          <w:rFonts w:ascii="Arial" w:eastAsia="Times New Roman" w:hAnsi="Arial" w:cs="Arial"/>
          <w:sz w:val="24"/>
          <w:szCs w:val="24"/>
          <w:lang w:eastAsia="en-IN"/>
        </w:rPr>
        <w:t>“</w:t>
      </w:r>
      <w:r w:rsidR="00CC327C">
        <w:rPr>
          <w:rFonts w:ascii="Arial" w:eastAsia="Times New Roman" w:hAnsi="Arial" w:cs="Arial"/>
          <w:sz w:val="24"/>
          <w:szCs w:val="24"/>
          <w:lang w:eastAsia="en-IN"/>
        </w:rPr>
        <w:t>Subcommittee</w:t>
      </w:r>
      <w:r w:rsidR="001F43C5">
        <w:rPr>
          <w:rFonts w:ascii="Arial" w:eastAsia="Times New Roman" w:hAnsi="Arial" w:cs="Arial"/>
          <w:sz w:val="24"/>
          <w:szCs w:val="24"/>
          <w:lang w:eastAsia="en-IN"/>
        </w:rPr>
        <w:t>”</w:t>
      </w:r>
      <w:r w:rsidR="00CC327C">
        <w:rPr>
          <w:rFonts w:ascii="Arial" w:eastAsia="Times New Roman" w:hAnsi="Arial" w:cs="Arial"/>
          <w:sz w:val="24"/>
          <w:szCs w:val="24"/>
          <w:lang w:eastAsia="en-IN"/>
        </w:rPr>
        <w:t>)</w:t>
      </w:r>
      <w:r w:rsidR="00E32BA4" w:rsidRPr="00530F1B">
        <w:rPr>
          <w:rFonts w:ascii="Arial" w:eastAsia="Times New Roman" w:hAnsi="Arial" w:cs="Arial"/>
          <w:sz w:val="24"/>
          <w:szCs w:val="24"/>
          <w:lang w:eastAsia="en-IN"/>
        </w:rPr>
        <w:t>, consisting of representatives of the Parties.</w:t>
      </w:r>
    </w:p>
    <w:p w14:paraId="20D14F41" w14:textId="77777777" w:rsidR="00E32BA4" w:rsidRPr="00530F1B" w:rsidRDefault="00E32BA4" w:rsidP="00F47A79">
      <w:pPr>
        <w:spacing w:after="0" w:line="240" w:lineRule="auto"/>
        <w:jc w:val="both"/>
        <w:rPr>
          <w:rFonts w:ascii="Arial" w:eastAsia="Times New Roman" w:hAnsi="Arial" w:cs="Arial"/>
          <w:sz w:val="24"/>
          <w:szCs w:val="24"/>
          <w:lang w:eastAsia="en-IN"/>
        </w:rPr>
      </w:pPr>
      <w:r w:rsidRPr="00530F1B">
        <w:rPr>
          <w:rFonts w:ascii="Arial" w:eastAsia="Times New Roman" w:hAnsi="Arial" w:cs="Arial"/>
          <w:sz w:val="24"/>
          <w:szCs w:val="24"/>
          <w:lang w:eastAsia="en-IN"/>
        </w:rPr>
        <w:t> </w:t>
      </w:r>
    </w:p>
    <w:p w14:paraId="18DA3A7F" w14:textId="75757854" w:rsidR="00EC2B47" w:rsidRPr="00530F1B" w:rsidRDefault="00321548" w:rsidP="00F47A79">
      <w:pPr>
        <w:spacing w:after="0" w:line="240" w:lineRule="auto"/>
        <w:ind w:left="720" w:hanging="720"/>
        <w:jc w:val="both"/>
        <w:rPr>
          <w:rFonts w:ascii="Arial" w:eastAsia="Times New Roman" w:hAnsi="Arial" w:cs="Arial"/>
          <w:sz w:val="24"/>
          <w:szCs w:val="24"/>
          <w:lang w:eastAsia="en-IN"/>
        </w:rPr>
      </w:pPr>
      <w:r>
        <w:rPr>
          <w:rFonts w:ascii="Arial" w:eastAsia="Times New Roman" w:hAnsi="Arial" w:cs="Arial"/>
          <w:sz w:val="24"/>
          <w:szCs w:val="24"/>
          <w:lang w:eastAsia="en-IN"/>
        </w:rPr>
        <w:t>2.</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The</w:t>
      </w:r>
      <w:r w:rsidR="00CD2865">
        <w:rPr>
          <w:rFonts w:ascii="Arial" w:eastAsia="Times New Roman" w:hAnsi="Arial" w:cs="Arial"/>
          <w:sz w:val="24"/>
          <w:szCs w:val="24"/>
          <w:lang w:eastAsia="en-IN"/>
        </w:rPr>
        <w:t xml:space="preserve"> </w:t>
      </w:r>
      <w:r w:rsidR="00E32BA4" w:rsidRPr="00530F1B">
        <w:rPr>
          <w:rFonts w:ascii="Arial" w:eastAsia="Times New Roman" w:hAnsi="Arial" w:cs="Arial"/>
          <w:sz w:val="24"/>
          <w:szCs w:val="24"/>
          <w:lang w:eastAsia="en-IN"/>
        </w:rPr>
        <w:t>Sub</w:t>
      </w:r>
      <w:r w:rsidR="006D51EA">
        <w:rPr>
          <w:rFonts w:ascii="Arial" w:eastAsia="Times New Roman" w:hAnsi="Arial" w:cs="Arial"/>
          <w:sz w:val="24"/>
          <w:szCs w:val="24"/>
          <w:lang w:eastAsia="en-IN"/>
        </w:rPr>
        <w:t>c</w:t>
      </w:r>
      <w:r w:rsidR="00E32BA4" w:rsidRPr="00530F1B">
        <w:rPr>
          <w:rFonts w:ascii="Arial" w:eastAsia="Times New Roman" w:hAnsi="Arial" w:cs="Arial"/>
          <w:sz w:val="24"/>
          <w:szCs w:val="24"/>
          <w:lang w:eastAsia="en-IN"/>
        </w:rPr>
        <w:t>ommittee shall meet at such venues and times as mutually determined by the Parties.  Meetings may be conducted in person, or by any other means as mutually determined by the Parties</w:t>
      </w:r>
      <w:r w:rsidR="009B76C4" w:rsidRPr="00530F1B">
        <w:rPr>
          <w:rFonts w:ascii="Arial" w:eastAsia="Times New Roman" w:hAnsi="Arial" w:cs="Arial"/>
          <w:sz w:val="24"/>
          <w:szCs w:val="24"/>
          <w:lang w:eastAsia="en-IN"/>
        </w:rPr>
        <w:t>.</w:t>
      </w:r>
    </w:p>
    <w:p w14:paraId="0702D15D" w14:textId="77777777" w:rsidR="009B76C4" w:rsidRPr="00530F1B" w:rsidRDefault="009B76C4" w:rsidP="00F47A79">
      <w:pPr>
        <w:spacing w:after="0" w:line="240" w:lineRule="auto"/>
        <w:ind w:left="360"/>
        <w:jc w:val="both"/>
        <w:rPr>
          <w:rFonts w:ascii="Arial" w:eastAsia="Times New Roman" w:hAnsi="Arial" w:cs="Arial"/>
          <w:sz w:val="24"/>
          <w:szCs w:val="24"/>
          <w:lang w:eastAsia="en-IN"/>
        </w:rPr>
      </w:pPr>
    </w:p>
    <w:p w14:paraId="419B6CF8" w14:textId="79105130" w:rsidR="00321548" w:rsidRDefault="00321548" w:rsidP="00F47A79">
      <w:p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3.</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The functions of the Sub</w:t>
      </w:r>
      <w:r w:rsidR="00636B92">
        <w:rPr>
          <w:rFonts w:ascii="Arial" w:eastAsia="Times New Roman" w:hAnsi="Arial" w:cs="Arial"/>
          <w:sz w:val="24"/>
          <w:szCs w:val="24"/>
          <w:lang w:eastAsia="en-IN"/>
        </w:rPr>
        <w:t>c</w:t>
      </w:r>
      <w:r w:rsidR="00E32BA4" w:rsidRPr="00530F1B">
        <w:rPr>
          <w:rFonts w:ascii="Arial" w:eastAsia="Times New Roman" w:hAnsi="Arial" w:cs="Arial"/>
          <w:sz w:val="24"/>
          <w:szCs w:val="24"/>
          <w:lang w:eastAsia="en-IN"/>
        </w:rPr>
        <w:t>ommittee may include:</w:t>
      </w:r>
    </w:p>
    <w:p w14:paraId="4C9F2B63" w14:textId="77777777" w:rsidR="00AF505E" w:rsidRDefault="00AF505E" w:rsidP="00F47A79">
      <w:pPr>
        <w:spacing w:after="0" w:line="240" w:lineRule="auto"/>
        <w:ind w:firstLine="720"/>
        <w:jc w:val="both"/>
        <w:rPr>
          <w:rFonts w:ascii="Arial" w:eastAsia="Times New Roman" w:hAnsi="Arial" w:cs="Arial"/>
          <w:sz w:val="24"/>
          <w:szCs w:val="24"/>
          <w:lang w:eastAsia="en-IN"/>
        </w:rPr>
      </w:pPr>
    </w:p>
    <w:p w14:paraId="484AC47C" w14:textId="3927F2EC" w:rsidR="00321548" w:rsidRDefault="00321548" w:rsidP="00F47A79">
      <w:pPr>
        <w:spacing w:after="0" w:line="240" w:lineRule="auto"/>
        <w:ind w:firstLine="720"/>
        <w:jc w:val="both"/>
        <w:rPr>
          <w:rFonts w:ascii="Arial" w:eastAsia="Times New Roman" w:hAnsi="Arial" w:cs="Arial"/>
          <w:sz w:val="24"/>
          <w:szCs w:val="24"/>
          <w:lang w:eastAsia="en-IN"/>
        </w:rPr>
      </w:pPr>
      <w:r>
        <w:rPr>
          <w:rFonts w:ascii="Arial" w:eastAsia="Times New Roman" w:hAnsi="Arial" w:cs="Arial"/>
          <w:sz w:val="24"/>
          <w:szCs w:val="24"/>
          <w:lang w:eastAsia="en-IN"/>
        </w:rPr>
        <w:t>(a)</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monitoring the implementation and operation of this Chapter; </w:t>
      </w:r>
    </w:p>
    <w:p w14:paraId="54449FF8" w14:textId="77777777" w:rsidR="00AF505E" w:rsidRDefault="00AF505E" w:rsidP="00F47A79">
      <w:pPr>
        <w:spacing w:after="0" w:line="240" w:lineRule="auto"/>
        <w:ind w:firstLine="720"/>
        <w:jc w:val="both"/>
        <w:rPr>
          <w:rFonts w:ascii="Arial" w:eastAsia="Times New Roman" w:hAnsi="Arial" w:cs="Arial"/>
          <w:sz w:val="24"/>
          <w:szCs w:val="24"/>
          <w:lang w:eastAsia="en-IN"/>
        </w:rPr>
      </w:pPr>
    </w:p>
    <w:p w14:paraId="232C91CF" w14:textId="69729FCC" w:rsidR="00E32BA4" w:rsidRPr="00530F1B" w:rsidRDefault="00321548" w:rsidP="00F47A79">
      <w:pPr>
        <w:spacing w:after="0" w:line="240" w:lineRule="auto"/>
        <w:ind w:firstLine="720"/>
        <w:jc w:val="both"/>
        <w:rPr>
          <w:rFonts w:ascii="Arial" w:eastAsia="Times New Roman" w:hAnsi="Arial" w:cs="Arial"/>
          <w:sz w:val="24"/>
          <w:szCs w:val="24"/>
          <w:lang w:eastAsia="en-IN"/>
        </w:rPr>
      </w:pPr>
      <w:r>
        <w:rPr>
          <w:rFonts w:ascii="Arial" w:eastAsia="Times New Roman" w:hAnsi="Arial" w:cs="Arial"/>
          <w:sz w:val="24"/>
          <w:szCs w:val="24"/>
          <w:lang w:eastAsia="en-IN"/>
        </w:rPr>
        <w:t>(b)</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coordinating cooperation pursuant to Article </w:t>
      </w:r>
      <w:r w:rsidR="000E0C21">
        <w:rPr>
          <w:rFonts w:ascii="Arial" w:eastAsia="Times New Roman" w:hAnsi="Arial" w:cs="Arial"/>
          <w:sz w:val="24"/>
          <w:szCs w:val="24"/>
          <w:lang w:eastAsia="en-IN"/>
        </w:rPr>
        <w:t>7</w:t>
      </w:r>
      <w:r w:rsidR="00E32BA4" w:rsidRPr="00530F1B">
        <w:rPr>
          <w:rFonts w:ascii="Arial" w:eastAsia="Times New Roman" w:hAnsi="Arial" w:cs="Arial"/>
          <w:sz w:val="24"/>
          <w:szCs w:val="24"/>
          <w:lang w:eastAsia="en-IN"/>
        </w:rPr>
        <w:t>.</w:t>
      </w:r>
      <w:r w:rsidR="00E64478" w:rsidRPr="00530F1B">
        <w:rPr>
          <w:rFonts w:ascii="Arial" w:eastAsia="Times New Roman" w:hAnsi="Arial" w:cs="Arial"/>
          <w:sz w:val="24"/>
          <w:szCs w:val="24"/>
          <w:lang w:eastAsia="en-IN"/>
        </w:rPr>
        <w:t xml:space="preserve">8 </w:t>
      </w:r>
      <w:r w:rsidR="00E32BA4" w:rsidRPr="00530F1B">
        <w:rPr>
          <w:rFonts w:ascii="Arial" w:eastAsia="Times New Roman" w:hAnsi="Arial" w:cs="Arial"/>
          <w:sz w:val="24"/>
          <w:szCs w:val="24"/>
          <w:lang w:eastAsia="en-IN"/>
        </w:rPr>
        <w:t xml:space="preserve">(Cooperation); </w:t>
      </w:r>
    </w:p>
    <w:p w14:paraId="5CEF120C" w14:textId="77777777" w:rsidR="00AF505E" w:rsidRDefault="00AF505E" w:rsidP="00F47A79">
      <w:pPr>
        <w:spacing w:after="0" w:line="240" w:lineRule="auto"/>
        <w:ind w:firstLine="720"/>
        <w:jc w:val="both"/>
        <w:rPr>
          <w:rFonts w:ascii="Arial" w:eastAsia="Times New Roman" w:hAnsi="Arial" w:cs="Arial"/>
          <w:sz w:val="24"/>
          <w:szCs w:val="24"/>
          <w:lang w:eastAsia="en-IN"/>
        </w:rPr>
      </w:pPr>
    </w:p>
    <w:p w14:paraId="7FE26778" w14:textId="67B9C608" w:rsidR="00E32BA4" w:rsidRPr="00530F1B" w:rsidRDefault="00321548" w:rsidP="00F47A79">
      <w:pPr>
        <w:spacing w:after="0" w:line="240" w:lineRule="auto"/>
        <w:ind w:firstLine="720"/>
        <w:jc w:val="both"/>
        <w:rPr>
          <w:rFonts w:ascii="Arial" w:eastAsia="Times New Roman" w:hAnsi="Arial" w:cs="Arial"/>
          <w:sz w:val="24"/>
          <w:szCs w:val="24"/>
          <w:lang w:eastAsia="en-IN"/>
        </w:rPr>
      </w:pPr>
      <w:r>
        <w:rPr>
          <w:rFonts w:ascii="Arial" w:eastAsia="Times New Roman" w:hAnsi="Arial" w:cs="Arial"/>
          <w:sz w:val="24"/>
          <w:szCs w:val="24"/>
          <w:lang w:eastAsia="en-IN"/>
        </w:rPr>
        <w:t>(c)</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facilitating technical discussions;</w:t>
      </w:r>
    </w:p>
    <w:p w14:paraId="03A213D7" w14:textId="77777777" w:rsidR="00AF505E" w:rsidRDefault="00AF505E" w:rsidP="00F47A79">
      <w:pPr>
        <w:spacing w:after="0" w:line="240" w:lineRule="auto"/>
        <w:ind w:left="1440" w:hanging="720"/>
        <w:jc w:val="both"/>
        <w:rPr>
          <w:rFonts w:ascii="Arial" w:eastAsia="Times New Roman" w:hAnsi="Arial" w:cs="Arial"/>
          <w:sz w:val="24"/>
          <w:szCs w:val="24"/>
          <w:lang w:eastAsia="en-IN"/>
        </w:rPr>
      </w:pPr>
    </w:p>
    <w:p w14:paraId="2BA86C6B" w14:textId="26482E64" w:rsidR="00E32BA4" w:rsidRDefault="00321548" w:rsidP="00F47A79">
      <w:pPr>
        <w:spacing w:after="0" w:line="240" w:lineRule="auto"/>
        <w:ind w:left="1440" w:hanging="720"/>
        <w:jc w:val="both"/>
        <w:rPr>
          <w:rFonts w:ascii="Arial" w:eastAsia="Times New Roman" w:hAnsi="Arial" w:cs="Arial"/>
          <w:sz w:val="24"/>
          <w:szCs w:val="24"/>
          <w:lang w:eastAsia="en-IN"/>
        </w:rPr>
      </w:pPr>
      <w:r>
        <w:rPr>
          <w:rFonts w:ascii="Arial" w:eastAsia="Times New Roman" w:hAnsi="Arial" w:cs="Arial"/>
          <w:sz w:val="24"/>
          <w:szCs w:val="24"/>
          <w:lang w:eastAsia="en-IN"/>
        </w:rPr>
        <w:t>(</w:t>
      </w:r>
      <w:r w:rsidR="00686855">
        <w:rPr>
          <w:rFonts w:ascii="Arial" w:eastAsia="Times New Roman" w:hAnsi="Arial" w:cs="Arial"/>
          <w:sz w:val="24"/>
          <w:szCs w:val="24"/>
          <w:lang w:eastAsia="en-IN"/>
        </w:rPr>
        <w:t>d</w:t>
      </w:r>
      <w:r>
        <w:rPr>
          <w:rFonts w:ascii="Arial" w:eastAsia="Times New Roman" w:hAnsi="Arial" w:cs="Arial"/>
          <w:sz w:val="24"/>
          <w:szCs w:val="24"/>
          <w:lang w:eastAsia="en-IN"/>
        </w:rPr>
        <w:t>)</w:t>
      </w:r>
      <w:r>
        <w:rPr>
          <w:rFonts w:ascii="Arial" w:eastAsia="Times New Roman" w:hAnsi="Arial" w:cs="Arial"/>
          <w:sz w:val="24"/>
          <w:szCs w:val="24"/>
          <w:lang w:eastAsia="en-IN"/>
        </w:rPr>
        <w:tab/>
      </w:r>
      <w:r w:rsidR="00E32BA4" w:rsidRPr="00321548">
        <w:rPr>
          <w:rFonts w:ascii="Arial" w:eastAsia="Times New Roman" w:hAnsi="Arial" w:cs="Arial"/>
          <w:sz w:val="24"/>
          <w:szCs w:val="24"/>
          <w:lang w:eastAsia="en-IN"/>
        </w:rPr>
        <w:t xml:space="preserve">reporting, where appropriate, its findings to the </w:t>
      </w:r>
      <w:r w:rsidR="00380B30">
        <w:rPr>
          <w:rFonts w:ascii="Arial" w:eastAsia="Times New Roman" w:hAnsi="Arial" w:cs="Arial"/>
          <w:sz w:val="24"/>
          <w:szCs w:val="24"/>
          <w:lang w:eastAsia="en-IN"/>
        </w:rPr>
        <w:t>Subc</w:t>
      </w:r>
      <w:r w:rsidR="00E32BA4" w:rsidRPr="00321548">
        <w:rPr>
          <w:rFonts w:ascii="Arial" w:eastAsia="Times New Roman" w:hAnsi="Arial" w:cs="Arial"/>
          <w:sz w:val="24"/>
          <w:szCs w:val="24"/>
          <w:lang w:eastAsia="en-IN"/>
        </w:rPr>
        <w:t>ommittee on Goods; and</w:t>
      </w:r>
    </w:p>
    <w:p w14:paraId="3999DC17" w14:textId="77777777" w:rsidR="00CD2865" w:rsidRPr="00321548" w:rsidRDefault="00CD2865" w:rsidP="00F47A79">
      <w:pPr>
        <w:spacing w:after="0" w:line="240" w:lineRule="auto"/>
        <w:ind w:left="1440" w:hanging="720"/>
        <w:jc w:val="both"/>
        <w:rPr>
          <w:rFonts w:ascii="Arial" w:eastAsia="Times New Roman" w:hAnsi="Arial" w:cs="Arial"/>
          <w:sz w:val="24"/>
          <w:szCs w:val="24"/>
          <w:lang w:eastAsia="en-IN"/>
        </w:rPr>
      </w:pPr>
    </w:p>
    <w:p w14:paraId="34615B01" w14:textId="22FB37B5" w:rsidR="000619FB" w:rsidRPr="00530F1B" w:rsidRDefault="009C224E" w:rsidP="008E63E5">
      <w:pPr>
        <w:spacing w:after="0" w:line="240" w:lineRule="auto"/>
        <w:ind w:left="1440" w:hanging="720"/>
        <w:jc w:val="both"/>
        <w:rPr>
          <w:rFonts w:ascii="Arial" w:hAnsi="Arial" w:cs="Arial"/>
          <w:sz w:val="24"/>
          <w:szCs w:val="24"/>
        </w:rPr>
      </w:pPr>
      <w:r>
        <w:rPr>
          <w:rFonts w:ascii="Arial" w:eastAsia="Times New Roman" w:hAnsi="Arial" w:cs="Arial"/>
          <w:sz w:val="24"/>
          <w:szCs w:val="24"/>
          <w:lang w:eastAsia="en-IN"/>
        </w:rPr>
        <w:t>(e)</w:t>
      </w:r>
      <w:r>
        <w:rPr>
          <w:rFonts w:ascii="Arial" w:eastAsia="Times New Roman" w:hAnsi="Arial" w:cs="Arial"/>
          <w:sz w:val="24"/>
          <w:szCs w:val="24"/>
          <w:lang w:eastAsia="en-IN"/>
        </w:rPr>
        <w:tab/>
      </w:r>
      <w:r w:rsidR="00E32BA4" w:rsidRPr="00530F1B">
        <w:rPr>
          <w:rFonts w:ascii="Arial" w:eastAsia="Times New Roman" w:hAnsi="Arial" w:cs="Arial"/>
          <w:sz w:val="24"/>
          <w:szCs w:val="24"/>
          <w:lang w:eastAsia="en-IN"/>
        </w:rPr>
        <w:t xml:space="preserve">carrying out other functions as may be delegated by the </w:t>
      </w:r>
      <w:r w:rsidR="00444692">
        <w:rPr>
          <w:rFonts w:ascii="Arial" w:eastAsia="Times New Roman" w:hAnsi="Arial" w:cs="Arial"/>
          <w:sz w:val="24"/>
          <w:szCs w:val="24"/>
          <w:lang w:eastAsia="en-IN"/>
        </w:rPr>
        <w:t>Subc</w:t>
      </w:r>
      <w:r w:rsidR="00E32BA4" w:rsidRPr="00530F1B">
        <w:rPr>
          <w:rFonts w:ascii="Arial" w:eastAsia="Times New Roman" w:hAnsi="Arial" w:cs="Arial"/>
          <w:sz w:val="24"/>
          <w:szCs w:val="24"/>
          <w:lang w:eastAsia="en-IN"/>
        </w:rPr>
        <w:t>ommittee on Goods.</w:t>
      </w:r>
    </w:p>
    <w:sectPr w:rsidR="000619FB" w:rsidRPr="00530F1B" w:rsidSect="009C55B1">
      <w:footerReference w:type="default" r:id="rId8"/>
      <w:pgSz w:w="11906" w:h="16838" w:code="9"/>
      <w:pgMar w:top="1440" w:right="1440" w:bottom="1440"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301FE" w14:textId="77777777" w:rsidR="002145EB" w:rsidRDefault="002145EB" w:rsidP="00E32BA4">
      <w:pPr>
        <w:spacing w:after="0" w:line="240" w:lineRule="auto"/>
      </w:pPr>
      <w:r>
        <w:separator/>
      </w:r>
    </w:p>
  </w:endnote>
  <w:endnote w:type="continuationSeparator" w:id="0">
    <w:p w14:paraId="60614E3D" w14:textId="77777777" w:rsidR="002145EB" w:rsidRDefault="002145EB" w:rsidP="00E32BA4">
      <w:pPr>
        <w:spacing w:after="0" w:line="240" w:lineRule="auto"/>
      </w:pPr>
      <w:r>
        <w:continuationSeparator/>
      </w:r>
    </w:p>
  </w:endnote>
  <w:endnote w:type="continuationNotice" w:id="1">
    <w:p w14:paraId="6CCE1DBF" w14:textId="77777777" w:rsidR="002145EB" w:rsidRDefault="0021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5DF1" w14:textId="153D0151" w:rsidR="00541EA4" w:rsidRPr="007578D8" w:rsidRDefault="00541EA4" w:rsidP="007578D8">
    <w:pPr>
      <w:pStyle w:val="Footer"/>
      <w:jc w:val="center"/>
      <w:rPr>
        <w:rFonts w:ascii="Arial" w:hAnsi="Arial" w:cs="Arial"/>
        <w:sz w:val="20"/>
        <w:szCs w:val="20"/>
      </w:rPr>
    </w:pPr>
    <w:r w:rsidRPr="008E63E5">
      <w:rPr>
        <w:rFonts w:ascii="Arial" w:hAnsi="Arial" w:cs="Arial"/>
        <w:sz w:val="20"/>
        <w:szCs w:val="20"/>
      </w:rPr>
      <w:t xml:space="preserve">7 - </w:t>
    </w:r>
    <w:sdt>
      <w:sdtPr>
        <w:rPr>
          <w:rFonts w:ascii="Arial" w:hAnsi="Arial" w:cs="Arial"/>
          <w:sz w:val="20"/>
          <w:szCs w:val="20"/>
        </w:rPr>
        <w:id w:val="1437171413"/>
        <w:docPartObj>
          <w:docPartGallery w:val="Page Numbers (Bottom of Page)"/>
          <w:docPartUnique/>
        </w:docPartObj>
      </w:sdtPr>
      <w:sdtEndPr>
        <w:rPr>
          <w:noProof/>
        </w:rPr>
      </w:sdtEndPr>
      <w:sdtContent>
        <w:r w:rsidRPr="008E63E5">
          <w:rPr>
            <w:rFonts w:ascii="Arial" w:hAnsi="Arial" w:cs="Arial"/>
            <w:sz w:val="20"/>
            <w:szCs w:val="20"/>
          </w:rPr>
          <w:fldChar w:fldCharType="begin"/>
        </w:r>
        <w:r w:rsidRPr="008E63E5">
          <w:rPr>
            <w:rFonts w:ascii="Arial" w:hAnsi="Arial" w:cs="Arial"/>
            <w:sz w:val="20"/>
            <w:szCs w:val="20"/>
          </w:rPr>
          <w:instrText xml:space="preserve"> PAGE   \* MERGEFORMAT </w:instrText>
        </w:r>
        <w:r w:rsidRPr="008E63E5">
          <w:rPr>
            <w:rFonts w:ascii="Arial" w:hAnsi="Arial" w:cs="Arial"/>
            <w:sz w:val="20"/>
            <w:szCs w:val="20"/>
          </w:rPr>
          <w:fldChar w:fldCharType="separate"/>
        </w:r>
        <w:r w:rsidR="000E68A2">
          <w:rPr>
            <w:rFonts w:ascii="Arial" w:hAnsi="Arial" w:cs="Arial"/>
            <w:noProof/>
            <w:sz w:val="20"/>
            <w:szCs w:val="20"/>
          </w:rPr>
          <w:t>5</w:t>
        </w:r>
        <w:r w:rsidRPr="008E63E5">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F3388" w14:textId="77777777" w:rsidR="002145EB" w:rsidRDefault="002145EB" w:rsidP="00E32BA4">
      <w:pPr>
        <w:spacing w:after="0" w:line="240" w:lineRule="auto"/>
      </w:pPr>
      <w:r>
        <w:separator/>
      </w:r>
    </w:p>
  </w:footnote>
  <w:footnote w:type="continuationSeparator" w:id="0">
    <w:p w14:paraId="7FCA401F" w14:textId="77777777" w:rsidR="002145EB" w:rsidRDefault="002145EB" w:rsidP="00E32BA4">
      <w:pPr>
        <w:spacing w:after="0" w:line="240" w:lineRule="auto"/>
      </w:pPr>
      <w:r>
        <w:continuationSeparator/>
      </w:r>
    </w:p>
  </w:footnote>
  <w:footnote w:type="continuationNotice" w:id="1">
    <w:p w14:paraId="735D1738" w14:textId="77777777" w:rsidR="002145EB" w:rsidRDefault="002145EB">
      <w:pPr>
        <w:spacing w:after="0" w:line="240" w:lineRule="auto"/>
      </w:pPr>
    </w:p>
  </w:footnote>
  <w:footnote w:id="2">
    <w:p w14:paraId="42E3EA5E" w14:textId="17BA2B56" w:rsidR="00530F1B" w:rsidRPr="00F967D8" w:rsidRDefault="00530F1B" w:rsidP="00F967D8">
      <w:pPr>
        <w:spacing w:after="0" w:line="240" w:lineRule="auto"/>
        <w:jc w:val="both"/>
        <w:rPr>
          <w:rFonts w:ascii="Arial" w:eastAsia="Times New Roman" w:hAnsi="Arial" w:cs="Arial"/>
          <w:sz w:val="20"/>
          <w:szCs w:val="20"/>
          <w:lang w:eastAsia="en-IN"/>
        </w:rPr>
      </w:pPr>
      <w:r w:rsidRPr="00760329">
        <w:rPr>
          <w:rStyle w:val="FootnoteReference"/>
          <w:rFonts w:ascii="Arial" w:hAnsi="Arial" w:cs="Arial"/>
          <w:sz w:val="20"/>
          <w:szCs w:val="20"/>
        </w:rPr>
        <w:footnoteRef/>
      </w:r>
      <w:r w:rsidRPr="00760329">
        <w:rPr>
          <w:rFonts w:ascii="Arial" w:hAnsi="Arial" w:cs="Arial"/>
          <w:sz w:val="20"/>
          <w:szCs w:val="20"/>
        </w:rPr>
        <w:t xml:space="preserve"> </w:t>
      </w:r>
      <w:r w:rsidRPr="00760329">
        <w:rPr>
          <w:rFonts w:ascii="Arial" w:eastAsia="Times New Roman" w:hAnsi="Arial" w:cs="Arial"/>
          <w:sz w:val="20"/>
          <w:szCs w:val="20"/>
          <w:lang w:eastAsia="en-IN"/>
        </w:rPr>
        <w:t>The Party’s request should identify the specific technical regulations it considers to be equivalent and any data or evidence that supports its position.</w:t>
      </w:r>
    </w:p>
  </w:footnote>
  <w:footnote w:id="3">
    <w:p w14:paraId="74F0976A" w14:textId="4CD8410F" w:rsidR="00F967D8" w:rsidRPr="00F967D8" w:rsidRDefault="00F967D8" w:rsidP="00CD5E5C">
      <w:pPr>
        <w:pStyle w:val="FootnoteText"/>
        <w:jc w:val="both"/>
        <w:rPr>
          <w:rFonts w:ascii="Arial" w:eastAsia="Times New Roman" w:hAnsi="Arial" w:cs="Arial"/>
          <w:lang w:eastAsia="en-IN"/>
        </w:rPr>
      </w:pPr>
      <w:r>
        <w:rPr>
          <w:rStyle w:val="FootnoteReference"/>
        </w:rPr>
        <w:footnoteRef/>
      </w:r>
      <w:r>
        <w:t xml:space="preserve">  </w:t>
      </w:r>
      <w:r w:rsidRPr="00F967D8">
        <w:rPr>
          <w:rFonts w:ascii="Arial" w:eastAsia="Times New Roman" w:hAnsi="Arial" w:cs="Arial"/>
          <w:lang w:eastAsia="en-IN"/>
        </w:rPr>
        <w:t xml:space="preserve">The term “reasonable interval” means normally a period of not less than six months, except when this would be ineffective in fulfilling the legitimate objectives pursued by the technical regulation or the conformity assessment </w:t>
      </w:r>
      <w:r w:rsidRPr="0022667E">
        <w:rPr>
          <w:rFonts w:ascii="Arial" w:eastAsia="Times New Roman" w:hAnsi="Arial" w:cs="Arial"/>
          <w:lang w:eastAsia="en-IN"/>
        </w:rPr>
        <w:t>procedure.</w:t>
      </w:r>
      <w:r w:rsidR="00226F6C" w:rsidRPr="0022667E">
        <w:rPr>
          <w:rFonts w:ascii="Arial" w:eastAsia="Times New Roman" w:hAnsi="Arial" w:cs="Arial"/>
          <w:lang w:eastAsia="en-IN"/>
        </w:rPr>
        <w:t xml:space="preserve"> </w:t>
      </w:r>
      <w:r w:rsidR="00A628E2" w:rsidRPr="0022667E">
        <w:rPr>
          <w:rFonts w:ascii="Arial" w:eastAsia="Times New Roman" w:hAnsi="Arial" w:cs="Arial"/>
          <w:lang w:eastAsia="en-IN"/>
        </w:rPr>
        <w:t>Such legitimate objectives are, </w:t>
      </w:r>
      <w:r w:rsidR="00A628E2" w:rsidRPr="008E63E5">
        <w:rPr>
          <w:rFonts w:ascii="Arial" w:eastAsia="Times New Roman" w:hAnsi="Arial" w:cs="Arial"/>
          <w:i/>
          <w:iCs/>
          <w:lang w:eastAsia="en-IN"/>
        </w:rPr>
        <w:t>inter alia</w:t>
      </w:r>
      <w:r w:rsidR="00A628E2" w:rsidRPr="0022667E">
        <w:rPr>
          <w:rFonts w:ascii="Arial" w:eastAsia="Times New Roman" w:hAnsi="Arial" w:cs="Arial"/>
          <w:lang w:eastAsia="en-IN"/>
        </w:rPr>
        <w:t>: national security requirements; the prevention of deceptive practices; protection of human health or safety, animal or plant life or health, or the environment</w:t>
      </w:r>
      <w:r w:rsidR="0022667E">
        <w:rPr>
          <w:rFonts w:ascii="Arial" w:eastAsia="Times New Roman" w:hAnsi="Arial" w:cs="Arial"/>
          <w:lang w:eastAsia="en-IN"/>
        </w:rPr>
        <w:t>.</w:t>
      </w:r>
    </w:p>
  </w:footnote>
  <w:footnote w:id="4">
    <w:p w14:paraId="1A68E3F8" w14:textId="6236625D" w:rsidR="00BA47F7" w:rsidRPr="00BC6E0C" w:rsidRDefault="00BA47F7" w:rsidP="0063370F">
      <w:pPr>
        <w:jc w:val="both"/>
        <w:rPr>
          <w:rFonts w:ascii="Arial" w:hAnsi="Arial" w:cs="Arial"/>
          <w:color w:val="4472C4" w:themeColor="accent1"/>
          <w:sz w:val="20"/>
          <w:szCs w:val="20"/>
        </w:rPr>
      </w:pPr>
      <w:r w:rsidRPr="00BC6E0C">
        <w:rPr>
          <w:rStyle w:val="FootnoteReference"/>
          <w:rFonts w:ascii="Arial" w:hAnsi="Arial" w:cs="Arial"/>
          <w:sz w:val="20"/>
          <w:szCs w:val="20"/>
        </w:rPr>
        <w:footnoteRef/>
      </w:r>
      <w:r w:rsidRPr="00BC6E0C">
        <w:rPr>
          <w:rFonts w:ascii="Arial" w:hAnsi="Arial" w:cs="Arial"/>
          <w:sz w:val="20"/>
          <w:szCs w:val="20"/>
        </w:rPr>
        <w:t xml:space="preserve"> </w:t>
      </w:r>
      <w:r w:rsidRPr="008E63E5">
        <w:rPr>
          <w:rFonts w:ascii="Arial" w:hAnsi="Arial" w:cs="Arial"/>
          <w:sz w:val="20"/>
          <w:szCs w:val="20"/>
          <w:lang w:eastAsia="en-IN"/>
        </w:rPr>
        <w:t>For greater certainty, this may include results of the conformity assessment procedures conducted by conformity assessment bodies accredited by the national accreditation body of the other Party where that national accreditation body is a member of relevant multilateral agreements or arrangements.</w:t>
      </w:r>
      <w:r w:rsidRPr="00BC6E0C">
        <w:rPr>
          <w:rFonts w:ascii="Arial" w:hAnsi="Arial" w:cs="Arial"/>
          <w:color w:val="4472C4" w:themeColor="accent1"/>
          <w:sz w:val="20"/>
          <w:szCs w:val="20"/>
          <w:lang w:eastAsia="en-IN"/>
        </w:rPr>
        <w:t>          </w:t>
      </w:r>
      <w:r w:rsidRPr="00BC6E0C">
        <w:rPr>
          <w:rFonts w:ascii="Arial" w:hAnsi="Arial" w:cs="Arial"/>
          <w:color w:val="4472C4" w:themeColor="accent1"/>
          <w:sz w:val="20"/>
          <w:szCs w:val="20"/>
        </w:rPr>
        <w:t>  </w:t>
      </w:r>
    </w:p>
    <w:p w14:paraId="76F06B70" w14:textId="44FE668D" w:rsidR="00BA47F7" w:rsidRPr="00BA47F7" w:rsidRDefault="00BA47F7">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7AB7"/>
    <w:multiLevelType w:val="multilevel"/>
    <w:tmpl w:val="FE0EF9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15CC8"/>
    <w:multiLevelType w:val="hybridMultilevel"/>
    <w:tmpl w:val="9F224752"/>
    <w:lvl w:ilvl="0" w:tplc="B6600F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1113F"/>
    <w:multiLevelType w:val="multilevel"/>
    <w:tmpl w:val="AF443E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CA711DD"/>
    <w:multiLevelType w:val="multilevel"/>
    <w:tmpl w:val="34D06310"/>
    <w:lvl w:ilvl="0">
      <w:start w:val="1"/>
      <w:numFmt w:val="decimal"/>
      <w:lvlText w:val="%1."/>
      <w:lvlJc w:val="left"/>
      <w:pPr>
        <w:ind w:left="720" w:hanging="360"/>
      </w:pPr>
      <w:rPr>
        <w:caps w:val="0"/>
        <w:smallCaps w:val="0"/>
        <w:strike w:val="0"/>
        <w:dstrike w:val="0"/>
        <w:color w:val="00B050"/>
        <w:spacing w:val="0"/>
        <w:w w:val="100"/>
        <w:position w:val="0"/>
        <w:sz w:val="20"/>
        <w:u w:val="none"/>
        <w:effect w:val="none"/>
        <w:vertAlign w:val="baseline"/>
      </w:rPr>
    </w:lvl>
    <w:lvl w:ilvl="1">
      <w:start w:val="1"/>
      <w:numFmt w:val="lowerLetter"/>
      <w:lvlText w:val="%2."/>
      <w:lvlJc w:val="left"/>
      <w:pPr>
        <w:ind w:left="1440" w:hanging="360"/>
      </w:pPr>
      <w:rPr>
        <w:caps w:val="0"/>
        <w:smallCaps w:val="0"/>
        <w:strike w:val="0"/>
        <w:dstrike w:val="0"/>
        <w:color w:val="000000"/>
        <w:spacing w:val="0"/>
        <w:w w:val="100"/>
        <w:position w:val="0"/>
        <w:sz w:val="20"/>
        <w:u w:val="none"/>
        <w:effect w:val="none"/>
        <w:vertAlign w:val="baseline"/>
      </w:rPr>
    </w:lvl>
    <w:lvl w:ilvl="2">
      <w:start w:val="1"/>
      <w:numFmt w:val="lowerRoman"/>
      <w:lvlText w:val="%3."/>
      <w:lvlJc w:val="left"/>
      <w:pPr>
        <w:ind w:left="2160" w:hanging="300"/>
      </w:pPr>
      <w:rPr>
        <w:caps w:val="0"/>
        <w:smallCaps w:val="0"/>
        <w:strike w:val="0"/>
        <w:dstrike w:val="0"/>
        <w:color w:val="000000"/>
        <w:spacing w:val="0"/>
        <w:w w:val="100"/>
        <w:position w:val="0"/>
        <w:sz w:val="20"/>
        <w:u w:val="none"/>
        <w:effect w:val="none"/>
        <w:vertAlign w:val="baseline"/>
      </w:rPr>
    </w:lvl>
    <w:lvl w:ilvl="3">
      <w:start w:val="1"/>
      <w:numFmt w:val="decimal"/>
      <w:lvlText w:val="%4."/>
      <w:lvlJc w:val="left"/>
      <w:pPr>
        <w:ind w:left="2880" w:hanging="360"/>
      </w:pPr>
      <w:rPr>
        <w:caps w:val="0"/>
        <w:smallCaps w:val="0"/>
        <w:strike w:val="0"/>
        <w:dstrike w:val="0"/>
        <w:color w:val="000000"/>
        <w:spacing w:val="0"/>
        <w:w w:val="100"/>
        <w:position w:val="0"/>
        <w:sz w:val="20"/>
        <w:u w:val="none"/>
        <w:effect w:val="none"/>
        <w:vertAlign w:val="baseline"/>
      </w:rPr>
    </w:lvl>
    <w:lvl w:ilvl="4">
      <w:start w:val="1"/>
      <w:numFmt w:val="lowerLetter"/>
      <w:lvlText w:val="%5."/>
      <w:lvlJc w:val="left"/>
      <w:pPr>
        <w:ind w:left="3600" w:hanging="360"/>
      </w:pPr>
      <w:rPr>
        <w:caps w:val="0"/>
        <w:smallCaps w:val="0"/>
        <w:strike w:val="0"/>
        <w:dstrike w:val="0"/>
        <w:color w:val="000000"/>
        <w:spacing w:val="0"/>
        <w:w w:val="100"/>
        <w:position w:val="0"/>
        <w:sz w:val="20"/>
        <w:u w:val="none"/>
        <w:effect w:val="none"/>
        <w:vertAlign w:val="baseline"/>
      </w:rPr>
    </w:lvl>
    <w:lvl w:ilvl="5">
      <w:start w:val="1"/>
      <w:numFmt w:val="lowerRoman"/>
      <w:lvlText w:val="%6."/>
      <w:lvlJc w:val="left"/>
      <w:pPr>
        <w:ind w:left="4320" w:hanging="300"/>
      </w:pPr>
      <w:rPr>
        <w:caps w:val="0"/>
        <w:smallCaps w:val="0"/>
        <w:strike w:val="0"/>
        <w:dstrike w:val="0"/>
        <w:color w:val="000000"/>
        <w:spacing w:val="0"/>
        <w:w w:val="100"/>
        <w:position w:val="0"/>
        <w:sz w:val="20"/>
        <w:u w:val="none"/>
        <w:effect w:val="none"/>
        <w:vertAlign w:val="baseline"/>
      </w:rPr>
    </w:lvl>
    <w:lvl w:ilvl="6">
      <w:start w:val="1"/>
      <w:numFmt w:val="decimal"/>
      <w:lvlText w:val="%7."/>
      <w:lvlJc w:val="left"/>
      <w:pPr>
        <w:ind w:left="5040" w:hanging="360"/>
      </w:pPr>
      <w:rPr>
        <w:caps w:val="0"/>
        <w:smallCaps w:val="0"/>
        <w:strike w:val="0"/>
        <w:dstrike w:val="0"/>
        <w:color w:val="000000"/>
        <w:spacing w:val="0"/>
        <w:w w:val="100"/>
        <w:position w:val="0"/>
        <w:sz w:val="20"/>
        <w:u w:val="none"/>
        <w:effect w:val="none"/>
        <w:vertAlign w:val="baseline"/>
      </w:rPr>
    </w:lvl>
    <w:lvl w:ilvl="7">
      <w:start w:val="1"/>
      <w:numFmt w:val="lowerLetter"/>
      <w:lvlText w:val="%8."/>
      <w:lvlJc w:val="left"/>
      <w:pPr>
        <w:ind w:left="5760" w:hanging="360"/>
      </w:pPr>
      <w:rPr>
        <w:caps w:val="0"/>
        <w:smallCaps w:val="0"/>
        <w:strike w:val="0"/>
        <w:dstrike w:val="0"/>
        <w:color w:val="000000"/>
        <w:spacing w:val="0"/>
        <w:w w:val="100"/>
        <w:position w:val="0"/>
        <w:sz w:val="20"/>
        <w:u w:val="none"/>
        <w:effect w:val="none"/>
        <w:vertAlign w:val="baseline"/>
      </w:rPr>
    </w:lvl>
    <w:lvl w:ilvl="8">
      <w:start w:val="1"/>
      <w:numFmt w:val="lowerRoman"/>
      <w:lvlText w:val="%9."/>
      <w:lvlJc w:val="left"/>
      <w:pPr>
        <w:ind w:left="6480" w:hanging="300"/>
      </w:pPr>
      <w:rPr>
        <w:caps w:val="0"/>
        <w:smallCaps w:val="0"/>
        <w:strike w:val="0"/>
        <w:dstrike w:val="0"/>
        <w:color w:val="000000"/>
        <w:spacing w:val="0"/>
        <w:w w:val="100"/>
        <w:position w:val="0"/>
        <w:sz w:val="20"/>
        <w:u w:val="none"/>
        <w:effect w:val="none"/>
        <w:vertAlign w:val="baseline"/>
      </w:rPr>
    </w:lvl>
  </w:abstractNum>
  <w:abstractNum w:abstractNumId="4" w15:restartNumberingAfterBreak="0">
    <w:nsid w:val="0DF64580"/>
    <w:multiLevelType w:val="hybridMultilevel"/>
    <w:tmpl w:val="B1AA61CE"/>
    <w:lvl w:ilvl="0" w:tplc="AC2EDBB8">
      <w:start w:val="4"/>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F2D6BBE"/>
    <w:multiLevelType w:val="multilevel"/>
    <w:tmpl w:val="581A3CD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9641C"/>
    <w:multiLevelType w:val="hybridMultilevel"/>
    <w:tmpl w:val="196212C8"/>
    <w:lvl w:ilvl="0" w:tplc="78DAD272">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48300A"/>
    <w:multiLevelType w:val="multilevel"/>
    <w:tmpl w:val="6B4CCF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2323F1B"/>
    <w:multiLevelType w:val="multilevel"/>
    <w:tmpl w:val="48044C74"/>
    <w:lvl w:ilvl="0">
      <w:start w:val="1"/>
      <w:numFmt w:val="decimal"/>
      <w:lvlText w:val="%1."/>
      <w:lvlJc w:val="left"/>
      <w:pPr>
        <w:tabs>
          <w:tab w:val="num" w:pos="360"/>
        </w:tabs>
        <w:ind w:left="360" w:hanging="360"/>
      </w:pPr>
      <w:rPr>
        <w:b w:val="0"/>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3F30700"/>
    <w:multiLevelType w:val="hybridMultilevel"/>
    <w:tmpl w:val="649C0E7C"/>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0" w15:restartNumberingAfterBreak="0">
    <w:nsid w:val="141179BE"/>
    <w:multiLevelType w:val="hybridMultilevel"/>
    <w:tmpl w:val="11705C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3B5B1B"/>
    <w:multiLevelType w:val="multilevel"/>
    <w:tmpl w:val="AFCA4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DB56FB4"/>
    <w:multiLevelType w:val="multilevel"/>
    <w:tmpl w:val="549664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5093E"/>
    <w:multiLevelType w:val="hybridMultilevel"/>
    <w:tmpl w:val="D0142356"/>
    <w:lvl w:ilvl="0" w:tplc="561E352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60D7407"/>
    <w:multiLevelType w:val="multilevel"/>
    <w:tmpl w:val="F4668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C504D7"/>
    <w:multiLevelType w:val="multilevel"/>
    <w:tmpl w:val="9EDCF7FE"/>
    <w:lvl w:ilvl="0">
      <w:start w:val="4"/>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7EE05C9"/>
    <w:multiLevelType w:val="hybridMultilevel"/>
    <w:tmpl w:val="5E08B68C"/>
    <w:lvl w:ilvl="0" w:tplc="91B40BF6">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B435E34"/>
    <w:multiLevelType w:val="multilevel"/>
    <w:tmpl w:val="536CD1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63F5282"/>
    <w:multiLevelType w:val="multilevel"/>
    <w:tmpl w:val="303CB414"/>
    <w:lvl w:ilvl="0">
      <w:start w:val="1"/>
      <w:numFmt w:val="decimal"/>
      <w:lvlText w:val="%1."/>
      <w:lvlJc w:val="left"/>
      <w:pPr>
        <w:ind w:left="720" w:hanging="360"/>
      </w:pPr>
      <w:rPr>
        <w:caps w:val="0"/>
        <w:smallCaps w:val="0"/>
        <w:strike w:val="0"/>
        <w:dstrike w:val="0"/>
        <w:color w:val="00B050"/>
        <w:spacing w:val="0"/>
        <w:w w:val="100"/>
        <w:position w:val="0"/>
        <w:sz w:val="20"/>
        <w:u w:val="none"/>
        <w:effect w:val="none"/>
        <w:vertAlign w:val="baseline"/>
      </w:rPr>
    </w:lvl>
    <w:lvl w:ilvl="1">
      <w:start w:val="1"/>
      <w:numFmt w:val="lowerLetter"/>
      <w:lvlText w:val="%2."/>
      <w:lvlJc w:val="left"/>
      <w:pPr>
        <w:ind w:left="1440" w:hanging="360"/>
      </w:pPr>
      <w:rPr>
        <w:caps w:val="0"/>
        <w:smallCaps w:val="0"/>
        <w:strike w:val="0"/>
        <w:dstrike w:val="0"/>
        <w:color w:val="000000"/>
        <w:spacing w:val="0"/>
        <w:w w:val="100"/>
        <w:position w:val="0"/>
        <w:sz w:val="20"/>
        <w:u w:val="none"/>
        <w:effect w:val="none"/>
        <w:vertAlign w:val="baseline"/>
      </w:rPr>
    </w:lvl>
    <w:lvl w:ilvl="2">
      <w:start w:val="1"/>
      <w:numFmt w:val="lowerRoman"/>
      <w:lvlText w:val="%3."/>
      <w:lvlJc w:val="left"/>
      <w:pPr>
        <w:ind w:left="2160" w:hanging="300"/>
      </w:pPr>
      <w:rPr>
        <w:caps w:val="0"/>
        <w:smallCaps w:val="0"/>
        <w:strike w:val="0"/>
        <w:dstrike w:val="0"/>
        <w:color w:val="000000"/>
        <w:spacing w:val="0"/>
        <w:w w:val="100"/>
        <w:position w:val="0"/>
        <w:sz w:val="20"/>
        <w:u w:val="none"/>
        <w:effect w:val="none"/>
        <w:vertAlign w:val="baseline"/>
      </w:rPr>
    </w:lvl>
    <w:lvl w:ilvl="3">
      <w:start w:val="1"/>
      <w:numFmt w:val="decimal"/>
      <w:lvlText w:val="%4."/>
      <w:lvlJc w:val="left"/>
      <w:pPr>
        <w:ind w:left="2880" w:hanging="360"/>
      </w:pPr>
      <w:rPr>
        <w:caps w:val="0"/>
        <w:smallCaps w:val="0"/>
        <w:strike w:val="0"/>
        <w:dstrike w:val="0"/>
        <w:color w:val="000000"/>
        <w:spacing w:val="0"/>
        <w:w w:val="100"/>
        <w:position w:val="0"/>
        <w:sz w:val="20"/>
        <w:u w:val="none"/>
        <w:effect w:val="none"/>
        <w:vertAlign w:val="baseline"/>
      </w:rPr>
    </w:lvl>
    <w:lvl w:ilvl="4">
      <w:start w:val="1"/>
      <w:numFmt w:val="lowerLetter"/>
      <w:lvlText w:val="%5."/>
      <w:lvlJc w:val="left"/>
      <w:pPr>
        <w:ind w:left="3600" w:hanging="360"/>
      </w:pPr>
      <w:rPr>
        <w:caps w:val="0"/>
        <w:smallCaps w:val="0"/>
        <w:strike w:val="0"/>
        <w:dstrike w:val="0"/>
        <w:color w:val="000000"/>
        <w:spacing w:val="0"/>
        <w:w w:val="100"/>
        <w:position w:val="0"/>
        <w:sz w:val="20"/>
        <w:u w:val="none"/>
        <w:effect w:val="none"/>
        <w:vertAlign w:val="baseline"/>
      </w:rPr>
    </w:lvl>
    <w:lvl w:ilvl="5">
      <w:start w:val="1"/>
      <w:numFmt w:val="lowerRoman"/>
      <w:lvlText w:val="%6."/>
      <w:lvlJc w:val="left"/>
      <w:pPr>
        <w:ind w:left="4320" w:hanging="300"/>
      </w:pPr>
      <w:rPr>
        <w:caps w:val="0"/>
        <w:smallCaps w:val="0"/>
        <w:strike w:val="0"/>
        <w:dstrike w:val="0"/>
        <w:color w:val="000000"/>
        <w:spacing w:val="0"/>
        <w:w w:val="100"/>
        <w:position w:val="0"/>
        <w:sz w:val="20"/>
        <w:u w:val="none"/>
        <w:effect w:val="none"/>
        <w:vertAlign w:val="baseline"/>
      </w:rPr>
    </w:lvl>
    <w:lvl w:ilvl="6">
      <w:start w:val="1"/>
      <w:numFmt w:val="decimal"/>
      <w:lvlText w:val="%7."/>
      <w:lvlJc w:val="left"/>
      <w:pPr>
        <w:ind w:left="5040" w:hanging="360"/>
      </w:pPr>
      <w:rPr>
        <w:caps w:val="0"/>
        <w:smallCaps w:val="0"/>
        <w:strike w:val="0"/>
        <w:dstrike w:val="0"/>
        <w:color w:val="000000"/>
        <w:spacing w:val="0"/>
        <w:w w:val="100"/>
        <w:position w:val="0"/>
        <w:sz w:val="20"/>
        <w:u w:val="none"/>
        <w:effect w:val="none"/>
        <w:vertAlign w:val="baseline"/>
      </w:rPr>
    </w:lvl>
    <w:lvl w:ilvl="7">
      <w:start w:val="1"/>
      <w:numFmt w:val="lowerLetter"/>
      <w:lvlText w:val="%8."/>
      <w:lvlJc w:val="left"/>
      <w:pPr>
        <w:ind w:left="5760" w:hanging="360"/>
      </w:pPr>
      <w:rPr>
        <w:caps w:val="0"/>
        <w:smallCaps w:val="0"/>
        <w:strike w:val="0"/>
        <w:dstrike w:val="0"/>
        <w:color w:val="000000"/>
        <w:spacing w:val="0"/>
        <w:w w:val="100"/>
        <w:position w:val="0"/>
        <w:sz w:val="20"/>
        <w:u w:val="none"/>
        <w:effect w:val="none"/>
        <w:vertAlign w:val="baseline"/>
      </w:rPr>
    </w:lvl>
    <w:lvl w:ilvl="8">
      <w:start w:val="1"/>
      <w:numFmt w:val="lowerRoman"/>
      <w:lvlText w:val="%9."/>
      <w:lvlJc w:val="left"/>
      <w:pPr>
        <w:ind w:left="6480" w:hanging="300"/>
      </w:pPr>
      <w:rPr>
        <w:caps w:val="0"/>
        <w:smallCaps w:val="0"/>
        <w:strike w:val="0"/>
        <w:dstrike w:val="0"/>
        <w:color w:val="000000"/>
        <w:spacing w:val="0"/>
        <w:w w:val="100"/>
        <w:position w:val="0"/>
        <w:sz w:val="20"/>
        <w:u w:val="none"/>
        <w:effect w:val="none"/>
        <w:vertAlign w:val="baseline"/>
      </w:rPr>
    </w:lvl>
  </w:abstractNum>
  <w:abstractNum w:abstractNumId="19" w15:restartNumberingAfterBreak="0">
    <w:nsid w:val="3D535C6D"/>
    <w:multiLevelType w:val="multilevel"/>
    <w:tmpl w:val="F6EE96FA"/>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F8176F9"/>
    <w:multiLevelType w:val="multilevel"/>
    <w:tmpl w:val="DB68A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F24E6C"/>
    <w:multiLevelType w:val="multilevel"/>
    <w:tmpl w:val="F9700450"/>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1D41830"/>
    <w:multiLevelType w:val="hybridMultilevel"/>
    <w:tmpl w:val="E9DC5540"/>
    <w:lvl w:ilvl="0" w:tplc="02E0C318">
      <w:start w:val="11"/>
      <w:numFmt w:val="decimal"/>
      <w:lvlText w:val="%1."/>
      <w:lvlJc w:val="left"/>
      <w:pPr>
        <w:ind w:left="735" w:hanging="375"/>
      </w:pPr>
      <w:rPr>
        <w:rFonts w:ascii="Verdana" w:eastAsiaTheme="minorHAnsi" w:hAnsi="Verdana"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6440FC"/>
    <w:multiLevelType w:val="hybridMultilevel"/>
    <w:tmpl w:val="DB3C412E"/>
    <w:lvl w:ilvl="0" w:tplc="EE46B96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59941A7"/>
    <w:multiLevelType w:val="multilevel"/>
    <w:tmpl w:val="B46880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94759EA"/>
    <w:multiLevelType w:val="multilevel"/>
    <w:tmpl w:val="37B0C474"/>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95A4830"/>
    <w:multiLevelType w:val="multilevel"/>
    <w:tmpl w:val="5AF838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A143247"/>
    <w:multiLevelType w:val="multilevel"/>
    <w:tmpl w:val="0D62D7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B36D1A"/>
    <w:multiLevelType w:val="multilevel"/>
    <w:tmpl w:val="131A1D08"/>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ascii="Arial" w:eastAsia="Times New Roman" w:hAnsi="Arial" w:cs="Arial"/>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FAF297A"/>
    <w:multiLevelType w:val="multilevel"/>
    <w:tmpl w:val="E052473E"/>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0F921A0"/>
    <w:multiLevelType w:val="multilevel"/>
    <w:tmpl w:val="5D9A34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17B34BE"/>
    <w:multiLevelType w:val="hybridMultilevel"/>
    <w:tmpl w:val="62EC6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4C1621"/>
    <w:multiLevelType w:val="hybridMultilevel"/>
    <w:tmpl w:val="BEC8A738"/>
    <w:lvl w:ilvl="0" w:tplc="2A2AFA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73B3904"/>
    <w:multiLevelType w:val="multilevel"/>
    <w:tmpl w:val="1EC2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11FD3"/>
    <w:multiLevelType w:val="hybridMultilevel"/>
    <w:tmpl w:val="28629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CE7325"/>
    <w:multiLevelType w:val="hybridMultilevel"/>
    <w:tmpl w:val="B9C40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6FF1D2D"/>
    <w:multiLevelType w:val="multilevel"/>
    <w:tmpl w:val="0BE2394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8235949"/>
    <w:multiLevelType w:val="hybridMultilevel"/>
    <w:tmpl w:val="1AC69ADE"/>
    <w:lvl w:ilvl="0" w:tplc="4898819E">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98E2DB6"/>
    <w:multiLevelType w:val="hybridMultilevel"/>
    <w:tmpl w:val="089CA90E"/>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05A7898"/>
    <w:multiLevelType w:val="multilevel"/>
    <w:tmpl w:val="AF443E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C372974"/>
    <w:multiLevelType w:val="multilevel"/>
    <w:tmpl w:val="13A067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7"/>
  </w:num>
  <w:num w:numId="2">
    <w:abstractNumId w:val="14"/>
  </w:num>
  <w:num w:numId="3">
    <w:abstractNumId w:val="28"/>
  </w:num>
  <w:num w:numId="4">
    <w:abstractNumId w:val="24"/>
  </w:num>
  <w:num w:numId="5">
    <w:abstractNumId w:val="2"/>
  </w:num>
  <w:num w:numId="6">
    <w:abstractNumId w:val="8"/>
  </w:num>
  <w:num w:numId="7">
    <w:abstractNumId w:val="29"/>
  </w:num>
  <w:num w:numId="8">
    <w:abstractNumId w:val="25"/>
  </w:num>
  <w:num w:numId="9">
    <w:abstractNumId w:val="15"/>
  </w:num>
  <w:num w:numId="10">
    <w:abstractNumId w:val="19"/>
  </w:num>
  <w:num w:numId="11">
    <w:abstractNumId w:val="27"/>
  </w:num>
  <w:num w:numId="12">
    <w:abstractNumId w:val="12"/>
  </w:num>
  <w:num w:numId="13">
    <w:abstractNumId w:val="0"/>
  </w:num>
  <w:num w:numId="14">
    <w:abstractNumId w:val="40"/>
  </w:num>
  <w:num w:numId="15">
    <w:abstractNumId w:val="20"/>
  </w:num>
  <w:num w:numId="16">
    <w:abstractNumId w:val="36"/>
  </w:num>
  <w:num w:numId="17">
    <w:abstractNumId w:val="7"/>
  </w:num>
  <w:num w:numId="18">
    <w:abstractNumId w:val="30"/>
  </w:num>
  <w:num w:numId="19">
    <w:abstractNumId w:val="11"/>
  </w:num>
  <w:num w:numId="20">
    <w:abstractNumId w:val="33"/>
  </w:num>
  <w:num w:numId="21">
    <w:abstractNumId w:val="5"/>
  </w:num>
  <w:num w:numId="22">
    <w:abstractNumId w:val="26"/>
  </w:num>
  <w:num w:numId="23">
    <w:abstractNumId w:val="2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5"/>
  </w:num>
  <w:num w:numId="27">
    <w:abstractNumId w:val="9"/>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31"/>
  </w:num>
  <w:num w:numId="32">
    <w:abstractNumId w:val="34"/>
  </w:num>
  <w:num w:numId="33">
    <w:abstractNumId w:val="10"/>
  </w:num>
  <w:num w:numId="34">
    <w:abstractNumId w:val="13"/>
  </w:num>
  <w:num w:numId="35">
    <w:abstractNumId w:val="16"/>
  </w:num>
  <w:num w:numId="36">
    <w:abstractNumId w:val="22"/>
  </w:num>
  <w:num w:numId="37">
    <w:abstractNumId w:val="23"/>
  </w:num>
  <w:num w:numId="38">
    <w:abstractNumId w:val="6"/>
  </w:num>
  <w:num w:numId="39">
    <w:abstractNumId w:val="4"/>
  </w:num>
  <w:num w:numId="40">
    <w:abstractNumId w:val="38"/>
  </w:num>
  <w:num w:numId="41">
    <w:abstractNumId w:val="3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A4"/>
    <w:rsid w:val="000000AE"/>
    <w:rsid w:val="00010DF3"/>
    <w:rsid w:val="000171C8"/>
    <w:rsid w:val="0002269C"/>
    <w:rsid w:val="00023D64"/>
    <w:rsid w:val="00027180"/>
    <w:rsid w:val="00037FDB"/>
    <w:rsid w:val="000412EC"/>
    <w:rsid w:val="00043EAE"/>
    <w:rsid w:val="00053580"/>
    <w:rsid w:val="00054AD7"/>
    <w:rsid w:val="000619FB"/>
    <w:rsid w:val="00071C60"/>
    <w:rsid w:val="00082D61"/>
    <w:rsid w:val="00086C0A"/>
    <w:rsid w:val="00090B96"/>
    <w:rsid w:val="00091842"/>
    <w:rsid w:val="00091C6D"/>
    <w:rsid w:val="000A413F"/>
    <w:rsid w:val="000B310E"/>
    <w:rsid w:val="000B49BB"/>
    <w:rsid w:val="000B51D6"/>
    <w:rsid w:val="000C1D54"/>
    <w:rsid w:val="000D38F3"/>
    <w:rsid w:val="000D60CB"/>
    <w:rsid w:val="000D6D39"/>
    <w:rsid w:val="000D7081"/>
    <w:rsid w:val="000D75D4"/>
    <w:rsid w:val="000E0C21"/>
    <w:rsid w:val="000E68A2"/>
    <w:rsid w:val="000F20C1"/>
    <w:rsid w:val="000F3F1A"/>
    <w:rsid w:val="000F5609"/>
    <w:rsid w:val="00103737"/>
    <w:rsid w:val="00115DE5"/>
    <w:rsid w:val="00125214"/>
    <w:rsid w:val="00131060"/>
    <w:rsid w:val="0013371D"/>
    <w:rsid w:val="00136715"/>
    <w:rsid w:val="001403FD"/>
    <w:rsid w:val="0014055E"/>
    <w:rsid w:val="00140DF3"/>
    <w:rsid w:val="00150843"/>
    <w:rsid w:val="00153FB1"/>
    <w:rsid w:val="0015422A"/>
    <w:rsid w:val="001576C1"/>
    <w:rsid w:val="00157EED"/>
    <w:rsid w:val="001611FB"/>
    <w:rsid w:val="001633F7"/>
    <w:rsid w:val="00165DFE"/>
    <w:rsid w:val="001669BC"/>
    <w:rsid w:val="00167A7E"/>
    <w:rsid w:val="00176442"/>
    <w:rsid w:val="00185094"/>
    <w:rsid w:val="00186448"/>
    <w:rsid w:val="00186A2B"/>
    <w:rsid w:val="00186D94"/>
    <w:rsid w:val="00187D8F"/>
    <w:rsid w:val="001903E0"/>
    <w:rsid w:val="00190E3C"/>
    <w:rsid w:val="00192C0E"/>
    <w:rsid w:val="001972F1"/>
    <w:rsid w:val="001A34D7"/>
    <w:rsid w:val="001B30BA"/>
    <w:rsid w:val="001D405B"/>
    <w:rsid w:val="001D7F60"/>
    <w:rsid w:val="001E0CAE"/>
    <w:rsid w:val="001E1339"/>
    <w:rsid w:val="001F43C5"/>
    <w:rsid w:val="001F5626"/>
    <w:rsid w:val="001F73CF"/>
    <w:rsid w:val="0020038F"/>
    <w:rsid w:val="00206138"/>
    <w:rsid w:val="00210653"/>
    <w:rsid w:val="00213FCB"/>
    <w:rsid w:val="002145EB"/>
    <w:rsid w:val="00221298"/>
    <w:rsid w:val="0022200A"/>
    <w:rsid w:val="00222E72"/>
    <w:rsid w:val="00224A8D"/>
    <w:rsid w:val="00225209"/>
    <w:rsid w:val="0022667E"/>
    <w:rsid w:val="00226F6C"/>
    <w:rsid w:val="0024029D"/>
    <w:rsid w:val="002467A1"/>
    <w:rsid w:val="00255196"/>
    <w:rsid w:val="00256A85"/>
    <w:rsid w:val="002649F3"/>
    <w:rsid w:val="0026556A"/>
    <w:rsid w:val="00266E35"/>
    <w:rsid w:val="00267F27"/>
    <w:rsid w:val="00270E88"/>
    <w:rsid w:val="0028458E"/>
    <w:rsid w:val="002A21CE"/>
    <w:rsid w:val="002A3FB0"/>
    <w:rsid w:val="002A660B"/>
    <w:rsid w:val="002A6CDB"/>
    <w:rsid w:val="002B2774"/>
    <w:rsid w:val="002B4308"/>
    <w:rsid w:val="002C14CB"/>
    <w:rsid w:val="002C7857"/>
    <w:rsid w:val="002D0FCD"/>
    <w:rsid w:val="002D6B46"/>
    <w:rsid w:val="002D76A4"/>
    <w:rsid w:val="002E32B8"/>
    <w:rsid w:val="002E6BD5"/>
    <w:rsid w:val="002F53B7"/>
    <w:rsid w:val="00303404"/>
    <w:rsid w:val="00306496"/>
    <w:rsid w:val="003117F1"/>
    <w:rsid w:val="00311A11"/>
    <w:rsid w:val="00321548"/>
    <w:rsid w:val="00324C35"/>
    <w:rsid w:val="0033036D"/>
    <w:rsid w:val="0033170F"/>
    <w:rsid w:val="00331E43"/>
    <w:rsid w:val="00342FD5"/>
    <w:rsid w:val="003549D5"/>
    <w:rsid w:val="003662EC"/>
    <w:rsid w:val="00371CE4"/>
    <w:rsid w:val="00372AC8"/>
    <w:rsid w:val="003757C9"/>
    <w:rsid w:val="00380B30"/>
    <w:rsid w:val="00392522"/>
    <w:rsid w:val="003929B9"/>
    <w:rsid w:val="00394AA2"/>
    <w:rsid w:val="003A3F58"/>
    <w:rsid w:val="003A6F66"/>
    <w:rsid w:val="003D48F8"/>
    <w:rsid w:val="003D4C93"/>
    <w:rsid w:val="003E4C10"/>
    <w:rsid w:val="003F6720"/>
    <w:rsid w:val="00400F3C"/>
    <w:rsid w:val="00401E11"/>
    <w:rsid w:val="00402B06"/>
    <w:rsid w:val="00404F36"/>
    <w:rsid w:val="00407864"/>
    <w:rsid w:val="00415A40"/>
    <w:rsid w:val="00425F4E"/>
    <w:rsid w:val="00434914"/>
    <w:rsid w:val="004362BE"/>
    <w:rsid w:val="00440F26"/>
    <w:rsid w:val="00444692"/>
    <w:rsid w:val="00454DD4"/>
    <w:rsid w:val="004568C8"/>
    <w:rsid w:val="004576AF"/>
    <w:rsid w:val="00465045"/>
    <w:rsid w:val="00465613"/>
    <w:rsid w:val="00465D09"/>
    <w:rsid w:val="00470E64"/>
    <w:rsid w:val="00471BCD"/>
    <w:rsid w:val="00475490"/>
    <w:rsid w:val="00475B8F"/>
    <w:rsid w:val="00477295"/>
    <w:rsid w:val="00482B7E"/>
    <w:rsid w:val="00482D9C"/>
    <w:rsid w:val="0048306A"/>
    <w:rsid w:val="00485521"/>
    <w:rsid w:val="00485D84"/>
    <w:rsid w:val="00487B27"/>
    <w:rsid w:val="00491E88"/>
    <w:rsid w:val="00492E86"/>
    <w:rsid w:val="00493C99"/>
    <w:rsid w:val="00494496"/>
    <w:rsid w:val="004A1DDA"/>
    <w:rsid w:val="004B21C1"/>
    <w:rsid w:val="004B339D"/>
    <w:rsid w:val="004C1642"/>
    <w:rsid w:val="004C38E9"/>
    <w:rsid w:val="004C67B8"/>
    <w:rsid w:val="004D1505"/>
    <w:rsid w:val="004D33AB"/>
    <w:rsid w:val="004D60D2"/>
    <w:rsid w:val="004E7827"/>
    <w:rsid w:val="004F4CBF"/>
    <w:rsid w:val="004F7E97"/>
    <w:rsid w:val="00520F88"/>
    <w:rsid w:val="005217AC"/>
    <w:rsid w:val="00526B12"/>
    <w:rsid w:val="00530F1B"/>
    <w:rsid w:val="00541EA4"/>
    <w:rsid w:val="00544966"/>
    <w:rsid w:val="00553E9E"/>
    <w:rsid w:val="00553EB2"/>
    <w:rsid w:val="00560437"/>
    <w:rsid w:val="0056063D"/>
    <w:rsid w:val="00561FBE"/>
    <w:rsid w:val="00562E71"/>
    <w:rsid w:val="00566226"/>
    <w:rsid w:val="00570119"/>
    <w:rsid w:val="00572448"/>
    <w:rsid w:val="00576E3B"/>
    <w:rsid w:val="00580008"/>
    <w:rsid w:val="005826A8"/>
    <w:rsid w:val="00584010"/>
    <w:rsid w:val="00584142"/>
    <w:rsid w:val="00586742"/>
    <w:rsid w:val="00586FEE"/>
    <w:rsid w:val="00587EC5"/>
    <w:rsid w:val="0059162E"/>
    <w:rsid w:val="00592AE3"/>
    <w:rsid w:val="005A44A3"/>
    <w:rsid w:val="005B65F5"/>
    <w:rsid w:val="005C263B"/>
    <w:rsid w:val="005C49A3"/>
    <w:rsid w:val="005C6C95"/>
    <w:rsid w:val="005C710E"/>
    <w:rsid w:val="005E294D"/>
    <w:rsid w:val="005E34F7"/>
    <w:rsid w:val="005E3F37"/>
    <w:rsid w:val="005E54F7"/>
    <w:rsid w:val="005E70BC"/>
    <w:rsid w:val="005F4E66"/>
    <w:rsid w:val="005F69F3"/>
    <w:rsid w:val="006053D4"/>
    <w:rsid w:val="00607943"/>
    <w:rsid w:val="0061099D"/>
    <w:rsid w:val="006111FE"/>
    <w:rsid w:val="00617086"/>
    <w:rsid w:val="0061721B"/>
    <w:rsid w:val="00622613"/>
    <w:rsid w:val="00624C03"/>
    <w:rsid w:val="0063370F"/>
    <w:rsid w:val="00636B92"/>
    <w:rsid w:val="0064134C"/>
    <w:rsid w:val="006439C4"/>
    <w:rsid w:val="00653986"/>
    <w:rsid w:val="00656167"/>
    <w:rsid w:val="00657E5B"/>
    <w:rsid w:val="006617B8"/>
    <w:rsid w:val="006618CA"/>
    <w:rsid w:val="00662E39"/>
    <w:rsid w:val="00664C2E"/>
    <w:rsid w:val="00664D5C"/>
    <w:rsid w:val="00670BC3"/>
    <w:rsid w:val="0067163B"/>
    <w:rsid w:val="00675DBC"/>
    <w:rsid w:val="006816BB"/>
    <w:rsid w:val="0068265A"/>
    <w:rsid w:val="00682A20"/>
    <w:rsid w:val="00686855"/>
    <w:rsid w:val="006955A6"/>
    <w:rsid w:val="0069635B"/>
    <w:rsid w:val="006968B0"/>
    <w:rsid w:val="006A145C"/>
    <w:rsid w:val="006A42BC"/>
    <w:rsid w:val="006B2391"/>
    <w:rsid w:val="006B58B3"/>
    <w:rsid w:val="006C5B05"/>
    <w:rsid w:val="006D402C"/>
    <w:rsid w:val="006D51EA"/>
    <w:rsid w:val="006E1A6C"/>
    <w:rsid w:val="006E24DA"/>
    <w:rsid w:val="006E6482"/>
    <w:rsid w:val="006F06B9"/>
    <w:rsid w:val="006F3DF6"/>
    <w:rsid w:val="007045C4"/>
    <w:rsid w:val="00704B4E"/>
    <w:rsid w:val="00705EC2"/>
    <w:rsid w:val="007106B5"/>
    <w:rsid w:val="00716615"/>
    <w:rsid w:val="00721618"/>
    <w:rsid w:val="0072276E"/>
    <w:rsid w:val="00722C59"/>
    <w:rsid w:val="007278E1"/>
    <w:rsid w:val="0073364C"/>
    <w:rsid w:val="007355E3"/>
    <w:rsid w:val="00737D19"/>
    <w:rsid w:val="00744019"/>
    <w:rsid w:val="007450D7"/>
    <w:rsid w:val="00746940"/>
    <w:rsid w:val="00754C9D"/>
    <w:rsid w:val="00756EB5"/>
    <w:rsid w:val="007578D8"/>
    <w:rsid w:val="00760329"/>
    <w:rsid w:val="00762EC4"/>
    <w:rsid w:val="00764ADF"/>
    <w:rsid w:val="007716AA"/>
    <w:rsid w:val="00772BD9"/>
    <w:rsid w:val="007744C8"/>
    <w:rsid w:val="007752CE"/>
    <w:rsid w:val="00784496"/>
    <w:rsid w:val="00787B1A"/>
    <w:rsid w:val="007911C1"/>
    <w:rsid w:val="00795C89"/>
    <w:rsid w:val="00796AC0"/>
    <w:rsid w:val="007A305C"/>
    <w:rsid w:val="007A7AD9"/>
    <w:rsid w:val="007B0EB4"/>
    <w:rsid w:val="007B0F22"/>
    <w:rsid w:val="007C0CF9"/>
    <w:rsid w:val="007C16A8"/>
    <w:rsid w:val="007C491B"/>
    <w:rsid w:val="007D13A8"/>
    <w:rsid w:val="007D7DB5"/>
    <w:rsid w:val="007E00E8"/>
    <w:rsid w:val="007E246D"/>
    <w:rsid w:val="007F1175"/>
    <w:rsid w:val="007F421D"/>
    <w:rsid w:val="007F680E"/>
    <w:rsid w:val="007F7407"/>
    <w:rsid w:val="007F7DC6"/>
    <w:rsid w:val="00810920"/>
    <w:rsid w:val="00810F64"/>
    <w:rsid w:val="00820886"/>
    <w:rsid w:val="008208A1"/>
    <w:rsid w:val="00824E50"/>
    <w:rsid w:val="00831724"/>
    <w:rsid w:val="00831CED"/>
    <w:rsid w:val="00834667"/>
    <w:rsid w:val="008412F6"/>
    <w:rsid w:val="00846F5B"/>
    <w:rsid w:val="00851B1A"/>
    <w:rsid w:val="00853119"/>
    <w:rsid w:val="00870DEC"/>
    <w:rsid w:val="00871D7A"/>
    <w:rsid w:val="00881C34"/>
    <w:rsid w:val="00883998"/>
    <w:rsid w:val="008871D2"/>
    <w:rsid w:val="00887794"/>
    <w:rsid w:val="00890032"/>
    <w:rsid w:val="008936D7"/>
    <w:rsid w:val="008949DF"/>
    <w:rsid w:val="008A2527"/>
    <w:rsid w:val="008B0E36"/>
    <w:rsid w:val="008B54E5"/>
    <w:rsid w:val="008B5BB0"/>
    <w:rsid w:val="008C305C"/>
    <w:rsid w:val="008D01C7"/>
    <w:rsid w:val="008D3A10"/>
    <w:rsid w:val="008E437F"/>
    <w:rsid w:val="008E54B8"/>
    <w:rsid w:val="008E63E5"/>
    <w:rsid w:val="008F1513"/>
    <w:rsid w:val="008F158C"/>
    <w:rsid w:val="008F4AA2"/>
    <w:rsid w:val="00902DA9"/>
    <w:rsid w:val="00905A3E"/>
    <w:rsid w:val="00906967"/>
    <w:rsid w:val="0091582F"/>
    <w:rsid w:val="00915CB6"/>
    <w:rsid w:val="00917883"/>
    <w:rsid w:val="009205A9"/>
    <w:rsid w:val="0092067D"/>
    <w:rsid w:val="00925F04"/>
    <w:rsid w:val="00930477"/>
    <w:rsid w:val="00944A27"/>
    <w:rsid w:val="009502BF"/>
    <w:rsid w:val="00950659"/>
    <w:rsid w:val="00953BE5"/>
    <w:rsid w:val="009738F7"/>
    <w:rsid w:val="00975683"/>
    <w:rsid w:val="0098759C"/>
    <w:rsid w:val="009901CF"/>
    <w:rsid w:val="00997026"/>
    <w:rsid w:val="009A4221"/>
    <w:rsid w:val="009B5DAA"/>
    <w:rsid w:val="009B76C4"/>
    <w:rsid w:val="009C1819"/>
    <w:rsid w:val="009C224E"/>
    <w:rsid w:val="009C55B1"/>
    <w:rsid w:val="009D009D"/>
    <w:rsid w:val="009D47F0"/>
    <w:rsid w:val="009D5098"/>
    <w:rsid w:val="009D6BE5"/>
    <w:rsid w:val="009E0065"/>
    <w:rsid w:val="009E5423"/>
    <w:rsid w:val="009F35D7"/>
    <w:rsid w:val="009F728E"/>
    <w:rsid w:val="00A07216"/>
    <w:rsid w:val="00A106CC"/>
    <w:rsid w:val="00A10736"/>
    <w:rsid w:val="00A20786"/>
    <w:rsid w:val="00A2080D"/>
    <w:rsid w:val="00A24AE3"/>
    <w:rsid w:val="00A24FB6"/>
    <w:rsid w:val="00A27533"/>
    <w:rsid w:val="00A32313"/>
    <w:rsid w:val="00A409E0"/>
    <w:rsid w:val="00A42989"/>
    <w:rsid w:val="00A43329"/>
    <w:rsid w:val="00A50A4A"/>
    <w:rsid w:val="00A53AB6"/>
    <w:rsid w:val="00A54518"/>
    <w:rsid w:val="00A5485D"/>
    <w:rsid w:val="00A628E2"/>
    <w:rsid w:val="00A639FC"/>
    <w:rsid w:val="00A73268"/>
    <w:rsid w:val="00A752CE"/>
    <w:rsid w:val="00A77B40"/>
    <w:rsid w:val="00A92A7E"/>
    <w:rsid w:val="00A92B27"/>
    <w:rsid w:val="00A93059"/>
    <w:rsid w:val="00A9428C"/>
    <w:rsid w:val="00AA23FD"/>
    <w:rsid w:val="00AA5233"/>
    <w:rsid w:val="00AB6CCA"/>
    <w:rsid w:val="00AC06F0"/>
    <w:rsid w:val="00AC4B7E"/>
    <w:rsid w:val="00AC5146"/>
    <w:rsid w:val="00AC5FCC"/>
    <w:rsid w:val="00AD6D10"/>
    <w:rsid w:val="00AD73FE"/>
    <w:rsid w:val="00AD7901"/>
    <w:rsid w:val="00AF505E"/>
    <w:rsid w:val="00B02C2C"/>
    <w:rsid w:val="00B03493"/>
    <w:rsid w:val="00B16704"/>
    <w:rsid w:val="00B206C5"/>
    <w:rsid w:val="00B2120F"/>
    <w:rsid w:val="00B35DE8"/>
    <w:rsid w:val="00B36A4E"/>
    <w:rsid w:val="00B40AB1"/>
    <w:rsid w:val="00B46034"/>
    <w:rsid w:val="00B6307C"/>
    <w:rsid w:val="00B86E2F"/>
    <w:rsid w:val="00B91151"/>
    <w:rsid w:val="00B91437"/>
    <w:rsid w:val="00B930C7"/>
    <w:rsid w:val="00B960D5"/>
    <w:rsid w:val="00B97038"/>
    <w:rsid w:val="00B973DB"/>
    <w:rsid w:val="00BA0AC5"/>
    <w:rsid w:val="00BA229E"/>
    <w:rsid w:val="00BA32B0"/>
    <w:rsid w:val="00BA3A3C"/>
    <w:rsid w:val="00BA47F7"/>
    <w:rsid w:val="00BA7FDB"/>
    <w:rsid w:val="00BB151C"/>
    <w:rsid w:val="00BB3243"/>
    <w:rsid w:val="00BB3A9D"/>
    <w:rsid w:val="00BB3BFB"/>
    <w:rsid w:val="00BB744E"/>
    <w:rsid w:val="00BC0546"/>
    <w:rsid w:val="00BC27B4"/>
    <w:rsid w:val="00BC6E0C"/>
    <w:rsid w:val="00BD2932"/>
    <w:rsid w:val="00BE6223"/>
    <w:rsid w:val="00C00192"/>
    <w:rsid w:val="00C00989"/>
    <w:rsid w:val="00C0099C"/>
    <w:rsid w:val="00C02C0F"/>
    <w:rsid w:val="00C07735"/>
    <w:rsid w:val="00C07D9A"/>
    <w:rsid w:val="00C10D2D"/>
    <w:rsid w:val="00C10D99"/>
    <w:rsid w:val="00C11354"/>
    <w:rsid w:val="00C22292"/>
    <w:rsid w:val="00C35D7B"/>
    <w:rsid w:val="00C3636A"/>
    <w:rsid w:val="00C367D8"/>
    <w:rsid w:val="00C36963"/>
    <w:rsid w:val="00C406CD"/>
    <w:rsid w:val="00C45D21"/>
    <w:rsid w:val="00C57AD5"/>
    <w:rsid w:val="00C615B9"/>
    <w:rsid w:val="00C637EE"/>
    <w:rsid w:val="00C6414C"/>
    <w:rsid w:val="00C738E3"/>
    <w:rsid w:val="00C74934"/>
    <w:rsid w:val="00C84628"/>
    <w:rsid w:val="00C86DB9"/>
    <w:rsid w:val="00C92743"/>
    <w:rsid w:val="00CA0E0D"/>
    <w:rsid w:val="00CA426B"/>
    <w:rsid w:val="00CA7AE9"/>
    <w:rsid w:val="00CB1003"/>
    <w:rsid w:val="00CB11CD"/>
    <w:rsid w:val="00CC1CDD"/>
    <w:rsid w:val="00CC327C"/>
    <w:rsid w:val="00CC3755"/>
    <w:rsid w:val="00CD03B6"/>
    <w:rsid w:val="00CD2865"/>
    <w:rsid w:val="00CD5E5C"/>
    <w:rsid w:val="00CD639D"/>
    <w:rsid w:val="00CE2418"/>
    <w:rsid w:val="00CE2597"/>
    <w:rsid w:val="00CE3EF3"/>
    <w:rsid w:val="00CE458B"/>
    <w:rsid w:val="00CF2847"/>
    <w:rsid w:val="00CF5DA5"/>
    <w:rsid w:val="00D02FC2"/>
    <w:rsid w:val="00D03654"/>
    <w:rsid w:val="00D03B03"/>
    <w:rsid w:val="00D17D16"/>
    <w:rsid w:val="00D21748"/>
    <w:rsid w:val="00D23CF1"/>
    <w:rsid w:val="00D25BF5"/>
    <w:rsid w:val="00D2775C"/>
    <w:rsid w:val="00D36B1A"/>
    <w:rsid w:val="00D36B5B"/>
    <w:rsid w:val="00D409AE"/>
    <w:rsid w:val="00D444CF"/>
    <w:rsid w:val="00D448EB"/>
    <w:rsid w:val="00D45C02"/>
    <w:rsid w:val="00D46117"/>
    <w:rsid w:val="00D52723"/>
    <w:rsid w:val="00D60002"/>
    <w:rsid w:val="00D676CC"/>
    <w:rsid w:val="00D80F4E"/>
    <w:rsid w:val="00D839B9"/>
    <w:rsid w:val="00D83A2F"/>
    <w:rsid w:val="00D87B4E"/>
    <w:rsid w:val="00D9115A"/>
    <w:rsid w:val="00DA0779"/>
    <w:rsid w:val="00DA6EAF"/>
    <w:rsid w:val="00DA6F9D"/>
    <w:rsid w:val="00DB1300"/>
    <w:rsid w:val="00DB2286"/>
    <w:rsid w:val="00DD2542"/>
    <w:rsid w:val="00DD7E22"/>
    <w:rsid w:val="00DE0C00"/>
    <w:rsid w:val="00DE1A8E"/>
    <w:rsid w:val="00DE1B6A"/>
    <w:rsid w:val="00DE39EA"/>
    <w:rsid w:val="00DE3B73"/>
    <w:rsid w:val="00DE408C"/>
    <w:rsid w:val="00DF215D"/>
    <w:rsid w:val="00DF39FB"/>
    <w:rsid w:val="00E04BB7"/>
    <w:rsid w:val="00E04BC0"/>
    <w:rsid w:val="00E070C4"/>
    <w:rsid w:val="00E22289"/>
    <w:rsid w:val="00E2329B"/>
    <w:rsid w:val="00E2395B"/>
    <w:rsid w:val="00E24439"/>
    <w:rsid w:val="00E248FB"/>
    <w:rsid w:val="00E30177"/>
    <w:rsid w:val="00E32BA4"/>
    <w:rsid w:val="00E3362C"/>
    <w:rsid w:val="00E33972"/>
    <w:rsid w:val="00E35087"/>
    <w:rsid w:val="00E36120"/>
    <w:rsid w:val="00E43CB0"/>
    <w:rsid w:val="00E507CF"/>
    <w:rsid w:val="00E54770"/>
    <w:rsid w:val="00E54AE5"/>
    <w:rsid w:val="00E54CA0"/>
    <w:rsid w:val="00E57189"/>
    <w:rsid w:val="00E64478"/>
    <w:rsid w:val="00E64F44"/>
    <w:rsid w:val="00E71D9B"/>
    <w:rsid w:val="00E76892"/>
    <w:rsid w:val="00E80AFE"/>
    <w:rsid w:val="00E80D4A"/>
    <w:rsid w:val="00E8195E"/>
    <w:rsid w:val="00E849CA"/>
    <w:rsid w:val="00E85C71"/>
    <w:rsid w:val="00E86047"/>
    <w:rsid w:val="00E92D66"/>
    <w:rsid w:val="00EA33B2"/>
    <w:rsid w:val="00EA60E6"/>
    <w:rsid w:val="00EA717F"/>
    <w:rsid w:val="00EA771B"/>
    <w:rsid w:val="00EA7EF1"/>
    <w:rsid w:val="00EB1D6F"/>
    <w:rsid w:val="00EB3C87"/>
    <w:rsid w:val="00EC09AE"/>
    <w:rsid w:val="00EC2B47"/>
    <w:rsid w:val="00EE0E54"/>
    <w:rsid w:val="00EE38FD"/>
    <w:rsid w:val="00EE724E"/>
    <w:rsid w:val="00EF0451"/>
    <w:rsid w:val="00F00588"/>
    <w:rsid w:val="00F02957"/>
    <w:rsid w:val="00F063FB"/>
    <w:rsid w:val="00F06CC1"/>
    <w:rsid w:val="00F10769"/>
    <w:rsid w:val="00F138A2"/>
    <w:rsid w:val="00F20AAE"/>
    <w:rsid w:val="00F2300B"/>
    <w:rsid w:val="00F2420E"/>
    <w:rsid w:val="00F257A6"/>
    <w:rsid w:val="00F400F5"/>
    <w:rsid w:val="00F478C0"/>
    <w:rsid w:val="00F47A79"/>
    <w:rsid w:val="00F504D5"/>
    <w:rsid w:val="00F55ED9"/>
    <w:rsid w:val="00F5630A"/>
    <w:rsid w:val="00F76345"/>
    <w:rsid w:val="00F77DA9"/>
    <w:rsid w:val="00F82926"/>
    <w:rsid w:val="00F85780"/>
    <w:rsid w:val="00F915C3"/>
    <w:rsid w:val="00F948F3"/>
    <w:rsid w:val="00F95761"/>
    <w:rsid w:val="00F95762"/>
    <w:rsid w:val="00F967D8"/>
    <w:rsid w:val="00FA02A3"/>
    <w:rsid w:val="00FA135C"/>
    <w:rsid w:val="00FA3E56"/>
    <w:rsid w:val="00FB339F"/>
    <w:rsid w:val="00FB5D15"/>
    <w:rsid w:val="00FB6B3C"/>
    <w:rsid w:val="00FC04DF"/>
    <w:rsid w:val="00FC2115"/>
    <w:rsid w:val="00FC5E10"/>
    <w:rsid w:val="00FC7A36"/>
    <w:rsid w:val="00FD003C"/>
    <w:rsid w:val="00FD6F97"/>
    <w:rsid w:val="00FE3D7B"/>
    <w:rsid w:val="00FE48D0"/>
    <w:rsid w:val="00FE4911"/>
    <w:rsid w:val="00FE53E4"/>
    <w:rsid w:val="00FE6660"/>
    <w:rsid w:val="00FE683F"/>
    <w:rsid w:val="00FF355A"/>
    <w:rsid w:val="5B83AC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917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1FB"/>
    <w:pPr>
      <w:keepNext/>
      <w:spacing w:before="240" w:after="240" w:line="240" w:lineRule="auto"/>
      <w:jc w:val="center"/>
      <w:outlineLvl w:val="0"/>
    </w:pPr>
    <w:rPr>
      <w:rFonts w:ascii="Arial" w:eastAsia="MS Mincho" w:hAnsi="Arial" w:cs="Arial"/>
      <w:b/>
      <w:bCs/>
      <w:caps/>
      <w:kern w:val="32"/>
      <w:sz w:val="24"/>
      <w:szCs w:val="24"/>
      <w:lang w:val="en-AU" w:eastAsia="en-AU"/>
    </w:rPr>
  </w:style>
  <w:style w:type="paragraph" w:styleId="Heading2">
    <w:name w:val="heading 2"/>
    <w:basedOn w:val="Normal"/>
    <w:next w:val="Normal"/>
    <w:link w:val="Heading2Char"/>
    <w:qFormat/>
    <w:rsid w:val="001611FB"/>
    <w:pPr>
      <w:keepNext/>
      <w:spacing w:after="0" w:line="240" w:lineRule="auto"/>
      <w:jc w:val="center"/>
      <w:outlineLvl w:val="1"/>
    </w:pPr>
    <w:rPr>
      <w:rFonts w:ascii="Arial" w:eastAsia="MS Mincho" w:hAnsi="Arial" w:cs="Arial"/>
      <w:b/>
      <w:bCs/>
      <w:iCs/>
      <w:kern w:val="2"/>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A4"/>
  </w:style>
  <w:style w:type="paragraph" w:styleId="Footer">
    <w:name w:val="footer"/>
    <w:basedOn w:val="Normal"/>
    <w:link w:val="FooterChar"/>
    <w:uiPriority w:val="99"/>
    <w:unhideWhenUsed/>
    <w:rsid w:val="00E32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BA4"/>
  </w:style>
  <w:style w:type="paragraph" w:styleId="NormalWeb">
    <w:name w:val="Normal (Web)"/>
    <w:basedOn w:val="Normal"/>
    <w:uiPriority w:val="99"/>
    <w:semiHidden/>
    <w:unhideWhenUsed/>
    <w:rsid w:val="00E32B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32BA4"/>
    <w:rPr>
      <w:b/>
      <w:bCs/>
    </w:rPr>
  </w:style>
  <w:style w:type="paragraph" w:styleId="ListParagraph">
    <w:name w:val="List Paragraph"/>
    <w:basedOn w:val="Normal"/>
    <w:uiPriority w:val="34"/>
    <w:qFormat/>
    <w:rsid w:val="00EC2B47"/>
    <w:pPr>
      <w:ind w:left="720"/>
      <w:contextualSpacing/>
    </w:pPr>
  </w:style>
  <w:style w:type="character" w:styleId="CommentReference">
    <w:name w:val="annotation reference"/>
    <w:basedOn w:val="DefaultParagraphFont"/>
    <w:uiPriority w:val="99"/>
    <w:semiHidden/>
    <w:unhideWhenUsed/>
    <w:rsid w:val="00CE458B"/>
    <w:rPr>
      <w:sz w:val="16"/>
      <w:szCs w:val="16"/>
    </w:rPr>
  </w:style>
  <w:style w:type="paragraph" w:styleId="CommentText">
    <w:name w:val="annotation text"/>
    <w:basedOn w:val="Normal"/>
    <w:link w:val="CommentTextChar"/>
    <w:uiPriority w:val="99"/>
    <w:unhideWhenUsed/>
    <w:rsid w:val="00CE458B"/>
    <w:pPr>
      <w:spacing w:line="240" w:lineRule="auto"/>
    </w:pPr>
    <w:rPr>
      <w:sz w:val="20"/>
      <w:szCs w:val="20"/>
    </w:rPr>
  </w:style>
  <w:style w:type="character" w:customStyle="1" w:styleId="CommentTextChar">
    <w:name w:val="Comment Text Char"/>
    <w:basedOn w:val="DefaultParagraphFont"/>
    <w:link w:val="CommentText"/>
    <w:uiPriority w:val="99"/>
    <w:rsid w:val="00CE458B"/>
    <w:rPr>
      <w:sz w:val="20"/>
      <w:szCs w:val="20"/>
    </w:rPr>
  </w:style>
  <w:style w:type="paragraph" w:styleId="CommentSubject">
    <w:name w:val="annotation subject"/>
    <w:basedOn w:val="CommentText"/>
    <w:next w:val="CommentText"/>
    <w:link w:val="CommentSubjectChar"/>
    <w:uiPriority w:val="99"/>
    <w:semiHidden/>
    <w:unhideWhenUsed/>
    <w:rsid w:val="00CE458B"/>
    <w:rPr>
      <w:b/>
      <w:bCs/>
    </w:rPr>
  </w:style>
  <w:style w:type="character" w:customStyle="1" w:styleId="CommentSubjectChar">
    <w:name w:val="Comment Subject Char"/>
    <w:basedOn w:val="CommentTextChar"/>
    <w:link w:val="CommentSubject"/>
    <w:uiPriority w:val="99"/>
    <w:semiHidden/>
    <w:rsid w:val="00CE458B"/>
    <w:rPr>
      <w:b/>
      <w:bCs/>
      <w:sz w:val="20"/>
      <w:szCs w:val="20"/>
    </w:rPr>
  </w:style>
  <w:style w:type="paragraph" w:styleId="FootnoteText">
    <w:name w:val="footnote text"/>
    <w:basedOn w:val="Normal"/>
    <w:link w:val="FootnoteTextChar"/>
    <w:uiPriority w:val="99"/>
    <w:semiHidden/>
    <w:unhideWhenUsed/>
    <w:rsid w:val="00530F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F1B"/>
    <w:rPr>
      <w:sz w:val="20"/>
      <w:szCs w:val="20"/>
    </w:rPr>
  </w:style>
  <w:style w:type="character" w:styleId="FootnoteReference">
    <w:name w:val="footnote reference"/>
    <w:basedOn w:val="DefaultParagraphFont"/>
    <w:uiPriority w:val="99"/>
    <w:semiHidden/>
    <w:unhideWhenUsed/>
    <w:rsid w:val="00530F1B"/>
    <w:rPr>
      <w:vertAlign w:val="superscript"/>
    </w:rPr>
  </w:style>
  <w:style w:type="character" w:styleId="Hyperlink">
    <w:name w:val="Hyperlink"/>
    <w:basedOn w:val="DefaultParagraphFont"/>
    <w:uiPriority w:val="99"/>
    <w:semiHidden/>
    <w:unhideWhenUsed/>
    <w:rsid w:val="00831724"/>
    <w:rPr>
      <w:color w:val="0000FF"/>
      <w:u w:val="single"/>
    </w:rPr>
  </w:style>
  <w:style w:type="paragraph" w:styleId="BalloonText">
    <w:name w:val="Balloon Text"/>
    <w:basedOn w:val="Normal"/>
    <w:link w:val="BalloonTextChar"/>
    <w:uiPriority w:val="99"/>
    <w:semiHidden/>
    <w:unhideWhenUsed/>
    <w:rsid w:val="00D6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002"/>
    <w:rPr>
      <w:rFonts w:ascii="Segoe UI" w:hAnsi="Segoe UI" w:cs="Segoe UI"/>
      <w:sz w:val="18"/>
      <w:szCs w:val="18"/>
    </w:rPr>
  </w:style>
  <w:style w:type="paragraph" w:customStyle="1" w:styleId="paranormaltext">
    <w:name w:val="paranormaltext"/>
    <w:basedOn w:val="Normal"/>
    <w:rsid w:val="00BA32B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ody">
    <w:name w:val="Body"/>
    <w:qFormat/>
    <w:rsid w:val="009B5DAA"/>
    <w:pPr>
      <w:suppressAutoHyphens/>
      <w:spacing w:after="200" w:line="276" w:lineRule="auto"/>
    </w:pPr>
    <w:rPr>
      <w:rFonts w:ascii="Times New Roman" w:eastAsia="Arial Unicode MS" w:hAnsi="Times New Roman" w:cs="Arial Unicode MS"/>
      <w:color w:val="000000"/>
      <w:sz w:val="24"/>
      <w:szCs w:val="24"/>
      <w:u w:color="000000"/>
      <w:lang w:val="en-GB" w:eastAsia="en-GB"/>
    </w:rPr>
  </w:style>
  <w:style w:type="character" w:customStyle="1" w:styleId="Hyperlink0">
    <w:name w:val="Hyperlink.0"/>
    <w:qFormat/>
    <w:rsid w:val="009B5DAA"/>
    <w:rPr>
      <w:strike w:val="0"/>
      <w:dstrike w:val="0"/>
      <w:color w:val="000000"/>
      <w:u w:val="none" w:color="000000"/>
      <w:effect w:val="none"/>
    </w:rPr>
  </w:style>
  <w:style w:type="table" w:styleId="TableGrid">
    <w:name w:val="Table Grid"/>
    <w:basedOn w:val="TableNormal"/>
    <w:uiPriority w:val="39"/>
    <w:rsid w:val="000B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y10pixel">
    <w:name w:val="grey10pixel"/>
    <w:basedOn w:val="DefaultParagraphFont"/>
    <w:rsid w:val="004B21C1"/>
  </w:style>
  <w:style w:type="paragraph" w:styleId="PlainText">
    <w:name w:val="Plain Text"/>
    <w:basedOn w:val="Normal"/>
    <w:link w:val="PlainTextChar"/>
    <w:uiPriority w:val="99"/>
    <w:semiHidden/>
    <w:unhideWhenUsed/>
    <w:rsid w:val="009D6BE5"/>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9D6BE5"/>
    <w:rPr>
      <w:rFonts w:ascii="Calibri" w:hAnsi="Calibri"/>
      <w:szCs w:val="21"/>
      <w:lang w:val="en-AU"/>
    </w:rPr>
  </w:style>
  <w:style w:type="paragraph" w:styleId="Revision">
    <w:name w:val="Revision"/>
    <w:hidden/>
    <w:uiPriority w:val="99"/>
    <w:semiHidden/>
    <w:rsid w:val="00E248FB"/>
    <w:pPr>
      <w:spacing w:after="0" w:line="240" w:lineRule="auto"/>
    </w:pPr>
  </w:style>
  <w:style w:type="character" w:customStyle="1" w:styleId="Heading1Char">
    <w:name w:val="Heading 1 Char"/>
    <w:basedOn w:val="DefaultParagraphFont"/>
    <w:link w:val="Heading1"/>
    <w:rsid w:val="001611FB"/>
    <w:rPr>
      <w:rFonts w:ascii="Arial" w:eastAsia="MS Mincho" w:hAnsi="Arial" w:cs="Arial"/>
      <w:b/>
      <w:bCs/>
      <w:caps/>
      <w:kern w:val="32"/>
      <w:sz w:val="24"/>
      <w:szCs w:val="24"/>
      <w:lang w:val="en-AU" w:eastAsia="en-AU"/>
    </w:rPr>
  </w:style>
  <w:style w:type="character" w:customStyle="1" w:styleId="Heading2Char">
    <w:name w:val="Heading 2 Char"/>
    <w:basedOn w:val="DefaultParagraphFont"/>
    <w:link w:val="Heading2"/>
    <w:rsid w:val="001611FB"/>
    <w:rPr>
      <w:rFonts w:ascii="Arial" w:eastAsia="MS Mincho" w:hAnsi="Arial" w:cs="Arial"/>
      <w:b/>
      <w:bCs/>
      <w:iCs/>
      <w:kern w:val="2"/>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45881">
      <w:bodyDiv w:val="1"/>
      <w:marLeft w:val="0"/>
      <w:marRight w:val="0"/>
      <w:marTop w:val="0"/>
      <w:marBottom w:val="0"/>
      <w:divBdr>
        <w:top w:val="none" w:sz="0" w:space="0" w:color="auto"/>
        <w:left w:val="none" w:sz="0" w:space="0" w:color="auto"/>
        <w:bottom w:val="none" w:sz="0" w:space="0" w:color="auto"/>
        <w:right w:val="none" w:sz="0" w:space="0" w:color="auto"/>
      </w:divBdr>
    </w:div>
    <w:div w:id="142241012">
      <w:bodyDiv w:val="1"/>
      <w:marLeft w:val="0"/>
      <w:marRight w:val="0"/>
      <w:marTop w:val="0"/>
      <w:marBottom w:val="0"/>
      <w:divBdr>
        <w:top w:val="none" w:sz="0" w:space="0" w:color="auto"/>
        <w:left w:val="none" w:sz="0" w:space="0" w:color="auto"/>
        <w:bottom w:val="none" w:sz="0" w:space="0" w:color="auto"/>
        <w:right w:val="none" w:sz="0" w:space="0" w:color="auto"/>
      </w:divBdr>
    </w:div>
    <w:div w:id="191380218">
      <w:bodyDiv w:val="1"/>
      <w:marLeft w:val="0"/>
      <w:marRight w:val="0"/>
      <w:marTop w:val="0"/>
      <w:marBottom w:val="0"/>
      <w:divBdr>
        <w:top w:val="none" w:sz="0" w:space="0" w:color="auto"/>
        <w:left w:val="none" w:sz="0" w:space="0" w:color="auto"/>
        <w:bottom w:val="none" w:sz="0" w:space="0" w:color="auto"/>
        <w:right w:val="none" w:sz="0" w:space="0" w:color="auto"/>
      </w:divBdr>
    </w:div>
    <w:div w:id="319308957">
      <w:bodyDiv w:val="1"/>
      <w:marLeft w:val="0"/>
      <w:marRight w:val="0"/>
      <w:marTop w:val="0"/>
      <w:marBottom w:val="0"/>
      <w:divBdr>
        <w:top w:val="none" w:sz="0" w:space="0" w:color="auto"/>
        <w:left w:val="none" w:sz="0" w:space="0" w:color="auto"/>
        <w:bottom w:val="none" w:sz="0" w:space="0" w:color="auto"/>
        <w:right w:val="none" w:sz="0" w:space="0" w:color="auto"/>
      </w:divBdr>
    </w:div>
    <w:div w:id="361051527">
      <w:bodyDiv w:val="1"/>
      <w:marLeft w:val="0"/>
      <w:marRight w:val="0"/>
      <w:marTop w:val="0"/>
      <w:marBottom w:val="0"/>
      <w:divBdr>
        <w:top w:val="none" w:sz="0" w:space="0" w:color="auto"/>
        <w:left w:val="none" w:sz="0" w:space="0" w:color="auto"/>
        <w:bottom w:val="none" w:sz="0" w:space="0" w:color="auto"/>
        <w:right w:val="none" w:sz="0" w:space="0" w:color="auto"/>
      </w:divBdr>
    </w:div>
    <w:div w:id="721294408">
      <w:bodyDiv w:val="1"/>
      <w:marLeft w:val="0"/>
      <w:marRight w:val="0"/>
      <w:marTop w:val="0"/>
      <w:marBottom w:val="0"/>
      <w:divBdr>
        <w:top w:val="none" w:sz="0" w:space="0" w:color="auto"/>
        <w:left w:val="none" w:sz="0" w:space="0" w:color="auto"/>
        <w:bottom w:val="none" w:sz="0" w:space="0" w:color="auto"/>
        <w:right w:val="none" w:sz="0" w:space="0" w:color="auto"/>
      </w:divBdr>
      <w:divsChild>
        <w:div w:id="777722136">
          <w:marLeft w:val="0"/>
          <w:marRight w:val="0"/>
          <w:marTop w:val="0"/>
          <w:marBottom w:val="0"/>
          <w:divBdr>
            <w:top w:val="none" w:sz="0" w:space="0" w:color="auto"/>
            <w:left w:val="none" w:sz="0" w:space="0" w:color="auto"/>
            <w:bottom w:val="none" w:sz="0" w:space="0" w:color="auto"/>
            <w:right w:val="none" w:sz="0" w:space="0" w:color="auto"/>
          </w:divBdr>
        </w:div>
        <w:div w:id="1389373991">
          <w:marLeft w:val="0"/>
          <w:marRight w:val="0"/>
          <w:marTop w:val="0"/>
          <w:marBottom w:val="0"/>
          <w:divBdr>
            <w:top w:val="none" w:sz="0" w:space="0" w:color="auto"/>
            <w:left w:val="none" w:sz="0" w:space="0" w:color="auto"/>
            <w:bottom w:val="none" w:sz="0" w:space="0" w:color="auto"/>
            <w:right w:val="none" w:sz="0" w:space="0" w:color="auto"/>
          </w:divBdr>
          <w:divsChild>
            <w:div w:id="663781083">
              <w:marLeft w:val="0"/>
              <w:marRight w:val="0"/>
              <w:marTop w:val="0"/>
              <w:marBottom w:val="0"/>
              <w:divBdr>
                <w:top w:val="none" w:sz="0" w:space="0" w:color="auto"/>
                <w:left w:val="none" w:sz="0" w:space="0" w:color="auto"/>
                <w:bottom w:val="none" w:sz="0" w:space="0" w:color="auto"/>
                <w:right w:val="none" w:sz="0" w:space="0" w:color="auto"/>
              </w:divBdr>
            </w:div>
            <w:div w:id="10980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109">
      <w:bodyDiv w:val="1"/>
      <w:marLeft w:val="0"/>
      <w:marRight w:val="0"/>
      <w:marTop w:val="0"/>
      <w:marBottom w:val="0"/>
      <w:divBdr>
        <w:top w:val="none" w:sz="0" w:space="0" w:color="auto"/>
        <w:left w:val="none" w:sz="0" w:space="0" w:color="auto"/>
        <w:bottom w:val="none" w:sz="0" w:space="0" w:color="auto"/>
        <w:right w:val="none" w:sz="0" w:space="0" w:color="auto"/>
      </w:divBdr>
    </w:div>
    <w:div w:id="919218533">
      <w:bodyDiv w:val="1"/>
      <w:marLeft w:val="0"/>
      <w:marRight w:val="0"/>
      <w:marTop w:val="0"/>
      <w:marBottom w:val="0"/>
      <w:divBdr>
        <w:top w:val="none" w:sz="0" w:space="0" w:color="auto"/>
        <w:left w:val="none" w:sz="0" w:space="0" w:color="auto"/>
        <w:bottom w:val="none" w:sz="0" w:space="0" w:color="auto"/>
        <w:right w:val="none" w:sz="0" w:space="0" w:color="auto"/>
      </w:divBdr>
    </w:div>
    <w:div w:id="1271744689">
      <w:bodyDiv w:val="1"/>
      <w:marLeft w:val="0"/>
      <w:marRight w:val="0"/>
      <w:marTop w:val="0"/>
      <w:marBottom w:val="0"/>
      <w:divBdr>
        <w:top w:val="none" w:sz="0" w:space="0" w:color="auto"/>
        <w:left w:val="none" w:sz="0" w:space="0" w:color="auto"/>
        <w:bottom w:val="none" w:sz="0" w:space="0" w:color="auto"/>
        <w:right w:val="none" w:sz="0" w:space="0" w:color="auto"/>
      </w:divBdr>
    </w:div>
    <w:div w:id="1450003053">
      <w:bodyDiv w:val="1"/>
      <w:marLeft w:val="0"/>
      <w:marRight w:val="0"/>
      <w:marTop w:val="0"/>
      <w:marBottom w:val="0"/>
      <w:divBdr>
        <w:top w:val="none" w:sz="0" w:space="0" w:color="auto"/>
        <w:left w:val="none" w:sz="0" w:space="0" w:color="auto"/>
        <w:bottom w:val="none" w:sz="0" w:space="0" w:color="auto"/>
        <w:right w:val="none" w:sz="0" w:space="0" w:color="auto"/>
      </w:divBdr>
    </w:div>
    <w:div w:id="1517962101">
      <w:bodyDiv w:val="1"/>
      <w:marLeft w:val="0"/>
      <w:marRight w:val="0"/>
      <w:marTop w:val="0"/>
      <w:marBottom w:val="0"/>
      <w:divBdr>
        <w:top w:val="none" w:sz="0" w:space="0" w:color="auto"/>
        <w:left w:val="none" w:sz="0" w:space="0" w:color="auto"/>
        <w:bottom w:val="none" w:sz="0" w:space="0" w:color="auto"/>
        <w:right w:val="none" w:sz="0" w:space="0" w:color="auto"/>
      </w:divBdr>
    </w:div>
    <w:div w:id="1720393125">
      <w:bodyDiv w:val="1"/>
      <w:marLeft w:val="0"/>
      <w:marRight w:val="0"/>
      <w:marTop w:val="0"/>
      <w:marBottom w:val="0"/>
      <w:divBdr>
        <w:top w:val="none" w:sz="0" w:space="0" w:color="auto"/>
        <w:left w:val="none" w:sz="0" w:space="0" w:color="auto"/>
        <w:bottom w:val="none" w:sz="0" w:space="0" w:color="auto"/>
        <w:right w:val="none" w:sz="0" w:space="0" w:color="auto"/>
      </w:divBdr>
    </w:div>
    <w:div w:id="1928537399">
      <w:bodyDiv w:val="1"/>
      <w:marLeft w:val="0"/>
      <w:marRight w:val="0"/>
      <w:marTop w:val="0"/>
      <w:marBottom w:val="0"/>
      <w:divBdr>
        <w:top w:val="none" w:sz="0" w:space="0" w:color="auto"/>
        <w:left w:val="none" w:sz="0" w:space="0" w:color="auto"/>
        <w:bottom w:val="none" w:sz="0" w:space="0" w:color="auto"/>
        <w:right w:val="none" w:sz="0" w:space="0" w:color="auto"/>
      </w:divBdr>
    </w:div>
    <w:div w:id="1960839019">
      <w:bodyDiv w:val="1"/>
      <w:marLeft w:val="0"/>
      <w:marRight w:val="0"/>
      <w:marTop w:val="0"/>
      <w:marBottom w:val="0"/>
      <w:divBdr>
        <w:top w:val="none" w:sz="0" w:space="0" w:color="auto"/>
        <w:left w:val="none" w:sz="0" w:space="0" w:color="auto"/>
        <w:bottom w:val="none" w:sz="0" w:space="0" w:color="auto"/>
        <w:right w:val="none" w:sz="0" w:space="0" w:color="auto"/>
      </w:divBdr>
    </w:div>
    <w:div w:id="20984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B183-8723-4267-AA85-7E418DD4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2119</Words>
  <Characters>12393</Characters>
  <Application>Microsoft Office Word</Application>
  <DocSecurity>0</DocSecurity>
  <Lines>338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7 Technical Barriers to Trade</dc:title>
  <dc:subject/>
  <dc:creator/>
  <cp:keywords/>
  <dc:description/>
  <cp:lastModifiedBy/>
  <cp:revision>1</cp:revision>
  <dcterms:created xsi:type="dcterms:W3CDTF">2022-04-01T07:18:00Z</dcterms:created>
  <dcterms:modified xsi:type="dcterms:W3CDTF">2022-04-01T07:19:00Z</dcterms:modified>
  <cp:category/>
</cp:coreProperties>
</file>