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CAC60" w14:textId="57D9108D" w:rsidR="00137A1D" w:rsidRPr="00E65E96" w:rsidRDefault="00262B91" w:rsidP="00F9000C">
      <w:pPr>
        <w:pStyle w:val="Heading1"/>
        <w:ind w:left="0" w:firstLine="0"/>
      </w:pPr>
      <w:r w:rsidRPr="00E65E96">
        <w:t xml:space="preserve">CHAPTER </w:t>
      </w:r>
      <w:r>
        <w:t>2</w:t>
      </w:r>
      <w:r w:rsidR="00A36945">
        <w:br/>
      </w:r>
      <w:r w:rsidRPr="00E65E96">
        <w:t>TRADE IN GOODS</w:t>
      </w:r>
    </w:p>
    <w:p w14:paraId="0C0D11C6" w14:textId="6D49C81D" w:rsidR="0049332E" w:rsidRDefault="0049332E" w:rsidP="005C02BF"/>
    <w:p w14:paraId="428EEAEF" w14:textId="77777777" w:rsidR="0098232D" w:rsidRPr="00E65E96" w:rsidRDefault="0098232D" w:rsidP="005C02BF"/>
    <w:p w14:paraId="08ABD07A" w14:textId="45831946" w:rsidR="00DD04A9" w:rsidRPr="00E65E96" w:rsidRDefault="00137A1D" w:rsidP="00F9000C">
      <w:pPr>
        <w:pStyle w:val="Heading2"/>
      </w:pPr>
      <w:r w:rsidRPr="00E65E96">
        <w:t xml:space="preserve">Article </w:t>
      </w:r>
      <w:r w:rsidR="00262B91">
        <w:t>2</w:t>
      </w:r>
      <w:r w:rsidRPr="00E65E96">
        <w:t>.1</w:t>
      </w:r>
      <w:r w:rsidR="005109CB">
        <w:br/>
      </w:r>
      <w:r w:rsidRPr="00E65E96">
        <w:t>Definitions</w:t>
      </w:r>
    </w:p>
    <w:p w14:paraId="7689C8D8" w14:textId="77777777" w:rsidR="00262B91" w:rsidRDefault="00262B91" w:rsidP="005C02BF"/>
    <w:p w14:paraId="2FA0779F" w14:textId="5E710143" w:rsidR="00DD04A9" w:rsidRPr="00F9000C" w:rsidRDefault="00262B91" w:rsidP="00F9000C">
      <w:pPr>
        <w:ind w:firstLine="0"/>
        <w:rPr>
          <w:sz w:val="28"/>
        </w:rPr>
      </w:pPr>
      <w:r w:rsidRPr="005C02BF">
        <w:t>For the purposes of this Chapter</w:t>
      </w:r>
      <w:r w:rsidR="00475CF5" w:rsidRPr="005C02BF">
        <w:t>:</w:t>
      </w:r>
    </w:p>
    <w:p w14:paraId="446B3133" w14:textId="77777777" w:rsidR="00262B91" w:rsidRDefault="00262B91" w:rsidP="005C02BF">
      <w:pPr>
        <w:pStyle w:val="ListParagraph"/>
        <w:rPr>
          <w:lang w:val="en-GB"/>
        </w:rPr>
      </w:pPr>
    </w:p>
    <w:p w14:paraId="1B135602" w14:textId="0221D217" w:rsidR="00137A1D" w:rsidRPr="00F33CE2" w:rsidRDefault="00262B91" w:rsidP="00F9000C">
      <w:pPr>
        <w:spacing w:line="240" w:lineRule="auto"/>
        <w:ind w:left="1429"/>
        <w:rPr>
          <w:lang w:val="en-GB"/>
        </w:rPr>
      </w:pPr>
      <w:r>
        <w:rPr>
          <w:lang w:val="en-GB"/>
        </w:rPr>
        <w:t>(a)</w:t>
      </w:r>
      <w:r>
        <w:rPr>
          <w:lang w:val="en-GB"/>
        </w:rPr>
        <w:tab/>
      </w:r>
      <w:r w:rsidRPr="00F33CE2">
        <w:rPr>
          <w:b/>
          <w:bCs/>
          <w:lang w:val="en-GB"/>
        </w:rPr>
        <w:t>c</w:t>
      </w:r>
      <w:r w:rsidR="00137A1D" w:rsidRPr="00F33CE2">
        <w:rPr>
          <w:b/>
          <w:bCs/>
          <w:lang w:val="en-GB"/>
        </w:rPr>
        <w:t>onsular transactions</w:t>
      </w:r>
      <w:r w:rsidR="00137A1D" w:rsidRPr="00F33CE2">
        <w:rPr>
          <w:lang w:val="en-GB"/>
        </w:rPr>
        <w:t xml:space="preserve"> </w:t>
      </w:r>
      <w:proofErr w:type="gramStart"/>
      <w:r w:rsidR="00137A1D" w:rsidRPr="00F33CE2">
        <w:rPr>
          <w:lang w:val="en-GB"/>
        </w:rPr>
        <w:t>means</w:t>
      </w:r>
      <w:proofErr w:type="gramEnd"/>
      <w:r w:rsidR="00137A1D" w:rsidRPr="00F33CE2">
        <w:rPr>
          <w:lang w:val="en-GB"/>
        </w:rPr>
        <w:t xml:space="preserve"> requirements that goods of a Party intended for export to the territory of </w:t>
      </w:r>
      <w:r w:rsidR="00637BA0" w:rsidRPr="00F33CE2">
        <w:rPr>
          <w:lang w:val="en-GB"/>
        </w:rPr>
        <w:t>the other</w:t>
      </w:r>
      <w:r w:rsidR="00137A1D" w:rsidRPr="00F33CE2">
        <w:rPr>
          <w:lang w:val="en-GB"/>
        </w:rPr>
        <w:t xml:space="preserve"> Party must first be submitted to the supervision of the consul of the importing Party in the territory of the exporting Party for the purpose of obtaining consular invoices or consular visas for commercial invoices, certificates of origin, manifests, shippers’ export declarations, or any other customs documentation required on or in connection with importation;</w:t>
      </w:r>
    </w:p>
    <w:p w14:paraId="0A994030" w14:textId="77777777" w:rsidR="00DD04A9" w:rsidRPr="00E65E96" w:rsidRDefault="00DD04A9" w:rsidP="005C02BF"/>
    <w:p w14:paraId="6A3AA2D9" w14:textId="30481E9E" w:rsidR="00137A1D" w:rsidRPr="00F33CE2" w:rsidRDefault="00262B91" w:rsidP="00F9000C">
      <w:pPr>
        <w:spacing w:line="240" w:lineRule="auto"/>
        <w:ind w:left="1429"/>
      </w:pPr>
      <w:bookmarkStart w:id="0" w:name="_Hlk94629494"/>
      <w:r>
        <w:rPr>
          <w:rFonts w:eastAsia="Calibri"/>
          <w:lang w:val="en-GB"/>
        </w:rPr>
        <w:t>(b)</w:t>
      </w:r>
      <w:r>
        <w:rPr>
          <w:rFonts w:eastAsia="Calibri"/>
          <w:lang w:val="en-GB"/>
        </w:rPr>
        <w:tab/>
      </w:r>
      <w:r w:rsidRPr="00F33CE2">
        <w:rPr>
          <w:rFonts w:eastAsia="Calibri"/>
          <w:b/>
          <w:bCs/>
          <w:lang w:val="en-GB"/>
        </w:rPr>
        <w:t>c</w:t>
      </w:r>
      <w:r w:rsidR="00137A1D" w:rsidRPr="00F33CE2">
        <w:rPr>
          <w:rFonts w:eastAsia="Calibri"/>
          <w:b/>
          <w:bCs/>
          <w:lang w:val="en-GB"/>
        </w:rPr>
        <w:t>ustoms</w:t>
      </w:r>
      <w:r w:rsidR="00137A1D" w:rsidRPr="00F33CE2">
        <w:rPr>
          <w:b/>
          <w:bCs/>
        </w:rPr>
        <w:t xml:space="preserve"> duty</w:t>
      </w:r>
      <w:r w:rsidR="00137A1D" w:rsidRPr="00F33CE2">
        <w:t xml:space="preserve"> means any duty or charge of any kind imposed on or in connection with the importation of a good, and any </w:t>
      </w:r>
      <w:r w:rsidR="00BC082D" w:rsidRPr="00F33CE2">
        <w:t>cess</w:t>
      </w:r>
      <w:r w:rsidR="00624562" w:rsidRPr="00F33CE2">
        <w:t>,</w:t>
      </w:r>
      <w:r w:rsidR="00BC082D" w:rsidRPr="00F33CE2">
        <w:t xml:space="preserve"> </w:t>
      </w:r>
      <w:r w:rsidR="00137A1D" w:rsidRPr="00F33CE2">
        <w:t>surtax or surcharge imposed in connection with such importation, but does not include any:</w:t>
      </w:r>
    </w:p>
    <w:p w14:paraId="11263BC8" w14:textId="77777777" w:rsidR="00FD047B" w:rsidRPr="00E65E96" w:rsidRDefault="00FD047B" w:rsidP="00F9000C">
      <w:pPr>
        <w:spacing w:line="240" w:lineRule="auto"/>
        <w:ind w:left="1429"/>
      </w:pPr>
    </w:p>
    <w:p w14:paraId="4C602949" w14:textId="367281DF" w:rsidR="00137A1D" w:rsidRPr="00475CF5" w:rsidRDefault="00262B91" w:rsidP="00F9000C">
      <w:pPr>
        <w:spacing w:line="240" w:lineRule="auto"/>
        <w:ind w:left="1440" w:hanging="11"/>
      </w:pPr>
      <w:r>
        <w:t>(i)</w:t>
      </w:r>
      <w:r>
        <w:tab/>
      </w:r>
      <w:r w:rsidR="00137A1D" w:rsidRPr="00475CF5">
        <w:t xml:space="preserve">charge equivalent to an internal tax imposed consistently with </w:t>
      </w:r>
      <w:r w:rsidR="00921A57">
        <w:tab/>
      </w:r>
      <w:r w:rsidR="00137A1D" w:rsidRPr="00475CF5">
        <w:t xml:space="preserve">Article III:2 of GATT </w:t>
      </w:r>
      <w:proofErr w:type="gramStart"/>
      <w:r w:rsidR="00137A1D" w:rsidRPr="00475CF5">
        <w:t>1994;</w:t>
      </w:r>
      <w:proofErr w:type="gramEnd"/>
      <w:r w:rsidR="00137A1D" w:rsidRPr="00475CF5">
        <w:t xml:space="preserve"> </w:t>
      </w:r>
    </w:p>
    <w:p w14:paraId="4CA53328" w14:textId="77777777" w:rsidR="00DD04A9" w:rsidRPr="00E65E96" w:rsidRDefault="00DD04A9" w:rsidP="00F9000C">
      <w:pPr>
        <w:spacing w:line="240" w:lineRule="auto"/>
        <w:ind w:left="1440" w:hanging="11"/>
      </w:pPr>
    </w:p>
    <w:p w14:paraId="08326614" w14:textId="61ED091F" w:rsidR="00137A1D" w:rsidRPr="00E65E96" w:rsidRDefault="00262B91" w:rsidP="00F9000C">
      <w:pPr>
        <w:spacing w:line="240" w:lineRule="auto"/>
        <w:ind w:left="1440" w:hanging="11"/>
      </w:pPr>
      <w:r>
        <w:t>(ii)</w:t>
      </w:r>
      <w:r>
        <w:tab/>
      </w:r>
      <w:r w:rsidR="00137A1D" w:rsidRPr="00E65E96">
        <w:t xml:space="preserve">fee or other charge in connection with the importation </w:t>
      </w:r>
      <w:r w:rsidR="00921A57">
        <w:tab/>
      </w:r>
      <w:r w:rsidR="00137A1D" w:rsidRPr="00E65E96">
        <w:t>commensurate with the cost of services rendered; or</w:t>
      </w:r>
    </w:p>
    <w:p w14:paraId="3EEC6D69" w14:textId="77777777" w:rsidR="00DD04A9" w:rsidRPr="00E65E96" w:rsidRDefault="00DD04A9" w:rsidP="00F9000C">
      <w:pPr>
        <w:spacing w:line="240" w:lineRule="auto"/>
        <w:ind w:left="1440" w:hanging="11"/>
      </w:pPr>
    </w:p>
    <w:p w14:paraId="50B67580" w14:textId="7A6F81A0" w:rsidR="00DE1492" w:rsidRPr="00E65E96" w:rsidRDefault="00262B91" w:rsidP="00F9000C">
      <w:pPr>
        <w:spacing w:line="240" w:lineRule="auto"/>
        <w:ind w:left="1440" w:hanging="11"/>
      </w:pPr>
      <w:r>
        <w:t>(iii)</w:t>
      </w:r>
      <w:r>
        <w:tab/>
      </w:r>
      <w:r w:rsidR="00DE1492" w:rsidRPr="00E65E96">
        <w:t>anti-dumping or countervailing duty applied pursuant to</w:t>
      </w:r>
      <w:r w:rsidR="009A5253">
        <w:t xml:space="preserve"> the</w:t>
      </w:r>
      <w:r w:rsidR="00DE1492" w:rsidRPr="00E65E96">
        <w:t xml:space="preserve"> </w:t>
      </w:r>
      <w:r w:rsidR="002B5487">
        <w:t xml:space="preserve">laws </w:t>
      </w:r>
      <w:r w:rsidR="00921A57">
        <w:tab/>
      </w:r>
      <w:r w:rsidR="002B5487">
        <w:t xml:space="preserve">of </w:t>
      </w:r>
      <w:r w:rsidR="00DE1492" w:rsidRPr="00E65E96">
        <w:t xml:space="preserve">a Party and applied consistently with the provisions of Article </w:t>
      </w:r>
      <w:r w:rsidR="00921A57">
        <w:tab/>
      </w:r>
      <w:r w:rsidR="00DE1492" w:rsidRPr="00E65E96">
        <w:t>VI of</w:t>
      </w:r>
      <w:r w:rsidR="00475CF5">
        <w:t xml:space="preserve"> </w:t>
      </w:r>
      <w:r w:rsidR="00DE1492" w:rsidRPr="00E65E96">
        <w:t xml:space="preserve">GATT 1994, the </w:t>
      </w:r>
      <w:r w:rsidR="00644F42">
        <w:t xml:space="preserve">Anti-Dumping Agreement, and the SCM </w:t>
      </w:r>
      <w:r w:rsidR="00921A57">
        <w:tab/>
      </w:r>
      <w:proofErr w:type="gramStart"/>
      <w:r w:rsidR="00644F42">
        <w:t>Agreement</w:t>
      </w:r>
      <w:r w:rsidR="007231DB">
        <w:t>;</w:t>
      </w:r>
      <w:proofErr w:type="gramEnd"/>
    </w:p>
    <w:bookmarkEnd w:id="0"/>
    <w:p w14:paraId="47FE76B4" w14:textId="1BF195B6" w:rsidR="00DD04A9" w:rsidRPr="00E65E96" w:rsidRDefault="00262B91" w:rsidP="00F9000C">
      <w:pPr>
        <w:spacing w:line="240" w:lineRule="auto"/>
        <w:ind w:left="1429"/>
        <w:rPr>
          <w:lang w:val="en-GB"/>
        </w:rPr>
      </w:pPr>
      <w:r>
        <w:rPr>
          <w:lang w:val="en-GB"/>
        </w:rPr>
        <w:tab/>
      </w:r>
    </w:p>
    <w:p w14:paraId="4EBF8201" w14:textId="764AF4AC" w:rsidR="00DD04A9" w:rsidRPr="00E65E96" w:rsidRDefault="00262B91" w:rsidP="00F9000C">
      <w:pPr>
        <w:spacing w:line="240" w:lineRule="auto"/>
        <w:ind w:left="1429"/>
        <w:rPr>
          <w:lang w:val="en-GB"/>
        </w:rPr>
      </w:pPr>
      <w:r>
        <w:rPr>
          <w:lang w:val="en-GB"/>
        </w:rPr>
        <w:t>(</w:t>
      </w:r>
      <w:r w:rsidR="00644F42">
        <w:rPr>
          <w:lang w:val="en-GB"/>
        </w:rPr>
        <w:t>c</w:t>
      </w:r>
      <w:r>
        <w:rPr>
          <w:lang w:val="en-GB"/>
        </w:rPr>
        <w:t>)</w:t>
      </w:r>
      <w:r>
        <w:rPr>
          <w:lang w:val="en-GB"/>
        </w:rPr>
        <w:tab/>
      </w:r>
      <w:r>
        <w:rPr>
          <w:b/>
          <w:bCs/>
          <w:lang w:val="en-GB"/>
        </w:rPr>
        <w:t>g</w:t>
      </w:r>
      <w:r w:rsidR="00152B62" w:rsidRPr="00F33CE2">
        <w:rPr>
          <w:b/>
          <w:bCs/>
          <w:lang w:val="en-GB"/>
        </w:rPr>
        <w:t>oods of a Party</w:t>
      </w:r>
      <w:r w:rsidR="00152B62" w:rsidRPr="00E65E96">
        <w:rPr>
          <w:lang w:val="en-GB"/>
        </w:rPr>
        <w:t xml:space="preserve"> </w:t>
      </w:r>
      <w:proofErr w:type="gramStart"/>
      <w:r w:rsidR="00152B62" w:rsidRPr="00E65E96">
        <w:rPr>
          <w:lang w:val="en-GB"/>
        </w:rPr>
        <w:t>means</w:t>
      </w:r>
      <w:proofErr w:type="gramEnd"/>
      <w:r w:rsidR="00152B62" w:rsidRPr="00E65E96">
        <w:rPr>
          <w:lang w:val="en-GB"/>
        </w:rPr>
        <w:t xml:space="preserve"> domestic products as these are understood in GATT 1994 or such goods as the Parties may agree, and includes originating goods of a Party</w:t>
      </w:r>
      <w:r>
        <w:rPr>
          <w:lang w:val="en-GB"/>
        </w:rPr>
        <w:t>.</w:t>
      </w:r>
    </w:p>
    <w:p w14:paraId="73B6BBF3" w14:textId="77777777" w:rsidR="00F33CE2" w:rsidRDefault="00F33CE2" w:rsidP="005C02BF"/>
    <w:p w14:paraId="3ECF7D51" w14:textId="77777777" w:rsidR="00E41F9A" w:rsidRDefault="00E41F9A" w:rsidP="005C02BF"/>
    <w:p w14:paraId="4FD73942" w14:textId="14E96C2F" w:rsidR="00137A1D" w:rsidRPr="00E65E96" w:rsidRDefault="00137A1D" w:rsidP="00F9000C">
      <w:pPr>
        <w:pStyle w:val="Heading2"/>
      </w:pPr>
      <w:r w:rsidRPr="00E65E96">
        <w:t xml:space="preserve">Article </w:t>
      </w:r>
      <w:r w:rsidR="00262B91">
        <w:t>2</w:t>
      </w:r>
      <w:r w:rsidRPr="00E65E96">
        <w:t>.2</w:t>
      </w:r>
      <w:r w:rsidR="005C02BF">
        <w:br/>
      </w:r>
      <w:r w:rsidRPr="00E65E96">
        <w:t>Scope</w:t>
      </w:r>
    </w:p>
    <w:p w14:paraId="6F09336B" w14:textId="77777777" w:rsidR="000C6FAC" w:rsidRPr="00E65E96" w:rsidRDefault="000C6FAC" w:rsidP="005C02BF"/>
    <w:p w14:paraId="0EBC6B1A" w14:textId="011A33C5" w:rsidR="00137A1D" w:rsidRPr="00E65E96" w:rsidRDefault="005C02BF" w:rsidP="005C02BF">
      <w:pPr>
        <w:pStyle w:val="ListParagraph"/>
      </w:pPr>
      <w:r>
        <w:tab/>
      </w:r>
      <w:r w:rsidR="00137A1D" w:rsidRPr="00E65E96">
        <w:t xml:space="preserve">Unless otherwise provided in this </w:t>
      </w:r>
      <w:r w:rsidR="006D6E7B">
        <w:t>Agreement</w:t>
      </w:r>
      <w:r w:rsidR="00137A1D" w:rsidRPr="00E65E96">
        <w:t>, this Chapter</w:t>
      </w:r>
      <w:r w:rsidR="00320487">
        <w:t xml:space="preserve"> shall</w:t>
      </w:r>
      <w:r w:rsidR="00137A1D" w:rsidRPr="00E65E96">
        <w:t xml:space="preserve"> appl</w:t>
      </w:r>
      <w:r w:rsidR="00320487">
        <w:t>y</w:t>
      </w:r>
      <w:r w:rsidR="00137A1D" w:rsidRPr="00E65E96">
        <w:t xml:space="preserve"> to trade in goods of a Party.</w:t>
      </w:r>
    </w:p>
    <w:p w14:paraId="026B6E85" w14:textId="77777777" w:rsidR="00B96985" w:rsidRPr="00E65E96" w:rsidRDefault="00B96985" w:rsidP="005C02BF"/>
    <w:p w14:paraId="55F28C30" w14:textId="77777777" w:rsidR="0012654A" w:rsidRPr="00E65E96" w:rsidRDefault="0012654A" w:rsidP="005C02BF"/>
    <w:p w14:paraId="6929653B" w14:textId="6CBB26B6" w:rsidR="00137A1D" w:rsidRPr="00E65E96" w:rsidRDefault="00137A1D" w:rsidP="002B18BD">
      <w:pPr>
        <w:pStyle w:val="Heading2"/>
      </w:pPr>
      <w:r w:rsidRPr="00E65E96">
        <w:lastRenderedPageBreak/>
        <w:t xml:space="preserve">Article </w:t>
      </w:r>
      <w:r w:rsidR="009000EE">
        <w:t>2</w:t>
      </w:r>
      <w:r w:rsidRPr="00E65E96">
        <w:t>.3</w:t>
      </w:r>
      <w:r w:rsidR="005109CB">
        <w:br/>
      </w:r>
      <w:r w:rsidRPr="00E65E96">
        <w:t>Elimination</w:t>
      </w:r>
      <w:r w:rsidR="00E23B09" w:rsidRPr="00E65E96">
        <w:t xml:space="preserve"> </w:t>
      </w:r>
      <w:r w:rsidR="00624562" w:rsidRPr="00E65E96">
        <w:t xml:space="preserve">or </w:t>
      </w:r>
      <w:r w:rsidR="000B5C19" w:rsidRPr="00E65E96">
        <w:t>Reduction</w:t>
      </w:r>
      <w:r w:rsidRPr="00E65E96">
        <w:t xml:space="preserve"> of Customs Duties</w:t>
      </w:r>
    </w:p>
    <w:p w14:paraId="46796130" w14:textId="77777777" w:rsidR="000C6FAC" w:rsidRPr="00E65E96" w:rsidRDefault="000C6FAC" w:rsidP="00B64622">
      <w:pPr>
        <w:keepNext/>
      </w:pPr>
    </w:p>
    <w:p w14:paraId="2C0519C8" w14:textId="2177C544" w:rsidR="00E23B09" w:rsidRPr="005C02BF" w:rsidRDefault="00262B91" w:rsidP="00B64622">
      <w:pPr>
        <w:keepNext/>
      </w:pPr>
      <w:r>
        <w:t>1.</w:t>
      </w:r>
      <w:r>
        <w:tab/>
      </w:r>
      <w:r w:rsidR="00137A1D" w:rsidRPr="005C02BF">
        <w:t>Unless otherwise provided in this Agreement, neither Party shall increase any existing customs duty, or adopt any new customs duty, on an originating good.</w:t>
      </w:r>
    </w:p>
    <w:p w14:paraId="0B45510A" w14:textId="77777777" w:rsidR="000C6FAC" w:rsidRPr="005C02BF" w:rsidRDefault="000C6FAC" w:rsidP="005C02BF"/>
    <w:p w14:paraId="741D7CF2" w14:textId="7202C26A" w:rsidR="00137A1D" w:rsidRPr="00415F59" w:rsidRDefault="00262B91" w:rsidP="005C02BF">
      <w:bookmarkStart w:id="1" w:name="_Hlk85016450"/>
      <w:r w:rsidRPr="005C02BF">
        <w:t>2.</w:t>
      </w:r>
      <w:r w:rsidRPr="005C02BF">
        <w:tab/>
      </w:r>
      <w:r w:rsidR="00A73367" w:rsidRPr="005C02BF">
        <w:t>E</w:t>
      </w:r>
      <w:r w:rsidR="00D45514" w:rsidRPr="0011485B">
        <w:t>ach Party shall</w:t>
      </w:r>
      <w:r w:rsidR="00E23B09" w:rsidRPr="0011485B">
        <w:t xml:space="preserve"> progressively</w:t>
      </w:r>
      <w:r w:rsidR="00D45514" w:rsidRPr="0011485B">
        <w:t xml:space="preserve"> eliminate or reduce its customs duties on originating goods </w:t>
      </w:r>
      <w:r w:rsidR="00AD382D" w:rsidRPr="0011485B">
        <w:t xml:space="preserve">in accordance with its Schedule </w:t>
      </w:r>
      <w:r w:rsidR="00397B15" w:rsidRPr="0011485B">
        <w:t>in</w:t>
      </w:r>
      <w:r w:rsidR="00AD382D" w:rsidRPr="0011485B">
        <w:t xml:space="preserve"> Annex </w:t>
      </w:r>
      <w:r w:rsidR="009000EE" w:rsidRPr="00415F59">
        <w:t>2A</w:t>
      </w:r>
      <w:r w:rsidR="00AD382D" w:rsidRPr="00415F59">
        <w:t xml:space="preserve"> (Tariff Commitments).</w:t>
      </w:r>
    </w:p>
    <w:p w14:paraId="6DE6D45C" w14:textId="77777777" w:rsidR="000C6FAC" w:rsidRPr="00415F59" w:rsidRDefault="000C6FAC" w:rsidP="005C02BF"/>
    <w:bookmarkEnd w:id="1"/>
    <w:p w14:paraId="3C99A510" w14:textId="477F99EF" w:rsidR="00137A1D" w:rsidRPr="00415F59" w:rsidRDefault="00262B91" w:rsidP="005C02BF">
      <w:r w:rsidRPr="00415F59">
        <w:t>3.</w:t>
      </w:r>
      <w:r w:rsidRPr="00415F59">
        <w:tab/>
      </w:r>
      <w:r w:rsidR="006E0AE1" w:rsidRPr="00415F59">
        <w:t xml:space="preserve">On request of a Party, the Parties shall consult to consider accelerating the elimination of customs duties set out in their Schedules </w:t>
      </w:r>
      <w:r w:rsidR="00E41F9A" w:rsidRPr="00415F59">
        <w:t xml:space="preserve">in </w:t>
      </w:r>
      <w:r w:rsidR="006E0AE1" w:rsidRPr="00415F59">
        <w:t xml:space="preserve">Annex </w:t>
      </w:r>
      <w:r w:rsidR="009000EE" w:rsidRPr="00415F59">
        <w:t xml:space="preserve">2A </w:t>
      </w:r>
      <w:r w:rsidR="006E0AE1" w:rsidRPr="00415F59">
        <w:t xml:space="preserve">(Tariff Commitments). An agreement by the Parties to accelerate the elimination of a customs duty on a good shall supersede any duty rate or staging category determined in accordance with their Schedules </w:t>
      </w:r>
      <w:r w:rsidR="00E41F9A" w:rsidRPr="00415F59">
        <w:t>in</w:t>
      </w:r>
      <w:r w:rsidR="006E0AE1" w:rsidRPr="00415F59">
        <w:t xml:space="preserve"> Annex </w:t>
      </w:r>
      <w:r w:rsidR="009000EE" w:rsidRPr="00415F59">
        <w:t xml:space="preserve">2A </w:t>
      </w:r>
      <w:r w:rsidR="000D546F" w:rsidRPr="00415F59">
        <w:t>(Tariff Commitments)</w:t>
      </w:r>
      <w:r w:rsidR="006E0AE1" w:rsidRPr="00415F59">
        <w:t xml:space="preserve"> for that good when approved by each Party in accordance with its applicable </w:t>
      </w:r>
      <w:r w:rsidR="005115E0" w:rsidRPr="00415F59">
        <w:t xml:space="preserve">domestic requirements, including internal </w:t>
      </w:r>
      <w:r w:rsidR="006E0AE1" w:rsidRPr="00415F59">
        <w:t>legal procedures.</w:t>
      </w:r>
    </w:p>
    <w:p w14:paraId="2A154F35" w14:textId="77777777" w:rsidR="000C6FAC" w:rsidRPr="00415F59" w:rsidRDefault="000C6FAC" w:rsidP="005C02BF"/>
    <w:p w14:paraId="6D5E1EE4" w14:textId="05412EBC" w:rsidR="00137A1D" w:rsidRPr="00415F59" w:rsidRDefault="00262B91" w:rsidP="005C02BF">
      <w:r w:rsidRPr="00415F59">
        <w:t>4.</w:t>
      </w:r>
      <w:r w:rsidRPr="00415F59">
        <w:tab/>
      </w:r>
      <w:r w:rsidR="00137A1D" w:rsidRPr="00415F59">
        <w:t xml:space="preserve">A Party may at any time unilaterally accelerate the elimination of customs duties set out in its Schedule </w:t>
      </w:r>
      <w:r w:rsidR="00E41F9A" w:rsidRPr="00415F59">
        <w:t>in</w:t>
      </w:r>
      <w:r w:rsidR="00137A1D" w:rsidRPr="00415F59">
        <w:t xml:space="preserve"> Annex </w:t>
      </w:r>
      <w:r w:rsidR="009000EE" w:rsidRPr="00415F59">
        <w:t xml:space="preserve">2A </w:t>
      </w:r>
      <w:r w:rsidR="00137A1D" w:rsidRPr="00415F59">
        <w:t>(Tariff Commitments) on originating goods of the</w:t>
      </w:r>
      <w:r w:rsidR="00152B62" w:rsidRPr="00415F59">
        <w:t xml:space="preserve"> </w:t>
      </w:r>
      <w:r w:rsidR="00137A1D" w:rsidRPr="00415F59">
        <w:t>other Party. The Party shall inform the other Party as early as practicable before the new rate of customs duty takes effect.</w:t>
      </w:r>
    </w:p>
    <w:p w14:paraId="05AC6B96" w14:textId="77777777" w:rsidR="000C6FAC" w:rsidRPr="00415F59" w:rsidRDefault="000C6FAC" w:rsidP="005C02BF"/>
    <w:p w14:paraId="2F5ED8ED" w14:textId="7168831A" w:rsidR="006642DF" w:rsidRPr="00415F59" w:rsidRDefault="006642DF" w:rsidP="005C02BF">
      <w:r w:rsidRPr="00415F59">
        <w:t>5.</w:t>
      </w:r>
      <w:r w:rsidRPr="00415F59">
        <w:tab/>
        <w:t>If the most-favoured-nation rate of customs duty applied by a Party on a particular good is lower than the rate of customs duty provided for in its Schedule in Annex 2A (Tariff Commitments), that Party shall apply the lower rate to the originating good of the other Party.</w:t>
      </w:r>
    </w:p>
    <w:p w14:paraId="3B58B8FD" w14:textId="77777777" w:rsidR="006642DF" w:rsidRDefault="006642DF" w:rsidP="005C02BF"/>
    <w:p w14:paraId="34C6B1DD" w14:textId="2EDDE2AE" w:rsidR="00EC2797" w:rsidRPr="00E65E96" w:rsidRDefault="00EC2797" w:rsidP="005C02BF"/>
    <w:p w14:paraId="6F0846AD" w14:textId="52BAA004" w:rsidR="00137A1D" w:rsidRPr="00E65E96" w:rsidRDefault="00137A1D" w:rsidP="00F9000C">
      <w:pPr>
        <w:pStyle w:val="Heading2"/>
      </w:pPr>
      <w:r w:rsidRPr="00E65E96">
        <w:t xml:space="preserve">Article </w:t>
      </w:r>
      <w:r w:rsidR="009000EE">
        <w:t>2</w:t>
      </w:r>
      <w:r w:rsidRPr="00E65E96">
        <w:t>.</w:t>
      </w:r>
      <w:r w:rsidR="00CB1A4B" w:rsidRPr="00E65E96">
        <w:t>4</w:t>
      </w:r>
      <w:r w:rsidR="005109CB">
        <w:br/>
      </w:r>
      <w:r w:rsidRPr="00E65E96">
        <w:t>National Treatment</w:t>
      </w:r>
    </w:p>
    <w:p w14:paraId="3CF6F170" w14:textId="77777777" w:rsidR="000C6FAC" w:rsidRPr="00E65E96" w:rsidRDefault="000C6FAC" w:rsidP="005C02BF"/>
    <w:p w14:paraId="2B8C3F7A" w14:textId="3AA90464" w:rsidR="00137A1D" w:rsidRPr="00415F59" w:rsidRDefault="005C02BF" w:rsidP="0011485B">
      <w:pPr>
        <w:pStyle w:val="ListParagraph"/>
      </w:pPr>
      <w:r>
        <w:tab/>
      </w:r>
      <w:r w:rsidR="00137A1D" w:rsidRPr="00415F59">
        <w:t xml:space="preserve">Each Party shall accord national treatment to the goods of the other Party in accordance with Article III of GATT 1994, which is hereby incorporated into and made part of this Agreement, </w:t>
      </w:r>
      <w:r w:rsidR="00137A1D" w:rsidRPr="00415F59">
        <w:rPr>
          <w:i/>
          <w:iCs/>
        </w:rPr>
        <w:t>mutatis mutandis</w:t>
      </w:r>
      <w:r w:rsidR="00137A1D" w:rsidRPr="00415F59">
        <w:t>.</w:t>
      </w:r>
    </w:p>
    <w:p w14:paraId="3E6C0310" w14:textId="77777777" w:rsidR="00137A1D" w:rsidRPr="00415F59" w:rsidRDefault="00137A1D" w:rsidP="005C02BF"/>
    <w:p w14:paraId="01C7DE75" w14:textId="77777777" w:rsidR="00DD04A9" w:rsidRPr="00E65E96" w:rsidRDefault="00DD04A9" w:rsidP="005C02BF"/>
    <w:p w14:paraId="50BE4B30" w14:textId="3E7DC02A" w:rsidR="00137A1D" w:rsidRPr="00E65E96" w:rsidRDefault="00137A1D" w:rsidP="00F9000C">
      <w:pPr>
        <w:pStyle w:val="Heading2"/>
      </w:pPr>
      <w:r w:rsidRPr="00E65E96">
        <w:t xml:space="preserve">Article </w:t>
      </w:r>
      <w:r w:rsidR="009000EE">
        <w:t>2</w:t>
      </w:r>
      <w:r w:rsidRPr="00E65E96">
        <w:t>.</w:t>
      </w:r>
      <w:r w:rsidR="00CB1A4B" w:rsidRPr="00E65E96">
        <w:t>5</w:t>
      </w:r>
      <w:r w:rsidR="005109CB">
        <w:br/>
      </w:r>
      <w:r w:rsidRPr="00E65E96">
        <w:t>Administrative Fees and Formalities</w:t>
      </w:r>
    </w:p>
    <w:p w14:paraId="57BE3FD8" w14:textId="77777777" w:rsidR="000C6FAC" w:rsidRPr="00E65E96" w:rsidRDefault="000C6FAC" w:rsidP="005C02BF"/>
    <w:p w14:paraId="2F574A21" w14:textId="2165800B" w:rsidR="00137A1D" w:rsidRPr="005C02BF" w:rsidRDefault="009000EE" w:rsidP="00F9000C">
      <w:pPr>
        <w:spacing w:line="240" w:lineRule="auto"/>
      </w:pPr>
      <w:r>
        <w:t>1.</w:t>
      </w:r>
      <w:r>
        <w:tab/>
      </w:r>
      <w:r w:rsidR="00137A1D" w:rsidRPr="005C02BF">
        <w:t xml:space="preserve">Each Party shall ensure, in accordance with Article VIII:1 of GATT 1994, that all fees and charges of whatever character (other than customs duties, charges equivalent to an internal tax or other internal charges applied consistently with Article III:2 of GATT 1994, and anti-dumping and countervailing duties) imposed on or in connection with importation or exportation are limited in amount to the approximate cost of services rendered and do not represent an indirect </w:t>
      </w:r>
      <w:r w:rsidR="00137A1D" w:rsidRPr="005C02BF">
        <w:lastRenderedPageBreak/>
        <w:t>protection to domestic goods or a taxation of imports or exports for fiscal purposes.</w:t>
      </w:r>
    </w:p>
    <w:p w14:paraId="418DF438" w14:textId="77777777" w:rsidR="000C6FAC" w:rsidRPr="0011485B" w:rsidRDefault="000C6FAC" w:rsidP="00F9000C">
      <w:pPr>
        <w:spacing w:line="240" w:lineRule="auto"/>
      </w:pPr>
    </w:p>
    <w:p w14:paraId="64A075D6" w14:textId="0F5A30EB" w:rsidR="00137A1D" w:rsidRPr="00415F59" w:rsidRDefault="009000EE" w:rsidP="00F9000C">
      <w:pPr>
        <w:spacing w:line="240" w:lineRule="auto"/>
      </w:pPr>
      <w:r w:rsidRPr="0011485B">
        <w:t>2.</w:t>
      </w:r>
      <w:r w:rsidRPr="0011485B">
        <w:tab/>
      </w:r>
      <w:r w:rsidR="00137A1D" w:rsidRPr="0011485B">
        <w:t>Neither Party shall require</w:t>
      </w:r>
      <w:r w:rsidR="00F33CE2" w:rsidRPr="0011485B">
        <w:t xml:space="preserve"> </w:t>
      </w:r>
      <w:r w:rsidR="00137A1D" w:rsidRPr="00415F59">
        <w:t>consular transaction</w:t>
      </w:r>
      <w:r w:rsidR="00F33CE2" w:rsidRPr="00415F59">
        <w:t>s</w:t>
      </w:r>
      <w:r w:rsidR="00137A1D" w:rsidRPr="00415F59">
        <w:t>, including any related fees and charges, in connection with the importation of any good of the other Party.</w:t>
      </w:r>
    </w:p>
    <w:p w14:paraId="04F0B8F8" w14:textId="77777777" w:rsidR="000C6FAC" w:rsidRPr="00415F59" w:rsidRDefault="000C6FAC" w:rsidP="00F9000C">
      <w:pPr>
        <w:spacing w:line="240" w:lineRule="auto"/>
      </w:pPr>
    </w:p>
    <w:p w14:paraId="7AD58694" w14:textId="6DAE8287" w:rsidR="00137A1D" w:rsidRPr="00F33CE2" w:rsidRDefault="009000EE" w:rsidP="00F9000C">
      <w:pPr>
        <w:spacing w:line="240" w:lineRule="auto"/>
      </w:pPr>
      <w:r w:rsidRPr="00415F59">
        <w:t>3.</w:t>
      </w:r>
      <w:r w:rsidRPr="00415F59">
        <w:tab/>
      </w:r>
      <w:r w:rsidR="001C4129" w:rsidRPr="00415F59">
        <w:t>Each Party shall make publicly available</w:t>
      </w:r>
      <w:r w:rsidR="00E41F9A" w:rsidRPr="00415F59">
        <w:t xml:space="preserve"> on</w:t>
      </w:r>
      <w:r w:rsidR="001C4129" w:rsidRPr="00415F59">
        <w:t xml:space="preserve"> </w:t>
      </w:r>
      <w:r w:rsidR="00DA240F" w:rsidRPr="00415F59">
        <w:t xml:space="preserve">the internet </w:t>
      </w:r>
      <w:r w:rsidR="001C4129" w:rsidRPr="00415F59">
        <w:t>a current list of the fees and charges it imposes in connection with importation or exportation.</w:t>
      </w:r>
    </w:p>
    <w:p w14:paraId="532146A3" w14:textId="77777777" w:rsidR="006E0AE1" w:rsidRPr="00E65E96" w:rsidRDefault="006E0AE1" w:rsidP="005C02BF"/>
    <w:p w14:paraId="72F72724" w14:textId="77777777" w:rsidR="00DD04A9" w:rsidRPr="00E65E96" w:rsidRDefault="00DD04A9" w:rsidP="005C02BF"/>
    <w:p w14:paraId="3E2D56FF" w14:textId="2C1936FA" w:rsidR="00137A1D" w:rsidRPr="00E65E96" w:rsidRDefault="00137A1D" w:rsidP="00F9000C">
      <w:pPr>
        <w:pStyle w:val="Heading2"/>
      </w:pPr>
      <w:r w:rsidRPr="00E65E96">
        <w:t xml:space="preserve">Article </w:t>
      </w:r>
      <w:r w:rsidR="009000EE">
        <w:t>2</w:t>
      </w:r>
      <w:r w:rsidRPr="00E65E96">
        <w:t>.</w:t>
      </w:r>
      <w:r w:rsidR="00BE395E" w:rsidRPr="00E65E96">
        <w:t>6</w:t>
      </w:r>
      <w:r w:rsidR="005109CB">
        <w:br/>
      </w:r>
      <w:r w:rsidRPr="00E65E96">
        <w:t>Customs Valu</w:t>
      </w:r>
      <w:r w:rsidR="00152B62" w:rsidRPr="00E65E96">
        <w:t>ation</w:t>
      </w:r>
    </w:p>
    <w:p w14:paraId="420C290D" w14:textId="77777777" w:rsidR="000C6FAC" w:rsidRPr="00E65E96" w:rsidRDefault="000C6FAC" w:rsidP="005C02BF"/>
    <w:p w14:paraId="4F3DFAB1" w14:textId="5BAEAD66" w:rsidR="00152B62" w:rsidRPr="00E65E96" w:rsidRDefault="00137A1D" w:rsidP="005C02BF">
      <w:pPr>
        <w:pStyle w:val="ListParagraph"/>
        <w:ind w:hanging="11"/>
      </w:pPr>
      <w:r w:rsidRPr="00E65E96">
        <w:t>Each Party shall determine the customs value of goods traded between the Parties in accordance with Article VII of GATT 1994 and the Customs Valuation Agreement.</w:t>
      </w:r>
    </w:p>
    <w:p w14:paraId="0CF52600" w14:textId="77777777" w:rsidR="000C6FAC" w:rsidRPr="00E65E96" w:rsidRDefault="000C6FAC" w:rsidP="005C02BF"/>
    <w:p w14:paraId="264CA53C" w14:textId="77777777" w:rsidR="00DD04A9" w:rsidRPr="00E65E96" w:rsidRDefault="00DD04A9" w:rsidP="005C02BF">
      <w:bookmarkStart w:id="2" w:name="_Hlk82546755"/>
    </w:p>
    <w:p w14:paraId="07245194" w14:textId="08279E03" w:rsidR="00137A1D" w:rsidRPr="00E65E96" w:rsidRDefault="00137A1D" w:rsidP="00F9000C">
      <w:pPr>
        <w:pStyle w:val="Heading2"/>
      </w:pPr>
      <w:r w:rsidRPr="00E65E96">
        <w:t xml:space="preserve">Article </w:t>
      </w:r>
      <w:r w:rsidR="009000EE">
        <w:t>2</w:t>
      </w:r>
      <w:r w:rsidRPr="00E65E96">
        <w:t>.7</w:t>
      </w:r>
      <w:r w:rsidR="005109CB">
        <w:br/>
      </w:r>
      <w:r w:rsidRPr="00E65E96">
        <w:t>Classification of Goods</w:t>
      </w:r>
    </w:p>
    <w:p w14:paraId="5392259B" w14:textId="77777777" w:rsidR="000C6FAC" w:rsidRPr="00E65E96" w:rsidRDefault="000C6FAC" w:rsidP="005C02BF"/>
    <w:p w14:paraId="175A4FF8" w14:textId="7DE9B86D" w:rsidR="00137A1D" w:rsidRPr="00E65E96" w:rsidRDefault="006E0AE1" w:rsidP="00F9000C">
      <w:pPr>
        <w:ind w:firstLine="0"/>
      </w:pPr>
      <w:r w:rsidRPr="00E65E96">
        <w:t>T</w:t>
      </w:r>
      <w:r w:rsidR="00137A1D" w:rsidRPr="00E65E96">
        <w:t xml:space="preserve">he classification of goods traded between the Parties shall </w:t>
      </w:r>
      <w:r w:rsidRPr="00E65E96">
        <w:t>be in conformity with the Harmonized System.</w:t>
      </w:r>
    </w:p>
    <w:bookmarkEnd w:id="2"/>
    <w:p w14:paraId="7EBA8F38" w14:textId="77777777" w:rsidR="00137A1D" w:rsidRPr="00E65E96" w:rsidRDefault="00137A1D" w:rsidP="005C02BF"/>
    <w:p w14:paraId="500FDF26" w14:textId="77777777" w:rsidR="00DD04A9" w:rsidRPr="00E65E96" w:rsidRDefault="00DD04A9" w:rsidP="005C02BF"/>
    <w:p w14:paraId="5615450A" w14:textId="4768E935" w:rsidR="00137A1D" w:rsidRPr="00E65E96" w:rsidRDefault="00137A1D" w:rsidP="00F9000C">
      <w:pPr>
        <w:pStyle w:val="Heading2"/>
      </w:pPr>
      <w:r w:rsidRPr="00E65E96">
        <w:t xml:space="preserve">Article </w:t>
      </w:r>
      <w:r w:rsidR="009000EE">
        <w:t>2</w:t>
      </w:r>
      <w:r w:rsidRPr="00E65E96">
        <w:t>.</w:t>
      </w:r>
      <w:r w:rsidR="00BE395E" w:rsidRPr="00E65E96">
        <w:t>8</w:t>
      </w:r>
      <w:r w:rsidR="005109CB">
        <w:br/>
      </w:r>
      <w:r w:rsidRPr="00E65E96">
        <w:t>Import and Export Restrictions</w:t>
      </w:r>
    </w:p>
    <w:p w14:paraId="70F0AC11" w14:textId="77777777" w:rsidR="000C6FAC" w:rsidRPr="00E65E96" w:rsidRDefault="000C6FAC" w:rsidP="005C02BF"/>
    <w:p w14:paraId="0906677A" w14:textId="54174405" w:rsidR="00137A1D" w:rsidRPr="00E65E96" w:rsidRDefault="0042788F" w:rsidP="005C02BF">
      <w:pPr>
        <w:pStyle w:val="ListParagraph"/>
      </w:pPr>
      <w:r>
        <w:t>Un</w:t>
      </w:r>
      <w:r w:rsidR="00D16E20">
        <w:t>less</w:t>
      </w:r>
      <w:r w:rsidR="00137A1D" w:rsidRPr="00E65E96">
        <w:t xml:space="preserve"> otherwise provided in this Agreement, neither Party shall adopt or maintain any</w:t>
      </w:r>
      <w:r w:rsidR="007B1CFB" w:rsidRPr="00E65E96">
        <w:t xml:space="preserve"> </w:t>
      </w:r>
      <w:r w:rsidR="00137A1D" w:rsidRPr="00E65E96">
        <w:t xml:space="preserve">prohibition or restriction on the importation of any good of the other Party or on the exportation or sale for export of any good destined for the territory of the other Party, except in accordance with Article XI of GATT 1994, and to this end Article XI of GATT 1994, is incorporated into and made part of this Agreement, </w:t>
      </w:r>
      <w:r w:rsidR="00137A1D" w:rsidRPr="00D4294E">
        <w:rPr>
          <w:i/>
          <w:iCs/>
        </w:rPr>
        <w:t>mutatis mutandis</w:t>
      </w:r>
      <w:r w:rsidR="00137A1D" w:rsidRPr="00E65E96">
        <w:t>.</w:t>
      </w:r>
    </w:p>
    <w:p w14:paraId="7F324A59" w14:textId="77777777" w:rsidR="00FA66A2" w:rsidRPr="00E65E96" w:rsidRDefault="00FA66A2" w:rsidP="005C02BF"/>
    <w:p w14:paraId="239A7DD2" w14:textId="77777777" w:rsidR="00DD04A9" w:rsidRPr="00E65E96" w:rsidRDefault="00DD04A9" w:rsidP="005C02BF"/>
    <w:p w14:paraId="7816E35A" w14:textId="1C2B5A22" w:rsidR="00E71D72" w:rsidRPr="00E65E96" w:rsidRDefault="00E71D72" w:rsidP="0011485B">
      <w:pPr>
        <w:pStyle w:val="Heading2"/>
      </w:pPr>
      <w:r w:rsidRPr="00E65E96">
        <w:t xml:space="preserve">Article </w:t>
      </w:r>
      <w:r w:rsidR="009000EE">
        <w:t>2</w:t>
      </w:r>
      <w:r w:rsidRPr="00E65E96">
        <w:t>.</w:t>
      </w:r>
      <w:r w:rsidR="00FA66A2" w:rsidRPr="00E65E96">
        <w:t>9</w:t>
      </w:r>
      <w:r w:rsidR="005109CB">
        <w:br/>
      </w:r>
      <w:r w:rsidRPr="00E65E96">
        <w:t>Application of Non-Tariff Measures</w:t>
      </w:r>
    </w:p>
    <w:p w14:paraId="6E84E2AB" w14:textId="77777777" w:rsidR="000C6FAC" w:rsidRPr="00E65E96" w:rsidRDefault="000C6FAC" w:rsidP="005C02BF"/>
    <w:p w14:paraId="6F60C951" w14:textId="3DB198A5" w:rsidR="00E71D72" w:rsidRPr="005C02BF" w:rsidRDefault="009000EE" w:rsidP="005C02BF">
      <w:r>
        <w:t>1.</w:t>
      </w:r>
      <w:r>
        <w:tab/>
      </w:r>
      <w:r w:rsidR="00E71D72" w:rsidRPr="005C02BF">
        <w:t xml:space="preserve">A Party shall not adopt or maintain any non-tariff measure on the importation of any good of the other Party or on the exportation of any good destined for the territory of the other Party, except in accordance with </w:t>
      </w:r>
      <w:r w:rsidR="00DC66D4" w:rsidRPr="005C02BF">
        <w:t>the WTO Agreement</w:t>
      </w:r>
      <w:r w:rsidR="00E71D72" w:rsidRPr="005C02BF">
        <w:t xml:space="preserve"> or this Agreement.</w:t>
      </w:r>
    </w:p>
    <w:p w14:paraId="333BF209" w14:textId="77777777" w:rsidR="000C6FAC" w:rsidRPr="0011485B" w:rsidRDefault="000C6FAC" w:rsidP="005C02BF"/>
    <w:p w14:paraId="1A4174DF" w14:textId="6139CB55" w:rsidR="00D415BB" w:rsidRPr="00415F59" w:rsidRDefault="009000EE" w:rsidP="005C02BF">
      <w:r w:rsidRPr="0011485B">
        <w:t>2.</w:t>
      </w:r>
      <w:r w:rsidRPr="0011485B">
        <w:tab/>
      </w:r>
      <w:r w:rsidR="00E71D72" w:rsidRPr="0011485B">
        <w:t>Each Party shall ensure the transparency of its non-tariff measures permitted in paragraph 1 and</w:t>
      </w:r>
      <w:r w:rsidR="00953167" w:rsidRPr="0011485B">
        <w:t xml:space="preserve"> </w:t>
      </w:r>
      <w:r w:rsidR="00E71D72" w:rsidRPr="00415F59">
        <w:t xml:space="preserve">shall ensure that any such measures are not prepared, </w:t>
      </w:r>
      <w:proofErr w:type="gramStart"/>
      <w:r w:rsidR="00E71D72" w:rsidRPr="00415F59">
        <w:lastRenderedPageBreak/>
        <w:t>adopted</w:t>
      </w:r>
      <w:proofErr w:type="gramEnd"/>
      <w:r w:rsidR="00E71D72" w:rsidRPr="00415F59">
        <w:t xml:space="preserve"> or applied with the view to, or with the effect of, creating unnecessary obstacles to trade between the Parties.</w:t>
      </w:r>
    </w:p>
    <w:p w14:paraId="4FC4026D" w14:textId="77777777" w:rsidR="00D415BB" w:rsidRPr="00E65E96" w:rsidRDefault="00D415BB" w:rsidP="005C02BF"/>
    <w:p w14:paraId="51C28A17" w14:textId="77777777" w:rsidR="00DD04A9" w:rsidRPr="00E65E96" w:rsidRDefault="00DD04A9" w:rsidP="005C02BF"/>
    <w:p w14:paraId="34005E50" w14:textId="528066B5" w:rsidR="00137A1D" w:rsidRPr="00E65E96" w:rsidRDefault="00137A1D" w:rsidP="00F9000C">
      <w:pPr>
        <w:pStyle w:val="Heading2"/>
      </w:pPr>
      <w:r w:rsidRPr="00E65E96">
        <w:t xml:space="preserve">Article </w:t>
      </w:r>
      <w:r w:rsidR="009000EE">
        <w:t>2</w:t>
      </w:r>
      <w:r w:rsidRPr="00E65E96">
        <w:t>.</w:t>
      </w:r>
      <w:r w:rsidR="00FA66A2" w:rsidRPr="00E65E96">
        <w:t>10</w:t>
      </w:r>
      <w:r w:rsidR="005109CB">
        <w:br/>
      </w:r>
      <w:r w:rsidRPr="00E65E96">
        <w:t>Public</w:t>
      </w:r>
      <w:r w:rsidR="00152B62" w:rsidRPr="00E65E96">
        <w:t xml:space="preserve">ation and </w:t>
      </w:r>
      <w:r w:rsidRPr="00E65E96">
        <w:t>Administration of Trade Regulations</w:t>
      </w:r>
    </w:p>
    <w:p w14:paraId="52B59009" w14:textId="77777777" w:rsidR="000C6FAC" w:rsidRPr="00E65E96" w:rsidRDefault="000C6FAC" w:rsidP="005C02BF"/>
    <w:p w14:paraId="5FA5F035" w14:textId="71EF7C18" w:rsidR="00137A1D" w:rsidRPr="00415F59" w:rsidRDefault="009000EE" w:rsidP="005C02BF">
      <w:r>
        <w:t>1.</w:t>
      </w:r>
      <w:r>
        <w:tab/>
      </w:r>
      <w:r w:rsidR="00137A1D" w:rsidRPr="005C02BF">
        <w:t xml:space="preserve">Each Party shall administer in a uniform, impartial and reasonable manner all its laws, regulations, </w:t>
      </w:r>
      <w:proofErr w:type="gramStart"/>
      <w:r w:rsidR="00137A1D" w:rsidRPr="005C02BF">
        <w:t>decisions</w:t>
      </w:r>
      <w:proofErr w:type="gramEnd"/>
      <w:r w:rsidR="00137A1D" w:rsidRPr="005C02BF">
        <w:t xml:space="preserve"> and rulings respecting any matter covered by this Chapter. </w:t>
      </w:r>
      <w:r w:rsidR="00137A1D" w:rsidRPr="00415F59">
        <w:t xml:space="preserve">To this end, Article X of GATT 1994 is incorporated into and made part of this Agreement, </w:t>
      </w:r>
      <w:r w:rsidR="00137A1D" w:rsidRPr="00415F59">
        <w:rPr>
          <w:i/>
          <w:iCs/>
        </w:rPr>
        <w:t>mutatis mutandis</w:t>
      </w:r>
      <w:r w:rsidR="00137A1D" w:rsidRPr="00415F59">
        <w:t>.</w:t>
      </w:r>
    </w:p>
    <w:p w14:paraId="784D47F6" w14:textId="77777777" w:rsidR="000C6FAC" w:rsidRPr="00415F59" w:rsidRDefault="000C6FAC" w:rsidP="005C02BF"/>
    <w:p w14:paraId="7BFD0F9F" w14:textId="7229B745" w:rsidR="00137A1D" w:rsidRPr="00415F59" w:rsidRDefault="009000EE" w:rsidP="005C02BF">
      <w:r w:rsidRPr="00415F59">
        <w:t>2.</w:t>
      </w:r>
      <w:r w:rsidRPr="00415F59">
        <w:tab/>
      </w:r>
      <w:r w:rsidR="00137A1D" w:rsidRPr="00415F59">
        <w:t xml:space="preserve">To the extent possible, each Party shall make its laws, regulations, </w:t>
      </w:r>
      <w:proofErr w:type="gramStart"/>
      <w:r w:rsidR="00137A1D" w:rsidRPr="00415F59">
        <w:t>decisions</w:t>
      </w:r>
      <w:proofErr w:type="gramEnd"/>
      <w:r w:rsidR="00137A1D" w:rsidRPr="00415F59">
        <w:t xml:space="preserve"> and rulings of the kind referred to in paragraph 1 publicly available on the </w:t>
      </w:r>
      <w:r w:rsidR="004C2597" w:rsidRPr="00415F59">
        <w:t>i</w:t>
      </w:r>
      <w:r w:rsidR="00137A1D" w:rsidRPr="00415F59">
        <w:t>nternet.</w:t>
      </w:r>
    </w:p>
    <w:p w14:paraId="7C5CA3AA" w14:textId="1E86C728" w:rsidR="00065A48" w:rsidRDefault="00065A48" w:rsidP="005C02BF"/>
    <w:p w14:paraId="339318CE" w14:textId="15F3F7DE" w:rsidR="00F100F4" w:rsidRDefault="00F100F4" w:rsidP="005C02BF"/>
    <w:p w14:paraId="46784F4A" w14:textId="77777777" w:rsidR="002B18BD" w:rsidRDefault="002B18BD" w:rsidP="002B18BD">
      <w:pPr>
        <w:pStyle w:val="Heading2"/>
      </w:pPr>
      <w:r w:rsidRPr="00F100F4">
        <w:t>Article 2.</w:t>
      </w:r>
      <w:r>
        <w:t>11</w:t>
      </w:r>
    </w:p>
    <w:p w14:paraId="1086A1B4" w14:textId="77777777" w:rsidR="002B18BD" w:rsidRPr="00F100F4" w:rsidRDefault="002B18BD" w:rsidP="002B18BD">
      <w:pPr>
        <w:pStyle w:val="Heading2"/>
      </w:pPr>
      <w:r w:rsidRPr="00F100F4">
        <w:t>Agricultural Cooperation</w:t>
      </w:r>
      <w:r>
        <w:t xml:space="preserve"> </w:t>
      </w:r>
    </w:p>
    <w:p w14:paraId="17F62560" w14:textId="77777777" w:rsidR="002B18BD" w:rsidRDefault="002B18BD" w:rsidP="002B18BD">
      <w:pPr>
        <w:ind w:left="720"/>
      </w:pPr>
    </w:p>
    <w:p w14:paraId="59048314" w14:textId="77777777" w:rsidR="002B18BD" w:rsidRDefault="002B18BD" w:rsidP="002B18BD">
      <w:pPr>
        <w:ind w:left="720" w:firstLine="0"/>
      </w:pPr>
      <w:r w:rsidRPr="00F100F4">
        <w:t>The Parties shall undertake cooperation and capacity building activities in areas related to agriculture and agricultural trade for mutual benefit.</w:t>
      </w:r>
    </w:p>
    <w:p w14:paraId="4B78C94D" w14:textId="77777777" w:rsidR="00F100F4" w:rsidRPr="00E65E96" w:rsidRDefault="00F100F4" w:rsidP="005C02BF"/>
    <w:p w14:paraId="1DE44C39" w14:textId="77777777" w:rsidR="00DD04A9" w:rsidRPr="00E65E96" w:rsidRDefault="00DD04A9" w:rsidP="005C02BF"/>
    <w:p w14:paraId="4B1BC0C2" w14:textId="6FA43DE8" w:rsidR="00137A1D" w:rsidRPr="00E65E96" w:rsidRDefault="00137A1D" w:rsidP="00F9000C">
      <w:pPr>
        <w:pStyle w:val="Heading2"/>
      </w:pPr>
      <w:r w:rsidRPr="00E65E96">
        <w:t xml:space="preserve">Article </w:t>
      </w:r>
      <w:r w:rsidR="009000EE">
        <w:t>2</w:t>
      </w:r>
      <w:r w:rsidRPr="00E65E96">
        <w:t>.</w:t>
      </w:r>
      <w:r w:rsidR="00FA66A2" w:rsidRPr="00E65E96">
        <w:t>1</w:t>
      </w:r>
      <w:r w:rsidR="008E3E2B">
        <w:t>2</w:t>
      </w:r>
      <w:r w:rsidR="005109CB">
        <w:br/>
      </w:r>
      <w:r w:rsidR="009000EE">
        <w:t>Subc</w:t>
      </w:r>
      <w:r w:rsidRPr="00E65E96">
        <w:t>ommittee on Trade in Goods</w:t>
      </w:r>
    </w:p>
    <w:p w14:paraId="34F5CC24" w14:textId="77777777" w:rsidR="000C6FAC" w:rsidRPr="00E65E96" w:rsidRDefault="000C6FAC" w:rsidP="005C02BF"/>
    <w:p w14:paraId="3925FCB5" w14:textId="341C9CB8" w:rsidR="00750746" w:rsidRPr="00415F59" w:rsidRDefault="009000EE" w:rsidP="005C02BF">
      <w:r>
        <w:t>1.</w:t>
      </w:r>
      <w:r>
        <w:tab/>
      </w:r>
      <w:r w:rsidR="00750746" w:rsidRPr="005C02BF">
        <w:t xml:space="preserve">The Parties hereby establish a </w:t>
      </w:r>
      <w:r w:rsidRPr="005C02BF">
        <w:t>Subc</w:t>
      </w:r>
      <w:r w:rsidR="00750746" w:rsidRPr="005C02BF">
        <w:t>ommittee on Trade in Goods (</w:t>
      </w:r>
      <w:r w:rsidR="00152B62" w:rsidRPr="005C02BF">
        <w:t>“</w:t>
      </w:r>
      <w:r w:rsidR="00750746" w:rsidRPr="0011485B">
        <w:t xml:space="preserve">the </w:t>
      </w:r>
      <w:r w:rsidR="00F33CE2" w:rsidRPr="0011485B">
        <w:t xml:space="preserve">Subcommittee on </w:t>
      </w:r>
      <w:r w:rsidR="00750746" w:rsidRPr="0011485B">
        <w:t>Goods</w:t>
      </w:r>
      <w:r w:rsidR="00F33CE2" w:rsidRPr="0011485B">
        <w:t xml:space="preserve">”) </w:t>
      </w:r>
      <w:r w:rsidR="00750746" w:rsidRPr="00415F59">
        <w:t>composed of government representatives of each Party.</w:t>
      </w:r>
    </w:p>
    <w:p w14:paraId="62B847EB" w14:textId="77777777" w:rsidR="000C6FAC" w:rsidRPr="00415F59" w:rsidRDefault="000C6FAC" w:rsidP="005C02BF"/>
    <w:p w14:paraId="015C7E08" w14:textId="17B2F7B8" w:rsidR="00750746" w:rsidRPr="00415F59" w:rsidRDefault="009000EE" w:rsidP="005C02BF">
      <w:r w:rsidRPr="00415F59">
        <w:t>2.</w:t>
      </w:r>
      <w:r w:rsidRPr="00415F59">
        <w:tab/>
      </w:r>
      <w:r w:rsidR="00750746" w:rsidRPr="00415F59">
        <w:t xml:space="preserve">The </w:t>
      </w:r>
      <w:r w:rsidR="00F33CE2" w:rsidRPr="00415F59">
        <w:t xml:space="preserve">Subcommittee on </w:t>
      </w:r>
      <w:r w:rsidR="00750746" w:rsidRPr="00415F59">
        <w:t>Goods</w:t>
      </w:r>
      <w:r w:rsidR="00F33CE2" w:rsidRPr="00415F59">
        <w:t>’</w:t>
      </w:r>
      <w:r w:rsidR="00750746" w:rsidRPr="00415F59">
        <w:t xml:space="preserve"> functions shall include:</w:t>
      </w:r>
    </w:p>
    <w:p w14:paraId="414E6DFF" w14:textId="77777777" w:rsidR="000C6FAC" w:rsidRPr="00415F59" w:rsidRDefault="000C6FAC" w:rsidP="005C02BF"/>
    <w:p w14:paraId="545B96F4" w14:textId="72DB4689" w:rsidR="00750746" w:rsidRPr="00415F59" w:rsidRDefault="009000EE" w:rsidP="00F9000C">
      <w:pPr>
        <w:spacing w:line="240" w:lineRule="auto"/>
        <w:ind w:left="1429"/>
      </w:pPr>
      <w:r w:rsidRPr="00415F59">
        <w:t xml:space="preserve">(a) </w:t>
      </w:r>
      <w:r w:rsidRPr="00415F59">
        <w:tab/>
      </w:r>
      <w:r w:rsidR="00750746" w:rsidRPr="00415F59">
        <w:t xml:space="preserve">reviewing and monitoring the implementation and operation of this </w:t>
      </w:r>
      <w:proofErr w:type="gramStart"/>
      <w:r w:rsidR="00750746" w:rsidRPr="00415F59">
        <w:t>Chapter</w:t>
      </w:r>
      <w:r w:rsidR="002277A6" w:rsidRPr="00415F59">
        <w:t>;</w:t>
      </w:r>
      <w:proofErr w:type="gramEnd"/>
    </w:p>
    <w:p w14:paraId="0FBCAEA5" w14:textId="77777777" w:rsidR="000C6FAC" w:rsidRPr="00415F59" w:rsidRDefault="000C6FAC" w:rsidP="00F9000C">
      <w:pPr>
        <w:spacing w:line="240" w:lineRule="auto"/>
        <w:ind w:left="1429"/>
      </w:pPr>
    </w:p>
    <w:p w14:paraId="58BAE243" w14:textId="36E3AB86" w:rsidR="00750746" w:rsidRPr="00415F59" w:rsidRDefault="009000EE" w:rsidP="00F9000C">
      <w:pPr>
        <w:spacing w:line="240" w:lineRule="auto"/>
        <w:ind w:left="1429"/>
      </w:pPr>
      <w:r w:rsidRPr="00415F59">
        <w:t>(b)</w:t>
      </w:r>
      <w:r w:rsidRPr="00415F59">
        <w:tab/>
      </w:r>
      <w:r w:rsidR="00750746" w:rsidRPr="00415F59">
        <w:t xml:space="preserve">promoting trade in </w:t>
      </w:r>
      <w:r w:rsidR="00624562" w:rsidRPr="00415F59">
        <w:t>both agricultural and non-agricultural goods</w:t>
      </w:r>
      <w:r w:rsidR="002C6877" w:rsidRPr="00415F59">
        <w:t xml:space="preserve"> </w:t>
      </w:r>
      <w:r w:rsidR="00750746" w:rsidRPr="00415F59">
        <w:t xml:space="preserve">between the Parties, including through consultations on accelerating tariff elimination under this Agreement, and addressing non-tariff barriers to trade in goods between the </w:t>
      </w:r>
      <w:proofErr w:type="gramStart"/>
      <w:r w:rsidR="00750746" w:rsidRPr="00415F59">
        <w:t>Parties;</w:t>
      </w:r>
      <w:proofErr w:type="gramEnd"/>
    </w:p>
    <w:p w14:paraId="7F6CD251" w14:textId="77777777" w:rsidR="000C6FAC" w:rsidRPr="00415F59" w:rsidRDefault="000C6FAC" w:rsidP="00F9000C">
      <w:pPr>
        <w:spacing w:line="240" w:lineRule="auto"/>
        <w:ind w:left="1429"/>
      </w:pPr>
    </w:p>
    <w:p w14:paraId="1486FE8E" w14:textId="2698DFF4" w:rsidR="00750746" w:rsidRPr="00415F59" w:rsidRDefault="009000EE" w:rsidP="00F9000C">
      <w:pPr>
        <w:spacing w:line="240" w:lineRule="auto"/>
        <w:ind w:left="1429"/>
      </w:pPr>
      <w:bookmarkStart w:id="3" w:name="_Hlk82547023"/>
      <w:r w:rsidRPr="00415F59">
        <w:t>(c)</w:t>
      </w:r>
      <w:r w:rsidRPr="00415F59">
        <w:tab/>
      </w:r>
      <w:r w:rsidR="00750746" w:rsidRPr="00415F59">
        <w:t>addressing issues relating to the administration and operation of tariff rate quotas;</w:t>
      </w:r>
      <w:r w:rsidR="00517E84" w:rsidRPr="00415F59">
        <w:t xml:space="preserve"> and </w:t>
      </w:r>
    </w:p>
    <w:p w14:paraId="3DD7238C" w14:textId="77777777" w:rsidR="000C6FAC" w:rsidRPr="00415F59" w:rsidRDefault="000C6FAC" w:rsidP="00F9000C">
      <w:pPr>
        <w:spacing w:line="240" w:lineRule="auto"/>
        <w:ind w:left="1429"/>
      </w:pPr>
    </w:p>
    <w:bookmarkEnd w:id="3"/>
    <w:p w14:paraId="4F2C2672" w14:textId="3E2579CA" w:rsidR="00750746" w:rsidRPr="00415F59" w:rsidRDefault="009000EE" w:rsidP="00F9000C">
      <w:pPr>
        <w:spacing w:line="240" w:lineRule="auto"/>
        <w:ind w:left="1429"/>
      </w:pPr>
      <w:r w:rsidRPr="00415F59">
        <w:t>(d)</w:t>
      </w:r>
      <w:r w:rsidRPr="00415F59">
        <w:tab/>
      </w:r>
      <w:r w:rsidR="00750746" w:rsidRPr="00415F59">
        <w:t>reporting</w:t>
      </w:r>
      <w:r w:rsidR="00F33CE2" w:rsidRPr="00415F59">
        <w:t xml:space="preserve"> </w:t>
      </w:r>
      <w:r w:rsidR="00750746" w:rsidRPr="00415F59">
        <w:t>on its activities and work programme to the Joint Committee.</w:t>
      </w:r>
    </w:p>
    <w:p w14:paraId="0E0A60B1" w14:textId="77777777" w:rsidR="000C6FAC" w:rsidRPr="00415F59" w:rsidRDefault="000C6FAC" w:rsidP="00C3765C">
      <w:pPr>
        <w:ind w:left="1418"/>
      </w:pPr>
    </w:p>
    <w:p w14:paraId="6BCBB383" w14:textId="1000E711" w:rsidR="00750746" w:rsidRPr="005C02BF" w:rsidRDefault="009000EE" w:rsidP="005C02BF">
      <w:r w:rsidRPr="005C02BF">
        <w:lastRenderedPageBreak/>
        <w:t>3.</w:t>
      </w:r>
      <w:r w:rsidRPr="005C02BF">
        <w:tab/>
      </w:r>
      <w:r w:rsidR="00750746" w:rsidRPr="005C02BF">
        <w:t xml:space="preserve">The </w:t>
      </w:r>
      <w:r w:rsidR="00F33CE2" w:rsidRPr="005C02BF">
        <w:t>Subcommittee on Goods</w:t>
      </w:r>
      <w:r w:rsidR="00750746" w:rsidRPr="005C02BF">
        <w:t xml:space="preserve"> shall meet within one year of the date of entry into force of this Agreement and thereafter at such times as the Parties may agree. Meetings may occur in person, or by any other means as mutually determined by the Parties.</w:t>
      </w:r>
    </w:p>
    <w:p w14:paraId="61C8970D" w14:textId="77777777" w:rsidR="00E65E96" w:rsidRPr="005C02BF" w:rsidRDefault="00E65E96" w:rsidP="005C02BF"/>
    <w:p w14:paraId="0A4CDE83" w14:textId="41E5C895" w:rsidR="00B20098" w:rsidRDefault="009000EE" w:rsidP="005C02BF">
      <w:r w:rsidRPr="005C02BF">
        <w:t>4.</w:t>
      </w:r>
      <w:r w:rsidRPr="005C02BF">
        <w:tab/>
      </w:r>
      <w:r w:rsidR="00750746" w:rsidRPr="005C02BF">
        <w:t xml:space="preserve">The </w:t>
      </w:r>
      <w:r w:rsidRPr="0011485B">
        <w:t>Sub</w:t>
      </w:r>
      <w:r w:rsidR="00F33CE2" w:rsidRPr="0011485B">
        <w:t>committee on Goods</w:t>
      </w:r>
      <w:r w:rsidR="00750746" w:rsidRPr="0011485B">
        <w:t xml:space="preserve"> may establish technical working groups to consider any matter relating to this Chapter that creates disruption or may affect trade in goods between the Parties. </w:t>
      </w:r>
      <w:r w:rsidR="00750746" w:rsidRPr="00415F59">
        <w:t>Any technical working group established shall report to the</w:t>
      </w:r>
      <w:r w:rsidR="00F33CE2" w:rsidRPr="00415F59">
        <w:t xml:space="preserve"> Subcommittee on Goods</w:t>
      </w:r>
      <w:r w:rsidR="00750746" w:rsidRPr="00415F59">
        <w:t xml:space="preserve"> on</w:t>
      </w:r>
      <w:r w:rsidR="002506B7" w:rsidRPr="00415F59">
        <w:t xml:space="preserve"> the</w:t>
      </w:r>
      <w:r w:rsidR="00750746" w:rsidRPr="00415F59">
        <w:t xml:space="preserve"> progress of its work.</w:t>
      </w:r>
    </w:p>
    <w:p w14:paraId="274CE122" w14:textId="4B65A97F" w:rsidR="00C952F8" w:rsidRDefault="00C952F8" w:rsidP="005C02BF"/>
    <w:p w14:paraId="5C9C71B9" w14:textId="77777777" w:rsidR="00C952F8" w:rsidRDefault="00C952F8" w:rsidP="00C952F8">
      <w:pPr>
        <w:rPr>
          <w:rFonts w:ascii="Calibri" w:hAnsi="Calibri" w:cs="Calibri"/>
        </w:rPr>
      </w:pPr>
    </w:p>
    <w:p w14:paraId="1624464E" w14:textId="77777777" w:rsidR="00C952F8" w:rsidRPr="00415F59" w:rsidRDefault="00C952F8" w:rsidP="005C02BF"/>
    <w:sectPr w:rsidR="00C952F8" w:rsidRPr="00415F59" w:rsidSect="00156893">
      <w:headerReference w:type="default" r:id="rId8"/>
      <w:footerReference w:type="default" r:id="rId9"/>
      <w:pgSz w:w="11906" w:h="16838"/>
      <w:pgMar w:top="1440" w:right="1440" w:bottom="1440" w:left="144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F225F" w14:textId="77777777" w:rsidR="006820A2" w:rsidRDefault="006820A2" w:rsidP="005C02BF">
      <w:r>
        <w:separator/>
      </w:r>
    </w:p>
    <w:p w14:paraId="4D167F30" w14:textId="77777777" w:rsidR="006820A2" w:rsidRDefault="006820A2" w:rsidP="005C02BF"/>
    <w:p w14:paraId="731A24D5" w14:textId="77777777" w:rsidR="006820A2" w:rsidRDefault="006820A2" w:rsidP="005C02BF"/>
  </w:endnote>
  <w:endnote w:type="continuationSeparator" w:id="0">
    <w:p w14:paraId="2CDE2F66" w14:textId="77777777" w:rsidR="006820A2" w:rsidRDefault="006820A2" w:rsidP="005C02BF">
      <w:r>
        <w:continuationSeparator/>
      </w:r>
    </w:p>
    <w:p w14:paraId="62CD2170" w14:textId="77777777" w:rsidR="006820A2" w:rsidRDefault="006820A2" w:rsidP="005C02BF"/>
    <w:p w14:paraId="7288A72B" w14:textId="77777777" w:rsidR="006820A2" w:rsidRDefault="006820A2" w:rsidP="005C02BF"/>
  </w:endnote>
  <w:endnote w:type="continuationNotice" w:id="1">
    <w:p w14:paraId="39A7A9B8" w14:textId="77777777" w:rsidR="006820A2" w:rsidRDefault="006820A2" w:rsidP="005C02BF"/>
    <w:p w14:paraId="7026C5FE" w14:textId="77777777" w:rsidR="006820A2" w:rsidRDefault="006820A2" w:rsidP="005C02BF"/>
    <w:p w14:paraId="1A868C6C" w14:textId="77777777" w:rsidR="006820A2" w:rsidRDefault="006820A2" w:rsidP="005C0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5823C" w14:textId="79F5A44C" w:rsidR="00862866" w:rsidRDefault="00262B91" w:rsidP="001961A9">
    <w:pPr>
      <w:pStyle w:val="Footer"/>
      <w:jc w:val="center"/>
    </w:pPr>
    <w:r w:rsidRPr="005C02BF">
      <w:t xml:space="preserve">2 - </w:t>
    </w:r>
    <w:sdt>
      <w:sdtPr>
        <w:id w:val="844372791"/>
        <w:docPartObj>
          <w:docPartGallery w:val="Page Numbers (Bottom of Page)"/>
          <w:docPartUnique/>
        </w:docPartObj>
      </w:sdtPr>
      <w:sdtEndPr>
        <w:rPr>
          <w:noProof/>
        </w:rPr>
      </w:sdtEndPr>
      <w:sdtContent>
        <w:r w:rsidR="002277A6" w:rsidRPr="00F9000C">
          <w:fldChar w:fldCharType="begin"/>
        </w:r>
        <w:r w:rsidR="002277A6" w:rsidRPr="005C02BF">
          <w:instrText xml:space="preserve"> PAGE   \* MERGEFORMAT </w:instrText>
        </w:r>
        <w:r w:rsidR="002277A6" w:rsidRPr="00F9000C">
          <w:fldChar w:fldCharType="separate"/>
        </w:r>
        <w:r w:rsidR="002277A6" w:rsidRPr="002D7535">
          <w:rPr>
            <w:noProof/>
          </w:rPr>
          <w:t>2</w:t>
        </w:r>
        <w:r w:rsidR="002277A6" w:rsidRPr="00F900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A1B5B" w14:textId="77777777" w:rsidR="006820A2" w:rsidRDefault="006820A2" w:rsidP="005C02BF">
      <w:r>
        <w:separator/>
      </w:r>
    </w:p>
    <w:p w14:paraId="5F686D2A" w14:textId="77777777" w:rsidR="006820A2" w:rsidRDefault="006820A2" w:rsidP="005C02BF"/>
    <w:p w14:paraId="4430CEE1" w14:textId="77777777" w:rsidR="006820A2" w:rsidRDefault="006820A2" w:rsidP="005C02BF"/>
  </w:footnote>
  <w:footnote w:type="continuationSeparator" w:id="0">
    <w:p w14:paraId="2BB5EB03" w14:textId="77777777" w:rsidR="006820A2" w:rsidRDefault="006820A2" w:rsidP="005C02BF">
      <w:r>
        <w:continuationSeparator/>
      </w:r>
    </w:p>
    <w:p w14:paraId="7D05A781" w14:textId="77777777" w:rsidR="006820A2" w:rsidRDefault="006820A2" w:rsidP="005C02BF"/>
    <w:p w14:paraId="5CF802C3" w14:textId="77777777" w:rsidR="006820A2" w:rsidRDefault="006820A2" w:rsidP="005C02BF"/>
  </w:footnote>
  <w:footnote w:type="continuationNotice" w:id="1">
    <w:p w14:paraId="5031EB28" w14:textId="77777777" w:rsidR="006820A2" w:rsidRDefault="006820A2" w:rsidP="005C02BF"/>
    <w:p w14:paraId="26173520" w14:textId="77777777" w:rsidR="006820A2" w:rsidRDefault="006820A2" w:rsidP="005C02BF"/>
    <w:p w14:paraId="635DCD10" w14:textId="77777777" w:rsidR="006820A2" w:rsidRDefault="006820A2" w:rsidP="005C02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6B8EA" w14:textId="46659949" w:rsidR="00F900C9" w:rsidRPr="00E65E96" w:rsidRDefault="00F900C9" w:rsidP="005C02BF">
    <w:pPr>
      <w:pStyle w:val="Header"/>
    </w:pPr>
  </w:p>
  <w:p w14:paraId="639CBE2A" w14:textId="77777777" w:rsidR="00862866" w:rsidRDefault="00862866" w:rsidP="005C02BF"/>
  <w:p w14:paraId="4E325773" w14:textId="77777777" w:rsidR="00862866" w:rsidRDefault="00862866" w:rsidP="005C02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52D8F"/>
    <w:multiLevelType w:val="hybridMultilevel"/>
    <w:tmpl w:val="C0F4E408"/>
    <w:lvl w:ilvl="0" w:tplc="DCEAA0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274453"/>
    <w:multiLevelType w:val="hybridMultilevel"/>
    <w:tmpl w:val="E0A006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67335E"/>
    <w:multiLevelType w:val="multilevel"/>
    <w:tmpl w:val="A4A85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93390"/>
    <w:multiLevelType w:val="hybridMultilevel"/>
    <w:tmpl w:val="0C881932"/>
    <w:lvl w:ilvl="0" w:tplc="D5468CF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7B6BCE"/>
    <w:multiLevelType w:val="hybridMultilevel"/>
    <w:tmpl w:val="085C1E54"/>
    <w:lvl w:ilvl="0" w:tplc="5EF67BF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A35D86"/>
    <w:multiLevelType w:val="hybridMultilevel"/>
    <w:tmpl w:val="49ACC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B1FA1"/>
    <w:multiLevelType w:val="hybridMultilevel"/>
    <w:tmpl w:val="4C50080A"/>
    <w:lvl w:ilvl="0" w:tplc="EE5603DC">
      <w:start w:val="1"/>
      <w:numFmt w:val="decimal"/>
      <w:lvlText w:val="%1."/>
      <w:lvlJc w:val="left"/>
      <w:pPr>
        <w:tabs>
          <w:tab w:val="num" w:pos="2880"/>
        </w:tabs>
        <w:ind w:left="2880" w:hanging="360"/>
      </w:pPr>
      <w:rPr>
        <w:rFonts w:cs="Times New Roman" w:hint="default"/>
        <w:b w:val="0"/>
        <w:i w:val="0"/>
        <w:color w:val="auto"/>
      </w:rPr>
    </w:lvl>
    <w:lvl w:ilvl="1" w:tplc="68A27746">
      <w:start w:val="1"/>
      <w:numFmt w:val="lowerLetter"/>
      <w:lvlText w:val="(%2)"/>
      <w:lvlJc w:val="left"/>
      <w:pPr>
        <w:tabs>
          <w:tab w:val="num" w:pos="3915"/>
        </w:tabs>
        <w:ind w:left="3915" w:hanging="675"/>
      </w:pPr>
      <w:rPr>
        <w:rFonts w:cs="Times New Roman" w:hint="default"/>
        <w:b w:val="0"/>
        <w:i w:val="0"/>
      </w:rPr>
    </w:lvl>
    <w:lvl w:ilvl="2" w:tplc="39C00768">
      <w:start w:val="1"/>
      <w:numFmt w:val="lowerRoman"/>
      <w:lvlText w:val="%3)"/>
      <w:lvlJc w:val="left"/>
      <w:pPr>
        <w:tabs>
          <w:tab w:val="num" w:pos="4860"/>
        </w:tabs>
        <w:ind w:left="4860" w:hanging="720"/>
      </w:pPr>
      <w:rPr>
        <w:rFonts w:cs="Times New Roman" w:hint="default"/>
        <w:color w:val="auto"/>
      </w:rPr>
    </w:lvl>
    <w:lvl w:ilvl="3" w:tplc="0C0A000F" w:tentative="1">
      <w:start w:val="1"/>
      <w:numFmt w:val="decimal"/>
      <w:lvlText w:val="%4."/>
      <w:lvlJc w:val="left"/>
      <w:pPr>
        <w:tabs>
          <w:tab w:val="num" w:pos="5040"/>
        </w:tabs>
        <w:ind w:left="5040" w:hanging="360"/>
      </w:pPr>
      <w:rPr>
        <w:rFonts w:cs="Times New Roman"/>
      </w:rPr>
    </w:lvl>
    <w:lvl w:ilvl="4" w:tplc="0C0A0019" w:tentative="1">
      <w:start w:val="1"/>
      <w:numFmt w:val="lowerLetter"/>
      <w:lvlText w:val="%5."/>
      <w:lvlJc w:val="left"/>
      <w:pPr>
        <w:tabs>
          <w:tab w:val="num" w:pos="5760"/>
        </w:tabs>
        <w:ind w:left="5760" w:hanging="360"/>
      </w:pPr>
      <w:rPr>
        <w:rFonts w:cs="Times New Roman"/>
      </w:rPr>
    </w:lvl>
    <w:lvl w:ilvl="5" w:tplc="0C0A001B" w:tentative="1">
      <w:start w:val="1"/>
      <w:numFmt w:val="lowerRoman"/>
      <w:lvlText w:val="%6."/>
      <w:lvlJc w:val="right"/>
      <w:pPr>
        <w:tabs>
          <w:tab w:val="num" w:pos="6480"/>
        </w:tabs>
        <w:ind w:left="6480" w:hanging="180"/>
      </w:pPr>
      <w:rPr>
        <w:rFonts w:cs="Times New Roman"/>
      </w:rPr>
    </w:lvl>
    <w:lvl w:ilvl="6" w:tplc="0C0A000F" w:tentative="1">
      <w:start w:val="1"/>
      <w:numFmt w:val="decimal"/>
      <w:lvlText w:val="%7."/>
      <w:lvlJc w:val="left"/>
      <w:pPr>
        <w:tabs>
          <w:tab w:val="num" w:pos="7200"/>
        </w:tabs>
        <w:ind w:left="7200" w:hanging="360"/>
      </w:pPr>
      <w:rPr>
        <w:rFonts w:cs="Times New Roman"/>
      </w:rPr>
    </w:lvl>
    <w:lvl w:ilvl="7" w:tplc="0C0A0019" w:tentative="1">
      <w:start w:val="1"/>
      <w:numFmt w:val="lowerLetter"/>
      <w:lvlText w:val="%8."/>
      <w:lvlJc w:val="left"/>
      <w:pPr>
        <w:tabs>
          <w:tab w:val="num" w:pos="7920"/>
        </w:tabs>
        <w:ind w:left="7920" w:hanging="360"/>
      </w:pPr>
      <w:rPr>
        <w:rFonts w:cs="Times New Roman"/>
      </w:rPr>
    </w:lvl>
    <w:lvl w:ilvl="8" w:tplc="0C0A001B" w:tentative="1">
      <w:start w:val="1"/>
      <w:numFmt w:val="lowerRoman"/>
      <w:lvlText w:val="%9."/>
      <w:lvlJc w:val="right"/>
      <w:pPr>
        <w:tabs>
          <w:tab w:val="num" w:pos="8640"/>
        </w:tabs>
        <w:ind w:left="8640" w:hanging="180"/>
      </w:pPr>
      <w:rPr>
        <w:rFonts w:cs="Times New Roman"/>
      </w:rPr>
    </w:lvl>
  </w:abstractNum>
  <w:abstractNum w:abstractNumId="7" w15:restartNumberingAfterBreak="0">
    <w:nsid w:val="27C57473"/>
    <w:multiLevelType w:val="hybridMultilevel"/>
    <w:tmpl w:val="48869C90"/>
    <w:lvl w:ilvl="0" w:tplc="5EF67B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061024"/>
    <w:multiLevelType w:val="hybridMultilevel"/>
    <w:tmpl w:val="C778C49A"/>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0F26561"/>
    <w:multiLevelType w:val="hybridMultilevel"/>
    <w:tmpl w:val="C0F4E408"/>
    <w:lvl w:ilvl="0" w:tplc="DCEAA0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7145F9"/>
    <w:multiLevelType w:val="hybridMultilevel"/>
    <w:tmpl w:val="48869C90"/>
    <w:lvl w:ilvl="0" w:tplc="5EF67B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EA1765"/>
    <w:multiLevelType w:val="multilevel"/>
    <w:tmpl w:val="564CF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C451C4"/>
    <w:multiLevelType w:val="hybridMultilevel"/>
    <w:tmpl w:val="48869C90"/>
    <w:lvl w:ilvl="0" w:tplc="5EF67B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7C3EA0"/>
    <w:multiLevelType w:val="hybridMultilevel"/>
    <w:tmpl w:val="DCD0B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8864E6"/>
    <w:multiLevelType w:val="hybridMultilevel"/>
    <w:tmpl w:val="241A68D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1F32DF"/>
    <w:multiLevelType w:val="multilevel"/>
    <w:tmpl w:val="883E5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6C3C48"/>
    <w:multiLevelType w:val="hybridMultilevel"/>
    <w:tmpl w:val="122A2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783F4D"/>
    <w:multiLevelType w:val="hybridMultilevel"/>
    <w:tmpl w:val="DCD0B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62082F"/>
    <w:multiLevelType w:val="hybridMultilevel"/>
    <w:tmpl w:val="485A3AB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7D2F4054"/>
    <w:multiLevelType w:val="hybridMultilevel"/>
    <w:tmpl w:val="578025F8"/>
    <w:lvl w:ilvl="0" w:tplc="DF369AF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F7918CB"/>
    <w:multiLevelType w:val="hybridMultilevel"/>
    <w:tmpl w:val="48869C90"/>
    <w:lvl w:ilvl="0" w:tplc="5EF67B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5"/>
  </w:num>
  <w:num w:numId="3">
    <w:abstractNumId w:val="16"/>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5"/>
  </w:num>
  <w:num w:numId="8">
    <w:abstractNumId w:val="2"/>
  </w:num>
  <w:num w:numId="9">
    <w:abstractNumId w:val="11"/>
  </w:num>
  <w:num w:numId="10">
    <w:abstractNumId w:val="17"/>
  </w:num>
  <w:num w:numId="11">
    <w:abstractNumId w:val="0"/>
  </w:num>
  <w:num w:numId="12">
    <w:abstractNumId w:val="13"/>
  </w:num>
  <w:num w:numId="13">
    <w:abstractNumId w:val="7"/>
  </w:num>
  <w:num w:numId="14">
    <w:abstractNumId w:val="10"/>
  </w:num>
  <w:num w:numId="15">
    <w:abstractNumId w:val="12"/>
  </w:num>
  <w:num w:numId="16">
    <w:abstractNumId w:val="20"/>
  </w:num>
  <w:num w:numId="17">
    <w:abstractNumId w:val="4"/>
  </w:num>
  <w:num w:numId="18">
    <w:abstractNumId w:val="9"/>
  </w:num>
  <w:num w:numId="19">
    <w:abstractNumId w:val="14"/>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1D"/>
    <w:rsid w:val="00017227"/>
    <w:rsid w:val="00040859"/>
    <w:rsid w:val="0005380E"/>
    <w:rsid w:val="00053EFD"/>
    <w:rsid w:val="00065454"/>
    <w:rsid w:val="00065A48"/>
    <w:rsid w:val="00065D79"/>
    <w:rsid w:val="00086C54"/>
    <w:rsid w:val="000B0E9B"/>
    <w:rsid w:val="000B5C19"/>
    <w:rsid w:val="000C6FAC"/>
    <w:rsid w:val="000D546F"/>
    <w:rsid w:val="000F6A39"/>
    <w:rsid w:val="00112310"/>
    <w:rsid w:val="0011485B"/>
    <w:rsid w:val="00122DC3"/>
    <w:rsid w:val="0012654A"/>
    <w:rsid w:val="00127F85"/>
    <w:rsid w:val="00137A1D"/>
    <w:rsid w:val="00144B64"/>
    <w:rsid w:val="00152B62"/>
    <w:rsid w:val="00156893"/>
    <w:rsid w:val="0015761A"/>
    <w:rsid w:val="00165C53"/>
    <w:rsid w:val="00170A65"/>
    <w:rsid w:val="0017231F"/>
    <w:rsid w:val="00183E3B"/>
    <w:rsid w:val="00194C69"/>
    <w:rsid w:val="001961A9"/>
    <w:rsid w:val="001B275B"/>
    <w:rsid w:val="001C0CE5"/>
    <w:rsid w:val="001C4129"/>
    <w:rsid w:val="001D4996"/>
    <w:rsid w:val="001D4DD3"/>
    <w:rsid w:val="001D5452"/>
    <w:rsid w:val="001E579C"/>
    <w:rsid w:val="001E6207"/>
    <w:rsid w:val="001F0DDB"/>
    <w:rsid w:val="002149A9"/>
    <w:rsid w:val="002277A6"/>
    <w:rsid w:val="00234D33"/>
    <w:rsid w:val="002506B7"/>
    <w:rsid w:val="00262B91"/>
    <w:rsid w:val="002674F4"/>
    <w:rsid w:val="002743F2"/>
    <w:rsid w:val="00277727"/>
    <w:rsid w:val="002805A6"/>
    <w:rsid w:val="00281723"/>
    <w:rsid w:val="002B18BD"/>
    <w:rsid w:val="002B5487"/>
    <w:rsid w:val="002C6877"/>
    <w:rsid w:val="002D7535"/>
    <w:rsid w:val="003121F4"/>
    <w:rsid w:val="00320487"/>
    <w:rsid w:val="003232F4"/>
    <w:rsid w:val="003313CC"/>
    <w:rsid w:val="003322CE"/>
    <w:rsid w:val="00343198"/>
    <w:rsid w:val="00343C9C"/>
    <w:rsid w:val="00344CE7"/>
    <w:rsid w:val="0039160E"/>
    <w:rsid w:val="003939A2"/>
    <w:rsid w:val="00395A27"/>
    <w:rsid w:val="00397B15"/>
    <w:rsid w:val="003A2E9E"/>
    <w:rsid w:val="003D7112"/>
    <w:rsid w:val="00415F59"/>
    <w:rsid w:val="0042788F"/>
    <w:rsid w:val="00437630"/>
    <w:rsid w:val="004471FB"/>
    <w:rsid w:val="00455197"/>
    <w:rsid w:val="004664D5"/>
    <w:rsid w:val="0047323A"/>
    <w:rsid w:val="00475CF5"/>
    <w:rsid w:val="004860AC"/>
    <w:rsid w:val="004862E2"/>
    <w:rsid w:val="00492483"/>
    <w:rsid w:val="0049332E"/>
    <w:rsid w:val="004B6276"/>
    <w:rsid w:val="004C2597"/>
    <w:rsid w:val="004D5073"/>
    <w:rsid w:val="004D6475"/>
    <w:rsid w:val="004E1419"/>
    <w:rsid w:val="004E1F59"/>
    <w:rsid w:val="004F2433"/>
    <w:rsid w:val="005109CB"/>
    <w:rsid w:val="005115E0"/>
    <w:rsid w:val="00517E84"/>
    <w:rsid w:val="005219D1"/>
    <w:rsid w:val="0053355B"/>
    <w:rsid w:val="00534BE1"/>
    <w:rsid w:val="00536411"/>
    <w:rsid w:val="00543703"/>
    <w:rsid w:val="0056067F"/>
    <w:rsid w:val="0059058C"/>
    <w:rsid w:val="005A0480"/>
    <w:rsid w:val="005B0BD6"/>
    <w:rsid w:val="005C02BF"/>
    <w:rsid w:val="005C5490"/>
    <w:rsid w:val="005F68A1"/>
    <w:rsid w:val="00605BE3"/>
    <w:rsid w:val="006063A8"/>
    <w:rsid w:val="00622747"/>
    <w:rsid w:val="00624562"/>
    <w:rsid w:val="00637BA0"/>
    <w:rsid w:val="00644F42"/>
    <w:rsid w:val="006642DF"/>
    <w:rsid w:val="00665C22"/>
    <w:rsid w:val="00672323"/>
    <w:rsid w:val="00676502"/>
    <w:rsid w:val="0068086A"/>
    <w:rsid w:val="006810A6"/>
    <w:rsid w:val="006820A2"/>
    <w:rsid w:val="0068571B"/>
    <w:rsid w:val="00695AEF"/>
    <w:rsid w:val="006D6C6C"/>
    <w:rsid w:val="006D6E7B"/>
    <w:rsid w:val="006D7155"/>
    <w:rsid w:val="006E0AE1"/>
    <w:rsid w:val="006F473A"/>
    <w:rsid w:val="006F5296"/>
    <w:rsid w:val="006F57CD"/>
    <w:rsid w:val="007231DB"/>
    <w:rsid w:val="00723204"/>
    <w:rsid w:val="007315A8"/>
    <w:rsid w:val="00741B55"/>
    <w:rsid w:val="007440BC"/>
    <w:rsid w:val="00750746"/>
    <w:rsid w:val="007539ED"/>
    <w:rsid w:val="0075544D"/>
    <w:rsid w:val="0076575B"/>
    <w:rsid w:val="00770A4F"/>
    <w:rsid w:val="007714BF"/>
    <w:rsid w:val="0077401A"/>
    <w:rsid w:val="00775345"/>
    <w:rsid w:val="00777A17"/>
    <w:rsid w:val="00784B49"/>
    <w:rsid w:val="007921D7"/>
    <w:rsid w:val="007B08E9"/>
    <w:rsid w:val="007B18F5"/>
    <w:rsid w:val="007B1CFB"/>
    <w:rsid w:val="007C6539"/>
    <w:rsid w:val="007C6ED1"/>
    <w:rsid w:val="007E0200"/>
    <w:rsid w:val="00804696"/>
    <w:rsid w:val="00806C10"/>
    <w:rsid w:val="008261B3"/>
    <w:rsid w:val="008444EC"/>
    <w:rsid w:val="00862866"/>
    <w:rsid w:val="00867E85"/>
    <w:rsid w:val="00881290"/>
    <w:rsid w:val="00882246"/>
    <w:rsid w:val="00892C2B"/>
    <w:rsid w:val="00897EDB"/>
    <w:rsid w:val="008B5609"/>
    <w:rsid w:val="008C6D75"/>
    <w:rsid w:val="008E3E2B"/>
    <w:rsid w:val="008E57BB"/>
    <w:rsid w:val="008E725A"/>
    <w:rsid w:val="008F5272"/>
    <w:rsid w:val="009000EE"/>
    <w:rsid w:val="0090695C"/>
    <w:rsid w:val="0092109A"/>
    <w:rsid w:val="00921759"/>
    <w:rsid w:val="00921A57"/>
    <w:rsid w:val="00943B3B"/>
    <w:rsid w:val="00947554"/>
    <w:rsid w:val="00953167"/>
    <w:rsid w:val="00981EC9"/>
    <w:rsid w:val="0098232D"/>
    <w:rsid w:val="00983184"/>
    <w:rsid w:val="009A1CDA"/>
    <w:rsid w:val="009A5253"/>
    <w:rsid w:val="009B2D08"/>
    <w:rsid w:val="009D6224"/>
    <w:rsid w:val="009E096F"/>
    <w:rsid w:val="009E7669"/>
    <w:rsid w:val="00A045B4"/>
    <w:rsid w:val="00A16EDC"/>
    <w:rsid w:val="00A17739"/>
    <w:rsid w:val="00A21645"/>
    <w:rsid w:val="00A31AF7"/>
    <w:rsid w:val="00A33EE6"/>
    <w:rsid w:val="00A35E7A"/>
    <w:rsid w:val="00A36945"/>
    <w:rsid w:val="00A41F42"/>
    <w:rsid w:val="00A456CE"/>
    <w:rsid w:val="00A47AC2"/>
    <w:rsid w:val="00A50B3E"/>
    <w:rsid w:val="00A67FA8"/>
    <w:rsid w:val="00A73367"/>
    <w:rsid w:val="00A744F8"/>
    <w:rsid w:val="00A8136D"/>
    <w:rsid w:val="00A87E4E"/>
    <w:rsid w:val="00A91E1E"/>
    <w:rsid w:val="00A94EAA"/>
    <w:rsid w:val="00AB7D6B"/>
    <w:rsid w:val="00AC38B8"/>
    <w:rsid w:val="00AC72C2"/>
    <w:rsid w:val="00AC7376"/>
    <w:rsid w:val="00AD382D"/>
    <w:rsid w:val="00AF416B"/>
    <w:rsid w:val="00B00917"/>
    <w:rsid w:val="00B10F2E"/>
    <w:rsid w:val="00B148BC"/>
    <w:rsid w:val="00B16DF0"/>
    <w:rsid w:val="00B20098"/>
    <w:rsid w:val="00B47276"/>
    <w:rsid w:val="00B64622"/>
    <w:rsid w:val="00B81FA8"/>
    <w:rsid w:val="00B83186"/>
    <w:rsid w:val="00B9657D"/>
    <w:rsid w:val="00B96985"/>
    <w:rsid w:val="00BC082D"/>
    <w:rsid w:val="00BC592F"/>
    <w:rsid w:val="00BD0FA5"/>
    <w:rsid w:val="00BD1074"/>
    <w:rsid w:val="00BE395E"/>
    <w:rsid w:val="00BE3FE5"/>
    <w:rsid w:val="00BE46D7"/>
    <w:rsid w:val="00BE7CF9"/>
    <w:rsid w:val="00C01DD1"/>
    <w:rsid w:val="00C04AF5"/>
    <w:rsid w:val="00C12E6C"/>
    <w:rsid w:val="00C22793"/>
    <w:rsid w:val="00C33A18"/>
    <w:rsid w:val="00C3765C"/>
    <w:rsid w:val="00C51855"/>
    <w:rsid w:val="00C63897"/>
    <w:rsid w:val="00C81B58"/>
    <w:rsid w:val="00C83897"/>
    <w:rsid w:val="00C867D3"/>
    <w:rsid w:val="00C952F8"/>
    <w:rsid w:val="00CB1A4B"/>
    <w:rsid w:val="00CB7AB9"/>
    <w:rsid w:val="00CC1500"/>
    <w:rsid w:val="00CD06B6"/>
    <w:rsid w:val="00CD676B"/>
    <w:rsid w:val="00CF0F10"/>
    <w:rsid w:val="00CF5FB9"/>
    <w:rsid w:val="00D00BB6"/>
    <w:rsid w:val="00D107A7"/>
    <w:rsid w:val="00D12BD7"/>
    <w:rsid w:val="00D16E20"/>
    <w:rsid w:val="00D415BB"/>
    <w:rsid w:val="00D4294E"/>
    <w:rsid w:val="00D4527A"/>
    <w:rsid w:val="00D45514"/>
    <w:rsid w:val="00D524A6"/>
    <w:rsid w:val="00D526EB"/>
    <w:rsid w:val="00D73513"/>
    <w:rsid w:val="00D77CDB"/>
    <w:rsid w:val="00D80AF9"/>
    <w:rsid w:val="00D97A3F"/>
    <w:rsid w:val="00DA240F"/>
    <w:rsid w:val="00DB1510"/>
    <w:rsid w:val="00DB5FCB"/>
    <w:rsid w:val="00DB6759"/>
    <w:rsid w:val="00DC152A"/>
    <w:rsid w:val="00DC1AF9"/>
    <w:rsid w:val="00DC66D4"/>
    <w:rsid w:val="00DD04A9"/>
    <w:rsid w:val="00DE1492"/>
    <w:rsid w:val="00E020AB"/>
    <w:rsid w:val="00E23B09"/>
    <w:rsid w:val="00E41F9A"/>
    <w:rsid w:val="00E45337"/>
    <w:rsid w:val="00E61235"/>
    <w:rsid w:val="00E65E96"/>
    <w:rsid w:val="00E71D72"/>
    <w:rsid w:val="00E73C79"/>
    <w:rsid w:val="00E75571"/>
    <w:rsid w:val="00EC2797"/>
    <w:rsid w:val="00ED0ADB"/>
    <w:rsid w:val="00ED1328"/>
    <w:rsid w:val="00F0373B"/>
    <w:rsid w:val="00F0546D"/>
    <w:rsid w:val="00F100F4"/>
    <w:rsid w:val="00F33CE2"/>
    <w:rsid w:val="00F47096"/>
    <w:rsid w:val="00F56AE5"/>
    <w:rsid w:val="00F619B7"/>
    <w:rsid w:val="00F619B8"/>
    <w:rsid w:val="00F765D6"/>
    <w:rsid w:val="00F9000C"/>
    <w:rsid w:val="00F900C9"/>
    <w:rsid w:val="00F93D96"/>
    <w:rsid w:val="00FA66A2"/>
    <w:rsid w:val="00FC1199"/>
    <w:rsid w:val="00FD047B"/>
    <w:rsid w:val="00FE4E7B"/>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AC8C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BF"/>
    <w:pPr>
      <w:spacing w:after="0"/>
      <w:ind w:left="709" w:hanging="709"/>
      <w:jc w:val="both"/>
    </w:pPr>
    <w:rPr>
      <w:rFonts w:ascii="Arial" w:hAnsi="Arial" w:cs="Arial"/>
      <w:sz w:val="24"/>
      <w:szCs w:val="24"/>
    </w:rPr>
  </w:style>
  <w:style w:type="paragraph" w:styleId="Heading1">
    <w:name w:val="heading 1"/>
    <w:basedOn w:val="Normal"/>
    <w:next w:val="Normal"/>
    <w:link w:val="Heading1Char"/>
    <w:qFormat/>
    <w:rsid w:val="005C02BF"/>
    <w:pPr>
      <w:keepNext/>
      <w:spacing w:line="240" w:lineRule="auto"/>
      <w:jc w:val="center"/>
      <w:outlineLvl w:val="0"/>
    </w:pPr>
    <w:rPr>
      <w:rFonts w:eastAsia="MS Mincho"/>
      <w:b/>
      <w:bCs/>
      <w:caps/>
      <w:kern w:val="32"/>
      <w:lang w:eastAsia="en-AU"/>
    </w:rPr>
  </w:style>
  <w:style w:type="paragraph" w:styleId="Heading2">
    <w:name w:val="heading 2"/>
    <w:basedOn w:val="Normal"/>
    <w:next w:val="Normal"/>
    <w:link w:val="Heading2Char"/>
    <w:qFormat/>
    <w:rsid w:val="005C02BF"/>
    <w:pPr>
      <w:keepNext/>
      <w:spacing w:line="240" w:lineRule="auto"/>
      <w:ind w:left="0" w:firstLine="0"/>
      <w:jc w:val="center"/>
      <w:outlineLvl w:val="1"/>
    </w:pPr>
    <w:rPr>
      <w:rFonts w:eastAsia="MS Mincho"/>
      <w:b/>
      <w:bCs/>
      <w:iCs/>
      <w:kern w:val="2"/>
      <w:szCs w:val="28"/>
      <w:lang w:val="en-US" w:eastAsia="ja-JP"/>
    </w:rPr>
  </w:style>
  <w:style w:type="paragraph" w:styleId="Heading3">
    <w:name w:val="heading 3"/>
    <w:basedOn w:val="Normal"/>
    <w:link w:val="Heading3Char"/>
    <w:uiPriority w:val="9"/>
    <w:qFormat/>
    <w:rsid w:val="00EC279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37A1D"/>
    <w:pPr>
      <w:tabs>
        <w:tab w:val="left" w:pos="720"/>
        <w:tab w:val="left" w:pos="1440"/>
        <w:tab w:val="left" w:pos="2160"/>
      </w:tabs>
      <w:spacing w:after="240" w:line="240" w:lineRule="auto"/>
    </w:pPr>
    <w:rPr>
      <w:rFonts w:ascii="Times New Roman" w:eastAsia="Batang" w:hAnsi="Times New Roman"/>
      <w:lang w:val="en-US" w:eastAsia="es-ES"/>
    </w:rPr>
  </w:style>
  <w:style w:type="character" w:styleId="CommentReference">
    <w:name w:val="annotation reference"/>
    <w:basedOn w:val="DefaultParagraphFont"/>
    <w:uiPriority w:val="99"/>
    <w:semiHidden/>
    <w:unhideWhenUsed/>
    <w:rsid w:val="00137A1D"/>
    <w:rPr>
      <w:sz w:val="16"/>
      <w:szCs w:val="16"/>
    </w:rPr>
  </w:style>
  <w:style w:type="paragraph" w:styleId="CommentText">
    <w:name w:val="annotation text"/>
    <w:basedOn w:val="Normal"/>
    <w:link w:val="CommentTextChar"/>
    <w:uiPriority w:val="99"/>
    <w:unhideWhenUsed/>
    <w:rsid w:val="00137A1D"/>
    <w:pPr>
      <w:spacing w:line="240" w:lineRule="auto"/>
    </w:pPr>
    <w:rPr>
      <w:sz w:val="20"/>
      <w:szCs w:val="20"/>
    </w:rPr>
  </w:style>
  <w:style w:type="character" w:customStyle="1" w:styleId="CommentTextChar">
    <w:name w:val="Comment Text Char"/>
    <w:basedOn w:val="DefaultParagraphFont"/>
    <w:link w:val="CommentText"/>
    <w:uiPriority w:val="99"/>
    <w:rsid w:val="00137A1D"/>
    <w:rPr>
      <w:sz w:val="20"/>
      <w:szCs w:val="20"/>
    </w:rPr>
  </w:style>
  <w:style w:type="paragraph" w:styleId="Header">
    <w:name w:val="header"/>
    <w:basedOn w:val="Normal"/>
    <w:link w:val="HeaderChar"/>
    <w:uiPriority w:val="99"/>
    <w:unhideWhenUsed/>
    <w:rsid w:val="00137A1D"/>
    <w:pPr>
      <w:tabs>
        <w:tab w:val="center" w:pos="4513"/>
        <w:tab w:val="right" w:pos="9026"/>
      </w:tabs>
      <w:spacing w:line="240" w:lineRule="auto"/>
    </w:pPr>
  </w:style>
  <w:style w:type="character" w:customStyle="1" w:styleId="HeaderChar">
    <w:name w:val="Header Char"/>
    <w:basedOn w:val="DefaultParagraphFont"/>
    <w:link w:val="Header"/>
    <w:uiPriority w:val="99"/>
    <w:rsid w:val="00137A1D"/>
  </w:style>
  <w:style w:type="paragraph" w:styleId="Footer">
    <w:name w:val="footer"/>
    <w:basedOn w:val="Normal"/>
    <w:link w:val="FooterChar"/>
    <w:uiPriority w:val="99"/>
    <w:unhideWhenUsed/>
    <w:rsid w:val="00137A1D"/>
    <w:pPr>
      <w:tabs>
        <w:tab w:val="center" w:pos="4513"/>
        <w:tab w:val="right" w:pos="9026"/>
      </w:tabs>
      <w:spacing w:line="240" w:lineRule="auto"/>
    </w:pPr>
  </w:style>
  <w:style w:type="character" w:customStyle="1" w:styleId="FooterChar">
    <w:name w:val="Footer Char"/>
    <w:basedOn w:val="DefaultParagraphFont"/>
    <w:link w:val="Footer"/>
    <w:uiPriority w:val="99"/>
    <w:rsid w:val="00137A1D"/>
  </w:style>
  <w:style w:type="paragraph" w:customStyle="1" w:styleId="Default">
    <w:name w:val="Default"/>
    <w:uiPriority w:val="99"/>
    <w:rsid w:val="00137A1D"/>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CommentSubject">
    <w:name w:val="annotation subject"/>
    <w:basedOn w:val="CommentText"/>
    <w:next w:val="CommentText"/>
    <w:link w:val="CommentSubjectChar"/>
    <w:uiPriority w:val="99"/>
    <w:semiHidden/>
    <w:unhideWhenUsed/>
    <w:rsid w:val="001C4129"/>
    <w:rPr>
      <w:b/>
      <w:bCs/>
    </w:rPr>
  </w:style>
  <w:style w:type="character" w:customStyle="1" w:styleId="CommentSubjectChar">
    <w:name w:val="Comment Subject Char"/>
    <w:basedOn w:val="CommentTextChar"/>
    <w:link w:val="CommentSubject"/>
    <w:uiPriority w:val="99"/>
    <w:semiHidden/>
    <w:rsid w:val="001C4129"/>
    <w:rPr>
      <w:b/>
      <w:bCs/>
      <w:sz w:val="20"/>
      <w:szCs w:val="20"/>
    </w:rPr>
  </w:style>
  <w:style w:type="character" w:styleId="FootnoteReference">
    <w:name w:val="footnote reference"/>
    <w:aliases w:val="Ref,de nota al pie"/>
    <w:uiPriority w:val="99"/>
    <w:rsid w:val="00B47276"/>
    <w:rPr>
      <w:vertAlign w:val="superscript"/>
    </w:rPr>
  </w:style>
  <w:style w:type="paragraph" w:styleId="ListParagraph">
    <w:name w:val="List Paragraph"/>
    <w:aliases w:val="Recommendation,List Paragraph11,L,F5 List Paragraph,Dot pt,CV text,Table text,List Paragraph111,Medium Grid 1 - Accent 21,Numbered Paragraph,List Paragraph2,Bulleted Para,NFP GP Bulleted List,FooterText,numbered,列出段落,列出段落1,List Paragraph1"/>
    <w:basedOn w:val="Normal"/>
    <w:link w:val="ListParagraphChar"/>
    <w:uiPriority w:val="34"/>
    <w:qFormat/>
    <w:rsid w:val="0011485B"/>
    <w:pPr>
      <w:ind w:firstLine="0"/>
      <w:contextualSpacing/>
    </w:pPr>
  </w:style>
  <w:style w:type="paragraph" w:styleId="Revision">
    <w:name w:val="Revision"/>
    <w:hidden/>
    <w:uiPriority w:val="99"/>
    <w:semiHidden/>
    <w:rsid w:val="00E71D72"/>
    <w:pPr>
      <w:spacing w:after="0" w:line="240" w:lineRule="auto"/>
    </w:pPr>
  </w:style>
  <w:style w:type="character" w:customStyle="1" w:styleId="Heading3Char">
    <w:name w:val="Heading 3 Char"/>
    <w:basedOn w:val="DefaultParagraphFont"/>
    <w:link w:val="Heading3"/>
    <w:uiPriority w:val="9"/>
    <w:rsid w:val="00EC2797"/>
    <w:rPr>
      <w:rFonts w:ascii="Times New Roman" w:eastAsia="Times New Roman" w:hAnsi="Times New Roman" w:cs="Times New Roman"/>
      <w:b/>
      <w:bCs/>
      <w:sz w:val="27"/>
      <w:szCs w:val="27"/>
      <w:lang w:eastAsia="en-AU"/>
    </w:rPr>
  </w:style>
  <w:style w:type="paragraph" w:styleId="NoSpacing">
    <w:name w:val="No Spacing"/>
    <w:uiPriority w:val="1"/>
    <w:qFormat/>
    <w:rsid w:val="00053EFD"/>
    <w:pPr>
      <w:spacing w:after="0" w:line="240" w:lineRule="auto"/>
    </w:pPr>
  </w:style>
  <w:style w:type="paragraph" w:styleId="BalloonText">
    <w:name w:val="Balloon Text"/>
    <w:basedOn w:val="Normal"/>
    <w:link w:val="BalloonTextChar"/>
    <w:uiPriority w:val="99"/>
    <w:semiHidden/>
    <w:unhideWhenUsed/>
    <w:rsid w:val="002149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9A9"/>
    <w:rPr>
      <w:rFonts w:ascii="Segoe UI" w:hAnsi="Segoe UI" w:cs="Segoe UI"/>
      <w:sz w:val="18"/>
      <w:szCs w:val="18"/>
    </w:rPr>
  </w:style>
  <w:style w:type="paragraph" w:styleId="FootnoteText">
    <w:name w:val="footnote text"/>
    <w:aliases w:val="fn Char,footnote text Char,Footnotes Char,Footnote ak Char,fn,footnote text,Footnotes,Footnote ak,Footnote Text Char1 Char,Footnote Text Char Char Char,fn Char Char Char,footnote text Char Char Char,fn Char1 Char,Footnote Text Char1,f"/>
    <w:basedOn w:val="Normal"/>
    <w:link w:val="FootnoteTextChar"/>
    <w:unhideWhenUsed/>
    <w:rsid w:val="00624562"/>
    <w:pPr>
      <w:spacing w:line="240" w:lineRule="auto"/>
    </w:pPr>
    <w:rPr>
      <w:sz w:val="20"/>
      <w:szCs w:val="20"/>
    </w:rPr>
  </w:style>
  <w:style w:type="character" w:customStyle="1" w:styleId="FootnoteTextChar">
    <w:name w:val="Footnote Text Char"/>
    <w:aliases w:val="fn Char Char,footnote text Char Char,Footnotes Char Char,Footnote ak Char Char,fn Char1,footnote text Char1,Footnotes Char1,Footnote ak Char1,Footnote Text Char1 Char Char,Footnote Text Char Char Char Char,fn Char Char Char Char"/>
    <w:basedOn w:val="DefaultParagraphFont"/>
    <w:link w:val="FootnoteText"/>
    <w:rsid w:val="00624562"/>
    <w:rPr>
      <w:sz w:val="20"/>
      <w:szCs w:val="20"/>
    </w:rPr>
  </w:style>
  <w:style w:type="character" w:customStyle="1" w:styleId="Heading2Char">
    <w:name w:val="Heading 2 Char"/>
    <w:basedOn w:val="DefaultParagraphFont"/>
    <w:link w:val="Heading2"/>
    <w:rsid w:val="005C02BF"/>
    <w:rPr>
      <w:rFonts w:ascii="Arial" w:eastAsia="MS Mincho" w:hAnsi="Arial" w:cs="Arial"/>
      <w:b/>
      <w:bCs/>
      <w:iCs/>
      <w:kern w:val="2"/>
      <w:sz w:val="24"/>
      <w:szCs w:val="28"/>
      <w:lang w:val="en-US" w:eastAsia="ja-JP"/>
    </w:rPr>
  </w:style>
  <w:style w:type="paragraph" w:customStyle="1" w:styleId="Articlename">
    <w:name w:val="Article name"/>
    <w:basedOn w:val="Normal"/>
    <w:rsid w:val="00983184"/>
    <w:pPr>
      <w:spacing w:after="240" w:line="240" w:lineRule="auto"/>
    </w:pPr>
    <w:rPr>
      <w:rFonts w:ascii="Times New Roman" w:eastAsia="Batang" w:hAnsi="Times New Roman" w:cs="Times New Roman"/>
      <w:smallCaps/>
      <w:lang w:val="en-US" w:eastAsia="es-ES"/>
    </w:rPr>
  </w:style>
  <w:style w:type="paragraph" w:styleId="BodyText">
    <w:name w:val="Body Text"/>
    <w:basedOn w:val="Normal"/>
    <w:link w:val="BodyTextChar"/>
    <w:uiPriority w:val="99"/>
    <w:unhideWhenUsed/>
    <w:rsid w:val="00983184"/>
    <w:pPr>
      <w:spacing w:after="120" w:line="240" w:lineRule="auto"/>
    </w:pPr>
    <w:rPr>
      <w:rFonts w:ascii="Times New Roman" w:eastAsia="Batang" w:hAnsi="Times New Roman" w:cs="Times New Roman"/>
      <w:lang w:val="en-US" w:eastAsia="es-ES"/>
    </w:rPr>
  </w:style>
  <w:style w:type="character" w:customStyle="1" w:styleId="BodyTextChar">
    <w:name w:val="Body Text Char"/>
    <w:basedOn w:val="DefaultParagraphFont"/>
    <w:link w:val="BodyText"/>
    <w:uiPriority w:val="99"/>
    <w:rsid w:val="00983184"/>
    <w:rPr>
      <w:rFonts w:ascii="Times New Roman" w:eastAsia="Batang" w:hAnsi="Times New Roman" w:cs="Times New Roman"/>
      <w:sz w:val="24"/>
      <w:szCs w:val="24"/>
      <w:lang w:val="en-US" w:eastAsia="es-ES"/>
    </w:rPr>
  </w:style>
  <w:style w:type="character" w:customStyle="1" w:styleId="ListParagraphChar">
    <w:name w:val="List Paragraph Char"/>
    <w:aliases w:val="Recommendation Char,List Paragraph11 Char,L Char,F5 List Paragraph Char,Dot pt Char,CV text Char,Table text Char,List Paragraph111 Char,Medium Grid 1 - Accent 21 Char,Numbered Paragraph Char,List Paragraph2 Char,Bulleted Para Char"/>
    <w:link w:val="ListParagraph"/>
    <w:uiPriority w:val="34"/>
    <w:qFormat/>
    <w:locked/>
    <w:rsid w:val="0011485B"/>
    <w:rPr>
      <w:rFonts w:ascii="Arial" w:hAnsi="Arial" w:cs="Arial"/>
      <w:sz w:val="24"/>
      <w:szCs w:val="24"/>
    </w:rPr>
  </w:style>
  <w:style w:type="character" w:customStyle="1" w:styleId="Heading1Char">
    <w:name w:val="Heading 1 Char"/>
    <w:basedOn w:val="DefaultParagraphFont"/>
    <w:link w:val="Heading1"/>
    <w:rsid w:val="005C02BF"/>
    <w:rPr>
      <w:rFonts w:ascii="Arial" w:eastAsia="MS Mincho" w:hAnsi="Arial" w:cs="Arial"/>
      <w:b/>
      <w:bCs/>
      <w:caps/>
      <w:kern w:val="32"/>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54282">
      <w:bodyDiv w:val="1"/>
      <w:marLeft w:val="0"/>
      <w:marRight w:val="0"/>
      <w:marTop w:val="0"/>
      <w:marBottom w:val="0"/>
      <w:divBdr>
        <w:top w:val="none" w:sz="0" w:space="0" w:color="auto"/>
        <w:left w:val="none" w:sz="0" w:space="0" w:color="auto"/>
        <w:bottom w:val="none" w:sz="0" w:space="0" w:color="auto"/>
        <w:right w:val="none" w:sz="0" w:space="0" w:color="auto"/>
      </w:divBdr>
    </w:div>
    <w:div w:id="223950166">
      <w:bodyDiv w:val="1"/>
      <w:marLeft w:val="0"/>
      <w:marRight w:val="0"/>
      <w:marTop w:val="0"/>
      <w:marBottom w:val="0"/>
      <w:divBdr>
        <w:top w:val="none" w:sz="0" w:space="0" w:color="auto"/>
        <w:left w:val="none" w:sz="0" w:space="0" w:color="auto"/>
        <w:bottom w:val="none" w:sz="0" w:space="0" w:color="auto"/>
        <w:right w:val="none" w:sz="0" w:space="0" w:color="auto"/>
      </w:divBdr>
    </w:div>
    <w:div w:id="320427665">
      <w:bodyDiv w:val="1"/>
      <w:marLeft w:val="0"/>
      <w:marRight w:val="0"/>
      <w:marTop w:val="0"/>
      <w:marBottom w:val="0"/>
      <w:divBdr>
        <w:top w:val="none" w:sz="0" w:space="0" w:color="auto"/>
        <w:left w:val="none" w:sz="0" w:space="0" w:color="auto"/>
        <w:bottom w:val="none" w:sz="0" w:space="0" w:color="auto"/>
        <w:right w:val="none" w:sz="0" w:space="0" w:color="auto"/>
      </w:divBdr>
    </w:div>
    <w:div w:id="400566169">
      <w:bodyDiv w:val="1"/>
      <w:marLeft w:val="0"/>
      <w:marRight w:val="0"/>
      <w:marTop w:val="0"/>
      <w:marBottom w:val="0"/>
      <w:divBdr>
        <w:top w:val="none" w:sz="0" w:space="0" w:color="auto"/>
        <w:left w:val="none" w:sz="0" w:space="0" w:color="auto"/>
        <w:bottom w:val="none" w:sz="0" w:space="0" w:color="auto"/>
        <w:right w:val="none" w:sz="0" w:space="0" w:color="auto"/>
      </w:divBdr>
    </w:div>
    <w:div w:id="419831446">
      <w:bodyDiv w:val="1"/>
      <w:marLeft w:val="0"/>
      <w:marRight w:val="0"/>
      <w:marTop w:val="0"/>
      <w:marBottom w:val="0"/>
      <w:divBdr>
        <w:top w:val="none" w:sz="0" w:space="0" w:color="auto"/>
        <w:left w:val="none" w:sz="0" w:space="0" w:color="auto"/>
        <w:bottom w:val="none" w:sz="0" w:space="0" w:color="auto"/>
        <w:right w:val="none" w:sz="0" w:space="0" w:color="auto"/>
      </w:divBdr>
    </w:div>
    <w:div w:id="424155419">
      <w:bodyDiv w:val="1"/>
      <w:marLeft w:val="0"/>
      <w:marRight w:val="0"/>
      <w:marTop w:val="0"/>
      <w:marBottom w:val="0"/>
      <w:divBdr>
        <w:top w:val="none" w:sz="0" w:space="0" w:color="auto"/>
        <w:left w:val="none" w:sz="0" w:space="0" w:color="auto"/>
        <w:bottom w:val="none" w:sz="0" w:space="0" w:color="auto"/>
        <w:right w:val="none" w:sz="0" w:space="0" w:color="auto"/>
      </w:divBdr>
    </w:div>
    <w:div w:id="735202548">
      <w:bodyDiv w:val="1"/>
      <w:marLeft w:val="0"/>
      <w:marRight w:val="0"/>
      <w:marTop w:val="0"/>
      <w:marBottom w:val="0"/>
      <w:divBdr>
        <w:top w:val="none" w:sz="0" w:space="0" w:color="auto"/>
        <w:left w:val="none" w:sz="0" w:space="0" w:color="auto"/>
        <w:bottom w:val="none" w:sz="0" w:space="0" w:color="auto"/>
        <w:right w:val="none" w:sz="0" w:space="0" w:color="auto"/>
      </w:divBdr>
    </w:div>
    <w:div w:id="917789977">
      <w:bodyDiv w:val="1"/>
      <w:marLeft w:val="0"/>
      <w:marRight w:val="0"/>
      <w:marTop w:val="0"/>
      <w:marBottom w:val="0"/>
      <w:divBdr>
        <w:top w:val="none" w:sz="0" w:space="0" w:color="auto"/>
        <w:left w:val="none" w:sz="0" w:space="0" w:color="auto"/>
        <w:bottom w:val="none" w:sz="0" w:space="0" w:color="auto"/>
        <w:right w:val="none" w:sz="0" w:space="0" w:color="auto"/>
      </w:divBdr>
    </w:div>
    <w:div w:id="1389644336">
      <w:bodyDiv w:val="1"/>
      <w:marLeft w:val="0"/>
      <w:marRight w:val="0"/>
      <w:marTop w:val="0"/>
      <w:marBottom w:val="0"/>
      <w:divBdr>
        <w:top w:val="none" w:sz="0" w:space="0" w:color="auto"/>
        <w:left w:val="none" w:sz="0" w:space="0" w:color="auto"/>
        <w:bottom w:val="none" w:sz="0" w:space="0" w:color="auto"/>
        <w:right w:val="none" w:sz="0" w:space="0" w:color="auto"/>
      </w:divBdr>
    </w:div>
    <w:div w:id="1693535355">
      <w:bodyDiv w:val="1"/>
      <w:marLeft w:val="0"/>
      <w:marRight w:val="0"/>
      <w:marTop w:val="0"/>
      <w:marBottom w:val="0"/>
      <w:divBdr>
        <w:top w:val="none" w:sz="0" w:space="0" w:color="auto"/>
        <w:left w:val="none" w:sz="0" w:space="0" w:color="auto"/>
        <w:bottom w:val="none" w:sz="0" w:space="0" w:color="auto"/>
        <w:right w:val="none" w:sz="0" w:space="0" w:color="auto"/>
      </w:divBdr>
    </w:div>
    <w:div w:id="1729457432">
      <w:bodyDiv w:val="1"/>
      <w:marLeft w:val="0"/>
      <w:marRight w:val="0"/>
      <w:marTop w:val="0"/>
      <w:marBottom w:val="0"/>
      <w:divBdr>
        <w:top w:val="none" w:sz="0" w:space="0" w:color="auto"/>
        <w:left w:val="none" w:sz="0" w:space="0" w:color="auto"/>
        <w:bottom w:val="none" w:sz="0" w:space="0" w:color="auto"/>
        <w:right w:val="none" w:sz="0" w:space="0" w:color="auto"/>
      </w:divBdr>
    </w:div>
    <w:div w:id="204258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88B6F-515F-49D7-B4F3-D38E3E81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1197</Words>
  <Characters>6298</Characters>
  <Application>Microsoft Office Word</Application>
  <DocSecurity>0</DocSecurity>
  <Lines>194</Lines>
  <Paragraphs>47</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Chapter 2 Trade in Goods</dc:title>
  <dc:subject/>
  <dc:creator/>
  <cp:keywords/>
  <dc:description/>
  <cp:lastModifiedBy/>
  <cp:revision>1</cp:revision>
  <dcterms:created xsi:type="dcterms:W3CDTF">2022-04-01T06:58:00Z</dcterms:created>
  <dcterms:modified xsi:type="dcterms:W3CDTF">2022-04-01T06:58:00Z</dcterms:modified>
  <cp:category/>
</cp:coreProperties>
</file>