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Default="0059146A" w:rsidP="005B5769">
      <w:pPr>
        <w:pStyle w:val="ListBullet"/>
        <w:tabs>
          <w:tab w:val="clear" w:pos="284"/>
        </w:tabs>
      </w:pPr>
      <w:bookmarkStart w:id="0" w:name="_GoBack"/>
      <w:bookmarkEnd w:id="0"/>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D7713F" w:rsidRPr="00D7713F" w:rsidRDefault="00A56F14" w:rsidP="002A51CA">
      <w:pPr>
        <w:pStyle w:val="Title"/>
        <w:spacing w:after="120" w:line="600" w:lineRule="exact"/>
        <w:rPr>
          <w:spacing w:val="-20"/>
          <w:sz w:val="60"/>
          <w:szCs w:val="60"/>
        </w:rPr>
      </w:pPr>
      <w:r w:rsidRPr="00D7713F">
        <w:rPr>
          <w:noProof/>
          <w:spacing w:val="-20"/>
          <w:sz w:val="60"/>
          <w:szCs w:val="60"/>
          <w:lang w:val="en-AU" w:eastAsia="en-AU"/>
        </w:rPr>
        <w:drawing>
          <wp:anchor distT="0" distB="0" distL="114300" distR="114300" simplePos="0" relativeHeight="251664384" behindDoc="1" locked="1" layoutInCell="1" allowOverlap="1" wp14:anchorId="0092B507" wp14:editId="17377662">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D7713F">
        <w:rPr>
          <w:noProof/>
          <w:spacing w:val="-20"/>
          <w:sz w:val="60"/>
          <w:szCs w:val="60"/>
          <w:lang w:val="en-AU" w:eastAsia="en-AU"/>
        </w:rPr>
        <w:drawing>
          <wp:anchor distT="0" distB="0" distL="114300" distR="114300" simplePos="0" relativeHeight="251663360" behindDoc="1" locked="1" layoutInCell="1" allowOverlap="1" wp14:anchorId="45C540DB" wp14:editId="3B55D9D4">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D7713F">
        <w:rPr>
          <w:spacing w:val="-20"/>
          <w:sz w:val="60"/>
          <w:szCs w:val="60"/>
        </w:rPr>
        <w:t xml:space="preserve">Aid Program Performance Report </w:t>
      </w:r>
    </w:p>
    <w:p w:rsidR="00C6626C" w:rsidRPr="00D7713F" w:rsidRDefault="00D7713F" w:rsidP="002A51CA">
      <w:pPr>
        <w:pStyle w:val="Title"/>
        <w:spacing w:after="120" w:line="600" w:lineRule="exact"/>
        <w:rPr>
          <w:spacing w:val="-20"/>
          <w:sz w:val="60"/>
          <w:szCs w:val="60"/>
        </w:rPr>
      </w:pPr>
      <w:r>
        <w:rPr>
          <w:spacing w:val="-20"/>
          <w:sz w:val="60"/>
          <w:szCs w:val="60"/>
        </w:rPr>
        <w:t xml:space="preserve">FULL APPR </w:t>
      </w:r>
      <w:r w:rsidR="00C6626C" w:rsidRPr="00D7713F">
        <w:rPr>
          <w:spacing w:val="-20"/>
          <w:sz w:val="60"/>
          <w:szCs w:val="60"/>
        </w:rPr>
        <w:t>201</w:t>
      </w:r>
      <w:r>
        <w:rPr>
          <w:spacing w:val="-20"/>
          <w:sz w:val="60"/>
          <w:szCs w:val="60"/>
        </w:rPr>
        <w:t>8-19</w:t>
      </w:r>
    </w:p>
    <w:p w:rsidR="00C6626C" w:rsidRDefault="00C6626C" w:rsidP="00A56F14">
      <w:r w:rsidRPr="002A51CA">
        <w:rPr>
          <w:sz w:val="40"/>
        </w:rPr>
        <w:t>&lt;Name of Country or Regional Program&gt;</w:t>
      </w:r>
    </w:p>
    <w:p w:rsidR="00C6626C" w:rsidRPr="002A51CA" w:rsidRDefault="00C6626C" w:rsidP="00A56F14">
      <w:pPr>
        <w:rPr>
          <w:sz w:val="24"/>
        </w:rPr>
      </w:pPr>
      <w:r w:rsidRPr="002A51CA">
        <w:rPr>
          <w:sz w:val="24"/>
        </w:rPr>
        <w:t>September 201</w:t>
      </w:r>
      <w:r w:rsidR="00D7713F">
        <w:rPr>
          <w:sz w:val="24"/>
        </w:rPr>
        <w:t>9</w:t>
      </w:r>
    </w:p>
    <w:p w:rsidR="00C6626C" w:rsidRDefault="00C6626C" w:rsidP="00A56F14">
      <w:pPr>
        <w:sectPr w:rsidR="00C6626C"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rsidR="00FA62EE" w:rsidRPr="00B53B79" w:rsidRDefault="00D7713F" w:rsidP="00967D26">
      <w:pPr>
        <w:pStyle w:val="BodyText"/>
      </w:pPr>
      <w:r w:rsidRPr="00B53B79">
        <w:lastRenderedPageBreak/>
        <w:t xml:space="preserve">[Please ensure you read the </w:t>
      </w:r>
      <w:hyperlink r:id="rId16" w:history="1">
        <w:r w:rsidRPr="00B53B79">
          <w:rPr>
            <w:rStyle w:val="Hyperlink"/>
            <w:rFonts w:cstheme="minorBidi"/>
            <w:sz w:val="22"/>
            <w:szCs w:val="22"/>
          </w:rPr>
          <w:t>APPR Good Practice Note</w:t>
        </w:r>
      </w:hyperlink>
      <w:r w:rsidRPr="00B53B79">
        <w:t xml:space="preserve"> for important information (including page limits) before completing the templates. The </w:t>
      </w:r>
      <w:hyperlink r:id="rId17" w:history="1">
        <w:r w:rsidRPr="00B53B79">
          <w:rPr>
            <w:rStyle w:val="Hyperlink"/>
            <w:rFonts w:cstheme="minorBidi"/>
            <w:sz w:val="22"/>
            <w:szCs w:val="22"/>
          </w:rPr>
          <w:t>Aid Programming Guide</w:t>
        </w:r>
      </w:hyperlink>
      <w:r w:rsidRPr="00B53B79">
        <w:t xml:space="preserve"> (APG) provides more guidance and tool</w:t>
      </w:r>
      <w:r w:rsidR="00FA62EE" w:rsidRPr="00B53B79">
        <w:t>s on the aid management cycle.]</w:t>
      </w:r>
    </w:p>
    <w:p w:rsidR="00D7713F" w:rsidRPr="00B53B79" w:rsidRDefault="00FA62EE" w:rsidP="00967D26">
      <w:pPr>
        <w:pStyle w:val="BodyText"/>
      </w:pPr>
      <w:r w:rsidRPr="00B53B79">
        <w:t>[</w:t>
      </w:r>
      <w:r w:rsidR="00D7713F" w:rsidRPr="00B53B79">
        <w:t xml:space="preserve">Please delete the </w:t>
      </w:r>
      <w:r w:rsidRPr="00B53B79">
        <w:t xml:space="preserve">instructions in square brackets </w:t>
      </w:r>
      <w:r w:rsidR="00D7713F" w:rsidRPr="00B53B79">
        <w:t>on completion of your APPR Summary.]</w:t>
      </w:r>
    </w:p>
    <w:p w:rsidR="00D7713F" w:rsidRPr="00B53B79" w:rsidRDefault="00D7713F" w:rsidP="00967D26">
      <w:pPr>
        <w:pStyle w:val="BodyText"/>
      </w:pPr>
      <w:r w:rsidRPr="00B53B79">
        <w:t>[Indicative ratings have been included in the tables in the document.  Please update these with your actual ratings.]</w:t>
      </w:r>
    </w:p>
    <w:p w:rsidR="00D7713F" w:rsidRPr="00BB648A" w:rsidRDefault="00D7713F" w:rsidP="00215731">
      <w:pPr>
        <w:pStyle w:val="Heading1smallspaceafter"/>
      </w:pPr>
      <w:r w:rsidRPr="00FA62EE">
        <w:rPr>
          <w:color w:val="auto"/>
        </w:rPr>
        <w:t xml:space="preserve">[Program name] </w:t>
      </w:r>
      <w:r w:rsidRPr="00BB648A">
        <w:t>Aid Program Performance Information 201</w:t>
      </w:r>
      <w:r w:rsidR="00F46D79">
        <w:t>8-19</w:t>
      </w:r>
    </w:p>
    <w:p w:rsidR="00215731" w:rsidRDefault="00215731" w:rsidP="00215731">
      <w:pPr>
        <w:pStyle w:val="Heading1smallspaceafter"/>
      </w:pPr>
    </w:p>
    <w:p w:rsidR="00C6626C" w:rsidRPr="00C61187" w:rsidRDefault="00C6626C" w:rsidP="00215731">
      <w:pPr>
        <w:pStyle w:val="Heading1smallspaceafter"/>
        <w:rPr>
          <w:kern w:val="28"/>
        </w:rPr>
      </w:pPr>
      <w:r w:rsidRPr="002A51CA">
        <w:t>Key Messages</w:t>
      </w:r>
    </w:p>
    <w:p w:rsidR="00D7713F" w:rsidRPr="00C61187" w:rsidRDefault="00D7713F" w:rsidP="00967D26">
      <w:pPr>
        <w:pStyle w:val="BodyText"/>
      </w:pPr>
      <w:r>
        <w:t>This</w:t>
      </w:r>
      <w:r w:rsidRPr="009F229A">
        <w:t xml:space="preserve"> report summarises the</w:t>
      </w:r>
      <w:r>
        <w:t xml:space="preserve"> performance</w:t>
      </w:r>
      <w:r w:rsidRPr="009F229A">
        <w:t xml:space="preserve"> of Australia</w:t>
      </w:r>
      <w:r>
        <w:t xml:space="preserve">’s aid program in </w:t>
      </w:r>
      <w:r w:rsidRPr="00FA62EE">
        <w:t>[</w:t>
      </w:r>
      <w:r w:rsidR="00FA62EE">
        <w:t>insert coun</w:t>
      </w:r>
      <w:r w:rsidRPr="00FA62EE">
        <w:t>try or regional program</w:t>
      </w:r>
      <w:r w:rsidR="00FA62EE">
        <w:t xml:space="preserve"> name here</w:t>
      </w:r>
      <w:r w:rsidRPr="00FA62EE">
        <w:t xml:space="preserve">] </w:t>
      </w:r>
      <w:r>
        <w:t xml:space="preserve">from July 2018 to June 2019 against the </w:t>
      </w:r>
      <w:r w:rsidRPr="00FA62EE">
        <w:t>[</w:t>
      </w:r>
      <w:r w:rsidR="00FA62EE">
        <w:t xml:space="preserve">insert </w:t>
      </w:r>
      <w:r w:rsidRPr="00FA62EE">
        <w:t>country or regional program</w:t>
      </w:r>
      <w:r w:rsidR="00FA62EE">
        <w:t xml:space="preserve"> name here</w:t>
      </w:r>
      <w:r w:rsidRPr="00FA62EE">
        <w:t xml:space="preserve">] </w:t>
      </w:r>
      <w:r>
        <w:t xml:space="preserve">Aid Investment Plan (AIP) </w:t>
      </w:r>
      <w:r w:rsidRPr="00FA62EE">
        <w:t>[insert AIP duration</w:t>
      </w:r>
      <w:r w:rsidR="00FA62EE">
        <w:t xml:space="preserve"> here</w:t>
      </w:r>
      <w:r w:rsidRPr="00FA62EE">
        <w:t>].</w:t>
      </w:r>
    </w:p>
    <w:p w:rsidR="00C6626C" w:rsidRPr="00967D26" w:rsidRDefault="00D7713F" w:rsidP="00967D26">
      <w:pPr>
        <w:pStyle w:val="BodyText"/>
        <w:rPr>
          <w:rFonts w:asciiTheme="minorHAnsi" w:hAnsiTheme="minorHAnsi"/>
          <w:sz w:val="22"/>
          <w:szCs w:val="22"/>
        </w:rPr>
      </w:pPr>
      <w:r w:rsidRPr="00967D26">
        <w:rPr>
          <w:rFonts w:asciiTheme="minorHAnsi" w:hAnsiTheme="minorHAnsi"/>
          <w:sz w:val="22"/>
          <w:szCs w:val="22"/>
        </w:rPr>
        <w:t>[</w:t>
      </w:r>
      <w:r w:rsidR="00C6626C" w:rsidRPr="00967D26">
        <w:rPr>
          <w:rFonts w:asciiTheme="minorHAnsi" w:hAnsiTheme="minorHAnsi"/>
          <w:sz w:val="22"/>
          <w:szCs w:val="22"/>
        </w:rPr>
        <w:t>Outline the key findings of the report.</w:t>
      </w:r>
      <w:r w:rsidRPr="00967D26">
        <w:rPr>
          <w:rFonts w:asciiTheme="minorHAnsi" w:hAnsiTheme="minorHAnsi"/>
          <w:sz w:val="22"/>
          <w:szCs w:val="22"/>
        </w:rPr>
        <w:t>]</w:t>
      </w:r>
    </w:p>
    <w:p w:rsidR="00215731" w:rsidRDefault="00215731" w:rsidP="00215731">
      <w:pPr>
        <w:pStyle w:val="Heading1smallspaceafter"/>
      </w:pPr>
    </w:p>
    <w:p w:rsidR="00C6626C" w:rsidRPr="00C61187" w:rsidRDefault="00D7713F" w:rsidP="00215731">
      <w:pPr>
        <w:pStyle w:val="Heading1smallspaceafter"/>
        <w:rPr>
          <w:kern w:val="28"/>
        </w:rPr>
      </w:pPr>
      <w:r>
        <w:t xml:space="preserve">Context </w:t>
      </w:r>
    </w:p>
    <w:p w:rsidR="00C6626C" w:rsidRPr="00967D26" w:rsidRDefault="00D7713F" w:rsidP="00967D26">
      <w:pPr>
        <w:pStyle w:val="BodyText"/>
      </w:pPr>
      <w:r w:rsidRPr="00967D26">
        <w:t>[</w:t>
      </w:r>
      <w:r w:rsidR="00C6626C" w:rsidRPr="00967D26">
        <w:t xml:space="preserve">Briefly summarise the key objectives of the program for the duration of the </w:t>
      </w:r>
      <w:r w:rsidRPr="00967D26">
        <w:t>AIP</w:t>
      </w:r>
      <w:r w:rsidR="00C6626C" w:rsidRPr="00967D26">
        <w:t>, as well as the underlying program logic (what Australian aid does and how this contributes to achieving the key objectives).</w:t>
      </w:r>
      <w:r w:rsidRPr="00967D26">
        <w:t>]</w:t>
      </w:r>
    </w:p>
    <w:p w:rsidR="0059150F" w:rsidRPr="00967D26" w:rsidRDefault="00D7713F" w:rsidP="00967D26">
      <w:pPr>
        <w:pStyle w:val="BodyText"/>
      </w:pPr>
      <w:r w:rsidRPr="00967D26">
        <w:t>[</w:t>
      </w:r>
      <w:r w:rsidR="00C6626C" w:rsidRPr="00967D26">
        <w:t xml:space="preserve">Provide details of any major shifts in country or regional context that </w:t>
      </w:r>
      <w:r w:rsidR="00184818" w:rsidRPr="00967D26">
        <w:t>have had</w:t>
      </w:r>
      <w:r w:rsidR="00C6626C" w:rsidRPr="00967D26">
        <w:t xml:space="preserve"> or are likely to have an impact on the Australian aid program. This can include political and economic developments, major reforms or natural disasters. Does the program/strategy remain relevant to the current context? </w:t>
      </w:r>
      <w:r w:rsidR="002309D8" w:rsidRPr="00967D26">
        <w:t xml:space="preserve"> </w:t>
      </w:r>
      <w:r w:rsidR="00F77ECA" w:rsidRPr="00967D26">
        <w:t>If not, w</w:t>
      </w:r>
      <w:r w:rsidR="007D0299" w:rsidRPr="00967D26">
        <w:t>h</w:t>
      </w:r>
      <w:r w:rsidR="0059150F" w:rsidRPr="00967D26">
        <w:t xml:space="preserve">at major adaptations has your program made as a result? </w:t>
      </w:r>
      <w:r w:rsidR="00184818" w:rsidRPr="00967D26">
        <w:t>H</w:t>
      </w:r>
      <w:r w:rsidR="007D0299" w:rsidRPr="00967D26">
        <w:t xml:space="preserve">ighlight </w:t>
      </w:r>
      <w:r w:rsidR="0059150F" w:rsidRPr="00967D26">
        <w:t xml:space="preserve">any </w:t>
      </w:r>
      <w:r w:rsidR="001103E6" w:rsidRPr="00967D26">
        <w:t xml:space="preserve">changes to </w:t>
      </w:r>
      <w:r w:rsidR="00E245D7" w:rsidRPr="00967D26">
        <w:t xml:space="preserve">AIP </w:t>
      </w:r>
      <w:r w:rsidR="001103E6" w:rsidRPr="00967D26">
        <w:t>objectives and/or strategic</w:t>
      </w:r>
      <w:r w:rsidR="0059150F" w:rsidRPr="00967D26">
        <w:t xml:space="preserve"> focus</w:t>
      </w:r>
      <w:r w:rsidR="00F46D79" w:rsidRPr="00967D26">
        <w:t xml:space="preserve"> made during 2018-19</w:t>
      </w:r>
      <w:r w:rsidRPr="00967D26">
        <w:t>.]</w:t>
      </w:r>
    </w:p>
    <w:p w:rsidR="00C6626C" w:rsidRPr="00967D26" w:rsidRDefault="00D7713F" w:rsidP="00967D26">
      <w:pPr>
        <w:pStyle w:val="BodyText"/>
      </w:pPr>
      <w:r w:rsidRPr="00967D26">
        <w:t>[</w:t>
      </w:r>
      <w:r w:rsidR="00C6626C" w:rsidRPr="00967D26">
        <w:t xml:space="preserve">Compare Australia’s official development assistance (ODA) expenditure in the country/region with other donors (the number and size of other donors, where Australia ranks in terms of its contribution) and provide the ratio of Australia’s ODA to </w:t>
      </w:r>
      <w:r w:rsidR="00184818" w:rsidRPr="00967D26">
        <w:t xml:space="preserve">the partner government’s national budget </w:t>
      </w:r>
      <w:r w:rsidR="00C6626C" w:rsidRPr="00967D26">
        <w:t>where possible. Explain how the aid program has been designed to reflect the size and position of Australian aid.</w:t>
      </w:r>
      <w:r w:rsidRPr="00967D26">
        <w:t>]</w:t>
      </w:r>
    </w:p>
    <w:p w:rsidR="00215731" w:rsidRDefault="00215731" w:rsidP="00215731">
      <w:pPr>
        <w:pStyle w:val="Heading1smallspaceafter"/>
      </w:pPr>
    </w:p>
    <w:p w:rsidR="00C6626C" w:rsidRPr="002A51CA" w:rsidRDefault="00C6626C" w:rsidP="00215731">
      <w:pPr>
        <w:pStyle w:val="Heading1smallspaceafter"/>
      </w:pPr>
      <w:r w:rsidRPr="002A51CA">
        <w:t>Expenditure</w:t>
      </w:r>
    </w:p>
    <w:p w:rsidR="00C6626C" w:rsidRPr="00967D26" w:rsidRDefault="00D7713F" w:rsidP="00967D26">
      <w:pPr>
        <w:pStyle w:val="BodyText"/>
      </w:pPr>
      <w:r w:rsidRPr="00967D26">
        <w:t>[</w:t>
      </w:r>
      <w:r w:rsidR="00C6626C" w:rsidRPr="00967D26">
        <w:t xml:space="preserve">In Table 1, list the bilateral expenditure figure for each aid objective as well as expenditure for regional and global programs and Other Government Departments (OGDs). Expenditure should be given to </w:t>
      </w:r>
      <w:r w:rsidRPr="00967D26">
        <w:t>the end of the financial year.]</w:t>
      </w:r>
    </w:p>
    <w:p w:rsidR="00E97955" w:rsidRPr="00967D26" w:rsidRDefault="00D7713F" w:rsidP="00967D26">
      <w:pPr>
        <w:pStyle w:val="BodyText"/>
      </w:pPr>
      <w:r w:rsidRPr="00967D26">
        <w:t>[</w:t>
      </w:r>
      <w:r w:rsidR="00C6626C" w:rsidRPr="00967D26">
        <w:t xml:space="preserve">Expenditure data for DFAT-administered funding should be generated from AidWorks. Regional and Global expenditure and expenditure by OGDs </w:t>
      </w:r>
      <w:r w:rsidR="00E97955" w:rsidRPr="00967D26">
        <w:t xml:space="preserve">can be sourced from: </w:t>
      </w:r>
      <w:hyperlink r:id="rId18" w:history="1">
        <w:r w:rsidR="00E97955" w:rsidRPr="00967D26">
          <w:rPr>
            <w:rStyle w:val="Hyperlink"/>
            <w:sz w:val="22"/>
            <w:szCs w:val="22"/>
          </w:rPr>
          <w:t>http://collaboration.titan.satin.lo/AidStatistics/Pages/DataFiles.aspx</w:t>
        </w:r>
      </w:hyperlink>
      <w:r w:rsidR="00E97955" w:rsidRPr="00967D26">
        <w:t xml:space="preserve"> . Questions on past years can be directed to the ODA Statistics and Reporting section (</w:t>
      </w:r>
      <w:hyperlink r:id="rId19" w:history="1">
        <w:r w:rsidR="00E97955" w:rsidRPr="00967D26">
          <w:rPr>
            <w:rStyle w:val="Hyperlink"/>
            <w:rFonts w:cstheme="minorBidi"/>
            <w:sz w:val="22"/>
            <w:szCs w:val="22"/>
          </w:rPr>
          <w:t>aidstatsinquiries@dfat.gov.au</w:t>
        </w:r>
      </w:hyperlink>
      <w:r w:rsidR="00E97955" w:rsidRPr="00967D26">
        <w:t>).</w:t>
      </w:r>
    </w:p>
    <w:p w:rsidR="00C6626C" w:rsidRPr="00967D26" w:rsidRDefault="00E97955" w:rsidP="00967D26">
      <w:pPr>
        <w:pStyle w:val="BodyText"/>
      </w:pPr>
      <w:r w:rsidRPr="00967D26">
        <w:lastRenderedPageBreak/>
        <w:t xml:space="preserve"> </w:t>
      </w:r>
      <w:r w:rsidR="00355959" w:rsidRPr="00967D26">
        <w:t>[</w:t>
      </w:r>
      <w:r w:rsidR="00C6626C" w:rsidRPr="00967D26">
        <w:t>Significant changes in budget from the previous financial year should be noted.</w:t>
      </w:r>
      <w:r w:rsidR="00355959" w:rsidRPr="00967D26">
        <w:t>]</w:t>
      </w:r>
    </w:p>
    <w:p w:rsidR="00D40AEB"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CA1AEE">
        <w:rPr>
          <w:b/>
          <w:noProof/>
          <w:sz w:val="24"/>
        </w:rPr>
        <w:t>1</w:t>
      </w:r>
      <w:r w:rsidRPr="008C2F58">
        <w:rPr>
          <w:b/>
          <w:noProof/>
          <w:sz w:val="24"/>
        </w:rPr>
        <w:fldChar w:fldCharType="end"/>
      </w:r>
      <w:r w:rsidRPr="008C2F58">
        <w:rPr>
          <w:b/>
          <w:sz w:val="24"/>
        </w:rPr>
        <w:t xml:space="preserve"> Total ODA Expenditure in FY 201</w:t>
      </w:r>
      <w:r w:rsidR="00F46D79">
        <w:rPr>
          <w:b/>
          <w:sz w:val="24"/>
        </w:rPr>
        <w:t>8-19</w:t>
      </w:r>
    </w:p>
    <w:tbl>
      <w:tblPr>
        <w:tblStyle w:val="TableGrid"/>
        <w:tblW w:w="9639" w:type="dxa"/>
        <w:tblLook w:val="04A0" w:firstRow="1" w:lastRow="0" w:firstColumn="1" w:lastColumn="0" w:noHBand="0" w:noVBand="1"/>
      </w:tblPr>
      <w:tblGrid>
        <w:gridCol w:w="6374"/>
        <w:gridCol w:w="1423"/>
        <w:gridCol w:w="1842"/>
      </w:tblGrid>
      <w:tr w:rsidR="00184818" w:rsidTr="003E2BE7">
        <w:tc>
          <w:tcPr>
            <w:tcW w:w="6374" w:type="dxa"/>
          </w:tcPr>
          <w:p w:rsidR="00184818" w:rsidRDefault="00184818" w:rsidP="00355959">
            <w:pPr>
              <w:spacing w:before="60"/>
              <w:rPr>
                <w:b/>
                <w:sz w:val="24"/>
              </w:rPr>
            </w:pPr>
            <w:r w:rsidRPr="00BE6C6D">
              <w:rPr>
                <w:sz w:val="20"/>
              </w:rPr>
              <w:t>Objective</w:t>
            </w:r>
          </w:p>
        </w:tc>
        <w:tc>
          <w:tcPr>
            <w:tcW w:w="1423" w:type="dxa"/>
          </w:tcPr>
          <w:p w:rsidR="00184818" w:rsidRDefault="00184818" w:rsidP="00355959">
            <w:pPr>
              <w:spacing w:before="60"/>
              <w:jc w:val="center"/>
              <w:rPr>
                <w:b/>
                <w:sz w:val="24"/>
              </w:rPr>
            </w:pPr>
            <w:r w:rsidRPr="00BE6C6D">
              <w:rPr>
                <w:sz w:val="20"/>
              </w:rPr>
              <w:t>A$ million</w:t>
            </w:r>
          </w:p>
        </w:tc>
        <w:tc>
          <w:tcPr>
            <w:tcW w:w="1842" w:type="dxa"/>
          </w:tcPr>
          <w:p w:rsidR="00184818" w:rsidRDefault="00184818" w:rsidP="00355959">
            <w:pPr>
              <w:spacing w:before="60"/>
              <w:ind w:right="-546"/>
              <w:jc w:val="center"/>
              <w:rPr>
                <w:b/>
                <w:sz w:val="24"/>
              </w:rPr>
            </w:pPr>
            <w:r w:rsidRPr="00BE6C6D">
              <w:rPr>
                <w:sz w:val="20"/>
              </w:rPr>
              <w:t>% of total ODA</w:t>
            </w:r>
          </w:p>
        </w:tc>
      </w:tr>
      <w:tr w:rsidR="00184818" w:rsidTr="003E2BE7">
        <w:tc>
          <w:tcPr>
            <w:tcW w:w="6374" w:type="dxa"/>
          </w:tcPr>
          <w:p w:rsidR="00184818" w:rsidRDefault="00184818" w:rsidP="00355959">
            <w:pPr>
              <w:spacing w:before="60"/>
              <w:rPr>
                <w:b/>
                <w:sz w:val="24"/>
              </w:rPr>
            </w:pPr>
            <w:r w:rsidRPr="00BE6C6D">
              <w:rPr>
                <w:sz w:val="20"/>
              </w:rPr>
              <w:t>Objective 1</w:t>
            </w:r>
          </w:p>
        </w:tc>
        <w:tc>
          <w:tcPr>
            <w:tcW w:w="1423" w:type="dxa"/>
          </w:tcPr>
          <w:p w:rsidR="00184818" w:rsidRDefault="00184818" w:rsidP="00355959">
            <w:pPr>
              <w:spacing w:before="60"/>
              <w:rPr>
                <w:b/>
                <w:sz w:val="24"/>
              </w:rPr>
            </w:pPr>
          </w:p>
        </w:tc>
        <w:tc>
          <w:tcPr>
            <w:tcW w:w="1842" w:type="dxa"/>
          </w:tcPr>
          <w:p w:rsidR="00184818" w:rsidRDefault="00184818" w:rsidP="00355959">
            <w:pPr>
              <w:spacing w:before="60"/>
              <w:rPr>
                <w:b/>
                <w:sz w:val="24"/>
              </w:rPr>
            </w:pPr>
          </w:p>
        </w:tc>
      </w:tr>
      <w:tr w:rsidR="00184818" w:rsidTr="003E2BE7">
        <w:tc>
          <w:tcPr>
            <w:tcW w:w="6374" w:type="dxa"/>
          </w:tcPr>
          <w:p w:rsidR="00184818" w:rsidRDefault="00184818" w:rsidP="00355959">
            <w:pPr>
              <w:spacing w:before="60"/>
              <w:rPr>
                <w:b/>
                <w:sz w:val="24"/>
              </w:rPr>
            </w:pPr>
            <w:r w:rsidRPr="00BE6C6D">
              <w:rPr>
                <w:sz w:val="20"/>
              </w:rPr>
              <w:t>Objective 2</w:t>
            </w:r>
          </w:p>
        </w:tc>
        <w:tc>
          <w:tcPr>
            <w:tcW w:w="1423" w:type="dxa"/>
          </w:tcPr>
          <w:p w:rsidR="00184818" w:rsidRDefault="00184818" w:rsidP="00355959">
            <w:pPr>
              <w:spacing w:before="60"/>
              <w:rPr>
                <w:b/>
                <w:sz w:val="24"/>
              </w:rPr>
            </w:pPr>
          </w:p>
        </w:tc>
        <w:tc>
          <w:tcPr>
            <w:tcW w:w="1842" w:type="dxa"/>
          </w:tcPr>
          <w:p w:rsidR="00184818" w:rsidRDefault="00184818" w:rsidP="00355959">
            <w:pPr>
              <w:spacing w:before="60"/>
              <w:rPr>
                <w:b/>
                <w:sz w:val="24"/>
              </w:rPr>
            </w:pPr>
          </w:p>
        </w:tc>
      </w:tr>
      <w:tr w:rsidR="00184818" w:rsidTr="003E2BE7">
        <w:tc>
          <w:tcPr>
            <w:tcW w:w="6374" w:type="dxa"/>
          </w:tcPr>
          <w:p w:rsidR="00184818" w:rsidRDefault="00184818" w:rsidP="00355959">
            <w:pPr>
              <w:spacing w:before="60"/>
              <w:rPr>
                <w:b/>
                <w:sz w:val="24"/>
              </w:rPr>
            </w:pPr>
            <w:r w:rsidRPr="00BE6C6D">
              <w:rPr>
                <w:sz w:val="20"/>
              </w:rPr>
              <w:t>Objective 3</w:t>
            </w:r>
          </w:p>
        </w:tc>
        <w:tc>
          <w:tcPr>
            <w:tcW w:w="1423" w:type="dxa"/>
          </w:tcPr>
          <w:p w:rsidR="00184818" w:rsidRDefault="00184818" w:rsidP="00355959">
            <w:pPr>
              <w:spacing w:before="60"/>
              <w:rPr>
                <w:b/>
                <w:sz w:val="24"/>
              </w:rPr>
            </w:pPr>
          </w:p>
        </w:tc>
        <w:tc>
          <w:tcPr>
            <w:tcW w:w="1842" w:type="dxa"/>
          </w:tcPr>
          <w:p w:rsidR="00184818" w:rsidRDefault="00184818" w:rsidP="00355959">
            <w:pPr>
              <w:spacing w:before="60"/>
              <w:rPr>
                <w:b/>
                <w:sz w:val="24"/>
              </w:rPr>
            </w:pPr>
          </w:p>
        </w:tc>
      </w:tr>
      <w:tr w:rsidR="00184818" w:rsidTr="003E2BE7">
        <w:tc>
          <w:tcPr>
            <w:tcW w:w="6374" w:type="dxa"/>
          </w:tcPr>
          <w:p w:rsidR="00184818" w:rsidRDefault="00184818" w:rsidP="00355959">
            <w:pPr>
              <w:spacing w:before="60"/>
              <w:rPr>
                <w:b/>
                <w:sz w:val="24"/>
              </w:rPr>
            </w:pPr>
            <w:r w:rsidRPr="00BE6C6D">
              <w:rPr>
                <w:sz w:val="20"/>
              </w:rPr>
              <w:t>Sub-Total Bilateral</w:t>
            </w:r>
          </w:p>
        </w:tc>
        <w:tc>
          <w:tcPr>
            <w:tcW w:w="1423" w:type="dxa"/>
          </w:tcPr>
          <w:p w:rsidR="00184818" w:rsidRDefault="00184818" w:rsidP="00355959">
            <w:pPr>
              <w:spacing w:before="60"/>
              <w:rPr>
                <w:b/>
                <w:sz w:val="24"/>
              </w:rPr>
            </w:pPr>
          </w:p>
        </w:tc>
        <w:tc>
          <w:tcPr>
            <w:tcW w:w="1842" w:type="dxa"/>
          </w:tcPr>
          <w:p w:rsidR="00184818" w:rsidRDefault="00184818" w:rsidP="00355959">
            <w:pPr>
              <w:spacing w:before="60"/>
              <w:rPr>
                <w:b/>
                <w:sz w:val="24"/>
              </w:rPr>
            </w:pPr>
          </w:p>
        </w:tc>
      </w:tr>
      <w:tr w:rsidR="00184818" w:rsidTr="003E2BE7">
        <w:tc>
          <w:tcPr>
            <w:tcW w:w="6374" w:type="dxa"/>
          </w:tcPr>
          <w:p w:rsidR="00184818" w:rsidRDefault="00184818" w:rsidP="00355959">
            <w:pPr>
              <w:spacing w:before="60"/>
              <w:rPr>
                <w:b/>
                <w:sz w:val="24"/>
              </w:rPr>
            </w:pPr>
            <w:r w:rsidRPr="00BE6C6D">
              <w:rPr>
                <w:sz w:val="20"/>
              </w:rPr>
              <w:t>Regional and Global</w:t>
            </w:r>
          </w:p>
        </w:tc>
        <w:tc>
          <w:tcPr>
            <w:tcW w:w="1423" w:type="dxa"/>
          </w:tcPr>
          <w:p w:rsidR="00184818" w:rsidRDefault="00184818" w:rsidP="00355959">
            <w:pPr>
              <w:spacing w:before="60"/>
              <w:rPr>
                <w:b/>
                <w:sz w:val="24"/>
              </w:rPr>
            </w:pPr>
          </w:p>
        </w:tc>
        <w:tc>
          <w:tcPr>
            <w:tcW w:w="1842" w:type="dxa"/>
          </w:tcPr>
          <w:p w:rsidR="00184818" w:rsidRDefault="00184818" w:rsidP="00355959">
            <w:pPr>
              <w:spacing w:before="60"/>
              <w:rPr>
                <w:b/>
                <w:sz w:val="24"/>
              </w:rPr>
            </w:pPr>
          </w:p>
        </w:tc>
      </w:tr>
      <w:tr w:rsidR="00184818" w:rsidTr="003E2BE7">
        <w:tc>
          <w:tcPr>
            <w:tcW w:w="6374" w:type="dxa"/>
          </w:tcPr>
          <w:p w:rsidR="00184818" w:rsidRDefault="00184818" w:rsidP="00355959">
            <w:pPr>
              <w:spacing w:before="60"/>
              <w:rPr>
                <w:b/>
                <w:sz w:val="24"/>
              </w:rPr>
            </w:pPr>
            <w:r w:rsidRPr="00BE6C6D">
              <w:rPr>
                <w:sz w:val="20"/>
              </w:rPr>
              <w:t>Other Government Departments</w:t>
            </w:r>
          </w:p>
        </w:tc>
        <w:tc>
          <w:tcPr>
            <w:tcW w:w="1423" w:type="dxa"/>
          </w:tcPr>
          <w:p w:rsidR="00184818" w:rsidRDefault="00184818" w:rsidP="00355959">
            <w:pPr>
              <w:spacing w:before="60"/>
              <w:rPr>
                <w:b/>
                <w:sz w:val="24"/>
              </w:rPr>
            </w:pPr>
          </w:p>
        </w:tc>
        <w:tc>
          <w:tcPr>
            <w:tcW w:w="1842" w:type="dxa"/>
          </w:tcPr>
          <w:p w:rsidR="00184818" w:rsidRDefault="00184818" w:rsidP="00355959">
            <w:pPr>
              <w:spacing w:before="60"/>
              <w:rPr>
                <w:b/>
                <w:sz w:val="24"/>
              </w:rPr>
            </w:pPr>
          </w:p>
        </w:tc>
      </w:tr>
      <w:tr w:rsidR="00184818" w:rsidTr="003E2BE7">
        <w:tc>
          <w:tcPr>
            <w:tcW w:w="6374" w:type="dxa"/>
          </w:tcPr>
          <w:p w:rsidR="00184818" w:rsidRDefault="00184818" w:rsidP="00355959">
            <w:pPr>
              <w:spacing w:before="60"/>
              <w:rPr>
                <w:b/>
                <w:sz w:val="24"/>
              </w:rPr>
            </w:pPr>
            <w:r w:rsidRPr="00BE6C6D">
              <w:rPr>
                <w:sz w:val="20"/>
              </w:rPr>
              <w:t>Total ODA Expenditure</w:t>
            </w:r>
          </w:p>
        </w:tc>
        <w:tc>
          <w:tcPr>
            <w:tcW w:w="1423" w:type="dxa"/>
          </w:tcPr>
          <w:p w:rsidR="00184818" w:rsidRDefault="00184818" w:rsidP="00355959">
            <w:pPr>
              <w:spacing w:before="60"/>
              <w:rPr>
                <w:b/>
                <w:sz w:val="24"/>
              </w:rPr>
            </w:pPr>
          </w:p>
        </w:tc>
        <w:tc>
          <w:tcPr>
            <w:tcW w:w="1842" w:type="dxa"/>
          </w:tcPr>
          <w:p w:rsidR="00184818" w:rsidRDefault="00184818" w:rsidP="00355959">
            <w:pPr>
              <w:spacing w:before="60"/>
              <w:rPr>
                <w:b/>
                <w:sz w:val="24"/>
              </w:rPr>
            </w:pPr>
          </w:p>
        </w:tc>
      </w:tr>
    </w:tbl>
    <w:p w:rsidR="00DA040F" w:rsidRPr="00DA040F" w:rsidRDefault="00DA040F" w:rsidP="00DA040F">
      <w:pPr>
        <w:rPr>
          <w:color w:val="auto"/>
          <w:sz w:val="18"/>
        </w:rPr>
      </w:pPr>
    </w:p>
    <w:p w:rsidR="002A51CA" w:rsidRPr="002A51CA" w:rsidRDefault="002A51CA" w:rsidP="00215731">
      <w:pPr>
        <w:pStyle w:val="Heading1smallspaceafter"/>
      </w:pPr>
      <w:r w:rsidRPr="002A51CA">
        <w:t xml:space="preserve">Progress towards </w:t>
      </w:r>
      <w:r w:rsidR="00162218">
        <w:t xml:space="preserve">AIP </w:t>
      </w:r>
      <w:r w:rsidRPr="002A51CA">
        <w:t>Objectives</w:t>
      </w:r>
      <w:r w:rsidRPr="002A51CA">
        <w:tab/>
      </w:r>
    </w:p>
    <w:p w:rsidR="002A51CA" w:rsidRPr="00967D26" w:rsidRDefault="00355959" w:rsidP="00967D26">
      <w:pPr>
        <w:pStyle w:val="BodyText"/>
      </w:pPr>
      <w:r w:rsidRPr="00967D26">
        <w:t>[</w:t>
      </w:r>
      <w:r w:rsidR="002A51CA" w:rsidRPr="00967D26">
        <w:t>The reporting period should cover the 201</w:t>
      </w:r>
      <w:r w:rsidRPr="00967D26">
        <w:t>8-19</w:t>
      </w:r>
      <w:r w:rsidR="002A51CA" w:rsidRPr="00967D26">
        <w:t xml:space="preserve"> financial year.</w:t>
      </w:r>
      <w:r w:rsidRPr="00967D26">
        <w:t>]</w:t>
      </w:r>
    </w:p>
    <w:p w:rsidR="002A51CA" w:rsidRPr="00967D26" w:rsidRDefault="00355959" w:rsidP="00967D26">
      <w:pPr>
        <w:pStyle w:val="BodyText"/>
      </w:pPr>
      <w:r w:rsidRPr="00967D26">
        <w:t>[</w:t>
      </w:r>
      <w:r w:rsidR="002A51CA" w:rsidRPr="00967D26">
        <w:t xml:space="preserve">Ratings in Table 2 should reflect an evidence-based judgement about progress towards objectives and outcomes not simply an aggregated summary of AQC information. </w:t>
      </w:r>
      <w:r w:rsidR="009903F3" w:rsidRPr="00967D26">
        <w:t xml:space="preserve"> It is important that programs use the full range of rating options (green, amber, red) in assessing progress.</w:t>
      </w:r>
      <w:r w:rsidRPr="00967D26">
        <w:t>]</w:t>
      </w:r>
    </w:p>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CA1AEE">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4"/>
        <w:gridCol w:w="1436"/>
        <w:gridCol w:w="1439"/>
      </w:tblGrid>
      <w:tr w:rsidR="00355959" w:rsidRPr="00812509" w:rsidTr="003E2BE7">
        <w:trPr>
          <w:cnfStyle w:val="000000010000" w:firstRow="0" w:lastRow="0" w:firstColumn="0" w:lastColumn="0" w:oddVBand="0" w:evenVBand="0" w:oddHBand="0" w:evenHBand="1" w:firstRowFirstColumn="0" w:firstRowLastColumn="0" w:lastRowFirstColumn="0" w:lastRowLastColumn="0"/>
          <w:trHeight w:val="651"/>
        </w:trPr>
        <w:tc>
          <w:tcPr>
            <w:tcW w:w="66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ColumnHeading"/>
            </w:pPr>
            <w:r w:rsidRPr="00812509">
              <w:rPr>
                <w:noProof/>
              </w:rPr>
              <w:drawing>
                <wp:anchor distT="0" distB="0" distL="114300" distR="114300" simplePos="0" relativeHeight="251681792" behindDoc="0" locked="0" layoutInCell="1" allowOverlap="1" wp14:anchorId="760078B2" wp14:editId="0B234A87">
                  <wp:simplePos x="0" y="0"/>
                  <wp:positionH relativeFrom="column">
                    <wp:posOffset>0</wp:posOffset>
                  </wp:positionH>
                  <wp:positionV relativeFrom="paragraph">
                    <wp:posOffset>0</wp:posOffset>
                  </wp:positionV>
                  <wp:extent cx="1857375" cy="228600"/>
                  <wp:effectExtent l="0" t="0" r="9525" b="0"/>
                  <wp:wrapNone/>
                  <wp:docPr id="35" name="Picture 3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3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ColumnHeading"/>
            </w:pPr>
            <w:r w:rsidRPr="00812509">
              <w:t>Previous Rating</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ColumnHeading"/>
            </w:pPr>
            <w:r w:rsidRPr="00812509">
              <w:t>Current Rating</w:t>
            </w:r>
          </w:p>
        </w:tc>
      </w:tr>
      <w:tr w:rsidR="00355959" w:rsidRPr="00812509" w:rsidTr="003E2BE7">
        <w:trPr>
          <w:cnfStyle w:val="000000010000" w:firstRow="0" w:lastRow="0" w:firstColumn="0" w:lastColumn="0" w:oddVBand="0" w:evenVBand="0" w:oddHBand="0" w:evenHBand="1" w:firstRowFirstColumn="0" w:firstRowLastColumn="0" w:lastRowFirstColumn="0" w:lastRowLastColumn="0"/>
        </w:trPr>
        <w:tc>
          <w:tcPr>
            <w:tcW w:w="66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Entries"/>
              <w:rPr>
                <w:rFonts w:asciiTheme="minorHAnsi" w:hAnsiTheme="minorHAnsi"/>
              </w:rPr>
            </w:pPr>
            <w:r w:rsidRPr="00812509">
              <w:rPr>
                <w:rFonts w:asciiTheme="minorHAnsi" w:hAnsiTheme="minorHAnsi"/>
              </w:rPr>
              <w:t>Objective 1</w:t>
            </w:r>
          </w:p>
        </w:tc>
        <w:tc>
          <w:tcPr>
            <w:tcW w:w="13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355959" w:rsidRPr="00812509" w:rsidRDefault="00355959"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rsidR="00355959" w:rsidRPr="00812509" w:rsidRDefault="00355959"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r>
      <w:tr w:rsidR="00355959" w:rsidRPr="00812509" w:rsidTr="003E2BE7">
        <w:trPr>
          <w:cnfStyle w:val="000000010000" w:firstRow="0" w:lastRow="0" w:firstColumn="0" w:lastColumn="0" w:oddVBand="0" w:evenVBand="0" w:oddHBand="0" w:evenHBand="1" w:firstRowFirstColumn="0" w:firstRowLastColumn="0" w:lastRowFirstColumn="0" w:lastRowLastColumn="0"/>
        </w:trPr>
        <w:tc>
          <w:tcPr>
            <w:tcW w:w="66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Entries"/>
              <w:rPr>
                <w:rFonts w:asciiTheme="minorHAnsi" w:hAnsiTheme="minorHAnsi"/>
              </w:rPr>
            </w:pPr>
            <w:r w:rsidRPr="00812509">
              <w:rPr>
                <w:rFonts w:asciiTheme="minorHAnsi" w:hAnsiTheme="minorHAnsi"/>
              </w:rPr>
              <w:t>Objective 2</w:t>
            </w:r>
          </w:p>
        </w:tc>
        <w:tc>
          <w:tcPr>
            <w:tcW w:w="13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rsidR="00355959" w:rsidRPr="00812509" w:rsidRDefault="00355959"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355959" w:rsidRPr="00812509" w:rsidRDefault="00355959"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355959" w:rsidRPr="00812509" w:rsidTr="003E2BE7">
        <w:trPr>
          <w:cnfStyle w:val="000000010000" w:firstRow="0" w:lastRow="0" w:firstColumn="0" w:lastColumn="0" w:oddVBand="0" w:evenVBand="0" w:oddHBand="0" w:evenHBand="1" w:firstRowFirstColumn="0" w:firstRowLastColumn="0" w:lastRowFirstColumn="0" w:lastRowLastColumn="0"/>
        </w:trPr>
        <w:tc>
          <w:tcPr>
            <w:tcW w:w="66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Entries"/>
              <w:rPr>
                <w:rFonts w:asciiTheme="minorHAnsi" w:hAnsiTheme="minorHAnsi"/>
              </w:rPr>
            </w:pPr>
            <w:r w:rsidRPr="00812509">
              <w:rPr>
                <w:rFonts w:asciiTheme="minorHAnsi" w:hAnsiTheme="minorHAnsi"/>
              </w:rPr>
              <w:t>Objective 3</w:t>
            </w:r>
          </w:p>
        </w:tc>
        <w:tc>
          <w:tcPr>
            <w:tcW w:w="13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0000"/>
            <w:noWrap/>
          </w:tcPr>
          <w:p w:rsidR="00355959" w:rsidRPr="00812509" w:rsidRDefault="00355959"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Red</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0000"/>
            <w:noWrap/>
          </w:tcPr>
          <w:p w:rsidR="00355959" w:rsidRPr="00812509" w:rsidRDefault="00355959"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Red</w:t>
            </w:r>
          </w:p>
        </w:tc>
      </w:tr>
    </w:tbl>
    <w:p w:rsidR="00355959" w:rsidRPr="00812509" w:rsidRDefault="00355959" w:rsidP="00355959">
      <w:pPr>
        <w:pStyle w:val="Note"/>
        <w:rPr>
          <w:rFonts w:asciiTheme="minorHAnsi" w:hAnsiTheme="minorHAnsi"/>
          <w:sz w:val="16"/>
        </w:rPr>
      </w:pPr>
      <w:r w:rsidRPr="00812509">
        <w:rPr>
          <w:rFonts w:asciiTheme="minorHAnsi" w:hAnsiTheme="minorHAnsi"/>
          <w:sz w:val="16"/>
        </w:rPr>
        <w:t xml:space="preserve">Note: </w:t>
      </w:r>
    </w:p>
    <w:p w:rsidR="00355959" w:rsidRPr="00812509" w:rsidRDefault="00355959" w:rsidP="0035595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355959" w:rsidRPr="00812509" w:rsidRDefault="00355959" w:rsidP="0035595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355959" w:rsidRDefault="00355959" w:rsidP="0035595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72170F" w:rsidRPr="00877607" w:rsidRDefault="0072170F" w:rsidP="0072170F">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1</w:t>
      </w:r>
      <w:r>
        <w:rPr>
          <w:rFonts w:asciiTheme="majorHAnsi" w:eastAsiaTheme="majorEastAsia" w:hAnsiTheme="majorHAnsi" w:cstheme="majorBidi"/>
          <w:caps/>
          <w:sz w:val="32"/>
          <w:szCs w:val="32"/>
        </w:rPr>
        <w:t xml:space="preserve"> </w:t>
      </w:r>
      <w:r w:rsidRPr="00CF62AE">
        <w:rPr>
          <w:rFonts w:asciiTheme="majorHAnsi" w:eastAsiaTheme="majorEastAsia" w:hAnsiTheme="majorHAnsi" w:cstheme="majorBidi"/>
          <w:caps/>
          <w:color w:val="FF0000"/>
          <w:sz w:val="32"/>
          <w:szCs w:val="32"/>
        </w:rPr>
        <w:t>[insert DESCRIPTION OF objective]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72170F" w:rsidRPr="00695730" w:rsidTr="00D05246">
        <w:tc>
          <w:tcPr>
            <w:tcW w:w="2016" w:type="dxa"/>
          </w:tcPr>
          <w:p w:rsidR="0072170F" w:rsidRPr="00695730" w:rsidRDefault="0072170F" w:rsidP="00D05246">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CEBBD1F" wp14:editId="2AC33F1C">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1">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1F58CE7F" wp14:editId="2CF68FE4">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09FAE8AF" wp14:editId="79BD46A8">
                  <wp:extent cx="612000" cy="612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6D4C8700" wp14:editId="2BE40177">
                  <wp:extent cx="612000" cy="612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6518EC73" wp14:editId="0833D6CA">
                  <wp:extent cx="612000" cy="612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72170F" w:rsidRPr="00CF62AE" w:rsidRDefault="0072170F" w:rsidP="0072170F">
      <w:pPr>
        <w:spacing w:before="240"/>
        <w:rPr>
          <w:rFonts w:asciiTheme="majorHAnsi" w:eastAsiaTheme="majorEastAsia" w:hAnsiTheme="majorHAnsi" w:cstheme="majorBidi"/>
          <w:caps/>
          <w:color w:val="FF0000"/>
          <w:sz w:val="32"/>
          <w:szCs w:val="32"/>
        </w:rPr>
      </w:pPr>
      <w:r w:rsidRPr="00877607">
        <w:rPr>
          <w:rFonts w:asciiTheme="majorHAnsi" w:eastAsiaTheme="majorEastAsia" w:hAnsiTheme="majorHAnsi" w:cstheme="majorBidi"/>
          <w:caps/>
          <w:sz w:val="32"/>
          <w:szCs w:val="32"/>
        </w:rPr>
        <w:t>Objective 2</w:t>
      </w:r>
      <w:r w:rsidRPr="00CF62AE">
        <w:rPr>
          <w:rFonts w:asciiTheme="majorHAnsi" w:eastAsiaTheme="majorEastAsia" w:hAnsiTheme="majorHAnsi" w:cstheme="majorBidi"/>
          <w:caps/>
          <w:color w:val="FF0000"/>
          <w:sz w:val="32"/>
          <w:szCs w:val="32"/>
        </w:rPr>
        <w:t>, 3 etc.[insert DESCRIPTION OF objective/s]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72170F" w:rsidRPr="00695730" w:rsidTr="00D05246">
        <w:tc>
          <w:tcPr>
            <w:tcW w:w="2016" w:type="dxa"/>
          </w:tcPr>
          <w:p w:rsidR="0072170F" w:rsidRPr="00695730" w:rsidRDefault="0072170F" w:rsidP="00D05246">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lastRenderedPageBreak/>
              <w:drawing>
                <wp:inline distT="0" distB="0" distL="0" distR="0" wp14:anchorId="47C3C326" wp14:editId="3C225263">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1">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0BBF61AE" wp14:editId="48130F27">
                  <wp:extent cx="609600" cy="609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1E3914D3" wp14:editId="0EE0AB56">
                  <wp:extent cx="612000" cy="61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5C19BD0F" wp14:editId="6276D8D7">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04699BA2" wp14:editId="62843C10">
                  <wp:extent cx="612000" cy="61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CF62AE" w:rsidRPr="00967D26" w:rsidRDefault="00CF62AE" w:rsidP="00967D26">
      <w:pPr>
        <w:pStyle w:val="BodyText"/>
      </w:pPr>
      <w:r w:rsidRPr="00967D26">
        <w:t>[At the beginning of each objective narrative, identify the Sustainable Development Goal/s with which the objective most closely aligns. A list of the SDGs is included at Appendix 1 of this template and Goals can be copied and pasted from the list.]</w:t>
      </w:r>
    </w:p>
    <w:p w:rsidR="002A51CA" w:rsidRPr="00967D26" w:rsidRDefault="00CF62AE" w:rsidP="00967D26">
      <w:pPr>
        <w:pStyle w:val="BodyText"/>
      </w:pPr>
      <w:r w:rsidRPr="00967D26">
        <w:t>[I</w:t>
      </w:r>
      <w:r w:rsidR="002A51CA" w:rsidRPr="00967D26">
        <w:t xml:space="preserve">nclude a summary sentence under each objective indicating why the rating </w:t>
      </w:r>
      <w:r w:rsidR="00F77ECA" w:rsidRPr="00967D26">
        <w:t xml:space="preserve">(green, amber, red) </w:t>
      </w:r>
      <w:r w:rsidR="002A51CA" w:rsidRPr="00967D26">
        <w:t>was given. E.g. ‘The objective was rated amber because program progress was less than anticipa</w:t>
      </w:r>
      <w:r w:rsidRPr="00967D26">
        <w:t>ted for the following reasons…’]</w:t>
      </w:r>
    </w:p>
    <w:p w:rsidR="002A51CA" w:rsidRPr="00967D26" w:rsidRDefault="00CF62AE" w:rsidP="00967D26">
      <w:pPr>
        <w:pStyle w:val="BodyText"/>
      </w:pPr>
      <w:r w:rsidRPr="00967D26">
        <w:t>[</w:t>
      </w:r>
      <w:r w:rsidR="002A51CA" w:rsidRPr="00967D26">
        <w:t>For each objective, indicate the shared national development goals to which the program will contribute (if any) and the scope of Australia’s objective. A clear distinction should be articulated between partnership goals and what Australia is accountable for. Ratings should reflect program progress towards Australia’s ai</w:t>
      </w:r>
      <w:r w:rsidRPr="00967D26">
        <w:t>d objectives.]</w:t>
      </w:r>
    </w:p>
    <w:p w:rsidR="002A51CA" w:rsidRPr="00967D26" w:rsidRDefault="00CF62AE" w:rsidP="00967D26">
      <w:pPr>
        <w:pStyle w:val="BodyText"/>
      </w:pPr>
      <w:r w:rsidRPr="00967D26">
        <w:t>[</w:t>
      </w:r>
      <w:r w:rsidR="002A51CA" w:rsidRPr="00967D26">
        <w:t xml:space="preserve">Discuss whether progress over the reporting period reflects the underlying program strategy/program logic as articulated in the </w:t>
      </w:r>
      <w:r w:rsidR="00E245D7" w:rsidRPr="00967D26">
        <w:t>AIP</w:t>
      </w:r>
      <w:r w:rsidR="002A51CA" w:rsidRPr="00967D26">
        <w:t>.</w:t>
      </w:r>
      <w:r w:rsidRPr="00967D26">
        <w:t>]</w:t>
      </w:r>
    </w:p>
    <w:p w:rsidR="002A51CA" w:rsidRPr="00967D26" w:rsidRDefault="00CF62AE" w:rsidP="00967D26">
      <w:pPr>
        <w:pStyle w:val="BodyText"/>
      </w:pPr>
      <w:r w:rsidRPr="00967D26">
        <w:t>[</w:t>
      </w:r>
      <w:r w:rsidR="00F77ECA" w:rsidRPr="00967D26">
        <w:t>In the narrative for each objective, outline the degree to which the objective was or was not met by clearly setting out where expectations were met and where progress was not as advanced as expected in 201</w:t>
      </w:r>
      <w:r w:rsidR="00F46D79" w:rsidRPr="00967D26">
        <w:t>8-19</w:t>
      </w:r>
      <w:r w:rsidR="00F77ECA" w:rsidRPr="00967D26">
        <w:t xml:space="preserve">. </w:t>
      </w:r>
      <w:r w:rsidR="002A51CA" w:rsidRPr="00967D26">
        <w:t xml:space="preserve">Discuss key achievements and </w:t>
      </w:r>
      <w:r w:rsidR="00E245D7" w:rsidRPr="00967D26">
        <w:t>underperformance</w:t>
      </w:r>
      <w:r w:rsidR="00B37C19" w:rsidRPr="00967D26">
        <w:t xml:space="preserve"> </w:t>
      </w:r>
      <w:r w:rsidR="002A51CA" w:rsidRPr="00967D26">
        <w:t xml:space="preserve">in the reporting period. The narrative should </w:t>
      </w:r>
      <w:r w:rsidR="00E36F91" w:rsidRPr="00967D26">
        <w:t xml:space="preserve">be balanced outlining both achievements and challenges and not just a listing of achievements or outputs. Results should be supported by evidence and compared to expected results to judge their significance. Describe </w:t>
      </w:r>
      <w:r w:rsidR="002A51CA" w:rsidRPr="00967D26">
        <w:t>outcomes and impacts achieved by</w:t>
      </w:r>
      <w:r w:rsidRPr="00967D26">
        <w:t xml:space="preserve"> Australian aid where possible.]</w:t>
      </w:r>
    </w:p>
    <w:p w:rsidR="002A51CA" w:rsidRPr="00967D26" w:rsidRDefault="00CF62AE" w:rsidP="00967D26">
      <w:pPr>
        <w:pStyle w:val="BodyText"/>
      </w:pPr>
      <w:r w:rsidRPr="00967D26">
        <w:t>[</w:t>
      </w:r>
      <w:r w:rsidR="002A51CA" w:rsidRPr="00967D26">
        <w:t xml:space="preserve">In assessing progress against objectives, specifically identify progress against </w:t>
      </w:r>
      <w:r w:rsidR="00F46D79" w:rsidRPr="00967D26">
        <w:t xml:space="preserve">current </w:t>
      </w:r>
      <w:r w:rsidR="002A51CA" w:rsidRPr="00967D26">
        <w:t>Performance Assessment Framework</w:t>
      </w:r>
      <w:r w:rsidR="002D37BC" w:rsidRPr="00967D26">
        <w:t xml:space="preserve"> </w:t>
      </w:r>
      <w:r w:rsidR="00F46D79" w:rsidRPr="00967D26">
        <w:t xml:space="preserve">(PAF) </w:t>
      </w:r>
      <w:r w:rsidR="002D37BC" w:rsidRPr="00967D26">
        <w:t>milestones/indicators</w:t>
      </w:r>
      <w:r w:rsidR="002A51CA" w:rsidRPr="00967D26">
        <w:t xml:space="preserve"> as well as relevant performance benchmarks</w:t>
      </w:r>
      <w:r w:rsidR="001704B2" w:rsidRPr="00967D26">
        <w:t xml:space="preserve">. </w:t>
      </w:r>
      <w:r w:rsidR="002A51CA" w:rsidRPr="00967D26">
        <w:t>Include information on actual performance and where a milestone or performance benchmark has not been achieved, or has only been partly achieved, discuss why this is the case.</w:t>
      </w:r>
      <w:r w:rsidRPr="00967D26">
        <w:t>]</w:t>
      </w:r>
    </w:p>
    <w:p w:rsidR="002A51CA" w:rsidRPr="00967D26" w:rsidRDefault="00CF62AE" w:rsidP="00967D26">
      <w:pPr>
        <w:pStyle w:val="BodyText"/>
      </w:pPr>
      <w:r w:rsidRPr="00967D26">
        <w:t>[</w:t>
      </w:r>
      <w:r w:rsidR="002A51CA" w:rsidRPr="00967D26">
        <w:t xml:space="preserve">Analyse progress made in promoting </w:t>
      </w:r>
      <w:r w:rsidR="00BB254C" w:rsidRPr="00967D26">
        <w:t xml:space="preserve">the government’s priorities in </w:t>
      </w:r>
      <w:r w:rsidR="002A51CA" w:rsidRPr="00967D26">
        <w:t>innovation, private sector engagement, gender equality and the empowerment of women and girls and the promotion of di</w:t>
      </w:r>
      <w:r w:rsidRPr="00967D26">
        <w:t>sability-inclusive development.]</w:t>
      </w:r>
    </w:p>
    <w:p w:rsidR="002A51CA" w:rsidRPr="00967D26" w:rsidRDefault="00CF62AE" w:rsidP="00967D26">
      <w:pPr>
        <w:pStyle w:val="BodyText"/>
      </w:pPr>
      <w:r w:rsidRPr="00967D26">
        <w:t>[</w:t>
      </w:r>
      <w:r w:rsidR="002A51CA" w:rsidRPr="00967D26">
        <w:t xml:space="preserve">Indicate where policy dialogue with the partner government </w:t>
      </w:r>
      <w:r w:rsidR="002309D8" w:rsidRPr="00967D26">
        <w:t xml:space="preserve">or other actors (eg World Bank) </w:t>
      </w:r>
      <w:r w:rsidR="002A51CA" w:rsidRPr="00967D26">
        <w:t xml:space="preserve">has influenced progress towards objectives, describing successes and challenges. </w:t>
      </w:r>
      <w:r w:rsidR="00174B8C" w:rsidRPr="00967D26">
        <w:t xml:space="preserve"> Consider including </w:t>
      </w:r>
      <w:r w:rsidR="001103E6" w:rsidRPr="00967D26">
        <w:t xml:space="preserve">outcomes and </w:t>
      </w:r>
      <w:r w:rsidR="00174B8C" w:rsidRPr="00967D26">
        <w:t xml:space="preserve">resources </w:t>
      </w:r>
      <w:r w:rsidR="007D2E25" w:rsidRPr="00967D26">
        <w:t xml:space="preserve">that DFAT has leveraged through </w:t>
      </w:r>
      <w:r w:rsidR="00324651" w:rsidRPr="00967D26">
        <w:t>policy dialogue</w:t>
      </w:r>
      <w:r w:rsidR="00162218" w:rsidRPr="00967D26">
        <w:t xml:space="preserve"> and financing</w:t>
      </w:r>
      <w:r w:rsidR="00F77ECA" w:rsidRPr="00967D26">
        <w:t>.</w:t>
      </w:r>
      <w:r w:rsidRPr="00967D26">
        <w:t>]</w:t>
      </w:r>
    </w:p>
    <w:p w:rsidR="001B3C09" w:rsidRPr="00967D26" w:rsidRDefault="00CF62AE" w:rsidP="00967D26">
      <w:pPr>
        <w:pStyle w:val="BodyText"/>
      </w:pPr>
      <w:r w:rsidRPr="00967D26">
        <w:t>[</w:t>
      </w:r>
      <w:r w:rsidR="002A51CA" w:rsidRPr="00967D26">
        <w:t xml:space="preserve">Conclude each objective narrative by identifying management </w:t>
      </w:r>
      <w:r w:rsidR="00F77ECA" w:rsidRPr="00967D26">
        <w:t>actions</w:t>
      </w:r>
      <w:r w:rsidR="002A51CA" w:rsidRPr="00967D26">
        <w:t xml:space="preserve"> to address issues raised.</w:t>
      </w:r>
      <w:r w:rsidRPr="00967D26">
        <w:t>]</w:t>
      </w:r>
    </w:p>
    <w:p w:rsidR="002A51CA" w:rsidRPr="00967D26" w:rsidRDefault="00CF62AE" w:rsidP="00967D26">
      <w:pPr>
        <w:pStyle w:val="BodyText"/>
      </w:pPr>
      <w:r w:rsidRPr="00967D26">
        <w:t>[</w:t>
      </w:r>
      <w:r w:rsidR="002A51CA" w:rsidRPr="00967D26">
        <w:t>Use a range of internal and external sources of evidence. Data sources may include the results of aid quality checks (AQCs) or reviews/evaluations of individual aid investments</w:t>
      </w:r>
      <w:r w:rsidR="00E36F91" w:rsidRPr="00967D26">
        <w:t>. Use footnotes to document data sources.</w:t>
      </w:r>
      <w:r w:rsidR="002A51CA" w:rsidRPr="00967D26">
        <w:t xml:space="preserve"> Data should be sex and disability disaggregated wherever possible.</w:t>
      </w:r>
      <w:r w:rsidRPr="00967D26">
        <w:t>]</w:t>
      </w:r>
    </w:p>
    <w:p w:rsidR="002A51CA" w:rsidRPr="00967D26" w:rsidRDefault="00CF62AE" w:rsidP="00967D26">
      <w:pPr>
        <w:pStyle w:val="BodyText"/>
      </w:pPr>
      <w:r w:rsidRPr="00967D26">
        <w:t>[</w:t>
      </w:r>
      <w:r w:rsidR="002A51CA" w:rsidRPr="00967D26">
        <w:t>The APPR should report upon total Australian ODA delivered in country, not just that delivered by DFAT. Discussion and analysis should include only major financial and/or strategic investments of aid delivered by other government departments.</w:t>
      </w:r>
      <w:r w:rsidRPr="00967D26">
        <w:t>]</w:t>
      </w:r>
    </w:p>
    <w:p w:rsidR="00215731" w:rsidRDefault="00215731" w:rsidP="00215731">
      <w:pPr>
        <w:pStyle w:val="Heading1smallspaceafter"/>
      </w:pPr>
    </w:p>
    <w:p w:rsidR="002A51CA" w:rsidRDefault="002A51CA" w:rsidP="00215731">
      <w:pPr>
        <w:pStyle w:val="Heading1smallspaceafter"/>
      </w:pPr>
      <w:r>
        <w:t>Mutual obligations</w:t>
      </w:r>
    </w:p>
    <w:p w:rsidR="002A51CA" w:rsidRPr="00967D26" w:rsidRDefault="00D05246" w:rsidP="00967D26">
      <w:pPr>
        <w:pStyle w:val="BodyText"/>
      </w:pPr>
      <w:r w:rsidRPr="00967D26">
        <w:t>[</w:t>
      </w:r>
      <w:r w:rsidR="00431E2C" w:rsidRPr="00967D26">
        <w:t>Discuss</w:t>
      </w:r>
      <w:r w:rsidR="002A51CA" w:rsidRPr="00967D26">
        <w:t xml:space="preserve"> progress against the mutual obligations identified in </w:t>
      </w:r>
      <w:r w:rsidR="007B4865" w:rsidRPr="00967D26">
        <w:t xml:space="preserve">the AIP or as updated in </w:t>
      </w:r>
      <w:r w:rsidR="002A51CA" w:rsidRPr="00967D26">
        <w:t>last year’s APPR</w:t>
      </w:r>
      <w:r w:rsidR="007B4865" w:rsidRPr="00967D26">
        <w:t xml:space="preserve">. </w:t>
      </w:r>
      <w:r w:rsidR="00600479" w:rsidRPr="00967D26">
        <w:t>Mutual obligations should focus on partner country budgetary</w:t>
      </w:r>
      <w:r w:rsidR="00162218" w:rsidRPr="00967D26">
        <w:t>, legislative</w:t>
      </w:r>
      <w:r w:rsidR="00600479" w:rsidRPr="00967D26">
        <w:t xml:space="preserve"> and reform commitments that are critical to the achievement of AIP objectives</w:t>
      </w:r>
      <w:r w:rsidR="00B37C19" w:rsidRPr="00967D26">
        <w:t>.</w:t>
      </w:r>
      <w:r w:rsidR="002A51CA" w:rsidRPr="00967D26">
        <w:t xml:space="preserve"> </w:t>
      </w:r>
      <w:r w:rsidR="009E3DDE" w:rsidRPr="00967D26">
        <w:t>Consider including p</w:t>
      </w:r>
      <w:r w:rsidR="000A53A5" w:rsidRPr="00967D26">
        <w:t xml:space="preserve">olicy dialogue </w:t>
      </w:r>
      <w:r w:rsidR="009E3DDE" w:rsidRPr="00967D26">
        <w:t xml:space="preserve">efforts </w:t>
      </w:r>
      <w:r w:rsidR="000A53A5" w:rsidRPr="00967D26">
        <w:t>in</w:t>
      </w:r>
      <w:r w:rsidRPr="00967D26">
        <w:t xml:space="preserve"> progressing these obligations.]</w:t>
      </w:r>
    </w:p>
    <w:p w:rsidR="002A51CA" w:rsidRPr="00967D26" w:rsidRDefault="00D05246" w:rsidP="00967D26">
      <w:pPr>
        <w:pStyle w:val="BodyText"/>
      </w:pPr>
      <w:r w:rsidRPr="00967D26">
        <w:t>[</w:t>
      </w:r>
      <w:r w:rsidR="002A51CA" w:rsidRPr="00967D26">
        <w:t>For regional programs working with several government partners, focus on the sectors and countries of most strategic importance as well as key regional organisations.</w:t>
      </w:r>
      <w:r w:rsidRPr="00967D26">
        <w:t>]</w:t>
      </w:r>
    </w:p>
    <w:p w:rsidR="00215731" w:rsidRDefault="00215731" w:rsidP="00215731">
      <w:pPr>
        <w:pStyle w:val="Heading1smallspaceafter"/>
      </w:pPr>
    </w:p>
    <w:p w:rsidR="002A51CA" w:rsidRPr="002A51CA" w:rsidRDefault="002A51CA" w:rsidP="00215731">
      <w:pPr>
        <w:pStyle w:val="Heading1smallspaceafter"/>
      </w:pPr>
      <w:r w:rsidRPr="002A51CA">
        <w:t xml:space="preserve">Program Quality and Partner Performance </w:t>
      </w:r>
    </w:p>
    <w:p w:rsidR="002A51CA" w:rsidRPr="00CF62AE" w:rsidRDefault="002A51CA" w:rsidP="00215731">
      <w:pPr>
        <w:pStyle w:val="Heading1smallspaceafter"/>
        <w:rPr>
          <w:lang w:eastAsia="zh-CN"/>
        </w:rPr>
      </w:pPr>
      <w:r w:rsidRPr="00CF62AE">
        <w:rPr>
          <w:lang w:eastAsia="zh-CN"/>
        </w:rPr>
        <w:t>Overview</w:t>
      </w:r>
      <w:r w:rsidRPr="00CF62AE">
        <w:rPr>
          <w:lang w:eastAsia="zh-CN"/>
        </w:rPr>
        <w:tab/>
      </w:r>
      <w:r w:rsidRPr="00CF62AE">
        <w:rPr>
          <w:lang w:eastAsia="zh-CN"/>
        </w:rPr>
        <w:tab/>
      </w:r>
    </w:p>
    <w:p w:rsidR="00510FAB" w:rsidRPr="00967D26" w:rsidRDefault="00D05246" w:rsidP="00967D26">
      <w:pPr>
        <w:pStyle w:val="BodyText"/>
      </w:pPr>
      <w:r w:rsidRPr="00967D26">
        <w:t>[</w:t>
      </w:r>
      <w:r w:rsidR="002A51CA" w:rsidRPr="00967D26">
        <w:t xml:space="preserve">Discuss the program’s capacity to generate and use effective performance information. </w:t>
      </w:r>
      <w:r w:rsidR="00431E2C" w:rsidRPr="00967D26">
        <w:t>A</w:t>
      </w:r>
      <w:r w:rsidR="00600479" w:rsidRPr="00967D26">
        <w:t xml:space="preserve">re there issues with collecting monitoring and evaluation data? </w:t>
      </w:r>
      <w:r w:rsidR="00D460DC" w:rsidRPr="00967D26">
        <w:t>P</w:t>
      </w:r>
      <w:r w:rsidR="004F437F" w:rsidRPr="00967D26">
        <w:t xml:space="preserve">rogram areas </w:t>
      </w:r>
      <w:r w:rsidR="00D460DC" w:rsidRPr="00967D26">
        <w:t xml:space="preserve">are encouraged to </w:t>
      </w:r>
      <w:r w:rsidR="004F437F" w:rsidRPr="00967D26">
        <w:t xml:space="preserve">review </w:t>
      </w:r>
      <w:r w:rsidR="00431E2C" w:rsidRPr="00967D26">
        <w:t>PAFs</w:t>
      </w:r>
      <w:r w:rsidR="004F437F" w:rsidRPr="00967D26">
        <w:t xml:space="preserve"> </w:t>
      </w:r>
      <w:r w:rsidR="00431E2C" w:rsidRPr="00967D26">
        <w:t>and</w:t>
      </w:r>
      <w:r w:rsidR="00C7297E" w:rsidRPr="00967D26">
        <w:t xml:space="preserve"> performance benchmarks and</w:t>
      </w:r>
      <w:r w:rsidR="00431E2C" w:rsidRPr="00967D26">
        <w:t xml:space="preserve"> update them as required – PAFs should be included in Annex E. </w:t>
      </w:r>
      <w:r w:rsidR="002A6AC8" w:rsidRPr="00967D26">
        <w:t>Aid Management and Performance Branch</w:t>
      </w:r>
      <w:r w:rsidR="004F437F" w:rsidRPr="00967D26">
        <w:t xml:space="preserve"> </w:t>
      </w:r>
      <w:r w:rsidR="0059150F" w:rsidRPr="00967D26">
        <w:t xml:space="preserve">(MPB) </w:t>
      </w:r>
      <w:r w:rsidR="00431E2C" w:rsidRPr="00967D26">
        <w:t>and</w:t>
      </w:r>
      <w:r w:rsidR="004F437F" w:rsidRPr="00967D26">
        <w:t xml:space="preserve"> O</w:t>
      </w:r>
      <w:r w:rsidR="002A6AC8" w:rsidRPr="00967D26">
        <w:t>ffice of Development Effectiveness (O</w:t>
      </w:r>
      <w:r w:rsidR="004F437F" w:rsidRPr="00967D26">
        <w:t>DE</w:t>
      </w:r>
      <w:r w:rsidR="002A6AC8" w:rsidRPr="00967D26">
        <w:t>)</w:t>
      </w:r>
      <w:r w:rsidR="00431E2C" w:rsidRPr="00967D26">
        <w:t xml:space="preserve"> can assist programs with reviewing PAFs</w:t>
      </w:r>
      <w:r w:rsidR="002A6AC8" w:rsidRPr="00967D26">
        <w:t>.</w:t>
      </w:r>
      <w:r w:rsidRPr="00967D26">
        <w:t>]</w:t>
      </w:r>
    </w:p>
    <w:p w:rsidR="002A51CA" w:rsidRPr="00967D26" w:rsidRDefault="00D05246" w:rsidP="00967D26">
      <w:pPr>
        <w:pStyle w:val="BodyText"/>
      </w:pPr>
      <w:r w:rsidRPr="00967D26">
        <w:t>[</w:t>
      </w:r>
      <w:r w:rsidR="00431E2C" w:rsidRPr="00967D26">
        <w:t xml:space="preserve">Report on the </w:t>
      </w:r>
      <w:r w:rsidR="002A51CA" w:rsidRPr="00967D26">
        <w:t>extent to which consolidation is being achieved</w:t>
      </w:r>
      <w:r w:rsidR="00431E2C" w:rsidRPr="00967D26">
        <w:t xml:space="preserve"> – is </w:t>
      </w:r>
      <w:r w:rsidRPr="00967D26">
        <w:t>proliferation being addressed?]</w:t>
      </w:r>
    </w:p>
    <w:p w:rsidR="00215731" w:rsidRDefault="00D05246" w:rsidP="00215731">
      <w:pPr>
        <w:pStyle w:val="BodyText"/>
      </w:pPr>
      <w:r w:rsidRPr="00967D26">
        <w:t>[</w:t>
      </w:r>
      <w:r w:rsidR="002A51CA" w:rsidRPr="00967D26">
        <w:t xml:space="preserve">Comment on evaluations completed in the reporting period and discuss the forward evaluation pipeline with reference to </w:t>
      </w:r>
      <w:r w:rsidR="002A51CA" w:rsidRPr="00967D26">
        <w:rPr>
          <w:b/>
        </w:rPr>
        <w:t>Annex C</w:t>
      </w:r>
      <w:r w:rsidR="002A51CA" w:rsidRPr="00967D26">
        <w:t xml:space="preserve">.  </w:t>
      </w:r>
      <w:r w:rsidR="00600479" w:rsidRPr="00967D26">
        <w:t xml:space="preserve">Have evaluation recommendations and management </w:t>
      </w:r>
      <w:r w:rsidR="00A54034" w:rsidRPr="00967D26">
        <w:t>actions</w:t>
      </w:r>
      <w:r w:rsidR="00600479" w:rsidRPr="00967D26">
        <w:t xml:space="preserve"> from the previous reports been acted on?</w:t>
      </w:r>
      <w:r w:rsidRPr="00967D26">
        <w:t>]</w:t>
      </w:r>
    </w:p>
    <w:p w:rsidR="00215731" w:rsidRDefault="00215731" w:rsidP="00215731">
      <w:pPr>
        <w:pStyle w:val="Heading1smallspaceafter"/>
        <w:rPr>
          <w:lang w:eastAsia="zh-CN"/>
        </w:rPr>
      </w:pPr>
    </w:p>
    <w:p w:rsidR="00600479" w:rsidRPr="00CF62AE" w:rsidRDefault="00600479" w:rsidP="00215731">
      <w:pPr>
        <w:pStyle w:val="Heading1smallspaceafter"/>
        <w:rPr>
          <w:lang w:eastAsia="zh-CN"/>
        </w:rPr>
      </w:pPr>
      <w:r w:rsidRPr="00CF62AE">
        <w:rPr>
          <w:lang w:eastAsia="zh-CN"/>
        </w:rPr>
        <w:t>Aid Quality Checks (AQCs)</w:t>
      </w:r>
    </w:p>
    <w:p w:rsidR="002A51CA" w:rsidRPr="00967D26" w:rsidRDefault="00D05246" w:rsidP="00967D26">
      <w:pPr>
        <w:pStyle w:val="BodyText"/>
      </w:pPr>
      <w:r w:rsidRPr="00967D26">
        <w:t>[</w:t>
      </w:r>
      <w:r w:rsidR="002A51CA" w:rsidRPr="00967D26">
        <w:t xml:space="preserve">Discuss overall AQC ratings and distribution, and comment on trends using current and previous year’s ratings. AQC </w:t>
      </w:r>
      <w:r w:rsidRPr="00967D26">
        <w:t>ratings should not be averaged.]</w:t>
      </w:r>
    </w:p>
    <w:p w:rsidR="00431E2C" w:rsidRPr="00967D26" w:rsidRDefault="00D05246" w:rsidP="00967D26">
      <w:pPr>
        <w:pStyle w:val="BodyText"/>
      </w:pPr>
      <w:r w:rsidRPr="00967D26">
        <w:t>[</w:t>
      </w:r>
      <w:r w:rsidR="00431E2C" w:rsidRPr="00967D26">
        <w:t>If there are Investments Requiring Improvement (IRIs) from 201</w:t>
      </w:r>
      <w:r w:rsidRPr="00967D26">
        <w:t>7-18</w:t>
      </w:r>
      <w:r w:rsidR="00431E2C" w:rsidRPr="00967D26">
        <w:t>, indicate whether performance has improved and note whether any investments have ended</w:t>
      </w:r>
      <w:r w:rsidRPr="00967D26">
        <w:t>.]</w:t>
      </w:r>
    </w:p>
    <w:p w:rsidR="002A51CA" w:rsidRPr="00967D26" w:rsidRDefault="00D05246" w:rsidP="00967D26">
      <w:pPr>
        <w:pStyle w:val="BodyText"/>
      </w:pPr>
      <w:r w:rsidRPr="00967D26">
        <w:t>[</w:t>
      </w:r>
      <w:r w:rsidR="00E245D7" w:rsidRPr="00967D26">
        <w:t>Explain</w:t>
      </w:r>
      <w:r w:rsidR="002A51CA" w:rsidRPr="00967D26">
        <w:t xml:space="preserve"> how any </w:t>
      </w:r>
      <w:r w:rsidR="00E245D7" w:rsidRPr="00967D26">
        <w:t>unsatisfactory</w:t>
      </w:r>
      <w:r w:rsidR="002A51CA" w:rsidRPr="00967D26">
        <w:t xml:space="preserve"> AQC ratings are being addressed</w:t>
      </w:r>
      <w:r w:rsidR="006926A1" w:rsidRPr="00967D26">
        <w:t>.</w:t>
      </w:r>
      <w:r w:rsidRPr="00967D26">
        <w:t>]</w:t>
      </w:r>
    </w:p>
    <w:p w:rsidR="002A51CA" w:rsidRPr="00967D26" w:rsidRDefault="00D05246" w:rsidP="00967D26">
      <w:pPr>
        <w:pStyle w:val="BodyText"/>
      </w:pPr>
      <w:r w:rsidRPr="00967D26">
        <w:t>[</w:t>
      </w:r>
      <w:r w:rsidR="002A51CA" w:rsidRPr="00967D26">
        <w:t>Discuss how the program is rated for gender equality and empowerment of women and girls and what is being done to improve this rating.</w:t>
      </w:r>
      <w:r w:rsidRPr="00967D26">
        <w:t>]</w:t>
      </w:r>
    </w:p>
    <w:p w:rsidR="002A51CA" w:rsidRPr="00967D26" w:rsidRDefault="00D05246" w:rsidP="00967D26">
      <w:pPr>
        <w:pStyle w:val="BodyText"/>
      </w:pPr>
      <w:r w:rsidRPr="00967D26">
        <w:t>[</w:t>
      </w:r>
      <w:r w:rsidR="002A51CA" w:rsidRPr="00967D26">
        <w:t xml:space="preserve">A table of AQC ratings should be included in </w:t>
      </w:r>
      <w:r w:rsidR="002A51CA" w:rsidRPr="00967D26">
        <w:rPr>
          <w:b/>
        </w:rPr>
        <w:t>Annex D</w:t>
      </w:r>
      <w:r w:rsidR="002A51CA" w:rsidRPr="00967D26">
        <w:t>.</w:t>
      </w:r>
      <w:r w:rsidRPr="00967D26">
        <w:t>]</w:t>
      </w:r>
    </w:p>
    <w:p w:rsidR="00215731" w:rsidRDefault="00215731" w:rsidP="00215731">
      <w:pPr>
        <w:pStyle w:val="Heading1smallspaceafter"/>
        <w:rPr>
          <w:lang w:eastAsia="zh-CN"/>
        </w:rPr>
      </w:pPr>
    </w:p>
    <w:p w:rsidR="00600479" w:rsidRPr="00CF62AE" w:rsidRDefault="00600479" w:rsidP="00215731">
      <w:pPr>
        <w:pStyle w:val="Heading1smallspaceafter"/>
        <w:rPr>
          <w:lang w:eastAsia="zh-CN"/>
        </w:rPr>
      </w:pPr>
      <w:r w:rsidRPr="00CF62AE">
        <w:rPr>
          <w:lang w:eastAsia="zh-CN"/>
        </w:rPr>
        <w:t>Performance of key delivery partners</w:t>
      </w:r>
    </w:p>
    <w:p w:rsidR="002A51CA" w:rsidRPr="00967D26" w:rsidRDefault="00D05246" w:rsidP="00967D26">
      <w:pPr>
        <w:pStyle w:val="BodyText"/>
      </w:pPr>
      <w:r w:rsidRPr="00967D26">
        <w:t>[</w:t>
      </w:r>
      <w:r w:rsidR="00431E2C" w:rsidRPr="00967D26">
        <w:t xml:space="preserve">Include information about the number of </w:t>
      </w:r>
      <w:r w:rsidR="00F46D79" w:rsidRPr="00967D26">
        <w:t>Partner Performance Assessments (</w:t>
      </w:r>
      <w:r w:rsidR="00431E2C" w:rsidRPr="00967D26">
        <w:t>PPAs</w:t>
      </w:r>
      <w:r w:rsidR="00F46D79" w:rsidRPr="00967D26">
        <w:t>)</w:t>
      </w:r>
      <w:r w:rsidR="00431E2C" w:rsidRPr="00967D26">
        <w:t xml:space="preserve"> completed for the program for contractors, NGOs and multilaterals respectively. </w:t>
      </w:r>
      <w:r w:rsidR="002A51CA" w:rsidRPr="00967D26">
        <w:t xml:space="preserve">Provide comment on the effectiveness of implementing partners including contractors, NGOs and multilateral partners. Evidence can be drawn from non-sensitive information contained in </w:t>
      </w:r>
      <w:r w:rsidR="00537F20" w:rsidRPr="00967D26">
        <w:t xml:space="preserve">PPAs </w:t>
      </w:r>
      <w:r w:rsidR="002A51CA" w:rsidRPr="00967D26">
        <w:t>and Multilateral Performance Assessments (MPAs) where relevant.</w:t>
      </w:r>
      <w:r w:rsidRPr="00967D26">
        <w:t>]</w:t>
      </w:r>
    </w:p>
    <w:p w:rsidR="00431E2C" w:rsidRPr="00967D26" w:rsidRDefault="00D05246" w:rsidP="00967D26">
      <w:pPr>
        <w:pStyle w:val="BodyText"/>
      </w:pPr>
      <w:r w:rsidRPr="00967D26">
        <w:t>[</w:t>
      </w:r>
      <w:r w:rsidR="00431E2C" w:rsidRPr="00967D26">
        <w:t>Where relevant, comment on the effectiveness of working with partner government systems.</w:t>
      </w:r>
      <w:r w:rsidRPr="00967D26">
        <w:t>]</w:t>
      </w:r>
    </w:p>
    <w:p w:rsidR="00215731" w:rsidRDefault="00215731" w:rsidP="00215731">
      <w:pPr>
        <w:pStyle w:val="Heading1smallspaceafter"/>
      </w:pPr>
    </w:p>
    <w:p w:rsidR="002A51CA" w:rsidRPr="002A51CA" w:rsidRDefault="002A51CA" w:rsidP="00215731">
      <w:pPr>
        <w:pStyle w:val="Heading1smallspaceafter"/>
      </w:pPr>
      <w:r w:rsidRPr="002A51CA">
        <w:t>Risks</w:t>
      </w:r>
    </w:p>
    <w:p w:rsidR="002A51CA" w:rsidRPr="008C2F58" w:rsidRDefault="002A51CA" w:rsidP="002A51CA">
      <w:pPr>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AP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4"/>
        <w:gridCol w:w="2454"/>
        <w:gridCol w:w="2537"/>
        <w:gridCol w:w="1298"/>
        <w:gridCol w:w="1267"/>
      </w:tblGrid>
      <w:tr w:rsidR="002A6AC8" w:rsidRPr="00C61187" w:rsidTr="00C8425C">
        <w:tc>
          <w:tcPr>
            <w:tcW w:w="1884" w:type="dxa"/>
            <w:hideMark/>
          </w:tcPr>
          <w:p w:rsidR="002A6AC8" w:rsidRPr="00BE6C6D" w:rsidRDefault="002A6AC8" w:rsidP="00BE6C6D">
            <w:pPr>
              <w:rPr>
                <w:rFonts w:asciiTheme="minorHAnsi" w:hAnsiTheme="minorHAnsi"/>
                <w:b/>
              </w:rPr>
            </w:pPr>
            <w:r w:rsidRPr="00BE6C6D">
              <w:rPr>
                <w:rFonts w:asciiTheme="minorHAnsi" w:hAnsiTheme="minorHAnsi"/>
                <w:b/>
              </w:rPr>
              <w:t>Key risks</w:t>
            </w:r>
            <w:r w:rsidR="004F7208">
              <w:rPr>
                <w:rFonts w:asciiTheme="minorHAnsi" w:hAnsiTheme="minorHAnsi"/>
                <w:b/>
              </w:rPr>
              <w:t xml:space="preserve"> (emerging and ongoing)</w:t>
            </w:r>
          </w:p>
        </w:tc>
        <w:tc>
          <w:tcPr>
            <w:tcW w:w="2429" w:type="dxa"/>
          </w:tcPr>
          <w:p w:rsidR="002A6AC8" w:rsidRPr="00BE6C6D" w:rsidRDefault="002A6AC8" w:rsidP="00BE6C6D">
            <w:pPr>
              <w:rPr>
                <w:rFonts w:asciiTheme="minorHAnsi" w:hAnsiTheme="minorHAnsi"/>
                <w:b/>
              </w:rPr>
            </w:pPr>
            <w:r w:rsidRPr="00BE6C6D">
              <w:rPr>
                <w:rFonts w:asciiTheme="minorHAnsi" w:hAnsiTheme="minorHAnsi"/>
                <w:b/>
              </w:rPr>
              <w:t>What actions were taken to manage the risks over the past year?</w:t>
            </w:r>
          </w:p>
        </w:tc>
        <w:tc>
          <w:tcPr>
            <w:tcW w:w="2512" w:type="dxa"/>
          </w:tcPr>
          <w:p w:rsidR="002A6AC8" w:rsidRPr="00BE6C6D" w:rsidRDefault="002A6AC8" w:rsidP="00BE6C6D">
            <w:pPr>
              <w:rPr>
                <w:rFonts w:asciiTheme="minorHAnsi" w:hAnsiTheme="minorHAnsi"/>
                <w:b/>
              </w:rPr>
            </w:pPr>
            <w:r w:rsidRPr="00BE6C6D">
              <w:rPr>
                <w:rFonts w:asciiTheme="minorHAnsi" w:hAnsiTheme="minorHAnsi"/>
                <w:b/>
              </w:rPr>
              <w:t>What further actions will be taken to manage the risks in the coming year?</w:t>
            </w:r>
          </w:p>
        </w:tc>
        <w:tc>
          <w:tcPr>
            <w:tcW w:w="1271" w:type="dxa"/>
          </w:tcPr>
          <w:p w:rsidR="002A6AC8" w:rsidRPr="00BE6C6D" w:rsidRDefault="004F7208" w:rsidP="004F7208">
            <w:pPr>
              <w:rPr>
                <w:rFonts w:asciiTheme="minorHAnsi" w:hAnsiTheme="minorHAnsi"/>
                <w:b/>
              </w:rPr>
            </w:pPr>
            <w:r>
              <w:rPr>
                <w:rFonts w:asciiTheme="minorHAnsi" w:hAnsiTheme="minorHAnsi"/>
                <w:b/>
              </w:rPr>
              <w:t>P</w:t>
            </w:r>
            <w:r w:rsidR="002A6AC8" w:rsidRPr="00BE6C6D">
              <w:rPr>
                <w:rFonts w:asciiTheme="minorHAnsi" w:hAnsiTheme="minorHAnsi"/>
                <w:b/>
              </w:rPr>
              <w:t>rovide a Risk Rating (low, medium, high, very high)</w:t>
            </w:r>
          </w:p>
        </w:tc>
        <w:tc>
          <w:tcPr>
            <w:tcW w:w="1226" w:type="dxa"/>
          </w:tcPr>
          <w:p w:rsidR="002A6AC8" w:rsidRPr="00BE6C6D" w:rsidRDefault="0043564E" w:rsidP="0043564E">
            <w:pPr>
              <w:rPr>
                <w:b/>
              </w:rPr>
            </w:pPr>
            <w:r>
              <w:rPr>
                <w:b/>
              </w:rPr>
              <w:t xml:space="preserve">Are </w:t>
            </w:r>
            <w:r w:rsidR="002A6AC8">
              <w:rPr>
                <w:b/>
              </w:rPr>
              <w:t xml:space="preserve">these same risks </w:t>
            </w:r>
            <w:r>
              <w:rPr>
                <w:b/>
              </w:rPr>
              <w:t xml:space="preserve">in in </w:t>
            </w:r>
            <w:r w:rsidR="002A6AC8">
              <w:rPr>
                <w:b/>
              </w:rPr>
              <w:t>Post’s Risk Register (Yes/No)*</w:t>
            </w:r>
          </w:p>
        </w:tc>
      </w:tr>
      <w:tr w:rsidR="002A6AC8" w:rsidRPr="00C61187" w:rsidTr="00C8425C">
        <w:tc>
          <w:tcPr>
            <w:tcW w:w="1884" w:type="dxa"/>
            <w:hideMark/>
          </w:tcPr>
          <w:p w:rsidR="002A6AC8" w:rsidRPr="00967D26" w:rsidRDefault="002A6AC8" w:rsidP="00BE6C6D">
            <w:pPr>
              <w:rPr>
                <w:rFonts w:asciiTheme="minorHAnsi" w:hAnsiTheme="minorHAnsi"/>
                <w:color w:val="auto"/>
              </w:rPr>
            </w:pPr>
            <w:r w:rsidRPr="00967D26">
              <w:rPr>
                <w:rFonts w:asciiTheme="minorHAnsi" w:hAnsiTheme="minorHAnsi"/>
                <w:color w:val="auto"/>
              </w:rPr>
              <w:t xml:space="preserve">What are the most significant or emerging risks, including fraud risks, associated with program management, and how are they being addressed?  </w:t>
            </w:r>
          </w:p>
          <w:p w:rsidR="002A6AC8" w:rsidRPr="00BE6C6D" w:rsidRDefault="002A6AC8" w:rsidP="00BE6C6D">
            <w:pPr>
              <w:rPr>
                <w:rFonts w:asciiTheme="minorHAnsi" w:hAnsiTheme="minorHAnsi"/>
              </w:rPr>
            </w:pPr>
            <w:r w:rsidRPr="00967D26">
              <w:rPr>
                <w:rFonts w:asciiTheme="minorHAnsi" w:hAnsiTheme="minorHAnsi"/>
                <w:color w:val="auto"/>
              </w:rPr>
              <w:t xml:space="preserve">Include only 3 or 4 major risks </w:t>
            </w:r>
          </w:p>
        </w:tc>
        <w:tc>
          <w:tcPr>
            <w:tcW w:w="2429" w:type="dxa"/>
          </w:tcPr>
          <w:p w:rsidR="002A6AC8" w:rsidRPr="00BE6C6D" w:rsidRDefault="002A6AC8" w:rsidP="00BE6C6D">
            <w:pPr>
              <w:rPr>
                <w:rFonts w:asciiTheme="minorHAnsi" w:hAnsiTheme="minorHAnsi"/>
              </w:rPr>
            </w:pPr>
          </w:p>
        </w:tc>
        <w:tc>
          <w:tcPr>
            <w:tcW w:w="2512" w:type="dxa"/>
          </w:tcPr>
          <w:p w:rsidR="002A6AC8" w:rsidRPr="00BE6C6D" w:rsidRDefault="002A6AC8" w:rsidP="00BE6C6D">
            <w:pPr>
              <w:rPr>
                <w:rFonts w:asciiTheme="minorHAnsi" w:hAnsiTheme="minorHAnsi"/>
              </w:rPr>
            </w:pPr>
          </w:p>
        </w:tc>
        <w:tc>
          <w:tcPr>
            <w:tcW w:w="1271" w:type="dxa"/>
          </w:tcPr>
          <w:p w:rsidR="002A6AC8" w:rsidRPr="00BE6C6D" w:rsidRDefault="002A6AC8" w:rsidP="00BE6C6D">
            <w:pPr>
              <w:rPr>
                <w:rFonts w:asciiTheme="minorHAnsi" w:hAnsiTheme="minorHAnsi"/>
              </w:rPr>
            </w:pPr>
          </w:p>
        </w:tc>
        <w:tc>
          <w:tcPr>
            <w:tcW w:w="1226" w:type="dxa"/>
          </w:tcPr>
          <w:p w:rsidR="002A6AC8" w:rsidRPr="00BE6C6D" w:rsidRDefault="002A6AC8" w:rsidP="00BE6C6D"/>
        </w:tc>
      </w:tr>
      <w:tr w:rsidR="002A6AC8" w:rsidRPr="00C61187" w:rsidTr="00C8425C">
        <w:tc>
          <w:tcPr>
            <w:tcW w:w="1884" w:type="dxa"/>
            <w:hideMark/>
          </w:tcPr>
          <w:p w:rsidR="002A6AC8" w:rsidRPr="00C61187" w:rsidRDefault="002A6AC8" w:rsidP="00D15A00">
            <w:pPr>
              <w:keepLines/>
              <w:spacing w:before="40" w:after="40" w:line="200" w:lineRule="atLeast"/>
              <w:rPr>
                <w:rFonts w:eastAsia="Times New Roman"/>
                <w:iCs/>
                <w:szCs w:val="17"/>
                <w:lang w:eastAsia="en-US"/>
              </w:rPr>
            </w:pPr>
            <w:r w:rsidRPr="00C61187">
              <w:rPr>
                <w:rFonts w:eastAsia="Times New Roman"/>
                <w:iCs/>
                <w:szCs w:val="17"/>
                <w:lang w:eastAsia="en-US"/>
              </w:rPr>
              <w:t xml:space="preserve"> </w:t>
            </w:r>
          </w:p>
        </w:tc>
        <w:tc>
          <w:tcPr>
            <w:tcW w:w="2429" w:type="dxa"/>
          </w:tcPr>
          <w:p w:rsidR="002A6AC8" w:rsidRPr="00C61187" w:rsidRDefault="002A6AC8" w:rsidP="00D15A00">
            <w:pPr>
              <w:keepLines/>
              <w:spacing w:before="40" w:after="40" w:line="200" w:lineRule="atLeast"/>
              <w:rPr>
                <w:rFonts w:eastAsia="Times New Roman"/>
                <w:iCs/>
                <w:szCs w:val="17"/>
                <w:lang w:eastAsia="en-US"/>
              </w:rPr>
            </w:pPr>
          </w:p>
        </w:tc>
        <w:tc>
          <w:tcPr>
            <w:tcW w:w="2512" w:type="dxa"/>
          </w:tcPr>
          <w:p w:rsidR="002A6AC8" w:rsidRPr="00C61187" w:rsidRDefault="002A6AC8" w:rsidP="00D15A00">
            <w:pPr>
              <w:keepLines/>
              <w:spacing w:before="40" w:after="40" w:line="200" w:lineRule="atLeast"/>
              <w:rPr>
                <w:rFonts w:eastAsia="Times New Roman"/>
                <w:iCs/>
                <w:szCs w:val="17"/>
                <w:lang w:eastAsia="en-US"/>
              </w:rPr>
            </w:pPr>
          </w:p>
        </w:tc>
        <w:tc>
          <w:tcPr>
            <w:tcW w:w="1271" w:type="dxa"/>
          </w:tcPr>
          <w:p w:rsidR="002A6AC8" w:rsidRPr="00C61187" w:rsidRDefault="002A6AC8" w:rsidP="00D15A00">
            <w:pPr>
              <w:keepLines/>
              <w:spacing w:before="40" w:after="40" w:line="200" w:lineRule="atLeast"/>
              <w:rPr>
                <w:rFonts w:eastAsia="Times New Roman"/>
                <w:iCs/>
                <w:szCs w:val="17"/>
                <w:lang w:eastAsia="en-US"/>
              </w:rPr>
            </w:pPr>
          </w:p>
        </w:tc>
        <w:tc>
          <w:tcPr>
            <w:tcW w:w="1226" w:type="dxa"/>
          </w:tcPr>
          <w:p w:rsidR="002A6AC8" w:rsidRPr="00C61187" w:rsidRDefault="002A6AC8" w:rsidP="00D15A00">
            <w:pPr>
              <w:keepLines/>
              <w:spacing w:before="40" w:after="40" w:line="200" w:lineRule="atLeast"/>
              <w:rPr>
                <w:rFonts w:eastAsia="Times New Roman"/>
                <w:iCs/>
                <w:szCs w:val="17"/>
              </w:rPr>
            </w:pPr>
          </w:p>
        </w:tc>
      </w:tr>
      <w:tr w:rsidR="002A6AC8" w:rsidRPr="00C61187" w:rsidTr="00C8425C">
        <w:trPr>
          <w:trHeight w:val="56"/>
        </w:trPr>
        <w:tc>
          <w:tcPr>
            <w:tcW w:w="1884" w:type="dxa"/>
          </w:tcPr>
          <w:p w:rsidR="002A6AC8" w:rsidRPr="00C61187" w:rsidRDefault="002A6AC8" w:rsidP="00D15A00">
            <w:pPr>
              <w:keepLines/>
              <w:spacing w:before="40" w:after="40" w:line="200" w:lineRule="atLeast"/>
              <w:rPr>
                <w:rFonts w:eastAsia="Times New Roman"/>
                <w:iCs/>
                <w:szCs w:val="17"/>
                <w:lang w:eastAsia="en-US"/>
              </w:rPr>
            </w:pPr>
          </w:p>
        </w:tc>
        <w:tc>
          <w:tcPr>
            <w:tcW w:w="2429" w:type="dxa"/>
          </w:tcPr>
          <w:p w:rsidR="002A6AC8" w:rsidRPr="00C61187" w:rsidRDefault="002A6AC8" w:rsidP="00D15A00">
            <w:pPr>
              <w:keepLines/>
              <w:spacing w:before="40" w:after="40" w:line="200" w:lineRule="atLeast"/>
              <w:rPr>
                <w:rFonts w:eastAsia="Times New Roman"/>
                <w:iCs/>
                <w:szCs w:val="17"/>
                <w:lang w:eastAsia="en-US"/>
              </w:rPr>
            </w:pPr>
          </w:p>
        </w:tc>
        <w:tc>
          <w:tcPr>
            <w:tcW w:w="2512" w:type="dxa"/>
          </w:tcPr>
          <w:p w:rsidR="002A6AC8" w:rsidRPr="00C61187" w:rsidRDefault="002A6AC8" w:rsidP="00D15A00">
            <w:pPr>
              <w:keepLines/>
              <w:spacing w:before="40" w:after="40" w:line="200" w:lineRule="atLeast"/>
              <w:rPr>
                <w:rFonts w:eastAsia="Times New Roman"/>
                <w:iCs/>
                <w:szCs w:val="17"/>
                <w:lang w:eastAsia="en-US"/>
              </w:rPr>
            </w:pPr>
          </w:p>
        </w:tc>
        <w:tc>
          <w:tcPr>
            <w:tcW w:w="1271" w:type="dxa"/>
          </w:tcPr>
          <w:p w:rsidR="002A6AC8" w:rsidRPr="00C61187" w:rsidRDefault="002A6AC8" w:rsidP="00D15A00">
            <w:pPr>
              <w:keepLines/>
              <w:spacing w:before="40" w:after="40" w:line="200" w:lineRule="atLeast"/>
              <w:rPr>
                <w:rFonts w:eastAsia="Times New Roman"/>
                <w:iCs/>
                <w:szCs w:val="17"/>
                <w:lang w:eastAsia="en-US"/>
              </w:rPr>
            </w:pPr>
          </w:p>
        </w:tc>
        <w:tc>
          <w:tcPr>
            <w:tcW w:w="1226" w:type="dxa"/>
          </w:tcPr>
          <w:p w:rsidR="002A6AC8" w:rsidRPr="00C61187" w:rsidRDefault="002A6AC8" w:rsidP="00D15A00">
            <w:pPr>
              <w:keepLines/>
              <w:spacing w:before="40" w:after="40" w:line="200" w:lineRule="atLeast"/>
              <w:rPr>
                <w:rFonts w:eastAsia="Times New Roman"/>
                <w:iCs/>
                <w:szCs w:val="17"/>
              </w:rPr>
            </w:pPr>
          </w:p>
        </w:tc>
      </w:tr>
    </w:tbl>
    <w:p w:rsidR="002A51CA" w:rsidRDefault="002A51CA" w:rsidP="002A51CA">
      <w:pPr>
        <w:spacing w:before="20" w:after="20" w:line="180" w:lineRule="atLeast"/>
        <w:jc w:val="both"/>
        <w:rPr>
          <w:rFonts w:ascii="Franklin Gothic Book" w:eastAsia="Times New Roman" w:hAnsi="Franklin Gothic Book"/>
          <w:b/>
          <w:sz w:val="14"/>
          <w:szCs w:val="14"/>
        </w:rPr>
      </w:pPr>
    </w:p>
    <w:p w:rsidR="002A6AC8" w:rsidRDefault="002A6AC8" w:rsidP="002A51CA">
      <w:pPr>
        <w:spacing w:before="20" w:after="20" w:line="180" w:lineRule="atLeast"/>
        <w:jc w:val="both"/>
        <w:rPr>
          <w:rFonts w:ascii="Franklin Gothic Book" w:eastAsia="Times New Roman" w:hAnsi="Franklin Gothic Book"/>
          <w:sz w:val="18"/>
          <w:szCs w:val="18"/>
        </w:rPr>
      </w:pPr>
      <w:r w:rsidRPr="00332EC9">
        <w:rPr>
          <w:rFonts w:ascii="Franklin Gothic Book" w:eastAsia="Times New Roman" w:hAnsi="Franklin Gothic Book"/>
          <w:sz w:val="18"/>
          <w:szCs w:val="18"/>
        </w:rPr>
        <w:t>*If no, consider updating the Risk Register</w:t>
      </w:r>
    </w:p>
    <w:p w:rsidR="002A6AC8" w:rsidRDefault="002A6AC8" w:rsidP="002A51CA">
      <w:pPr>
        <w:spacing w:before="20" w:after="20" w:line="180" w:lineRule="atLeast"/>
        <w:jc w:val="both"/>
        <w:rPr>
          <w:rFonts w:ascii="Franklin Gothic Book" w:eastAsia="Times New Roman" w:hAnsi="Franklin Gothic Book"/>
          <w:sz w:val="18"/>
          <w:szCs w:val="18"/>
        </w:rPr>
      </w:pPr>
    </w:p>
    <w:p w:rsidR="002A6AC8" w:rsidRPr="00967D26" w:rsidRDefault="00D05246" w:rsidP="00967D26">
      <w:pPr>
        <w:pStyle w:val="BodyText"/>
      </w:pPr>
      <w:r w:rsidRPr="00967D26">
        <w:t>[</w:t>
      </w:r>
      <w:r w:rsidR="00332EC9" w:rsidRPr="00967D26">
        <w:t>Provide an analysis as to whether the overall risk profile for the program has changed over the last twelve months including a summary of any key changes</w:t>
      </w:r>
      <w:r w:rsidRPr="00967D26">
        <w:t>.]</w:t>
      </w:r>
    </w:p>
    <w:p w:rsidR="00215731" w:rsidRDefault="00215731" w:rsidP="00215731">
      <w:pPr>
        <w:pStyle w:val="Heading1smallspaceafter"/>
      </w:pPr>
    </w:p>
    <w:p w:rsidR="002A51CA" w:rsidRPr="002A51CA" w:rsidRDefault="002A51CA" w:rsidP="00215731">
      <w:pPr>
        <w:pStyle w:val="Heading1smallspaceafter"/>
      </w:pPr>
      <w:r w:rsidRPr="002A51CA">
        <w:t xml:space="preserve">Management </w:t>
      </w:r>
      <w:r w:rsidR="00AC302F">
        <w:t>actions</w:t>
      </w:r>
      <w:r w:rsidRPr="002A51CA">
        <w:tab/>
      </w:r>
      <w:r w:rsidRPr="002A51CA">
        <w:tab/>
      </w:r>
    </w:p>
    <w:p w:rsidR="002A51CA" w:rsidRPr="00967D26" w:rsidRDefault="00047FFB" w:rsidP="00967D26">
      <w:pPr>
        <w:pStyle w:val="BodyText"/>
      </w:pPr>
      <w:r w:rsidRPr="00967D26">
        <w:t>[</w:t>
      </w:r>
      <w:r w:rsidR="002A51CA" w:rsidRPr="00967D26">
        <w:t xml:space="preserve">Discuss progress made during this reporting period with respect to the management </w:t>
      </w:r>
      <w:r w:rsidR="00AC302F" w:rsidRPr="00967D26">
        <w:t>actions</w:t>
      </w:r>
      <w:r w:rsidR="002A51CA" w:rsidRPr="00967D26">
        <w:t xml:space="preserve"> identified in the program’s 201</w:t>
      </w:r>
      <w:r w:rsidRPr="00967D26">
        <w:t xml:space="preserve">7-18 </w:t>
      </w:r>
      <w:r w:rsidR="002A51CA" w:rsidRPr="00967D26">
        <w:t xml:space="preserve">APPR. A summary of progress on management </w:t>
      </w:r>
      <w:r w:rsidR="00AC302F" w:rsidRPr="00967D26">
        <w:t>actions</w:t>
      </w:r>
      <w:r w:rsidR="002A51CA" w:rsidRPr="00967D26">
        <w:t xml:space="preserve"> should be included in the table in </w:t>
      </w:r>
      <w:r w:rsidR="002A51CA" w:rsidRPr="00967D26">
        <w:rPr>
          <w:b/>
        </w:rPr>
        <w:t>Annex A.</w:t>
      </w:r>
      <w:r w:rsidRPr="00967D26">
        <w:rPr>
          <w:b/>
        </w:rPr>
        <w:t>]</w:t>
      </w:r>
    </w:p>
    <w:p w:rsidR="0059150F" w:rsidRPr="00967D26" w:rsidRDefault="00047FFB" w:rsidP="00967D26">
      <w:pPr>
        <w:pStyle w:val="BodyText"/>
      </w:pPr>
      <w:r w:rsidRPr="00967D26">
        <w:t>[</w:t>
      </w:r>
      <w:r w:rsidR="00332EC9" w:rsidRPr="00967D26">
        <w:t xml:space="preserve">Identify </w:t>
      </w:r>
      <w:r w:rsidR="002A51CA" w:rsidRPr="00967D26">
        <w:t xml:space="preserve">management </w:t>
      </w:r>
      <w:r w:rsidR="00AC302F" w:rsidRPr="00967D26">
        <w:t>actions</w:t>
      </w:r>
      <w:r w:rsidR="002A51CA" w:rsidRPr="00967D26">
        <w:t xml:space="preserve"> </w:t>
      </w:r>
      <w:r w:rsidR="00A54034" w:rsidRPr="00967D26">
        <w:t>for</w:t>
      </w:r>
      <w:r w:rsidR="002A51CA" w:rsidRPr="00967D26">
        <w:t xml:space="preserve"> significant or emerging </w:t>
      </w:r>
      <w:r w:rsidR="00E0719C" w:rsidRPr="00967D26">
        <w:t>issues</w:t>
      </w:r>
      <w:r w:rsidR="002A51CA" w:rsidRPr="00967D26">
        <w:t>, opportunities or risks associated with the program in the forthcoming 12 months identified in the APPR.</w:t>
      </w:r>
      <w:r w:rsidR="00E0719C" w:rsidRPr="00967D26">
        <w:t xml:space="preserve"> Management actions can cover strategic and </w:t>
      </w:r>
      <w:r w:rsidR="00E0719C" w:rsidRPr="00967D26">
        <w:lastRenderedPageBreak/>
        <w:t xml:space="preserve">operational issues. Management actions should be clearly linked to the progress </w:t>
      </w:r>
      <w:r w:rsidR="00332EC9" w:rsidRPr="00967D26">
        <w:t xml:space="preserve">against objectives </w:t>
      </w:r>
      <w:r w:rsidR="00E0719C" w:rsidRPr="00967D26">
        <w:t xml:space="preserve">ratings </w:t>
      </w:r>
      <w:r w:rsidR="00332EC9" w:rsidRPr="00967D26">
        <w:t xml:space="preserve">and </w:t>
      </w:r>
      <w:r w:rsidR="00E0719C" w:rsidRPr="00967D26">
        <w:t xml:space="preserve">narratives, particularly any objectives rated amber or red, and the identified risks to future progress. </w:t>
      </w:r>
      <w:r w:rsidR="002A51CA" w:rsidRPr="00967D26">
        <w:t xml:space="preserve">Management </w:t>
      </w:r>
      <w:r w:rsidR="00A54034" w:rsidRPr="00967D26">
        <w:t>actions</w:t>
      </w:r>
      <w:r w:rsidR="002A51CA" w:rsidRPr="00967D26">
        <w:t xml:space="preserve"> should be specific, time-bound and with clear responsibilities assigned</w:t>
      </w:r>
      <w:r w:rsidR="00E0719C" w:rsidRPr="00967D26">
        <w:t xml:space="preserve"> for implementation</w:t>
      </w:r>
      <w:r w:rsidR="002A51CA" w:rsidRPr="00967D26">
        <w:t>.</w:t>
      </w:r>
      <w:r w:rsidRPr="00967D26">
        <w:t>]</w:t>
      </w:r>
    </w:p>
    <w:p w:rsidR="00D15A00" w:rsidRDefault="00D15A00" w:rsidP="002A51CA"/>
    <w:p w:rsidR="00D15A00" w:rsidRDefault="00D15A00" w:rsidP="002A51CA"/>
    <w:p w:rsidR="00D15A00" w:rsidRDefault="00D15A00" w:rsidP="002A51CA"/>
    <w:p w:rsidR="00D15A00" w:rsidRDefault="00D15A00" w:rsidP="002A51CA">
      <w:pPr>
        <w:sectPr w:rsidR="00D15A00" w:rsidSect="00C6626C">
          <w:pgSz w:w="11906" w:h="16838" w:code="9"/>
          <w:pgMar w:top="1527" w:right="1134" w:bottom="851" w:left="1134" w:header="1418" w:footer="567" w:gutter="0"/>
          <w:cols w:space="397"/>
          <w:docGrid w:linePitch="360"/>
        </w:sectPr>
      </w:pPr>
    </w:p>
    <w:p w:rsidR="00400B0F" w:rsidRPr="008821C2" w:rsidRDefault="00400B0F" w:rsidP="00215731">
      <w:pPr>
        <w:pStyle w:val="Heading1smallspaceafter"/>
      </w:pPr>
      <w:r w:rsidRPr="008821C2">
        <w:lastRenderedPageBreak/>
        <w:t xml:space="preserve">Annex A - Progress in Addressing Management </w:t>
      </w:r>
      <w:r w:rsidR="00AC302F" w:rsidRPr="008821C2">
        <w:t>actions</w:t>
      </w:r>
    </w:p>
    <w:p w:rsidR="008821C2" w:rsidRPr="00967D26" w:rsidRDefault="008821C2" w:rsidP="00967D26">
      <w:pPr>
        <w:pStyle w:val="BodyText"/>
      </w:pPr>
      <w:r w:rsidRPr="00967D26">
        <w:t>[Describe progress made against management responses in 2017-18 report.]</w:t>
      </w:r>
    </w:p>
    <w:tbl>
      <w:tblPr>
        <w:tblStyle w:val="APPR"/>
        <w:tblpPr w:leftFromText="180" w:rightFromText="180" w:vertAnchor="text" w:tblpY="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5"/>
        <w:gridCol w:w="1188"/>
        <w:gridCol w:w="6800"/>
      </w:tblGrid>
      <w:tr w:rsidR="008821C2" w:rsidRPr="00812509" w:rsidTr="003E2BE7">
        <w:trPr>
          <w:cnfStyle w:val="000000010000" w:firstRow="0" w:lastRow="0" w:firstColumn="0" w:lastColumn="0" w:oddVBand="0" w:evenVBand="0" w:oddHBand="0" w:evenHBand="1" w:firstRowFirstColumn="0" w:firstRowLastColumn="0" w:lastRowFirstColumn="0" w:lastRowLastColumn="0"/>
        </w:trPr>
        <w:tc>
          <w:tcPr>
            <w:tcW w:w="64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w:t>
            </w:r>
            <w:r>
              <w:rPr>
                <w:rFonts w:asciiTheme="minorHAnsi" w:eastAsia="Times New Roman" w:hAnsiTheme="minorHAnsi"/>
                <w:b/>
                <w:iCs/>
                <w:szCs w:val="17"/>
                <w:lang w:eastAsia="en-US"/>
              </w:rPr>
              <w:t>17-18</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FD0E7E">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FD0E7E">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Pr>
                <w:rFonts w:asciiTheme="minorHAnsi" w:eastAsia="Times New Roman" w:hAnsiTheme="minorHAnsi"/>
                <w:b/>
                <w:iCs/>
                <w:szCs w:val="17"/>
                <w:lang w:eastAsia="en-US"/>
              </w:rPr>
              <w:t>8-19</w:t>
            </w:r>
          </w:p>
        </w:tc>
      </w:tr>
      <w:tr w:rsidR="008821C2" w:rsidRPr="00812509" w:rsidTr="003E2BE7">
        <w:trPr>
          <w:cnfStyle w:val="000000010000" w:firstRow="0" w:lastRow="0" w:firstColumn="0" w:lastColumn="0" w:oddVBand="0" w:evenVBand="0" w:oddHBand="0" w:evenHBand="1" w:firstRowFirstColumn="0" w:firstRowLastColumn="0" w:lastRowFirstColumn="0" w:lastRowLastColumn="0"/>
        </w:trPr>
        <w:tc>
          <w:tcPr>
            <w:tcW w:w="64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FD0E7E">
            <w:pPr>
              <w:keepLines/>
              <w:spacing w:before="40" w:after="40" w:line="200" w:lineRule="atLeast"/>
              <w:rPr>
                <w:rFonts w:asciiTheme="minorHAnsi" w:eastAsia="Times New Roman" w:hAnsiTheme="minorHAnsi"/>
                <w:iCs/>
                <w:szCs w:val="17"/>
                <w:lang w:eastAsia="en-US"/>
              </w:rPr>
            </w:pP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8821C2" w:rsidRPr="00967D26" w:rsidRDefault="008821C2" w:rsidP="00FD0E7E">
            <w:pPr>
              <w:keepLines/>
              <w:spacing w:before="40" w:after="40" w:line="200" w:lineRule="atLeast"/>
              <w:jc w:val="center"/>
              <w:rPr>
                <w:rFonts w:asciiTheme="minorHAnsi" w:eastAsia="Times New Roman" w:hAnsiTheme="minorHAnsi"/>
                <w:b/>
                <w:iCs/>
                <w:color w:val="auto"/>
                <w:szCs w:val="17"/>
                <w:lang w:eastAsia="en-US"/>
              </w:rPr>
            </w:pPr>
            <w:r w:rsidRPr="00967D26">
              <w:rPr>
                <w:rFonts w:asciiTheme="minorHAnsi" w:eastAsia="Times New Roman" w:hAnsiTheme="minorHAnsi"/>
                <w:b/>
                <w:iCs/>
                <w:color w:val="auto"/>
                <w:szCs w:val="17"/>
                <w:lang w:eastAsia="en-US"/>
              </w:rPr>
              <w:t>Achieved</w:t>
            </w:r>
          </w:p>
        </w:tc>
        <w:tc>
          <w:tcPr>
            <w:tcW w:w="6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FD0E7E">
            <w:pPr>
              <w:keepLines/>
              <w:spacing w:before="40" w:after="40" w:line="200" w:lineRule="atLeast"/>
              <w:rPr>
                <w:rFonts w:asciiTheme="minorHAnsi" w:eastAsia="Times New Roman" w:hAnsiTheme="minorHAnsi"/>
                <w:iCs/>
                <w:color w:val="92D050"/>
                <w:szCs w:val="17"/>
                <w:lang w:eastAsia="en-US"/>
              </w:rPr>
            </w:pPr>
          </w:p>
        </w:tc>
      </w:tr>
      <w:tr w:rsidR="008821C2" w:rsidRPr="00812509" w:rsidTr="003E2BE7">
        <w:trPr>
          <w:cnfStyle w:val="000000010000" w:firstRow="0" w:lastRow="0" w:firstColumn="0" w:lastColumn="0" w:oddVBand="0" w:evenVBand="0" w:oddHBand="0" w:evenHBand="1" w:firstRowFirstColumn="0" w:firstRowLastColumn="0" w:lastRowFirstColumn="0" w:lastRowLastColumn="0"/>
        </w:trPr>
        <w:tc>
          <w:tcPr>
            <w:tcW w:w="64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FD0E7E">
            <w:pPr>
              <w:keepLines/>
              <w:spacing w:before="40" w:after="40" w:line="200" w:lineRule="atLeast"/>
              <w:rPr>
                <w:rFonts w:asciiTheme="minorHAnsi" w:eastAsia="Times New Roman" w:hAnsiTheme="minorHAnsi"/>
                <w:iCs/>
                <w:szCs w:val="17"/>
                <w:lang w:eastAsia="en-US"/>
              </w:rPr>
            </w:pP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8821C2" w:rsidRPr="00967D26" w:rsidRDefault="008821C2" w:rsidP="00FD0E7E">
            <w:pPr>
              <w:keepLines/>
              <w:spacing w:before="40" w:after="40" w:line="200" w:lineRule="atLeast"/>
              <w:jc w:val="center"/>
              <w:rPr>
                <w:rFonts w:asciiTheme="minorHAnsi" w:eastAsia="Times New Roman" w:hAnsiTheme="minorHAnsi"/>
                <w:b/>
                <w:iCs/>
                <w:color w:val="auto"/>
                <w:szCs w:val="17"/>
                <w:lang w:eastAsia="en-US"/>
              </w:rPr>
            </w:pPr>
            <w:r w:rsidRPr="00967D26">
              <w:rPr>
                <w:rFonts w:asciiTheme="minorHAnsi" w:eastAsia="Times New Roman" w:hAnsiTheme="minorHAnsi"/>
                <w:b/>
                <w:iCs/>
                <w:color w:val="auto"/>
                <w:szCs w:val="17"/>
                <w:lang w:eastAsia="en-US"/>
              </w:rPr>
              <w:t>Achieved</w:t>
            </w:r>
            <w:r w:rsidRPr="00967D26">
              <w:rPr>
                <w:rFonts w:eastAsia="Times New Roman"/>
                <w:b/>
                <w:iCs/>
                <w:color w:val="auto"/>
                <w:szCs w:val="17"/>
              </w:rPr>
              <w:fldChar w:fldCharType="begin"/>
            </w:r>
            <w:r w:rsidRPr="00967D26">
              <w:rPr>
                <w:rFonts w:asciiTheme="minorHAnsi" w:eastAsia="Times New Roman" w:hAnsiTheme="minorHAnsi"/>
                <w:b/>
                <w:iCs/>
                <w:color w:val="auto"/>
                <w:szCs w:val="17"/>
                <w:lang w:eastAsia="en-US"/>
              </w:rPr>
              <w:instrText xml:space="preserve"> AUTOTEXTLIST  \s "Rating bullet"\t "Right click to choose a rating" \* MERGEFORMAT </w:instrText>
            </w:r>
            <w:r w:rsidRPr="00967D26">
              <w:rPr>
                <w:rFonts w:eastAsia="Times New Roman"/>
                <w:b/>
                <w:iCs/>
                <w:color w:val="auto"/>
                <w:szCs w:val="17"/>
              </w:rPr>
              <w:fldChar w:fldCharType="end"/>
            </w:r>
          </w:p>
        </w:tc>
        <w:tc>
          <w:tcPr>
            <w:tcW w:w="6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FD0E7E">
            <w:pPr>
              <w:keepLines/>
              <w:spacing w:before="40" w:after="40" w:line="200" w:lineRule="atLeast"/>
              <w:rPr>
                <w:rFonts w:asciiTheme="minorHAnsi" w:eastAsia="Times New Roman" w:hAnsiTheme="minorHAnsi"/>
                <w:iCs/>
                <w:color w:val="92D050"/>
                <w:szCs w:val="17"/>
                <w:lang w:eastAsia="en-US"/>
              </w:rPr>
            </w:pPr>
          </w:p>
        </w:tc>
      </w:tr>
      <w:tr w:rsidR="008821C2" w:rsidRPr="00812509" w:rsidTr="003E2BE7">
        <w:trPr>
          <w:cnfStyle w:val="000000010000" w:firstRow="0" w:lastRow="0" w:firstColumn="0" w:lastColumn="0" w:oddVBand="0" w:evenVBand="0" w:oddHBand="0" w:evenHBand="1" w:firstRowFirstColumn="0" w:firstRowLastColumn="0" w:lastRowFirstColumn="0" w:lastRowLastColumn="0"/>
        </w:trPr>
        <w:tc>
          <w:tcPr>
            <w:tcW w:w="64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FD0E7E">
            <w:pPr>
              <w:keepLines/>
              <w:spacing w:before="40" w:after="40" w:line="200" w:lineRule="atLeast"/>
              <w:rPr>
                <w:rFonts w:asciiTheme="minorHAnsi" w:eastAsia="Times New Roman" w:hAnsiTheme="minorHAnsi"/>
                <w:iCs/>
                <w:szCs w:val="17"/>
                <w:lang w:eastAsia="en-US"/>
              </w:rPr>
            </w:pP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8821C2" w:rsidRPr="00967D26" w:rsidRDefault="008821C2" w:rsidP="00FD0E7E">
            <w:pPr>
              <w:keepLines/>
              <w:spacing w:before="40" w:after="40" w:line="200" w:lineRule="atLeast"/>
              <w:jc w:val="center"/>
              <w:rPr>
                <w:rFonts w:asciiTheme="minorHAnsi" w:eastAsia="Times New Roman" w:hAnsiTheme="minorHAnsi"/>
                <w:b/>
                <w:iCs/>
                <w:color w:val="auto"/>
                <w:szCs w:val="17"/>
                <w:lang w:eastAsia="en-US"/>
              </w:rPr>
            </w:pPr>
            <w:r w:rsidRPr="00967D26">
              <w:rPr>
                <w:rFonts w:asciiTheme="minorHAnsi" w:eastAsia="Times New Roman" w:hAnsiTheme="minorHAnsi"/>
                <w:b/>
                <w:iCs/>
                <w:color w:val="auto"/>
                <w:szCs w:val="17"/>
                <w:lang w:eastAsia="en-US"/>
              </w:rPr>
              <w:t>Achieved</w:t>
            </w:r>
          </w:p>
        </w:tc>
        <w:tc>
          <w:tcPr>
            <w:tcW w:w="6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FD0E7E">
            <w:pPr>
              <w:keepLines/>
              <w:spacing w:before="40" w:after="40" w:line="200" w:lineRule="atLeast"/>
              <w:rPr>
                <w:rFonts w:asciiTheme="minorHAnsi" w:eastAsia="Times New Roman" w:hAnsiTheme="minorHAnsi"/>
                <w:iCs/>
                <w:color w:val="92D050"/>
                <w:szCs w:val="17"/>
                <w:lang w:eastAsia="en-US"/>
              </w:rPr>
            </w:pPr>
          </w:p>
        </w:tc>
      </w:tr>
      <w:tr w:rsidR="008821C2" w:rsidRPr="00812509" w:rsidTr="003E2BE7">
        <w:trPr>
          <w:cnfStyle w:val="000000010000" w:firstRow="0" w:lastRow="0" w:firstColumn="0" w:lastColumn="0" w:oddVBand="0" w:evenVBand="0" w:oddHBand="0" w:evenHBand="1" w:firstRowFirstColumn="0" w:firstRowLastColumn="0" w:lastRowFirstColumn="0" w:lastRowLastColumn="0"/>
        </w:trPr>
        <w:tc>
          <w:tcPr>
            <w:tcW w:w="64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FD0E7E">
            <w:pPr>
              <w:keepLines/>
              <w:spacing w:before="40" w:after="40" w:line="200" w:lineRule="atLeast"/>
              <w:rPr>
                <w:rFonts w:asciiTheme="minorHAnsi" w:eastAsia="Times New Roman" w:hAnsiTheme="minorHAnsi"/>
                <w:iCs/>
                <w:szCs w:val="17"/>
                <w:lang w:eastAsia="en-US"/>
              </w:rPr>
            </w:pP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rsidR="008821C2" w:rsidRPr="00967D26" w:rsidRDefault="008821C2" w:rsidP="00FD0E7E">
            <w:pPr>
              <w:keepLines/>
              <w:spacing w:before="40" w:after="40" w:line="200" w:lineRule="atLeast"/>
              <w:jc w:val="center"/>
              <w:rPr>
                <w:rFonts w:asciiTheme="minorHAnsi" w:eastAsia="Times New Roman" w:hAnsiTheme="minorHAnsi"/>
                <w:b/>
                <w:iCs/>
                <w:color w:val="auto"/>
                <w:szCs w:val="17"/>
                <w:lang w:eastAsia="en-US"/>
              </w:rPr>
            </w:pPr>
            <w:r w:rsidRPr="00967D26">
              <w:rPr>
                <w:rFonts w:asciiTheme="minorHAnsi" w:eastAsia="Times New Roman" w:hAnsiTheme="minorHAnsi"/>
                <w:b/>
                <w:iCs/>
                <w:color w:val="auto"/>
                <w:szCs w:val="17"/>
                <w:lang w:eastAsia="en-US"/>
              </w:rPr>
              <w:t>Partly achieved</w:t>
            </w:r>
          </w:p>
        </w:tc>
        <w:tc>
          <w:tcPr>
            <w:tcW w:w="6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FD0E7E">
            <w:pPr>
              <w:keepLines/>
              <w:spacing w:before="40" w:after="40" w:line="200" w:lineRule="atLeast"/>
              <w:rPr>
                <w:rFonts w:asciiTheme="minorHAnsi" w:eastAsia="Times New Roman" w:hAnsiTheme="minorHAnsi"/>
                <w:iCs/>
                <w:color w:val="409F68" w:themeColor="accent6"/>
                <w:szCs w:val="17"/>
                <w:lang w:eastAsia="en-US"/>
              </w:rPr>
            </w:pPr>
          </w:p>
        </w:tc>
      </w:tr>
      <w:tr w:rsidR="008821C2" w:rsidRPr="00812509" w:rsidTr="003E2BE7">
        <w:trPr>
          <w:cnfStyle w:val="000000010000" w:firstRow="0" w:lastRow="0" w:firstColumn="0" w:lastColumn="0" w:oddVBand="0" w:evenVBand="0" w:oddHBand="0" w:evenHBand="1" w:firstRowFirstColumn="0" w:firstRowLastColumn="0" w:lastRowFirstColumn="0" w:lastRowLastColumn="0"/>
        </w:trPr>
        <w:tc>
          <w:tcPr>
            <w:tcW w:w="64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FD0E7E">
            <w:pPr>
              <w:keepLines/>
              <w:spacing w:before="40" w:after="40" w:line="200" w:lineRule="atLeast"/>
              <w:rPr>
                <w:rFonts w:asciiTheme="minorHAnsi" w:eastAsia="Times New Roman" w:hAnsiTheme="minorHAnsi"/>
                <w:iCs/>
                <w:szCs w:val="17"/>
                <w:lang w:eastAsia="en-US"/>
              </w:rPr>
            </w:pP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0000"/>
          </w:tcPr>
          <w:p w:rsidR="008821C2" w:rsidRPr="00967D26" w:rsidRDefault="008821C2" w:rsidP="00FD0E7E">
            <w:pPr>
              <w:keepLines/>
              <w:spacing w:before="40" w:after="40" w:line="200" w:lineRule="atLeast"/>
              <w:jc w:val="center"/>
              <w:rPr>
                <w:rFonts w:asciiTheme="minorHAnsi" w:eastAsia="Times New Roman" w:hAnsiTheme="minorHAnsi"/>
                <w:b/>
                <w:iCs/>
                <w:color w:val="auto"/>
                <w:szCs w:val="17"/>
                <w:lang w:eastAsia="en-US"/>
              </w:rPr>
            </w:pPr>
            <w:r w:rsidRPr="00967D26">
              <w:rPr>
                <w:rFonts w:asciiTheme="minorHAnsi" w:eastAsia="Times New Roman" w:hAnsiTheme="minorHAnsi"/>
                <w:b/>
                <w:iCs/>
                <w:color w:val="auto"/>
                <w:szCs w:val="17"/>
                <w:lang w:eastAsia="en-US"/>
              </w:rPr>
              <w:t>Not achieved</w:t>
            </w:r>
          </w:p>
        </w:tc>
        <w:tc>
          <w:tcPr>
            <w:tcW w:w="6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FD0E7E">
            <w:pPr>
              <w:keepLines/>
              <w:spacing w:before="40" w:after="40" w:line="200" w:lineRule="atLeast"/>
              <w:rPr>
                <w:rFonts w:asciiTheme="minorHAnsi" w:eastAsia="Times New Roman" w:hAnsiTheme="minorHAnsi"/>
                <w:iCs/>
                <w:color w:val="409F68" w:themeColor="accent6"/>
                <w:szCs w:val="17"/>
                <w:lang w:eastAsia="en-US"/>
              </w:rPr>
            </w:pPr>
          </w:p>
        </w:tc>
      </w:tr>
    </w:tbl>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400B0F" w:rsidRPr="00C61187" w:rsidRDefault="00400B0F" w:rsidP="00400B0F">
      <w:pPr>
        <w:spacing w:after="160" w:line="280" w:lineRule="exact"/>
        <w:rPr>
          <w:rFonts w:ascii="Franklin Gothic Book" w:eastAsia="Times New Roman" w:hAnsi="Franklin Gothic Book"/>
          <w:sz w:val="21"/>
        </w:rPr>
      </w:pPr>
    </w:p>
    <w:p w:rsidR="00400B0F" w:rsidRPr="00C61187" w:rsidRDefault="00400B0F" w:rsidP="00400B0F">
      <w:pPr>
        <w:spacing w:after="200" w:line="276" w:lineRule="auto"/>
        <w:rPr>
          <w:rFonts w:ascii="Franklin Gothic Book" w:hAnsi="Franklin Gothic Book"/>
          <w:sz w:val="21"/>
        </w:rPr>
      </w:pPr>
    </w:p>
    <w:p w:rsidR="00D15A00" w:rsidRDefault="00D15A00"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60268" w:rsidRDefault="00060268" w:rsidP="002A51CA"/>
    <w:p w:rsidR="00033AB7" w:rsidRPr="008821C2" w:rsidRDefault="002A51CA" w:rsidP="00215731">
      <w:pPr>
        <w:pStyle w:val="Heading1smallspaceafter"/>
      </w:pPr>
      <w:r w:rsidRPr="008821C2">
        <w:rPr>
          <w:rFonts w:eastAsia="Times New Roman"/>
          <w:sz w:val="21"/>
        </w:rPr>
        <w:t xml:space="preserve"> </w:t>
      </w:r>
      <w:r w:rsidR="00400B0F" w:rsidRPr="008821C2">
        <w:t xml:space="preserve">Annex B </w:t>
      </w:r>
      <w:r w:rsidR="00033AB7" w:rsidRPr="008821C2">
        <w:t>–</w:t>
      </w:r>
      <w:r w:rsidR="00400B0F" w:rsidRPr="008821C2">
        <w:t xml:space="preserve"> </w:t>
      </w:r>
      <w:r w:rsidR="00033AB7" w:rsidRPr="008821C2">
        <w:t>PERFORMANCE BENCHMARKS</w:t>
      </w:r>
    </w:p>
    <w:p w:rsidR="00215731" w:rsidRDefault="00215731" w:rsidP="00215731">
      <w:pPr>
        <w:pStyle w:val="Heading1smallspaceafter"/>
        <w:rPr>
          <w:rFonts w:eastAsia="Times New Roman"/>
        </w:rPr>
      </w:pPr>
    </w:p>
    <w:p w:rsidR="008821C2" w:rsidRPr="00F8189A" w:rsidRDefault="008821C2" w:rsidP="00215731">
      <w:pPr>
        <w:pStyle w:val="Heading1smallspaceafter"/>
        <w:rPr>
          <w:rFonts w:eastAsia="Times New Roman"/>
        </w:rPr>
      </w:pPr>
      <w:r>
        <w:rPr>
          <w:rFonts w:eastAsia="Times New Roman"/>
        </w:rPr>
        <w:t xml:space="preserve">1 </w:t>
      </w:r>
      <w:r w:rsidRPr="00F8189A">
        <w:rPr>
          <w:rFonts w:eastAsia="Times New Roman"/>
        </w:rPr>
        <w:t>Progress towards Performance Benchmarks in 2018-19</w:t>
      </w:r>
    </w:p>
    <w:p w:rsidR="008821C2" w:rsidRPr="00967D26" w:rsidRDefault="008821C2" w:rsidP="00967D26">
      <w:pPr>
        <w:pStyle w:val="BodyText"/>
      </w:pPr>
      <w:r w:rsidRPr="00967D26">
        <w:t>[Discussion on progress against specific performance benchmarks in 2018-19 should also be included as part of the text assessing progress against individual program objectives in the main body of the APPR.]</w:t>
      </w:r>
    </w:p>
    <w:tbl>
      <w:tblPr>
        <w:tblStyle w:val="DFATTable"/>
        <w:tblW w:w="5000" w:type="pct"/>
        <w:tblLook w:val="04A0" w:firstRow="1" w:lastRow="0" w:firstColumn="1" w:lastColumn="0" w:noHBand="0" w:noVBand="1"/>
      </w:tblPr>
      <w:tblGrid>
        <w:gridCol w:w="2211"/>
        <w:gridCol w:w="2211"/>
        <w:gridCol w:w="1332"/>
        <w:gridCol w:w="8419"/>
      </w:tblGrid>
      <w:tr w:rsidR="008821C2" w:rsidRPr="00C61187" w:rsidTr="00FD0E7E">
        <w:trPr>
          <w:tblHeader/>
        </w:trPr>
        <w:tc>
          <w:tcPr>
            <w:tcW w:w="780" w:type="pct"/>
            <w:tcMar>
              <w:top w:w="57" w:type="dxa"/>
              <w:bottom w:w="57" w:type="dxa"/>
            </w:tcMar>
          </w:tcPr>
          <w:p w:rsidR="008821C2" w:rsidRPr="00880004" w:rsidRDefault="008821C2" w:rsidP="00FD0E7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rsidR="008821C2" w:rsidRPr="00880004" w:rsidRDefault="008821C2" w:rsidP="00FD0E7E">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rsidR="008821C2" w:rsidRPr="00880004" w:rsidRDefault="008821C2" w:rsidP="00FD0E7E">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rsidR="008821C2" w:rsidRPr="00880004" w:rsidRDefault="008821C2" w:rsidP="003E2BE7">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3E2BE7">
              <w:rPr>
                <w:rFonts w:asciiTheme="minorHAnsi" w:eastAsia="Times New Roman" w:hAnsiTheme="minorHAnsi"/>
                <w:b/>
                <w:iCs/>
                <w:szCs w:val="17"/>
                <w:lang w:eastAsia="en-US"/>
              </w:rPr>
              <w:t>8-19</w:t>
            </w:r>
          </w:p>
        </w:tc>
      </w:tr>
      <w:tr w:rsidR="008821C2" w:rsidRPr="00C61187" w:rsidTr="00FD0E7E">
        <w:tc>
          <w:tcPr>
            <w:tcW w:w="780" w:type="pct"/>
            <w:tcMar>
              <w:top w:w="57" w:type="dxa"/>
              <w:bottom w:w="57" w:type="dxa"/>
            </w:tcMar>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AIP  Strategic Objective</w:t>
            </w:r>
          </w:p>
        </w:tc>
        <w:tc>
          <w:tcPr>
            <w:tcW w:w="780" w:type="pct"/>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xml:space="preserve">Performance Benchmark (s) </w:t>
            </w:r>
          </w:p>
        </w:tc>
        <w:tc>
          <w:tcPr>
            <w:tcW w:w="470" w:type="pct"/>
            <w:shd w:val="clear" w:color="auto" w:fill="92D050"/>
          </w:tcPr>
          <w:p w:rsidR="008821C2" w:rsidRPr="00967D26" w:rsidRDefault="008821C2" w:rsidP="00FD0E7E">
            <w:pPr>
              <w:keepLines/>
              <w:spacing w:before="40" w:after="40" w:line="200" w:lineRule="atLeast"/>
              <w:jc w:val="center"/>
              <w:rPr>
                <w:rFonts w:asciiTheme="minorHAnsi" w:eastAsia="Times New Roman" w:hAnsiTheme="minorHAnsi"/>
                <w:b/>
                <w:iCs/>
                <w:color w:val="auto"/>
                <w:szCs w:val="17"/>
                <w:lang w:eastAsia="en-US"/>
              </w:rPr>
            </w:pPr>
            <w:r w:rsidRPr="00967D26">
              <w:rPr>
                <w:rFonts w:asciiTheme="minorHAnsi" w:eastAsia="Times New Roman" w:hAnsiTheme="minorHAnsi"/>
                <w:b/>
                <w:iCs/>
                <w:color w:val="auto"/>
                <w:szCs w:val="17"/>
                <w:lang w:eastAsia="en-US"/>
              </w:rPr>
              <w:t>Achieved</w:t>
            </w:r>
          </w:p>
        </w:tc>
        <w:tc>
          <w:tcPr>
            <w:tcW w:w="2970" w:type="pct"/>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Comment briefly on the extent of progress.</w:t>
            </w:r>
          </w:p>
        </w:tc>
      </w:tr>
      <w:tr w:rsidR="008821C2" w:rsidRPr="00C61187" w:rsidTr="00FD0E7E">
        <w:tc>
          <w:tcPr>
            <w:tcW w:w="780" w:type="pct"/>
            <w:tcMar>
              <w:top w:w="57" w:type="dxa"/>
              <w:bottom w:w="57" w:type="dxa"/>
            </w:tcMar>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AIP  Strategic Objective</w:t>
            </w:r>
          </w:p>
        </w:tc>
        <w:tc>
          <w:tcPr>
            <w:tcW w:w="780" w:type="pct"/>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xml:space="preserve">Performance Benchmark (s) </w:t>
            </w:r>
          </w:p>
        </w:tc>
        <w:tc>
          <w:tcPr>
            <w:tcW w:w="470" w:type="pct"/>
            <w:shd w:val="clear" w:color="auto" w:fill="F7AA32"/>
          </w:tcPr>
          <w:p w:rsidR="008821C2" w:rsidRPr="00967D26" w:rsidRDefault="008821C2" w:rsidP="00FD0E7E">
            <w:pPr>
              <w:keepLines/>
              <w:spacing w:before="40" w:after="40" w:line="200" w:lineRule="atLeast"/>
              <w:jc w:val="center"/>
              <w:rPr>
                <w:rFonts w:asciiTheme="minorHAnsi" w:eastAsia="Times New Roman" w:hAnsiTheme="minorHAnsi"/>
                <w:b/>
                <w:iCs/>
                <w:color w:val="auto"/>
                <w:szCs w:val="17"/>
                <w:lang w:eastAsia="en-US"/>
              </w:rPr>
            </w:pPr>
            <w:r w:rsidRPr="00967D26">
              <w:rPr>
                <w:rFonts w:asciiTheme="minorHAnsi" w:eastAsia="Times New Roman" w:hAnsiTheme="minorHAnsi"/>
                <w:b/>
                <w:iCs/>
                <w:color w:val="auto"/>
                <w:szCs w:val="17"/>
                <w:lang w:eastAsia="en-US"/>
              </w:rPr>
              <w:t>Partly achieved</w:t>
            </w:r>
          </w:p>
        </w:tc>
        <w:tc>
          <w:tcPr>
            <w:tcW w:w="2970" w:type="pct"/>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If the benchmark was not achieved or only partly achieved, include summary information on actual performance.</w:t>
            </w:r>
          </w:p>
        </w:tc>
      </w:tr>
      <w:tr w:rsidR="008821C2" w:rsidRPr="00C61187" w:rsidTr="00FD0E7E">
        <w:tc>
          <w:tcPr>
            <w:tcW w:w="780" w:type="pct"/>
            <w:tcMar>
              <w:top w:w="57" w:type="dxa"/>
              <w:bottom w:w="57" w:type="dxa"/>
            </w:tcMar>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2019-20 Performance Framework or AIP  Strategic Objective</w:t>
            </w:r>
          </w:p>
        </w:tc>
        <w:tc>
          <w:tcPr>
            <w:tcW w:w="780" w:type="pct"/>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xml:space="preserve">Performance Benchmark (s) </w:t>
            </w:r>
          </w:p>
        </w:tc>
        <w:tc>
          <w:tcPr>
            <w:tcW w:w="470" w:type="pct"/>
            <w:shd w:val="clear" w:color="auto" w:fill="FF0000"/>
          </w:tcPr>
          <w:p w:rsidR="008821C2" w:rsidRPr="00967D26" w:rsidRDefault="008821C2" w:rsidP="00FD0E7E">
            <w:pPr>
              <w:keepLines/>
              <w:spacing w:before="40" w:after="40" w:line="200" w:lineRule="atLeast"/>
              <w:rPr>
                <w:rFonts w:asciiTheme="minorHAnsi" w:eastAsia="Times New Roman" w:hAnsiTheme="minorHAnsi"/>
                <w:b/>
                <w:iCs/>
                <w:color w:val="auto"/>
                <w:szCs w:val="17"/>
                <w:lang w:eastAsia="en-US"/>
              </w:rPr>
            </w:pPr>
            <w:r w:rsidRPr="00967D26">
              <w:rPr>
                <w:rFonts w:asciiTheme="minorHAnsi" w:eastAsia="Times New Roman" w:hAnsiTheme="minorHAnsi"/>
                <w:b/>
                <w:iCs/>
                <w:color w:val="auto"/>
                <w:szCs w:val="17"/>
                <w:lang w:eastAsia="en-US"/>
              </w:rPr>
              <w:t xml:space="preserve">Not Achieved </w:t>
            </w:r>
          </w:p>
        </w:tc>
        <w:tc>
          <w:tcPr>
            <w:tcW w:w="2970" w:type="pct"/>
          </w:tcPr>
          <w:p w:rsidR="008821C2" w:rsidRPr="00967D26" w:rsidRDefault="008821C2" w:rsidP="00FD0E7E">
            <w:pPr>
              <w:pStyle w:val="TableTextEntries"/>
              <w:keepNext/>
              <w:rPr>
                <w:rFonts w:asciiTheme="minorHAnsi" w:hAnsiTheme="minorHAnsi" w:cstheme="minorBidi"/>
                <w:lang w:val="en-GB" w:eastAsia="en-US"/>
              </w:rPr>
            </w:pPr>
            <w:r w:rsidRPr="00967D26">
              <w:rPr>
                <w:rFonts w:asciiTheme="minorHAnsi" w:hAnsiTheme="minorHAnsi" w:cstheme="minorBidi"/>
                <w:lang w:val="en-GB" w:eastAsia="en-US"/>
              </w:rPr>
              <w:t>Comment briefly on the extent of progress and why the benchmark was not achieved</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p>
        </w:tc>
      </w:tr>
    </w:tbl>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7B4865" w:rsidRDefault="007B4865" w:rsidP="007B4865">
      <w:pPr>
        <w:rPr>
          <w:rFonts w:ascii="Franklin Gothic Book" w:eastAsia="Times New Roman" w:hAnsi="Franklin Gothic Book"/>
          <w:b/>
          <w:sz w:val="24"/>
          <w:szCs w:val="24"/>
        </w:rPr>
      </w:pPr>
    </w:p>
    <w:p w:rsidR="008821C2" w:rsidRPr="00F8189A" w:rsidRDefault="008821C2" w:rsidP="00215731">
      <w:pPr>
        <w:pStyle w:val="Heading1smallspaceafter"/>
        <w:rPr>
          <w:rFonts w:eastAsia="Times New Roman"/>
        </w:rPr>
      </w:pPr>
      <w:r w:rsidRPr="00F8189A">
        <w:rPr>
          <w:rFonts w:eastAsia="Times New Roman"/>
        </w:rPr>
        <w:t xml:space="preserve">2 Performance Benchmarks for </w:t>
      </w:r>
      <w:r>
        <w:rPr>
          <w:rFonts w:eastAsia="Times New Roman"/>
        </w:rPr>
        <w:t>2019-20</w:t>
      </w:r>
    </w:p>
    <w:tbl>
      <w:tblPr>
        <w:tblStyle w:val="DFATTable"/>
        <w:tblW w:w="5000" w:type="pct"/>
        <w:tblLook w:val="04A0" w:firstRow="1" w:lastRow="0" w:firstColumn="1" w:lastColumn="0" w:noHBand="0" w:noVBand="1"/>
      </w:tblPr>
      <w:tblGrid>
        <w:gridCol w:w="2265"/>
        <w:gridCol w:w="4266"/>
        <w:gridCol w:w="2262"/>
        <w:gridCol w:w="5380"/>
      </w:tblGrid>
      <w:tr w:rsidR="008821C2" w:rsidTr="00FD0E7E">
        <w:trPr>
          <w:trHeight w:val="245"/>
        </w:trPr>
        <w:tc>
          <w:tcPr>
            <w:tcW w:w="799" w:type="pct"/>
            <w:tcBorders>
              <w:top w:val="single" w:sz="12" w:space="0" w:color="auto"/>
              <w:left w:val="nil"/>
              <w:bottom w:val="nil"/>
              <w:right w:val="nil"/>
            </w:tcBorders>
          </w:tcPr>
          <w:p w:rsidR="008821C2" w:rsidRPr="00BE6C6D" w:rsidRDefault="008821C2" w:rsidP="00FD0E7E">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05" w:type="pct"/>
            <w:tcBorders>
              <w:top w:val="single" w:sz="12" w:space="0" w:color="auto"/>
              <w:left w:val="nil"/>
              <w:bottom w:val="nil"/>
              <w:right w:val="nil"/>
            </w:tcBorders>
          </w:tcPr>
          <w:p w:rsidR="008821C2" w:rsidRPr="00BE6C6D" w:rsidRDefault="008821C2" w:rsidP="00FD0E7E">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798" w:type="pct"/>
            <w:tcBorders>
              <w:top w:val="single" w:sz="12" w:space="0" w:color="auto"/>
              <w:left w:val="nil"/>
              <w:bottom w:val="nil"/>
              <w:right w:val="nil"/>
            </w:tcBorders>
            <w:hideMark/>
          </w:tcPr>
          <w:p w:rsidR="008821C2" w:rsidRPr="00BE6C6D" w:rsidRDefault="008821C2" w:rsidP="00FD0E7E">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1898" w:type="pct"/>
            <w:tcBorders>
              <w:top w:val="single" w:sz="12" w:space="0" w:color="auto"/>
              <w:left w:val="nil"/>
              <w:bottom w:val="nil"/>
              <w:right w:val="nil"/>
            </w:tcBorders>
            <w:hideMark/>
          </w:tcPr>
          <w:p w:rsidR="008821C2" w:rsidRPr="00BE6C6D" w:rsidRDefault="008821C2" w:rsidP="00FD0E7E">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9-20</w:t>
            </w:r>
          </w:p>
        </w:tc>
      </w:tr>
      <w:tr w:rsidR="008821C2" w:rsidTr="00FD0E7E">
        <w:trPr>
          <w:trHeight w:val="730"/>
        </w:trPr>
        <w:tc>
          <w:tcPr>
            <w:tcW w:w="799" w:type="pct"/>
            <w:tcBorders>
              <w:top w:val="nil"/>
              <w:left w:val="nil"/>
              <w:bottom w:val="nil"/>
              <w:right w:val="nil"/>
            </w:tcBorders>
          </w:tcPr>
          <w:p w:rsidR="008821C2" w:rsidRPr="00967D26" w:rsidRDefault="008821C2" w:rsidP="00FD0E7E">
            <w:pPr>
              <w:pStyle w:val="NormalIndented"/>
              <w:rPr>
                <w:rFonts w:asciiTheme="minorHAnsi" w:hAnsiTheme="minorHAnsi"/>
                <w:i/>
                <w:color w:val="auto"/>
                <w:sz w:val="18"/>
              </w:rPr>
            </w:pPr>
            <w:r w:rsidRPr="00967D26">
              <w:rPr>
                <w:rFonts w:asciiTheme="minorHAnsi" w:eastAsia="Times New Roman" w:hAnsiTheme="minorHAnsi"/>
                <w:iCs/>
                <w:color w:val="auto"/>
                <w:szCs w:val="17"/>
                <w:lang w:eastAsia="en-US"/>
              </w:rPr>
              <w:t xml:space="preserve">2019-20 Performance Framework or AIP  Strategic Objective </w:t>
            </w:r>
          </w:p>
        </w:tc>
        <w:tc>
          <w:tcPr>
            <w:tcW w:w="1505" w:type="pct"/>
            <w:tcBorders>
              <w:top w:val="nil"/>
              <w:left w:val="nil"/>
              <w:bottom w:val="nil"/>
              <w:right w:val="nil"/>
            </w:tcBorders>
          </w:tcPr>
          <w:p w:rsidR="008821C2" w:rsidRPr="00967D26" w:rsidRDefault="008821C2" w:rsidP="00FD0E7E">
            <w:pPr>
              <w:pStyle w:val="NormalIndented"/>
              <w:rPr>
                <w:rFonts w:asciiTheme="minorHAnsi" w:hAnsiTheme="minorHAnsi"/>
                <w:i/>
                <w:color w:val="auto"/>
                <w:szCs w:val="20"/>
                <w:lang w:eastAsia="en-US"/>
              </w:rPr>
            </w:pPr>
            <w:r w:rsidRPr="00967D26">
              <w:rPr>
                <w:rFonts w:asciiTheme="minorHAnsi" w:eastAsia="Times New Roman" w:hAnsiTheme="minorHAnsi"/>
                <w:iCs/>
                <w:color w:val="auto"/>
                <w:szCs w:val="17"/>
                <w:lang w:eastAsia="en-US"/>
              </w:rPr>
              <w:t xml:space="preserve">Performance Benchmark (s) </w:t>
            </w:r>
          </w:p>
        </w:tc>
        <w:tc>
          <w:tcPr>
            <w:tcW w:w="798" w:type="pct"/>
            <w:tcBorders>
              <w:top w:val="nil"/>
              <w:left w:val="nil"/>
              <w:bottom w:val="nil"/>
              <w:right w:val="nil"/>
            </w:tcBorders>
            <w:hideMark/>
          </w:tcPr>
          <w:p w:rsidR="008821C2" w:rsidRPr="00967D26" w:rsidRDefault="008821C2" w:rsidP="00FD0E7E">
            <w:pPr>
              <w:pStyle w:val="NormalIndented"/>
              <w:ind w:left="33"/>
              <w:jc w:val="center"/>
              <w:rPr>
                <w:rFonts w:asciiTheme="minorHAnsi" w:hAnsiTheme="minorHAnsi"/>
                <w:i/>
                <w:color w:val="auto"/>
                <w:szCs w:val="20"/>
                <w:lang w:eastAsia="en-US"/>
              </w:rPr>
            </w:pPr>
            <w:r w:rsidRPr="00967D26">
              <w:rPr>
                <w:rFonts w:asciiTheme="minorHAnsi" w:hAnsiTheme="minorHAnsi"/>
                <w:i/>
                <w:color w:val="auto"/>
                <w:szCs w:val="20"/>
                <w:lang w:eastAsia="en-US"/>
              </w:rPr>
              <w:t>(insert target</w:t>
            </w:r>
            <w:r w:rsidR="003E2BE7" w:rsidRPr="00967D26">
              <w:rPr>
                <w:rFonts w:asciiTheme="minorHAnsi" w:hAnsiTheme="minorHAnsi"/>
                <w:i/>
                <w:color w:val="auto"/>
                <w:szCs w:val="20"/>
                <w:lang w:eastAsia="en-US"/>
              </w:rPr>
              <w:t xml:space="preserve"> if relevant</w:t>
            </w:r>
            <w:r w:rsidRPr="00967D26">
              <w:rPr>
                <w:rFonts w:asciiTheme="minorHAnsi" w:hAnsiTheme="minorHAnsi"/>
                <w:i/>
                <w:color w:val="auto"/>
                <w:szCs w:val="20"/>
                <w:lang w:eastAsia="en-US"/>
              </w:rPr>
              <w:t>)</w:t>
            </w:r>
          </w:p>
        </w:tc>
        <w:tc>
          <w:tcPr>
            <w:tcW w:w="1898" w:type="pct"/>
            <w:tcBorders>
              <w:top w:val="nil"/>
              <w:left w:val="nil"/>
              <w:bottom w:val="nil"/>
              <w:right w:val="nil"/>
            </w:tcBorders>
            <w:hideMark/>
          </w:tcPr>
          <w:p w:rsidR="008821C2" w:rsidRPr="00967D26" w:rsidRDefault="008821C2" w:rsidP="00FD0E7E">
            <w:pPr>
              <w:pStyle w:val="NormalIndented"/>
              <w:jc w:val="center"/>
              <w:rPr>
                <w:rFonts w:asciiTheme="minorHAnsi" w:hAnsiTheme="minorHAnsi"/>
                <w:i/>
                <w:color w:val="auto"/>
                <w:szCs w:val="20"/>
                <w:lang w:eastAsia="en-US"/>
              </w:rPr>
            </w:pPr>
            <w:r w:rsidRPr="00967D26">
              <w:rPr>
                <w:rFonts w:asciiTheme="minorHAnsi" w:hAnsiTheme="minorHAnsi"/>
                <w:i/>
                <w:color w:val="auto"/>
                <w:szCs w:val="20"/>
                <w:lang w:eastAsia="en-US"/>
              </w:rPr>
              <w:t>(insert target)</w:t>
            </w:r>
          </w:p>
        </w:tc>
      </w:tr>
      <w:tr w:rsidR="008821C2" w:rsidTr="00FD0E7E">
        <w:trPr>
          <w:trHeight w:val="455"/>
        </w:trPr>
        <w:tc>
          <w:tcPr>
            <w:tcW w:w="799" w:type="pct"/>
            <w:tcBorders>
              <w:top w:val="nil"/>
              <w:left w:val="nil"/>
              <w:bottom w:val="single" w:sz="12" w:space="0" w:color="auto"/>
              <w:right w:val="nil"/>
            </w:tcBorders>
          </w:tcPr>
          <w:p w:rsidR="008821C2" w:rsidRPr="00967D26" w:rsidRDefault="008821C2" w:rsidP="00FD0E7E">
            <w:pPr>
              <w:pStyle w:val="NormalIndented"/>
              <w:rPr>
                <w:rFonts w:asciiTheme="minorHAnsi" w:hAnsiTheme="minorHAnsi"/>
                <w:i/>
                <w:color w:val="auto"/>
                <w:sz w:val="18"/>
              </w:rPr>
            </w:pPr>
            <w:r w:rsidRPr="00967D26">
              <w:rPr>
                <w:rFonts w:asciiTheme="minorHAnsi" w:eastAsia="Times New Roman" w:hAnsiTheme="minorHAnsi"/>
                <w:iCs/>
                <w:color w:val="auto"/>
                <w:szCs w:val="17"/>
                <w:lang w:eastAsia="en-US"/>
              </w:rPr>
              <w:lastRenderedPageBreak/>
              <w:t>2019-20 Performance Framework or AIP  Strategic Objective</w:t>
            </w:r>
          </w:p>
        </w:tc>
        <w:tc>
          <w:tcPr>
            <w:tcW w:w="1505" w:type="pct"/>
            <w:tcBorders>
              <w:top w:val="nil"/>
              <w:left w:val="nil"/>
              <w:bottom w:val="single" w:sz="12" w:space="0" w:color="auto"/>
              <w:right w:val="nil"/>
            </w:tcBorders>
          </w:tcPr>
          <w:p w:rsidR="008821C2" w:rsidRPr="00967D26" w:rsidRDefault="008821C2" w:rsidP="00FD0E7E">
            <w:pPr>
              <w:pStyle w:val="NormalIndented"/>
              <w:rPr>
                <w:rFonts w:asciiTheme="minorHAnsi" w:hAnsiTheme="minorHAnsi"/>
                <w:i/>
                <w:color w:val="auto"/>
                <w:szCs w:val="20"/>
                <w:lang w:eastAsia="en-US"/>
              </w:rPr>
            </w:pPr>
            <w:r w:rsidRPr="00967D26">
              <w:rPr>
                <w:rFonts w:asciiTheme="minorHAnsi" w:eastAsia="Times New Roman" w:hAnsiTheme="minorHAnsi"/>
                <w:iCs/>
                <w:color w:val="auto"/>
                <w:szCs w:val="17"/>
                <w:lang w:eastAsia="en-US"/>
              </w:rPr>
              <w:t xml:space="preserve">Performance Benchmark (s) </w:t>
            </w:r>
          </w:p>
        </w:tc>
        <w:tc>
          <w:tcPr>
            <w:tcW w:w="798" w:type="pct"/>
            <w:tcBorders>
              <w:top w:val="nil"/>
              <w:left w:val="nil"/>
              <w:bottom w:val="single" w:sz="12" w:space="0" w:color="auto"/>
              <w:right w:val="nil"/>
            </w:tcBorders>
          </w:tcPr>
          <w:p w:rsidR="008821C2" w:rsidRPr="00967D26" w:rsidRDefault="008821C2" w:rsidP="00FD0E7E">
            <w:pPr>
              <w:pStyle w:val="NormalIndented"/>
              <w:ind w:left="33"/>
              <w:jc w:val="center"/>
              <w:rPr>
                <w:rFonts w:asciiTheme="minorHAnsi" w:hAnsiTheme="minorHAnsi"/>
                <w:i/>
                <w:color w:val="auto"/>
                <w:szCs w:val="20"/>
                <w:lang w:eastAsia="en-US"/>
              </w:rPr>
            </w:pPr>
            <w:r w:rsidRPr="00967D26">
              <w:rPr>
                <w:rFonts w:asciiTheme="minorHAnsi" w:hAnsiTheme="minorHAnsi"/>
                <w:i/>
                <w:color w:val="auto"/>
                <w:szCs w:val="20"/>
                <w:lang w:eastAsia="en-US"/>
              </w:rPr>
              <w:t>(insert target</w:t>
            </w:r>
            <w:r w:rsidR="003E2BE7" w:rsidRPr="00967D26">
              <w:rPr>
                <w:rFonts w:asciiTheme="minorHAnsi" w:hAnsiTheme="minorHAnsi"/>
                <w:i/>
                <w:color w:val="auto"/>
                <w:szCs w:val="20"/>
                <w:lang w:eastAsia="en-US"/>
              </w:rPr>
              <w:t xml:space="preserve"> if relevant</w:t>
            </w:r>
            <w:r w:rsidRPr="00967D26">
              <w:rPr>
                <w:rFonts w:asciiTheme="minorHAnsi" w:hAnsiTheme="minorHAnsi"/>
                <w:i/>
                <w:color w:val="auto"/>
                <w:szCs w:val="20"/>
                <w:lang w:eastAsia="en-US"/>
              </w:rPr>
              <w:t>)</w:t>
            </w:r>
          </w:p>
        </w:tc>
        <w:tc>
          <w:tcPr>
            <w:tcW w:w="1898" w:type="pct"/>
            <w:tcBorders>
              <w:top w:val="nil"/>
              <w:left w:val="nil"/>
              <w:bottom w:val="single" w:sz="12" w:space="0" w:color="auto"/>
              <w:right w:val="nil"/>
            </w:tcBorders>
          </w:tcPr>
          <w:p w:rsidR="008821C2" w:rsidRPr="00967D26" w:rsidRDefault="008821C2" w:rsidP="00FD0E7E">
            <w:pPr>
              <w:pStyle w:val="NormalIndented"/>
              <w:ind w:left="33"/>
              <w:jc w:val="center"/>
              <w:rPr>
                <w:rFonts w:asciiTheme="minorHAnsi" w:hAnsiTheme="minorHAnsi"/>
                <w:i/>
                <w:color w:val="auto"/>
                <w:szCs w:val="20"/>
                <w:lang w:eastAsia="en-US"/>
              </w:rPr>
            </w:pPr>
            <w:r w:rsidRPr="00967D26">
              <w:rPr>
                <w:rFonts w:asciiTheme="minorHAnsi" w:hAnsiTheme="minorHAnsi"/>
                <w:i/>
                <w:color w:val="auto"/>
                <w:szCs w:val="20"/>
                <w:lang w:eastAsia="en-US"/>
              </w:rPr>
              <w:t xml:space="preserve">      (insert target)</w:t>
            </w:r>
          </w:p>
        </w:tc>
      </w:tr>
    </w:tbl>
    <w:p w:rsidR="008821C2" w:rsidRPr="00967D26" w:rsidRDefault="008821C2" w:rsidP="00967D26">
      <w:pPr>
        <w:pStyle w:val="BodyText"/>
      </w:pPr>
      <w:r w:rsidRPr="00967D26">
        <w:t>[Discuss the relevance of individual benchmarks with specialist areas such as MPB and sector/thematic groups during APPR drafting as well as during APPR peer reviews.  Consider capturing indicators on gender and disability inclusive development.]</w:t>
      </w:r>
    </w:p>
    <w:p w:rsidR="00400B0F" w:rsidRPr="00967D26" w:rsidRDefault="00400B0F" w:rsidP="00215731">
      <w:pPr>
        <w:pStyle w:val="Heading1smallspaceafter"/>
        <w:rPr>
          <w:rFonts w:eastAsia="Times New Roman"/>
        </w:rPr>
      </w:pPr>
      <w:r w:rsidRPr="00967D26">
        <w:rPr>
          <w:rFonts w:asciiTheme="minorHAnsi" w:eastAsia="Times New Roman" w:hAnsiTheme="minorHAnsi"/>
          <w:color w:val="auto"/>
          <w:sz w:val="22"/>
          <w:szCs w:val="22"/>
        </w:rPr>
        <w:br w:type="page"/>
      </w:r>
      <w:r w:rsidRPr="00967D26">
        <w:rPr>
          <w:rFonts w:eastAsia="Times New Roman"/>
        </w:rPr>
        <w:lastRenderedPageBreak/>
        <w:t>Annex C - Evaluation Planning</w:t>
      </w:r>
    </w:p>
    <w:p w:rsidR="00215731" w:rsidRDefault="00215731" w:rsidP="00215731">
      <w:pPr>
        <w:pStyle w:val="Heading1smallspaceafter"/>
      </w:pPr>
    </w:p>
    <w:p w:rsidR="008821C2" w:rsidRPr="00EF26B5" w:rsidRDefault="008821C2" w:rsidP="00215731">
      <w:pPr>
        <w:pStyle w:val="Heading1smallspaceafter"/>
      </w:pPr>
      <w:r w:rsidRPr="00EF26B5">
        <w:t xml:space="preserve">1 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8821C2" w:rsidRPr="00C61187" w:rsidTr="00FD0E7E">
        <w:trPr>
          <w:cnfStyle w:val="100000000000" w:firstRow="1" w:lastRow="0" w:firstColumn="0" w:lastColumn="0" w:oddVBand="0" w:evenVBand="0" w:oddHBand="0" w:evenHBand="0" w:firstRowFirstColumn="0" w:firstRowLastColumn="0" w:lastRowFirstColumn="0" w:lastRowLastColumn="0"/>
        </w:trPr>
        <w:tc>
          <w:tcPr>
            <w:tcW w:w="3064" w:type="dxa"/>
          </w:tcPr>
          <w:p w:rsidR="008821C2" w:rsidRPr="00812509" w:rsidRDefault="008821C2" w:rsidP="00FD0E7E">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8821C2" w:rsidRPr="00812509" w:rsidRDefault="008821C2" w:rsidP="00FD0E7E">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rsidR="008821C2" w:rsidRPr="00812509" w:rsidRDefault="008821C2" w:rsidP="00FD0E7E">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rsidR="008821C2" w:rsidRPr="00812509" w:rsidRDefault="008821C2" w:rsidP="00FD0E7E">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rsidR="008821C2" w:rsidRPr="00812509" w:rsidRDefault="008821C2" w:rsidP="00FD0E7E">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rsidR="008821C2" w:rsidRPr="00812509" w:rsidRDefault="008821C2" w:rsidP="00FD0E7E">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rsidR="008821C2" w:rsidRPr="00812509" w:rsidRDefault="008821C2" w:rsidP="00FD0E7E">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8821C2" w:rsidRPr="003B5EE5" w:rsidTr="00FD0E7E">
        <w:trPr>
          <w:cnfStyle w:val="100000000000" w:firstRow="1" w:lastRow="0" w:firstColumn="0" w:lastColumn="0" w:oddVBand="0" w:evenVBand="0" w:oddHBand="0" w:evenHBand="0" w:firstRowFirstColumn="0" w:firstRowLastColumn="0" w:lastRowFirstColumn="0" w:lastRowLastColumn="0"/>
        </w:trPr>
        <w:tc>
          <w:tcPr>
            <w:tcW w:w="3064" w:type="dxa"/>
          </w:tcPr>
          <w:p w:rsidR="008821C2" w:rsidRPr="00967D26" w:rsidRDefault="008821C2" w:rsidP="00FD0E7E">
            <w:pPr>
              <w:keepLines/>
              <w:spacing w:before="40" w:after="40" w:line="200" w:lineRule="atLeast"/>
              <w:rPr>
                <w:rFonts w:asciiTheme="minorHAnsi" w:eastAsia="Times New Roman" w:hAnsiTheme="minorHAnsi"/>
                <w:b w:val="0"/>
                <w:iCs/>
                <w:color w:val="auto"/>
                <w:szCs w:val="17"/>
                <w:lang w:eastAsia="en-US"/>
              </w:rPr>
            </w:pPr>
            <w:r w:rsidRPr="00967D26">
              <w:rPr>
                <w:rFonts w:asciiTheme="minorHAnsi" w:eastAsia="Times New Roman" w:hAnsiTheme="minorHAnsi"/>
                <w:b w:val="0"/>
                <w:iCs/>
                <w:color w:val="auto"/>
                <w:szCs w:val="17"/>
                <w:lang w:eastAsia="en-US"/>
              </w:rPr>
              <w:t>(e.g. INK640 The Knowledge Sector Initiative)</w:t>
            </w:r>
          </w:p>
        </w:tc>
        <w:tc>
          <w:tcPr>
            <w:tcW w:w="3665" w:type="dxa"/>
          </w:tcPr>
          <w:p w:rsidR="008821C2" w:rsidRPr="00967D26" w:rsidRDefault="008821C2" w:rsidP="00FD0E7E">
            <w:pPr>
              <w:keepLines/>
              <w:spacing w:before="40" w:after="40" w:line="200" w:lineRule="atLeast"/>
              <w:rPr>
                <w:rFonts w:asciiTheme="minorHAnsi" w:eastAsia="Times New Roman" w:hAnsiTheme="minorHAnsi"/>
                <w:b w:val="0"/>
                <w:iCs/>
                <w:color w:val="auto"/>
                <w:szCs w:val="17"/>
                <w:lang w:eastAsia="en-US"/>
              </w:rPr>
            </w:pPr>
            <w:r w:rsidRPr="00967D26">
              <w:rPr>
                <w:rFonts w:asciiTheme="minorHAnsi" w:eastAsia="Times New Roman" w:hAnsiTheme="minorHAnsi"/>
                <w:b w:val="0"/>
                <w:iCs/>
                <w:color w:val="auto"/>
                <w:szCs w:val="17"/>
                <w:lang w:eastAsia="en-US"/>
              </w:rPr>
              <w:t>(Drawn from final evaluation report title page)</w:t>
            </w:r>
          </w:p>
        </w:tc>
        <w:tc>
          <w:tcPr>
            <w:tcW w:w="1397" w:type="dxa"/>
          </w:tcPr>
          <w:p w:rsidR="008821C2" w:rsidRPr="00967D26" w:rsidRDefault="008821C2" w:rsidP="00FD0E7E">
            <w:pPr>
              <w:keepLines/>
              <w:spacing w:before="40" w:after="40" w:line="200" w:lineRule="atLeast"/>
              <w:rPr>
                <w:rFonts w:asciiTheme="minorHAnsi" w:eastAsia="Times New Roman" w:hAnsiTheme="minorHAnsi"/>
                <w:b w:val="0"/>
                <w:iCs/>
                <w:color w:val="auto"/>
                <w:szCs w:val="17"/>
                <w:lang w:eastAsia="en-US"/>
              </w:rPr>
            </w:pPr>
            <w:r w:rsidRPr="00967D26">
              <w:rPr>
                <w:rFonts w:asciiTheme="minorHAnsi" w:eastAsia="Times New Roman" w:hAnsiTheme="minorHAnsi"/>
                <w:b w:val="0"/>
                <w:iCs/>
                <w:color w:val="auto"/>
                <w:szCs w:val="17"/>
                <w:lang w:eastAsia="en-US"/>
              </w:rPr>
              <w:t>(Date final report submitted to DFAT)</w:t>
            </w:r>
          </w:p>
        </w:tc>
        <w:tc>
          <w:tcPr>
            <w:tcW w:w="1953" w:type="dxa"/>
          </w:tcPr>
          <w:p w:rsidR="008821C2" w:rsidRPr="00967D26" w:rsidRDefault="008821C2" w:rsidP="00FD0E7E">
            <w:pPr>
              <w:keepLines/>
              <w:spacing w:before="40" w:after="40" w:line="200" w:lineRule="atLeast"/>
              <w:rPr>
                <w:rFonts w:asciiTheme="minorHAnsi" w:eastAsia="Times New Roman" w:hAnsiTheme="minorHAnsi"/>
                <w:b w:val="0"/>
                <w:iCs/>
                <w:color w:val="auto"/>
                <w:szCs w:val="17"/>
                <w:lang w:eastAsia="en-US"/>
              </w:rPr>
            </w:pPr>
            <w:r w:rsidRPr="00967D26">
              <w:rPr>
                <w:rFonts w:asciiTheme="minorHAnsi" w:eastAsia="Times New Roman" w:hAnsiTheme="minorHAnsi"/>
                <w:b w:val="0"/>
                <w:iCs/>
                <w:color w:val="auto"/>
                <w:szCs w:val="17"/>
                <w:lang w:eastAsia="en-US"/>
              </w:rPr>
              <w:t xml:space="preserve">(Should be no more than 3 months following date completed.) </w:t>
            </w:r>
          </w:p>
        </w:tc>
        <w:tc>
          <w:tcPr>
            <w:tcW w:w="1671" w:type="dxa"/>
          </w:tcPr>
          <w:p w:rsidR="008821C2" w:rsidRPr="00967D26" w:rsidRDefault="008821C2" w:rsidP="00FD0E7E">
            <w:pPr>
              <w:keepLines/>
              <w:spacing w:before="40" w:after="40" w:line="200" w:lineRule="atLeast"/>
              <w:rPr>
                <w:rFonts w:asciiTheme="minorHAnsi" w:eastAsia="Times New Roman" w:hAnsiTheme="minorHAnsi"/>
                <w:b w:val="0"/>
                <w:iCs/>
                <w:color w:val="auto"/>
                <w:szCs w:val="17"/>
                <w:lang w:eastAsia="en-US"/>
              </w:rPr>
            </w:pPr>
            <w:r w:rsidRPr="00967D26">
              <w:rPr>
                <w:rFonts w:asciiTheme="minorHAnsi" w:eastAsia="Times New Roman" w:hAnsiTheme="minorHAnsi"/>
                <w:b w:val="0"/>
                <w:iCs/>
                <w:color w:val="auto"/>
                <w:szCs w:val="17"/>
                <w:lang w:eastAsia="en-US"/>
              </w:rPr>
              <w:t>(Generally management responses should be completed within 28 calendar days of completion.)</w:t>
            </w:r>
          </w:p>
        </w:tc>
        <w:tc>
          <w:tcPr>
            <w:tcW w:w="2365" w:type="dxa"/>
          </w:tcPr>
          <w:p w:rsidR="008821C2" w:rsidRPr="00967D26" w:rsidRDefault="008821C2" w:rsidP="00FD0E7E">
            <w:pPr>
              <w:keepLines/>
              <w:spacing w:before="40" w:after="40" w:line="200" w:lineRule="atLeast"/>
              <w:rPr>
                <w:rFonts w:asciiTheme="minorHAnsi" w:eastAsia="Times New Roman" w:hAnsiTheme="minorHAnsi"/>
                <w:b w:val="0"/>
                <w:iCs/>
                <w:color w:val="auto"/>
                <w:szCs w:val="17"/>
                <w:lang w:eastAsia="en-US"/>
              </w:rPr>
            </w:pPr>
            <w:r w:rsidRPr="00967D26">
              <w:rPr>
                <w:rFonts w:asciiTheme="minorHAnsi" w:eastAsia="Times New Roman" w:hAnsiTheme="minorHAnsi"/>
                <w:b w:val="0"/>
                <w:iCs/>
                <w:color w:val="auto"/>
                <w:szCs w:val="17"/>
                <w:lang w:eastAsia="en-US"/>
              </w:rPr>
              <w:t>(Provide actual date. It should be no more than 3 months following date completed. If publication is yet to occur an estimate should be provided and clearly identified as such. e.g. June -2018 est.)</w:t>
            </w:r>
          </w:p>
        </w:tc>
      </w:tr>
    </w:tbl>
    <w:p w:rsidR="00215731" w:rsidRDefault="00215731" w:rsidP="00215731">
      <w:pPr>
        <w:pStyle w:val="Heading1smallspaceafter"/>
      </w:pPr>
    </w:p>
    <w:p w:rsidR="008821C2" w:rsidRPr="00EF26B5" w:rsidRDefault="008821C2" w:rsidP="00215731">
      <w:pPr>
        <w:pStyle w:val="Heading1smallspaceafter"/>
      </w:pPr>
      <w:r w:rsidRPr="00EF26B5">
        <w:t xml:space="preserve">2 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8821C2" w:rsidRPr="00C61187" w:rsidTr="00FD0E7E">
        <w:tc>
          <w:tcPr>
            <w:tcW w:w="2444" w:type="dxa"/>
          </w:tcPr>
          <w:p w:rsidR="008821C2" w:rsidRPr="00812509" w:rsidRDefault="008821C2"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rsidR="008821C2" w:rsidRPr="00812509" w:rsidRDefault="008821C2"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rsidR="008821C2" w:rsidRPr="00812509" w:rsidRDefault="008821C2"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rsidR="008821C2" w:rsidRPr="00812509" w:rsidRDefault="008821C2"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rsidR="008821C2" w:rsidRPr="00812509" w:rsidRDefault="008821C2"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rsidR="008821C2" w:rsidRPr="00812509" w:rsidRDefault="008821C2"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8821C2" w:rsidRPr="00C61187" w:rsidTr="00FD0E7E">
        <w:tc>
          <w:tcPr>
            <w:tcW w:w="2444" w:type="dxa"/>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w:t>
            </w:r>
            <w:proofErr w:type="spellStart"/>
            <w:r w:rsidRPr="00967D26">
              <w:rPr>
                <w:rFonts w:asciiTheme="minorHAnsi" w:eastAsia="Times New Roman" w:hAnsiTheme="minorHAnsi"/>
                <w:iCs/>
                <w:color w:val="auto"/>
                <w:szCs w:val="17"/>
                <w:lang w:eastAsia="en-US"/>
              </w:rPr>
              <w:t>e.g</w:t>
            </w:r>
            <w:proofErr w:type="spellEnd"/>
            <w:r w:rsidRPr="00967D26">
              <w:rPr>
                <w:rFonts w:asciiTheme="minorHAnsi" w:eastAsia="Times New Roman" w:hAnsiTheme="minorHAnsi"/>
                <w:iCs/>
                <w:color w:val="auto"/>
                <w:szCs w:val="17"/>
                <w:lang w:eastAsia="en-US"/>
              </w:rPr>
              <w:t xml:space="preserve"> Knowledge Sector Initiative progress evaluation) </w:t>
            </w:r>
          </w:p>
        </w:tc>
        <w:tc>
          <w:tcPr>
            <w:tcW w:w="2356" w:type="dxa"/>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(e.g. INK640 The Knowledge Sector Initiative)</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(Note: as per DFAT’s aid evaluation policy, evaluations need not necessarily be at the investment level)</w:t>
            </w:r>
          </w:p>
        </w:tc>
        <w:tc>
          <w:tcPr>
            <w:tcW w:w="2042" w:type="dxa"/>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(i.e. when will work on terms of reference commence)</w:t>
            </w:r>
          </w:p>
        </w:tc>
        <w:tc>
          <w:tcPr>
            <w:tcW w:w="2208" w:type="dxa"/>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xml:space="preserve">(i.e. when will the final evaluation report be submitted) </w:t>
            </w:r>
          </w:p>
        </w:tc>
        <w:tc>
          <w:tcPr>
            <w:tcW w:w="2325" w:type="dxa"/>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xml:space="preserve">e.g. </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xml:space="preserve"> - inform new design</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demonstrate results</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verify performance</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improve existing investment</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examine value for money</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inform new/revised AIP</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examine a sector or theme</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analyse pilot project</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xml:space="preserve"> </w:t>
            </w:r>
          </w:p>
        </w:tc>
        <w:tc>
          <w:tcPr>
            <w:tcW w:w="2740" w:type="dxa"/>
          </w:tcPr>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xml:space="preserve">i.e. </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DFAT led (includes consultants engaged by DFAT)</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xml:space="preserve"> - Partner led</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xml:space="preserve">- Joint </w:t>
            </w:r>
          </w:p>
          <w:p w:rsidR="008821C2" w:rsidRPr="00967D26" w:rsidRDefault="008821C2" w:rsidP="00FD0E7E">
            <w:pPr>
              <w:keepLines/>
              <w:spacing w:before="40" w:after="40" w:line="200" w:lineRule="atLeast"/>
              <w:rPr>
                <w:rFonts w:asciiTheme="minorHAnsi" w:eastAsia="Times New Roman" w:hAnsiTheme="minorHAnsi"/>
                <w:iCs/>
                <w:color w:val="auto"/>
                <w:szCs w:val="17"/>
                <w:lang w:eastAsia="en-US"/>
              </w:rPr>
            </w:pPr>
            <w:r w:rsidRPr="00967D26">
              <w:rPr>
                <w:rFonts w:asciiTheme="minorHAnsi" w:eastAsia="Times New Roman" w:hAnsiTheme="minorHAnsi"/>
                <w:iCs/>
                <w:color w:val="auto"/>
                <w:szCs w:val="17"/>
                <w:lang w:eastAsia="en-US"/>
              </w:rPr>
              <w:t xml:space="preserve"> (If a joint or partner led evaluation please include partner details). </w:t>
            </w:r>
          </w:p>
        </w:tc>
      </w:tr>
    </w:tbl>
    <w:p w:rsidR="00400B0F" w:rsidRPr="00C61187" w:rsidRDefault="00400B0F" w:rsidP="00400B0F">
      <w:pPr>
        <w:rPr>
          <w:b/>
        </w:rPr>
        <w:sectPr w:rsidR="00400B0F" w:rsidRPr="00C61187" w:rsidSect="008C2F58">
          <w:headerReference w:type="even" r:id="rId26"/>
          <w:headerReference w:type="default" r:id="rId27"/>
          <w:headerReference w:type="first" r:id="rId28"/>
          <w:footerReference w:type="first" r:id="rId29"/>
          <w:footnotePr>
            <w:numRestart w:val="eachPage"/>
          </w:footnotePr>
          <w:type w:val="continuous"/>
          <w:pgSz w:w="16838" w:h="11906" w:orient="landscape" w:code="9"/>
          <w:pgMar w:top="1272" w:right="1814" w:bottom="851" w:left="851" w:header="709" w:footer="230" w:gutter="0"/>
          <w:cols w:space="708"/>
          <w:titlePg/>
          <w:docGrid w:linePitch="360"/>
        </w:sectPr>
      </w:pPr>
    </w:p>
    <w:p w:rsidR="00400B0F" w:rsidRPr="00901B73" w:rsidRDefault="00400B0F" w:rsidP="00967D26">
      <w:pPr>
        <w:pStyle w:val="Heading1smallspaceafter"/>
      </w:pPr>
      <w:r w:rsidRPr="00901B73">
        <w:lastRenderedPageBreak/>
        <w:t>Annex D - Aid Quality Check ratings</w:t>
      </w:r>
    </w:p>
    <w:p w:rsidR="00215731" w:rsidRDefault="00215731" w:rsidP="00967D26">
      <w:pPr>
        <w:pStyle w:val="Heading1smallspaceafter"/>
      </w:pPr>
    </w:p>
    <w:p w:rsidR="00901B73" w:rsidRPr="00EF26B5" w:rsidRDefault="00901B73" w:rsidP="00967D26">
      <w:pPr>
        <w:pStyle w:val="Heading1smallspaceafter"/>
      </w:pPr>
      <w:r w:rsidRPr="00EF26B5">
        <w:t>1 AQC ratings</w:t>
      </w:r>
    </w:p>
    <w:p w:rsidR="00901B73" w:rsidRPr="00967D26" w:rsidRDefault="00901B73" w:rsidP="00967D26">
      <w:pPr>
        <w:pStyle w:val="BodyText"/>
      </w:pPr>
      <w:r w:rsidRPr="00967D26">
        <w:t>[AQC investment performance over the previous 12 months and where available last year’s AQC ratings.]</w:t>
      </w:r>
    </w:p>
    <w:tbl>
      <w:tblPr>
        <w:tblStyle w:val="APPR"/>
        <w:tblW w:w="4865" w:type="pct"/>
        <w:tblLook w:val="0000" w:firstRow="0" w:lastRow="0" w:firstColumn="0" w:lastColumn="0" w:noHBand="0" w:noVBand="0"/>
      </w:tblPr>
      <w:tblGrid>
        <w:gridCol w:w="3118"/>
        <w:gridCol w:w="971"/>
        <w:gridCol w:w="801"/>
        <w:gridCol w:w="618"/>
        <w:gridCol w:w="618"/>
        <w:gridCol w:w="641"/>
        <w:gridCol w:w="696"/>
        <w:gridCol w:w="618"/>
        <w:gridCol w:w="665"/>
        <w:gridCol w:w="632"/>
      </w:tblGrid>
      <w:tr w:rsidR="005E0A54" w:rsidRPr="00812509" w:rsidTr="00FD0E7E">
        <w:trPr>
          <w:cnfStyle w:val="000000010000" w:firstRow="0" w:lastRow="0" w:firstColumn="0" w:lastColumn="0" w:oddVBand="0" w:evenVBand="0" w:oddHBand="0" w:evenHBand="1" w:firstRowFirstColumn="0" w:firstRowLastColumn="0" w:lastRowFirstColumn="0" w:lastRowLastColumn="0"/>
          <w:trHeight w:val="1413"/>
        </w:trPr>
        <w:tc>
          <w:tcPr>
            <w:tcW w:w="1641" w:type="pct"/>
          </w:tcPr>
          <w:p w:rsidR="005E0A54" w:rsidRPr="00812509" w:rsidRDefault="005E0A54" w:rsidP="00FD0E7E">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83840" behindDoc="0" locked="0" layoutInCell="1" allowOverlap="1" wp14:anchorId="089E8A59" wp14:editId="452E2477">
                  <wp:simplePos x="0" y="0"/>
                  <wp:positionH relativeFrom="column">
                    <wp:posOffset>0</wp:posOffset>
                  </wp:positionH>
                  <wp:positionV relativeFrom="paragraph">
                    <wp:posOffset>0</wp:posOffset>
                  </wp:positionV>
                  <wp:extent cx="1857375" cy="228600"/>
                  <wp:effectExtent l="0" t="0" r="9525" b="0"/>
                  <wp:wrapNone/>
                  <wp:docPr id="48" name="Picture 4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03" w:type="pct"/>
            <w:textDirection w:val="btLr"/>
          </w:tcPr>
          <w:p w:rsidR="005E0A54" w:rsidRPr="00812509" w:rsidRDefault="005E0A54"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2" w:type="pct"/>
            <w:textDirection w:val="btLr"/>
          </w:tcPr>
          <w:p w:rsidR="005E0A54" w:rsidRPr="00812509" w:rsidRDefault="005E0A54"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15" w:type="pct"/>
            <w:textDirection w:val="btLr"/>
          </w:tcPr>
          <w:p w:rsidR="005E0A54" w:rsidRPr="00812509" w:rsidRDefault="005E0A54"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15" w:type="pct"/>
            <w:textDirection w:val="btLr"/>
          </w:tcPr>
          <w:p w:rsidR="005E0A54" w:rsidRPr="00812509" w:rsidRDefault="005E0A54"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27" w:type="pct"/>
            <w:textDirection w:val="btLr"/>
          </w:tcPr>
          <w:p w:rsidR="005E0A54" w:rsidRPr="00812509" w:rsidRDefault="005E0A54"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56" w:type="pct"/>
            <w:textDirection w:val="btLr"/>
          </w:tcPr>
          <w:p w:rsidR="005E0A54" w:rsidRPr="00812509" w:rsidRDefault="005E0A54"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15" w:type="pct"/>
            <w:textDirection w:val="btLr"/>
          </w:tcPr>
          <w:p w:rsidR="005E0A54" w:rsidRPr="00812509" w:rsidRDefault="005E0A54"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40" w:type="pct"/>
            <w:textDirection w:val="btLr"/>
          </w:tcPr>
          <w:p w:rsidR="005E0A54" w:rsidRPr="00812509" w:rsidRDefault="005E0A54"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15" w:type="pct"/>
            <w:textDirection w:val="btLr"/>
          </w:tcPr>
          <w:p w:rsidR="005E0A54" w:rsidRPr="00812509" w:rsidRDefault="005E0A54"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5E0A54" w:rsidRPr="00812509" w:rsidTr="00FD0E7E">
        <w:trPr>
          <w:cnfStyle w:val="000000010000" w:firstRow="0" w:lastRow="0" w:firstColumn="0" w:lastColumn="0" w:oddVBand="0" w:evenVBand="0" w:oddHBand="0" w:evenHBand="1" w:firstRowFirstColumn="0" w:firstRowLastColumn="0" w:lastRowFirstColumn="0" w:lastRowLastColumn="0"/>
          <w:trHeight w:val="284"/>
        </w:trPr>
        <w:tc>
          <w:tcPr>
            <w:tcW w:w="1641" w:type="pct"/>
            <w:vMerge w:val="restart"/>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Investment 1</w:t>
            </w:r>
          </w:p>
        </w:tc>
        <w:tc>
          <w:tcPr>
            <w:tcW w:w="503" w:type="pct"/>
            <w:vMerge w:val="restart"/>
          </w:tcPr>
          <w:p w:rsidR="005E0A54" w:rsidRPr="00812509" w:rsidRDefault="005E0A54" w:rsidP="00FD0E7E">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 xml:space="preserve">$21m </w:t>
            </w:r>
          </w:p>
          <w:p w:rsidR="005E0A54" w:rsidRPr="00812509" w:rsidRDefault="005E0A54"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6-20</w:t>
            </w:r>
            <w:r w:rsidRPr="00812509">
              <w:rPr>
                <w:rFonts w:asciiTheme="minorHAnsi" w:eastAsia="Times New Roman" w:hAnsiTheme="minorHAnsi"/>
                <w:iCs/>
                <w:szCs w:val="17"/>
                <w:lang w:eastAsia="en-US"/>
              </w:rPr>
              <w:t xml:space="preserve"> </w:t>
            </w:r>
          </w:p>
        </w:tc>
        <w:tc>
          <w:tcPr>
            <w:tcW w:w="412" w:type="pct"/>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shd w:val="clear" w:color="auto" w:fill="92D05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shd w:val="clear" w:color="auto" w:fill="FFFF0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7" w:type="pct"/>
            <w:shd w:val="clear" w:color="auto" w:fill="FFFF0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shd w:val="clear" w:color="auto" w:fill="FF000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w:t>
            </w:r>
          </w:p>
        </w:tc>
        <w:tc>
          <w:tcPr>
            <w:tcW w:w="315" w:type="pct"/>
            <w:shd w:val="clear" w:color="auto" w:fill="92D05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6</w:t>
            </w:r>
          </w:p>
        </w:tc>
        <w:tc>
          <w:tcPr>
            <w:tcW w:w="340" w:type="pct"/>
            <w:shd w:val="clear" w:color="auto" w:fill="FFC00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315" w:type="pct"/>
            <w:shd w:val="clear" w:color="auto" w:fill="FFFF00"/>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5E0A54" w:rsidRPr="00812509" w:rsidTr="00FD0E7E">
        <w:trPr>
          <w:cnfStyle w:val="000000010000" w:firstRow="0" w:lastRow="0" w:firstColumn="0" w:lastColumn="0" w:oddVBand="0" w:evenVBand="0" w:oddHBand="0" w:evenHBand="1" w:firstRowFirstColumn="0" w:firstRowLastColumn="0" w:lastRowFirstColumn="0" w:lastRowLastColumn="0"/>
          <w:trHeight w:val="284"/>
        </w:trPr>
        <w:tc>
          <w:tcPr>
            <w:tcW w:w="1641" w:type="pct"/>
            <w:vMerge/>
            <w:tcBorders>
              <w:bottom w:val="single" w:sz="4" w:space="0" w:color="auto"/>
            </w:tcBorders>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p>
        </w:tc>
        <w:tc>
          <w:tcPr>
            <w:tcW w:w="503" w:type="pct"/>
            <w:vMerge/>
            <w:tcBorders>
              <w:bottom w:val="single" w:sz="4" w:space="0" w:color="auto"/>
            </w:tcBorders>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tcBorders>
              <w:bottom w:val="single" w:sz="4" w:space="0" w:color="auto"/>
            </w:tcBorders>
            <w:shd w:val="clear" w:color="auto" w:fill="92D05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tcBorders>
              <w:bottom w:val="single" w:sz="4" w:space="0" w:color="auto"/>
            </w:tcBorders>
            <w:shd w:val="clear" w:color="auto" w:fill="FFC00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327" w:type="pct"/>
            <w:tcBorders>
              <w:bottom w:val="single" w:sz="4" w:space="0" w:color="auto"/>
            </w:tcBorders>
            <w:shd w:val="clear" w:color="auto" w:fill="FFFF0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tcBorders>
              <w:bottom w:val="single" w:sz="4" w:space="0" w:color="auto"/>
            </w:tcBorders>
            <w:shd w:val="clear" w:color="auto" w:fill="FF000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w:t>
            </w:r>
          </w:p>
        </w:tc>
        <w:tc>
          <w:tcPr>
            <w:tcW w:w="315" w:type="pct"/>
            <w:tcBorders>
              <w:bottom w:val="single" w:sz="4" w:space="0" w:color="auto"/>
            </w:tcBorders>
            <w:shd w:val="clear" w:color="auto" w:fill="92D05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6</w:t>
            </w:r>
          </w:p>
        </w:tc>
        <w:tc>
          <w:tcPr>
            <w:tcW w:w="340" w:type="pct"/>
            <w:tcBorders>
              <w:bottom w:val="single" w:sz="4" w:space="0" w:color="auto"/>
            </w:tcBorders>
            <w:shd w:val="clear" w:color="auto" w:fill="FF000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1</w:t>
            </w:r>
          </w:p>
        </w:tc>
        <w:tc>
          <w:tcPr>
            <w:tcW w:w="315" w:type="pct"/>
            <w:tcBorders>
              <w:bottom w:val="single" w:sz="4" w:space="0" w:color="auto"/>
            </w:tcBorders>
            <w:shd w:val="clear" w:color="auto" w:fill="FFFF00"/>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5E0A54" w:rsidRPr="00812509" w:rsidTr="00FD0E7E">
        <w:trPr>
          <w:cnfStyle w:val="000000010000" w:firstRow="0" w:lastRow="0" w:firstColumn="0" w:lastColumn="0" w:oddVBand="0" w:evenVBand="0" w:oddHBand="0" w:evenHBand="1" w:firstRowFirstColumn="0" w:firstRowLastColumn="0" w:lastRowFirstColumn="0" w:lastRowLastColumn="0"/>
          <w:trHeight w:val="284"/>
        </w:trPr>
        <w:tc>
          <w:tcPr>
            <w:tcW w:w="1641" w:type="pct"/>
            <w:vMerge w:val="restart"/>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Investment 2</w:t>
            </w:r>
          </w:p>
        </w:tc>
        <w:tc>
          <w:tcPr>
            <w:tcW w:w="503" w:type="pct"/>
            <w:vMerge w:val="restart"/>
          </w:tcPr>
          <w:p w:rsidR="005E0A54" w:rsidRPr="00812509" w:rsidRDefault="005E0A54" w:rsidP="00FD0E7E">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 xml:space="preserve">$17m </w:t>
            </w:r>
          </w:p>
          <w:p w:rsidR="005E0A54" w:rsidRPr="00812509" w:rsidRDefault="005E0A54"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6</w:t>
            </w:r>
            <w:r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w:t>
            </w:r>
          </w:p>
        </w:tc>
        <w:tc>
          <w:tcPr>
            <w:tcW w:w="412" w:type="pct"/>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shd w:val="clear" w:color="auto" w:fill="92D05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shd w:val="clear" w:color="auto" w:fill="92D05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27" w:type="pct"/>
            <w:shd w:val="clear" w:color="auto" w:fill="FFFF0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shd w:val="clear" w:color="auto" w:fill="92D05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shd w:val="clear" w:color="auto" w:fill="92D05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6</w:t>
            </w:r>
          </w:p>
        </w:tc>
        <w:tc>
          <w:tcPr>
            <w:tcW w:w="340" w:type="pct"/>
            <w:shd w:val="clear" w:color="auto" w:fill="92D050"/>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shd w:val="clear" w:color="auto" w:fill="FFFF00"/>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5E0A54" w:rsidRPr="00812509" w:rsidTr="00FD0E7E">
        <w:trPr>
          <w:cnfStyle w:val="000000010000" w:firstRow="0" w:lastRow="0" w:firstColumn="0" w:lastColumn="0" w:oddVBand="0" w:evenVBand="0" w:oddHBand="0" w:evenHBand="1" w:firstRowFirstColumn="0" w:firstRowLastColumn="0" w:lastRowFirstColumn="0" w:lastRowLastColumn="0"/>
          <w:trHeight w:val="284"/>
        </w:trPr>
        <w:tc>
          <w:tcPr>
            <w:tcW w:w="1641" w:type="pct"/>
            <w:vMerge/>
            <w:tcBorders>
              <w:bottom w:val="single" w:sz="4" w:space="0" w:color="auto"/>
            </w:tcBorders>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p>
        </w:tc>
        <w:tc>
          <w:tcPr>
            <w:tcW w:w="503" w:type="pct"/>
            <w:vMerge/>
            <w:tcBorders>
              <w:bottom w:val="single" w:sz="4" w:space="0" w:color="auto"/>
            </w:tcBorders>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tcBorders>
              <w:bottom w:val="single" w:sz="4" w:space="0" w:color="auto"/>
            </w:tcBorders>
            <w:shd w:val="clear" w:color="auto" w:fill="auto"/>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tcBorders>
              <w:bottom w:val="single" w:sz="4" w:space="0" w:color="auto"/>
            </w:tcBorders>
            <w:shd w:val="clear" w:color="auto" w:fill="auto"/>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27" w:type="pct"/>
            <w:tcBorders>
              <w:bottom w:val="single" w:sz="4" w:space="0" w:color="auto"/>
            </w:tcBorders>
            <w:shd w:val="clear" w:color="auto" w:fill="auto"/>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56" w:type="pct"/>
            <w:tcBorders>
              <w:bottom w:val="single" w:sz="4" w:space="0" w:color="auto"/>
            </w:tcBorders>
            <w:shd w:val="clear" w:color="auto" w:fill="auto"/>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tcBorders>
              <w:bottom w:val="single" w:sz="4" w:space="0" w:color="auto"/>
            </w:tcBorders>
            <w:shd w:val="clear" w:color="auto" w:fill="auto"/>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40" w:type="pct"/>
            <w:tcBorders>
              <w:bottom w:val="single" w:sz="4" w:space="0" w:color="auto"/>
            </w:tcBorders>
            <w:shd w:val="clear" w:color="auto" w:fill="auto"/>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tcBorders>
              <w:bottom w:val="single" w:sz="4" w:space="0" w:color="auto"/>
            </w:tcBorders>
            <w:shd w:val="clear" w:color="auto" w:fill="auto"/>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r>
      <w:tr w:rsidR="005E0A54" w:rsidRPr="00812509" w:rsidTr="00FD0E7E">
        <w:trPr>
          <w:cnfStyle w:val="000000010000" w:firstRow="0" w:lastRow="0" w:firstColumn="0" w:lastColumn="0" w:oddVBand="0" w:evenVBand="0" w:oddHBand="0" w:evenHBand="1" w:firstRowFirstColumn="0" w:firstRowLastColumn="0" w:lastRowFirstColumn="0" w:lastRowLastColumn="0"/>
          <w:trHeight w:val="284"/>
        </w:trPr>
        <w:tc>
          <w:tcPr>
            <w:tcW w:w="1641" w:type="pct"/>
            <w:vMerge w:val="restart"/>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Investment 3</w:t>
            </w:r>
          </w:p>
        </w:tc>
        <w:tc>
          <w:tcPr>
            <w:tcW w:w="503" w:type="pct"/>
            <w:vMerge w:val="restart"/>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p>
        </w:tc>
        <w:tc>
          <w:tcPr>
            <w:tcW w:w="412" w:type="pct"/>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c>
          <w:tcPr>
            <w:tcW w:w="315" w:type="pct"/>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c>
          <w:tcPr>
            <w:tcW w:w="327" w:type="pct"/>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c>
          <w:tcPr>
            <w:tcW w:w="356" w:type="pct"/>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c>
          <w:tcPr>
            <w:tcW w:w="315" w:type="pct"/>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c>
          <w:tcPr>
            <w:tcW w:w="340" w:type="pct"/>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c>
          <w:tcPr>
            <w:tcW w:w="315" w:type="pct"/>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r>
      <w:tr w:rsidR="005E0A54" w:rsidRPr="00812509" w:rsidTr="00FD0E7E">
        <w:trPr>
          <w:cnfStyle w:val="000000010000" w:firstRow="0" w:lastRow="0" w:firstColumn="0" w:lastColumn="0" w:oddVBand="0" w:evenVBand="0" w:oddHBand="0" w:evenHBand="1" w:firstRowFirstColumn="0" w:firstRowLastColumn="0" w:lastRowFirstColumn="0" w:lastRowLastColumn="0"/>
          <w:trHeight w:val="284"/>
        </w:trPr>
        <w:tc>
          <w:tcPr>
            <w:tcW w:w="1641" w:type="pct"/>
            <w:vMerge/>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p>
        </w:tc>
        <w:tc>
          <w:tcPr>
            <w:tcW w:w="503" w:type="pct"/>
            <w:vMerge/>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p>
        </w:tc>
        <w:tc>
          <w:tcPr>
            <w:tcW w:w="412" w:type="pct"/>
          </w:tcPr>
          <w:p w:rsidR="005E0A54" w:rsidRPr="00812509" w:rsidRDefault="005E0A54"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c>
          <w:tcPr>
            <w:tcW w:w="315" w:type="pct"/>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c>
          <w:tcPr>
            <w:tcW w:w="327" w:type="pct"/>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c>
          <w:tcPr>
            <w:tcW w:w="356" w:type="pct"/>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c>
          <w:tcPr>
            <w:tcW w:w="315" w:type="pct"/>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c>
          <w:tcPr>
            <w:tcW w:w="340" w:type="pct"/>
            <w:noWrap/>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c>
          <w:tcPr>
            <w:tcW w:w="315" w:type="pct"/>
          </w:tcPr>
          <w:p w:rsidR="005E0A54" w:rsidRPr="00812509" w:rsidRDefault="005E0A54" w:rsidP="00FD0E7E">
            <w:pPr>
              <w:keepLines/>
              <w:spacing w:before="40" w:after="40" w:line="200" w:lineRule="atLeast"/>
              <w:jc w:val="center"/>
              <w:rPr>
                <w:rFonts w:asciiTheme="minorHAnsi" w:eastAsia="Times New Roman" w:hAnsiTheme="minorHAnsi"/>
                <w:iCs/>
                <w:szCs w:val="17"/>
                <w:lang w:eastAsia="en-US"/>
              </w:rPr>
            </w:pPr>
          </w:p>
        </w:tc>
      </w:tr>
    </w:tbl>
    <w:p w:rsidR="005E0A54" w:rsidRPr="00C61187" w:rsidRDefault="005E0A54" w:rsidP="00400B0F">
      <w:pPr>
        <w:rPr>
          <w:iCs/>
        </w:rPr>
      </w:pPr>
    </w:p>
    <w:p w:rsidR="00C05D5C" w:rsidRPr="00967D26" w:rsidRDefault="00C05D5C" w:rsidP="00967D26">
      <w:pPr>
        <w:pStyle w:val="Heading1smallspaceafter"/>
        <w:rPr>
          <w:color w:val="auto"/>
          <w:szCs w:val="26"/>
        </w:rPr>
      </w:pPr>
      <w:r w:rsidRPr="00EF26B5">
        <w:t>2 HAQC ratings</w:t>
      </w:r>
      <w:r w:rsidRPr="00A8197B">
        <w:rPr>
          <w:szCs w:val="26"/>
        </w:rPr>
        <w:t xml:space="preserve"> </w:t>
      </w:r>
      <w:r w:rsidRPr="00967D26">
        <w:rPr>
          <w:color w:val="auto"/>
          <w:sz w:val="22"/>
          <w:szCs w:val="22"/>
        </w:rPr>
        <w:t>[</w:t>
      </w:r>
      <w:r w:rsidRPr="00967D26">
        <w:rPr>
          <w:rStyle w:val="BodyTextChar"/>
          <w:rFonts w:asciiTheme="minorHAnsi" w:eastAsiaTheme="majorEastAsia" w:hAnsiTheme="minorHAnsi" w:cstheme="minorHAnsi"/>
          <w:color w:val="auto"/>
          <w:sz w:val="22"/>
          <w:szCs w:val="22"/>
          <w:lang w:eastAsia="en-US"/>
        </w:rPr>
        <w:t>include if relevant</w:t>
      </w:r>
      <w:r w:rsidRPr="00967D26">
        <w:rPr>
          <w:rStyle w:val="BodyTextChar"/>
          <w:rFonts w:asciiTheme="minorHAnsi" w:eastAsiaTheme="majorEastAsia" w:hAnsiTheme="minorHAnsi"/>
          <w:color w:val="auto"/>
          <w:sz w:val="22"/>
          <w:szCs w:val="22"/>
          <w:lang w:eastAsia="en-US"/>
        </w:rPr>
        <w:t>]</w:t>
      </w:r>
    </w:p>
    <w:p w:rsidR="00C05D5C" w:rsidRPr="00967D26" w:rsidRDefault="00C05D5C" w:rsidP="00967D26">
      <w:pPr>
        <w:pStyle w:val="BodyText"/>
      </w:pPr>
      <w:r w:rsidRPr="00967D26">
        <w:t>[Humanitarian response AQCs assess performance over the previous 12 months (ratings are not compared to previous years).]</w:t>
      </w:r>
    </w:p>
    <w:tbl>
      <w:tblPr>
        <w:tblStyle w:val="APPR"/>
        <w:tblW w:w="4883" w:type="pct"/>
        <w:tblLook w:val="0000" w:firstRow="0" w:lastRow="0" w:firstColumn="0" w:lastColumn="0" w:noHBand="0" w:noVBand="0"/>
      </w:tblPr>
      <w:tblGrid>
        <w:gridCol w:w="2978"/>
        <w:gridCol w:w="1099"/>
        <w:gridCol w:w="620"/>
        <w:gridCol w:w="640"/>
        <w:gridCol w:w="629"/>
        <w:gridCol w:w="656"/>
        <w:gridCol w:w="718"/>
        <w:gridCol w:w="654"/>
        <w:gridCol w:w="711"/>
        <w:gridCol w:w="707"/>
      </w:tblGrid>
      <w:tr w:rsidR="00C05D5C" w:rsidRPr="00812509" w:rsidTr="00FD0E7E">
        <w:trPr>
          <w:cnfStyle w:val="000000010000" w:firstRow="0" w:lastRow="0" w:firstColumn="0" w:lastColumn="0" w:oddVBand="0" w:evenVBand="0" w:oddHBand="0" w:evenHBand="1" w:firstRowFirstColumn="0" w:firstRowLastColumn="0" w:lastRowFirstColumn="0" w:lastRowLastColumn="0"/>
          <w:trHeight w:val="1505"/>
        </w:trPr>
        <w:tc>
          <w:tcPr>
            <w:tcW w:w="1559" w:type="pct"/>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85888" behindDoc="0" locked="0" layoutInCell="1" allowOverlap="1" wp14:anchorId="37CBF0A4" wp14:editId="25DB9C4C">
                  <wp:simplePos x="0" y="0"/>
                  <wp:positionH relativeFrom="column">
                    <wp:posOffset>0</wp:posOffset>
                  </wp:positionH>
                  <wp:positionV relativeFrom="paragraph">
                    <wp:posOffset>0</wp:posOffset>
                  </wp:positionV>
                  <wp:extent cx="1857375" cy="228600"/>
                  <wp:effectExtent l="0" t="0" r="9525" b="0"/>
                  <wp:wrapNone/>
                  <wp:docPr id="49" name="Picture 4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69" w:type="pct"/>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14" w:type="pct"/>
            <w:noWrap/>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25" w:type="pct"/>
            <w:noWrap/>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19" w:type="pct"/>
            <w:noWrap/>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34" w:type="pct"/>
            <w:noWrap/>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67" w:type="pct"/>
            <w:noWrap/>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33" w:type="pct"/>
            <w:noWrap/>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Connectedness</w:t>
            </w:r>
          </w:p>
        </w:tc>
        <w:tc>
          <w:tcPr>
            <w:tcW w:w="363" w:type="pct"/>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53" w:type="pct"/>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C05D5C" w:rsidRPr="00812509" w:rsidTr="00FD0E7E">
        <w:trPr>
          <w:cnfStyle w:val="000000010000" w:firstRow="0" w:lastRow="0" w:firstColumn="0" w:lastColumn="0" w:oddVBand="0" w:evenVBand="0" w:oddHBand="0" w:evenHBand="1" w:firstRowFirstColumn="0" w:firstRowLastColumn="0" w:lastRowFirstColumn="0" w:lastRowLastColumn="0"/>
          <w:trHeight w:val="284"/>
        </w:trPr>
        <w:tc>
          <w:tcPr>
            <w:tcW w:w="1559" w:type="pct"/>
          </w:tcPr>
          <w:p w:rsidR="00C05D5C" w:rsidRPr="00812509" w:rsidRDefault="00C05D5C"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w:t>
            </w:r>
            <w:r>
              <w:rPr>
                <w:rFonts w:asciiTheme="minorHAnsi" w:eastAsia="Times New Roman" w:hAnsiTheme="minorHAnsi"/>
                <w:iCs/>
                <w:szCs w:val="17"/>
                <w:lang w:eastAsia="en-US"/>
              </w:rPr>
              <w:t>4</w:t>
            </w:r>
          </w:p>
        </w:tc>
        <w:tc>
          <w:tcPr>
            <w:tcW w:w="569" w:type="pct"/>
          </w:tcPr>
          <w:p w:rsidR="00C05D5C" w:rsidRPr="00812509" w:rsidRDefault="00C05D5C" w:rsidP="00FD0E7E">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Pr>
                <w:rFonts w:asciiTheme="minorHAnsi" w:hAnsiTheme="minorHAnsi" w:cs="Franklin Gothic Book"/>
                <w:color w:val="000000"/>
                <w:szCs w:val="17"/>
              </w:rPr>
              <w:t>3.0m</w:t>
            </w:r>
            <w:r w:rsidRPr="00812509">
              <w:rPr>
                <w:rFonts w:asciiTheme="minorHAnsi" w:hAnsiTheme="minorHAnsi" w:cs="Franklin Gothic Book"/>
                <w:color w:val="000000"/>
                <w:szCs w:val="17"/>
              </w:rPr>
              <w:t xml:space="preserve"> </w:t>
            </w:r>
          </w:p>
          <w:p w:rsidR="00C05D5C" w:rsidRPr="00812509" w:rsidRDefault="00C05D5C"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7-18</w:t>
            </w:r>
            <w:r w:rsidRPr="00812509">
              <w:rPr>
                <w:rFonts w:asciiTheme="minorHAnsi" w:eastAsia="Times New Roman" w:hAnsiTheme="minorHAnsi"/>
                <w:iCs/>
                <w:szCs w:val="17"/>
                <w:lang w:eastAsia="en-US"/>
              </w:rPr>
              <w:t xml:space="preserve"> </w:t>
            </w:r>
          </w:p>
        </w:tc>
        <w:tc>
          <w:tcPr>
            <w:tcW w:w="314" w:type="pct"/>
            <w:shd w:val="clear" w:color="auto" w:fill="FFFF00"/>
            <w:noWrap/>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5" w:type="pct"/>
            <w:shd w:val="clear" w:color="auto" w:fill="92D050"/>
            <w:noWrap/>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9" w:type="pct"/>
            <w:shd w:val="clear" w:color="auto" w:fill="FFFF00"/>
            <w:noWrap/>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34" w:type="pct"/>
            <w:shd w:val="clear" w:color="auto" w:fill="FFC000"/>
            <w:noWrap/>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367" w:type="pct"/>
            <w:shd w:val="clear" w:color="auto" w:fill="92D050"/>
            <w:noWrap/>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6</w:t>
            </w:r>
          </w:p>
        </w:tc>
        <w:tc>
          <w:tcPr>
            <w:tcW w:w="333" w:type="pct"/>
            <w:shd w:val="clear" w:color="auto" w:fill="FFC000"/>
            <w:noWrap/>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63" w:type="pct"/>
            <w:shd w:val="clear" w:color="auto" w:fill="FF0000"/>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w:t>
            </w:r>
          </w:p>
        </w:tc>
        <w:tc>
          <w:tcPr>
            <w:tcW w:w="353" w:type="pct"/>
            <w:shd w:val="clear" w:color="auto" w:fill="92D050"/>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r>
    </w:tbl>
    <w:p w:rsidR="00400B0F" w:rsidRDefault="00400B0F" w:rsidP="00400B0F">
      <w:pPr>
        <w:rPr>
          <w:iCs/>
        </w:rPr>
      </w:pPr>
    </w:p>
    <w:p w:rsidR="00C05D5C" w:rsidRPr="00967D26" w:rsidRDefault="00C05D5C" w:rsidP="00967D26">
      <w:pPr>
        <w:pStyle w:val="Heading1smallspaceafter"/>
        <w:rPr>
          <w:color w:val="auto"/>
          <w:szCs w:val="26"/>
        </w:rPr>
      </w:pPr>
      <w:r w:rsidRPr="00EF26B5">
        <w:t>3 FAQC ratings</w:t>
      </w:r>
      <w:r w:rsidRPr="00A8197B">
        <w:rPr>
          <w:szCs w:val="26"/>
        </w:rPr>
        <w:t xml:space="preserve"> </w:t>
      </w:r>
      <w:r w:rsidRPr="00967D26">
        <w:rPr>
          <w:rStyle w:val="BodyTextChar"/>
          <w:rFonts w:eastAsiaTheme="majorEastAsia"/>
        </w:rPr>
        <w:t>[include if relevant]</w:t>
      </w:r>
    </w:p>
    <w:p w:rsidR="00C05D5C" w:rsidRPr="00967D26" w:rsidRDefault="00C05D5C" w:rsidP="00967D26">
      <w:pPr>
        <w:pStyle w:val="BodyText"/>
      </w:pPr>
      <w:r w:rsidRPr="00967D26">
        <w:t>[Final AQCs assess performance over the lifetime of the investment (ratings are not compared to previous years).]</w:t>
      </w:r>
    </w:p>
    <w:tbl>
      <w:tblPr>
        <w:tblStyle w:val="APPR"/>
        <w:tblW w:w="4810" w:type="pct"/>
        <w:tblLook w:val="0000" w:firstRow="0" w:lastRow="0" w:firstColumn="0" w:lastColumn="0" w:noHBand="0" w:noVBand="0"/>
      </w:tblPr>
      <w:tblGrid>
        <w:gridCol w:w="2836"/>
        <w:gridCol w:w="1100"/>
        <w:gridCol w:w="620"/>
        <w:gridCol w:w="639"/>
        <w:gridCol w:w="629"/>
        <w:gridCol w:w="657"/>
        <w:gridCol w:w="718"/>
        <w:gridCol w:w="655"/>
        <w:gridCol w:w="711"/>
        <w:gridCol w:w="707"/>
      </w:tblGrid>
      <w:tr w:rsidR="00C05D5C" w:rsidRPr="00812509" w:rsidTr="00FD0E7E">
        <w:trPr>
          <w:cnfStyle w:val="000000010000" w:firstRow="0" w:lastRow="0" w:firstColumn="0" w:lastColumn="0" w:oddVBand="0" w:evenVBand="0" w:oddHBand="0" w:evenHBand="1" w:firstRowFirstColumn="0" w:firstRowLastColumn="0" w:lastRowFirstColumn="0" w:lastRowLastColumn="0"/>
          <w:trHeight w:val="1505"/>
        </w:trPr>
        <w:tc>
          <w:tcPr>
            <w:tcW w:w="1506" w:type="pct"/>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lastRenderedPageBreak/>
              <w:drawing>
                <wp:anchor distT="0" distB="0" distL="114300" distR="114300" simplePos="0" relativeHeight="251687936" behindDoc="0" locked="0" layoutInCell="1" allowOverlap="1" wp14:anchorId="28264F7A" wp14:editId="60C3CE57">
                  <wp:simplePos x="0" y="0"/>
                  <wp:positionH relativeFrom="column">
                    <wp:posOffset>0</wp:posOffset>
                  </wp:positionH>
                  <wp:positionV relativeFrom="paragraph">
                    <wp:posOffset>0</wp:posOffset>
                  </wp:positionV>
                  <wp:extent cx="1857375" cy="228600"/>
                  <wp:effectExtent l="0" t="0" r="9525" b="0"/>
                  <wp:wrapNone/>
                  <wp:docPr id="50" name="Picture 5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78" w:type="pct"/>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19" w:type="pct"/>
            <w:noWrap/>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30" w:type="pct"/>
            <w:noWrap/>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24" w:type="pct"/>
            <w:noWrap/>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39" w:type="pct"/>
            <w:noWrap/>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72" w:type="pct"/>
            <w:noWrap/>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38" w:type="pct"/>
            <w:noWrap/>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68" w:type="pct"/>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59" w:type="pct"/>
            <w:textDirection w:val="btLr"/>
          </w:tcPr>
          <w:p w:rsidR="00C05D5C" w:rsidRPr="00812509" w:rsidRDefault="00C05D5C" w:rsidP="00FD0E7E">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C05D5C" w:rsidRPr="00812509" w:rsidTr="00FD0E7E">
        <w:trPr>
          <w:cnfStyle w:val="000000010000" w:firstRow="0" w:lastRow="0" w:firstColumn="0" w:lastColumn="0" w:oddVBand="0" w:evenVBand="0" w:oddHBand="0" w:evenHBand="1" w:firstRowFirstColumn="0" w:firstRowLastColumn="0" w:lastRowFirstColumn="0" w:lastRowLastColumn="0"/>
          <w:trHeight w:val="284"/>
        </w:trPr>
        <w:tc>
          <w:tcPr>
            <w:tcW w:w="1506" w:type="pct"/>
          </w:tcPr>
          <w:p w:rsidR="00C05D5C" w:rsidRPr="00812509" w:rsidRDefault="00C05D5C"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Investment 5</w:t>
            </w:r>
          </w:p>
        </w:tc>
        <w:tc>
          <w:tcPr>
            <w:tcW w:w="578" w:type="pct"/>
          </w:tcPr>
          <w:p w:rsidR="00C05D5C" w:rsidRPr="00812509" w:rsidRDefault="00C05D5C" w:rsidP="00FD0E7E">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 xml:space="preserve">$25.4m </w:t>
            </w:r>
          </w:p>
          <w:p w:rsidR="00C05D5C" w:rsidRPr="00812509" w:rsidRDefault="00C05D5C" w:rsidP="00FD0E7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4</w:t>
            </w:r>
            <w:r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w:t>
            </w:r>
          </w:p>
        </w:tc>
        <w:tc>
          <w:tcPr>
            <w:tcW w:w="319" w:type="pct"/>
            <w:shd w:val="clear" w:color="auto" w:fill="FFFF00"/>
            <w:noWrap/>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30" w:type="pct"/>
            <w:shd w:val="clear" w:color="auto" w:fill="92D050"/>
            <w:noWrap/>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24" w:type="pct"/>
            <w:shd w:val="clear" w:color="auto" w:fill="FFFF00"/>
            <w:noWrap/>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39" w:type="pct"/>
            <w:shd w:val="clear" w:color="auto" w:fill="FFC000"/>
            <w:noWrap/>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372" w:type="pct"/>
            <w:shd w:val="clear" w:color="auto" w:fill="92D050"/>
            <w:noWrap/>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6</w:t>
            </w:r>
          </w:p>
        </w:tc>
        <w:tc>
          <w:tcPr>
            <w:tcW w:w="338" w:type="pct"/>
            <w:shd w:val="clear" w:color="auto" w:fill="FF0000"/>
            <w:noWrap/>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w:t>
            </w:r>
          </w:p>
        </w:tc>
        <w:tc>
          <w:tcPr>
            <w:tcW w:w="368" w:type="pct"/>
            <w:shd w:val="clear" w:color="auto" w:fill="FFFF00"/>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9" w:type="pct"/>
            <w:shd w:val="clear" w:color="auto" w:fill="92D050"/>
          </w:tcPr>
          <w:p w:rsidR="00C05D5C" w:rsidRPr="00812509" w:rsidRDefault="00C05D5C" w:rsidP="00FD0E7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r>
    </w:tbl>
    <w:p w:rsidR="00C05D5C" w:rsidRPr="00812509" w:rsidRDefault="00C05D5C" w:rsidP="00C05D5C">
      <w:pPr>
        <w:spacing w:before="20" w:after="20" w:line="180" w:lineRule="atLeast"/>
        <w:jc w:val="both"/>
        <w:rPr>
          <w:rFonts w:eastAsia="Times New Roman"/>
          <w:b/>
          <w:sz w:val="14"/>
          <w:szCs w:val="14"/>
        </w:rPr>
      </w:pPr>
    </w:p>
    <w:p w:rsidR="00C05D5C" w:rsidRPr="00812509" w:rsidRDefault="00C05D5C" w:rsidP="00C05D5C">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C05D5C" w:rsidRPr="00812509" w:rsidRDefault="00C05D5C" w:rsidP="00C05D5C">
      <w:pPr>
        <w:spacing w:before="20" w:after="20" w:line="180" w:lineRule="atLeast"/>
        <w:jc w:val="both"/>
        <w:rPr>
          <w:rFonts w:eastAsia="Times New Roman"/>
          <w:b/>
          <w:sz w:val="16"/>
          <w:szCs w:val="14"/>
        </w:rPr>
      </w:pPr>
      <w:r w:rsidRPr="00812509">
        <w:rPr>
          <w:rFonts w:eastAsia="Times New Roman"/>
          <w:b/>
          <w:sz w:val="16"/>
          <w:szCs w:val="14"/>
        </w:rPr>
        <w:t>Satisfactory (4, 5 and 6)</w:t>
      </w:r>
    </w:p>
    <w:p w:rsidR="00C05D5C" w:rsidRPr="00812509" w:rsidRDefault="00C05D5C" w:rsidP="00C05D5C">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rsidR="00C05D5C" w:rsidRPr="00812509" w:rsidRDefault="00C05D5C" w:rsidP="00C05D5C">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rsidR="00C05D5C" w:rsidRPr="00812509" w:rsidRDefault="00C05D5C" w:rsidP="00C05D5C">
      <w:pPr>
        <w:spacing w:before="20" w:after="20" w:line="180" w:lineRule="atLeast"/>
        <w:rPr>
          <w:rFonts w:eastAsia="Times New Roman"/>
          <w:b/>
          <w:sz w:val="16"/>
          <w:szCs w:val="14"/>
        </w:rPr>
      </w:pPr>
      <w:r w:rsidRPr="00812509">
        <w:rPr>
          <w:rFonts w:eastAsia="Times New Roman"/>
          <w:b/>
          <w:sz w:val="16"/>
          <w:szCs w:val="14"/>
        </w:rPr>
        <w:t>Less than satisfactory (1, 2 and 3)</w:t>
      </w:r>
    </w:p>
    <w:p w:rsidR="00C05D5C" w:rsidRPr="00812509" w:rsidRDefault="00C05D5C" w:rsidP="00C05D5C">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C05D5C" w:rsidRPr="00812509" w:rsidRDefault="00C05D5C" w:rsidP="00C05D5C">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rsidR="00C05D5C" w:rsidRDefault="00C05D5C">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rsidR="00C05D5C" w:rsidRPr="00EF26B5" w:rsidRDefault="00C05D5C" w:rsidP="00967D26">
      <w:pPr>
        <w:pStyle w:val="Heading1smallspaceafter"/>
        <w:rPr>
          <w:iCs/>
        </w:rPr>
      </w:pPr>
      <w:r w:rsidRPr="00EF26B5">
        <w:lastRenderedPageBreak/>
        <w:t>Annex E – Performance Assessment Framework</w:t>
      </w:r>
    </w:p>
    <w:p w:rsidR="00C05D5C" w:rsidRPr="00EF26B5" w:rsidRDefault="00C05D5C" w:rsidP="00967D26">
      <w:pPr>
        <w:pStyle w:val="BodyText"/>
      </w:pPr>
      <w:r>
        <w:t>[</w:t>
      </w:r>
      <w:r w:rsidRPr="00EF26B5">
        <w:t>Insert Performance Assessment Framework</w:t>
      </w:r>
      <w:r w:rsidR="003E2BE7">
        <w:t xml:space="preserve"> for 2019-20</w:t>
      </w:r>
      <w:r>
        <w:t>]</w:t>
      </w:r>
    </w:p>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05D5C" w:rsidRDefault="00C05D5C">
      <w:pPr>
        <w:suppressAutoHyphens w:val="0"/>
        <w:spacing w:before="0" w:after="120" w:line="440" w:lineRule="atLeast"/>
        <w:rPr>
          <w:rFonts w:eastAsiaTheme="majorEastAsia" w:cstheme="majorBidi"/>
          <w:bCs/>
          <w:iCs/>
          <w:caps/>
          <w:spacing w:val="-10"/>
          <w:kern w:val="28"/>
          <w:sz w:val="38"/>
          <w:szCs w:val="24"/>
        </w:rPr>
      </w:pPr>
      <w:r>
        <w:rPr>
          <w:rFonts w:eastAsiaTheme="majorEastAsia" w:cstheme="majorBidi"/>
          <w:bCs/>
          <w:iCs/>
          <w:caps/>
          <w:spacing w:val="-10"/>
          <w:kern w:val="28"/>
          <w:sz w:val="38"/>
          <w:szCs w:val="24"/>
        </w:rPr>
        <w:br w:type="page"/>
      </w:r>
    </w:p>
    <w:p w:rsidR="00C05D5C" w:rsidRPr="00EF26B5" w:rsidRDefault="00C05D5C" w:rsidP="00967D26">
      <w:pPr>
        <w:pStyle w:val="Heading1smallspaceafter"/>
      </w:pPr>
      <w:r w:rsidRPr="00EF26B5">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BE737D" w:rsidTr="00D05246">
        <w:trPr>
          <w:trHeight w:val="1156"/>
        </w:trPr>
        <w:tc>
          <w:tcPr>
            <w:tcW w:w="1271" w:type="dxa"/>
            <w:shd w:val="clear" w:color="auto" w:fill="D7DEE2" w:themeFill="text2" w:themeFillTint="33"/>
          </w:tcPr>
          <w:p w:rsidR="00BE737D" w:rsidRDefault="00BE737D" w:rsidP="00D05246">
            <w:pPr>
              <w:spacing w:before="80" w:after="80"/>
            </w:pPr>
            <w:r w:rsidRPr="00F75380">
              <w:rPr>
                <w:noProof/>
                <w:lang w:val="en-AU" w:eastAsia="en-AU"/>
              </w:rPr>
              <w:drawing>
                <wp:inline distT="0" distB="0" distL="0" distR="0" wp14:anchorId="15484287" wp14:editId="102CFF4D">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294AE0AD" wp14:editId="389A0D10">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Reduce inequality within</w:t>
            </w:r>
            <w:r>
              <w:rPr>
                <w:sz w:val="16"/>
              </w:rPr>
              <w:t xml:space="preserve"> </w:t>
            </w:r>
            <w:r w:rsidRPr="00AB289B">
              <w:rPr>
                <w:sz w:val="16"/>
              </w:rPr>
              <w:t>and among countries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08F3EBD8" wp14:editId="10AB6675">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1A8657B2" wp14:editId="2EDEFC31">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3B7DA3F1" wp14:editId="5E071A9B">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5194A624" wp14:editId="4EB69A41">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4E488E06" wp14:editId="507D50EC">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72965848" wp14:editId="0CC5A73D">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15AD83FD" wp14:editId="3CAD368F">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5C12E7E3" wp14:editId="5C56C46F">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07BAAF6B" wp14:editId="1FE84E3A">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2E0DBCF2" wp14:editId="60165A64">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54969D4C" wp14:editId="311D46D3">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4B32DACD" wp14:editId="7900D59E">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301004DD" wp14:editId="71974C80">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545ECFDF" wp14:editId="54598423">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092F22A9" wp14:editId="70516F1B">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Pr="00AB289B" w:rsidRDefault="00BE737D" w:rsidP="00D05246">
            <w:pPr>
              <w:spacing w:before="80" w:after="80"/>
              <w:rPr>
                <w:sz w:val="16"/>
              </w:rPr>
            </w:pPr>
          </w:p>
        </w:tc>
        <w:tc>
          <w:tcPr>
            <w:tcW w:w="3544" w:type="dxa"/>
            <w:shd w:val="clear" w:color="auto" w:fill="D7DEE2" w:themeFill="text2" w:themeFillTint="33"/>
          </w:tcPr>
          <w:p w:rsidR="00BE737D" w:rsidRPr="00AB289B" w:rsidRDefault="00BE737D" w:rsidP="00D05246">
            <w:pPr>
              <w:spacing w:before="80" w:after="80"/>
              <w:rPr>
                <w:sz w:val="16"/>
              </w:rPr>
            </w:pPr>
          </w:p>
        </w:tc>
      </w:tr>
    </w:tbl>
    <w:p w:rsidR="00091476" w:rsidRPr="00EF26B5" w:rsidRDefault="00091476" w:rsidP="00967D26">
      <w:pPr>
        <w:pStyle w:val="BodyText"/>
        <w:rPr>
          <w:b/>
        </w:rPr>
      </w:pPr>
      <w:r>
        <w:t>[</w:t>
      </w:r>
      <w:r w:rsidRPr="00EF26B5">
        <w:t xml:space="preserve">In order to ascertain which of the Sustainable Development Goals (SDGs or ‘Global Goals’) your program objectives are addressing, please read through the list of targets against each goal, available on the DFAT website under </w:t>
      </w:r>
      <w:hyperlink r:id="rId44" w:history="1">
        <w:r w:rsidRPr="00EF26B5">
          <w:rPr>
            <w:b/>
          </w:rPr>
          <w:t>Development Goals</w:t>
        </w:r>
      </w:hyperlink>
      <w:r>
        <w:rPr>
          <w:b/>
        </w:rPr>
        <w:t>.]</w:t>
      </w:r>
    </w:p>
    <w:p w:rsidR="00091476" w:rsidRPr="00EF26B5" w:rsidRDefault="00091476" w:rsidP="00967D26">
      <w:pPr>
        <w:pStyle w:val="BodyText"/>
      </w:pPr>
      <w:r>
        <w:t>[</w:t>
      </w:r>
      <w:r w:rsidRPr="00EF26B5">
        <w:t xml:space="preserve">Note there are cross-cutting issues such as gender equality and disability which are included as targets across several goals. Consistent with Australia’s ‘Gender Equality and Women’s Empowerment Strategy’ the majority of programs should address </w:t>
      </w:r>
      <w:hyperlink r:id="rId45" w:anchor="five" w:history="1">
        <w:r w:rsidRPr="00967D26">
          <w:rPr>
            <w:rStyle w:val="Hyperlink"/>
            <w:rFonts w:cstheme="minorBidi"/>
            <w:b/>
            <w:u w:val="none"/>
          </w:rPr>
          <w:t>Goal 5</w:t>
        </w:r>
      </w:hyperlink>
      <w:r w:rsidRPr="00EF26B5">
        <w:t>.</w:t>
      </w:r>
      <w:r>
        <w:t>]</w:t>
      </w:r>
    </w:p>
    <w:p w:rsidR="006C4F09" w:rsidRPr="005C78DB" w:rsidRDefault="006C4F09" w:rsidP="00091476"/>
    <w:sectPr w:rsidR="006C4F09" w:rsidRPr="005C78DB" w:rsidSect="00CA7DD8">
      <w:headerReference w:type="default" r:id="rId46"/>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246" w:rsidRDefault="00D05246" w:rsidP="00EF4574">
      <w:pPr>
        <w:spacing w:before="0" w:after="0" w:line="240" w:lineRule="auto"/>
      </w:pPr>
      <w:r>
        <w:separator/>
      </w:r>
    </w:p>
  </w:endnote>
  <w:endnote w:type="continuationSeparator" w:id="0">
    <w:p w:rsidR="00D05246" w:rsidRDefault="00D05246"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68" w:rsidRDefault="00C20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46" w:rsidRPr="00CD0E4B" w:rsidRDefault="00D05246" w:rsidP="00C406F0">
    <w:pPr>
      <w:pStyle w:val="Footer"/>
    </w:pPr>
    <w:r w:rsidRPr="00CD0E4B">
      <w:rPr>
        <w:noProof/>
        <w:lang w:val="en-AU" w:eastAsia="en-AU"/>
      </w:rPr>
      <w:drawing>
        <wp:inline distT="0" distB="0" distL="0" distR="0" wp14:anchorId="5A88AB31" wp14:editId="481C598E">
          <wp:extent cx="90000" cy="745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D05246" w:rsidRDefault="00D05246">
    <w:pPr>
      <w:pStyle w:val="Footer"/>
    </w:pPr>
    <w:r w:rsidRPr="00CD0E4B">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68" w:rsidRDefault="00C20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46" w:rsidRPr="00CD0E4B" w:rsidRDefault="00D05246" w:rsidP="00784031">
    <w:pPr>
      <w:pStyle w:val="Footer"/>
    </w:pPr>
    <w:r w:rsidRPr="00CD0E4B">
      <w:rPr>
        <w:noProof/>
        <w:lang w:val="en-AU" w:eastAsia="en-AU"/>
      </w:rPr>
      <w:drawing>
        <wp:inline distT="0" distB="0" distL="0" distR="0" wp14:anchorId="444CB0BC" wp14:editId="4D24E7E6">
          <wp:extent cx="90000" cy="74520"/>
          <wp:effectExtent l="0" t="0" r="571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D05246" w:rsidRPr="00CD0E4B" w:rsidRDefault="00D05246"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246" w:rsidRPr="008C5A0E" w:rsidRDefault="00D05246" w:rsidP="001D663E">
      <w:pPr>
        <w:pStyle w:val="Footer"/>
        <w:pBdr>
          <w:top w:val="single" w:sz="4" w:space="1" w:color="495965" w:themeColor="text2"/>
        </w:pBdr>
      </w:pPr>
    </w:p>
  </w:footnote>
  <w:footnote w:type="continuationSeparator" w:id="0">
    <w:p w:rsidR="00D05246" w:rsidRDefault="00D05246"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68" w:rsidRDefault="00C20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46" w:rsidRPr="00333501" w:rsidRDefault="00D05246" w:rsidP="008F56A8">
    <w:pPr>
      <w:pStyle w:val="Header"/>
      <w:jc w:val="left"/>
    </w:pPr>
    <w:r>
      <w:rPr>
        <w:noProof/>
        <w:lang w:val="en-AU" w:eastAsia="en-AU"/>
      </w:rPr>
      <w:drawing>
        <wp:anchor distT="0" distB="0" distL="114300" distR="114300" simplePos="0" relativeHeight="251681792" behindDoc="1" locked="1" layoutInCell="1" allowOverlap="1" wp14:anchorId="6ADC68D5" wp14:editId="24AEA1FA">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68" w:rsidRDefault="00C203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46" w:rsidRDefault="00D052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46" w:rsidRPr="00333501" w:rsidRDefault="00D05246" w:rsidP="008F56A8">
    <w:pPr>
      <w:pStyle w:val="Header"/>
      <w:jc w:val="left"/>
    </w:pPr>
    <w:r>
      <w:rPr>
        <w:noProof/>
        <w:lang w:val="en-AU" w:eastAsia="en-AU"/>
      </w:rPr>
      <w:drawing>
        <wp:anchor distT="0" distB="0" distL="114300" distR="114300" simplePos="0" relativeHeight="251697152" behindDoc="1" locked="1" layoutInCell="1" allowOverlap="1" wp14:anchorId="7A7DA1D5" wp14:editId="40B67193">
          <wp:simplePos x="0" y="0"/>
          <wp:positionH relativeFrom="page">
            <wp:posOffset>160020</wp:posOffset>
          </wp:positionH>
          <wp:positionV relativeFrom="page">
            <wp:posOffset>160020</wp:posOffset>
          </wp:positionV>
          <wp:extent cx="10662285" cy="7545705"/>
          <wp:effectExtent l="0" t="0" r="571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46" w:rsidRPr="003D352D" w:rsidRDefault="00D05246" w:rsidP="003D352D">
    <w:pPr>
      <w:pStyle w:val="Header"/>
      <w:jc w:val="left"/>
    </w:pPr>
    <w:r>
      <w:rPr>
        <w:noProof/>
        <w:lang w:val="en-AU" w:eastAsia="en-AU"/>
      </w:rPr>
      <w:drawing>
        <wp:anchor distT="0" distB="0" distL="114300" distR="114300" simplePos="0" relativeHeight="251695104" behindDoc="1" locked="1" layoutInCell="1" allowOverlap="1" wp14:anchorId="322FDE5C" wp14:editId="71722D9C">
          <wp:simplePos x="0" y="0"/>
          <wp:positionH relativeFrom="page">
            <wp:posOffset>7620</wp:posOffset>
          </wp:positionH>
          <wp:positionV relativeFrom="page">
            <wp:posOffset>7620</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46" w:rsidRPr="00333501" w:rsidRDefault="00D05246" w:rsidP="008F56A8">
    <w:pPr>
      <w:pStyle w:val="Header"/>
      <w:jc w:val="left"/>
    </w:pPr>
    <w:r>
      <w:rPr>
        <w:noProof/>
        <w:lang w:val="en-AU" w:eastAsia="en-AU"/>
      </w:rPr>
      <w:drawing>
        <wp:anchor distT="0" distB="0" distL="114300" distR="114300" simplePos="0" relativeHeight="251699200" behindDoc="1" locked="1" layoutInCell="1" allowOverlap="1" wp14:anchorId="4F1D725F" wp14:editId="37B980A7">
          <wp:simplePos x="0" y="0"/>
          <wp:positionH relativeFrom="page">
            <wp:align>right</wp:align>
          </wp:positionH>
          <wp:positionV relativeFrom="page">
            <wp:align>top</wp:align>
          </wp:positionV>
          <wp:extent cx="7559040" cy="11025505"/>
          <wp:effectExtent l="0" t="0" r="3810" b="444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157D8"/>
    <w:multiLevelType w:val="hybridMultilevel"/>
    <w:tmpl w:val="6E203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8B52652"/>
    <w:multiLevelType w:val="hybridMultilevel"/>
    <w:tmpl w:val="AB126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A2E2714"/>
    <w:multiLevelType w:val="hybridMultilevel"/>
    <w:tmpl w:val="A716A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CA691D"/>
    <w:multiLevelType w:val="hybridMultilevel"/>
    <w:tmpl w:val="7C381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DF1663"/>
    <w:multiLevelType w:val="hybridMultilevel"/>
    <w:tmpl w:val="249E3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27186C6B"/>
    <w:multiLevelType w:val="hybridMultilevel"/>
    <w:tmpl w:val="26ACE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F86C45"/>
    <w:multiLevelType w:val="hybridMultilevel"/>
    <w:tmpl w:val="665A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910EE7"/>
    <w:multiLevelType w:val="hybridMultilevel"/>
    <w:tmpl w:val="E62A8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587DC1"/>
    <w:multiLevelType w:val="hybridMultilevel"/>
    <w:tmpl w:val="50462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D92CD6"/>
    <w:multiLevelType w:val="hybridMultilevel"/>
    <w:tmpl w:val="0BD8A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D3C1EA7"/>
    <w:multiLevelType w:val="multilevel"/>
    <w:tmpl w:val="43428892"/>
    <w:numStyleLink w:val="BulletsList"/>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72E57CA2"/>
    <w:multiLevelType w:val="hybridMultilevel"/>
    <w:tmpl w:val="6F9E9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9"/>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1"/>
  </w:num>
  <w:num w:numId="23">
    <w:abstractNumId w:val="21"/>
  </w:num>
  <w:num w:numId="24">
    <w:abstractNumId w:val="30"/>
  </w:num>
  <w:num w:numId="25">
    <w:abstractNumId w:val="30"/>
  </w:num>
  <w:num w:numId="26">
    <w:abstractNumId w:val="30"/>
  </w:num>
  <w:num w:numId="27">
    <w:abstractNumId w:val="29"/>
  </w:num>
  <w:num w:numId="28">
    <w:abstractNumId w:val="13"/>
  </w:num>
  <w:num w:numId="29">
    <w:abstractNumId w:val="13"/>
  </w:num>
  <w:num w:numId="30">
    <w:abstractNumId w:val="13"/>
  </w:num>
  <w:num w:numId="31">
    <w:abstractNumId w:val="22"/>
  </w:num>
  <w:num w:numId="32">
    <w:abstractNumId w:val="26"/>
  </w:num>
  <w:num w:numId="33">
    <w:abstractNumId w:val="34"/>
  </w:num>
  <w:num w:numId="34">
    <w:abstractNumId w:val="25"/>
  </w:num>
  <w:num w:numId="35">
    <w:abstractNumId w:val="17"/>
  </w:num>
  <w:num w:numId="36">
    <w:abstractNumId w:val="19"/>
  </w:num>
  <w:num w:numId="37">
    <w:abstractNumId w:val="18"/>
  </w:num>
  <w:num w:numId="38">
    <w:abstractNumId w:val="10"/>
  </w:num>
  <w:num w:numId="39">
    <w:abstractNumId w:val="12"/>
  </w:num>
  <w:num w:numId="40">
    <w:abstractNumId w:val="27"/>
  </w:num>
  <w:num w:numId="41">
    <w:abstractNumId w:val="24"/>
  </w:num>
  <w:num w:numId="42">
    <w:abstractNumId w:val="20"/>
  </w:num>
  <w:num w:numId="43">
    <w:abstractNumId w:val="32"/>
  </w:num>
  <w:num w:numId="44">
    <w:abstractNumId w:val="11"/>
  </w:num>
  <w:num w:numId="45">
    <w:abstractNumId w:val="16"/>
  </w:num>
  <w:num w:numId="46">
    <w:abstractNumId w:val="15"/>
  </w:num>
  <w:num w:numId="47">
    <w:abstractNumId w:val="28"/>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15316"/>
    <w:rsid w:val="0002080A"/>
    <w:rsid w:val="0002782F"/>
    <w:rsid w:val="00027F29"/>
    <w:rsid w:val="00031512"/>
    <w:rsid w:val="00033AB7"/>
    <w:rsid w:val="00047FFB"/>
    <w:rsid w:val="00054E4D"/>
    <w:rsid w:val="00055688"/>
    <w:rsid w:val="00060073"/>
    <w:rsid w:val="00060268"/>
    <w:rsid w:val="00063AEA"/>
    <w:rsid w:val="00084483"/>
    <w:rsid w:val="00091476"/>
    <w:rsid w:val="000A53A5"/>
    <w:rsid w:val="000D66D6"/>
    <w:rsid w:val="000E314A"/>
    <w:rsid w:val="001103E6"/>
    <w:rsid w:val="001541EA"/>
    <w:rsid w:val="00162218"/>
    <w:rsid w:val="00166962"/>
    <w:rsid w:val="001704B2"/>
    <w:rsid w:val="00174B8C"/>
    <w:rsid w:val="00184818"/>
    <w:rsid w:val="00186EA3"/>
    <w:rsid w:val="001B3C09"/>
    <w:rsid w:val="001B5019"/>
    <w:rsid w:val="001D663E"/>
    <w:rsid w:val="001E1DC0"/>
    <w:rsid w:val="0020363F"/>
    <w:rsid w:val="00215731"/>
    <w:rsid w:val="002309D8"/>
    <w:rsid w:val="00236A53"/>
    <w:rsid w:val="00257BB4"/>
    <w:rsid w:val="00275DB7"/>
    <w:rsid w:val="0027602A"/>
    <w:rsid w:val="00284957"/>
    <w:rsid w:val="0028602A"/>
    <w:rsid w:val="002A51CA"/>
    <w:rsid w:val="002A6AC8"/>
    <w:rsid w:val="002B3E95"/>
    <w:rsid w:val="002B5E10"/>
    <w:rsid w:val="002D2B16"/>
    <w:rsid w:val="002D37BC"/>
    <w:rsid w:val="002F43F6"/>
    <w:rsid w:val="003002C0"/>
    <w:rsid w:val="00301144"/>
    <w:rsid w:val="003148B7"/>
    <w:rsid w:val="003158C3"/>
    <w:rsid w:val="00320251"/>
    <w:rsid w:val="00324651"/>
    <w:rsid w:val="003274CD"/>
    <w:rsid w:val="00332EC9"/>
    <w:rsid w:val="00333501"/>
    <w:rsid w:val="003457C4"/>
    <w:rsid w:val="0035119D"/>
    <w:rsid w:val="00355959"/>
    <w:rsid w:val="00385DFD"/>
    <w:rsid w:val="003A44F8"/>
    <w:rsid w:val="003B4F12"/>
    <w:rsid w:val="003D352D"/>
    <w:rsid w:val="003E2BE7"/>
    <w:rsid w:val="00400B0F"/>
    <w:rsid w:val="00402ACC"/>
    <w:rsid w:val="004120EC"/>
    <w:rsid w:val="004140FD"/>
    <w:rsid w:val="00423F31"/>
    <w:rsid w:val="00431899"/>
    <w:rsid w:val="00431E2C"/>
    <w:rsid w:val="0043564E"/>
    <w:rsid w:val="00460F1E"/>
    <w:rsid w:val="00486804"/>
    <w:rsid w:val="004977A1"/>
    <w:rsid w:val="004B3775"/>
    <w:rsid w:val="004D0BA0"/>
    <w:rsid w:val="004D43F3"/>
    <w:rsid w:val="004E0264"/>
    <w:rsid w:val="004E058F"/>
    <w:rsid w:val="004E3B87"/>
    <w:rsid w:val="004E4C52"/>
    <w:rsid w:val="004F437F"/>
    <w:rsid w:val="004F7208"/>
    <w:rsid w:val="00510921"/>
    <w:rsid w:val="00510AD3"/>
    <w:rsid w:val="00510FAB"/>
    <w:rsid w:val="00513348"/>
    <w:rsid w:val="00527DDE"/>
    <w:rsid w:val="00533B5D"/>
    <w:rsid w:val="00537F20"/>
    <w:rsid w:val="005511BF"/>
    <w:rsid w:val="0059146A"/>
    <w:rsid w:val="0059150F"/>
    <w:rsid w:val="005B5769"/>
    <w:rsid w:val="005D3655"/>
    <w:rsid w:val="005E0A54"/>
    <w:rsid w:val="005E606B"/>
    <w:rsid w:val="00600479"/>
    <w:rsid w:val="00615669"/>
    <w:rsid w:val="00623283"/>
    <w:rsid w:val="00623BA1"/>
    <w:rsid w:val="006346BC"/>
    <w:rsid w:val="00657AEE"/>
    <w:rsid w:val="0066652A"/>
    <w:rsid w:val="006766C2"/>
    <w:rsid w:val="00680522"/>
    <w:rsid w:val="00681F08"/>
    <w:rsid w:val="00682167"/>
    <w:rsid w:val="006926A1"/>
    <w:rsid w:val="006A5F02"/>
    <w:rsid w:val="006C42AF"/>
    <w:rsid w:val="006C4F09"/>
    <w:rsid w:val="006F27B1"/>
    <w:rsid w:val="00711D8E"/>
    <w:rsid w:val="00712672"/>
    <w:rsid w:val="0072170F"/>
    <w:rsid w:val="00734E3F"/>
    <w:rsid w:val="00736985"/>
    <w:rsid w:val="0073786E"/>
    <w:rsid w:val="00745DF5"/>
    <w:rsid w:val="00760C59"/>
    <w:rsid w:val="0076250F"/>
    <w:rsid w:val="00771B53"/>
    <w:rsid w:val="00784031"/>
    <w:rsid w:val="007B4865"/>
    <w:rsid w:val="007B6200"/>
    <w:rsid w:val="007C2540"/>
    <w:rsid w:val="007C7418"/>
    <w:rsid w:val="007D0299"/>
    <w:rsid w:val="007D2E25"/>
    <w:rsid w:val="007F3395"/>
    <w:rsid w:val="00801B9F"/>
    <w:rsid w:val="00804A44"/>
    <w:rsid w:val="008057FD"/>
    <w:rsid w:val="00834CC3"/>
    <w:rsid w:val="008475F0"/>
    <w:rsid w:val="008518C3"/>
    <w:rsid w:val="00864210"/>
    <w:rsid w:val="00866D4F"/>
    <w:rsid w:val="00880004"/>
    <w:rsid w:val="008821C2"/>
    <w:rsid w:val="00891631"/>
    <w:rsid w:val="008A5AFE"/>
    <w:rsid w:val="008B68D7"/>
    <w:rsid w:val="008B7D42"/>
    <w:rsid w:val="008C2F58"/>
    <w:rsid w:val="008C5A0E"/>
    <w:rsid w:val="008F0C31"/>
    <w:rsid w:val="008F56A8"/>
    <w:rsid w:val="00901B73"/>
    <w:rsid w:val="0091707C"/>
    <w:rsid w:val="00967D26"/>
    <w:rsid w:val="00970924"/>
    <w:rsid w:val="009903F3"/>
    <w:rsid w:val="00992C76"/>
    <w:rsid w:val="009B4D3B"/>
    <w:rsid w:val="009D7407"/>
    <w:rsid w:val="009E0866"/>
    <w:rsid w:val="009E3DDE"/>
    <w:rsid w:val="009E7BB8"/>
    <w:rsid w:val="009F5488"/>
    <w:rsid w:val="009F6423"/>
    <w:rsid w:val="00A24A62"/>
    <w:rsid w:val="00A26D9C"/>
    <w:rsid w:val="00A31C9F"/>
    <w:rsid w:val="00A4144F"/>
    <w:rsid w:val="00A54034"/>
    <w:rsid w:val="00A56F14"/>
    <w:rsid w:val="00A63FB4"/>
    <w:rsid w:val="00A80F95"/>
    <w:rsid w:val="00A8197B"/>
    <w:rsid w:val="00A90F28"/>
    <w:rsid w:val="00AA7BE3"/>
    <w:rsid w:val="00AB3DD9"/>
    <w:rsid w:val="00AB5E7F"/>
    <w:rsid w:val="00AC027A"/>
    <w:rsid w:val="00AC164A"/>
    <w:rsid w:val="00AC302F"/>
    <w:rsid w:val="00AF1B85"/>
    <w:rsid w:val="00AF2050"/>
    <w:rsid w:val="00B03CA8"/>
    <w:rsid w:val="00B331DC"/>
    <w:rsid w:val="00B37C19"/>
    <w:rsid w:val="00B438D3"/>
    <w:rsid w:val="00B53B79"/>
    <w:rsid w:val="00B55E19"/>
    <w:rsid w:val="00B623A2"/>
    <w:rsid w:val="00BA4B6D"/>
    <w:rsid w:val="00BB254C"/>
    <w:rsid w:val="00BB26C5"/>
    <w:rsid w:val="00BC337C"/>
    <w:rsid w:val="00BE6C6D"/>
    <w:rsid w:val="00BE737D"/>
    <w:rsid w:val="00BF4DE6"/>
    <w:rsid w:val="00C05D5C"/>
    <w:rsid w:val="00C20368"/>
    <w:rsid w:val="00C37399"/>
    <w:rsid w:val="00C406F0"/>
    <w:rsid w:val="00C42CDE"/>
    <w:rsid w:val="00C500D7"/>
    <w:rsid w:val="00C5182A"/>
    <w:rsid w:val="00C63EE9"/>
    <w:rsid w:val="00C6626C"/>
    <w:rsid w:val="00C7297E"/>
    <w:rsid w:val="00C8425C"/>
    <w:rsid w:val="00C90AA1"/>
    <w:rsid w:val="00CA1AEE"/>
    <w:rsid w:val="00CA37B1"/>
    <w:rsid w:val="00CA7DD8"/>
    <w:rsid w:val="00CB1959"/>
    <w:rsid w:val="00CD0E4B"/>
    <w:rsid w:val="00CE0155"/>
    <w:rsid w:val="00CE5DF0"/>
    <w:rsid w:val="00CF62AE"/>
    <w:rsid w:val="00D00802"/>
    <w:rsid w:val="00D0296C"/>
    <w:rsid w:val="00D05246"/>
    <w:rsid w:val="00D146A2"/>
    <w:rsid w:val="00D15A00"/>
    <w:rsid w:val="00D3315E"/>
    <w:rsid w:val="00D33BF8"/>
    <w:rsid w:val="00D40AEB"/>
    <w:rsid w:val="00D460DC"/>
    <w:rsid w:val="00D64BD1"/>
    <w:rsid w:val="00D72760"/>
    <w:rsid w:val="00D73EFE"/>
    <w:rsid w:val="00D7713F"/>
    <w:rsid w:val="00D86954"/>
    <w:rsid w:val="00DA040F"/>
    <w:rsid w:val="00DD1986"/>
    <w:rsid w:val="00DE084C"/>
    <w:rsid w:val="00E0719C"/>
    <w:rsid w:val="00E245D7"/>
    <w:rsid w:val="00E357B7"/>
    <w:rsid w:val="00E36F91"/>
    <w:rsid w:val="00E47CE3"/>
    <w:rsid w:val="00E53800"/>
    <w:rsid w:val="00E6081F"/>
    <w:rsid w:val="00E97955"/>
    <w:rsid w:val="00EA04B2"/>
    <w:rsid w:val="00EA20F3"/>
    <w:rsid w:val="00EA5969"/>
    <w:rsid w:val="00EB2D0F"/>
    <w:rsid w:val="00ED2831"/>
    <w:rsid w:val="00ED43D1"/>
    <w:rsid w:val="00EE0CA3"/>
    <w:rsid w:val="00EE4EE1"/>
    <w:rsid w:val="00EF4574"/>
    <w:rsid w:val="00EF6543"/>
    <w:rsid w:val="00F03CF2"/>
    <w:rsid w:val="00F26475"/>
    <w:rsid w:val="00F2684E"/>
    <w:rsid w:val="00F46D79"/>
    <w:rsid w:val="00F5404C"/>
    <w:rsid w:val="00F729EF"/>
    <w:rsid w:val="00F77CAE"/>
    <w:rsid w:val="00F77ECA"/>
    <w:rsid w:val="00F82271"/>
    <w:rsid w:val="00F83428"/>
    <w:rsid w:val="00F96BB9"/>
    <w:rsid w:val="00FA62EE"/>
    <w:rsid w:val="00FE6D51"/>
    <w:rsid w:val="00FF0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table" w:customStyle="1" w:styleId="TableGrid1">
    <w:name w:val="Table Grid1"/>
    <w:basedOn w:val="TableNormal"/>
    <w:next w:val="TableGrid"/>
    <w:uiPriority w:val="39"/>
    <w:rsid w:val="0072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collaboration.titan.satin.lo/AidStatistics/Pages/DataFiles.aspx" TargetMode="External"/><Relationship Id="rId26" Type="http://schemas.openxmlformats.org/officeDocument/2006/relationships/header" Target="header4.xml"/><Relationship Id="rId39" Type="http://schemas.openxmlformats.org/officeDocument/2006/relationships/image" Target="media/image20.jpeg"/><Relationship Id="rId21" Type="http://schemas.openxmlformats.org/officeDocument/2006/relationships/image" Target="media/image6.JP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fatintranet.titan.satin.lo/managing-aid/aid-programming-guide/Documents/APPR-good-practice-note.docx" TargetMode="External"/><Relationship Id="rId29" Type="http://schemas.openxmlformats.org/officeDocument/2006/relationships/footer" Target="footer4.xml"/><Relationship Id="rId11" Type="http://schemas.openxmlformats.org/officeDocument/2006/relationships/header" Target="header2.xm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hyperlink" Target="http://dfat.gov.au/aid/topics/development-issues/global-development-agenda/Pages/sustainable-development-goals.asp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eader" Target="header6.xml"/><Relationship Id="rId36" Type="http://schemas.openxmlformats.org/officeDocument/2006/relationships/image" Target="media/image17.jpeg"/><Relationship Id="rId49"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mailto:aidstatsinquiries@dfat.gov.au" TargetMode="External"/><Relationship Id="rId31" Type="http://schemas.openxmlformats.org/officeDocument/2006/relationships/image" Target="media/image12.png"/><Relationship Id="rId44" Type="http://schemas.openxmlformats.org/officeDocument/2006/relationships/hyperlink" Target="http://dfat.gov.au/aid/topics/development-issues/global-development-agenda/Pages/sustainable-development-goal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image" Target="media/image11.png"/><Relationship Id="rId35" Type="http://schemas.openxmlformats.org/officeDocument/2006/relationships/image" Target="media/image16.jpeg"/><Relationship Id="rId43" Type="http://schemas.openxmlformats.org/officeDocument/2006/relationships/image" Target="media/image24.png"/><Relationship Id="rId4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dfatintranet.titan.satin.lo/managing-aid/aid-programming-guide/Pages/aid-programming-guide.aspx" TargetMode="External"/><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header" Target="header7.xml"/><Relationship Id="rId20" Type="http://schemas.openxmlformats.org/officeDocument/2006/relationships/image" Target="media/image5.wmf"/><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3BB2AF-3ECD-436C-8E50-7EA8706CDBA5}"/>
</file>

<file path=customXml/itemProps2.xml><?xml version="1.0" encoding="utf-8"?>
<ds:datastoreItem xmlns:ds="http://schemas.openxmlformats.org/officeDocument/2006/customXml" ds:itemID="{DADA69D1-7103-44AB-B711-3C6B32F0BFD1}"/>
</file>

<file path=customXml/itemProps3.xml><?xml version="1.0" encoding="utf-8"?>
<ds:datastoreItem xmlns:ds="http://schemas.openxmlformats.org/officeDocument/2006/customXml" ds:itemID="{A4149094-48F1-41C5-9954-9C673EA7AB04}"/>
</file>

<file path=customXml/itemProps4.xml><?xml version="1.0" encoding="utf-8"?>
<ds:datastoreItem xmlns:ds="http://schemas.openxmlformats.org/officeDocument/2006/customXml" ds:itemID="{0BA35D68-3F9C-4583-AA7D-20A6C56A7DDA}"/>
</file>

<file path=docProps/app.xml><?xml version="1.0" encoding="utf-8"?>
<Properties xmlns="http://schemas.openxmlformats.org/officeDocument/2006/extended-properties" xmlns:vt="http://schemas.openxmlformats.org/officeDocument/2006/docPropsVTypes">
  <Template>Normal.dotm</Template>
  <TotalTime>0</TotalTime>
  <Pages>15</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2019-06-19T04:49:00Z</dcterms:created>
  <dcterms:modified xsi:type="dcterms:W3CDTF">2019-06-19T04:49:00Z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614fa13c-8743-4f95-8b33-73c5498537dc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1244900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