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4ED7" w14:textId="77777777" w:rsidR="002B3E95" w:rsidRDefault="00C229F6" w:rsidP="00992C76">
      <w:pPr>
        <w:pStyle w:val="Title"/>
      </w:pPr>
      <w:bookmarkStart w:id="0" w:name="_GoBack"/>
      <w:bookmarkEnd w:id="0"/>
      <w:r>
        <w:rPr>
          <w:noProof/>
          <w:lang w:val="en-AU" w:eastAsia="en-AU"/>
        </w:rPr>
        <w:drawing>
          <wp:anchor distT="0" distB="0" distL="114300" distR="114300" simplePos="0" relativeHeight="251659264" behindDoc="0" locked="0" layoutInCell="1" allowOverlap="1" wp14:anchorId="3B0D5191" wp14:editId="08FF02B8">
            <wp:simplePos x="0" y="0"/>
            <wp:positionH relativeFrom="page">
              <wp:posOffset>705485</wp:posOffset>
            </wp:positionH>
            <wp:positionV relativeFrom="page">
              <wp:posOffset>923925</wp:posOffset>
            </wp:positionV>
            <wp:extent cx="3167380" cy="55435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p>
    <w:p w14:paraId="3CE14E18" w14:textId="77777777" w:rsidR="00D146A2" w:rsidRDefault="00D146A2" w:rsidP="008F56A8">
      <w:pPr>
        <w:pStyle w:val="Title"/>
      </w:pPr>
    </w:p>
    <w:p w14:paraId="2A7DCD34" w14:textId="77777777" w:rsidR="00D146A2" w:rsidRDefault="00D146A2" w:rsidP="008F56A8">
      <w:pPr>
        <w:pStyle w:val="Title"/>
      </w:pPr>
    </w:p>
    <w:p w14:paraId="37361F9B" w14:textId="48E17356" w:rsidR="008F56A8" w:rsidRPr="00C6544E" w:rsidRDefault="008F56A8" w:rsidP="00886F6B">
      <w:pPr>
        <w:pStyle w:val="Heading1smallspaceafter"/>
      </w:pPr>
      <w:r w:rsidRPr="00C4114C">
        <w:t xml:space="preserve">Aid Program Performance </w:t>
      </w:r>
      <w:r w:rsidRPr="00C6544E">
        <w:t>Reports (APPRs) - 201</w:t>
      </w:r>
      <w:r w:rsidR="008B193D" w:rsidRPr="00C6544E">
        <w:t>9</w:t>
      </w:r>
      <w:r w:rsidRPr="00C6544E">
        <w:t xml:space="preserve">  </w:t>
      </w:r>
    </w:p>
    <w:p w14:paraId="32673D60" w14:textId="66D6A1CC" w:rsidR="008F56A8" w:rsidRPr="00C6544E" w:rsidRDefault="00754B89" w:rsidP="00886F6B">
      <w:pPr>
        <w:pStyle w:val="Heading1smallspaceafter"/>
      </w:pPr>
      <w:r>
        <w:t>Good Practice Note</w:t>
      </w:r>
    </w:p>
    <w:p w14:paraId="09CDAF88" w14:textId="77777777" w:rsidR="00886F6B" w:rsidRDefault="00886F6B" w:rsidP="00886F6B">
      <w:pPr>
        <w:pStyle w:val="Heading1smallspaceafter"/>
      </w:pPr>
    </w:p>
    <w:p w14:paraId="3DAA4AF7" w14:textId="7FF896F2" w:rsidR="008F56A8" w:rsidRPr="00C6544E" w:rsidRDefault="00886F6B" w:rsidP="00886F6B">
      <w:pPr>
        <w:pStyle w:val="Heading1smallspaceafter"/>
      </w:pPr>
      <w:r>
        <w:t xml:space="preserve">1 </w:t>
      </w:r>
      <w:r w:rsidR="008F56A8" w:rsidRPr="00C6544E">
        <w:t>Overview</w:t>
      </w:r>
    </w:p>
    <w:p w14:paraId="490ABD52" w14:textId="00C9AF60" w:rsidR="008F56A8" w:rsidRPr="00C6544E" w:rsidRDefault="008F56A8" w:rsidP="00D61CE2">
      <w:pPr>
        <w:pStyle w:val="BodyText"/>
      </w:pPr>
      <w:r w:rsidRPr="00C6544E">
        <w:t>Aid program performance reporting is the principal mechanism used in DFAT to assess the performance of country and regional aid programs. APPRs provide evidence-based assessment</w:t>
      </w:r>
      <w:r w:rsidR="007F3BD4" w:rsidRPr="00C6544E">
        <w:t>s</w:t>
      </w:r>
      <w:r w:rsidRPr="00C6544E">
        <w:t xml:space="preserve"> of progress against Australia’s aid objectives as set out in Aid Investment Plans</w:t>
      </w:r>
      <w:r w:rsidR="00845A0D" w:rsidRPr="00C6544E">
        <w:t xml:space="preserve"> </w:t>
      </w:r>
      <w:r w:rsidR="00AA170B" w:rsidRPr="00C6544E">
        <w:t xml:space="preserve">(AIPs) </w:t>
      </w:r>
      <w:r w:rsidRPr="00C6544E">
        <w:t>and are used to improve effectiveness and strengthen program management.</w:t>
      </w:r>
    </w:p>
    <w:p w14:paraId="3C0DD997" w14:textId="77777777" w:rsidR="008F56A8" w:rsidRPr="00C6544E" w:rsidRDefault="008F56A8" w:rsidP="00D61CE2">
      <w:pPr>
        <w:pStyle w:val="BodyText"/>
      </w:pPr>
      <w:r w:rsidRPr="00C6544E">
        <w:t xml:space="preserve">APPRs </w:t>
      </w:r>
      <w:r w:rsidR="00BC395E" w:rsidRPr="00C6544E">
        <w:t>facilitate</w:t>
      </w:r>
      <w:r w:rsidRPr="00C6544E">
        <w:t xml:space="preserve"> transparency and accountability at the country and regional program level and are an important tool for communicating aid program results to the Australian public. The reporting process also provides an opportunity to discuss program performance with partner governments.</w:t>
      </w:r>
      <w:r w:rsidR="00A37ADA" w:rsidRPr="00C6544E">
        <w:t xml:space="preserve"> Reports should be balanced, covering both achievements and challenges, and have a strong evidence base.</w:t>
      </w:r>
    </w:p>
    <w:p w14:paraId="7A6157C9" w14:textId="5459B437" w:rsidR="002A1C61" w:rsidRDefault="008F56A8" w:rsidP="00D61CE2">
      <w:pPr>
        <w:pStyle w:val="BodyText"/>
      </w:pPr>
      <w:r w:rsidRPr="00C6544E">
        <w:t>APPRs cover all significant Australian official development assistance (ODA) to a country or region, not just DFAT administered ODA. A peer review of APPRs is required</w:t>
      </w:r>
      <w:r w:rsidRPr="00C6544E">
        <w:rPr>
          <w:b/>
        </w:rPr>
        <w:t xml:space="preserve"> </w:t>
      </w:r>
      <w:r w:rsidRPr="00C6544E">
        <w:t xml:space="preserve">for all programs with </w:t>
      </w:r>
      <w:r w:rsidR="00A37ADA" w:rsidRPr="00C6544E">
        <w:t xml:space="preserve">total </w:t>
      </w:r>
      <w:r w:rsidRPr="00C6544E">
        <w:t xml:space="preserve">ODA </w:t>
      </w:r>
      <w:r w:rsidR="00A2552F">
        <w:t xml:space="preserve">of </w:t>
      </w:r>
      <w:r w:rsidRPr="00C6544E">
        <w:t xml:space="preserve">$50 million and above. APPRs are to be published by </w:t>
      </w:r>
      <w:r w:rsidR="00844BD4" w:rsidRPr="00C6544E">
        <w:rPr>
          <w:b/>
        </w:rPr>
        <w:t>2</w:t>
      </w:r>
      <w:r w:rsidR="008B193D" w:rsidRPr="00C6544E">
        <w:rPr>
          <w:b/>
        </w:rPr>
        <w:t>0</w:t>
      </w:r>
      <w:r w:rsidRPr="00C6544E">
        <w:rPr>
          <w:b/>
        </w:rPr>
        <w:t xml:space="preserve"> September 201</w:t>
      </w:r>
      <w:r w:rsidR="008B193D" w:rsidRPr="00C6544E">
        <w:rPr>
          <w:b/>
        </w:rPr>
        <w:t>9</w:t>
      </w:r>
      <w:r w:rsidRPr="00C6544E">
        <w:t>.</w:t>
      </w:r>
    </w:p>
    <w:p w14:paraId="0371A35F" w14:textId="28F89792" w:rsidR="002A1C61" w:rsidRDefault="002A1C61" w:rsidP="00D61CE2">
      <w:pPr>
        <w:pStyle w:val="BodyText"/>
      </w:pPr>
      <w:r>
        <w:t xml:space="preserve">The </w:t>
      </w:r>
      <w:r w:rsidR="00F8320E">
        <w:t>APPR</w:t>
      </w:r>
      <w:r w:rsidR="00F8320E" w:rsidRPr="002D065E">
        <w:t xml:space="preserve"> </w:t>
      </w:r>
      <w:r w:rsidR="00F8320E" w:rsidRPr="00AF7233">
        <w:t>process</w:t>
      </w:r>
      <w:r w:rsidR="00F8320E">
        <w:t xml:space="preserve"> </w:t>
      </w:r>
      <w:r>
        <w:t xml:space="preserve">is an opportunity </w:t>
      </w:r>
      <w:r w:rsidR="00F8320E">
        <w:t xml:space="preserve">to build a shared team understanding of changes in context, evidence of progress against </w:t>
      </w:r>
      <w:r w:rsidR="00990AFE">
        <w:t>program</w:t>
      </w:r>
      <w:r w:rsidR="00F8320E">
        <w:t xml:space="preserve"> objectives, and appropriate management actions. A well-facilitated APPR </w:t>
      </w:r>
      <w:r w:rsidR="00A2552F">
        <w:t xml:space="preserve">process </w:t>
      </w:r>
      <w:r w:rsidR="00F8320E">
        <w:t xml:space="preserve">is important for </w:t>
      </w:r>
      <w:r w:rsidR="002D065E">
        <w:t>maximising</w:t>
      </w:r>
      <w:r w:rsidR="00F8320E">
        <w:t xml:space="preserve"> management value out of the time invested and </w:t>
      </w:r>
      <w:r w:rsidR="00A2552F">
        <w:t xml:space="preserve">can assist </w:t>
      </w:r>
      <w:r w:rsidR="00F8320E">
        <w:t>staff to lift their gaze from the operational to the strategic; beyond</w:t>
      </w:r>
      <w:r w:rsidR="00BC395E">
        <w:t xml:space="preserve"> the investment as an end in itself to the investment as a component of a larger strategy</w:t>
      </w:r>
      <w:r w:rsidR="00F8320E">
        <w:t xml:space="preserve">. </w:t>
      </w:r>
    </w:p>
    <w:p w14:paraId="399535F9" w14:textId="5A7744E3" w:rsidR="002A1C61" w:rsidRDefault="002A1C61" w:rsidP="00D61CE2">
      <w:pPr>
        <w:pStyle w:val="BodyText"/>
      </w:pPr>
      <w:r w:rsidRPr="00AA170B">
        <w:t xml:space="preserve">Where </w:t>
      </w:r>
      <w:r w:rsidR="00844BD4" w:rsidRPr="00AA170B">
        <w:t xml:space="preserve">AIPs </w:t>
      </w:r>
      <w:r w:rsidRPr="00AA170B">
        <w:t>have been updated</w:t>
      </w:r>
      <w:r w:rsidR="00BC395E" w:rsidRPr="00AA170B">
        <w:t xml:space="preserve"> during the year under review</w:t>
      </w:r>
      <w:r w:rsidRPr="00AA170B">
        <w:t xml:space="preserve">, </w:t>
      </w:r>
      <w:r w:rsidR="00BC395E" w:rsidRPr="00AA170B">
        <w:t xml:space="preserve">these changes should be </w:t>
      </w:r>
      <w:r w:rsidR="006F27AB" w:rsidRPr="00AA170B">
        <w:t>noted</w:t>
      </w:r>
      <w:r w:rsidR="00BC395E" w:rsidRPr="00AA170B">
        <w:t xml:space="preserve"> in the APPR.</w:t>
      </w:r>
      <w:r w:rsidR="00845A0D" w:rsidRPr="00AA170B">
        <w:t xml:space="preserve"> </w:t>
      </w:r>
      <w:r w:rsidR="00845A0D">
        <w:t>A</w:t>
      </w:r>
      <w:r w:rsidR="00D33171">
        <w:t>ny questions can be directed to</w:t>
      </w:r>
      <w:r>
        <w:t xml:space="preserve"> </w:t>
      </w:r>
      <w:hyperlink r:id="rId9" w:history="1">
        <w:r w:rsidR="00845A0D" w:rsidRPr="00D146A2">
          <w:rPr>
            <w:rStyle w:val="Hyperlink"/>
          </w:rPr>
          <w:t>qualityreports@dfat.gov.au</w:t>
        </w:r>
      </w:hyperlink>
      <w:r w:rsidR="00AC7AD0">
        <w:t xml:space="preserve"> .</w:t>
      </w:r>
    </w:p>
    <w:p w14:paraId="3850DB55" w14:textId="77777777" w:rsidR="00886F6B" w:rsidRDefault="00886F6B" w:rsidP="00886F6B">
      <w:pPr>
        <w:pStyle w:val="Heading1smallspaceafter"/>
      </w:pPr>
    </w:p>
    <w:p w14:paraId="2C446FB8" w14:textId="0B6A71F9" w:rsidR="008F56A8" w:rsidRPr="00C4114C" w:rsidRDefault="00886F6B" w:rsidP="00886F6B">
      <w:pPr>
        <w:pStyle w:val="Heading1smallspaceafter"/>
      </w:pPr>
      <w:r>
        <w:t xml:space="preserve">2 </w:t>
      </w:r>
      <w:r w:rsidR="008F56A8" w:rsidRPr="00C4114C">
        <w:t>APPR Requirements</w:t>
      </w:r>
    </w:p>
    <w:p w14:paraId="587EACA6" w14:textId="6069AECB" w:rsidR="008F56A8" w:rsidRPr="008F56A8" w:rsidRDefault="008F56A8" w:rsidP="00D61CE2">
      <w:pPr>
        <w:pStyle w:val="BodyText"/>
      </w:pPr>
      <w:r w:rsidRPr="008F56A8">
        <w:t>APPR requirements are proportional to the size and risk pr</w:t>
      </w:r>
      <w:r w:rsidR="00A171B0">
        <w:t>ofile of the country or region.</w:t>
      </w:r>
    </w:p>
    <w:p w14:paraId="0EB24F19" w14:textId="77777777" w:rsidR="008F56A8" w:rsidRPr="008F56A8" w:rsidRDefault="008F56A8" w:rsidP="00D61CE2">
      <w:pPr>
        <w:pStyle w:val="BodyText"/>
      </w:pPr>
      <w:r w:rsidRPr="008F56A8">
        <w:t xml:space="preserve">Programs with </w:t>
      </w:r>
      <w:r w:rsidR="002A1C61">
        <w:t xml:space="preserve">total </w:t>
      </w:r>
      <w:r w:rsidRPr="008F56A8">
        <w:t xml:space="preserve">ODA </w:t>
      </w:r>
      <w:r w:rsidRPr="008F56A8">
        <w:rPr>
          <w:b/>
        </w:rPr>
        <w:t xml:space="preserve">below $15 million </w:t>
      </w:r>
      <w:r w:rsidRPr="008F56A8">
        <w:t>are exempt from producing an APPR unless the relevant First Assistant Secretary (FAS) requests that a</w:t>
      </w:r>
      <w:r w:rsidR="00A37ADA">
        <w:t xml:space="preserve"> summary</w:t>
      </w:r>
      <w:r w:rsidRPr="008F56A8">
        <w:t xml:space="preserve"> APPR be produced.</w:t>
      </w:r>
    </w:p>
    <w:p w14:paraId="6991300C" w14:textId="707A9BCF" w:rsidR="008F56A8" w:rsidRPr="008F56A8" w:rsidRDefault="008F56A8" w:rsidP="00D61CE2">
      <w:pPr>
        <w:pStyle w:val="BodyText"/>
      </w:pPr>
      <w:r w:rsidRPr="008F56A8">
        <w:t xml:space="preserve">Programs with total ODA </w:t>
      </w:r>
      <w:r w:rsidR="00BC395E">
        <w:t xml:space="preserve">of </w:t>
      </w:r>
      <w:r w:rsidRPr="008F56A8">
        <w:rPr>
          <w:b/>
        </w:rPr>
        <w:t>$15 -</w:t>
      </w:r>
      <w:r w:rsidR="00BC395E">
        <w:rPr>
          <w:b/>
        </w:rPr>
        <w:t>49</w:t>
      </w:r>
      <w:r w:rsidRPr="008F56A8">
        <w:rPr>
          <w:b/>
        </w:rPr>
        <w:t xml:space="preserve"> million</w:t>
      </w:r>
      <w:r w:rsidRPr="008F56A8">
        <w:t xml:space="preserve"> publish a </w:t>
      </w:r>
      <w:hyperlink r:id="rId10" w:history="1">
        <w:r w:rsidRPr="00A51C19">
          <w:rPr>
            <w:rStyle w:val="Hyperlink"/>
            <w:rFonts w:cstheme="minorBidi"/>
          </w:rPr>
          <w:t>summary APPR</w:t>
        </w:r>
      </w:hyperlink>
      <w:r w:rsidR="00A171B0">
        <w:t xml:space="preserve"> on the DFAT website.</w:t>
      </w:r>
    </w:p>
    <w:p w14:paraId="01ED1E85" w14:textId="712C387D" w:rsidR="008F56A8" w:rsidRPr="008F56A8" w:rsidRDefault="008F56A8" w:rsidP="00D61CE2">
      <w:pPr>
        <w:pStyle w:val="BodyText"/>
      </w:pPr>
      <w:r w:rsidRPr="008F56A8">
        <w:t xml:space="preserve">Programs with total ODA </w:t>
      </w:r>
      <w:r w:rsidRPr="008F56A8">
        <w:rPr>
          <w:b/>
        </w:rPr>
        <w:t>$50 million and above</w:t>
      </w:r>
      <w:r w:rsidRPr="008F56A8">
        <w:t xml:space="preserve"> publish a </w:t>
      </w:r>
      <w:hyperlink r:id="rId11" w:history="1">
        <w:r w:rsidRPr="00A51C19">
          <w:rPr>
            <w:rStyle w:val="Hyperlink"/>
            <w:rFonts w:cstheme="minorBidi"/>
          </w:rPr>
          <w:t>full APPR</w:t>
        </w:r>
      </w:hyperlink>
      <w:r w:rsidR="00A171B0">
        <w:t xml:space="preserve"> on the DFAT website.</w:t>
      </w:r>
    </w:p>
    <w:p w14:paraId="00B885D9" w14:textId="77777777" w:rsidR="008F56A8" w:rsidRDefault="008F56A8" w:rsidP="00D61CE2">
      <w:pPr>
        <w:pStyle w:val="BodyText"/>
        <w:rPr>
          <w:b/>
        </w:rPr>
      </w:pPr>
      <w:r w:rsidRPr="008F56A8">
        <w:t>APPR requirements for country/regional programs are shown in Table 1 below.</w:t>
      </w:r>
    </w:p>
    <w:p w14:paraId="41F38BC8" w14:textId="77777777" w:rsidR="004E74D7" w:rsidRDefault="004E74D7" w:rsidP="008F56A8">
      <w:pPr>
        <w:spacing w:after="200" w:line="276" w:lineRule="auto"/>
        <w:rPr>
          <w:b/>
          <w:sz w:val="24"/>
        </w:rPr>
      </w:pPr>
    </w:p>
    <w:p w14:paraId="0DC6B1D1" w14:textId="707B0E06" w:rsidR="008F56A8" w:rsidRPr="00C6544E" w:rsidRDefault="008F56A8" w:rsidP="008F56A8">
      <w:pPr>
        <w:spacing w:after="200" w:line="276" w:lineRule="auto"/>
        <w:rPr>
          <w:b/>
          <w:sz w:val="24"/>
        </w:rPr>
      </w:pPr>
      <w:r w:rsidRPr="007821B7">
        <w:rPr>
          <w:b/>
          <w:sz w:val="24"/>
        </w:rPr>
        <w:lastRenderedPageBreak/>
        <w:t xml:space="preserve">Table 1: APPR Requirements </w:t>
      </w:r>
      <w:r w:rsidRPr="00C6544E">
        <w:rPr>
          <w:b/>
          <w:sz w:val="24"/>
        </w:rPr>
        <w:t xml:space="preserve">for </w:t>
      </w:r>
      <w:r w:rsidR="000E792A" w:rsidRPr="00C6544E">
        <w:rPr>
          <w:b/>
          <w:sz w:val="24"/>
        </w:rPr>
        <w:t>201</w:t>
      </w:r>
      <w:r w:rsidR="008B193D" w:rsidRPr="00C6544E">
        <w:rPr>
          <w:b/>
          <w:sz w:val="24"/>
        </w:rPr>
        <w:t>8-2019</w:t>
      </w:r>
    </w:p>
    <w:tbl>
      <w:tblPr>
        <w:tblW w:w="489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2769"/>
        <w:gridCol w:w="2558"/>
      </w:tblGrid>
      <w:tr w:rsidR="0057156A" w:rsidRPr="00C6544E" w14:paraId="66FA1FDA" w14:textId="77777777" w:rsidTr="0010645C">
        <w:trPr>
          <w:cantSplit/>
          <w:trHeight w:hRule="exact" w:val="706"/>
        </w:trPr>
        <w:tc>
          <w:tcPr>
            <w:tcW w:w="2172"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1AA05E51" w14:textId="6384A3E7" w:rsidR="0057156A" w:rsidRPr="00C6544E" w:rsidRDefault="0057156A" w:rsidP="00A23B5F">
            <w:pPr>
              <w:pStyle w:val="TableText"/>
              <w:jc w:val="center"/>
              <w:rPr>
                <w:rFonts w:asciiTheme="minorHAnsi" w:hAnsiTheme="minorHAnsi"/>
                <w:b/>
                <w:sz w:val="22"/>
              </w:rPr>
            </w:pPr>
            <w:r w:rsidRPr="00C6544E">
              <w:rPr>
                <w:rFonts w:ascii="Calibri Light" w:hAnsi="Calibri Light" w:cs="Calibri Light"/>
                <w:b/>
                <w:bCs/>
                <w:color w:val="495965"/>
                <w:sz w:val="22"/>
              </w:rPr>
              <w:t>Total Australian ODA by partner country and region</w:t>
            </w:r>
          </w:p>
        </w:tc>
        <w:tc>
          <w:tcPr>
            <w:tcW w:w="1470" w:type="pct"/>
            <w:tcBorders>
              <w:top w:val="single" w:sz="8" w:space="0" w:color="auto"/>
              <w:left w:val="nil"/>
              <w:bottom w:val="single" w:sz="12" w:space="0" w:color="auto"/>
              <w:right w:val="single" w:sz="8" w:space="0" w:color="auto"/>
            </w:tcBorders>
            <w:shd w:val="clear" w:color="auto" w:fill="auto"/>
            <w:vAlign w:val="center"/>
            <w:hideMark/>
          </w:tcPr>
          <w:p w14:paraId="154F1688" w14:textId="358FA300" w:rsidR="0057156A" w:rsidRPr="00C6544E" w:rsidRDefault="0057156A" w:rsidP="00A23B5F">
            <w:pPr>
              <w:pStyle w:val="TableText"/>
              <w:jc w:val="center"/>
              <w:rPr>
                <w:rFonts w:asciiTheme="minorHAnsi" w:hAnsiTheme="minorHAnsi"/>
                <w:b/>
                <w:sz w:val="22"/>
              </w:rPr>
            </w:pPr>
            <w:r w:rsidRPr="00C6544E">
              <w:rPr>
                <w:rFonts w:ascii="Calibri Light" w:hAnsi="Calibri Light" w:cs="Calibri Light"/>
                <w:b/>
                <w:bCs/>
                <w:color w:val="495965"/>
                <w:sz w:val="22"/>
              </w:rPr>
              <w:t>2018-19 Budget Estimate  (</w:t>
            </w:r>
            <w:proofErr w:type="spellStart"/>
            <w:r w:rsidRPr="00C6544E">
              <w:rPr>
                <w:rFonts w:ascii="Calibri Light" w:hAnsi="Calibri Light" w:cs="Calibri Light"/>
                <w:b/>
                <w:bCs/>
                <w:color w:val="495965"/>
                <w:sz w:val="22"/>
              </w:rPr>
              <w:t>AUDm</w:t>
            </w:r>
            <w:proofErr w:type="spellEnd"/>
            <w:r w:rsidRPr="00C6544E">
              <w:rPr>
                <w:rFonts w:ascii="Calibri Light" w:hAnsi="Calibri Light" w:cs="Calibri Light"/>
                <w:b/>
                <w:bCs/>
                <w:color w:val="495965"/>
                <w:sz w:val="22"/>
              </w:rPr>
              <w:t>)</w:t>
            </w:r>
          </w:p>
        </w:tc>
        <w:tc>
          <w:tcPr>
            <w:tcW w:w="1358" w:type="pct"/>
            <w:tcBorders>
              <w:bottom w:val="single" w:sz="12" w:space="0" w:color="auto"/>
            </w:tcBorders>
            <w:vAlign w:val="center"/>
          </w:tcPr>
          <w:p w14:paraId="16200F5D" w14:textId="066A704A" w:rsidR="0057156A" w:rsidRPr="00C6544E" w:rsidRDefault="0057156A" w:rsidP="00A23B5F">
            <w:pPr>
              <w:pStyle w:val="TableText"/>
              <w:jc w:val="center"/>
              <w:rPr>
                <w:rFonts w:asciiTheme="minorHAnsi" w:hAnsiTheme="minorHAnsi"/>
                <w:b/>
                <w:sz w:val="22"/>
              </w:rPr>
            </w:pPr>
            <w:r w:rsidRPr="00C6544E">
              <w:rPr>
                <w:rFonts w:asciiTheme="minorHAnsi" w:hAnsiTheme="minorHAnsi"/>
                <w:b/>
                <w:sz w:val="22"/>
              </w:rPr>
              <w:t>APPR Requirement</w:t>
            </w:r>
            <w:r w:rsidR="005B4281" w:rsidRPr="00C6544E">
              <w:rPr>
                <w:rFonts w:asciiTheme="minorHAnsi" w:hAnsiTheme="minorHAnsi"/>
                <w:b/>
                <w:sz w:val="22"/>
              </w:rPr>
              <w:t>s</w:t>
            </w:r>
            <w:r w:rsidRPr="00C6544E">
              <w:rPr>
                <w:rFonts w:asciiTheme="minorHAnsi" w:hAnsiTheme="minorHAnsi"/>
                <w:b/>
                <w:sz w:val="22"/>
              </w:rPr>
              <w:t>*</w:t>
            </w:r>
          </w:p>
        </w:tc>
      </w:tr>
      <w:tr w:rsidR="00256396" w:rsidRPr="00C6544E" w14:paraId="53C11FA1" w14:textId="77777777" w:rsidTr="0010645C">
        <w:trPr>
          <w:cantSplit/>
          <w:trHeight w:hRule="exact" w:val="312"/>
        </w:trPr>
        <w:tc>
          <w:tcPr>
            <w:tcW w:w="2172" w:type="pct"/>
            <w:tcBorders>
              <w:top w:val="single" w:sz="12" w:space="0" w:color="auto"/>
              <w:left w:val="single" w:sz="8" w:space="0" w:color="auto"/>
              <w:bottom w:val="single" w:sz="8" w:space="0" w:color="auto"/>
              <w:right w:val="single" w:sz="8" w:space="0" w:color="auto"/>
            </w:tcBorders>
            <w:shd w:val="clear" w:color="auto" w:fill="auto"/>
            <w:noWrap/>
            <w:vAlign w:val="center"/>
          </w:tcPr>
          <w:p w14:paraId="24A4C976" w14:textId="3F54185A"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Papua New Guinea</w:t>
            </w:r>
          </w:p>
        </w:tc>
        <w:tc>
          <w:tcPr>
            <w:tcW w:w="1470" w:type="pct"/>
            <w:tcBorders>
              <w:top w:val="single" w:sz="12" w:space="0" w:color="auto"/>
              <w:left w:val="nil"/>
              <w:bottom w:val="single" w:sz="8" w:space="0" w:color="auto"/>
              <w:right w:val="single" w:sz="8" w:space="0" w:color="auto"/>
            </w:tcBorders>
            <w:shd w:val="clear" w:color="auto" w:fill="auto"/>
            <w:noWrap/>
            <w:vAlign w:val="center"/>
          </w:tcPr>
          <w:p w14:paraId="60D1707C" w14:textId="12217BDC"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578.0</w:t>
            </w:r>
          </w:p>
        </w:tc>
        <w:tc>
          <w:tcPr>
            <w:tcW w:w="1358" w:type="pct"/>
            <w:vMerge w:val="restart"/>
            <w:tcBorders>
              <w:top w:val="single" w:sz="12" w:space="0" w:color="auto"/>
            </w:tcBorders>
            <w:vAlign w:val="center"/>
          </w:tcPr>
          <w:p w14:paraId="5DD51CDD" w14:textId="77777777" w:rsidR="00256396" w:rsidRPr="00C6544E" w:rsidRDefault="00256396" w:rsidP="00256396">
            <w:pPr>
              <w:pStyle w:val="TableText"/>
              <w:jc w:val="center"/>
              <w:rPr>
                <w:rFonts w:asciiTheme="minorHAnsi" w:hAnsiTheme="minorHAnsi"/>
                <w:sz w:val="20"/>
                <w:szCs w:val="20"/>
              </w:rPr>
            </w:pPr>
            <w:r w:rsidRPr="00C6544E">
              <w:rPr>
                <w:rFonts w:asciiTheme="minorHAnsi" w:hAnsiTheme="minorHAnsi"/>
                <w:b/>
                <w:sz w:val="20"/>
                <w:szCs w:val="20"/>
              </w:rPr>
              <w:t>$300m and above</w:t>
            </w:r>
            <w:r w:rsidRPr="00C6544E">
              <w:rPr>
                <w:rFonts w:asciiTheme="minorHAnsi" w:hAnsiTheme="minorHAnsi"/>
                <w:sz w:val="20"/>
                <w:szCs w:val="20"/>
              </w:rPr>
              <w:br/>
              <w:t>Full APPR 25 page max</w:t>
            </w:r>
          </w:p>
        </w:tc>
      </w:tr>
      <w:tr w:rsidR="00256396" w:rsidRPr="00C6544E" w14:paraId="3CD932AF" w14:textId="77777777" w:rsidTr="008565F7">
        <w:trPr>
          <w:cantSplit/>
          <w:trHeight w:hRule="exact" w:val="312"/>
        </w:trPr>
        <w:tc>
          <w:tcPr>
            <w:tcW w:w="2172" w:type="pct"/>
            <w:tcBorders>
              <w:top w:val="nil"/>
              <w:left w:val="single" w:sz="8" w:space="0" w:color="auto"/>
              <w:bottom w:val="single" w:sz="12" w:space="0" w:color="auto"/>
              <w:right w:val="single" w:sz="8" w:space="0" w:color="auto"/>
            </w:tcBorders>
            <w:shd w:val="clear" w:color="auto" w:fill="auto"/>
            <w:noWrap/>
            <w:vAlign w:val="center"/>
          </w:tcPr>
          <w:p w14:paraId="32E7390F" w14:textId="7CE878CF"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Indonesia</w:t>
            </w:r>
          </w:p>
        </w:tc>
        <w:tc>
          <w:tcPr>
            <w:tcW w:w="1470" w:type="pct"/>
            <w:tcBorders>
              <w:top w:val="nil"/>
              <w:left w:val="nil"/>
              <w:bottom w:val="single" w:sz="12" w:space="0" w:color="auto"/>
              <w:right w:val="single" w:sz="8" w:space="0" w:color="auto"/>
            </w:tcBorders>
            <w:shd w:val="clear" w:color="auto" w:fill="auto"/>
            <w:noWrap/>
            <w:vAlign w:val="center"/>
          </w:tcPr>
          <w:p w14:paraId="6B84B88F" w14:textId="3AC5EEE5"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331.3</w:t>
            </w:r>
          </w:p>
        </w:tc>
        <w:tc>
          <w:tcPr>
            <w:tcW w:w="1358" w:type="pct"/>
            <w:vMerge/>
            <w:tcBorders>
              <w:bottom w:val="single" w:sz="12" w:space="0" w:color="auto"/>
            </w:tcBorders>
            <w:vAlign w:val="center"/>
          </w:tcPr>
          <w:p w14:paraId="5DA9240F" w14:textId="77777777" w:rsidR="00256396" w:rsidRPr="00C6544E" w:rsidRDefault="00256396" w:rsidP="00256396">
            <w:pPr>
              <w:pStyle w:val="TableText"/>
              <w:jc w:val="center"/>
              <w:rPr>
                <w:rFonts w:asciiTheme="minorHAnsi" w:hAnsiTheme="minorHAnsi"/>
                <w:sz w:val="20"/>
                <w:szCs w:val="20"/>
              </w:rPr>
            </w:pPr>
          </w:p>
        </w:tc>
      </w:tr>
      <w:tr w:rsidR="009C6A6F" w:rsidRPr="00C6544E" w14:paraId="0D0275AC" w14:textId="77777777" w:rsidTr="008565F7">
        <w:trPr>
          <w:cantSplit/>
          <w:trHeight w:hRule="exact" w:val="312"/>
        </w:trPr>
        <w:tc>
          <w:tcPr>
            <w:tcW w:w="2172" w:type="pct"/>
            <w:tcBorders>
              <w:top w:val="single" w:sz="12" w:space="0" w:color="auto"/>
              <w:left w:val="single" w:sz="8" w:space="0" w:color="auto"/>
              <w:bottom w:val="single" w:sz="8" w:space="0" w:color="auto"/>
              <w:right w:val="single" w:sz="8" w:space="0" w:color="auto"/>
            </w:tcBorders>
            <w:shd w:val="clear" w:color="auto" w:fill="auto"/>
            <w:noWrap/>
            <w:vAlign w:val="center"/>
          </w:tcPr>
          <w:p w14:paraId="737A383E" w14:textId="51D916C9"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Pacific Regional</w:t>
            </w:r>
          </w:p>
        </w:tc>
        <w:tc>
          <w:tcPr>
            <w:tcW w:w="1470" w:type="pct"/>
            <w:tcBorders>
              <w:top w:val="single" w:sz="12" w:space="0" w:color="auto"/>
              <w:left w:val="nil"/>
              <w:bottom w:val="single" w:sz="8" w:space="0" w:color="auto"/>
              <w:right w:val="single" w:sz="8" w:space="0" w:color="auto"/>
            </w:tcBorders>
            <w:shd w:val="clear" w:color="auto" w:fill="auto"/>
            <w:noWrap/>
            <w:vAlign w:val="center"/>
          </w:tcPr>
          <w:p w14:paraId="32CC861B" w14:textId="50C53F81"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278.6</w:t>
            </w:r>
          </w:p>
        </w:tc>
        <w:tc>
          <w:tcPr>
            <w:tcW w:w="1358" w:type="pct"/>
            <w:vMerge w:val="restart"/>
            <w:tcBorders>
              <w:top w:val="single" w:sz="12" w:space="0" w:color="auto"/>
            </w:tcBorders>
            <w:vAlign w:val="center"/>
          </w:tcPr>
          <w:p w14:paraId="6B417CB8" w14:textId="2863A3CF" w:rsidR="009C6A6F" w:rsidRPr="00C6544E" w:rsidRDefault="009C6A6F" w:rsidP="00256396">
            <w:pPr>
              <w:pStyle w:val="TableText"/>
              <w:jc w:val="center"/>
              <w:rPr>
                <w:rFonts w:asciiTheme="minorHAnsi" w:hAnsiTheme="minorHAnsi"/>
                <w:sz w:val="20"/>
                <w:szCs w:val="20"/>
              </w:rPr>
            </w:pPr>
            <w:r w:rsidRPr="00C6544E">
              <w:rPr>
                <w:rFonts w:asciiTheme="minorHAnsi" w:hAnsiTheme="minorHAnsi"/>
                <w:b/>
                <w:sz w:val="20"/>
                <w:szCs w:val="20"/>
              </w:rPr>
              <w:t>$50m – $</w:t>
            </w:r>
            <w:r w:rsidR="00247897">
              <w:rPr>
                <w:rFonts w:asciiTheme="minorHAnsi" w:hAnsiTheme="minorHAnsi"/>
                <w:b/>
                <w:sz w:val="20"/>
                <w:szCs w:val="20"/>
              </w:rPr>
              <w:t>299</w:t>
            </w:r>
            <w:r w:rsidRPr="00C6544E">
              <w:rPr>
                <w:rFonts w:asciiTheme="minorHAnsi" w:hAnsiTheme="minorHAnsi"/>
                <w:b/>
                <w:sz w:val="20"/>
                <w:szCs w:val="20"/>
              </w:rPr>
              <w:t>m</w:t>
            </w:r>
            <w:r w:rsidRPr="00C6544E">
              <w:rPr>
                <w:rFonts w:asciiTheme="minorHAnsi" w:hAnsiTheme="minorHAnsi"/>
                <w:sz w:val="20"/>
                <w:szCs w:val="20"/>
              </w:rPr>
              <w:br/>
              <w:t>Full APPR</w:t>
            </w:r>
          </w:p>
          <w:p w14:paraId="2B4E04E7" w14:textId="77777777" w:rsidR="009C6A6F" w:rsidRPr="00C6544E" w:rsidRDefault="009C6A6F" w:rsidP="00256396">
            <w:pPr>
              <w:pStyle w:val="TableText"/>
              <w:jc w:val="center"/>
              <w:rPr>
                <w:rFonts w:asciiTheme="minorHAnsi" w:hAnsiTheme="minorHAnsi"/>
                <w:sz w:val="20"/>
                <w:szCs w:val="20"/>
              </w:rPr>
            </w:pPr>
            <w:r w:rsidRPr="00C6544E">
              <w:rPr>
                <w:rFonts w:asciiTheme="minorHAnsi" w:hAnsiTheme="minorHAnsi"/>
                <w:sz w:val="20"/>
                <w:szCs w:val="20"/>
              </w:rPr>
              <w:t>15 page max</w:t>
            </w:r>
          </w:p>
          <w:p w14:paraId="6B1EE8E8" w14:textId="77777777" w:rsidR="009C6A6F" w:rsidRPr="00C6544E" w:rsidRDefault="009C6A6F" w:rsidP="00256396">
            <w:pPr>
              <w:pStyle w:val="TableText"/>
              <w:jc w:val="center"/>
              <w:rPr>
                <w:rFonts w:asciiTheme="minorHAnsi" w:hAnsiTheme="minorHAnsi"/>
                <w:b/>
                <w:sz w:val="20"/>
                <w:szCs w:val="20"/>
              </w:rPr>
            </w:pPr>
          </w:p>
          <w:p w14:paraId="1BDA0811" w14:textId="77777777" w:rsidR="009C6A6F" w:rsidRPr="00C6544E" w:rsidRDefault="009C6A6F" w:rsidP="00256396">
            <w:pPr>
              <w:pStyle w:val="TableText"/>
              <w:jc w:val="center"/>
              <w:rPr>
                <w:rFonts w:asciiTheme="minorHAnsi" w:hAnsiTheme="minorHAnsi"/>
                <w:b/>
                <w:sz w:val="20"/>
                <w:szCs w:val="20"/>
              </w:rPr>
            </w:pPr>
          </w:p>
          <w:p w14:paraId="01897EB0" w14:textId="101B33D4" w:rsidR="009C6A6F" w:rsidRPr="00C6544E" w:rsidRDefault="009C6A6F" w:rsidP="00256396">
            <w:pPr>
              <w:pStyle w:val="TableText"/>
              <w:jc w:val="center"/>
              <w:rPr>
                <w:rFonts w:asciiTheme="minorHAnsi" w:hAnsiTheme="minorHAnsi"/>
                <w:sz w:val="20"/>
                <w:szCs w:val="20"/>
              </w:rPr>
            </w:pPr>
          </w:p>
          <w:p w14:paraId="4A5A808D" w14:textId="77777777" w:rsidR="009C6A6F" w:rsidRPr="00C6544E" w:rsidRDefault="009C6A6F" w:rsidP="00256396">
            <w:pPr>
              <w:pStyle w:val="TableText"/>
              <w:jc w:val="center"/>
              <w:rPr>
                <w:rFonts w:asciiTheme="minorHAnsi" w:hAnsiTheme="minorHAnsi"/>
                <w:sz w:val="20"/>
                <w:szCs w:val="20"/>
              </w:rPr>
            </w:pPr>
          </w:p>
        </w:tc>
      </w:tr>
      <w:tr w:rsidR="009C6A6F" w:rsidRPr="00C6544E" w14:paraId="4BA1A431"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3268EFCC" w14:textId="46420CC1"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Solomon Islands</w:t>
            </w:r>
          </w:p>
        </w:tc>
        <w:tc>
          <w:tcPr>
            <w:tcW w:w="1470" w:type="pct"/>
            <w:tcBorders>
              <w:top w:val="nil"/>
              <w:left w:val="nil"/>
              <w:bottom w:val="single" w:sz="8" w:space="0" w:color="auto"/>
              <w:right w:val="single" w:sz="8" w:space="0" w:color="auto"/>
            </w:tcBorders>
            <w:shd w:val="clear" w:color="auto" w:fill="auto"/>
            <w:noWrap/>
            <w:vAlign w:val="center"/>
          </w:tcPr>
          <w:p w14:paraId="7EC4344E" w14:textId="0E5613AD"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198.3</w:t>
            </w:r>
          </w:p>
        </w:tc>
        <w:tc>
          <w:tcPr>
            <w:tcW w:w="1358" w:type="pct"/>
            <w:vMerge/>
            <w:vAlign w:val="center"/>
          </w:tcPr>
          <w:p w14:paraId="48179450" w14:textId="77777777" w:rsidR="009C6A6F" w:rsidRPr="00C6544E" w:rsidRDefault="009C6A6F" w:rsidP="00256396">
            <w:pPr>
              <w:pStyle w:val="TableText"/>
              <w:jc w:val="center"/>
              <w:rPr>
                <w:rFonts w:asciiTheme="minorHAnsi" w:hAnsiTheme="minorHAnsi"/>
                <w:sz w:val="20"/>
                <w:szCs w:val="20"/>
              </w:rPr>
            </w:pPr>
          </w:p>
        </w:tc>
      </w:tr>
      <w:tr w:rsidR="009C6A6F" w:rsidRPr="00C6544E" w14:paraId="12DF080C"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1324D18E" w14:textId="3054B79E"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Sub-Saharan Africa</w:t>
            </w:r>
          </w:p>
        </w:tc>
        <w:tc>
          <w:tcPr>
            <w:tcW w:w="1470" w:type="pct"/>
            <w:tcBorders>
              <w:top w:val="nil"/>
              <w:left w:val="nil"/>
              <w:bottom w:val="single" w:sz="8" w:space="0" w:color="auto"/>
              <w:right w:val="single" w:sz="8" w:space="0" w:color="auto"/>
            </w:tcBorders>
            <w:shd w:val="clear" w:color="auto" w:fill="auto"/>
            <w:noWrap/>
            <w:vAlign w:val="center"/>
          </w:tcPr>
          <w:p w14:paraId="068801B1" w14:textId="545DC87C" w:rsidR="009C6A6F" w:rsidRPr="009C6A6F" w:rsidRDefault="009C6A6F" w:rsidP="0012220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1</w:t>
            </w:r>
            <w:r w:rsidR="00122206">
              <w:rPr>
                <w:rFonts w:asciiTheme="minorHAnsi" w:hAnsiTheme="minorHAnsi" w:cstheme="minorHAnsi"/>
                <w:color w:val="495965"/>
                <w:sz w:val="20"/>
                <w:szCs w:val="20"/>
              </w:rPr>
              <w:t>21.6</w:t>
            </w:r>
          </w:p>
        </w:tc>
        <w:tc>
          <w:tcPr>
            <w:tcW w:w="1358" w:type="pct"/>
            <w:vMerge/>
            <w:vAlign w:val="center"/>
          </w:tcPr>
          <w:p w14:paraId="2AB59342" w14:textId="77777777" w:rsidR="009C6A6F" w:rsidRPr="00C6544E" w:rsidRDefault="009C6A6F" w:rsidP="00256396">
            <w:pPr>
              <w:pStyle w:val="TableText"/>
              <w:jc w:val="center"/>
              <w:rPr>
                <w:rFonts w:asciiTheme="minorHAnsi" w:hAnsiTheme="minorHAnsi"/>
                <w:sz w:val="20"/>
                <w:szCs w:val="20"/>
              </w:rPr>
            </w:pPr>
          </w:p>
        </w:tc>
      </w:tr>
      <w:tr w:rsidR="009C6A6F" w:rsidRPr="00C6544E" w14:paraId="79AE66A1"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11446943" w14:textId="7FA00D7F"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Timor-Leste</w:t>
            </w:r>
          </w:p>
        </w:tc>
        <w:tc>
          <w:tcPr>
            <w:tcW w:w="1470" w:type="pct"/>
            <w:tcBorders>
              <w:top w:val="nil"/>
              <w:left w:val="nil"/>
              <w:bottom w:val="single" w:sz="8" w:space="0" w:color="auto"/>
              <w:right w:val="single" w:sz="8" w:space="0" w:color="auto"/>
            </w:tcBorders>
            <w:shd w:val="clear" w:color="auto" w:fill="auto"/>
            <w:noWrap/>
            <w:vAlign w:val="center"/>
          </w:tcPr>
          <w:p w14:paraId="0886EBF6" w14:textId="494F6B6B"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95.7</w:t>
            </w:r>
          </w:p>
        </w:tc>
        <w:tc>
          <w:tcPr>
            <w:tcW w:w="1358" w:type="pct"/>
            <w:vMerge/>
            <w:vAlign w:val="center"/>
          </w:tcPr>
          <w:p w14:paraId="3B16EDD2" w14:textId="77777777" w:rsidR="009C6A6F" w:rsidRPr="00C6544E" w:rsidRDefault="009C6A6F" w:rsidP="00256396">
            <w:pPr>
              <w:pStyle w:val="TableText"/>
              <w:jc w:val="center"/>
              <w:rPr>
                <w:rFonts w:asciiTheme="minorHAnsi" w:hAnsiTheme="minorHAnsi"/>
                <w:sz w:val="20"/>
                <w:szCs w:val="20"/>
              </w:rPr>
            </w:pPr>
          </w:p>
        </w:tc>
      </w:tr>
      <w:tr w:rsidR="009C6A6F" w:rsidRPr="00C6544E" w14:paraId="004E6549"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32A42A6C" w14:textId="4701B877"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Bangladesh</w:t>
            </w:r>
          </w:p>
        </w:tc>
        <w:tc>
          <w:tcPr>
            <w:tcW w:w="1470" w:type="pct"/>
            <w:tcBorders>
              <w:top w:val="nil"/>
              <w:left w:val="nil"/>
              <w:bottom w:val="single" w:sz="8" w:space="0" w:color="auto"/>
              <w:right w:val="single" w:sz="8" w:space="0" w:color="auto"/>
            </w:tcBorders>
            <w:shd w:val="clear" w:color="auto" w:fill="auto"/>
            <w:noWrap/>
            <w:vAlign w:val="center"/>
          </w:tcPr>
          <w:p w14:paraId="5EFC357E" w14:textId="5309D08F"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90.6</w:t>
            </w:r>
          </w:p>
        </w:tc>
        <w:tc>
          <w:tcPr>
            <w:tcW w:w="1358" w:type="pct"/>
            <w:vMerge/>
            <w:vAlign w:val="center"/>
          </w:tcPr>
          <w:p w14:paraId="0C9D0ED3" w14:textId="77777777" w:rsidR="009C6A6F" w:rsidRPr="00C6544E" w:rsidRDefault="009C6A6F" w:rsidP="00256396">
            <w:pPr>
              <w:pStyle w:val="TableText"/>
              <w:jc w:val="center"/>
              <w:rPr>
                <w:rFonts w:asciiTheme="minorHAnsi" w:hAnsiTheme="minorHAnsi"/>
                <w:sz w:val="20"/>
                <w:szCs w:val="20"/>
              </w:rPr>
            </w:pPr>
          </w:p>
        </w:tc>
      </w:tr>
      <w:tr w:rsidR="009C6A6F" w:rsidRPr="00C6544E" w14:paraId="1F2487F0"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5A905093" w14:textId="31782F02"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Myanmar</w:t>
            </w:r>
          </w:p>
        </w:tc>
        <w:tc>
          <w:tcPr>
            <w:tcW w:w="1470" w:type="pct"/>
            <w:tcBorders>
              <w:top w:val="nil"/>
              <w:left w:val="nil"/>
              <w:bottom w:val="single" w:sz="8" w:space="0" w:color="auto"/>
              <w:right w:val="single" w:sz="8" w:space="0" w:color="auto"/>
            </w:tcBorders>
            <w:shd w:val="clear" w:color="auto" w:fill="auto"/>
            <w:noWrap/>
            <w:vAlign w:val="center"/>
          </w:tcPr>
          <w:p w14:paraId="6D6FF3F0" w14:textId="04E82980"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83.0</w:t>
            </w:r>
          </w:p>
        </w:tc>
        <w:tc>
          <w:tcPr>
            <w:tcW w:w="1358" w:type="pct"/>
            <w:vMerge/>
            <w:vAlign w:val="center"/>
          </w:tcPr>
          <w:p w14:paraId="7AEE32EC" w14:textId="77777777" w:rsidR="009C6A6F" w:rsidRPr="00C6544E" w:rsidRDefault="009C6A6F" w:rsidP="00256396">
            <w:pPr>
              <w:pStyle w:val="TableText"/>
              <w:jc w:val="center"/>
              <w:rPr>
                <w:rFonts w:asciiTheme="minorHAnsi" w:hAnsiTheme="minorHAnsi"/>
                <w:sz w:val="20"/>
                <w:szCs w:val="20"/>
              </w:rPr>
            </w:pPr>
          </w:p>
        </w:tc>
      </w:tr>
      <w:tr w:rsidR="009C6A6F" w:rsidRPr="00C6544E" w14:paraId="392529D7"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577FD3EF" w14:textId="0752E6A9"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Philippines</w:t>
            </w:r>
          </w:p>
        </w:tc>
        <w:tc>
          <w:tcPr>
            <w:tcW w:w="1470" w:type="pct"/>
            <w:tcBorders>
              <w:top w:val="nil"/>
              <w:left w:val="nil"/>
              <w:bottom w:val="single" w:sz="8" w:space="0" w:color="auto"/>
              <w:right w:val="single" w:sz="8" w:space="0" w:color="auto"/>
            </w:tcBorders>
            <w:shd w:val="clear" w:color="auto" w:fill="auto"/>
            <w:noWrap/>
            <w:vAlign w:val="center"/>
          </w:tcPr>
          <w:p w14:paraId="5DF2582E" w14:textId="2D2B4523"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82.8</w:t>
            </w:r>
          </w:p>
        </w:tc>
        <w:tc>
          <w:tcPr>
            <w:tcW w:w="1358" w:type="pct"/>
            <w:vMerge/>
            <w:vAlign w:val="center"/>
          </w:tcPr>
          <w:p w14:paraId="352DCD2E" w14:textId="77777777" w:rsidR="009C6A6F" w:rsidRPr="00C6544E" w:rsidRDefault="009C6A6F" w:rsidP="00256396">
            <w:pPr>
              <w:pStyle w:val="TableText"/>
              <w:jc w:val="center"/>
              <w:rPr>
                <w:rFonts w:asciiTheme="minorHAnsi" w:hAnsiTheme="minorHAnsi"/>
                <w:sz w:val="20"/>
                <w:szCs w:val="20"/>
              </w:rPr>
            </w:pPr>
          </w:p>
        </w:tc>
      </w:tr>
      <w:tr w:rsidR="009C6A6F" w:rsidRPr="00C6544E" w14:paraId="74366F48"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61C2E58F" w14:textId="04CD1726"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Afghanistan</w:t>
            </w:r>
          </w:p>
        </w:tc>
        <w:tc>
          <w:tcPr>
            <w:tcW w:w="1470" w:type="pct"/>
            <w:tcBorders>
              <w:top w:val="nil"/>
              <w:left w:val="nil"/>
              <w:bottom w:val="single" w:sz="8" w:space="0" w:color="auto"/>
              <w:right w:val="single" w:sz="8" w:space="0" w:color="auto"/>
            </w:tcBorders>
            <w:shd w:val="clear" w:color="auto" w:fill="auto"/>
            <w:noWrap/>
            <w:vAlign w:val="center"/>
          </w:tcPr>
          <w:p w14:paraId="0CED9198" w14:textId="043F1666"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82.1</w:t>
            </w:r>
          </w:p>
        </w:tc>
        <w:tc>
          <w:tcPr>
            <w:tcW w:w="1358" w:type="pct"/>
            <w:vMerge/>
            <w:vAlign w:val="center"/>
          </w:tcPr>
          <w:p w14:paraId="10F72440" w14:textId="77777777" w:rsidR="009C6A6F" w:rsidRPr="00C6544E" w:rsidRDefault="009C6A6F" w:rsidP="00256396">
            <w:pPr>
              <w:pStyle w:val="TableText"/>
              <w:jc w:val="center"/>
              <w:rPr>
                <w:rFonts w:asciiTheme="minorHAnsi" w:hAnsiTheme="minorHAnsi"/>
                <w:sz w:val="20"/>
                <w:szCs w:val="20"/>
              </w:rPr>
            </w:pPr>
          </w:p>
        </w:tc>
      </w:tr>
      <w:tr w:rsidR="009C6A6F" w:rsidRPr="00C6544E" w14:paraId="2C34D0FD"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67581AA9" w14:textId="71376585"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Cambodia</w:t>
            </w:r>
          </w:p>
        </w:tc>
        <w:tc>
          <w:tcPr>
            <w:tcW w:w="1470" w:type="pct"/>
            <w:tcBorders>
              <w:top w:val="nil"/>
              <w:left w:val="nil"/>
              <w:bottom w:val="single" w:sz="8" w:space="0" w:color="auto"/>
              <w:right w:val="single" w:sz="8" w:space="0" w:color="auto"/>
            </w:tcBorders>
            <w:shd w:val="clear" w:color="auto" w:fill="auto"/>
            <w:noWrap/>
            <w:vAlign w:val="center"/>
          </w:tcPr>
          <w:p w14:paraId="3A03A8D3" w14:textId="7D32E8BB"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79.7</w:t>
            </w:r>
          </w:p>
        </w:tc>
        <w:tc>
          <w:tcPr>
            <w:tcW w:w="1358" w:type="pct"/>
            <w:vMerge/>
            <w:vAlign w:val="center"/>
          </w:tcPr>
          <w:p w14:paraId="397081EA" w14:textId="77777777" w:rsidR="009C6A6F" w:rsidRPr="00C6544E" w:rsidRDefault="009C6A6F" w:rsidP="00256396">
            <w:pPr>
              <w:pStyle w:val="TableText"/>
              <w:jc w:val="center"/>
              <w:rPr>
                <w:rFonts w:asciiTheme="minorHAnsi" w:hAnsiTheme="minorHAnsi"/>
                <w:sz w:val="20"/>
                <w:szCs w:val="20"/>
              </w:rPr>
            </w:pPr>
          </w:p>
        </w:tc>
      </w:tr>
      <w:tr w:rsidR="009C6A6F" w:rsidRPr="00C6544E" w14:paraId="5C1A7457" w14:textId="77777777" w:rsidTr="0064542A">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014251BB" w14:textId="0A1D6677"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Vietnam</w:t>
            </w:r>
          </w:p>
        </w:tc>
        <w:tc>
          <w:tcPr>
            <w:tcW w:w="1470" w:type="pct"/>
            <w:tcBorders>
              <w:top w:val="nil"/>
              <w:left w:val="nil"/>
              <w:bottom w:val="single" w:sz="8" w:space="0" w:color="auto"/>
              <w:right w:val="single" w:sz="8" w:space="0" w:color="auto"/>
            </w:tcBorders>
            <w:shd w:val="clear" w:color="auto" w:fill="auto"/>
            <w:noWrap/>
            <w:vAlign w:val="center"/>
          </w:tcPr>
          <w:p w14:paraId="684621E9" w14:textId="3DCC842D"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78.0</w:t>
            </w:r>
          </w:p>
        </w:tc>
        <w:tc>
          <w:tcPr>
            <w:tcW w:w="1358" w:type="pct"/>
            <w:vMerge/>
            <w:vAlign w:val="center"/>
          </w:tcPr>
          <w:p w14:paraId="658FE393" w14:textId="77777777" w:rsidR="009C6A6F" w:rsidRPr="00C6544E" w:rsidRDefault="009C6A6F" w:rsidP="00256396">
            <w:pPr>
              <w:pStyle w:val="TableText"/>
              <w:jc w:val="center"/>
              <w:rPr>
                <w:rFonts w:asciiTheme="minorHAnsi" w:hAnsiTheme="minorHAnsi"/>
                <w:sz w:val="20"/>
                <w:szCs w:val="20"/>
              </w:rPr>
            </w:pPr>
          </w:p>
        </w:tc>
      </w:tr>
      <w:tr w:rsidR="009C6A6F" w:rsidRPr="00C6544E" w14:paraId="17B2C6B1" w14:textId="77777777" w:rsidTr="002D2B94">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7DEE03B2" w14:textId="56BBD6C6"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Vanuatu</w:t>
            </w:r>
          </w:p>
        </w:tc>
        <w:tc>
          <w:tcPr>
            <w:tcW w:w="1470" w:type="pct"/>
            <w:tcBorders>
              <w:top w:val="nil"/>
              <w:left w:val="nil"/>
              <w:bottom w:val="single" w:sz="8" w:space="0" w:color="auto"/>
              <w:right w:val="single" w:sz="8" w:space="0" w:color="auto"/>
            </w:tcBorders>
            <w:shd w:val="clear" w:color="auto" w:fill="auto"/>
            <w:noWrap/>
            <w:vAlign w:val="center"/>
          </w:tcPr>
          <w:p w14:paraId="2F10B88E" w14:textId="3D8B236F"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63.0</w:t>
            </w:r>
          </w:p>
        </w:tc>
        <w:tc>
          <w:tcPr>
            <w:tcW w:w="1358" w:type="pct"/>
            <w:vMerge/>
            <w:vAlign w:val="center"/>
          </w:tcPr>
          <w:p w14:paraId="2F84E0DA" w14:textId="77777777" w:rsidR="009C6A6F" w:rsidRPr="00C6544E" w:rsidRDefault="009C6A6F" w:rsidP="00256396">
            <w:pPr>
              <w:pStyle w:val="TableText"/>
              <w:jc w:val="center"/>
              <w:rPr>
                <w:rFonts w:asciiTheme="minorHAnsi" w:hAnsiTheme="minorHAnsi"/>
                <w:sz w:val="20"/>
                <w:szCs w:val="20"/>
              </w:rPr>
            </w:pPr>
          </w:p>
        </w:tc>
      </w:tr>
      <w:tr w:rsidR="009C6A6F" w:rsidRPr="00C6544E" w14:paraId="74B33199" w14:textId="77777777" w:rsidTr="002D2B94">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407D3052" w14:textId="7A05096E"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Pakistan</w:t>
            </w:r>
          </w:p>
        </w:tc>
        <w:tc>
          <w:tcPr>
            <w:tcW w:w="1470" w:type="pct"/>
            <w:tcBorders>
              <w:top w:val="nil"/>
              <w:left w:val="nil"/>
              <w:bottom w:val="single" w:sz="8" w:space="0" w:color="auto"/>
              <w:right w:val="single" w:sz="8" w:space="0" w:color="auto"/>
            </w:tcBorders>
            <w:shd w:val="clear" w:color="auto" w:fill="auto"/>
            <w:noWrap/>
            <w:vAlign w:val="center"/>
          </w:tcPr>
          <w:p w14:paraId="1DB38039" w14:textId="129930B2"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52.0</w:t>
            </w:r>
          </w:p>
        </w:tc>
        <w:tc>
          <w:tcPr>
            <w:tcW w:w="1358" w:type="pct"/>
            <w:vMerge/>
            <w:vAlign w:val="center"/>
          </w:tcPr>
          <w:p w14:paraId="0A4ADAA9" w14:textId="77777777" w:rsidR="009C6A6F" w:rsidRPr="00C6544E" w:rsidRDefault="009C6A6F" w:rsidP="00256396">
            <w:pPr>
              <w:pStyle w:val="TableText"/>
              <w:jc w:val="center"/>
              <w:rPr>
                <w:rFonts w:asciiTheme="minorHAnsi" w:hAnsiTheme="minorHAnsi"/>
                <w:sz w:val="20"/>
                <w:szCs w:val="20"/>
              </w:rPr>
            </w:pPr>
          </w:p>
        </w:tc>
      </w:tr>
      <w:tr w:rsidR="009C6A6F" w:rsidRPr="00C6544E" w14:paraId="5327CE69" w14:textId="77777777" w:rsidTr="008565F7">
        <w:trPr>
          <w:cantSplit/>
          <w:trHeight w:hRule="exact" w:val="312"/>
        </w:trPr>
        <w:tc>
          <w:tcPr>
            <w:tcW w:w="2172" w:type="pct"/>
            <w:tcBorders>
              <w:top w:val="nil"/>
              <w:left w:val="single" w:sz="8" w:space="0" w:color="auto"/>
              <w:bottom w:val="single" w:sz="12" w:space="0" w:color="auto"/>
              <w:right w:val="single" w:sz="8" w:space="0" w:color="auto"/>
            </w:tcBorders>
            <w:shd w:val="clear" w:color="auto" w:fill="auto"/>
            <w:noWrap/>
            <w:vAlign w:val="center"/>
          </w:tcPr>
          <w:p w14:paraId="1982C13B" w14:textId="55D7C9E9"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Fiji</w:t>
            </w:r>
          </w:p>
        </w:tc>
        <w:tc>
          <w:tcPr>
            <w:tcW w:w="1470" w:type="pct"/>
            <w:tcBorders>
              <w:top w:val="nil"/>
              <w:left w:val="nil"/>
              <w:bottom w:val="single" w:sz="12" w:space="0" w:color="auto"/>
            </w:tcBorders>
            <w:shd w:val="clear" w:color="auto" w:fill="auto"/>
            <w:noWrap/>
            <w:vAlign w:val="center"/>
          </w:tcPr>
          <w:p w14:paraId="483BB7A5" w14:textId="3F944985"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51.0</w:t>
            </w:r>
          </w:p>
        </w:tc>
        <w:tc>
          <w:tcPr>
            <w:tcW w:w="1358" w:type="pct"/>
            <w:vMerge/>
            <w:tcBorders>
              <w:bottom w:val="single" w:sz="12" w:space="0" w:color="auto"/>
            </w:tcBorders>
            <w:vAlign w:val="center"/>
          </w:tcPr>
          <w:p w14:paraId="602A55BB" w14:textId="77777777" w:rsidR="009C6A6F" w:rsidRPr="00C6544E" w:rsidRDefault="009C6A6F" w:rsidP="00256396">
            <w:pPr>
              <w:pStyle w:val="TableText"/>
              <w:jc w:val="center"/>
              <w:rPr>
                <w:rFonts w:asciiTheme="minorHAnsi" w:hAnsiTheme="minorHAnsi"/>
                <w:sz w:val="20"/>
                <w:szCs w:val="20"/>
              </w:rPr>
            </w:pPr>
          </w:p>
        </w:tc>
      </w:tr>
      <w:tr w:rsidR="009C6A6F" w:rsidRPr="00C6544E" w14:paraId="44717781" w14:textId="77777777" w:rsidTr="008565F7">
        <w:trPr>
          <w:cantSplit/>
          <w:trHeight w:hRule="exact" w:val="312"/>
        </w:trPr>
        <w:tc>
          <w:tcPr>
            <w:tcW w:w="2172" w:type="pct"/>
            <w:tcBorders>
              <w:top w:val="single" w:sz="12" w:space="0" w:color="auto"/>
              <w:left w:val="single" w:sz="8" w:space="0" w:color="auto"/>
              <w:bottom w:val="single" w:sz="8" w:space="0" w:color="auto"/>
              <w:right w:val="single" w:sz="4" w:space="0" w:color="auto"/>
            </w:tcBorders>
            <w:shd w:val="clear" w:color="auto" w:fill="auto"/>
            <w:noWrap/>
            <w:vAlign w:val="center"/>
          </w:tcPr>
          <w:p w14:paraId="39266611" w14:textId="30EC5E78"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Laos</w:t>
            </w:r>
          </w:p>
        </w:tc>
        <w:tc>
          <w:tcPr>
            <w:tcW w:w="1470"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11265E70" w14:textId="1654FE37"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43.8</w:t>
            </w:r>
          </w:p>
        </w:tc>
        <w:tc>
          <w:tcPr>
            <w:tcW w:w="1358" w:type="pct"/>
            <w:vMerge w:val="restart"/>
            <w:tcBorders>
              <w:top w:val="single" w:sz="12" w:space="0" w:color="auto"/>
              <w:left w:val="single" w:sz="4" w:space="0" w:color="auto"/>
              <w:bottom w:val="single" w:sz="12" w:space="0" w:color="auto"/>
            </w:tcBorders>
            <w:vAlign w:val="center"/>
          </w:tcPr>
          <w:p w14:paraId="7E9FF380" w14:textId="77777777" w:rsidR="009C6A6F" w:rsidRPr="00C6544E" w:rsidRDefault="009C6A6F" w:rsidP="009C6A6F">
            <w:pPr>
              <w:pStyle w:val="TableText"/>
              <w:jc w:val="center"/>
              <w:rPr>
                <w:rFonts w:asciiTheme="minorHAnsi" w:hAnsiTheme="minorHAnsi"/>
                <w:sz w:val="20"/>
                <w:szCs w:val="20"/>
              </w:rPr>
            </w:pPr>
            <w:r w:rsidRPr="00C6544E">
              <w:rPr>
                <w:rFonts w:asciiTheme="minorHAnsi" w:hAnsiTheme="minorHAnsi"/>
                <w:b/>
                <w:sz w:val="20"/>
                <w:szCs w:val="20"/>
              </w:rPr>
              <w:t>$15m - $49m</w:t>
            </w:r>
            <w:r w:rsidRPr="00C6544E">
              <w:rPr>
                <w:rFonts w:asciiTheme="minorHAnsi" w:hAnsiTheme="minorHAnsi"/>
                <w:sz w:val="20"/>
                <w:szCs w:val="20"/>
              </w:rPr>
              <w:t xml:space="preserve"> </w:t>
            </w:r>
            <w:r w:rsidRPr="00C6544E">
              <w:rPr>
                <w:rFonts w:asciiTheme="minorHAnsi" w:hAnsiTheme="minorHAnsi"/>
                <w:sz w:val="20"/>
                <w:szCs w:val="20"/>
              </w:rPr>
              <w:br/>
              <w:t>Summary APPR</w:t>
            </w:r>
          </w:p>
          <w:p w14:paraId="0801B460" w14:textId="594D6B23" w:rsidR="009C6A6F" w:rsidRPr="00C6544E" w:rsidRDefault="009C6A6F" w:rsidP="009C6A6F">
            <w:pPr>
              <w:pStyle w:val="TableText"/>
              <w:jc w:val="center"/>
              <w:rPr>
                <w:rFonts w:asciiTheme="minorHAnsi" w:hAnsiTheme="minorHAnsi"/>
                <w:sz w:val="20"/>
                <w:szCs w:val="20"/>
              </w:rPr>
            </w:pPr>
            <w:r w:rsidRPr="00C6544E">
              <w:rPr>
                <w:rFonts w:asciiTheme="minorHAnsi" w:hAnsiTheme="minorHAnsi"/>
                <w:sz w:val="20"/>
                <w:szCs w:val="20"/>
              </w:rPr>
              <w:t>6 pages</w:t>
            </w:r>
          </w:p>
        </w:tc>
      </w:tr>
      <w:tr w:rsidR="009C6A6F" w:rsidRPr="00C6544E" w14:paraId="15937028"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50026548" w14:textId="57D85424"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Palestinian Territories</w:t>
            </w:r>
          </w:p>
        </w:tc>
        <w:tc>
          <w:tcPr>
            <w:tcW w:w="1470" w:type="pct"/>
            <w:tcBorders>
              <w:top w:val="single" w:sz="4" w:space="0" w:color="auto"/>
              <w:left w:val="nil"/>
              <w:bottom w:val="single" w:sz="8" w:space="0" w:color="auto"/>
              <w:right w:val="single" w:sz="8" w:space="0" w:color="auto"/>
            </w:tcBorders>
            <w:shd w:val="clear" w:color="auto" w:fill="auto"/>
            <w:noWrap/>
            <w:vAlign w:val="center"/>
          </w:tcPr>
          <w:p w14:paraId="06F457B2" w14:textId="01A03A83"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38.3</w:t>
            </w:r>
          </w:p>
        </w:tc>
        <w:tc>
          <w:tcPr>
            <w:tcW w:w="1358" w:type="pct"/>
            <w:vMerge/>
            <w:tcBorders>
              <w:bottom w:val="single" w:sz="12" w:space="0" w:color="auto"/>
            </w:tcBorders>
            <w:vAlign w:val="center"/>
          </w:tcPr>
          <w:p w14:paraId="66D507A7" w14:textId="77777777" w:rsidR="009C6A6F" w:rsidRPr="00C6544E" w:rsidRDefault="009C6A6F" w:rsidP="00256396">
            <w:pPr>
              <w:pStyle w:val="TableText"/>
              <w:jc w:val="center"/>
              <w:rPr>
                <w:rFonts w:asciiTheme="minorHAnsi" w:hAnsiTheme="minorHAnsi"/>
                <w:sz w:val="20"/>
                <w:szCs w:val="20"/>
              </w:rPr>
            </w:pPr>
          </w:p>
        </w:tc>
      </w:tr>
      <w:tr w:rsidR="009C6A6F" w:rsidRPr="007821B7" w14:paraId="0A248AB6"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544263E1" w14:textId="19764F94"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Samoa</w:t>
            </w:r>
          </w:p>
        </w:tc>
        <w:tc>
          <w:tcPr>
            <w:tcW w:w="1470" w:type="pct"/>
            <w:tcBorders>
              <w:top w:val="nil"/>
              <w:left w:val="nil"/>
              <w:bottom w:val="single" w:sz="8" w:space="0" w:color="auto"/>
              <w:right w:val="single" w:sz="8" w:space="0" w:color="auto"/>
            </w:tcBorders>
            <w:shd w:val="clear" w:color="auto" w:fill="auto"/>
            <w:noWrap/>
            <w:vAlign w:val="center"/>
          </w:tcPr>
          <w:p w14:paraId="11FE952B" w14:textId="6AA6E878"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34.0</w:t>
            </w:r>
          </w:p>
        </w:tc>
        <w:tc>
          <w:tcPr>
            <w:tcW w:w="1358" w:type="pct"/>
            <w:vMerge/>
            <w:tcBorders>
              <w:bottom w:val="single" w:sz="12" w:space="0" w:color="auto"/>
            </w:tcBorders>
            <w:vAlign w:val="center"/>
          </w:tcPr>
          <w:p w14:paraId="6EAD51B5" w14:textId="77777777" w:rsidR="009C6A6F" w:rsidRPr="00C6544E" w:rsidRDefault="009C6A6F" w:rsidP="00256396">
            <w:pPr>
              <w:pStyle w:val="TableText"/>
              <w:jc w:val="center"/>
              <w:rPr>
                <w:rFonts w:asciiTheme="minorHAnsi" w:hAnsiTheme="minorHAnsi"/>
                <w:sz w:val="20"/>
                <w:szCs w:val="20"/>
              </w:rPr>
            </w:pPr>
          </w:p>
        </w:tc>
      </w:tr>
      <w:tr w:rsidR="009C6A6F" w:rsidRPr="007821B7" w14:paraId="6A7508D9"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36EA28A2" w14:textId="1C3F4394"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ASEAN and Mekong</w:t>
            </w:r>
          </w:p>
        </w:tc>
        <w:tc>
          <w:tcPr>
            <w:tcW w:w="1470" w:type="pct"/>
            <w:tcBorders>
              <w:top w:val="nil"/>
              <w:left w:val="nil"/>
              <w:bottom w:val="single" w:sz="8" w:space="0" w:color="auto"/>
              <w:right w:val="single" w:sz="8" w:space="0" w:color="auto"/>
            </w:tcBorders>
            <w:shd w:val="clear" w:color="auto" w:fill="auto"/>
            <w:noWrap/>
            <w:vAlign w:val="center"/>
          </w:tcPr>
          <w:p w14:paraId="50259163" w14:textId="04F9A0CD"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33.7</w:t>
            </w:r>
          </w:p>
        </w:tc>
        <w:tc>
          <w:tcPr>
            <w:tcW w:w="1358" w:type="pct"/>
            <w:vMerge/>
            <w:tcBorders>
              <w:bottom w:val="single" w:sz="12" w:space="0" w:color="auto"/>
            </w:tcBorders>
            <w:vAlign w:val="center"/>
          </w:tcPr>
          <w:p w14:paraId="4C476831" w14:textId="77777777" w:rsidR="009C6A6F" w:rsidRPr="007821B7" w:rsidRDefault="009C6A6F" w:rsidP="00256396">
            <w:pPr>
              <w:pStyle w:val="TableText"/>
              <w:jc w:val="center"/>
              <w:rPr>
                <w:rFonts w:asciiTheme="minorHAnsi" w:hAnsiTheme="minorHAnsi"/>
                <w:sz w:val="20"/>
                <w:szCs w:val="20"/>
              </w:rPr>
            </w:pPr>
          </w:p>
        </w:tc>
      </w:tr>
      <w:tr w:rsidR="009C6A6F" w:rsidRPr="007821B7" w14:paraId="424FE17F"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26E16000" w14:textId="7E3FC339"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Nepal</w:t>
            </w:r>
          </w:p>
        </w:tc>
        <w:tc>
          <w:tcPr>
            <w:tcW w:w="1470" w:type="pct"/>
            <w:tcBorders>
              <w:top w:val="nil"/>
              <w:left w:val="nil"/>
              <w:bottom w:val="single" w:sz="8" w:space="0" w:color="auto"/>
              <w:right w:val="single" w:sz="8" w:space="0" w:color="auto"/>
            </w:tcBorders>
            <w:shd w:val="clear" w:color="auto" w:fill="auto"/>
            <w:noWrap/>
            <w:vAlign w:val="center"/>
          </w:tcPr>
          <w:p w14:paraId="2F2C9A72" w14:textId="53C2822F"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29.3</w:t>
            </w:r>
          </w:p>
        </w:tc>
        <w:tc>
          <w:tcPr>
            <w:tcW w:w="1358" w:type="pct"/>
            <w:vMerge/>
            <w:tcBorders>
              <w:bottom w:val="single" w:sz="12" w:space="0" w:color="auto"/>
            </w:tcBorders>
            <w:vAlign w:val="center"/>
          </w:tcPr>
          <w:p w14:paraId="5D2DD4F7" w14:textId="6FBAAF50" w:rsidR="009C6A6F" w:rsidRPr="007821B7" w:rsidRDefault="009C6A6F" w:rsidP="00256396">
            <w:pPr>
              <w:pStyle w:val="TableText"/>
              <w:jc w:val="center"/>
              <w:rPr>
                <w:rFonts w:asciiTheme="minorHAnsi" w:hAnsiTheme="minorHAnsi"/>
                <w:sz w:val="20"/>
                <w:szCs w:val="20"/>
              </w:rPr>
            </w:pPr>
          </w:p>
        </w:tc>
      </w:tr>
      <w:tr w:rsidR="009C6A6F" w:rsidRPr="007821B7" w14:paraId="0BEC5D87"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0D8A8FD8" w14:textId="43B12920"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Tonga</w:t>
            </w:r>
          </w:p>
        </w:tc>
        <w:tc>
          <w:tcPr>
            <w:tcW w:w="1470" w:type="pct"/>
            <w:tcBorders>
              <w:top w:val="nil"/>
              <w:left w:val="nil"/>
              <w:bottom w:val="single" w:sz="8" w:space="0" w:color="auto"/>
              <w:right w:val="single" w:sz="8" w:space="0" w:color="auto"/>
            </w:tcBorders>
            <w:shd w:val="clear" w:color="auto" w:fill="auto"/>
            <w:noWrap/>
            <w:vAlign w:val="center"/>
          </w:tcPr>
          <w:p w14:paraId="17BD089E" w14:textId="161C17A6"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28.9</w:t>
            </w:r>
          </w:p>
        </w:tc>
        <w:tc>
          <w:tcPr>
            <w:tcW w:w="1358" w:type="pct"/>
            <w:vMerge/>
            <w:tcBorders>
              <w:bottom w:val="single" w:sz="12" w:space="0" w:color="auto"/>
            </w:tcBorders>
            <w:vAlign w:val="center"/>
          </w:tcPr>
          <w:p w14:paraId="4A006340" w14:textId="77777777" w:rsidR="009C6A6F" w:rsidRPr="007821B7" w:rsidRDefault="009C6A6F" w:rsidP="00256396">
            <w:pPr>
              <w:pStyle w:val="TableText"/>
              <w:jc w:val="center"/>
              <w:rPr>
                <w:rFonts w:asciiTheme="minorHAnsi" w:hAnsiTheme="minorHAnsi"/>
                <w:sz w:val="20"/>
                <w:szCs w:val="20"/>
              </w:rPr>
            </w:pPr>
          </w:p>
        </w:tc>
      </w:tr>
      <w:tr w:rsidR="009C6A6F" w:rsidRPr="007821B7" w14:paraId="09FFEB73"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05CCBE44" w14:textId="4F0530CF"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Kiribati</w:t>
            </w:r>
          </w:p>
        </w:tc>
        <w:tc>
          <w:tcPr>
            <w:tcW w:w="1470" w:type="pct"/>
            <w:tcBorders>
              <w:top w:val="nil"/>
              <w:left w:val="nil"/>
              <w:bottom w:val="single" w:sz="8" w:space="0" w:color="auto"/>
              <w:right w:val="single" w:sz="8" w:space="0" w:color="auto"/>
            </w:tcBorders>
            <w:shd w:val="clear" w:color="auto" w:fill="auto"/>
            <w:noWrap/>
            <w:vAlign w:val="center"/>
          </w:tcPr>
          <w:p w14:paraId="1AABEF5A" w14:textId="2D2ABDD7"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27.4</w:t>
            </w:r>
          </w:p>
        </w:tc>
        <w:tc>
          <w:tcPr>
            <w:tcW w:w="1358" w:type="pct"/>
            <w:vMerge/>
            <w:tcBorders>
              <w:bottom w:val="single" w:sz="12" w:space="0" w:color="auto"/>
            </w:tcBorders>
            <w:vAlign w:val="center"/>
          </w:tcPr>
          <w:p w14:paraId="510A0F75" w14:textId="77777777" w:rsidR="009C6A6F" w:rsidRPr="007821B7" w:rsidRDefault="009C6A6F" w:rsidP="00256396">
            <w:pPr>
              <w:pStyle w:val="TableText"/>
              <w:jc w:val="center"/>
              <w:rPr>
                <w:rFonts w:asciiTheme="minorHAnsi" w:hAnsiTheme="minorHAnsi"/>
                <w:sz w:val="20"/>
                <w:szCs w:val="20"/>
              </w:rPr>
            </w:pPr>
          </w:p>
        </w:tc>
      </w:tr>
      <w:tr w:rsidR="009C6A6F" w:rsidRPr="007821B7" w14:paraId="73601164"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39F85C7D" w14:textId="2FFA40EF"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Sri Lanka</w:t>
            </w:r>
          </w:p>
        </w:tc>
        <w:tc>
          <w:tcPr>
            <w:tcW w:w="1470" w:type="pct"/>
            <w:tcBorders>
              <w:top w:val="nil"/>
              <w:left w:val="nil"/>
              <w:bottom w:val="single" w:sz="8" w:space="0" w:color="auto"/>
              <w:right w:val="single" w:sz="8" w:space="0" w:color="auto"/>
            </w:tcBorders>
            <w:shd w:val="clear" w:color="auto" w:fill="auto"/>
            <w:noWrap/>
            <w:vAlign w:val="center"/>
          </w:tcPr>
          <w:p w14:paraId="08010CB8" w14:textId="620B8A95"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27.3</w:t>
            </w:r>
          </w:p>
        </w:tc>
        <w:tc>
          <w:tcPr>
            <w:tcW w:w="1358" w:type="pct"/>
            <w:vMerge/>
            <w:tcBorders>
              <w:bottom w:val="single" w:sz="12" w:space="0" w:color="auto"/>
            </w:tcBorders>
            <w:vAlign w:val="center"/>
          </w:tcPr>
          <w:p w14:paraId="2B519223" w14:textId="77777777" w:rsidR="009C6A6F" w:rsidRPr="007821B7" w:rsidRDefault="009C6A6F" w:rsidP="00256396">
            <w:pPr>
              <w:pStyle w:val="TableText"/>
              <w:jc w:val="center"/>
              <w:rPr>
                <w:rFonts w:asciiTheme="minorHAnsi" w:hAnsiTheme="minorHAnsi"/>
                <w:sz w:val="20"/>
                <w:szCs w:val="20"/>
              </w:rPr>
            </w:pPr>
          </w:p>
        </w:tc>
      </w:tr>
      <w:tr w:rsidR="009C6A6F" w:rsidRPr="007821B7" w14:paraId="68DD6904" w14:textId="77777777" w:rsidTr="008565F7">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478830E0" w14:textId="29308562"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Nauru</w:t>
            </w:r>
          </w:p>
        </w:tc>
        <w:tc>
          <w:tcPr>
            <w:tcW w:w="1470" w:type="pct"/>
            <w:tcBorders>
              <w:top w:val="nil"/>
              <w:left w:val="nil"/>
              <w:bottom w:val="single" w:sz="8" w:space="0" w:color="auto"/>
              <w:right w:val="single" w:sz="8" w:space="0" w:color="auto"/>
            </w:tcBorders>
            <w:shd w:val="clear" w:color="auto" w:fill="auto"/>
            <w:noWrap/>
            <w:vAlign w:val="center"/>
          </w:tcPr>
          <w:p w14:paraId="4EC7CB7A" w14:textId="6C8A8C11"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26.7</w:t>
            </w:r>
          </w:p>
        </w:tc>
        <w:tc>
          <w:tcPr>
            <w:tcW w:w="1358" w:type="pct"/>
            <w:vMerge/>
            <w:tcBorders>
              <w:bottom w:val="single" w:sz="12" w:space="0" w:color="auto"/>
            </w:tcBorders>
            <w:vAlign w:val="center"/>
          </w:tcPr>
          <w:p w14:paraId="61D5F9CF" w14:textId="77777777" w:rsidR="009C6A6F" w:rsidRPr="007821B7" w:rsidRDefault="009C6A6F" w:rsidP="00256396">
            <w:pPr>
              <w:pStyle w:val="TableText"/>
              <w:jc w:val="center"/>
              <w:rPr>
                <w:rFonts w:asciiTheme="minorHAnsi" w:hAnsiTheme="minorHAnsi"/>
                <w:sz w:val="20"/>
                <w:szCs w:val="20"/>
              </w:rPr>
            </w:pPr>
          </w:p>
        </w:tc>
      </w:tr>
      <w:tr w:rsidR="009C6A6F" w:rsidRPr="007821B7" w14:paraId="0001802F" w14:textId="77777777" w:rsidTr="008565F7">
        <w:trPr>
          <w:cantSplit/>
          <w:trHeight w:hRule="exact" w:val="312"/>
        </w:trPr>
        <w:tc>
          <w:tcPr>
            <w:tcW w:w="2172" w:type="pct"/>
            <w:tcBorders>
              <w:top w:val="nil"/>
              <w:left w:val="single" w:sz="8" w:space="0" w:color="auto"/>
              <w:bottom w:val="single" w:sz="12" w:space="0" w:color="auto"/>
              <w:right w:val="single" w:sz="8" w:space="0" w:color="auto"/>
            </w:tcBorders>
            <w:shd w:val="clear" w:color="auto" w:fill="auto"/>
            <w:noWrap/>
            <w:vAlign w:val="center"/>
          </w:tcPr>
          <w:p w14:paraId="1112B119" w14:textId="34EC6024" w:rsidR="009C6A6F" w:rsidRPr="009C6A6F" w:rsidRDefault="009C6A6F"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Regional South and West Asia</w:t>
            </w:r>
          </w:p>
        </w:tc>
        <w:tc>
          <w:tcPr>
            <w:tcW w:w="1470" w:type="pct"/>
            <w:tcBorders>
              <w:top w:val="nil"/>
              <w:left w:val="nil"/>
              <w:bottom w:val="single" w:sz="12" w:space="0" w:color="auto"/>
              <w:right w:val="single" w:sz="8" w:space="0" w:color="auto"/>
            </w:tcBorders>
            <w:shd w:val="clear" w:color="auto" w:fill="auto"/>
            <w:noWrap/>
            <w:vAlign w:val="center"/>
          </w:tcPr>
          <w:p w14:paraId="1520BC1D" w14:textId="555F5BD8" w:rsidR="009C6A6F" w:rsidRPr="009C6A6F" w:rsidRDefault="009C6A6F"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24.3</w:t>
            </w:r>
          </w:p>
        </w:tc>
        <w:tc>
          <w:tcPr>
            <w:tcW w:w="1358" w:type="pct"/>
            <w:vMerge/>
            <w:tcBorders>
              <w:bottom w:val="single" w:sz="12" w:space="0" w:color="auto"/>
            </w:tcBorders>
            <w:vAlign w:val="center"/>
          </w:tcPr>
          <w:p w14:paraId="23DD6892" w14:textId="77777777" w:rsidR="009C6A6F" w:rsidRPr="007821B7" w:rsidRDefault="009C6A6F" w:rsidP="00256396">
            <w:pPr>
              <w:pStyle w:val="TableText"/>
              <w:jc w:val="center"/>
              <w:rPr>
                <w:rFonts w:asciiTheme="minorHAnsi" w:hAnsiTheme="minorHAnsi"/>
                <w:sz w:val="20"/>
                <w:szCs w:val="20"/>
              </w:rPr>
            </w:pPr>
          </w:p>
        </w:tc>
      </w:tr>
      <w:tr w:rsidR="00256396" w:rsidRPr="007821B7" w14:paraId="354E2E42" w14:textId="77777777" w:rsidTr="008565F7">
        <w:trPr>
          <w:cantSplit/>
          <w:trHeight w:hRule="exact" w:val="312"/>
        </w:trPr>
        <w:tc>
          <w:tcPr>
            <w:tcW w:w="2172" w:type="pct"/>
            <w:tcBorders>
              <w:top w:val="single" w:sz="12" w:space="0" w:color="auto"/>
              <w:left w:val="single" w:sz="8" w:space="0" w:color="auto"/>
              <w:bottom w:val="single" w:sz="8" w:space="0" w:color="auto"/>
              <w:right w:val="single" w:sz="8" w:space="0" w:color="auto"/>
            </w:tcBorders>
            <w:shd w:val="clear" w:color="auto" w:fill="auto"/>
            <w:noWrap/>
            <w:vAlign w:val="center"/>
          </w:tcPr>
          <w:p w14:paraId="549F4811" w14:textId="077B49FE"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 xml:space="preserve">Mongolia </w:t>
            </w:r>
          </w:p>
        </w:tc>
        <w:tc>
          <w:tcPr>
            <w:tcW w:w="1470" w:type="pct"/>
            <w:tcBorders>
              <w:top w:val="single" w:sz="12" w:space="0" w:color="auto"/>
              <w:left w:val="nil"/>
              <w:bottom w:val="single" w:sz="8" w:space="0" w:color="auto"/>
              <w:right w:val="single" w:sz="8" w:space="0" w:color="auto"/>
            </w:tcBorders>
            <w:shd w:val="clear" w:color="auto" w:fill="auto"/>
            <w:noWrap/>
            <w:vAlign w:val="center"/>
          </w:tcPr>
          <w:p w14:paraId="7D9C8878" w14:textId="5F049907"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11.9</w:t>
            </w:r>
          </w:p>
        </w:tc>
        <w:tc>
          <w:tcPr>
            <w:tcW w:w="1358" w:type="pct"/>
            <w:vMerge w:val="restart"/>
            <w:tcBorders>
              <w:top w:val="single" w:sz="12" w:space="0" w:color="auto"/>
            </w:tcBorders>
            <w:vAlign w:val="center"/>
          </w:tcPr>
          <w:p w14:paraId="792C588E" w14:textId="77777777" w:rsidR="00256396" w:rsidRPr="007821B7" w:rsidRDefault="00256396" w:rsidP="00256396">
            <w:pPr>
              <w:pStyle w:val="TableText"/>
              <w:jc w:val="center"/>
              <w:rPr>
                <w:rFonts w:asciiTheme="minorHAnsi" w:hAnsiTheme="minorHAnsi"/>
                <w:sz w:val="20"/>
                <w:szCs w:val="20"/>
              </w:rPr>
            </w:pPr>
            <w:r w:rsidRPr="007821B7">
              <w:rPr>
                <w:rFonts w:asciiTheme="minorHAnsi" w:hAnsiTheme="minorHAnsi"/>
                <w:b/>
                <w:sz w:val="20"/>
                <w:szCs w:val="20"/>
              </w:rPr>
              <w:t>Below $15m</w:t>
            </w:r>
            <w:r w:rsidRPr="007821B7">
              <w:rPr>
                <w:rFonts w:asciiTheme="minorHAnsi" w:hAnsiTheme="minorHAnsi"/>
                <w:sz w:val="20"/>
                <w:szCs w:val="20"/>
              </w:rPr>
              <w:br/>
              <w:t>Exempt from APPR</w:t>
            </w:r>
            <w:r>
              <w:rPr>
                <w:rFonts w:asciiTheme="minorHAnsi" w:hAnsiTheme="minorHAnsi"/>
                <w:sz w:val="20"/>
                <w:szCs w:val="20"/>
              </w:rPr>
              <w:t xml:space="preserve"> unless requested by relevant FAS</w:t>
            </w:r>
          </w:p>
        </w:tc>
      </w:tr>
      <w:tr w:rsidR="00256396" w:rsidRPr="007821B7" w14:paraId="63681C78" w14:textId="77777777" w:rsidTr="00A23B5F">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13515865" w14:textId="27589F34"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North Pacific</w:t>
            </w:r>
          </w:p>
        </w:tc>
        <w:tc>
          <w:tcPr>
            <w:tcW w:w="1470" w:type="pct"/>
            <w:tcBorders>
              <w:top w:val="nil"/>
              <w:left w:val="nil"/>
              <w:bottom w:val="single" w:sz="8" w:space="0" w:color="auto"/>
              <w:right w:val="single" w:sz="8" w:space="0" w:color="auto"/>
            </w:tcBorders>
            <w:shd w:val="clear" w:color="auto" w:fill="auto"/>
            <w:noWrap/>
            <w:vAlign w:val="center"/>
          </w:tcPr>
          <w:p w14:paraId="32B8D9EF" w14:textId="73DE8F47"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9.5</w:t>
            </w:r>
          </w:p>
        </w:tc>
        <w:tc>
          <w:tcPr>
            <w:tcW w:w="1358" w:type="pct"/>
            <w:vMerge/>
            <w:vAlign w:val="center"/>
          </w:tcPr>
          <w:p w14:paraId="788D64FC" w14:textId="77777777" w:rsidR="00256396" w:rsidRPr="007821B7" w:rsidRDefault="00256396" w:rsidP="00256396">
            <w:pPr>
              <w:spacing w:before="60" w:line="220" w:lineRule="atLeast"/>
              <w:jc w:val="center"/>
              <w:rPr>
                <w:rFonts w:eastAsia="Times New Roman" w:cs="Arial"/>
                <w:sz w:val="20"/>
                <w:szCs w:val="20"/>
              </w:rPr>
            </w:pPr>
          </w:p>
        </w:tc>
      </w:tr>
      <w:tr w:rsidR="00256396" w:rsidRPr="007821B7" w14:paraId="2A0B931A" w14:textId="77777777" w:rsidTr="00A23B5F">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2C190A6D" w14:textId="6C83A674"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Tuvalu</w:t>
            </w:r>
          </w:p>
        </w:tc>
        <w:tc>
          <w:tcPr>
            <w:tcW w:w="1470" w:type="pct"/>
            <w:tcBorders>
              <w:top w:val="nil"/>
              <w:left w:val="nil"/>
              <w:bottom w:val="single" w:sz="8" w:space="0" w:color="auto"/>
              <w:right w:val="single" w:sz="8" w:space="0" w:color="auto"/>
            </w:tcBorders>
            <w:shd w:val="clear" w:color="auto" w:fill="auto"/>
            <w:noWrap/>
            <w:vAlign w:val="center"/>
          </w:tcPr>
          <w:p w14:paraId="57B1C17A" w14:textId="35841E56"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9.0</w:t>
            </w:r>
          </w:p>
        </w:tc>
        <w:tc>
          <w:tcPr>
            <w:tcW w:w="1358" w:type="pct"/>
            <w:vMerge/>
            <w:vAlign w:val="center"/>
          </w:tcPr>
          <w:p w14:paraId="595842E8" w14:textId="77777777" w:rsidR="00256396" w:rsidRPr="007821B7" w:rsidRDefault="00256396" w:rsidP="00256396">
            <w:pPr>
              <w:spacing w:before="60" w:line="220" w:lineRule="atLeast"/>
              <w:jc w:val="center"/>
              <w:rPr>
                <w:rFonts w:eastAsia="Times New Roman" w:cs="Arial"/>
                <w:sz w:val="20"/>
                <w:szCs w:val="20"/>
              </w:rPr>
            </w:pPr>
          </w:p>
        </w:tc>
      </w:tr>
      <w:tr w:rsidR="00256396" w:rsidRPr="007821B7" w14:paraId="5D479B48" w14:textId="77777777" w:rsidTr="00A23B5F">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1917179A" w14:textId="3508DD6F"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Bhutan</w:t>
            </w:r>
          </w:p>
        </w:tc>
        <w:tc>
          <w:tcPr>
            <w:tcW w:w="1470" w:type="pct"/>
            <w:tcBorders>
              <w:top w:val="nil"/>
              <w:left w:val="nil"/>
              <w:bottom w:val="single" w:sz="8" w:space="0" w:color="auto"/>
              <w:right w:val="single" w:sz="8" w:space="0" w:color="auto"/>
            </w:tcBorders>
            <w:shd w:val="clear" w:color="auto" w:fill="auto"/>
            <w:noWrap/>
            <w:vAlign w:val="center"/>
          </w:tcPr>
          <w:p w14:paraId="25F1298B" w14:textId="64C32B49"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7.1</w:t>
            </w:r>
          </w:p>
        </w:tc>
        <w:tc>
          <w:tcPr>
            <w:tcW w:w="1358" w:type="pct"/>
            <w:vMerge/>
            <w:vAlign w:val="center"/>
          </w:tcPr>
          <w:p w14:paraId="2FD36E9F" w14:textId="77777777" w:rsidR="00256396" w:rsidRPr="007821B7" w:rsidRDefault="00256396" w:rsidP="00256396">
            <w:pPr>
              <w:spacing w:before="60" w:line="220" w:lineRule="atLeast"/>
              <w:jc w:val="center"/>
              <w:rPr>
                <w:rFonts w:eastAsia="Times New Roman" w:cs="Arial"/>
                <w:sz w:val="20"/>
                <w:szCs w:val="20"/>
              </w:rPr>
            </w:pPr>
          </w:p>
        </w:tc>
      </w:tr>
      <w:tr w:rsidR="00256396" w:rsidRPr="007821B7" w14:paraId="6B267377" w14:textId="77777777" w:rsidTr="0022186F">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1F1D0AFA" w14:textId="45DBC764"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Niue and Tokelau</w:t>
            </w:r>
          </w:p>
        </w:tc>
        <w:tc>
          <w:tcPr>
            <w:tcW w:w="1470" w:type="pct"/>
            <w:tcBorders>
              <w:top w:val="nil"/>
              <w:left w:val="nil"/>
              <w:bottom w:val="single" w:sz="8" w:space="0" w:color="auto"/>
              <w:right w:val="single" w:sz="8" w:space="0" w:color="auto"/>
            </w:tcBorders>
            <w:shd w:val="clear" w:color="auto" w:fill="auto"/>
            <w:noWrap/>
            <w:vAlign w:val="center"/>
          </w:tcPr>
          <w:p w14:paraId="383AC8ED" w14:textId="2D230120"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3.9</w:t>
            </w:r>
          </w:p>
        </w:tc>
        <w:tc>
          <w:tcPr>
            <w:tcW w:w="1358" w:type="pct"/>
            <w:vMerge/>
            <w:vAlign w:val="center"/>
          </w:tcPr>
          <w:p w14:paraId="423AF71A" w14:textId="77777777" w:rsidR="00256396" w:rsidRPr="007821B7" w:rsidRDefault="00256396" w:rsidP="00256396">
            <w:pPr>
              <w:spacing w:before="60" w:line="220" w:lineRule="atLeast"/>
              <w:jc w:val="center"/>
              <w:rPr>
                <w:rFonts w:eastAsia="Times New Roman" w:cs="Arial"/>
                <w:sz w:val="20"/>
                <w:szCs w:val="20"/>
              </w:rPr>
            </w:pPr>
          </w:p>
        </w:tc>
      </w:tr>
      <w:tr w:rsidR="00256396" w:rsidRPr="007821B7" w14:paraId="6EAB5E9B" w14:textId="77777777" w:rsidTr="00A23B5F">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3D287FF6" w14:textId="16D0FA4F"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Maldives</w:t>
            </w:r>
          </w:p>
        </w:tc>
        <w:tc>
          <w:tcPr>
            <w:tcW w:w="1470" w:type="pct"/>
            <w:tcBorders>
              <w:top w:val="nil"/>
              <w:left w:val="nil"/>
              <w:bottom w:val="single" w:sz="8" w:space="0" w:color="auto"/>
              <w:right w:val="single" w:sz="8" w:space="0" w:color="auto"/>
            </w:tcBorders>
            <w:shd w:val="clear" w:color="auto" w:fill="auto"/>
            <w:noWrap/>
            <w:vAlign w:val="center"/>
          </w:tcPr>
          <w:p w14:paraId="55C1D137" w14:textId="530E3A44"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3.4</w:t>
            </w:r>
          </w:p>
        </w:tc>
        <w:tc>
          <w:tcPr>
            <w:tcW w:w="1358" w:type="pct"/>
            <w:vMerge/>
            <w:vAlign w:val="center"/>
          </w:tcPr>
          <w:p w14:paraId="07840473" w14:textId="77777777" w:rsidR="00256396" w:rsidRPr="007821B7" w:rsidRDefault="00256396" w:rsidP="00256396">
            <w:pPr>
              <w:spacing w:before="60" w:line="220" w:lineRule="atLeast"/>
              <w:jc w:val="center"/>
              <w:rPr>
                <w:rFonts w:eastAsia="Times New Roman" w:cs="Arial"/>
                <w:sz w:val="20"/>
                <w:szCs w:val="20"/>
              </w:rPr>
            </w:pPr>
          </w:p>
        </w:tc>
      </w:tr>
      <w:tr w:rsidR="00256396" w:rsidRPr="007821B7" w14:paraId="74DB54E2" w14:textId="77777777" w:rsidTr="0022186F">
        <w:trPr>
          <w:cantSplit/>
          <w:trHeight w:hRule="exact" w:val="312"/>
        </w:trPr>
        <w:tc>
          <w:tcPr>
            <w:tcW w:w="2172" w:type="pct"/>
            <w:tcBorders>
              <w:top w:val="nil"/>
              <w:left w:val="single" w:sz="8" w:space="0" w:color="auto"/>
              <w:bottom w:val="single" w:sz="8" w:space="0" w:color="auto"/>
              <w:right w:val="single" w:sz="8" w:space="0" w:color="auto"/>
            </w:tcBorders>
            <w:shd w:val="clear" w:color="auto" w:fill="auto"/>
            <w:noWrap/>
            <w:vAlign w:val="center"/>
          </w:tcPr>
          <w:p w14:paraId="3F594E4E" w14:textId="5AB1F566" w:rsidR="00256396" w:rsidRPr="009C6A6F" w:rsidRDefault="00256396" w:rsidP="00256396">
            <w:pPr>
              <w:pStyle w:val="TableText"/>
              <w:rPr>
                <w:rFonts w:asciiTheme="minorHAnsi" w:hAnsiTheme="minorHAnsi" w:cstheme="minorHAnsi"/>
                <w:sz w:val="20"/>
                <w:szCs w:val="20"/>
              </w:rPr>
            </w:pPr>
            <w:r w:rsidRPr="009C6A6F">
              <w:rPr>
                <w:rFonts w:asciiTheme="minorHAnsi" w:hAnsiTheme="minorHAnsi" w:cstheme="minorHAnsi"/>
                <w:color w:val="495965"/>
                <w:sz w:val="20"/>
                <w:szCs w:val="20"/>
              </w:rPr>
              <w:t>Cook Islands</w:t>
            </w:r>
          </w:p>
        </w:tc>
        <w:tc>
          <w:tcPr>
            <w:tcW w:w="1470" w:type="pct"/>
            <w:tcBorders>
              <w:top w:val="nil"/>
              <w:left w:val="nil"/>
              <w:bottom w:val="single" w:sz="8" w:space="0" w:color="auto"/>
              <w:right w:val="single" w:sz="8" w:space="0" w:color="auto"/>
            </w:tcBorders>
            <w:shd w:val="clear" w:color="auto" w:fill="auto"/>
            <w:noWrap/>
            <w:vAlign w:val="center"/>
          </w:tcPr>
          <w:p w14:paraId="601DD2B0" w14:textId="07ED8D40" w:rsidR="00256396" w:rsidRPr="009C6A6F" w:rsidRDefault="00256396" w:rsidP="00256396">
            <w:pPr>
              <w:pStyle w:val="TableText"/>
              <w:jc w:val="center"/>
              <w:rPr>
                <w:rFonts w:asciiTheme="minorHAnsi" w:hAnsiTheme="minorHAnsi" w:cstheme="minorHAnsi"/>
                <w:sz w:val="20"/>
                <w:szCs w:val="20"/>
              </w:rPr>
            </w:pPr>
            <w:r w:rsidRPr="009C6A6F">
              <w:rPr>
                <w:rFonts w:asciiTheme="minorHAnsi" w:hAnsiTheme="minorHAnsi" w:cstheme="minorHAnsi"/>
                <w:color w:val="495965"/>
                <w:sz w:val="20"/>
                <w:szCs w:val="20"/>
              </w:rPr>
              <w:t>3.3</w:t>
            </w:r>
          </w:p>
        </w:tc>
        <w:tc>
          <w:tcPr>
            <w:tcW w:w="1358" w:type="pct"/>
            <w:vMerge/>
            <w:vAlign w:val="center"/>
          </w:tcPr>
          <w:p w14:paraId="7328874C" w14:textId="77777777" w:rsidR="00256396" w:rsidRPr="007821B7" w:rsidRDefault="00256396" w:rsidP="00256396">
            <w:pPr>
              <w:spacing w:before="60" w:line="220" w:lineRule="atLeast"/>
              <w:jc w:val="center"/>
              <w:rPr>
                <w:rFonts w:eastAsia="Times New Roman" w:cs="Arial"/>
                <w:sz w:val="20"/>
                <w:szCs w:val="20"/>
              </w:rPr>
            </w:pPr>
          </w:p>
        </w:tc>
      </w:tr>
    </w:tbl>
    <w:p w14:paraId="1D54600F" w14:textId="77777777" w:rsidR="00A9423E" w:rsidRPr="007821B7" w:rsidRDefault="00A9423E" w:rsidP="00A9423E">
      <w:pPr>
        <w:rPr>
          <w:sz w:val="20"/>
          <w:szCs w:val="20"/>
        </w:rPr>
      </w:pPr>
      <w:r w:rsidRPr="007821B7">
        <w:rPr>
          <w:sz w:val="20"/>
          <w:szCs w:val="20"/>
        </w:rPr>
        <w:t>* Page limits exclude the cover page and annexes.</w:t>
      </w:r>
    </w:p>
    <w:p w14:paraId="48F5DFF6" w14:textId="77777777" w:rsidR="008F56A8" w:rsidRPr="007821B7" w:rsidRDefault="008F56A8" w:rsidP="00D146A2">
      <w:pPr>
        <w:rPr>
          <w:sz w:val="20"/>
          <w:szCs w:val="20"/>
        </w:rPr>
      </w:pPr>
    </w:p>
    <w:p w14:paraId="1B9DC945" w14:textId="77777777" w:rsidR="00A56F14" w:rsidRDefault="00A56F14">
      <w:pPr>
        <w:suppressAutoHyphens w:val="0"/>
        <w:spacing w:before="0" w:after="120" w:line="440" w:lineRule="atLeast"/>
        <w:rPr>
          <w:rFonts w:asciiTheme="majorHAnsi" w:eastAsiaTheme="majorEastAsia" w:hAnsiTheme="majorHAnsi" w:cstheme="majorBidi"/>
          <w:b/>
          <w:bCs/>
          <w:caps/>
          <w:sz w:val="38"/>
          <w:szCs w:val="28"/>
        </w:rPr>
      </w:pPr>
      <w:r>
        <w:br w:type="page"/>
      </w:r>
    </w:p>
    <w:p w14:paraId="0F3F1AEF" w14:textId="19884136" w:rsidR="008F56A8" w:rsidRPr="00C4114C" w:rsidRDefault="00886F6B" w:rsidP="00886F6B">
      <w:pPr>
        <w:pStyle w:val="Heading1"/>
      </w:pPr>
      <w:r>
        <w:lastRenderedPageBreak/>
        <w:t xml:space="preserve">3 </w:t>
      </w:r>
      <w:r w:rsidR="008F56A8" w:rsidRPr="00C4114C">
        <w:t xml:space="preserve">Key </w:t>
      </w:r>
      <w:r w:rsidR="008F56A8">
        <w:t xml:space="preserve">Steps in Preparing </w:t>
      </w:r>
      <w:r w:rsidR="00A171B0">
        <w:t>an APPR</w:t>
      </w:r>
    </w:p>
    <w:p w14:paraId="02F90584" w14:textId="55C2153C" w:rsidR="008F56A8" w:rsidRPr="00D146A2" w:rsidRDefault="008F56A8" w:rsidP="00886F6B">
      <w:pPr>
        <w:pStyle w:val="Heading2"/>
      </w:pPr>
      <w:r w:rsidRPr="00D146A2">
        <w:t>Drafting</w:t>
      </w:r>
    </w:p>
    <w:p w14:paraId="26553F65" w14:textId="64F48F5A" w:rsidR="00C07220" w:rsidRPr="00D146A2" w:rsidRDefault="00C07220" w:rsidP="00D61CE2">
      <w:pPr>
        <w:pStyle w:val="BodyText"/>
      </w:pPr>
      <w:r w:rsidRPr="00D146A2">
        <w:t>The focus when drafting APPRs is on</w:t>
      </w:r>
      <w:r>
        <w:t xml:space="preserve"> assessing </w:t>
      </w:r>
      <w:r w:rsidRPr="00D146A2">
        <w:t xml:space="preserve">performance against </w:t>
      </w:r>
      <w:r w:rsidR="007061FC">
        <w:t xml:space="preserve">program </w:t>
      </w:r>
      <w:r w:rsidRPr="00D146A2">
        <w:t>objectives as set out in Aid Investment Plans</w:t>
      </w:r>
      <w:r w:rsidR="00990AFE">
        <w:t xml:space="preserve"> </w:t>
      </w:r>
      <w:r>
        <w:t xml:space="preserve">and </w:t>
      </w:r>
      <w:r w:rsidR="00A2552F">
        <w:t xml:space="preserve">setting out </w:t>
      </w:r>
      <w:r w:rsidRPr="00D146A2">
        <w:t xml:space="preserve">management </w:t>
      </w:r>
      <w:r w:rsidR="007061FC">
        <w:t>actions</w:t>
      </w:r>
      <w:r w:rsidRPr="00D146A2">
        <w:t xml:space="preserve"> to address significant issues</w:t>
      </w:r>
      <w:r>
        <w:t>/risks</w:t>
      </w:r>
      <w:r w:rsidRPr="00D146A2">
        <w:t>.</w:t>
      </w:r>
      <w:r>
        <w:t xml:space="preserve"> </w:t>
      </w:r>
      <w:r w:rsidR="005972A4">
        <w:t xml:space="preserve">In addition, there is considerable scope within the APPR peer review process and templates to discuss a broad range of issues relevant to performance. For example, the Key Messages and Progress against AIP </w:t>
      </w:r>
      <w:r w:rsidR="00A2552F">
        <w:t>O</w:t>
      </w:r>
      <w:r w:rsidR="005972A4">
        <w:t>bjectives sections of the APPR document can be used to highlight how pr</w:t>
      </w:r>
      <w:r w:rsidR="00A171B0">
        <w:t>ograms have achieved influence.</w:t>
      </w:r>
    </w:p>
    <w:p w14:paraId="2F6DC024" w14:textId="008702D3" w:rsidR="00A37ADA" w:rsidRDefault="00A37ADA" w:rsidP="00D61CE2">
      <w:pPr>
        <w:pStyle w:val="BodyText"/>
      </w:pPr>
      <w:r w:rsidRPr="00D146A2">
        <w:t xml:space="preserve">In assessing progress </w:t>
      </w:r>
      <w:r w:rsidRPr="00C6544E">
        <w:t>against program objectives, APPRs should explicitly reference progress against the country and regional program’s 20</w:t>
      </w:r>
      <w:r w:rsidR="00020517" w:rsidRPr="00C6544E">
        <w:t>18-19</w:t>
      </w:r>
      <w:r w:rsidRPr="00C6544E">
        <w:t xml:space="preserve"> Performance Assessment Framework indicators and milestones</w:t>
      </w:r>
      <w:r w:rsidR="00A2552F">
        <w:t>,</w:t>
      </w:r>
      <w:r w:rsidRPr="00C6544E">
        <w:t xml:space="preserve"> including performance benchmarks</w:t>
      </w:r>
      <w:r>
        <w:t xml:space="preserve"> in AIPs. Where a </w:t>
      </w:r>
      <w:r w:rsidR="005972A4">
        <w:t xml:space="preserve">2018-19 </w:t>
      </w:r>
      <w:r>
        <w:t xml:space="preserve">PAF does not exist, the basis for measuring performance </w:t>
      </w:r>
      <w:r w:rsidR="005F4598">
        <w:t xml:space="preserve">must be made </w:t>
      </w:r>
      <w:r w:rsidR="00B46903">
        <w:t>clear</w:t>
      </w:r>
      <w:r w:rsidR="005F4598">
        <w:t xml:space="preserve"> (usually a combination of performance benchmarks and investment level monitoring and evaluation frameworks).</w:t>
      </w:r>
    </w:p>
    <w:p w14:paraId="25CB9EC4" w14:textId="77777777" w:rsidR="00C07220" w:rsidRDefault="00C07220" w:rsidP="00D61CE2">
      <w:pPr>
        <w:pStyle w:val="BodyText"/>
      </w:pPr>
      <w:r>
        <w:t xml:space="preserve">Aid objective progress ratings need adequate explanation and justification. This can be </w:t>
      </w:r>
      <w:r w:rsidR="007061FC">
        <w:t>achieved</w:t>
      </w:r>
      <w:r>
        <w:t xml:space="preserve"> by</w:t>
      </w:r>
    </w:p>
    <w:p w14:paraId="0F9690BC" w14:textId="77777777" w:rsidR="003E0737" w:rsidRDefault="00C07220" w:rsidP="00D61CE2">
      <w:pPr>
        <w:pStyle w:val="Bullet1"/>
      </w:pPr>
      <w:r>
        <w:t>setting out clearly where expectations were met and where not</w:t>
      </w:r>
    </w:p>
    <w:p w14:paraId="1E3B335F" w14:textId="104AB1A8" w:rsidR="00C07220" w:rsidRDefault="00C07220" w:rsidP="00D61CE2">
      <w:pPr>
        <w:pStyle w:val="Bullet1"/>
      </w:pPr>
      <w:r>
        <w:t>directly referencing progress against Performance Benchmarks and other Performance Assessment Framework milestones/indicators that provide a credible basis for determining progress towards the achievement of the aid o</w:t>
      </w:r>
      <w:r w:rsidR="00A171B0">
        <w:t>bjective at the end of the AIP</w:t>
      </w:r>
    </w:p>
    <w:p w14:paraId="602E8A64" w14:textId="77777777" w:rsidR="00C07220" w:rsidRDefault="00C07220" w:rsidP="00D61CE2">
      <w:pPr>
        <w:pStyle w:val="Bullet1"/>
      </w:pPr>
      <w:r>
        <w:t xml:space="preserve">outlining achievements </w:t>
      </w:r>
      <w:r w:rsidRPr="00AB24BD">
        <w:t>and</w:t>
      </w:r>
      <w:r>
        <w:t xml:space="preserve"> challenges i.e. not just a listing of achievements</w:t>
      </w:r>
    </w:p>
    <w:p w14:paraId="74801815" w14:textId="1917FC00" w:rsidR="00C07220" w:rsidRDefault="00C07220" w:rsidP="00D61CE2">
      <w:pPr>
        <w:pStyle w:val="Bullet1"/>
      </w:pPr>
      <w:r>
        <w:t>ensuring that the progress assessment is informed by an evidence base that draws on a range of sources including independent evaluations (with footnotes being a useful way of indicating data sources)</w:t>
      </w:r>
    </w:p>
    <w:p w14:paraId="663BD976" w14:textId="77777777" w:rsidR="008356DF" w:rsidRPr="00C6544E" w:rsidRDefault="007A6742" w:rsidP="00D61CE2">
      <w:pPr>
        <w:pStyle w:val="Bullet1"/>
      </w:pPr>
      <w:r>
        <w:t xml:space="preserve">Identifying management </w:t>
      </w:r>
      <w:r w:rsidR="007061FC">
        <w:t>actions</w:t>
      </w:r>
      <w:r>
        <w:t xml:space="preserve"> to strengthen program effectiveness and management </w:t>
      </w:r>
      <w:r w:rsidR="00D04286">
        <w:t>for the following 12 </w:t>
      </w:r>
      <w:r>
        <w:t xml:space="preserve">months is a requirement of APPRs. Management </w:t>
      </w:r>
      <w:r w:rsidR="00990AFE">
        <w:t>actions</w:t>
      </w:r>
      <w:r>
        <w:t xml:space="preserve"> should be clearly linked to the progress against objectives ratings and narrative, particularly any objectives rated amber or red, and the identified risks to future progress. Management </w:t>
      </w:r>
      <w:r w:rsidR="00990AFE">
        <w:t>actions</w:t>
      </w:r>
      <w:r>
        <w:t xml:space="preserve"> should be specific, time-bound and with clear responsibilities assigned </w:t>
      </w:r>
      <w:r w:rsidRPr="00C6544E">
        <w:t>for implementation.</w:t>
      </w:r>
      <w:r w:rsidR="00D04286" w:rsidRPr="00C6544E">
        <w:t xml:space="preserve"> </w:t>
      </w:r>
    </w:p>
    <w:p w14:paraId="21126C65" w14:textId="29875763" w:rsidR="008356DF" w:rsidRPr="00D146A2" w:rsidRDefault="008356DF" w:rsidP="00D61CE2">
      <w:pPr>
        <w:pStyle w:val="BodyText"/>
      </w:pPr>
      <w:r w:rsidRPr="00B46903">
        <w:t xml:space="preserve">All programs </w:t>
      </w:r>
      <w:r w:rsidR="00A835F4">
        <w:t xml:space="preserve">of </w:t>
      </w:r>
      <w:r w:rsidRPr="00B46903">
        <w:t>$</w:t>
      </w:r>
      <w:r w:rsidR="002C1229" w:rsidRPr="00B46903">
        <w:t>50</w:t>
      </w:r>
      <w:r w:rsidRPr="00B46903">
        <w:t xml:space="preserve"> million </w:t>
      </w:r>
      <w:r w:rsidR="00A835F4">
        <w:t xml:space="preserve">and </w:t>
      </w:r>
      <w:r w:rsidR="00EE151A">
        <w:t>above</w:t>
      </w:r>
      <w:r w:rsidR="00A835F4">
        <w:t xml:space="preserve"> </w:t>
      </w:r>
      <w:r w:rsidRPr="00B46903">
        <w:t xml:space="preserve">are required to include a Performance Assessment Framework </w:t>
      </w:r>
      <w:r w:rsidR="0039256F" w:rsidRPr="00B46903">
        <w:t xml:space="preserve">that covers 2019-20 </w:t>
      </w:r>
      <w:r w:rsidRPr="00B46903">
        <w:t>at Annex E of the</w:t>
      </w:r>
      <w:r w:rsidR="0039256F" w:rsidRPr="00B46903">
        <w:t>ir</w:t>
      </w:r>
      <w:r w:rsidRPr="00B46903">
        <w:t xml:space="preserve"> APPR. </w:t>
      </w:r>
      <w:r w:rsidR="0039256F" w:rsidRPr="00B46903">
        <w:t xml:space="preserve"> </w:t>
      </w:r>
      <w:r w:rsidR="002C1229" w:rsidRPr="00B46903">
        <w:t>Programs between $15</w:t>
      </w:r>
      <w:r w:rsidR="00A2552F">
        <w:t xml:space="preserve"> million and $50 million </w:t>
      </w:r>
      <w:r w:rsidR="002C1229" w:rsidRPr="00B46903">
        <w:t xml:space="preserve">will continue to use a combination of performance benchmarks and investment level monitoring and evaluation frameworks as the </w:t>
      </w:r>
      <w:r w:rsidR="0039256F" w:rsidRPr="00B46903">
        <w:t>basis for assessing performance for 2019-20. P</w:t>
      </w:r>
      <w:r w:rsidRPr="00B46903">
        <w:t>erformance assessment frameworks</w:t>
      </w:r>
      <w:r w:rsidR="0039256F" w:rsidRPr="00B46903">
        <w:t xml:space="preserve"> and </w:t>
      </w:r>
      <w:r w:rsidRPr="00B46903">
        <w:t>benchmarks should be discussed with specialist areas such as MPB and sector/themati</w:t>
      </w:r>
      <w:r w:rsidR="00A171B0">
        <w:t>c groups during APPR drafting.</w:t>
      </w:r>
    </w:p>
    <w:p w14:paraId="22FD22E5" w14:textId="6AC3E7DA" w:rsidR="008F56A8" w:rsidRPr="00C4114C" w:rsidRDefault="008F56A8" w:rsidP="00886F6B">
      <w:pPr>
        <w:pStyle w:val="Heading2"/>
      </w:pPr>
      <w:r w:rsidRPr="00C4114C">
        <w:t>Peer Review</w:t>
      </w:r>
    </w:p>
    <w:p w14:paraId="4A0DA86B" w14:textId="7D7C4BFB" w:rsidR="00AA170B" w:rsidRDefault="00AA170B" w:rsidP="00D61CE2">
      <w:pPr>
        <w:pStyle w:val="BodyText"/>
      </w:pPr>
      <w:r>
        <w:t>A peer review meeting i</w:t>
      </w:r>
      <w:r w:rsidRPr="00D146A2">
        <w:t xml:space="preserve">s </w:t>
      </w:r>
      <w:r w:rsidRPr="00D146A2">
        <w:rPr>
          <w:b/>
        </w:rPr>
        <w:t xml:space="preserve">mandatory </w:t>
      </w:r>
      <w:r w:rsidRPr="00D146A2">
        <w:t xml:space="preserve">for programs with ODA </w:t>
      </w:r>
      <w:r w:rsidR="00A835F4">
        <w:t xml:space="preserve">of </w:t>
      </w:r>
      <w:r w:rsidRPr="00D146A2">
        <w:t>$50 million</w:t>
      </w:r>
      <w:r w:rsidR="00A835F4">
        <w:t xml:space="preserve"> and above</w:t>
      </w:r>
      <w:r w:rsidRPr="00D146A2">
        <w:t xml:space="preserve">. Peer review meetings should be chaired </w:t>
      </w:r>
      <w:r>
        <w:t xml:space="preserve">at the </w:t>
      </w:r>
      <w:r w:rsidRPr="00D146A2">
        <w:t xml:space="preserve">SES </w:t>
      </w:r>
      <w:r w:rsidR="00A171B0">
        <w:t>level.</w:t>
      </w:r>
    </w:p>
    <w:p w14:paraId="69944B8F" w14:textId="3F9FE9AE" w:rsidR="00A2552F" w:rsidRDefault="008F56A8" w:rsidP="00D61CE2">
      <w:pPr>
        <w:pStyle w:val="BodyText"/>
      </w:pPr>
      <w:r w:rsidRPr="00D146A2">
        <w:t xml:space="preserve">The peer review process aims to ensure that assessment and reporting of program performance is robust and credible and that suitable management </w:t>
      </w:r>
      <w:r w:rsidR="00990AFE">
        <w:t>actions</w:t>
      </w:r>
      <w:r w:rsidRPr="00D146A2">
        <w:t xml:space="preserve"> are identified and implemented.</w:t>
      </w:r>
      <w:r w:rsidR="00ED43DB">
        <w:t xml:space="preserve"> </w:t>
      </w:r>
      <w:r w:rsidR="00627E37">
        <w:t xml:space="preserve">Peer review </w:t>
      </w:r>
      <w:r w:rsidR="00AA170B">
        <w:t xml:space="preserve">meetings </w:t>
      </w:r>
      <w:r w:rsidR="00627E37">
        <w:t>should ensure that PAFs and performance benchmarks are well-defined and credible</w:t>
      </w:r>
      <w:r w:rsidR="00FA43A9">
        <w:t>.</w:t>
      </w:r>
      <w:r w:rsidR="00A2552F">
        <w:t xml:space="preserve"> </w:t>
      </w:r>
      <w:r w:rsidR="00ED43DB">
        <w:t>Comments on draft APPR</w:t>
      </w:r>
      <w:r w:rsidR="00FA43A9">
        <w:t>s</w:t>
      </w:r>
      <w:r w:rsidR="00ED43DB">
        <w:t xml:space="preserve">, including drafting suggestions and appropriateness of ratings, should be sought </w:t>
      </w:r>
      <w:r w:rsidR="00AA170B">
        <w:t>from relevant areas including MPB</w:t>
      </w:r>
      <w:r w:rsidR="00BF1AE3">
        <w:t>,</w:t>
      </w:r>
      <w:r w:rsidR="00AA170B">
        <w:t xml:space="preserve"> ODE </w:t>
      </w:r>
      <w:r w:rsidR="00BF1AE3">
        <w:t xml:space="preserve">and sectoral/thematic specialists </w:t>
      </w:r>
      <w:r w:rsidR="00ED43DB">
        <w:t xml:space="preserve">in advance of </w:t>
      </w:r>
      <w:r w:rsidR="00D61CE2">
        <w:t xml:space="preserve">the </w:t>
      </w:r>
      <w:r w:rsidR="00A171B0">
        <w:t>peer review meeting.</w:t>
      </w:r>
    </w:p>
    <w:p w14:paraId="0C204673" w14:textId="22D13FE4" w:rsidR="008F56A8" w:rsidRPr="00D146A2" w:rsidRDefault="00ED43DB" w:rsidP="00D61CE2">
      <w:pPr>
        <w:pStyle w:val="BodyText"/>
        <w:rPr>
          <w:bCs/>
        </w:rPr>
      </w:pPr>
      <w:r>
        <w:t xml:space="preserve">The peer review meeting should be used to focus on strategic </w:t>
      </w:r>
      <w:r w:rsidR="009D5C03">
        <w:t>issues and management actions</w:t>
      </w:r>
      <w:r w:rsidR="00AA170B">
        <w:t xml:space="preserve">. They should not be </w:t>
      </w:r>
      <w:r>
        <w:t xml:space="preserve">used as drafting sessions. </w:t>
      </w:r>
      <w:r w:rsidR="00F96A0F">
        <w:t xml:space="preserve"> </w:t>
      </w:r>
      <w:r w:rsidR="00627E37">
        <w:t xml:space="preserve">Representatives from </w:t>
      </w:r>
      <w:r w:rsidR="008F56A8" w:rsidRPr="00D146A2">
        <w:t>MPB (</w:t>
      </w:r>
      <w:hyperlink r:id="rId12" w:history="1">
        <w:r w:rsidR="008F56A8" w:rsidRPr="0068701A">
          <w:rPr>
            <w:rStyle w:val="Hyperlink"/>
            <w:u w:val="none"/>
          </w:rPr>
          <w:t>qualityreports@dfat.gov.au</w:t>
        </w:r>
      </w:hyperlink>
      <w:r w:rsidR="008F56A8" w:rsidRPr="00D146A2">
        <w:t>)</w:t>
      </w:r>
      <w:r w:rsidR="00627E37">
        <w:t>,</w:t>
      </w:r>
      <w:r w:rsidR="008F56A8" w:rsidRPr="00D146A2">
        <w:t xml:space="preserve"> Office of Development Effectiveness (</w:t>
      </w:r>
      <w:hyperlink r:id="rId13" w:history="1">
        <w:r w:rsidR="00627E37" w:rsidRPr="006D47B2">
          <w:rPr>
            <w:rStyle w:val="Hyperlink"/>
            <w:rFonts w:cstheme="minorBidi"/>
          </w:rPr>
          <w:t>ode@dfat.gov.au</w:t>
        </w:r>
      </w:hyperlink>
      <w:r w:rsidR="008F56A8" w:rsidRPr="00D146A2">
        <w:t>)</w:t>
      </w:r>
      <w:r w:rsidR="00627E37">
        <w:t xml:space="preserve"> and Gender Equality Branch</w:t>
      </w:r>
      <w:r w:rsidR="008F56A8" w:rsidRPr="00D146A2">
        <w:t xml:space="preserve"> must be invited</w:t>
      </w:r>
      <w:r w:rsidR="00627E37">
        <w:t xml:space="preserve"> to peer review </w:t>
      </w:r>
      <w:r w:rsidR="00627E37">
        <w:lastRenderedPageBreak/>
        <w:t>meetings. Other participants are at the discretion of the Chair and invited on the basis of contributing to a strategic</w:t>
      </w:r>
      <w:r w:rsidR="009D5C03">
        <w:t>-</w:t>
      </w:r>
      <w:r w:rsidR="00627E37">
        <w:t>level discussion.</w:t>
      </w:r>
      <w:r w:rsidR="008F56A8" w:rsidRPr="00D146A2">
        <w:rPr>
          <w:bCs/>
        </w:rPr>
        <w:t xml:space="preserve"> </w:t>
      </w:r>
      <w:r w:rsidR="00A2552F">
        <w:rPr>
          <w:bCs/>
        </w:rPr>
        <w:t>Senior level involvement from relevant thematic groups is encouraged.</w:t>
      </w:r>
    </w:p>
    <w:p w14:paraId="4D3B668B" w14:textId="0D825A7C" w:rsidR="008F56A8" w:rsidRPr="00C4114C" w:rsidRDefault="008F56A8" w:rsidP="00886F6B">
      <w:pPr>
        <w:pStyle w:val="Heading2"/>
      </w:pPr>
      <w:r w:rsidRPr="00C4114C">
        <w:t>Approval and Publication</w:t>
      </w:r>
    </w:p>
    <w:p w14:paraId="7AD9C83F" w14:textId="18530126" w:rsidR="008F56A8" w:rsidRPr="00C6544E" w:rsidRDefault="008F56A8" w:rsidP="00D61CE2">
      <w:pPr>
        <w:pStyle w:val="BodyText"/>
      </w:pPr>
      <w:r w:rsidRPr="00C6544E">
        <w:t xml:space="preserve">After </w:t>
      </w:r>
      <w:r w:rsidRPr="00C6544E">
        <w:rPr>
          <w:b/>
        </w:rPr>
        <w:t>endorsement</w:t>
      </w:r>
      <w:r w:rsidRPr="00C6544E">
        <w:t xml:space="preserve"> by Head of Mission, final APPRs are </w:t>
      </w:r>
      <w:r w:rsidRPr="00C6544E">
        <w:rPr>
          <w:b/>
        </w:rPr>
        <w:t>approved</w:t>
      </w:r>
      <w:r w:rsidRPr="00C6544E">
        <w:t xml:space="preserve"> for public release by the relevant FAS.</w:t>
      </w:r>
      <w:r w:rsidR="006724C6" w:rsidRPr="00C6544E">
        <w:t xml:space="preserve"> It is the responsibility of each FAS to ensure that final ratings are consistent with evidence provided and comments received from peer review feedback. </w:t>
      </w:r>
      <w:r w:rsidRPr="00C6544E">
        <w:t>The FAS also ensures that APPRs do not ex</w:t>
      </w:r>
      <w:r w:rsidR="00A171B0">
        <w:t>ceed their maximum page limits.</w:t>
      </w:r>
    </w:p>
    <w:p w14:paraId="0FE40C5B" w14:textId="4EEEB053" w:rsidR="008F56A8" w:rsidRPr="00C6544E" w:rsidRDefault="008F56A8" w:rsidP="00D61CE2">
      <w:pPr>
        <w:pStyle w:val="BodyText"/>
        <w:rPr>
          <w:bCs/>
        </w:rPr>
      </w:pPr>
      <w:r w:rsidRPr="00C6544E">
        <w:rPr>
          <w:bCs/>
        </w:rPr>
        <w:t xml:space="preserve">To meet the publication date of </w:t>
      </w:r>
      <w:r w:rsidR="00020517" w:rsidRPr="00C6544E">
        <w:rPr>
          <w:bCs/>
        </w:rPr>
        <w:t>20</w:t>
      </w:r>
      <w:r w:rsidRPr="00C6544E">
        <w:rPr>
          <w:bCs/>
        </w:rPr>
        <w:t xml:space="preserve"> September 201</w:t>
      </w:r>
      <w:r w:rsidR="00020517" w:rsidRPr="00C6544E">
        <w:rPr>
          <w:bCs/>
        </w:rPr>
        <w:t>9</w:t>
      </w:r>
      <w:r w:rsidRPr="00C6544E">
        <w:rPr>
          <w:bCs/>
        </w:rPr>
        <w:t xml:space="preserve">, final approved APPRs should be sent to </w:t>
      </w:r>
      <w:r w:rsidR="00134757" w:rsidRPr="00C6544E">
        <w:rPr>
          <w:bCs/>
        </w:rPr>
        <w:t>Digital Production Section (DRS), Communications and Parliamentary</w:t>
      </w:r>
      <w:r w:rsidRPr="00C6544E">
        <w:rPr>
          <w:bCs/>
        </w:rPr>
        <w:t xml:space="preserve"> Branch, no later than </w:t>
      </w:r>
      <w:r w:rsidR="00627E37" w:rsidRPr="00C6544E">
        <w:rPr>
          <w:bCs/>
        </w:rPr>
        <w:t>Tuesday</w:t>
      </w:r>
      <w:r w:rsidR="004879B2" w:rsidRPr="00C6544E">
        <w:rPr>
          <w:bCs/>
        </w:rPr>
        <w:t xml:space="preserve"> </w:t>
      </w:r>
      <w:r w:rsidR="00844BD4" w:rsidRPr="00C6544E">
        <w:rPr>
          <w:bCs/>
        </w:rPr>
        <w:t>1</w:t>
      </w:r>
      <w:r w:rsidR="00020517" w:rsidRPr="00C6544E">
        <w:rPr>
          <w:bCs/>
        </w:rPr>
        <w:t>7</w:t>
      </w:r>
      <w:r w:rsidR="0034365D" w:rsidRPr="00C6544E">
        <w:rPr>
          <w:bCs/>
        </w:rPr>
        <w:t xml:space="preserve"> September 201</w:t>
      </w:r>
      <w:r w:rsidR="00020517" w:rsidRPr="00C6544E">
        <w:rPr>
          <w:bCs/>
        </w:rPr>
        <w:t>9</w:t>
      </w:r>
      <w:r w:rsidRPr="00C6544E">
        <w:rPr>
          <w:bCs/>
        </w:rPr>
        <w:t xml:space="preserve">. </w:t>
      </w:r>
      <w:r w:rsidR="00134757" w:rsidRPr="00C6544E">
        <w:rPr>
          <w:bCs/>
        </w:rPr>
        <w:t xml:space="preserve">DRS </w:t>
      </w:r>
      <w:r w:rsidR="00A171B0">
        <w:rPr>
          <w:bCs/>
        </w:rPr>
        <w:t>will also require:</w:t>
      </w:r>
    </w:p>
    <w:p w14:paraId="3ABAAF17" w14:textId="21813904" w:rsidR="008F56A8" w:rsidRPr="00C6544E" w:rsidRDefault="008F56A8" w:rsidP="00D61CE2">
      <w:pPr>
        <w:pStyle w:val="Bullet1"/>
        <w:rPr>
          <w:rStyle w:val="Hyperlink"/>
          <w:bCs/>
        </w:rPr>
      </w:pPr>
      <w:r w:rsidRPr="00C6544E">
        <w:rPr>
          <w:bCs/>
        </w:rPr>
        <w:t>an acces</w:t>
      </w:r>
      <w:r w:rsidR="00A171B0">
        <w:rPr>
          <w:bCs/>
        </w:rPr>
        <w:t>sible word version of the APPR (</w:t>
      </w:r>
      <w:r w:rsidRPr="00C6544E">
        <w:rPr>
          <w:bCs/>
        </w:rPr>
        <w:t xml:space="preserve">(information on DFAT accessibility requirements can be found </w:t>
      </w:r>
      <w:hyperlink r:id="rId14" w:history="1">
        <w:r w:rsidRPr="00C6544E">
          <w:rPr>
            <w:rStyle w:val="Hyperlink"/>
          </w:rPr>
          <w:t>here</w:t>
        </w:r>
      </w:hyperlink>
      <w:r w:rsidRPr="00C6544E">
        <w:rPr>
          <w:bCs/>
        </w:rPr>
        <w:t>)</w:t>
      </w:r>
    </w:p>
    <w:p w14:paraId="26DBC964" w14:textId="4D70A1A7" w:rsidR="008F56A8" w:rsidRPr="00D146A2" w:rsidRDefault="008F56A8" w:rsidP="00D61CE2">
      <w:pPr>
        <w:pStyle w:val="Bullet1"/>
        <w:rPr>
          <w:bCs/>
        </w:rPr>
      </w:pPr>
      <w:r w:rsidRPr="00C6544E">
        <w:rPr>
          <w:bCs/>
        </w:rPr>
        <w:t>a short 1-2 paragraph</w:t>
      </w:r>
      <w:r w:rsidRPr="00D146A2">
        <w:rPr>
          <w:bCs/>
        </w:rPr>
        <w:t xml:space="preserve"> summary for the landing page of the APPR</w:t>
      </w:r>
      <w:r w:rsidR="00A171B0">
        <w:rPr>
          <w:bCs/>
        </w:rPr>
        <w:t xml:space="preserve"> (</w:t>
      </w:r>
      <w:r w:rsidRPr="00D146A2">
        <w:rPr>
          <w:bCs/>
        </w:rPr>
        <w:t xml:space="preserve">(see example landing page </w:t>
      </w:r>
      <w:hyperlink r:id="rId15" w:history="1">
        <w:r w:rsidRPr="00D146A2">
          <w:rPr>
            <w:rStyle w:val="Hyperlink"/>
          </w:rPr>
          <w:t>here</w:t>
        </w:r>
      </w:hyperlink>
      <w:r w:rsidR="00A171B0">
        <w:rPr>
          <w:bCs/>
        </w:rPr>
        <w:t>) and</w:t>
      </w:r>
    </w:p>
    <w:p w14:paraId="58C9D878" w14:textId="77777777" w:rsidR="008F56A8" w:rsidRPr="00D146A2" w:rsidRDefault="008F56A8" w:rsidP="00D61CE2">
      <w:pPr>
        <w:pStyle w:val="Bullet1"/>
        <w:rPr>
          <w:bCs/>
        </w:rPr>
      </w:pPr>
      <w:r w:rsidRPr="00D146A2">
        <w:rPr>
          <w:bCs/>
        </w:rPr>
        <w:t>the approving officer’s name.</w:t>
      </w:r>
    </w:p>
    <w:p w14:paraId="528256F3" w14:textId="297B19DD" w:rsidR="008F56A8" w:rsidRPr="00D146A2" w:rsidRDefault="008F56A8" w:rsidP="00D61CE2">
      <w:pPr>
        <w:pStyle w:val="BodyText"/>
      </w:pPr>
      <w:r w:rsidRPr="00D146A2">
        <w:rPr>
          <w:bCs/>
        </w:rPr>
        <w:t xml:space="preserve">Final </w:t>
      </w:r>
      <w:r w:rsidRPr="009D5C03">
        <w:rPr>
          <w:bCs/>
        </w:rPr>
        <w:t>APPRs sent to</w:t>
      </w:r>
      <w:r w:rsidR="00134757" w:rsidRPr="009D5C03">
        <w:rPr>
          <w:bCs/>
        </w:rPr>
        <w:t xml:space="preserve"> DRS</w:t>
      </w:r>
      <w:r w:rsidRPr="009D5C03">
        <w:rPr>
          <w:bCs/>
        </w:rPr>
        <w:t xml:space="preserve"> </w:t>
      </w:r>
      <w:r w:rsidRPr="00D146A2">
        <w:rPr>
          <w:bCs/>
        </w:rPr>
        <w:t>(</w:t>
      </w:r>
      <w:hyperlink r:id="rId16" w:history="1">
        <w:r w:rsidRPr="00D146A2">
          <w:rPr>
            <w:rStyle w:val="Hyperlink"/>
          </w:rPr>
          <w:t>internet.publishing@dfat.gov.au</w:t>
        </w:r>
      </w:hyperlink>
      <w:r w:rsidRPr="00D146A2">
        <w:rPr>
          <w:rStyle w:val="Hyperlink"/>
        </w:rPr>
        <w:t>)</w:t>
      </w:r>
      <w:r w:rsidRPr="006F27B1">
        <w:rPr>
          <w:rStyle w:val="Hyperlink"/>
          <w:u w:val="none"/>
        </w:rPr>
        <w:t xml:space="preserve"> </w:t>
      </w:r>
      <w:r w:rsidRPr="009D5C03">
        <w:rPr>
          <w:rStyle w:val="Hyperlink"/>
          <w:color w:val="495965" w:themeColor="text2"/>
          <w:u w:val="none"/>
        </w:rPr>
        <w:t>should also be copied to MPB</w:t>
      </w:r>
      <w:r w:rsidRPr="009D5C03">
        <w:rPr>
          <w:rStyle w:val="Hyperlink"/>
          <w:color w:val="495965" w:themeColor="text2"/>
        </w:rPr>
        <w:t xml:space="preserve"> </w:t>
      </w:r>
      <w:r w:rsidRPr="00D146A2">
        <w:rPr>
          <w:rStyle w:val="Hyperlink"/>
        </w:rPr>
        <w:t>(</w:t>
      </w:r>
      <w:hyperlink r:id="rId17" w:history="1">
        <w:r w:rsidRPr="00D146A2">
          <w:rPr>
            <w:rStyle w:val="Hyperlink"/>
          </w:rPr>
          <w:t>qualityreports@dfat.gov.au</w:t>
        </w:r>
      </w:hyperlink>
      <w:r w:rsidRPr="00D146A2">
        <w:rPr>
          <w:rStyle w:val="Hyperlink"/>
        </w:rPr>
        <w:t>)</w:t>
      </w:r>
      <w:r w:rsidRPr="00D146A2">
        <w:t xml:space="preserve"> and ODE (</w:t>
      </w:r>
      <w:hyperlink r:id="rId18" w:history="1">
        <w:r w:rsidRPr="00D146A2">
          <w:rPr>
            <w:rStyle w:val="Hyperlink"/>
          </w:rPr>
          <w:t>ode@dfat.gov.au</w:t>
        </w:r>
      </w:hyperlink>
      <w:r w:rsidRPr="00D146A2">
        <w:rPr>
          <w:rStyle w:val="Hyperlink"/>
        </w:rPr>
        <w:t>)</w:t>
      </w:r>
      <w:r w:rsidRPr="00D146A2">
        <w:rPr>
          <w:b/>
          <w:bCs/>
        </w:rPr>
        <w:t>.</w:t>
      </w:r>
      <w:r w:rsidRPr="00D146A2">
        <w:t xml:space="preserve"> </w:t>
      </w:r>
    </w:p>
    <w:p w14:paraId="6D4E7C92" w14:textId="1820F68B" w:rsidR="008F56A8" w:rsidRPr="00C4114C" w:rsidRDefault="008F56A8" w:rsidP="00886F6B">
      <w:pPr>
        <w:pStyle w:val="Heading2"/>
      </w:pPr>
      <w:r w:rsidRPr="00C4114C">
        <w:t xml:space="preserve">ODA delivered by other government departments </w:t>
      </w:r>
    </w:p>
    <w:p w14:paraId="3F6BC12E" w14:textId="591F9C39" w:rsidR="00774967" w:rsidRPr="00D146A2" w:rsidRDefault="008F56A8" w:rsidP="00D61CE2">
      <w:pPr>
        <w:pStyle w:val="BodyText"/>
      </w:pPr>
      <w:r w:rsidRPr="00D146A2">
        <w:t>As far as possible, APPRs reflect all significant Australian ODA in a country or region, not only that delivered by DFAT. Program areas are responsible for collecting other government department (OGD) performance information and a practical, proportionate approach is recommended. APPRs should not attempt to comprehensively cover all aid delivered by OGDs</w:t>
      </w:r>
      <w:r w:rsidR="00845A0D">
        <w:t xml:space="preserve">. Rather, they should </w:t>
      </w:r>
      <w:r w:rsidRPr="00D146A2">
        <w:t xml:space="preserve">focus only on major financial and/or strategic investments. </w:t>
      </w:r>
      <w:r w:rsidRPr="00774967">
        <w:t>All statistics on OGD expenditure should be confirmed by the ODA Statistics and Reporting section (</w:t>
      </w:r>
      <w:hyperlink r:id="rId19" w:history="1">
        <w:r w:rsidR="00774967" w:rsidRPr="003967D3">
          <w:rPr>
            <w:rStyle w:val="Hyperlink"/>
          </w:rPr>
          <w:t>aidstatsinquiries@dfat.gov.au</w:t>
        </w:r>
      </w:hyperlink>
      <w:r w:rsidRPr="00774967">
        <w:t>).</w:t>
      </w:r>
    </w:p>
    <w:p w14:paraId="01080743" w14:textId="361AF3C0" w:rsidR="008F56A8" w:rsidRPr="00C4114C" w:rsidRDefault="008F56A8" w:rsidP="00886F6B">
      <w:pPr>
        <w:pStyle w:val="Heading2"/>
      </w:pPr>
      <w:r w:rsidRPr="00C4114C">
        <w:t>Further information and advice</w:t>
      </w:r>
    </w:p>
    <w:p w14:paraId="2C0B39C2" w14:textId="4332DFF6" w:rsidR="007A6742" w:rsidRDefault="007A6742" w:rsidP="00D61CE2">
      <w:pPr>
        <w:pStyle w:val="BodyText"/>
      </w:pPr>
      <w:r w:rsidRPr="00D146A2">
        <w:t xml:space="preserve">For further information and advice on the APPR process </w:t>
      </w:r>
      <w:r>
        <w:t>or the structure and content of APPRs</w:t>
      </w:r>
      <w:r w:rsidRPr="00D146A2">
        <w:t xml:space="preserve"> contact Performance Benchmarks and Implementation Support Section (</w:t>
      </w:r>
      <w:hyperlink r:id="rId20" w:history="1">
        <w:r w:rsidRPr="00D146A2">
          <w:rPr>
            <w:rStyle w:val="Hyperlink"/>
          </w:rPr>
          <w:t>qualityreports@dfat.gov.au</w:t>
        </w:r>
      </w:hyperlink>
      <w:r w:rsidRPr="00D146A2">
        <w:rPr>
          <w:rStyle w:val="Hyperlink"/>
        </w:rPr>
        <w:t>)</w:t>
      </w:r>
      <w:r w:rsidRPr="00D146A2">
        <w:t>.</w:t>
      </w:r>
    </w:p>
    <w:p w14:paraId="45B38598" w14:textId="42D759CF" w:rsidR="007A6742" w:rsidRPr="00C6544E" w:rsidRDefault="007A6742" w:rsidP="00D61CE2">
      <w:pPr>
        <w:pStyle w:val="BodyText"/>
      </w:pPr>
      <w:r w:rsidRPr="00D146A2">
        <w:t xml:space="preserve">Divisional performance and quality (P&amp;Q) areas can assist in ensuring that APPRs are an evidence-based assessment of progress. Thematic areas can provide technical input and gender equality specialists can assist with gender analysis. </w:t>
      </w:r>
      <w:r w:rsidRPr="00C6544E">
        <w:t>These resources should be contacted early for their input and advice.</w:t>
      </w:r>
    </w:p>
    <w:p w14:paraId="4E0A90C2" w14:textId="6FF04188" w:rsidR="00A328C9" w:rsidRDefault="007A6742" w:rsidP="00D61CE2">
      <w:pPr>
        <w:pStyle w:val="BodyText"/>
        <w:sectPr w:rsidR="00A328C9" w:rsidSect="00C6626C">
          <w:headerReference w:type="even" r:id="rId21"/>
          <w:headerReference w:type="default" r:id="rId22"/>
          <w:footerReference w:type="even" r:id="rId23"/>
          <w:footerReference w:type="default" r:id="rId24"/>
          <w:headerReference w:type="first" r:id="rId25"/>
          <w:footerReference w:type="first" r:id="rId26"/>
          <w:pgSz w:w="11906" w:h="16838" w:code="9"/>
          <w:pgMar w:top="1952" w:right="1134" w:bottom="851" w:left="1134" w:header="1814" w:footer="567" w:gutter="0"/>
          <w:cols w:space="397"/>
          <w:docGrid w:linePitch="360"/>
        </w:sectPr>
      </w:pPr>
      <w:r w:rsidRPr="00C6544E">
        <w:t xml:space="preserve">Each year ODE assesses the robustness of reports and summarises the overall performance findings presented in APPRs. The </w:t>
      </w:r>
      <w:hyperlink r:id="rId27" w:history="1">
        <w:r w:rsidRPr="00C6544E">
          <w:rPr>
            <w:rStyle w:val="Hyperlink"/>
          </w:rPr>
          <w:t>ODE 201</w:t>
        </w:r>
        <w:r w:rsidR="00AB4128" w:rsidRPr="00C6544E">
          <w:rPr>
            <w:rStyle w:val="Hyperlink"/>
          </w:rPr>
          <w:t>7</w:t>
        </w:r>
        <w:r w:rsidRPr="00C6544E">
          <w:rPr>
            <w:rStyle w:val="Hyperlink"/>
          </w:rPr>
          <w:t xml:space="preserve"> Quality Review of APPRs</w:t>
        </w:r>
      </w:hyperlink>
      <w:r w:rsidRPr="00C6544E">
        <w:t xml:space="preserve"> offers guidance on how to improve the quality of performance assessments</w:t>
      </w:r>
      <w:r w:rsidRPr="00C4114C">
        <w:t xml:space="preserve"> in APPRs</w:t>
      </w:r>
      <w:r w:rsidR="003E0737">
        <w:t xml:space="preserve"> as well as </w:t>
      </w:r>
      <w:r w:rsidR="003E0737" w:rsidRPr="00AC7AD0">
        <w:rPr>
          <w:u w:color="0070C0"/>
        </w:rPr>
        <w:t xml:space="preserve">examples of </w:t>
      </w:r>
      <w:r w:rsidRPr="00AC7AD0">
        <w:rPr>
          <w:u w:color="0070C0"/>
        </w:rPr>
        <w:t>good practice</w:t>
      </w:r>
      <w:r>
        <w:t>.</w:t>
      </w:r>
      <w:r w:rsidR="00D61CE2">
        <w:t xml:space="preserve">  </w:t>
      </w:r>
      <w:r w:rsidR="009F0AB9">
        <w:t xml:space="preserve">The </w:t>
      </w:r>
      <w:hyperlink r:id="rId28" w:history="1">
        <w:r w:rsidR="009F0AB9" w:rsidRPr="000F19B1">
          <w:rPr>
            <w:rStyle w:val="Hyperlink"/>
            <w:rFonts w:cstheme="minorBidi"/>
          </w:rPr>
          <w:t>Aid Programming Guide</w:t>
        </w:r>
      </w:hyperlink>
      <w:r w:rsidR="009F0AB9">
        <w:t xml:space="preserve"> provides more guidance and tools on the aid management cycle</w:t>
      </w:r>
      <w:r w:rsidR="00925D04">
        <w:t xml:space="preserve">. You may wish to look at the </w:t>
      </w:r>
      <w:r w:rsidR="009F0AB9" w:rsidRPr="00D61CE2">
        <w:rPr>
          <w:rFonts w:asciiTheme="minorHAnsi" w:hAnsiTheme="minorHAnsi" w:cstheme="minorBidi"/>
          <w:u w:color="0070C0"/>
        </w:rPr>
        <w:t>Progr</w:t>
      </w:r>
      <w:r w:rsidR="00925D04" w:rsidRPr="00D61CE2">
        <w:rPr>
          <w:rFonts w:asciiTheme="minorHAnsi" w:hAnsiTheme="minorHAnsi" w:cstheme="minorBidi"/>
          <w:u w:color="0070C0"/>
        </w:rPr>
        <w:t xml:space="preserve">am Planning and Management: </w:t>
      </w:r>
      <w:proofErr w:type="spellStart"/>
      <w:r w:rsidR="00925D04" w:rsidRPr="00D61CE2">
        <w:rPr>
          <w:rFonts w:asciiTheme="minorHAnsi" w:hAnsiTheme="minorHAnsi" w:cstheme="minorBidi"/>
          <w:u w:color="0070C0"/>
        </w:rPr>
        <w:t>Self Assessment</w:t>
      </w:r>
      <w:proofErr w:type="spellEnd"/>
      <w:r w:rsidR="00925D04" w:rsidRPr="00D61CE2">
        <w:rPr>
          <w:rFonts w:asciiTheme="minorHAnsi" w:hAnsiTheme="minorHAnsi" w:cstheme="minorBidi"/>
          <w:u w:color="0070C0"/>
        </w:rPr>
        <w:t xml:space="preserve"> Tool</w:t>
      </w:r>
      <w:r w:rsidR="00D61CE2">
        <w:t>.</w:t>
      </w:r>
    </w:p>
    <w:p w14:paraId="06603ECB" w14:textId="69F83FC6" w:rsidR="00C6626C" w:rsidRDefault="00C6626C" w:rsidP="00A328C9"/>
    <w:sectPr w:rsidR="00C6626C" w:rsidSect="00A328C9">
      <w:headerReference w:type="default" r:id="rId29"/>
      <w:footnotePr>
        <w:numRestart w:val="eachPage"/>
      </w:footnotePr>
      <w:type w:val="continuous"/>
      <w:pgSz w:w="11906" w:h="16838" w:code="9"/>
      <w:pgMar w:top="1814" w:right="851" w:bottom="851" w:left="1272" w:header="709"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E7E8" w14:textId="77777777" w:rsidR="008B193D" w:rsidRDefault="008B193D" w:rsidP="00EF4574">
      <w:pPr>
        <w:spacing w:before="0" w:after="0" w:line="240" w:lineRule="auto"/>
      </w:pPr>
      <w:r>
        <w:separator/>
      </w:r>
    </w:p>
  </w:endnote>
  <w:endnote w:type="continuationSeparator" w:id="0">
    <w:p w14:paraId="3BFC8141" w14:textId="77777777" w:rsidR="008B193D" w:rsidRDefault="008B193D"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E4EE" w14:textId="77777777" w:rsidR="00843279" w:rsidRDefault="00843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10A7" w14:textId="77777777" w:rsidR="008B193D" w:rsidRPr="00CD0E4B" w:rsidRDefault="008B193D" w:rsidP="00C229F6">
    <w:pPr>
      <w:pStyle w:val="Footer"/>
    </w:pPr>
    <w:r w:rsidRPr="00CD0E4B">
      <w:rPr>
        <w:noProof/>
        <w:lang w:val="en-AU" w:eastAsia="en-AU"/>
      </w:rPr>
      <w:drawing>
        <wp:inline distT="0" distB="0" distL="0" distR="0" wp14:anchorId="6EF028FB" wp14:editId="0E6106AB">
          <wp:extent cx="90000" cy="74520"/>
          <wp:effectExtent l="0" t="0" r="571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A879276" w14:textId="77777777" w:rsidR="008B193D" w:rsidRDefault="008B193D">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0E8B" w14:textId="77777777" w:rsidR="00843279" w:rsidRDefault="0084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07E0" w14:textId="77777777" w:rsidR="008B193D" w:rsidRPr="008C5A0E" w:rsidRDefault="008B193D" w:rsidP="001D663E">
      <w:pPr>
        <w:pStyle w:val="Footer"/>
        <w:pBdr>
          <w:top w:val="single" w:sz="4" w:space="1" w:color="495965" w:themeColor="text2"/>
        </w:pBdr>
      </w:pPr>
    </w:p>
  </w:footnote>
  <w:footnote w:type="continuationSeparator" w:id="0">
    <w:p w14:paraId="3285E701" w14:textId="77777777" w:rsidR="008B193D" w:rsidRDefault="008B193D"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36E1" w14:textId="77777777" w:rsidR="00843279" w:rsidRDefault="00843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CD71" w14:textId="77777777" w:rsidR="008B193D" w:rsidRPr="00333501" w:rsidRDefault="008B193D" w:rsidP="008F56A8">
    <w:pPr>
      <w:pStyle w:val="Header"/>
      <w:jc w:val="left"/>
    </w:pPr>
    <w:r>
      <w:rPr>
        <w:noProof/>
        <w:lang w:val="en-AU" w:eastAsia="en-AU"/>
      </w:rPr>
      <w:drawing>
        <wp:anchor distT="0" distB="0" distL="114300" distR="114300" simplePos="0" relativeHeight="251681792" behindDoc="1" locked="1" layoutInCell="1" allowOverlap="1" wp14:anchorId="25A4B076" wp14:editId="3A12666D">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8886" w14:textId="77777777" w:rsidR="00843279" w:rsidRDefault="00843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5BDD" w14:textId="77777777" w:rsidR="008B193D" w:rsidRPr="00333501" w:rsidRDefault="008B193D" w:rsidP="008F56A8">
    <w:pPr>
      <w:pStyle w:val="Header"/>
      <w:jc w:val="left"/>
    </w:pPr>
    <w:r>
      <w:rPr>
        <w:noProof/>
        <w:lang w:val="en-AU" w:eastAsia="en-AU"/>
      </w:rPr>
      <w:drawing>
        <wp:anchor distT="0" distB="0" distL="114300" distR="114300" simplePos="0" relativeHeight="251683840" behindDoc="1" locked="1" layoutInCell="1" allowOverlap="1" wp14:anchorId="3B498DBC" wp14:editId="0FCF474E">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B072F3"/>
    <w:multiLevelType w:val="hybridMultilevel"/>
    <w:tmpl w:val="605E53C2"/>
    <w:lvl w:ilvl="0" w:tplc="B7D6FAFC">
      <w:numFmt w:val="bullet"/>
      <w:lvlText w:val="-"/>
      <w:lvlJc w:val="left"/>
      <w:pPr>
        <w:ind w:left="720" w:hanging="360"/>
      </w:pPr>
      <w:rPr>
        <w:rFonts w:ascii="Calibri Light" w:eastAsiaTheme="minorHAnsi" w:hAnsi="Calibri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27B4CBA"/>
    <w:multiLevelType w:val="hybridMultilevel"/>
    <w:tmpl w:val="7E74897C"/>
    <w:lvl w:ilvl="0" w:tplc="0C09000F">
      <w:start w:val="1"/>
      <w:numFmt w:val="decimal"/>
      <w:lvlText w:val="%1."/>
      <w:lvlJc w:val="left"/>
      <w:pPr>
        <w:ind w:left="2912" w:hanging="360"/>
      </w:pPr>
      <w:rPr>
        <w:rFonts w:hint="default"/>
      </w:rPr>
    </w:lvl>
    <w:lvl w:ilvl="1" w:tplc="0C090019">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43428892"/>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0"/>
  </w:num>
  <w:num w:numId="29">
    <w:abstractNumId w:val="10"/>
  </w:num>
  <w:num w:numId="30">
    <w:abstractNumId w:val="10"/>
  </w:num>
  <w:num w:numId="31">
    <w:abstractNumId w:val="16"/>
  </w:num>
  <w:num w:numId="32">
    <w:abstractNumId w:val="18"/>
  </w:num>
  <w:num w:numId="33">
    <w:abstractNumId w:val="23"/>
  </w:num>
  <w:num w:numId="34">
    <w:abstractNumId w:val="17"/>
  </w:num>
  <w:num w:numId="35">
    <w:abstractNumId w:val="12"/>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16E0B"/>
    <w:rsid w:val="00020517"/>
    <w:rsid w:val="0002080A"/>
    <w:rsid w:val="000234AD"/>
    <w:rsid w:val="0002782F"/>
    <w:rsid w:val="00031512"/>
    <w:rsid w:val="00051ACF"/>
    <w:rsid w:val="00054E4D"/>
    <w:rsid w:val="00057774"/>
    <w:rsid w:val="00060073"/>
    <w:rsid w:val="00060268"/>
    <w:rsid w:val="00084483"/>
    <w:rsid w:val="000A53C5"/>
    <w:rsid w:val="000A7124"/>
    <w:rsid w:val="000D66D6"/>
    <w:rsid w:val="000E314A"/>
    <w:rsid w:val="000E792A"/>
    <w:rsid w:val="000F19B1"/>
    <w:rsid w:val="0010645C"/>
    <w:rsid w:val="00114F1C"/>
    <w:rsid w:val="00122206"/>
    <w:rsid w:val="001306B8"/>
    <w:rsid w:val="00134757"/>
    <w:rsid w:val="00152526"/>
    <w:rsid w:val="001541EA"/>
    <w:rsid w:val="00196B8C"/>
    <w:rsid w:val="001D119F"/>
    <w:rsid w:val="001D663E"/>
    <w:rsid w:val="001E1DC0"/>
    <w:rsid w:val="002100B6"/>
    <w:rsid w:val="0022186F"/>
    <w:rsid w:val="002307AC"/>
    <w:rsid w:val="00236A53"/>
    <w:rsid w:val="00236E63"/>
    <w:rsid w:val="002445CF"/>
    <w:rsid w:val="00247897"/>
    <w:rsid w:val="00255B4C"/>
    <w:rsid w:val="00256396"/>
    <w:rsid w:val="00265068"/>
    <w:rsid w:val="00273EDA"/>
    <w:rsid w:val="00275DB7"/>
    <w:rsid w:val="00284957"/>
    <w:rsid w:val="0028602A"/>
    <w:rsid w:val="002A1C61"/>
    <w:rsid w:val="002A51CA"/>
    <w:rsid w:val="002A5265"/>
    <w:rsid w:val="002B3E95"/>
    <w:rsid w:val="002B55AA"/>
    <w:rsid w:val="002B5E10"/>
    <w:rsid w:val="002C1229"/>
    <w:rsid w:val="002C2303"/>
    <w:rsid w:val="002D065E"/>
    <w:rsid w:val="003002C0"/>
    <w:rsid w:val="00301144"/>
    <w:rsid w:val="003148B7"/>
    <w:rsid w:val="003158C3"/>
    <w:rsid w:val="003274CD"/>
    <w:rsid w:val="003319E8"/>
    <w:rsid w:val="00333501"/>
    <w:rsid w:val="0034365D"/>
    <w:rsid w:val="003457C4"/>
    <w:rsid w:val="0035119D"/>
    <w:rsid w:val="0039256F"/>
    <w:rsid w:val="003B4F12"/>
    <w:rsid w:val="003C5C91"/>
    <w:rsid w:val="003D352D"/>
    <w:rsid w:val="003E0737"/>
    <w:rsid w:val="003E703E"/>
    <w:rsid w:val="00400B0F"/>
    <w:rsid w:val="00402ACC"/>
    <w:rsid w:val="004120EC"/>
    <w:rsid w:val="00423F31"/>
    <w:rsid w:val="00431899"/>
    <w:rsid w:val="00440A70"/>
    <w:rsid w:val="00461683"/>
    <w:rsid w:val="00486804"/>
    <w:rsid w:val="004879B2"/>
    <w:rsid w:val="004977A1"/>
    <w:rsid w:val="004B3775"/>
    <w:rsid w:val="004B553C"/>
    <w:rsid w:val="004D0BA0"/>
    <w:rsid w:val="004D2709"/>
    <w:rsid w:val="004E0264"/>
    <w:rsid w:val="004E058F"/>
    <w:rsid w:val="004E0755"/>
    <w:rsid w:val="004E3B87"/>
    <w:rsid w:val="004E74D7"/>
    <w:rsid w:val="0050346F"/>
    <w:rsid w:val="00510921"/>
    <w:rsid w:val="00510AD3"/>
    <w:rsid w:val="00513348"/>
    <w:rsid w:val="00533B5D"/>
    <w:rsid w:val="00536BDD"/>
    <w:rsid w:val="005511BF"/>
    <w:rsid w:val="0057156A"/>
    <w:rsid w:val="005728BF"/>
    <w:rsid w:val="0059146A"/>
    <w:rsid w:val="00596AFB"/>
    <w:rsid w:val="005972A4"/>
    <w:rsid w:val="005B4281"/>
    <w:rsid w:val="005B5769"/>
    <w:rsid w:val="005D3655"/>
    <w:rsid w:val="005E606B"/>
    <w:rsid w:val="005F4598"/>
    <w:rsid w:val="005F4E88"/>
    <w:rsid w:val="00600F4B"/>
    <w:rsid w:val="00623BA1"/>
    <w:rsid w:val="00627E37"/>
    <w:rsid w:val="006346BC"/>
    <w:rsid w:val="00651514"/>
    <w:rsid w:val="006569C9"/>
    <w:rsid w:val="0066652A"/>
    <w:rsid w:val="006724C6"/>
    <w:rsid w:val="00680522"/>
    <w:rsid w:val="00681F08"/>
    <w:rsid w:val="00682167"/>
    <w:rsid w:val="0068701A"/>
    <w:rsid w:val="006B1D7F"/>
    <w:rsid w:val="006C42AF"/>
    <w:rsid w:val="006D143B"/>
    <w:rsid w:val="006F27AB"/>
    <w:rsid w:val="006F27B1"/>
    <w:rsid w:val="006F374F"/>
    <w:rsid w:val="00700FF7"/>
    <w:rsid w:val="00703B99"/>
    <w:rsid w:val="007061FC"/>
    <w:rsid w:val="00711D8E"/>
    <w:rsid w:val="00712672"/>
    <w:rsid w:val="007257AF"/>
    <w:rsid w:val="007314C3"/>
    <w:rsid w:val="00734E3F"/>
    <w:rsid w:val="00736985"/>
    <w:rsid w:val="007417E5"/>
    <w:rsid w:val="00745DF5"/>
    <w:rsid w:val="00754B89"/>
    <w:rsid w:val="0076250F"/>
    <w:rsid w:val="00771B53"/>
    <w:rsid w:val="00773309"/>
    <w:rsid w:val="00774967"/>
    <w:rsid w:val="00776919"/>
    <w:rsid w:val="007821B7"/>
    <w:rsid w:val="00784031"/>
    <w:rsid w:val="00785F6A"/>
    <w:rsid w:val="007A6742"/>
    <w:rsid w:val="007A7673"/>
    <w:rsid w:val="007B3C0A"/>
    <w:rsid w:val="007B6200"/>
    <w:rsid w:val="007D7E22"/>
    <w:rsid w:val="007F3395"/>
    <w:rsid w:val="007F3BD4"/>
    <w:rsid w:val="00801B9F"/>
    <w:rsid w:val="008057FD"/>
    <w:rsid w:val="008356DF"/>
    <w:rsid w:val="00836D35"/>
    <w:rsid w:val="00843279"/>
    <w:rsid w:val="00844BD4"/>
    <w:rsid w:val="00845A0D"/>
    <w:rsid w:val="008475F0"/>
    <w:rsid w:val="008565F7"/>
    <w:rsid w:val="00863F80"/>
    <w:rsid w:val="00864210"/>
    <w:rsid w:val="00886F6B"/>
    <w:rsid w:val="008A5AFE"/>
    <w:rsid w:val="008B193D"/>
    <w:rsid w:val="008B68D7"/>
    <w:rsid w:val="008C2F58"/>
    <w:rsid w:val="008C5A0E"/>
    <w:rsid w:val="008C7F38"/>
    <w:rsid w:val="008F56A8"/>
    <w:rsid w:val="009156BA"/>
    <w:rsid w:val="00925D04"/>
    <w:rsid w:val="00941636"/>
    <w:rsid w:val="00953A4B"/>
    <w:rsid w:val="00980D83"/>
    <w:rsid w:val="00985C2B"/>
    <w:rsid w:val="009903F3"/>
    <w:rsid w:val="00990AFE"/>
    <w:rsid w:val="00992C76"/>
    <w:rsid w:val="009B4D3B"/>
    <w:rsid w:val="009C6A6F"/>
    <w:rsid w:val="009D31F7"/>
    <w:rsid w:val="009D5C03"/>
    <w:rsid w:val="009D716D"/>
    <w:rsid w:val="009D7407"/>
    <w:rsid w:val="009E0866"/>
    <w:rsid w:val="009E278E"/>
    <w:rsid w:val="009E2A65"/>
    <w:rsid w:val="009F0AB9"/>
    <w:rsid w:val="009F5488"/>
    <w:rsid w:val="009F5F18"/>
    <w:rsid w:val="009F6423"/>
    <w:rsid w:val="00A171B0"/>
    <w:rsid w:val="00A23B5F"/>
    <w:rsid w:val="00A24A62"/>
    <w:rsid w:val="00A2552F"/>
    <w:rsid w:val="00A31C9F"/>
    <w:rsid w:val="00A328C9"/>
    <w:rsid w:val="00A37ADA"/>
    <w:rsid w:val="00A4144F"/>
    <w:rsid w:val="00A51C19"/>
    <w:rsid w:val="00A56F14"/>
    <w:rsid w:val="00A80F95"/>
    <w:rsid w:val="00A8197B"/>
    <w:rsid w:val="00A835F4"/>
    <w:rsid w:val="00A9423E"/>
    <w:rsid w:val="00AA170B"/>
    <w:rsid w:val="00AA7BE3"/>
    <w:rsid w:val="00AB24BD"/>
    <w:rsid w:val="00AB4128"/>
    <w:rsid w:val="00AC164A"/>
    <w:rsid w:val="00AC7AD0"/>
    <w:rsid w:val="00AD76A1"/>
    <w:rsid w:val="00AF1B85"/>
    <w:rsid w:val="00AF2050"/>
    <w:rsid w:val="00B03CA8"/>
    <w:rsid w:val="00B331DC"/>
    <w:rsid w:val="00B438D3"/>
    <w:rsid w:val="00B46903"/>
    <w:rsid w:val="00B55E19"/>
    <w:rsid w:val="00B912E8"/>
    <w:rsid w:val="00BA4B6D"/>
    <w:rsid w:val="00BB26C5"/>
    <w:rsid w:val="00BC395E"/>
    <w:rsid w:val="00BF1AE3"/>
    <w:rsid w:val="00BF4DE6"/>
    <w:rsid w:val="00C01C6F"/>
    <w:rsid w:val="00C04FC8"/>
    <w:rsid w:val="00C07220"/>
    <w:rsid w:val="00C229F6"/>
    <w:rsid w:val="00C3154B"/>
    <w:rsid w:val="00C42CDE"/>
    <w:rsid w:val="00C5182A"/>
    <w:rsid w:val="00C63EE9"/>
    <w:rsid w:val="00C6544E"/>
    <w:rsid w:val="00C6626C"/>
    <w:rsid w:val="00CA37B1"/>
    <w:rsid w:val="00CA762D"/>
    <w:rsid w:val="00CB1959"/>
    <w:rsid w:val="00CD0E4B"/>
    <w:rsid w:val="00CE0155"/>
    <w:rsid w:val="00D00802"/>
    <w:rsid w:val="00D0296C"/>
    <w:rsid w:val="00D04286"/>
    <w:rsid w:val="00D146A2"/>
    <w:rsid w:val="00D15A00"/>
    <w:rsid w:val="00D33171"/>
    <w:rsid w:val="00D33BD2"/>
    <w:rsid w:val="00D61CE2"/>
    <w:rsid w:val="00D64BD1"/>
    <w:rsid w:val="00D72760"/>
    <w:rsid w:val="00DA178C"/>
    <w:rsid w:val="00DD0CAB"/>
    <w:rsid w:val="00DD1986"/>
    <w:rsid w:val="00DE084C"/>
    <w:rsid w:val="00DE265C"/>
    <w:rsid w:val="00DE30CC"/>
    <w:rsid w:val="00E1752F"/>
    <w:rsid w:val="00E25001"/>
    <w:rsid w:val="00E33C87"/>
    <w:rsid w:val="00E34418"/>
    <w:rsid w:val="00E357B7"/>
    <w:rsid w:val="00E53800"/>
    <w:rsid w:val="00E6081F"/>
    <w:rsid w:val="00E7571E"/>
    <w:rsid w:val="00E86697"/>
    <w:rsid w:val="00EA04B2"/>
    <w:rsid w:val="00EA20F3"/>
    <w:rsid w:val="00EB2D26"/>
    <w:rsid w:val="00EB66A0"/>
    <w:rsid w:val="00ED2831"/>
    <w:rsid w:val="00ED43D1"/>
    <w:rsid w:val="00ED43DB"/>
    <w:rsid w:val="00EE151A"/>
    <w:rsid w:val="00EE4EE1"/>
    <w:rsid w:val="00EF4574"/>
    <w:rsid w:val="00F1443E"/>
    <w:rsid w:val="00F14F28"/>
    <w:rsid w:val="00F2684E"/>
    <w:rsid w:val="00F5404C"/>
    <w:rsid w:val="00F60E97"/>
    <w:rsid w:val="00F729EF"/>
    <w:rsid w:val="00F77CAE"/>
    <w:rsid w:val="00F82271"/>
    <w:rsid w:val="00F8320E"/>
    <w:rsid w:val="00F83428"/>
    <w:rsid w:val="00F95C7B"/>
    <w:rsid w:val="00F96A0F"/>
    <w:rsid w:val="00F96BB9"/>
    <w:rsid w:val="00FA43A9"/>
    <w:rsid w:val="00FB210D"/>
    <w:rsid w:val="00FE5474"/>
    <w:rsid w:val="00FE6D51"/>
    <w:rsid w:val="00FE6F2A"/>
    <w:rsid w:val="00FF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4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980D83"/>
    <w:pPr>
      <w:ind w:left="720"/>
      <w:contextualSpacing/>
    </w:p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536BDD"/>
    <w:rPr>
      <w:color w:val="495965" w:themeColor="text2"/>
      <w:lang w:val="en-GB"/>
    </w:rPr>
  </w:style>
  <w:style w:type="character" w:styleId="CommentReference">
    <w:name w:val="annotation reference"/>
    <w:basedOn w:val="DefaultParagraphFont"/>
    <w:uiPriority w:val="99"/>
    <w:semiHidden/>
    <w:unhideWhenUsed/>
    <w:rsid w:val="00953A4B"/>
    <w:rPr>
      <w:sz w:val="16"/>
      <w:szCs w:val="16"/>
    </w:rPr>
  </w:style>
  <w:style w:type="paragraph" w:styleId="CommentText">
    <w:name w:val="annotation text"/>
    <w:basedOn w:val="Normal"/>
    <w:link w:val="CommentTextChar"/>
    <w:uiPriority w:val="99"/>
    <w:semiHidden/>
    <w:unhideWhenUsed/>
    <w:rsid w:val="00953A4B"/>
    <w:pPr>
      <w:spacing w:line="240" w:lineRule="auto"/>
    </w:pPr>
    <w:rPr>
      <w:sz w:val="20"/>
      <w:szCs w:val="20"/>
    </w:rPr>
  </w:style>
  <w:style w:type="character" w:customStyle="1" w:styleId="CommentTextChar">
    <w:name w:val="Comment Text Char"/>
    <w:basedOn w:val="DefaultParagraphFont"/>
    <w:link w:val="CommentText"/>
    <w:uiPriority w:val="99"/>
    <w:semiHidden/>
    <w:rsid w:val="00953A4B"/>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953A4B"/>
    <w:rPr>
      <w:b/>
      <w:bCs/>
    </w:rPr>
  </w:style>
  <w:style w:type="character" w:customStyle="1" w:styleId="CommentSubjectChar">
    <w:name w:val="Comment Subject Char"/>
    <w:basedOn w:val="CommentTextChar"/>
    <w:link w:val="CommentSubject"/>
    <w:uiPriority w:val="99"/>
    <w:semiHidden/>
    <w:rsid w:val="00953A4B"/>
    <w:rPr>
      <w:b/>
      <w:bCs/>
      <w:color w:val="495965" w:themeColor="text2"/>
      <w:sz w:val="20"/>
      <w:szCs w:val="20"/>
      <w:lang w:val="en-GB"/>
    </w:rPr>
  </w:style>
  <w:style w:type="character" w:styleId="FollowedHyperlink">
    <w:name w:val="FollowedHyperlink"/>
    <w:basedOn w:val="DefaultParagraphFont"/>
    <w:uiPriority w:val="99"/>
    <w:semiHidden/>
    <w:unhideWhenUsed/>
    <w:rsid w:val="000F19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de@dfat.gov.au" TargetMode="External"/><Relationship Id="rId18" Type="http://schemas.openxmlformats.org/officeDocument/2006/relationships/hyperlink" Target="mailto:ode@dfat.gov.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qualityreports@dfat.gov.au" TargetMode="External"/><Relationship Id="rId17" Type="http://schemas.openxmlformats.org/officeDocument/2006/relationships/hyperlink" Target="mailto:qualityreports@dfat.gov.au" TargetMode="External"/><Relationship Id="rId25" Type="http://schemas.openxmlformats.org/officeDocument/2006/relationships/header" Target="head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internet.publishing@dfat.gov.au" TargetMode="External"/><Relationship Id="rId20" Type="http://schemas.openxmlformats.org/officeDocument/2006/relationships/hyperlink" Target="mailto:qualityreports@dfat.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intranet.titan.satin.lo/managing-aid/aid-programming-guide/Documents/APPR-template-over-50-million.docx" TargetMode="External"/><Relationship Id="rId24" Type="http://schemas.openxmlformats.org/officeDocument/2006/relationships/footer" Target="foot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dfat.gov.au/about-us/publications/Pages/indonesia-aid-program-performance-report-2013-14.aspx" TargetMode="External"/><Relationship Id="rId23" Type="http://schemas.openxmlformats.org/officeDocument/2006/relationships/footer" Target="footer1.xml"/><Relationship Id="rId28" Type="http://schemas.openxmlformats.org/officeDocument/2006/relationships/hyperlink" Target="http://dfatintranet.titan.satin.lo/managing-aid/aid-programming-guide/Pages/aid-programming-guide.aspx" TargetMode="External"/><Relationship Id="rId10" Type="http://schemas.openxmlformats.org/officeDocument/2006/relationships/hyperlink" Target="http://dfatintranet.titan.satin.lo/managing-aid/aid-programming-guide/Documents/APPR-template-15-50-million.docx" TargetMode="External"/><Relationship Id="rId19" Type="http://schemas.openxmlformats.org/officeDocument/2006/relationships/hyperlink" Target="mailto:aidstatsinquiries@dfat.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qualityreports@dfat.gov.au" TargetMode="External"/><Relationship Id="rId14" Type="http://schemas.openxmlformats.org/officeDocument/2006/relationships/hyperlink" Target="http://dfatintranet.titan.satin.lo/external-engagement/websites/policies-guidelines/Pages/accessibility.aspx" TargetMode="External"/><Relationship Id="rId22" Type="http://schemas.openxmlformats.org/officeDocument/2006/relationships/header" Target="header2.xml"/><Relationship Id="rId27" Type="http://schemas.openxmlformats.org/officeDocument/2006/relationships/hyperlink" Target="https://dfat.gov.au/aid/how-we-measure-performance/ode/performance-quality-analysis/Pages/performance-and-quality-analysis-publications.aspx" TargetMode="External"/><Relationship Id="rId30"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ED4EA01-4E36-4636-86AE-349EF9690D11}"/>
</file>

<file path=customXml/itemProps2.xml><?xml version="1.0" encoding="utf-8"?>
<ds:datastoreItem xmlns:ds="http://schemas.openxmlformats.org/officeDocument/2006/customXml" ds:itemID="{E80E7C86-B92B-41FB-8AD8-B73F5A933AB9}"/>
</file>

<file path=customXml/itemProps3.xml><?xml version="1.0" encoding="utf-8"?>
<ds:datastoreItem xmlns:ds="http://schemas.openxmlformats.org/officeDocument/2006/customXml" ds:itemID="{D593A017-B4F6-4339-9777-39EA2A49A842}"/>
</file>

<file path=customXml/itemProps4.xml><?xml version="1.0" encoding="utf-8"?>
<ds:datastoreItem xmlns:ds="http://schemas.openxmlformats.org/officeDocument/2006/customXml" ds:itemID="{74910F69-8111-4CB1-9F7D-E23BC68A2A3D}"/>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2019-06-19T04:49:00Z</dcterms:created>
  <dcterms:modified xsi:type="dcterms:W3CDTF">2019-06-19T04:49:00Z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98a99067-f9a4-4ea7-9d6e-bea66f141c67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1188500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