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7BB09" w14:textId="77777777" w:rsidR="00C13229" w:rsidRPr="00944BC2" w:rsidRDefault="00C13229" w:rsidP="007E4FE8">
      <w:pPr>
        <w:pBdr>
          <w:top w:val="single" w:sz="4" w:space="1" w:color="auto"/>
          <w:left w:val="single" w:sz="4" w:space="4" w:color="auto"/>
          <w:bottom w:val="single" w:sz="4" w:space="1" w:color="auto"/>
          <w:right w:val="single" w:sz="4" w:space="4" w:color="auto"/>
        </w:pBdr>
        <w:tabs>
          <w:tab w:val="left" w:pos="170"/>
        </w:tabs>
        <w:rPr>
          <w:sz w:val="18"/>
          <w:szCs w:val="18"/>
        </w:rPr>
      </w:pPr>
      <w:bookmarkStart w:id="0" w:name="_GoBack"/>
      <w:bookmarkEnd w:id="0"/>
      <w:r w:rsidRPr="00944BC2">
        <w:rPr>
          <w:sz w:val="18"/>
          <w:szCs w:val="18"/>
        </w:rPr>
        <w:t xml:space="preserve">The Management Response is prepared by AusAID following finalisation of the Evaluation Report. </w:t>
      </w:r>
    </w:p>
    <w:p w14:paraId="0E27BB0A" w14:textId="77777777" w:rsidR="00C13229" w:rsidRPr="00944BC2" w:rsidRDefault="00C13229" w:rsidP="007E4FE8">
      <w:pPr>
        <w:pBdr>
          <w:top w:val="single" w:sz="4" w:space="1" w:color="auto"/>
          <w:left w:val="single" w:sz="4" w:space="4" w:color="auto"/>
          <w:bottom w:val="single" w:sz="4" w:space="1" w:color="auto"/>
          <w:right w:val="single" w:sz="4" w:space="4" w:color="auto"/>
        </w:pBdr>
        <w:tabs>
          <w:tab w:val="left" w:pos="170"/>
        </w:tabs>
        <w:rPr>
          <w:sz w:val="18"/>
          <w:szCs w:val="18"/>
        </w:rPr>
      </w:pPr>
      <w:r w:rsidRPr="00944BC2">
        <w:rPr>
          <w:sz w:val="18"/>
          <w:szCs w:val="18"/>
        </w:rPr>
        <w:t xml:space="preserve">This is where AusAID documents whether it does/does not agree with the findings and recommendations of the Independent Evaluation, and what actions will be taken in response to the findings. </w:t>
      </w:r>
    </w:p>
    <w:p w14:paraId="0E27BB0C" w14:textId="3050F31F" w:rsidR="007E4FE8" w:rsidRDefault="00C13229" w:rsidP="007E4FE8">
      <w:pPr>
        <w:pBdr>
          <w:top w:val="single" w:sz="4" w:space="1" w:color="auto"/>
          <w:left w:val="single" w:sz="4" w:space="4" w:color="auto"/>
          <w:bottom w:val="single" w:sz="4" w:space="1" w:color="auto"/>
          <w:right w:val="single" w:sz="4" w:space="4" w:color="auto"/>
        </w:pBdr>
        <w:tabs>
          <w:tab w:val="left" w:pos="170"/>
        </w:tabs>
        <w:rPr>
          <w:sz w:val="18"/>
          <w:szCs w:val="18"/>
        </w:rPr>
      </w:pPr>
      <w:r w:rsidRPr="00944BC2">
        <w:rPr>
          <w:sz w:val="18"/>
          <w:szCs w:val="18"/>
        </w:rPr>
        <w:t>The Management Response must be approved by the ADG or Minister-Counsellor before actions are implemented. It should be published on the AusAID internet alongside the Evaluation Report and uploaded onto AidWorks.</w:t>
      </w:r>
    </w:p>
    <w:p w14:paraId="0E27BB0D" w14:textId="77777777" w:rsidR="00944BC2" w:rsidRPr="0072064D" w:rsidRDefault="00944BC2" w:rsidP="00944BC2">
      <w:pPr>
        <w:tabs>
          <w:tab w:val="left" w:pos="170"/>
        </w:tabs>
        <w:rPr>
          <w:color w:val="666699"/>
          <w:sz w:val="18"/>
          <w:szCs w:val="18"/>
        </w:rPr>
      </w:pPr>
    </w:p>
    <w:p w14:paraId="0E27BB0E" w14:textId="2FB6A0E7" w:rsidR="00C657FB" w:rsidRDefault="00C657FB" w:rsidP="00C657FB">
      <w:pPr>
        <w:pStyle w:val="DocName"/>
        <w:pBdr>
          <w:top w:val="single" w:sz="4" w:space="12" w:color="FF9900"/>
          <w:bottom w:val="single" w:sz="4" w:space="5" w:color="FF9900"/>
        </w:pBdr>
        <w:shd w:val="clear" w:color="auto" w:fill="FFFFCC"/>
        <w:spacing w:line="360" w:lineRule="auto"/>
        <w:rPr>
          <w:sz w:val="24"/>
          <w:lang w:eastAsia="en-AU"/>
        </w:rPr>
      </w:pPr>
      <w:r>
        <w:rPr>
          <w:sz w:val="24"/>
          <w:lang w:eastAsia="en-AU"/>
        </w:rPr>
        <w:t xml:space="preserve">Evaluation of </w:t>
      </w:r>
      <w:r w:rsidR="00060B33">
        <w:rPr>
          <w:sz w:val="24"/>
          <w:lang w:eastAsia="en-AU"/>
        </w:rPr>
        <w:t>Pacific Private Sector Development Initiative Phase 2</w:t>
      </w:r>
    </w:p>
    <w:p w14:paraId="0E27BB0F" w14:textId="77777777" w:rsidR="00C657FB" w:rsidRDefault="00F37B61" w:rsidP="00C657FB">
      <w:pPr>
        <w:pStyle w:val="DocName"/>
        <w:pBdr>
          <w:top w:val="single" w:sz="4" w:space="12" w:color="FF9900"/>
          <w:bottom w:val="single" w:sz="4" w:space="5" w:color="FF9900"/>
        </w:pBdr>
        <w:shd w:val="clear" w:color="auto" w:fill="FFFFCC"/>
        <w:spacing w:line="360" w:lineRule="auto"/>
        <w:rPr>
          <w:sz w:val="24"/>
          <w:lang w:eastAsia="en-AU"/>
        </w:rPr>
      </w:pPr>
      <w:r>
        <w:rPr>
          <w:sz w:val="24"/>
          <w:lang w:eastAsia="en-AU"/>
        </w:rPr>
        <w:t>MANAGEMENT RESPONSE</w:t>
      </w:r>
    </w:p>
    <w:p w14:paraId="0E27BB10" w14:textId="77777777" w:rsidR="00C657FB" w:rsidRDefault="000B520A" w:rsidP="00683EB4">
      <w:pPr>
        <w:pStyle w:val="Heading2"/>
      </w:pPr>
      <w:r>
        <w:t xml:space="preserve">Initiative </w:t>
      </w:r>
      <w:r w:rsidR="00C657FB">
        <w:t>Summary</w:t>
      </w: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2660"/>
        <w:gridCol w:w="2693"/>
        <w:gridCol w:w="1843"/>
        <w:gridCol w:w="2693"/>
      </w:tblGrid>
      <w:tr w:rsidR="00C657FB" w:rsidRPr="00F43CEC" w14:paraId="0E27BB13" w14:textId="77777777" w:rsidTr="00175FFC">
        <w:trPr>
          <w:cantSplit/>
          <w:tblHeader/>
        </w:trPr>
        <w:tc>
          <w:tcPr>
            <w:tcW w:w="2660" w:type="dxa"/>
            <w:shd w:val="clear" w:color="auto" w:fill="E0E0E0"/>
            <w:vAlign w:val="center"/>
          </w:tcPr>
          <w:p w14:paraId="0E27BB11" w14:textId="77777777" w:rsidR="00C657FB" w:rsidRPr="00F43CEC" w:rsidRDefault="00EF02B3" w:rsidP="00175FFC">
            <w:pPr>
              <w:pStyle w:val="Table-normal-text"/>
              <w:spacing w:before="120" w:after="120"/>
              <w:rPr>
                <w:b/>
              </w:rPr>
            </w:pPr>
            <w:r>
              <w:rPr>
                <w:b/>
              </w:rPr>
              <w:t>Initiative</w:t>
            </w:r>
            <w:r w:rsidR="00C657FB" w:rsidRPr="00F43CEC">
              <w:rPr>
                <w:b/>
              </w:rPr>
              <w:t xml:space="preserve"> Name</w:t>
            </w:r>
          </w:p>
        </w:tc>
        <w:tc>
          <w:tcPr>
            <w:tcW w:w="7229" w:type="dxa"/>
            <w:gridSpan w:val="3"/>
            <w:shd w:val="clear" w:color="auto" w:fill="E0E0E0"/>
            <w:vAlign w:val="center"/>
          </w:tcPr>
          <w:p w14:paraId="0E27BB12" w14:textId="719F2278" w:rsidR="00C657FB" w:rsidRPr="00F43CEC" w:rsidRDefault="00060B33" w:rsidP="00175FFC">
            <w:pPr>
              <w:pStyle w:val="Table-normal-text"/>
              <w:spacing w:before="120" w:after="120"/>
              <w:rPr>
                <w:b/>
              </w:rPr>
            </w:pPr>
            <w:r>
              <w:rPr>
                <w:b/>
              </w:rPr>
              <w:t>Pacific Private Sector Development Initiative Phase 2</w:t>
            </w:r>
          </w:p>
        </w:tc>
      </w:tr>
      <w:tr w:rsidR="00C657FB" w:rsidRPr="00F43CEC" w14:paraId="0E27BB16" w14:textId="77777777" w:rsidTr="00175FFC">
        <w:trPr>
          <w:cantSplit/>
        </w:trPr>
        <w:tc>
          <w:tcPr>
            <w:tcW w:w="2660" w:type="dxa"/>
            <w:shd w:val="clear" w:color="auto" w:fill="auto"/>
          </w:tcPr>
          <w:p w14:paraId="0E27BB14" w14:textId="77777777" w:rsidR="00C657FB" w:rsidRPr="00F2320B" w:rsidRDefault="00C657FB" w:rsidP="00175FFC">
            <w:pPr>
              <w:pStyle w:val="Table-normal-text"/>
            </w:pPr>
            <w:r w:rsidRPr="00F2320B">
              <w:t>AidWorks initiative number</w:t>
            </w:r>
          </w:p>
        </w:tc>
        <w:tc>
          <w:tcPr>
            <w:tcW w:w="7229" w:type="dxa"/>
            <w:gridSpan w:val="3"/>
            <w:shd w:val="clear" w:color="auto" w:fill="auto"/>
          </w:tcPr>
          <w:p w14:paraId="0E27BB15" w14:textId="27DA0283" w:rsidR="00C657FB" w:rsidRPr="00F2320B" w:rsidRDefault="00060B33" w:rsidP="00175FFC">
            <w:pPr>
              <w:pStyle w:val="Table-normal-text"/>
            </w:pPr>
            <w:r w:rsidRPr="00060B33">
              <w:t>INJ147</w:t>
            </w:r>
          </w:p>
        </w:tc>
      </w:tr>
      <w:tr w:rsidR="00C657FB" w:rsidRPr="00F43CEC" w14:paraId="0E27BB1B" w14:textId="77777777" w:rsidTr="00175FFC">
        <w:trPr>
          <w:cantSplit/>
        </w:trPr>
        <w:tc>
          <w:tcPr>
            <w:tcW w:w="2660" w:type="dxa"/>
            <w:shd w:val="clear" w:color="auto" w:fill="auto"/>
          </w:tcPr>
          <w:p w14:paraId="0E27BB17" w14:textId="77777777" w:rsidR="00C657FB" w:rsidRPr="00F2320B" w:rsidRDefault="00C657FB" w:rsidP="00175FFC">
            <w:pPr>
              <w:pStyle w:val="Table-normal-text"/>
            </w:pPr>
            <w:r w:rsidRPr="00F2320B">
              <w:t xml:space="preserve">Commencement </w:t>
            </w:r>
            <w:r>
              <w:t>d</w:t>
            </w:r>
            <w:r w:rsidRPr="00F2320B">
              <w:t>ate</w:t>
            </w:r>
          </w:p>
        </w:tc>
        <w:tc>
          <w:tcPr>
            <w:tcW w:w="2693" w:type="dxa"/>
            <w:shd w:val="clear" w:color="auto" w:fill="auto"/>
          </w:tcPr>
          <w:p w14:paraId="0E27BB18" w14:textId="0C477E6F" w:rsidR="00C657FB" w:rsidRPr="00F2320B" w:rsidRDefault="00060B33" w:rsidP="00175FFC">
            <w:pPr>
              <w:pStyle w:val="Table-normal-text"/>
            </w:pPr>
            <w:r>
              <w:t>11 January 2010</w:t>
            </w:r>
          </w:p>
        </w:tc>
        <w:tc>
          <w:tcPr>
            <w:tcW w:w="1843" w:type="dxa"/>
            <w:shd w:val="clear" w:color="auto" w:fill="auto"/>
          </w:tcPr>
          <w:p w14:paraId="0E27BB19" w14:textId="77777777" w:rsidR="00C657FB" w:rsidRPr="00F2320B" w:rsidRDefault="00C657FB" w:rsidP="00175FFC">
            <w:pPr>
              <w:pStyle w:val="Table-normal-text"/>
            </w:pPr>
            <w:r w:rsidRPr="00F2320B">
              <w:t xml:space="preserve">Completion </w:t>
            </w:r>
            <w:r>
              <w:t>d</w:t>
            </w:r>
            <w:r w:rsidRPr="00F2320B">
              <w:t>ate</w:t>
            </w:r>
          </w:p>
        </w:tc>
        <w:tc>
          <w:tcPr>
            <w:tcW w:w="2693" w:type="dxa"/>
            <w:shd w:val="clear" w:color="auto" w:fill="auto"/>
          </w:tcPr>
          <w:p w14:paraId="0E27BB1A" w14:textId="2DCA2ADD" w:rsidR="00C657FB" w:rsidRPr="00F2320B" w:rsidRDefault="00060B33" w:rsidP="00175FFC">
            <w:pPr>
              <w:pStyle w:val="Table-normal-text"/>
            </w:pPr>
            <w:r>
              <w:t>31 December 2013</w:t>
            </w:r>
          </w:p>
        </w:tc>
      </w:tr>
      <w:tr w:rsidR="00C657FB" w:rsidRPr="00F43CEC" w14:paraId="0E27BB1E" w14:textId="77777777" w:rsidTr="00175FFC">
        <w:trPr>
          <w:cantSplit/>
        </w:trPr>
        <w:tc>
          <w:tcPr>
            <w:tcW w:w="2660" w:type="dxa"/>
            <w:shd w:val="clear" w:color="auto" w:fill="auto"/>
          </w:tcPr>
          <w:p w14:paraId="0E27BB1C" w14:textId="77777777" w:rsidR="00C657FB" w:rsidRPr="00F2320B" w:rsidRDefault="00C657FB" w:rsidP="00175FFC">
            <w:pPr>
              <w:pStyle w:val="Table-normal-text"/>
            </w:pPr>
            <w:r>
              <w:t>Total Australian $</w:t>
            </w:r>
          </w:p>
        </w:tc>
        <w:tc>
          <w:tcPr>
            <w:tcW w:w="7229" w:type="dxa"/>
            <w:gridSpan w:val="3"/>
            <w:shd w:val="clear" w:color="auto" w:fill="auto"/>
          </w:tcPr>
          <w:p w14:paraId="0E27BB1D" w14:textId="007EC6F9" w:rsidR="00C657FB" w:rsidRPr="00F2320B" w:rsidRDefault="00057316" w:rsidP="00175FFC">
            <w:pPr>
              <w:pStyle w:val="Table-normal-text"/>
            </w:pPr>
            <w:r>
              <w:t>AUD$</w:t>
            </w:r>
            <w:r w:rsidR="00060B33">
              <w:t>11,000,000</w:t>
            </w:r>
            <w:r>
              <w:t xml:space="preserve"> from Pacific Regional Canberra Fund </w:t>
            </w:r>
          </w:p>
        </w:tc>
      </w:tr>
      <w:tr w:rsidR="00C657FB" w:rsidRPr="00F43CEC" w14:paraId="0E27BB21" w14:textId="77777777" w:rsidTr="00175FFC">
        <w:trPr>
          <w:cantSplit/>
        </w:trPr>
        <w:tc>
          <w:tcPr>
            <w:tcW w:w="2660" w:type="dxa"/>
            <w:shd w:val="clear" w:color="auto" w:fill="auto"/>
          </w:tcPr>
          <w:p w14:paraId="0E27BB1F" w14:textId="77777777" w:rsidR="00C657FB" w:rsidRPr="00F2320B" w:rsidRDefault="00C657FB" w:rsidP="00175FFC">
            <w:pPr>
              <w:pStyle w:val="Table-normal-text"/>
            </w:pPr>
            <w:r>
              <w:t>Total other $</w:t>
            </w:r>
          </w:p>
        </w:tc>
        <w:tc>
          <w:tcPr>
            <w:tcW w:w="7229" w:type="dxa"/>
            <w:gridSpan w:val="3"/>
            <w:shd w:val="clear" w:color="auto" w:fill="auto"/>
          </w:tcPr>
          <w:p w14:paraId="0E27BB20" w14:textId="5446DDDA" w:rsidR="00C657FB" w:rsidRPr="00F2320B" w:rsidRDefault="00060B33" w:rsidP="00175FFC">
            <w:pPr>
              <w:pStyle w:val="Table-normal-text"/>
            </w:pPr>
            <w:r>
              <w:t>USD$3,000,000 from ADB Technical Assistance Special Fund</w:t>
            </w:r>
          </w:p>
        </w:tc>
      </w:tr>
      <w:tr w:rsidR="00C657FB" w:rsidRPr="00F43CEC" w14:paraId="0E27BB24" w14:textId="77777777" w:rsidTr="00175FFC">
        <w:trPr>
          <w:cantSplit/>
        </w:trPr>
        <w:tc>
          <w:tcPr>
            <w:tcW w:w="2660" w:type="dxa"/>
            <w:shd w:val="clear" w:color="auto" w:fill="auto"/>
          </w:tcPr>
          <w:p w14:paraId="0E27BB22" w14:textId="77777777" w:rsidR="00C657FB" w:rsidRPr="00F2320B" w:rsidRDefault="00C657FB" w:rsidP="00175FFC">
            <w:pPr>
              <w:pStyle w:val="Table-normal-text"/>
            </w:pPr>
            <w:r w:rsidRPr="00F2320B">
              <w:t>Delivery organisation(s)</w:t>
            </w:r>
          </w:p>
        </w:tc>
        <w:tc>
          <w:tcPr>
            <w:tcW w:w="7229" w:type="dxa"/>
            <w:gridSpan w:val="3"/>
            <w:shd w:val="clear" w:color="auto" w:fill="auto"/>
          </w:tcPr>
          <w:p w14:paraId="0E27BB23" w14:textId="3DB9E75C" w:rsidR="00C657FB" w:rsidRPr="00F2320B" w:rsidRDefault="00060B33" w:rsidP="00175FFC">
            <w:pPr>
              <w:pStyle w:val="Table-normal-text"/>
            </w:pPr>
            <w:r>
              <w:t>ADB</w:t>
            </w:r>
          </w:p>
        </w:tc>
      </w:tr>
      <w:tr w:rsidR="00C657FB" w:rsidRPr="00F43CEC" w14:paraId="0E27BB27" w14:textId="77777777" w:rsidTr="00175FFC">
        <w:trPr>
          <w:cantSplit/>
        </w:trPr>
        <w:tc>
          <w:tcPr>
            <w:tcW w:w="2660" w:type="dxa"/>
            <w:shd w:val="clear" w:color="auto" w:fill="auto"/>
          </w:tcPr>
          <w:p w14:paraId="0E27BB25" w14:textId="77777777" w:rsidR="00C657FB" w:rsidRPr="00F2320B" w:rsidRDefault="00C657FB" w:rsidP="00845B17">
            <w:pPr>
              <w:pStyle w:val="Table-normal-text"/>
            </w:pPr>
            <w:r w:rsidRPr="00F2320B">
              <w:t xml:space="preserve">Implementing </w:t>
            </w:r>
            <w:r w:rsidR="00845B17">
              <w:t>p</w:t>
            </w:r>
            <w:r w:rsidR="00845B17" w:rsidRPr="00F2320B">
              <w:t>artner</w:t>
            </w:r>
            <w:r w:rsidRPr="00F2320B">
              <w:t>(s)</w:t>
            </w:r>
          </w:p>
        </w:tc>
        <w:tc>
          <w:tcPr>
            <w:tcW w:w="7229" w:type="dxa"/>
            <w:gridSpan w:val="3"/>
            <w:shd w:val="clear" w:color="auto" w:fill="auto"/>
          </w:tcPr>
          <w:p w14:paraId="0E27BB26" w14:textId="1FED953B" w:rsidR="00C657FB" w:rsidRPr="00F2320B" w:rsidRDefault="00060B33" w:rsidP="00175FFC">
            <w:pPr>
              <w:pStyle w:val="Table-normal-text"/>
            </w:pPr>
            <w:r>
              <w:t>ADB</w:t>
            </w:r>
          </w:p>
        </w:tc>
      </w:tr>
      <w:tr w:rsidR="00C657FB" w:rsidRPr="00F43CEC" w14:paraId="0E27BB2A" w14:textId="77777777" w:rsidTr="00175FFC">
        <w:trPr>
          <w:cantSplit/>
        </w:trPr>
        <w:tc>
          <w:tcPr>
            <w:tcW w:w="2660" w:type="dxa"/>
            <w:shd w:val="clear" w:color="auto" w:fill="auto"/>
          </w:tcPr>
          <w:p w14:paraId="0E27BB28" w14:textId="77777777" w:rsidR="00C657FB" w:rsidRPr="00F2320B" w:rsidRDefault="00C657FB" w:rsidP="00175FFC">
            <w:pPr>
              <w:pStyle w:val="Table-normal-text"/>
            </w:pPr>
            <w:r w:rsidRPr="00F2320B">
              <w:t>Country/Region</w:t>
            </w:r>
          </w:p>
        </w:tc>
        <w:tc>
          <w:tcPr>
            <w:tcW w:w="7229" w:type="dxa"/>
            <w:gridSpan w:val="3"/>
            <w:shd w:val="clear" w:color="auto" w:fill="auto"/>
          </w:tcPr>
          <w:p w14:paraId="0E27BB29" w14:textId="6F50C592" w:rsidR="00C657FB" w:rsidRPr="00F2320B" w:rsidRDefault="00060B33" w:rsidP="00175FFC">
            <w:pPr>
              <w:pStyle w:val="Table-normal-text"/>
            </w:pPr>
            <w:r>
              <w:t xml:space="preserve">Pacific Region – Cook Islands, FSM, Fiji, Kiribati, Nauru, Palau, PNG, Republic of Marshall Islands, Samoa, Solomon Islands, Timor-Leste, Tonga, Tuvalu, Vanuatu </w:t>
            </w:r>
          </w:p>
        </w:tc>
      </w:tr>
      <w:tr w:rsidR="00C657FB" w:rsidRPr="00F43CEC" w14:paraId="0E27BB2D" w14:textId="77777777" w:rsidTr="00175FFC">
        <w:trPr>
          <w:cantSplit/>
        </w:trPr>
        <w:tc>
          <w:tcPr>
            <w:tcW w:w="2660" w:type="dxa"/>
            <w:shd w:val="clear" w:color="auto" w:fill="auto"/>
          </w:tcPr>
          <w:p w14:paraId="0E27BB2B" w14:textId="77777777" w:rsidR="00C657FB" w:rsidRPr="00F2320B" w:rsidRDefault="00C657FB" w:rsidP="00845B17">
            <w:pPr>
              <w:pStyle w:val="Table-normal-text"/>
            </w:pPr>
            <w:r w:rsidRPr="00F2320B">
              <w:t xml:space="preserve">Primary </w:t>
            </w:r>
            <w:r w:rsidR="00845B17">
              <w:t>s</w:t>
            </w:r>
            <w:r w:rsidR="00845B17" w:rsidRPr="00F2320B">
              <w:t>ector</w:t>
            </w:r>
          </w:p>
        </w:tc>
        <w:tc>
          <w:tcPr>
            <w:tcW w:w="7229" w:type="dxa"/>
            <w:gridSpan w:val="3"/>
            <w:shd w:val="clear" w:color="auto" w:fill="auto"/>
          </w:tcPr>
          <w:p w14:paraId="0E27BB2C" w14:textId="112BC5D6" w:rsidR="00C657FB" w:rsidRPr="00F2320B" w:rsidRDefault="00504739" w:rsidP="00504739">
            <w:pPr>
              <w:pStyle w:val="Table-normal-text"/>
            </w:pPr>
            <w:r>
              <w:t>Sustainable Economic Development</w:t>
            </w:r>
          </w:p>
        </w:tc>
      </w:tr>
      <w:tr w:rsidR="00C657FB" w:rsidRPr="00F43CEC" w14:paraId="0E27BB30" w14:textId="77777777" w:rsidTr="00175FFC">
        <w:trPr>
          <w:cantSplit/>
        </w:trPr>
        <w:tc>
          <w:tcPr>
            <w:tcW w:w="2660" w:type="dxa"/>
            <w:shd w:val="clear" w:color="auto" w:fill="auto"/>
          </w:tcPr>
          <w:p w14:paraId="0E27BB2E" w14:textId="77777777" w:rsidR="00C657FB" w:rsidRPr="00444D45" w:rsidRDefault="00390A59" w:rsidP="00175FFC">
            <w:pPr>
              <w:pStyle w:val="Table-normal-text"/>
            </w:pPr>
            <w:r w:rsidRPr="00444D45">
              <w:t>Initiative</w:t>
            </w:r>
            <w:r w:rsidR="00C657FB" w:rsidRPr="00444D45">
              <w:t xml:space="preserve"> objective</w:t>
            </w:r>
            <w:r w:rsidR="00614E79" w:rsidRPr="00444D45">
              <w:t>/s</w:t>
            </w:r>
          </w:p>
        </w:tc>
        <w:tc>
          <w:tcPr>
            <w:tcW w:w="7229" w:type="dxa"/>
            <w:gridSpan w:val="3"/>
            <w:shd w:val="clear" w:color="auto" w:fill="auto"/>
          </w:tcPr>
          <w:p w14:paraId="0E27BB2F" w14:textId="42E2E7C0" w:rsidR="00C657FB" w:rsidRPr="00F2320B" w:rsidRDefault="00060B33" w:rsidP="00060B33">
            <w:pPr>
              <w:pStyle w:val="Table-normal-text"/>
            </w:pPr>
            <w:r>
              <w:t xml:space="preserve">The PSDI Phase 2 </w:t>
            </w:r>
            <w:r w:rsidRPr="00060B33">
              <w:t>aims to provide private sector led and sustainable economic growth in the Pacific region. AusAID's contribution supports state-owned enterprise reform, public-private partnerships, reform of the legal and business regulatory environment, financial sector reform to promote access to financial services, and mainstreaming of private sector development.</w:t>
            </w:r>
          </w:p>
        </w:tc>
      </w:tr>
    </w:tbl>
    <w:p w14:paraId="0E27BB32" w14:textId="08F3C85B" w:rsidR="00683EB4" w:rsidRPr="00013E09" w:rsidRDefault="00013E09" w:rsidP="00013E09">
      <w:pPr>
        <w:pStyle w:val="Heading2"/>
      </w:pPr>
      <w:r>
        <w:t>Evaluation Summary</w:t>
      </w:r>
    </w:p>
    <w:p w14:paraId="0E27BB33" w14:textId="43426614" w:rsidR="00C657FB" w:rsidRPr="00E10988" w:rsidRDefault="00C657FB" w:rsidP="00C657FB">
      <w:r w:rsidRPr="00123C3E">
        <w:rPr>
          <w:b/>
        </w:rPr>
        <w:t>Evaluation Objective:</w:t>
      </w:r>
      <w:r>
        <w:rPr>
          <w:b/>
        </w:rPr>
        <w:t xml:space="preserve"> </w:t>
      </w:r>
      <w:r w:rsidR="00E10988" w:rsidRPr="00E10988">
        <w:t xml:space="preserve">To assess the performance and effectiveness of the PSDI Regional Technical Assistance (RETA) in its key focus areas and to develop recommendations, where appropriate, that would improve the administration, performance and effectiveness of the PSDI Phase 3. </w:t>
      </w:r>
    </w:p>
    <w:p w14:paraId="0E27BB34" w14:textId="6552E3A8" w:rsidR="00C657FB" w:rsidRPr="00394FD3" w:rsidRDefault="00C657FB" w:rsidP="00C657FB">
      <w:r w:rsidRPr="00123C3E">
        <w:rPr>
          <w:b/>
        </w:rPr>
        <w:t>Evaluation Completion Date:</w:t>
      </w:r>
      <w:r>
        <w:rPr>
          <w:b/>
        </w:rPr>
        <w:t xml:space="preserve"> </w:t>
      </w:r>
      <w:r w:rsidR="00E10988" w:rsidRPr="00E10988">
        <w:t>Mid-December</w:t>
      </w:r>
      <w:r w:rsidR="00E10988">
        <w:rPr>
          <w:b/>
        </w:rPr>
        <w:t xml:space="preserve"> </w:t>
      </w:r>
      <w:r w:rsidR="00E10988" w:rsidRPr="00E10988">
        <w:t>2012</w:t>
      </w:r>
    </w:p>
    <w:p w14:paraId="79E5CD92" w14:textId="3AE4A5CB" w:rsidR="00E10988" w:rsidRPr="00395FC0" w:rsidRDefault="00C657FB" w:rsidP="005E3939">
      <w:r w:rsidRPr="00123C3E">
        <w:rPr>
          <w:b/>
        </w:rPr>
        <w:t>Evaluation Team:</w:t>
      </w:r>
      <w:r>
        <w:rPr>
          <w:b/>
        </w:rPr>
        <w:t xml:space="preserve"> </w:t>
      </w:r>
      <w:r w:rsidR="00E10988" w:rsidRPr="00E10988">
        <w:t xml:space="preserve">Peter Dirou, (Team Leader), </w:t>
      </w:r>
      <w:r w:rsidR="00275326">
        <w:t>Vili Caniogo</w:t>
      </w:r>
      <w:r w:rsidR="00E10988" w:rsidRPr="00E10988">
        <w:t xml:space="preserve"> (AusAID </w:t>
      </w:r>
      <w:r w:rsidR="00275326">
        <w:t xml:space="preserve">Program </w:t>
      </w:r>
      <w:r w:rsidR="00E10988" w:rsidRPr="00E10988">
        <w:t>Manager)</w:t>
      </w:r>
    </w:p>
    <w:p w14:paraId="78A02FC5" w14:textId="62BE7BB1" w:rsidR="00C51CFF" w:rsidRPr="00395FC0" w:rsidRDefault="00367DA3" w:rsidP="000D316D">
      <w:pPr>
        <w:rPr>
          <w:b/>
          <w:sz w:val="22"/>
          <w:szCs w:val="22"/>
          <w:lang w:eastAsia="en-AU"/>
        </w:rPr>
      </w:pPr>
      <w:r w:rsidRPr="008B3156">
        <w:rPr>
          <w:b/>
          <w:sz w:val="22"/>
          <w:szCs w:val="22"/>
          <w:lang w:eastAsia="en-AU"/>
        </w:rPr>
        <w:t>AusAID’s response to the evaluation report</w:t>
      </w:r>
    </w:p>
    <w:p w14:paraId="14706903" w14:textId="77777777" w:rsidR="002600AF" w:rsidRDefault="0094578A" w:rsidP="000D316D">
      <w:pPr>
        <w:rPr>
          <w:rFonts w:cs="Arial"/>
        </w:rPr>
      </w:pPr>
      <w:r>
        <w:rPr>
          <w:rFonts w:cs="Arial"/>
        </w:rPr>
        <w:t xml:space="preserve">In general the Independent Evaluation </w:t>
      </w:r>
      <w:r w:rsidR="002600AF">
        <w:rPr>
          <w:rFonts w:cs="Arial"/>
        </w:rPr>
        <w:t xml:space="preserve">was adequately undertaken covering the most integral components of the PSDI. The overall high ratings and recognition of the importance and success of this program are well received by AusAID. </w:t>
      </w:r>
    </w:p>
    <w:p w14:paraId="49027240" w14:textId="726D8EBC" w:rsidR="00403881" w:rsidRDefault="00504739" w:rsidP="000D316D">
      <w:pPr>
        <w:rPr>
          <w:rFonts w:cs="Arial"/>
        </w:rPr>
      </w:pPr>
      <w:r>
        <w:rPr>
          <w:rFonts w:cs="Arial"/>
        </w:rPr>
        <w:t xml:space="preserve">As a result of the evaluation and AusAID’s continued commitment to support private sector development, Phase </w:t>
      </w:r>
      <w:r w:rsidR="00C51CFF">
        <w:rPr>
          <w:rFonts w:cs="Arial"/>
        </w:rPr>
        <w:t xml:space="preserve">3 of PSDI </w:t>
      </w:r>
      <w:r>
        <w:rPr>
          <w:rFonts w:cs="Arial"/>
        </w:rPr>
        <w:t xml:space="preserve">has been approved for funding and will commence on 1 July 2013. </w:t>
      </w:r>
      <w:r w:rsidR="0005389C">
        <w:rPr>
          <w:rFonts w:cs="Arial"/>
        </w:rPr>
        <w:t xml:space="preserve">Many of the </w:t>
      </w:r>
      <w:r w:rsidR="00403881">
        <w:rPr>
          <w:rFonts w:cs="Arial"/>
        </w:rPr>
        <w:t>recommendations of the independent evaluation</w:t>
      </w:r>
      <w:r w:rsidR="0005389C">
        <w:rPr>
          <w:rFonts w:cs="Arial"/>
        </w:rPr>
        <w:t xml:space="preserve"> have been incorporated into </w:t>
      </w:r>
      <w:r w:rsidR="00403881">
        <w:rPr>
          <w:rFonts w:cs="Arial"/>
        </w:rPr>
        <w:t xml:space="preserve">the design of </w:t>
      </w:r>
      <w:r w:rsidR="00C51CFF">
        <w:rPr>
          <w:rFonts w:cs="Arial"/>
        </w:rPr>
        <w:t xml:space="preserve">the PSDI </w:t>
      </w:r>
      <w:r w:rsidR="00403881">
        <w:rPr>
          <w:rFonts w:cs="Arial"/>
        </w:rPr>
        <w:t xml:space="preserve">Phase 3. </w:t>
      </w:r>
    </w:p>
    <w:p w14:paraId="0E27BB3F" w14:textId="77777777" w:rsidR="00C657FB" w:rsidRPr="008B3156" w:rsidRDefault="00F63B43" w:rsidP="000D316D">
      <w:pPr>
        <w:rPr>
          <w:b/>
          <w:sz w:val="22"/>
          <w:szCs w:val="22"/>
          <w:lang w:eastAsia="en-AU"/>
        </w:rPr>
      </w:pPr>
      <w:r w:rsidRPr="008B3156">
        <w:rPr>
          <w:b/>
          <w:sz w:val="22"/>
          <w:szCs w:val="22"/>
          <w:lang w:eastAsia="en-AU"/>
        </w:rPr>
        <w:lastRenderedPageBreak/>
        <w:t>AusAID’s r</w:t>
      </w:r>
      <w:r w:rsidR="00C657FB" w:rsidRPr="008B3156">
        <w:rPr>
          <w:b/>
          <w:sz w:val="22"/>
          <w:szCs w:val="22"/>
          <w:lang w:eastAsia="en-AU"/>
        </w:rPr>
        <w:t>esponse to the specific rec</w:t>
      </w:r>
      <w:r w:rsidR="00367DA3" w:rsidRPr="008B3156">
        <w:rPr>
          <w:b/>
          <w:sz w:val="22"/>
          <w:szCs w:val="22"/>
          <w:lang w:eastAsia="en-AU"/>
        </w:rPr>
        <w:t>ommendations made in the report</w:t>
      </w:r>
    </w:p>
    <w:p w14:paraId="0E27BB40" w14:textId="77777777" w:rsidR="00C657FB" w:rsidRDefault="00C657FB" w:rsidP="00C657FB">
      <w:pPr>
        <w:rPr>
          <w:rFonts w:cs="Aria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4A0" w:firstRow="1" w:lastRow="0" w:firstColumn="1" w:lastColumn="0" w:noHBand="0" w:noVBand="1"/>
      </w:tblPr>
      <w:tblGrid>
        <w:gridCol w:w="2093"/>
        <w:gridCol w:w="2693"/>
        <w:gridCol w:w="3402"/>
        <w:gridCol w:w="1666"/>
      </w:tblGrid>
      <w:tr w:rsidR="00E6298A" w:rsidRPr="00E6298A" w14:paraId="0E27BB45" w14:textId="77777777" w:rsidTr="00AF6DEC">
        <w:trPr>
          <w:cantSplit/>
        </w:trPr>
        <w:tc>
          <w:tcPr>
            <w:tcW w:w="2093" w:type="dxa"/>
            <w:shd w:val="clear" w:color="auto" w:fill="FFEC9B"/>
            <w:vAlign w:val="center"/>
          </w:tcPr>
          <w:p w14:paraId="0E27BB41" w14:textId="77777777" w:rsidR="00E6298A" w:rsidRPr="00E6298A" w:rsidRDefault="00E6298A" w:rsidP="001467C6">
            <w:pPr>
              <w:pStyle w:val="Heading2"/>
              <w:spacing w:before="120" w:after="120"/>
              <w:jc w:val="center"/>
              <w:rPr>
                <w:sz w:val="20"/>
                <w:szCs w:val="20"/>
              </w:rPr>
            </w:pPr>
            <w:r w:rsidRPr="00E6298A">
              <w:rPr>
                <w:sz w:val="20"/>
                <w:szCs w:val="20"/>
              </w:rPr>
              <w:t>Recommendation</w:t>
            </w:r>
          </w:p>
        </w:tc>
        <w:tc>
          <w:tcPr>
            <w:tcW w:w="2693" w:type="dxa"/>
            <w:tcBorders>
              <w:right w:val="single" w:sz="4" w:space="0" w:color="auto"/>
            </w:tcBorders>
            <w:shd w:val="clear" w:color="auto" w:fill="FFEC9B"/>
            <w:vAlign w:val="center"/>
          </w:tcPr>
          <w:p w14:paraId="0E27BB42" w14:textId="77777777" w:rsidR="00E6298A" w:rsidRPr="00E6298A" w:rsidRDefault="00E6298A" w:rsidP="001467C6">
            <w:pPr>
              <w:spacing w:after="120"/>
              <w:jc w:val="center"/>
              <w:rPr>
                <w:rFonts w:cs="Arial"/>
                <w:b/>
                <w:szCs w:val="20"/>
              </w:rPr>
            </w:pPr>
            <w:r w:rsidRPr="00E6298A">
              <w:rPr>
                <w:rFonts w:cs="Arial"/>
                <w:b/>
                <w:szCs w:val="20"/>
              </w:rPr>
              <w:t>Response</w:t>
            </w:r>
          </w:p>
        </w:tc>
        <w:tc>
          <w:tcPr>
            <w:tcW w:w="3402" w:type="dxa"/>
            <w:tcBorders>
              <w:left w:val="single" w:sz="4" w:space="0" w:color="auto"/>
            </w:tcBorders>
            <w:shd w:val="clear" w:color="auto" w:fill="FFEC9B"/>
            <w:vAlign w:val="center"/>
          </w:tcPr>
          <w:p w14:paraId="0E27BB43" w14:textId="77777777" w:rsidR="00E6298A" w:rsidRPr="00E6298A" w:rsidRDefault="00E6298A" w:rsidP="001467C6">
            <w:pPr>
              <w:spacing w:after="120"/>
              <w:jc w:val="center"/>
              <w:rPr>
                <w:rFonts w:cs="Arial"/>
                <w:b/>
                <w:szCs w:val="20"/>
              </w:rPr>
            </w:pPr>
            <w:r w:rsidRPr="00E6298A">
              <w:rPr>
                <w:rFonts w:cs="Arial"/>
                <w:b/>
                <w:szCs w:val="20"/>
              </w:rPr>
              <w:t>Actions</w:t>
            </w:r>
          </w:p>
        </w:tc>
        <w:tc>
          <w:tcPr>
            <w:tcW w:w="1666" w:type="dxa"/>
            <w:tcBorders>
              <w:left w:val="single" w:sz="4" w:space="0" w:color="auto"/>
            </w:tcBorders>
            <w:shd w:val="clear" w:color="auto" w:fill="FFEC9B"/>
            <w:vAlign w:val="center"/>
          </w:tcPr>
          <w:p w14:paraId="0E27BB44" w14:textId="77777777" w:rsidR="00E6298A" w:rsidRPr="00E6298A" w:rsidRDefault="00E6298A" w:rsidP="001467C6">
            <w:pPr>
              <w:spacing w:after="120"/>
              <w:jc w:val="center"/>
              <w:rPr>
                <w:rFonts w:cs="Arial"/>
                <w:szCs w:val="20"/>
              </w:rPr>
            </w:pPr>
            <w:r w:rsidRPr="00E6298A">
              <w:rPr>
                <w:b/>
                <w:szCs w:val="20"/>
              </w:rPr>
              <w:t>Responsibility</w:t>
            </w:r>
          </w:p>
        </w:tc>
      </w:tr>
      <w:tr w:rsidR="00E6298A" w:rsidRPr="00F43CEC" w14:paraId="0E27BB4B" w14:textId="77777777" w:rsidTr="00AF6DEC">
        <w:trPr>
          <w:cantSplit/>
          <w:trHeight w:val="588"/>
        </w:trPr>
        <w:tc>
          <w:tcPr>
            <w:tcW w:w="2093" w:type="dxa"/>
            <w:shd w:val="clear" w:color="auto" w:fill="auto"/>
          </w:tcPr>
          <w:p w14:paraId="0E27BB46" w14:textId="384A1230" w:rsidR="00E6298A" w:rsidRPr="00536454" w:rsidRDefault="00536454" w:rsidP="00536454">
            <w:pPr>
              <w:pStyle w:val="Bullet"/>
              <w:numPr>
                <w:ilvl w:val="0"/>
                <w:numId w:val="38"/>
              </w:numPr>
              <w:spacing w:before="0" w:after="0" w:line="240" w:lineRule="auto"/>
              <w:ind w:left="0"/>
              <w:jc w:val="left"/>
              <w:rPr>
                <w:rFonts w:cs="Arial"/>
                <w:sz w:val="20"/>
                <w:szCs w:val="20"/>
              </w:rPr>
            </w:pPr>
            <w:r w:rsidRPr="00536454">
              <w:rPr>
                <w:rFonts w:cs="Arial"/>
                <w:sz w:val="20"/>
                <w:szCs w:val="20"/>
              </w:rPr>
              <w:t>1.</w:t>
            </w:r>
            <w:r>
              <w:rPr>
                <w:rFonts w:cs="Arial"/>
                <w:sz w:val="20"/>
                <w:szCs w:val="20"/>
              </w:rPr>
              <w:t xml:space="preserve"> </w:t>
            </w:r>
            <w:r w:rsidRPr="00536454">
              <w:rPr>
                <w:rFonts w:cs="Arial"/>
                <w:sz w:val="20"/>
                <w:szCs w:val="20"/>
              </w:rPr>
              <w:t>Clarify strategic objectives for supporting PSDI.</w:t>
            </w:r>
          </w:p>
        </w:tc>
        <w:tc>
          <w:tcPr>
            <w:tcW w:w="2693" w:type="dxa"/>
            <w:tcBorders>
              <w:right w:val="single" w:sz="4" w:space="0" w:color="auto"/>
            </w:tcBorders>
            <w:shd w:val="clear" w:color="auto" w:fill="auto"/>
          </w:tcPr>
          <w:p w14:paraId="4AD05564" w14:textId="77777777" w:rsidR="00E6298A" w:rsidRDefault="00B55A04" w:rsidP="00536454">
            <w:pPr>
              <w:spacing w:before="0"/>
              <w:rPr>
                <w:rFonts w:cs="Arial"/>
                <w:szCs w:val="20"/>
              </w:rPr>
            </w:pPr>
            <w:r>
              <w:rPr>
                <w:rFonts w:cs="Arial"/>
                <w:szCs w:val="20"/>
              </w:rPr>
              <w:t>Agree</w:t>
            </w:r>
          </w:p>
          <w:p w14:paraId="3568B200" w14:textId="77777777" w:rsidR="00AF6DEC" w:rsidRDefault="00AF6DEC" w:rsidP="00536454">
            <w:pPr>
              <w:spacing w:before="0"/>
              <w:rPr>
                <w:rFonts w:cs="Arial"/>
                <w:szCs w:val="20"/>
              </w:rPr>
            </w:pPr>
          </w:p>
          <w:p w14:paraId="0E27BB48" w14:textId="4A807B1B" w:rsidR="00AF6DEC" w:rsidRPr="00AF6DEC" w:rsidRDefault="00AF6DEC" w:rsidP="0005389C">
            <w:pPr>
              <w:spacing w:before="0"/>
            </w:pPr>
          </w:p>
        </w:tc>
        <w:tc>
          <w:tcPr>
            <w:tcW w:w="3402" w:type="dxa"/>
            <w:tcBorders>
              <w:left w:val="single" w:sz="4" w:space="0" w:color="auto"/>
            </w:tcBorders>
            <w:shd w:val="clear" w:color="auto" w:fill="auto"/>
          </w:tcPr>
          <w:p w14:paraId="0E27BB49" w14:textId="44389C48" w:rsidR="00AF6DEC" w:rsidRPr="00B55A04" w:rsidRDefault="00B55A04" w:rsidP="00AF6DEC">
            <w:pPr>
              <w:spacing w:before="0"/>
            </w:pPr>
            <w:r>
              <w:t>AusAID has agreed with the ADB that the three areas of focus under PSDI should remain unchanged (business law reform; state owned enterprise reform; and public-private partnerships) with the addition of the new areas of competition policy and economic empowerment of women.</w:t>
            </w:r>
          </w:p>
        </w:tc>
        <w:tc>
          <w:tcPr>
            <w:tcW w:w="1666" w:type="dxa"/>
            <w:tcBorders>
              <w:left w:val="single" w:sz="4" w:space="0" w:color="auto"/>
            </w:tcBorders>
            <w:shd w:val="clear" w:color="auto" w:fill="auto"/>
          </w:tcPr>
          <w:p w14:paraId="0E27BB4A" w14:textId="7EA61015" w:rsidR="00E6298A" w:rsidRPr="00536454" w:rsidRDefault="00536454" w:rsidP="00536454">
            <w:pPr>
              <w:spacing w:before="0"/>
              <w:rPr>
                <w:rFonts w:cs="Arial"/>
                <w:szCs w:val="20"/>
              </w:rPr>
            </w:pPr>
            <w:r>
              <w:rPr>
                <w:rFonts w:cs="Arial"/>
                <w:szCs w:val="20"/>
              </w:rPr>
              <w:t>AusAID</w:t>
            </w:r>
          </w:p>
        </w:tc>
      </w:tr>
      <w:tr w:rsidR="00E6298A" w:rsidRPr="00F43CEC" w14:paraId="0E27BB51" w14:textId="77777777" w:rsidTr="00AF6DEC">
        <w:trPr>
          <w:cantSplit/>
          <w:trHeight w:val="28"/>
        </w:trPr>
        <w:tc>
          <w:tcPr>
            <w:tcW w:w="2093" w:type="dxa"/>
            <w:shd w:val="clear" w:color="auto" w:fill="auto"/>
          </w:tcPr>
          <w:p w14:paraId="0E27BB4C" w14:textId="513AE863" w:rsidR="00E6298A" w:rsidRPr="00536454" w:rsidRDefault="00536454" w:rsidP="00536454">
            <w:pPr>
              <w:pStyle w:val="Bullet"/>
              <w:numPr>
                <w:ilvl w:val="0"/>
                <w:numId w:val="38"/>
              </w:numPr>
              <w:spacing w:before="0" w:after="0" w:line="240" w:lineRule="auto"/>
              <w:ind w:left="0"/>
              <w:jc w:val="left"/>
              <w:rPr>
                <w:rFonts w:cs="Arial"/>
                <w:sz w:val="20"/>
                <w:szCs w:val="20"/>
              </w:rPr>
            </w:pPr>
            <w:r w:rsidRPr="00536454">
              <w:rPr>
                <w:rFonts w:cs="Arial"/>
                <w:sz w:val="20"/>
                <w:szCs w:val="20"/>
              </w:rPr>
              <w:t>2.</w:t>
            </w:r>
            <w:r>
              <w:rPr>
                <w:rFonts w:cs="Arial"/>
                <w:sz w:val="20"/>
                <w:szCs w:val="20"/>
              </w:rPr>
              <w:t xml:space="preserve"> </w:t>
            </w:r>
            <w:r w:rsidRPr="00536454">
              <w:rPr>
                <w:rFonts w:cs="Arial"/>
                <w:sz w:val="20"/>
                <w:szCs w:val="20"/>
              </w:rPr>
              <w:t>Endorse PSDI’s focus on institutions.</w:t>
            </w:r>
          </w:p>
        </w:tc>
        <w:tc>
          <w:tcPr>
            <w:tcW w:w="2693" w:type="dxa"/>
            <w:tcBorders>
              <w:right w:val="single" w:sz="4" w:space="0" w:color="auto"/>
            </w:tcBorders>
            <w:shd w:val="clear" w:color="auto" w:fill="auto"/>
          </w:tcPr>
          <w:p w14:paraId="0E27BB4E" w14:textId="7009C6D8" w:rsidR="00E6298A" w:rsidRPr="00536454" w:rsidRDefault="0005389C" w:rsidP="00536454">
            <w:pPr>
              <w:spacing w:before="0"/>
              <w:rPr>
                <w:rFonts w:cs="Arial"/>
                <w:szCs w:val="20"/>
              </w:rPr>
            </w:pPr>
            <w:r>
              <w:rPr>
                <w:rFonts w:cs="Arial"/>
                <w:szCs w:val="20"/>
              </w:rPr>
              <w:t>Agree</w:t>
            </w:r>
          </w:p>
        </w:tc>
        <w:tc>
          <w:tcPr>
            <w:tcW w:w="3402" w:type="dxa"/>
            <w:tcBorders>
              <w:left w:val="single" w:sz="4" w:space="0" w:color="auto"/>
            </w:tcBorders>
            <w:shd w:val="clear" w:color="auto" w:fill="auto"/>
          </w:tcPr>
          <w:p w14:paraId="0E27BB4F" w14:textId="4909A9FB" w:rsidR="00E6298A" w:rsidRPr="00536454" w:rsidRDefault="0005389C" w:rsidP="00536454">
            <w:pPr>
              <w:spacing w:before="0"/>
              <w:rPr>
                <w:rFonts w:cs="Arial"/>
                <w:szCs w:val="20"/>
              </w:rPr>
            </w:pPr>
            <w:r>
              <w:rPr>
                <w:rFonts w:cs="Arial"/>
                <w:szCs w:val="20"/>
              </w:rPr>
              <w:t>Focus maintained in the design of Phase 3.</w:t>
            </w:r>
          </w:p>
        </w:tc>
        <w:tc>
          <w:tcPr>
            <w:tcW w:w="1666" w:type="dxa"/>
            <w:tcBorders>
              <w:left w:val="single" w:sz="4" w:space="0" w:color="auto"/>
            </w:tcBorders>
            <w:shd w:val="clear" w:color="auto" w:fill="auto"/>
          </w:tcPr>
          <w:p w14:paraId="0E27BB50" w14:textId="0FFF2B39" w:rsidR="00E6298A" w:rsidRPr="00536454" w:rsidRDefault="00536454" w:rsidP="00536454">
            <w:pPr>
              <w:spacing w:before="0"/>
              <w:rPr>
                <w:rFonts w:cs="Arial"/>
                <w:szCs w:val="20"/>
              </w:rPr>
            </w:pPr>
            <w:r w:rsidRPr="00536454">
              <w:rPr>
                <w:rFonts w:cs="Arial"/>
                <w:szCs w:val="20"/>
              </w:rPr>
              <w:t>AusAID</w:t>
            </w:r>
          </w:p>
        </w:tc>
      </w:tr>
      <w:tr w:rsidR="00536454" w:rsidRPr="00F43CEC" w14:paraId="791E12E2" w14:textId="77777777" w:rsidTr="00AF6DEC">
        <w:trPr>
          <w:cantSplit/>
          <w:trHeight w:val="260"/>
        </w:trPr>
        <w:tc>
          <w:tcPr>
            <w:tcW w:w="2093" w:type="dxa"/>
            <w:shd w:val="clear" w:color="auto" w:fill="auto"/>
          </w:tcPr>
          <w:p w14:paraId="23AEFFD2" w14:textId="36A5224F" w:rsidR="00536454" w:rsidRPr="00536454" w:rsidRDefault="00536454" w:rsidP="00536454">
            <w:pPr>
              <w:pStyle w:val="Bullet"/>
              <w:numPr>
                <w:ilvl w:val="0"/>
                <w:numId w:val="38"/>
              </w:numPr>
              <w:spacing w:before="0" w:after="0" w:line="240" w:lineRule="auto"/>
              <w:ind w:left="0"/>
              <w:jc w:val="left"/>
              <w:rPr>
                <w:rFonts w:cs="Arial"/>
                <w:sz w:val="20"/>
                <w:szCs w:val="20"/>
              </w:rPr>
            </w:pPr>
            <w:r w:rsidRPr="00536454">
              <w:rPr>
                <w:rFonts w:cs="Arial"/>
                <w:sz w:val="20"/>
                <w:szCs w:val="20"/>
              </w:rPr>
              <w:t>3.</w:t>
            </w:r>
            <w:r>
              <w:rPr>
                <w:rFonts w:cs="Arial"/>
                <w:sz w:val="20"/>
                <w:szCs w:val="20"/>
              </w:rPr>
              <w:t xml:space="preserve"> </w:t>
            </w:r>
            <w:r w:rsidRPr="00536454">
              <w:rPr>
                <w:rFonts w:cs="Arial"/>
                <w:sz w:val="20"/>
                <w:szCs w:val="20"/>
              </w:rPr>
              <w:t>Selectively use PSDI as part of AusAID’s PSD strategy.</w:t>
            </w:r>
          </w:p>
        </w:tc>
        <w:tc>
          <w:tcPr>
            <w:tcW w:w="2693" w:type="dxa"/>
            <w:tcBorders>
              <w:right w:val="single" w:sz="4" w:space="0" w:color="auto"/>
            </w:tcBorders>
            <w:shd w:val="clear" w:color="auto" w:fill="auto"/>
          </w:tcPr>
          <w:p w14:paraId="0B98EB64" w14:textId="50BB4AD4" w:rsidR="00536454" w:rsidRPr="00536454" w:rsidRDefault="00721865" w:rsidP="00536454">
            <w:pPr>
              <w:spacing w:before="0"/>
              <w:rPr>
                <w:rFonts w:cs="Arial"/>
                <w:szCs w:val="20"/>
              </w:rPr>
            </w:pPr>
            <w:r>
              <w:rPr>
                <w:rFonts w:cs="Arial"/>
                <w:szCs w:val="20"/>
              </w:rPr>
              <w:t>Agree</w:t>
            </w:r>
          </w:p>
        </w:tc>
        <w:tc>
          <w:tcPr>
            <w:tcW w:w="3402" w:type="dxa"/>
            <w:tcBorders>
              <w:left w:val="single" w:sz="4" w:space="0" w:color="auto"/>
            </w:tcBorders>
            <w:shd w:val="clear" w:color="auto" w:fill="auto"/>
          </w:tcPr>
          <w:p w14:paraId="048B157A" w14:textId="1AED2623" w:rsidR="00B55A04" w:rsidRPr="00536454" w:rsidRDefault="007A7EBD" w:rsidP="0005389C">
            <w:pPr>
              <w:spacing w:before="0"/>
              <w:rPr>
                <w:rFonts w:cs="Arial"/>
                <w:szCs w:val="20"/>
              </w:rPr>
            </w:pPr>
            <w:r w:rsidRPr="007A7EBD">
              <w:rPr>
                <w:rFonts w:cs="Arial"/>
                <w:szCs w:val="20"/>
              </w:rPr>
              <w:t>PSDI</w:t>
            </w:r>
            <w:r w:rsidR="0005389C">
              <w:rPr>
                <w:rFonts w:cs="Arial"/>
                <w:szCs w:val="20"/>
              </w:rPr>
              <w:t xml:space="preserve"> is consistent with the broad AusAID PSD Strategy, and is consistent with early thinking on a draft Pacific PSD Strategy. </w:t>
            </w:r>
          </w:p>
        </w:tc>
        <w:tc>
          <w:tcPr>
            <w:tcW w:w="1666" w:type="dxa"/>
            <w:tcBorders>
              <w:left w:val="single" w:sz="4" w:space="0" w:color="auto"/>
            </w:tcBorders>
            <w:shd w:val="clear" w:color="auto" w:fill="auto"/>
          </w:tcPr>
          <w:p w14:paraId="66C39AFF" w14:textId="21FCEFE4" w:rsidR="00536454" w:rsidRPr="00536454" w:rsidRDefault="00536454" w:rsidP="00536454">
            <w:pPr>
              <w:spacing w:before="0"/>
              <w:rPr>
                <w:rFonts w:cs="Arial"/>
                <w:szCs w:val="20"/>
              </w:rPr>
            </w:pPr>
            <w:r w:rsidRPr="00536454">
              <w:rPr>
                <w:rFonts w:cs="Arial"/>
                <w:szCs w:val="20"/>
              </w:rPr>
              <w:t>AusAID</w:t>
            </w:r>
          </w:p>
        </w:tc>
      </w:tr>
      <w:tr w:rsidR="00536454" w:rsidRPr="00F43CEC" w14:paraId="3C139349" w14:textId="77777777" w:rsidTr="00AF6DEC">
        <w:trPr>
          <w:cantSplit/>
          <w:trHeight w:val="28"/>
        </w:trPr>
        <w:tc>
          <w:tcPr>
            <w:tcW w:w="2093" w:type="dxa"/>
            <w:shd w:val="clear" w:color="auto" w:fill="auto"/>
          </w:tcPr>
          <w:p w14:paraId="23A964AA" w14:textId="1D54B02D" w:rsidR="00536454" w:rsidRPr="00536454" w:rsidRDefault="00536454" w:rsidP="00536454">
            <w:pPr>
              <w:pStyle w:val="Bullet"/>
              <w:numPr>
                <w:ilvl w:val="0"/>
                <w:numId w:val="38"/>
              </w:numPr>
              <w:spacing w:before="0" w:after="0" w:line="240" w:lineRule="auto"/>
              <w:ind w:left="0"/>
              <w:jc w:val="left"/>
              <w:rPr>
                <w:rFonts w:cs="Arial"/>
                <w:sz w:val="20"/>
                <w:szCs w:val="20"/>
              </w:rPr>
            </w:pPr>
            <w:r w:rsidRPr="00536454">
              <w:rPr>
                <w:rFonts w:cs="Arial"/>
                <w:sz w:val="20"/>
                <w:szCs w:val="20"/>
              </w:rPr>
              <w:t>4.</w:t>
            </w:r>
            <w:r>
              <w:rPr>
                <w:rFonts w:cs="Arial"/>
                <w:sz w:val="20"/>
                <w:szCs w:val="20"/>
              </w:rPr>
              <w:t xml:space="preserve"> </w:t>
            </w:r>
            <w:r w:rsidRPr="00536454">
              <w:rPr>
                <w:rFonts w:cs="Arial"/>
                <w:sz w:val="20"/>
                <w:szCs w:val="20"/>
              </w:rPr>
              <w:t>Rationalise the use of PSDI and IFC for similar initiatives.</w:t>
            </w:r>
          </w:p>
        </w:tc>
        <w:tc>
          <w:tcPr>
            <w:tcW w:w="2693" w:type="dxa"/>
            <w:tcBorders>
              <w:right w:val="single" w:sz="4" w:space="0" w:color="auto"/>
            </w:tcBorders>
            <w:shd w:val="clear" w:color="auto" w:fill="auto"/>
          </w:tcPr>
          <w:p w14:paraId="4C012FFE" w14:textId="0664202C" w:rsidR="00536454" w:rsidRDefault="009D4B42" w:rsidP="00536454">
            <w:pPr>
              <w:spacing w:before="0"/>
              <w:rPr>
                <w:rFonts w:cs="Arial"/>
                <w:szCs w:val="20"/>
              </w:rPr>
            </w:pPr>
            <w:r>
              <w:rPr>
                <w:rFonts w:cs="Arial"/>
                <w:szCs w:val="20"/>
              </w:rPr>
              <w:t>Partially Agree</w:t>
            </w:r>
          </w:p>
          <w:p w14:paraId="2968ADA6" w14:textId="77777777" w:rsidR="00721865" w:rsidRDefault="00721865" w:rsidP="00536454">
            <w:pPr>
              <w:spacing w:before="0"/>
              <w:rPr>
                <w:rFonts w:cs="Arial"/>
                <w:szCs w:val="20"/>
              </w:rPr>
            </w:pPr>
          </w:p>
          <w:p w14:paraId="34879F5B" w14:textId="2FDA7AF1" w:rsidR="00721865" w:rsidRPr="00536454" w:rsidRDefault="00721865" w:rsidP="00536454">
            <w:pPr>
              <w:spacing w:before="0"/>
              <w:rPr>
                <w:rFonts w:cs="Arial"/>
                <w:szCs w:val="20"/>
              </w:rPr>
            </w:pPr>
            <w:r>
              <w:rPr>
                <w:rFonts w:cs="Arial"/>
                <w:szCs w:val="20"/>
              </w:rPr>
              <w:t xml:space="preserve">As noted by the Evaluation report, the use of the IFC for, at times, similar interventions is indeed in different countries, thus not duplicating efforts. This is the case where it is more practicable from a comparative advantage perspective to engage the IFC. </w:t>
            </w:r>
          </w:p>
        </w:tc>
        <w:tc>
          <w:tcPr>
            <w:tcW w:w="3402" w:type="dxa"/>
            <w:tcBorders>
              <w:left w:val="single" w:sz="4" w:space="0" w:color="auto"/>
            </w:tcBorders>
            <w:shd w:val="clear" w:color="auto" w:fill="auto"/>
          </w:tcPr>
          <w:p w14:paraId="51F9387B" w14:textId="30B147D9" w:rsidR="00536454" w:rsidRPr="00536454" w:rsidRDefault="0005389C" w:rsidP="00536454">
            <w:pPr>
              <w:spacing w:before="0"/>
              <w:rPr>
                <w:rFonts w:cs="Arial"/>
                <w:szCs w:val="20"/>
              </w:rPr>
            </w:pPr>
            <w:r>
              <w:rPr>
                <w:rFonts w:cs="Arial"/>
                <w:szCs w:val="20"/>
              </w:rPr>
              <w:t>Continue to monitor IFC and PSDI activities to ensure there is no duplication.</w:t>
            </w:r>
          </w:p>
        </w:tc>
        <w:tc>
          <w:tcPr>
            <w:tcW w:w="1666" w:type="dxa"/>
            <w:tcBorders>
              <w:left w:val="single" w:sz="4" w:space="0" w:color="auto"/>
            </w:tcBorders>
            <w:shd w:val="clear" w:color="auto" w:fill="auto"/>
          </w:tcPr>
          <w:p w14:paraId="60F89907" w14:textId="7F8BD14B" w:rsidR="00536454" w:rsidRPr="00536454" w:rsidRDefault="00536454" w:rsidP="00536454">
            <w:pPr>
              <w:spacing w:before="0"/>
              <w:rPr>
                <w:rFonts w:cs="Arial"/>
                <w:szCs w:val="20"/>
              </w:rPr>
            </w:pPr>
            <w:r w:rsidRPr="00536454">
              <w:rPr>
                <w:rFonts w:cs="Arial"/>
                <w:szCs w:val="20"/>
              </w:rPr>
              <w:t>AusAID</w:t>
            </w:r>
          </w:p>
        </w:tc>
      </w:tr>
      <w:tr w:rsidR="00536454" w:rsidRPr="00F43CEC" w14:paraId="6C806F0D" w14:textId="77777777" w:rsidTr="00AF6DEC">
        <w:trPr>
          <w:cantSplit/>
          <w:trHeight w:val="28"/>
        </w:trPr>
        <w:tc>
          <w:tcPr>
            <w:tcW w:w="2093" w:type="dxa"/>
            <w:shd w:val="clear" w:color="auto" w:fill="auto"/>
          </w:tcPr>
          <w:p w14:paraId="400A85E3" w14:textId="649B0055" w:rsidR="00536454" w:rsidRPr="00536454" w:rsidRDefault="00536454" w:rsidP="00536454">
            <w:pPr>
              <w:pStyle w:val="Bullet"/>
              <w:numPr>
                <w:ilvl w:val="0"/>
                <w:numId w:val="38"/>
              </w:numPr>
              <w:spacing w:before="0" w:after="0" w:line="240" w:lineRule="auto"/>
              <w:ind w:left="0"/>
              <w:jc w:val="left"/>
              <w:rPr>
                <w:rFonts w:cs="Arial"/>
                <w:sz w:val="20"/>
                <w:szCs w:val="20"/>
              </w:rPr>
            </w:pPr>
            <w:r w:rsidRPr="00536454">
              <w:rPr>
                <w:rFonts w:cs="Arial"/>
                <w:sz w:val="20"/>
                <w:szCs w:val="20"/>
              </w:rPr>
              <w:t>5.</w:t>
            </w:r>
            <w:r>
              <w:rPr>
                <w:rFonts w:cs="Arial"/>
                <w:sz w:val="20"/>
                <w:szCs w:val="20"/>
              </w:rPr>
              <w:t xml:space="preserve"> </w:t>
            </w:r>
            <w:r w:rsidRPr="00536454">
              <w:rPr>
                <w:rFonts w:cs="Arial"/>
                <w:sz w:val="20"/>
                <w:szCs w:val="20"/>
              </w:rPr>
              <w:t>Take steps to increase awareness of PSDI within AusAID.</w:t>
            </w:r>
          </w:p>
        </w:tc>
        <w:tc>
          <w:tcPr>
            <w:tcW w:w="2693" w:type="dxa"/>
            <w:tcBorders>
              <w:right w:val="single" w:sz="4" w:space="0" w:color="auto"/>
            </w:tcBorders>
            <w:shd w:val="clear" w:color="auto" w:fill="auto"/>
          </w:tcPr>
          <w:p w14:paraId="0850448F" w14:textId="77777777" w:rsidR="00536454" w:rsidRDefault="00CC11D2" w:rsidP="00536454">
            <w:pPr>
              <w:spacing w:before="0"/>
              <w:rPr>
                <w:rFonts w:cs="Arial"/>
                <w:szCs w:val="20"/>
              </w:rPr>
            </w:pPr>
            <w:r>
              <w:rPr>
                <w:rFonts w:cs="Arial"/>
                <w:szCs w:val="20"/>
              </w:rPr>
              <w:t>Agree</w:t>
            </w:r>
          </w:p>
          <w:p w14:paraId="0A62D0B5" w14:textId="77777777" w:rsidR="00CC11D2" w:rsidRDefault="00CC11D2" w:rsidP="00536454">
            <w:pPr>
              <w:spacing w:before="0"/>
              <w:rPr>
                <w:rFonts w:cs="Arial"/>
                <w:szCs w:val="20"/>
              </w:rPr>
            </w:pPr>
          </w:p>
          <w:p w14:paraId="6EBF2616" w14:textId="0F5A550C" w:rsidR="00CC11D2" w:rsidRPr="00536454" w:rsidRDefault="00CC11D2" w:rsidP="00536454">
            <w:pPr>
              <w:spacing w:before="0"/>
              <w:rPr>
                <w:rFonts w:cs="Arial"/>
                <w:szCs w:val="20"/>
              </w:rPr>
            </w:pPr>
          </w:p>
        </w:tc>
        <w:tc>
          <w:tcPr>
            <w:tcW w:w="3402" w:type="dxa"/>
            <w:tcBorders>
              <w:left w:val="single" w:sz="4" w:space="0" w:color="auto"/>
            </w:tcBorders>
            <w:shd w:val="clear" w:color="auto" w:fill="auto"/>
          </w:tcPr>
          <w:p w14:paraId="247E66C9" w14:textId="0DDBA9A5" w:rsidR="007A7EBD" w:rsidRDefault="0005389C" w:rsidP="00536454">
            <w:pPr>
              <w:spacing w:before="0"/>
              <w:rPr>
                <w:rFonts w:cs="Arial"/>
                <w:szCs w:val="20"/>
              </w:rPr>
            </w:pPr>
            <w:r>
              <w:rPr>
                <w:rFonts w:cs="Arial"/>
                <w:szCs w:val="20"/>
              </w:rPr>
              <w:t xml:space="preserve">For Phase 3, greater steps will be taken to engage with the bilateral programs. </w:t>
            </w:r>
          </w:p>
          <w:p w14:paraId="362504EA" w14:textId="5001C2DE" w:rsidR="00536454" w:rsidRPr="00536454" w:rsidRDefault="0005389C" w:rsidP="00D459AC">
            <w:pPr>
              <w:spacing w:before="0"/>
              <w:rPr>
                <w:rFonts w:cs="Arial"/>
                <w:szCs w:val="20"/>
              </w:rPr>
            </w:pPr>
            <w:r>
              <w:rPr>
                <w:rFonts w:cs="Arial"/>
                <w:szCs w:val="20"/>
              </w:rPr>
              <w:t>ADB ha</w:t>
            </w:r>
            <w:r w:rsidR="00D459AC">
              <w:rPr>
                <w:rFonts w:cs="Arial"/>
                <w:szCs w:val="20"/>
              </w:rPr>
              <w:t>s</w:t>
            </w:r>
            <w:r>
              <w:rPr>
                <w:rFonts w:cs="Arial"/>
                <w:szCs w:val="20"/>
              </w:rPr>
              <w:t xml:space="preserve"> agreed to implement the </w:t>
            </w:r>
            <w:r w:rsidR="007A7EBD" w:rsidRPr="00CC11D2">
              <w:rPr>
                <w:rFonts w:cs="Arial"/>
                <w:szCs w:val="20"/>
              </w:rPr>
              <w:t>AusAID branding guidelines for multi-lateral partners</w:t>
            </w:r>
            <w:r>
              <w:rPr>
                <w:rFonts w:cs="Arial"/>
                <w:szCs w:val="20"/>
              </w:rPr>
              <w:t xml:space="preserve"> and ensure </w:t>
            </w:r>
            <w:r w:rsidR="00CC11D2" w:rsidRPr="00CC11D2">
              <w:rPr>
                <w:rFonts w:cs="Arial"/>
                <w:szCs w:val="20"/>
              </w:rPr>
              <w:t>adequate recognition for AusAID’s contribution. This will further address the concerns of the PSDI being too closely associated with mainstream ADB activities.</w:t>
            </w:r>
          </w:p>
        </w:tc>
        <w:tc>
          <w:tcPr>
            <w:tcW w:w="1666" w:type="dxa"/>
            <w:tcBorders>
              <w:left w:val="single" w:sz="4" w:space="0" w:color="auto"/>
            </w:tcBorders>
            <w:shd w:val="clear" w:color="auto" w:fill="auto"/>
          </w:tcPr>
          <w:p w14:paraId="453A66A4" w14:textId="146D9C8C" w:rsidR="00536454" w:rsidRPr="00536454" w:rsidRDefault="00536454" w:rsidP="00536454">
            <w:pPr>
              <w:spacing w:before="0"/>
              <w:rPr>
                <w:rFonts w:cs="Arial"/>
                <w:szCs w:val="20"/>
              </w:rPr>
            </w:pPr>
            <w:r w:rsidRPr="00536454">
              <w:rPr>
                <w:rFonts w:cs="Arial"/>
                <w:szCs w:val="20"/>
              </w:rPr>
              <w:t>AusAID</w:t>
            </w:r>
            <w:r w:rsidR="0005389C">
              <w:rPr>
                <w:rFonts w:cs="Arial"/>
                <w:szCs w:val="20"/>
              </w:rPr>
              <w:t xml:space="preserve"> &amp; ADB</w:t>
            </w:r>
          </w:p>
        </w:tc>
      </w:tr>
      <w:tr w:rsidR="00536454" w:rsidRPr="00F43CEC" w14:paraId="5800D9C5" w14:textId="77777777" w:rsidTr="00AF6DEC">
        <w:trPr>
          <w:cantSplit/>
          <w:trHeight w:val="885"/>
        </w:trPr>
        <w:tc>
          <w:tcPr>
            <w:tcW w:w="2093" w:type="dxa"/>
            <w:shd w:val="clear" w:color="auto" w:fill="auto"/>
          </w:tcPr>
          <w:p w14:paraId="120DFBC8" w14:textId="2A11C531" w:rsidR="00536454" w:rsidRPr="00536454" w:rsidRDefault="00536454" w:rsidP="00536454">
            <w:pPr>
              <w:pStyle w:val="Bullet"/>
              <w:numPr>
                <w:ilvl w:val="0"/>
                <w:numId w:val="38"/>
              </w:numPr>
              <w:spacing w:before="0" w:after="0" w:line="240" w:lineRule="auto"/>
              <w:ind w:left="0"/>
              <w:jc w:val="left"/>
              <w:rPr>
                <w:rFonts w:cs="Arial"/>
                <w:sz w:val="20"/>
                <w:szCs w:val="20"/>
              </w:rPr>
            </w:pPr>
            <w:r>
              <w:rPr>
                <w:rFonts w:cs="Arial"/>
                <w:sz w:val="20"/>
                <w:szCs w:val="20"/>
              </w:rPr>
              <w:t xml:space="preserve">6. </w:t>
            </w:r>
            <w:r w:rsidRPr="00536454">
              <w:rPr>
                <w:rFonts w:cs="Arial"/>
                <w:sz w:val="20"/>
                <w:szCs w:val="20"/>
              </w:rPr>
              <w:t>Endorse PSDI as a distinctive technical assistance modality within ADB.</w:t>
            </w:r>
          </w:p>
        </w:tc>
        <w:tc>
          <w:tcPr>
            <w:tcW w:w="2693" w:type="dxa"/>
            <w:tcBorders>
              <w:right w:val="single" w:sz="4" w:space="0" w:color="auto"/>
            </w:tcBorders>
            <w:shd w:val="clear" w:color="auto" w:fill="auto"/>
          </w:tcPr>
          <w:p w14:paraId="12412B05" w14:textId="77777777" w:rsidR="00536454" w:rsidRDefault="00721865" w:rsidP="00536454">
            <w:pPr>
              <w:spacing w:before="0"/>
              <w:rPr>
                <w:rFonts w:cs="Arial"/>
                <w:szCs w:val="20"/>
              </w:rPr>
            </w:pPr>
            <w:r>
              <w:rPr>
                <w:rFonts w:cs="Arial"/>
                <w:szCs w:val="20"/>
              </w:rPr>
              <w:t>Partially Agree</w:t>
            </w:r>
          </w:p>
          <w:p w14:paraId="3D80E373" w14:textId="4C1B6CB1" w:rsidR="00721865" w:rsidRPr="00536454" w:rsidRDefault="00721865" w:rsidP="00721865">
            <w:pPr>
              <w:spacing w:before="0"/>
              <w:rPr>
                <w:rFonts w:cs="Arial"/>
                <w:szCs w:val="20"/>
              </w:rPr>
            </w:pPr>
          </w:p>
        </w:tc>
        <w:tc>
          <w:tcPr>
            <w:tcW w:w="3402" w:type="dxa"/>
            <w:tcBorders>
              <w:left w:val="single" w:sz="4" w:space="0" w:color="auto"/>
            </w:tcBorders>
            <w:shd w:val="clear" w:color="auto" w:fill="auto"/>
          </w:tcPr>
          <w:p w14:paraId="14A28AAC" w14:textId="43B63B8B" w:rsidR="00536454" w:rsidRPr="00536454" w:rsidRDefault="0005389C" w:rsidP="0005389C">
            <w:pPr>
              <w:spacing w:before="0"/>
              <w:rPr>
                <w:rFonts w:cs="Arial"/>
                <w:szCs w:val="20"/>
              </w:rPr>
            </w:pPr>
            <w:r>
              <w:rPr>
                <w:rFonts w:cs="Arial"/>
                <w:szCs w:val="20"/>
              </w:rPr>
              <w:t xml:space="preserve">The </w:t>
            </w:r>
            <w:r w:rsidR="00721865">
              <w:rPr>
                <w:rFonts w:cs="Arial"/>
                <w:szCs w:val="20"/>
              </w:rPr>
              <w:t xml:space="preserve">use of AusAID branding in Phase 3 will </w:t>
            </w:r>
            <w:r>
              <w:rPr>
                <w:rFonts w:cs="Arial"/>
                <w:szCs w:val="20"/>
              </w:rPr>
              <w:t xml:space="preserve">go help </w:t>
            </w:r>
            <w:r w:rsidR="00721865">
              <w:rPr>
                <w:rFonts w:cs="Arial"/>
                <w:szCs w:val="20"/>
              </w:rPr>
              <w:t xml:space="preserve">distinguish PSDI from other ADB activities. </w:t>
            </w:r>
          </w:p>
        </w:tc>
        <w:tc>
          <w:tcPr>
            <w:tcW w:w="1666" w:type="dxa"/>
            <w:tcBorders>
              <w:left w:val="single" w:sz="4" w:space="0" w:color="auto"/>
            </w:tcBorders>
            <w:shd w:val="clear" w:color="auto" w:fill="auto"/>
          </w:tcPr>
          <w:p w14:paraId="3AAE9E6F" w14:textId="18B8DAF6" w:rsidR="00536454" w:rsidRPr="00536454" w:rsidRDefault="00536454" w:rsidP="00536454">
            <w:pPr>
              <w:spacing w:before="0"/>
              <w:rPr>
                <w:rFonts w:cs="Arial"/>
                <w:szCs w:val="20"/>
              </w:rPr>
            </w:pPr>
            <w:r>
              <w:rPr>
                <w:rFonts w:cs="Arial"/>
                <w:szCs w:val="20"/>
              </w:rPr>
              <w:t>ADB</w:t>
            </w:r>
          </w:p>
        </w:tc>
      </w:tr>
      <w:tr w:rsidR="00536454" w:rsidRPr="00F43CEC" w14:paraId="2DFA3DF0" w14:textId="77777777" w:rsidTr="00AF6DEC">
        <w:trPr>
          <w:cantSplit/>
          <w:trHeight w:val="434"/>
        </w:trPr>
        <w:tc>
          <w:tcPr>
            <w:tcW w:w="2093" w:type="dxa"/>
            <w:shd w:val="clear" w:color="auto" w:fill="auto"/>
          </w:tcPr>
          <w:p w14:paraId="3212E85E" w14:textId="691C1BCE" w:rsidR="00536454" w:rsidRPr="00536454" w:rsidRDefault="00536454" w:rsidP="00536454">
            <w:pPr>
              <w:pStyle w:val="Bullet"/>
              <w:numPr>
                <w:ilvl w:val="0"/>
                <w:numId w:val="38"/>
              </w:numPr>
              <w:spacing w:before="0" w:after="0" w:line="240" w:lineRule="auto"/>
              <w:ind w:left="0"/>
              <w:jc w:val="left"/>
              <w:rPr>
                <w:rFonts w:cs="Arial"/>
                <w:sz w:val="20"/>
                <w:szCs w:val="20"/>
              </w:rPr>
            </w:pPr>
            <w:r>
              <w:rPr>
                <w:rFonts w:cs="Arial"/>
                <w:sz w:val="20"/>
                <w:szCs w:val="20"/>
              </w:rPr>
              <w:t xml:space="preserve">7. </w:t>
            </w:r>
            <w:r w:rsidRPr="00536454">
              <w:rPr>
                <w:rFonts w:cs="Arial"/>
                <w:sz w:val="20"/>
                <w:szCs w:val="20"/>
              </w:rPr>
              <w:t>Structure PSDI as an organisational unit within PLCO.</w:t>
            </w:r>
          </w:p>
        </w:tc>
        <w:tc>
          <w:tcPr>
            <w:tcW w:w="2693" w:type="dxa"/>
            <w:tcBorders>
              <w:right w:val="single" w:sz="4" w:space="0" w:color="auto"/>
            </w:tcBorders>
            <w:shd w:val="clear" w:color="auto" w:fill="auto"/>
          </w:tcPr>
          <w:p w14:paraId="1A692D0D" w14:textId="7B6FCF95" w:rsidR="00536454" w:rsidRPr="00536454" w:rsidRDefault="0005389C" w:rsidP="00536454">
            <w:pPr>
              <w:spacing w:before="0"/>
              <w:rPr>
                <w:rFonts w:cs="Arial"/>
                <w:szCs w:val="20"/>
              </w:rPr>
            </w:pPr>
            <w:r>
              <w:rPr>
                <w:rFonts w:cs="Arial"/>
                <w:szCs w:val="20"/>
              </w:rPr>
              <w:t>Disagree</w:t>
            </w:r>
          </w:p>
        </w:tc>
        <w:tc>
          <w:tcPr>
            <w:tcW w:w="3402" w:type="dxa"/>
            <w:tcBorders>
              <w:left w:val="single" w:sz="4" w:space="0" w:color="auto"/>
            </w:tcBorders>
            <w:shd w:val="clear" w:color="auto" w:fill="auto"/>
          </w:tcPr>
          <w:p w14:paraId="4FF20977" w14:textId="09305D92" w:rsidR="00536454" w:rsidRPr="007A7EBD" w:rsidRDefault="0005389C" w:rsidP="0005389C">
            <w:pPr>
              <w:spacing w:before="0"/>
              <w:rPr>
                <w:rFonts w:cs="Arial"/>
                <w:szCs w:val="20"/>
              </w:rPr>
            </w:pPr>
            <w:r>
              <w:rPr>
                <w:rFonts w:cs="Arial"/>
                <w:szCs w:val="20"/>
              </w:rPr>
              <w:t>After careful consideration by the ADB Regional Director and AusAID Program Manager, it has been agreed that the current structure is suitable given the strong awareness of ADB management.</w:t>
            </w:r>
          </w:p>
        </w:tc>
        <w:tc>
          <w:tcPr>
            <w:tcW w:w="1666" w:type="dxa"/>
            <w:tcBorders>
              <w:left w:val="single" w:sz="4" w:space="0" w:color="auto"/>
            </w:tcBorders>
            <w:shd w:val="clear" w:color="auto" w:fill="auto"/>
          </w:tcPr>
          <w:p w14:paraId="1361E77C" w14:textId="1E348888" w:rsidR="00536454" w:rsidRPr="00536454" w:rsidRDefault="00536454" w:rsidP="00536454">
            <w:pPr>
              <w:spacing w:before="0"/>
              <w:rPr>
                <w:rFonts w:cs="Arial"/>
                <w:szCs w:val="20"/>
              </w:rPr>
            </w:pPr>
            <w:r>
              <w:rPr>
                <w:rFonts w:cs="Arial"/>
                <w:szCs w:val="20"/>
              </w:rPr>
              <w:t>ADB</w:t>
            </w:r>
          </w:p>
        </w:tc>
      </w:tr>
      <w:tr w:rsidR="00536454" w:rsidRPr="00F43CEC" w14:paraId="597B1330" w14:textId="77777777" w:rsidTr="00AF6DEC">
        <w:trPr>
          <w:cantSplit/>
          <w:trHeight w:val="885"/>
        </w:trPr>
        <w:tc>
          <w:tcPr>
            <w:tcW w:w="2093" w:type="dxa"/>
            <w:shd w:val="clear" w:color="auto" w:fill="auto"/>
          </w:tcPr>
          <w:p w14:paraId="066E640F" w14:textId="2A3DA9C8" w:rsidR="00536454" w:rsidRPr="00536454" w:rsidRDefault="00536454" w:rsidP="00536454">
            <w:pPr>
              <w:pStyle w:val="Bullet"/>
              <w:numPr>
                <w:ilvl w:val="0"/>
                <w:numId w:val="38"/>
              </w:numPr>
              <w:spacing w:before="0" w:after="0" w:line="240" w:lineRule="auto"/>
              <w:ind w:left="0"/>
              <w:jc w:val="left"/>
              <w:rPr>
                <w:rFonts w:cs="Arial"/>
                <w:sz w:val="20"/>
                <w:szCs w:val="20"/>
              </w:rPr>
            </w:pPr>
            <w:r>
              <w:rPr>
                <w:rFonts w:cs="Arial"/>
                <w:sz w:val="20"/>
                <w:szCs w:val="20"/>
              </w:rPr>
              <w:lastRenderedPageBreak/>
              <w:t xml:space="preserve">8. </w:t>
            </w:r>
            <w:r w:rsidRPr="00536454">
              <w:rPr>
                <w:rFonts w:cs="Arial"/>
                <w:sz w:val="20"/>
                <w:szCs w:val="20"/>
              </w:rPr>
              <w:t>Make the organisational changes that are needed to underpin continuity of core consultants and the longer-term replenishment of this consulting base.</w:t>
            </w:r>
          </w:p>
        </w:tc>
        <w:tc>
          <w:tcPr>
            <w:tcW w:w="2693" w:type="dxa"/>
            <w:tcBorders>
              <w:right w:val="single" w:sz="4" w:space="0" w:color="auto"/>
            </w:tcBorders>
            <w:shd w:val="clear" w:color="auto" w:fill="auto"/>
          </w:tcPr>
          <w:p w14:paraId="540145CD" w14:textId="194123E3" w:rsidR="00536454" w:rsidRPr="00536454" w:rsidRDefault="0005389C" w:rsidP="00536454">
            <w:pPr>
              <w:spacing w:before="0"/>
              <w:rPr>
                <w:rFonts w:cs="Arial"/>
                <w:szCs w:val="20"/>
              </w:rPr>
            </w:pPr>
            <w:r>
              <w:rPr>
                <w:rFonts w:cs="Arial"/>
                <w:szCs w:val="20"/>
              </w:rPr>
              <w:t xml:space="preserve">Partially </w:t>
            </w:r>
            <w:r w:rsidR="007A7EBD">
              <w:rPr>
                <w:rFonts w:cs="Arial"/>
                <w:szCs w:val="20"/>
              </w:rPr>
              <w:t>Agree</w:t>
            </w:r>
          </w:p>
        </w:tc>
        <w:tc>
          <w:tcPr>
            <w:tcW w:w="3402" w:type="dxa"/>
            <w:tcBorders>
              <w:left w:val="single" w:sz="4" w:space="0" w:color="auto"/>
            </w:tcBorders>
            <w:shd w:val="clear" w:color="auto" w:fill="auto"/>
          </w:tcPr>
          <w:p w14:paraId="4FDFA5B5" w14:textId="1AA23EE5" w:rsidR="00536454" w:rsidRPr="007A7EBD" w:rsidRDefault="007A7EBD" w:rsidP="0005389C">
            <w:pPr>
              <w:spacing w:before="0"/>
            </w:pPr>
            <w:r w:rsidRPr="007A7EBD">
              <w:rPr>
                <w:rFonts w:cs="Arial"/>
                <w:szCs w:val="22"/>
              </w:rPr>
              <w:t xml:space="preserve">The concerns raised in the Independent Evaluation regarding the core consulting base have been reviewed by the ADB Regional Director in close consultation with the AusAID Program Manager. </w:t>
            </w:r>
            <w:r w:rsidR="0005389C">
              <w:rPr>
                <w:rFonts w:cs="Arial"/>
                <w:szCs w:val="22"/>
              </w:rPr>
              <w:t>ADB and AusAID have taken steps to get early approval for Phase 3 to provide certainty for contractors and enable ADB to renew contracts early enough to provide certainty and continuity to core consultants.</w:t>
            </w:r>
          </w:p>
        </w:tc>
        <w:tc>
          <w:tcPr>
            <w:tcW w:w="1666" w:type="dxa"/>
            <w:tcBorders>
              <w:left w:val="single" w:sz="4" w:space="0" w:color="auto"/>
            </w:tcBorders>
            <w:shd w:val="clear" w:color="auto" w:fill="auto"/>
          </w:tcPr>
          <w:p w14:paraId="51E50198" w14:textId="6066802D" w:rsidR="00536454" w:rsidRPr="00536454" w:rsidRDefault="00536454" w:rsidP="00536454">
            <w:pPr>
              <w:spacing w:before="0"/>
              <w:rPr>
                <w:rFonts w:cs="Arial"/>
                <w:szCs w:val="20"/>
              </w:rPr>
            </w:pPr>
            <w:r>
              <w:rPr>
                <w:rFonts w:cs="Arial"/>
                <w:szCs w:val="20"/>
              </w:rPr>
              <w:t>ADB</w:t>
            </w:r>
          </w:p>
        </w:tc>
      </w:tr>
      <w:tr w:rsidR="00536454" w:rsidRPr="00F43CEC" w14:paraId="33098811" w14:textId="77777777" w:rsidTr="00AF6DEC">
        <w:trPr>
          <w:cantSplit/>
          <w:trHeight w:val="885"/>
        </w:trPr>
        <w:tc>
          <w:tcPr>
            <w:tcW w:w="2093" w:type="dxa"/>
            <w:shd w:val="clear" w:color="auto" w:fill="auto"/>
          </w:tcPr>
          <w:p w14:paraId="44A3E082" w14:textId="1AA72165" w:rsidR="00536454" w:rsidRPr="00536454" w:rsidRDefault="00536454" w:rsidP="00536454">
            <w:pPr>
              <w:pStyle w:val="Bullet"/>
              <w:numPr>
                <w:ilvl w:val="0"/>
                <w:numId w:val="38"/>
              </w:numPr>
              <w:spacing w:before="0" w:after="0" w:line="240" w:lineRule="auto"/>
              <w:ind w:left="0"/>
              <w:jc w:val="left"/>
              <w:rPr>
                <w:rFonts w:cs="Arial"/>
                <w:sz w:val="20"/>
                <w:szCs w:val="20"/>
              </w:rPr>
            </w:pPr>
            <w:r>
              <w:rPr>
                <w:rFonts w:cs="Arial"/>
                <w:sz w:val="20"/>
                <w:szCs w:val="20"/>
              </w:rPr>
              <w:t xml:space="preserve">9. </w:t>
            </w:r>
            <w:r w:rsidRPr="00536454">
              <w:rPr>
                <w:rFonts w:cs="Arial"/>
                <w:sz w:val="20"/>
                <w:szCs w:val="20"/>
              </w:rPr>
              <w:t>Continue the development of the in-house M&amp;E framework rather than adopting the DCED standard.</w:t>
            </w:r>
          </w:p>
        </w:tc>
        <w:tc>
          <w:tcPr>
            <w:tcW w:w="2693" w:type="dxa"/>
            <w:tcBorders>
              <w:right w:val="single" w:sz="4" w:space="0" w:color="auto"/>
            </w:tcBorders>
            <w:shd w:val="clear" w:color="auto" w:fill="auto"/>
          </w:tcPr>
          <w:p w14:paraId="5DE8B344" w14:textId="5AC7F8FB" w:rsidR="00536454" w:rsidRPr="00536454" w:rsidRDefault="007A7EBD" w:rsidP="00536454">
            <w:pPr>
              <w:spacing w:before="0"/>
              <w:rPr>
                <w:rFonts w:cs="Arial"/>
                <w:szCs w:val="20"/>
              </w:rPr>
            </w:pPr>
            <w:r>
              <w:rPr>
                <w:rFonts w:cs="Arial"/>
                <w:szCs w:val="20"/>
              </w:rPr>
              <w:t>Agree</w:t>
            </w:r>
          </w:p>
        </w:tc>
        <w:tc>
          <w:tcPr>
            <w:tcW w:w="3402" w:type="dxa"/>
            <w:tcBorders>
              <w:left w:val="single" w:sz="4" w:space="0" w:color="auto"/>
            </w:tcBorders>
            <w:shd w:val="clear" w:color="auto" w:fill="auto"/>
          </w:tcPr>
          <w:p w14:paraId="433221F4" w14:textId="6CD8DFCF" w:rsidR="00536454" w:rsidRPr="00536454" w:rsidRDefault="00CC11D2" w:rsidP="00536454">
            <w:pPr>
              <w:spacing w:before="0"/>
              <w:rPr>
                <w:rFonts w:cs="Arial"/>
                <w:szCs w:val="20"/>
              </w:rPr>
            </w:pPr>
            <w:r w:rsidRPr="00CC11D2">
              <w:rPr>
                <w:rFonts w:cs="Arial"/>
                <w:szCs w:val="20"/>
              </w:rPr>
              <w:t>The M&amp;E tool has been strengthened and AusAID will continue to encourage full utilisation of the tool for evaluation and management purposes.</w:t>
            </w:r>
          </w:p>
        </w:tc>
        <w:tc>
          <w:tcPr>
            <w:tcW w:w="1666" w:type="dxa"/>
            <w:tcBorders>
              <w:left w:val="single" w:sz="4" w:space="0" w:color="auto"/>
            </w:tcBorders>
            <w:shd w:val="clear" w:color="auto" w:fill="auto"/>
          </w:tcPr>
          <w:p w14:paraId="754D56D8" w14:textId="57503615" w:rsidR="00536454" w:rsidRPr="00536454" w:rsidRDefault="00536454" w:rsidP="00536454">
            <w:pPr>
              <w:spacing w:before="0"/>
              <w:rPr>
                <w:rFonts w:cs="Arial"/>
                <w:szCs w:val="20"/>
              </w:rPr>
            </w:pPr>
            <w:r>
              <w:rPr>
                <w:rFonts w:cs="Arial"/>
                <w:szCs w:val="20"/>
              </w:rPr>
              <w:t>PSDI Team</w:t>
            </w:r>
          </w:p>
        </w:tc>
      </w:tr>
      <w:tr w:rsidR="00536454" w:rsidRPr="00F43CEC" w14:paraId="521D4DEC" w14:textId="77777777" w:rsidTr="00AF6DEC">
        <w:trPr>
          <w:cantSplit/>
          <w:trHeight w:val="885"/>
        </w:trPr>
        <w:tc>
          <w:tcPr>
            <w:tcW w:w="2093" w:type="dxa"/>
            <w:shd w:val="clear" w:color="auto" w:fill="auto"/>
          </w:tcPr>
          <w:p w14:paraId="0F5E70F9" w14:textId="6C99A24D" w:rsidR="00536454" w:rsidRPr="00536454" w:rsidRDefault="00536454" w:rsidP="00536454">
            <w:pPr>
              <w:pStyle w:val="Bullet"/>
              <w:numPr>
                <w:ilvl w:val="0"/>
                <w:numId w:val="38"/>
              </w:numPr>
              <w:spacing w:before="0" w:after="0" w:line="240" w:lineRule="auto"/>
              <w:ind w:left="0"/>
              <w:jc w:val="left"/>
              <w:rPr>
                <w:rFonts w:cs="Arial"/>
                <w:sz w:val="20"/>
                <w:szCs w:val="20"/>
              </w:rPr>
            </w:pPr>
            <w:r>
              <w:rPr>
                <w:rFonts w:cs="Arial"/>
                <w:sz w:val="20"/>
                <w:szCs w:val="20"/>
              </w:rPr>
              <w:t xml:space="preserve">10. </w:t>
            </w:r>
            <w:r w:rsidRPr="00536454">
              <w:rPr>
                <w:rFonts w:cs="Arial"/>
                <w:sz w:val="20"/>
                <w:szCs w:val="20"/>
              </w:rPr>
              <w:t>Give consideration to how PSDI’s focus on institutions and its analytical approach can be periodically validated and how the supporting material on Pacific PSD that predates PSDI can be incorporated into the M&amp;E database.</w:t>
            </w:r>
          </w:p>
        </w:tc>
        <w:tc>
          <w:tcPr>
            <w:tcW w:w="2693" w:type="dxa"/>
            <w:tcBorders>
              <w:right w:val="single" w:sz="4" w:space="0" w:color="auto"/>
            </w:tcBorders>
            <w:shd w:val="clear" w:color="auto" w:fill="auto"/>
          </w:tcPr>
          <w:p w14:paraId="3520AA91" w14:textId="0D27E349" w:rsidR="00536454" w:rsidRPr="00536454" w:rsidRDefault="0005389C" w:rsidP="00536454">
            <w:pPr>
              <w:spacing w:before="0"/>
              <w:rPr>
                <w:rFonts w:cs="Arial"/>
                <w:szCs w:val="20"/>
              </w:rPr>
            </w:pPr>
            <w:r>
              <w:rPr>
                <w:rFonts w:cs="Arial"/>
                <w:szCs w:val="20"/>
              </w:rPr>
              <w:t>Agree</w:t>
            </w:r>
          </w:p>
        </w:tc>
        <w:tc>
          <w:tcPr>
            <w:tcW w:w="3402" w:type="dxa"/>
            <w:tcBorders>
              <w:left w:val="single" w:sz="4" w:space="0" w:color="auto"/>
            </w:tcBorders>
            <w:shd w:val="clear" w:color="auto" w:fill="auto"/>
          </w:tcPr>
          <w:p w14:paraId="413C59A9" w14:textId="4E4731A0" w:rsidR="00536454" w:rsidRPr="00536454" w:rsidRDefault="0005389C" w:rsidP="00536454">
            <w:pPr>
              <w:spacing w:before="0"/>
              <w:rPr>
                <w:rFonts w:cs="Arial"/>
                <w:szCs w:val="20"/>
              </w:rPr>
            </w:pPr>
            <w:r>
              <w:rPr>
                <w:rFonts w:cs="Arial"/>
                <w:szCs w:val="20"/>
              </w:rPr>
              <w:t>No action</w:t>
            </w:r>
          </w:p>
        </w:tc>
        <w:tc>
          <w:tcPr>
            <w:tcW w:w="1666" w:type="dxa"/>
            <w:tcBorders>
              <w:left w:val="single" w:sz="4" w:space="0" w:color="auto"/>
            </w:tcBorders>
            <w:shd w:val="clear" w:color="auto" w:fill="auto"/>
          </w:tcPr>
          <w:p w14:paraId="43489232" w14:textId="71243570" w:rsidR="00536454" w:rsidRPr="00536454" w:rsidRDefault="00536454" w:rsidP="00536454">
            <w:pPr>
              <w:spacing w:before="0"/>
              <w:rPr>
                <w:rFonts w:cs="Arial"/>
                <w:szCs w:val="20"/>
              </w:rPr>
            </w:pPr>
            <w:r>
              <w:rPr>
                <w:rFonts w:cs="Arial"/>
                <w:szCs w:val="20"/>
              </w:rPr>
              <w:t>PSDI Team</w:t>
            </w:r>
          </w:p>
        </w:tc>
      </w:tr>
      <w:tr w:rsidR="00536454" w:rsidRPr="00F43CEC" w14:paraId="1E58B7C2" w14:textId="77777777" w:rsidTr="00AF6DEC">
        <w:trPr>
          <w:cantSplit/>
          <w:trHeight w:val="885"/>
        </w:trPr>
        <w:tc>
          <w:tcPr>
            <w:tcW w:w="2093" w:type="dxa"/>
            <w:shd w:val="clear" w:color="auto" w:fill="auto"/>
          </w:tcPr>
          <w:p w14:paraId="09286102" w14:textId="5CF45197" w:rsidR="00536454" w:rsidRPr="00536454" w:rsidRDefault="00536454" w:rsidP="00536454">
            <w:pPr>
              <w:pStyle w:val="Bullet"/>
              <w:numPr>
                <w:ilvl w:val="0"/>
                <w:numId w:val="38"/>
              </w:numPr>
              <w:spacing w:before="0" w:after="0" w:line="240" w:lineRule="auto"/>
              <w:ind w:left="0"/>
              <w:jc w:val="left"/>
              <w:rPr>
                <w:rFonts w:cs="Arial"/>
                <w:sz w:val="20"/>
                <w:szCs w:val="20"/>
              </w:rPr>
            </w:pPr>
            <w:r>
              <w:rPr>
                <w:rFonts w:cs="Arial"/>
                <w:sz w:val="20"/>
                <w:szCs w:val="20"/>
              </w:rPr>
              <w:t xml:space="preserve">11. </w:t>
            </w:r>
            <w:r w:rsidRPr="00536454">
              <w:rPr>
                <w:rFonts w:cs="Arial"/>
                <w:sz w:val="20"/>
                <w:szCs w:val="20"/>
              </w:rPr>
              <w:t>Develop additional briefing materials that present the PSDI ‘vision’ in terms of the phased approach to institutional constraints in PSDI constituent countries.</w:t>
            </w:r>
          </w:p>
        </w:tc>
        <w:tc>
          <w:tcPr>
            <w:tcW w:w="2693" w:type="dxa"/>
            <w:tcBorders>
              <w:right w:val="single" w:sz="4" w:space="0" w:color="auto"/>
            </w:tcBorders>
            <w:shd w:val="clear" w:color="auto" w:fill="auto"/>
          </w:tcPr>
          <w:p w14:paraId="6D1E40F2" w14:textId="4A32F414" w:rsidR="00536454" w:rsidRPr="00536454" w:rsidRDefault="009D4B42" w:rsidP="00536454">
            <w:pPr>
              <w:spacing w:before="0"/>
              <w:rPr>
                <w:rFonts w:cs="Arial"/>
                <w:szCs w:val="20"/>
              </w:rPr>
            </w:pPr>
            <w:r>
              <w:rPr>
                <w:rFonts w:cs="Arial"/>
                <w:szCs w:val="20"/>
              </w:rPr>
              <w:t>Agree</w:t>
            </w:r>
          </w:p>
        </w:tc>
        <w:tc>
          <w:tcPr>
            <w:tcW w:w="3402" w:type="dxa"/>
            <w:tcBorders>
              <w:left w:val="single" w:sz="4" w:space="0" w:color="auto"/>
            </w:tcBorders>
            <w:shd w:val="clear" w:color="auto" w:fill="auto"/>
          </w:tcPr>
          <w:p w14:paraId="3CAE7F19" w14:textId="02DB97D2" w:rsidR="00536454" w:rsidRPr="00536454" w:rsidRDefault="009D4B42" w:rsidP="009D4B42">
            <w:pPr>
              <w:spacing w:before="0"/>
              <w:rPr>
                <w:rFonts w:cs="Arial"/>
                <w:szCs w:val="20"/>
              </w:rPr>
            </w:pPr>
            <w:r>
              <w:rPr>
                <w:rFonts w:cs="Arial"/>
                <w:szCs w:val="20"/>
              </w:rPr>
              <w:t xml:space="preserve">A communications specialist has already been </w:t>
            </w:r>
            <w:r w:rsidR="00BB7FD0">
              <w:rPr>
                <w:rFonts w:cs="Arial"/>
                <w:szCs w:val="20"/>
              </w:rPr>
              <w:t>engaged</w:t>
            </w:r>
            <w:r w:rsidR="004700E8">
              <w:rPr>
                <w:rFonts w:cs="Arial"/>
                <w:szCs w:val="20"/>
              </w:rPr>
              <w:t xml:space="preserve"> by PSDI</w:t>
            </w:r>
            <w:r w:rsidR="00BB7FD0">
              <w:rPr>
                <w:rFonts w:cs="Arial"/>
                <w:szCs w:val="20"/>
              </w:rPr>
              <w:t xml:space="preserve"> to prepare materials on the PSDI approach.</w:t>
            </w:r>
            <w:r>
              <w:rPr>
                <w:rFonts w:cs="Arial"/>
                <w:szCs w:val="20"/>
              </w:rPr>
              <w:t xml:space="preserve"> </w:t>
            </w:r>
          </w:p>
        </w:tc>
        <w:tc>
          <w:tcPr>
            <w:tcW w:w="1666" w:type="dxa"/>
            <w:tcBorders>
              <w:left w:val="single" w:sz="4" w:space="0" w:color="auto"/>
            </w:tcBorders>
            <w:shd w:val="clear" w:color="auto" w:fill="auto"/>
          </w:tcPr>
          <w:p w14:paraId="0D4EAD3D" w14:textId="15230A1E" w:rsidR="00536454" w:rsidRPr="00536454" w:rsidRDefault="00536454" w:rsidP="00536454">
            <w:pPr>
              <w:spacing w:before="0"/>
              <w:rPr>
                <w:rFonts w:cs="Arial"/>
                <w:szCs w:val="20"/>
              </w:rPr>
            </w:pPr>
            <w:r>
              <w:rPr>
                <w:rFonts w:cs="Arial"/>
                <w:szCs w:val="20"/>
              </w:rPr>
              <w:t>PSDI Team</w:t>
            </w:r>
          </w:p>
        </w:tc>
      </w:tr>
      <w:tr w:rsidR="004700E8" w:rsidRPr="00F43CEC" w14:paraId="531F3D94" w14:textId="77777777" w:rsidTr="00AF6DEC">
        <w:trPr>
          <w:cantSplit/>
          <w:trHeight w:val="885"/>
        </w:trPr>
        <w:tc>
          <w:tcPr>
            <w:tcW w:w="2093" w:type="dxa"/>
            <w:shd w:val="clear" w:color="auto" w:fill="auto"/>
          </w:tcPr>
          <w:p w14:paraId="66EC0404" w14:textId="23EB042B" w:rsidR="004700E8" w:rsidRPr="00536454" w:rsidRDefault="004700E8" w:rsidP="00536454">
            <w:pPr>
              <w:pStyle w:val="Bullet"/>
              <w:numPr>
                <w:ilvl w:val="0"/>
                <w:numId w:val="38"/>
              </w:numPr>
              <w:spacing w:before="0" w:after="0" w:line="240" w:lineRule="auto"/>
              <w:ind w:left="0"/>
              <w:jc w:val="left"/>
              <w:rPr>
                <w:rFonts w:cs="Arial"/>
                <w:sz w:val="20"/>
                <w:szCs w:val="20"/>
              </w:rPr>
            </w:pPr>
            <w:r>
              <w:rPr>
                <w:rFonts w:cs="Arial"/>
                <w:sz w:val="20"/>
                <w:szCs w:val="20"/>
              </w:rPr>
              <w:t xml:space="preserve">12. </w:t>
            </w:r>
            <w:r w:rsidRPr="00536454">
              <w:rPr>
                <w:rFonts w:cs="Arial"/>
                <w:sz w:val="20"/>
                <w:szCs w:val="20"/>
              </w:rPr>
              <w:t>Review the adequacy of the core consultant staffing to mitigate key-person risk and to ensure that core consultants can continue to have a hands-on involvement in initiatives.</w:t>
            </w:r>
          </w:p>
        </w:tc>
        <w:tc>
          <w:tcPr>
            <w:tcW w:w="2693" w:type="dxa"/>
            <w:tcBorders>
              <w:right w:val="single" w:sz="4" w:space="0" w:color="auto"/>
            </w:tcBorders>
            <w:shd w:val="clear" w:color="auto" w:fill="auto"/>
          </w:tcPr>
          <w:p w14:paraId="076306D7" w14:textId="24F498BD" w:rsidR="004700E8" w:rsidRPr="00536454" w:rsidRDefault="004700E8" w:rsidP="00536454">
            <w:pPr>
              <w:spacing w:before="0"/>
              <w:rPr>
                <w:rFonts w:cs="Arial"/>
                <w:szCs w:val="20"/>
              </w:rPr>
            </w:pPr>
            <w:r>
              <w:rPr>
                <w:rFonts w:cs="Arial"/>
                <w:szCs w:val="20"/>
              </w:rPr>
              <w:t>Agree</w:t>
            </w:r>
          </w:p>
        </w:tc>
        <w:tc>
          <w:tcPr>
            <w:tcW w:w="3402" w:type="dxa"/>
            <w:tcBorders>
              <w:left w:val="single" w:sz="4" w:space="0" w:color="auto"/>
            </w:tcBorders>
            <w:shd w:val="clear" w:color="auto" w:fill="auto"/>
          </w:tcPr>
          <w:p w14:paraId="7D0A2378" w14:textId="7A4C82C6" w:rsidR="004700E8" w:rsidRPr="00536454" w:rsidRDefault="004700E8" w:rsidP="00536454">
            <w:pPr>
              <w:spacing w:before="0"/>
              <w:rPr>
                <w:rFonts w:cs="Arial"/>
                <w:szCs w:val="20"/>
              </w:rPr>
            </w:pPr>
            <w:r w:rsidRPr="007A7EBD">
              <w:rPr>
                <w:rFonts w:cs="Arial"/>
                <w:szCs w:val="22"/>
              </w:rPr>
              <w:t xml:space="preserve">The concerns raised in the Independent Evaluation regarding the core consulting base have been reviewed by the ADB Regional Director in close consultation with the AusAID Program Manager. </w:t>
            </w:r>
            <w:r>
              <w:rPr>
                <w:rFonts w:cs="Arial"/>
                <w:szCs w:val="22"/>
              </w:rPr>
              <w:t>ADB and AusAID have taken steps to get early approval for Phase 3 to provide certainty for contractors and enable ADB to renew contracts early enough to provide certainty and continuity to core consultants.</w:t>
            </w:r>
          </w:p>
        </w:tc>
        <w:tc>
          <w:tcPr>
            <w:tcW w:w="1666" w:type="dxa"/>
            <w:tcBorders>
              <w:left w:val="single" w:sz="4" w:space="0" w:color="auto"/>
            </w:tcBorders>
            <w:shd w:val="clear" w:color="auto" w:fill="auto"/>
          </w:tcPr>
          <w:p w14:paraId="08FFA9BC" w14:textId="7C47E142" w:rsidR="004700E8" w:rsidRPr="00536454" w:rsidRDefault="004700E8" w:rsidP="00536454">
            <w:pPr>
              <w:spacing w:before="0"/>
              <w:rPr>
                <w:rFonts w:cs="Arial"/>
                <w:szCs w:val="20"/>
              </w:rPr>
            </w:pPr>
            <w:r>
              <w:rPr>
                <w:rFonts w:cs="Arial"/>
                <w:szCs w:val="20"/>
              </w:rPr>
              <w:t>PSDI Team</w:t>
            </w:r>
          </w:p>
        </w:tc>
      </w:tr>
    </w:tbl>
    <w:p w14:paraId="0E27BB56" w14:textId="75A3C869" w:rsidR="00913F5E" w:rsidRPr="00913F5E" w:rsidRDefault="00913F5E" w:rsidP="00C657FB">
      <w:pPr>
        <w:pStyle w:val="Heading2"/>
      </w:pPr>
    </w:p>
    <w:sectPr w:rsidR="00913F5E" w:rsidRPr="00913F5E" w:rsidSect="0005470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6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7BB5D" w14:textId="77777777" w:rsidR="0005389C" w:rsidRDefault="0005389C">
      <w:pPr>
        <w:pStyle w:val="Table-list-number"/>
      </w:pPr>
      <w:r>
        <w:separator/>
      </w:r>
    </w:p>
  </w:endnote>
  <w:endnote w:type="continuationSeparator" w:id="0">
    <w:p w14:paraId="0E27BB5E" w14:textId="77777777" w:rsidR="0005389C" w:rsidRDefault="0005389C">
      <w:pPr>
        <w:pStyle w:val="Table-list-numb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C2CC9" w14:textId="77777777" w:rsidR="00F0204F" w:rsidRDefault="00F020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7BB60" w14:textId="77777777" w:rsidR="0005389C" w:rsidRPr="00AE52D5" w:rsidRDefault="0005389C" w:rsidP="00AE52D5">
    <w:pPr>
      <w:pStyle w:val="Footer"/>
      <w:pBdr>
        <w:top w:val="single" w:sz="4" w:space="7" w:color="333333"/>
      </w:pBdr>
      <w:tabs>
        <w:tab w:val="clear" w:pos="4153"/>
        <w:tab w:val="clear" w:pos="8306"/>
        <w:tab w:val="right" w:pos="9639"/>
      </w:tabs>
      <w:rPr>
        <w:rStyle w:val="PageNumber"/>
      </w:rPr>
    </w:pPr>
    <w:r>
      <w:t>Tool: Management Response Template</w:t>
    </w:r>
    <w:r w:rsidRPr="00AE52D5">
      <w:t xml:space="preserve"> (registered # </w:t>
    </w:r>
    <w:r>
      <w:t>158</w:t>
    </w:r>
    <w:r w:rsidRPr="00AE52D5">
      <w:t>)</w:t>
    </w:r>
    <w:r w:rsidRPr="00AE52D5">
      <w:tab/>
      <w:t xml:space="preserve">page </w:t>
    </w:r>
    <w:r w:rsidRPr="00AE52D5">
      <w:rPr>
        <w:rStyle w:val="PageNumber"/>
      </w:rPr>
      <w:fldChar w:fldCharType="begin"/>
    </w:r>
    <w:r w:rsidRPr="00AE52D5">
      <w:rPr>
        <w:rStyle w:val="PageNumber"/>
      </w:rPr>
      <w:instrText xml:space="preserve"> PAGE </w:instrText>
    </w:r>
    <w:r w:rsidRPr="00AE52D5">
      <w:rPr>
        <w:rStyle w:val="PageNumber"/>
      </w:rPr>
      <w:fldChar w:fldCharType="separate"/>
    </w:r>
    <w:r w:rsidR="00F0204F">
      <w:rPr>
        <w:rStyle w:val="PageNumber"/>
        <w:noProof/>
      </w:rPr>
      <w:t>1</w:t>
    </w:r>
    <w:r w:rsidRPr="00AE52D5">
      <w:rPr>
        <w:rStyle w:val="PageNumber"/>
      </w:rPr>
      <w:fldChar w:fldCharType="end"/>
    </w:r>
    <w:r w:rsidRPr="00AE52D5">
      <w:rPr>
        <w:rStyle w:val="PageNumber"/>
      </w:rPr>
      <w:t xml:space="preserve"> of </w:t>
    </w:r>
    <w:r w:rsidRPr="00AE52D5">
      <w:rPr>
        <w:rStyle w:val="PageNumber"/>
      </w:rPr>
      <w:fldChar w:fldCharType="begin"/>
    </w:r>
    <w:r w:rsidRPr="00AE52D5">
      <w:rPr>
        <w:rStyle w:val="PageNumber"/>
      </w:rPr>
      <w:instrText xml:space="preserve"> NUMPAGES </w:instrText>
    </w:r>
    <w:r w:rsidRPr="00AE52D5">
      <w:rPr>
        <w:rStyle w:val="PageNumber"/>
      </w:rPr>
      <w:fldChar w:fldCharType="separate"/>
    </w:r>
    <w:r w:rsidR="00F0204F">
      <w:rPr>
        <w:rStyle w:val="PageNumber"/>
        <w:noProof/>
      </w:rPr>
      <w:t>3</w:t>
    </w:r>
    <w:r w:rsidRPr="00AE52D5">
      <w:rPr>
        <w:rStyle w:val="PageNumber"/>
      </w:rPr>
      <w:fldChar w:fldCharType="end"/>
    </w:r>
  </w:p>
  <w:p w14:paraId="0E27BB61" w14:textId="77777777" w:rsidR="0005389C" w:rsidRPr="00AE52D5" w:rsidRDefault="0005389C" w:rsidP="00AE52D5">
    <w:pPr>
      <w:pStyle w:val="Footer"/>
      <w:pBdr>
        <w:top w:val="single" w:sz="4" w:space="7" w:color="333333"/>
      </w:pBdr>
      <w:tabs>
        <w:tab w:val="clear" w:pos="4153"/>
        <w:tab w:val="clear" w:pos="8306"/>
        <w:tab w:val="right" w:pos="9639"/>
      </w:tabs>
    </w:pPr>
    <w:r w:rsidRPr="00AE52D5">
      <w:t xml:space="preserve">Effective from </w:t>
    </w:r>
    <w:r>
      <w:t>December 2012</w:t>
    </w:r>
    <w:r w:rsidRPr="00AE52D5">
      <w:t xml:space="preserve"> to </w:t>
    </w:r>
    <w:r>
      <w:t>December 2013</w:t>
    </w:r>
    <w:r w:rsidRPr="00AE52D5">
      <w:tab/>
    </w:r>
    <w:r w:rsidRPr="00AE52D5">
      <w:rPr>
        <w:rStyle w:val="PageNumber"/>
      </w:rPr>
      <w:t>UNCLASSIFIED</w:t>
    </w:r>
  </w:p>
  <w:p w14:paraId="0E27BB62" w14:textId="77777777" w:rsidR="0005389C" w:rsidRPr="000815FC" w:rsidRDefault="0005389C" w:rsidP="00887304">
    <w:pPr>
      <w:pStyle w:val="Footer"/>
      <w:pBdr>
        <w:top w:val="single" w:sz="4" w:space="8" w:color="999999"/>
      </w:pBdr>
      <w:tabs>
        <w:tab w:val="clear" w:pos="4153"/>
        <w:tab w:val="clear" w:pos="8306"/>
        <w:tab w:val="right" w:pos="9639"/>
      </w:tabs>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D1F0D" w14:textId="77777777" w:rsidR="00F0204F" w:rsidRDefault="00F020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7BB5B" w14:textId="77777777" w:rsidR="0005389C" w:rsidRDefault="0005389C">
      <w:pPr>
        <w:pStyle w:val="Table-list-number"/>
      </w:pPr>
      <w:r>
        <w:separator/>
      </w:r>
    </w:p>
  </w:footnote>
  <w:footnote w:type="continuationSeparator" w:id="0">
    <w:p w14:paraId="0E27BB5C" w14:textId="77777777" w:rsidR="0005389C" w:rsidRDefault="0005389C">
      <w:pPr>
        <w:pStyle w:val="Table-list-numb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96C1F" w14:textId="77777777" w:rsidR="00F0204F" w:rsidRDefault="00F020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7BB5F" w14:textId="77777777" w:rsidR="0005389C" w:rsidRPr="00077243" w:rsidRDefault="0005389C" w:rsidP="00077243">
    <w:pPr>
      <w:pStyle w:val="Header"/>
      <w:jc w:val="center"/>
      <w:rPr>
        <w:caps/>
      </w:rPr>
    </w:pPr>
    <w:r w:rsidRPr="00077243">
      <w:rPr>
        <w:caps/>
      </w:rPr>
      <w:t>Unclassified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2867C" w14:textId="77777777" w:rsidR="00F0204F" w:rsidRDefault="00F020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6A10"/>
    <w:multiLevelType w:val="multilevel"/>
    <w:tmpl w:val="5EC8BC40"/>
    <w:lvl w:ilvl="0">
      <w:numFmt w:val="bullet"/>
      <w:lvlText w:val=""/>
      <w:lvlJc w:val="left"/>
      <w:pPr>
        <w:tabs>
          <w:tab w:val="num" w:pos="720"/>
        </w:tabs>
        <w:ind w:left="720" w:hanging="360"/>
      </w:pPr>
      <w:rPr>
        <w:rFonts w:ascii="Wingdings" w:hAnsi="Wingdings"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2929E6"/>
    <w:multiLevelType w:val="hybridMultilevel"/>
    <w:tmpl w:val="2BB08866"/>
    <w:lvl w:ilvl="0" w:tplc="AC2E0D00">
      <w:start w:val="1"/>
      <w:numFmt w:val="decimal"/>
      <w:pStyle w:val="Table-list-numb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644581"/>
    <w:multiLevelType w:val="multilevel"/>
    <w:tmpl w:val="A0A6AAD8"/>
    <w:lvl w:ilvl="0">
      <w:numFmt w:val="bullet"/>
      <w:lvlText w:val=""/>
      <w:lvlJc w:val="left"/>
      <w:pPr>
        <w:tabs>
          <w:tab w:val="num" w:pos="720"/>
        </w:tabs>
        <w:ind w:left="720" w:hanging="360"/>
      </w:pPr>
      <w:rPr>
        <w:rFonts w:ascii="Wingdings" w:eastAsia="Times New Roman" w:hAnsi="Wingdings"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3375D85"/>
    <w:multiLevelType w:val="hybridMultilevel"/>
    <w:tmpl w:val="A0A6AAD8"/>
    <w:lvl w:ilvl="0" w:tplc="7F402E40">
      <w:numFmt w:val="bullet"/>
      <w:lvlText w:val=""/>
      <w:lvlJc w:val="left"/>
      <w:pPr>
        <w:tabs>
          <w:tab w:val="num" w:pos="720"/>
        </w:tabs>
        <w:ind w:left="720" w:hanging="360"/>
      </w:pPr>
      <w:rPr>
        <w:rFonts w:ascii="Wingdings" w:eastAsia="Times New Roman"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856708"/>
    <w:multiLevelType w:val="hybridMultilevel"/>
    <w:tmpl w:val="BD005BE8"/>
    <w:lvl w:ilvl="0" w:tplc="03B0FA2A">
      <w:numFmt w:val="bullet"/>
      <w:lvlText w:val="-"/>
      <w:lvlJc w:val="left"/>
      <w:pPr>
        <w:tabs>
          <w:tab w:val="num" w:pos="397"/>
        </w:tabs>
        <w:ind w:left="397" w:hanging="22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DE6952"/>
    <w:multiLevelType w:val="hybridMultilevel"/>
    <w:tmpl w:val="5BD0AA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0517EE7"/>
    <w:multiLevelType w:val="hybridMultilevel"/>
    <w:tmpl w:val="540851CE"/>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7">
    <w:nsid w:val="20BF696C"/>
    <w:multiLevelType w:val="hybridMultilevel"/>
    <w:tmpl w:val="44EA5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3703D64"/>
    <w:multiLevelType w:val="hybridMultilevel"/>
    <w:tmpl w:val="B8AAF53A"/>
    <w:lvl w:ilvl="0" w:tplc="B2806932">
      <w:numFmt w:val="bullet"/>
      <w:lvlText w:val=""/>
      <w:lvlJc w:val="left"/>
      <w:pPr>
        <w:tabs>
          <w:tab w:val="num" w:pos="720"/>
        </w:tabs>
        <w:ind w:left="720" w:hanging="360"/>
      </w:pPr>
      <w:rPr>
        <w:rFonts w:ascii="Wingdings" w:hAnsi="Wingdings"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264A5A"/>
    <w:multiLevelType w:val="hybridMultilevel"/>
    <w:tmpl w:val="0D2C9A66"/>
    <w:lvl w:ilvl="0" w:tplc="48FC474E">
      <w:start w:val="1"/>
      <w:numFmt w:val="bullet"/>
      <w:pStyle w:val="List-bullet-1"/>
      <w:lvlText w:val=""/>
      <w:lvlJc w:val="left"/>
      <w:pPr>
        <w:tabs>
          <w:tab w:val="num" w:pos="720"/>
        </w:tabs>
        <w:ind w:left="720" w:hanging="363"/>
      </w:pPr>
      <w:rPr>
        <w:rFonts w:ascii="Symbol" w:hAnsi="Symbol" w:hint="default"/>
        <w:color w:val="auto"/>
        <w:sz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nsid w:val="2A8D1296"/>
    <w:multiLevelType w:val="hybridMultilevel"/>
    <w:tmpl w:val="5EC8BC40"/>
    <w:lvl w:ilvl="0" w:tplc="3F200F0E">
      <w:numFmt w:val="bullet"/>
      <w:lvlText w:val=""/>
      <w:lvlJc w:val="left"/>
      <w:pPr>
        <w:tabs>
          <w:tab w:val="num" w:pos="720"/>
        </w:tabs>
        <w:ind w:left="720" w:hanging="360"/>
      </w:pPr>
      <w:rPr>
        <w:rFonts w:ascii="Wingdings" w:hAnsi="Wingdings"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44006C"/>
    <w:multiLevelType w:val="multilevel"/>
    <w:tmpl w:val="A0A6AAD8"/>
    <w:lvl w:ilvl="0">
      <w:numFmt w:val="bullet"/>
      <w:lvlText w:val=""/>
      <w:lvlJc w:val="left"/>
      <w:pPr>
        <w:tabs>
          <w:tab w:val="num" w:pos="720"/>
        </w:tabs>
        <w:ind w:left="720" w:hanging="360"/>
      </w:pPr>
      <w:rPr>
        <w:rFonts w:ascii="Wingdings" w:eastAsia="Times New Roman" w:hAnsi="Wingdings"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D2345DD"/>
    <w:multiLevelType w:val="hybridMultilevel"/>
    <w:tmpl w:val="F06E71B4"/>
    <w:lvl w:ilvl="0" w:tplc="0C09000F">
      <w:start w:val="1"/>
      <w:numFmt w:val="decimal"/>
      <w:lvlText w:val="%1."/>
      <w:lvlJc w:val="left"/>
      <w:pPr>
        <w:tabs>
          <w:tab w:val="num" w:pos="2160"/>
        </w:tabs>
        <w:ind w:left="2160" w:hanging="360"/>
      </w:pPr>
    </w:lvl>
    <w:lvl w:ilvl="1" w:tplc="0C090019" w:tentative="1">
      <w:start w:val="1"/>
      <w:numFmt w:val="lowerLetter"/>
      <w:lvlText w:val="%2."/>
      <w:lvlJc w:val="left"/>
      <w:pPr>
        <w:tabs>
          <w:tab w:val="num" w:pos="2880"/>
        </w:tabs>
        <w:ind w:left="2880" w:hanging="360"/>
      </w:pPr>
    </w:lvl>
    <w:lvl w:ilvl="2" w:tplc="0C09001B" w:tentative="1">
      <w:start w:val="1"/>
      <w:numFmt w:val="lowerRoman"/>
      <w:lvlText w:val="%3."/>
      <w:lvlJc w:val="right"/>
      <w:pPr>
        <w:tabs>
          <w:tab w:val="num" w:pos="3600"/>
        </w:tabs>
        <w:ind w:left="3600" w:hanging="180"/>
      </w:pPr>
    </w:lvl>
    <w:lvl w:ilvl="3" w:tplc="0C09000F" w:tentative="1">
      <w:start w:val="1"/>
      <w:numFmt w:val="decimal"/>
      <w:lvlText w:val="%4."/>
      <w:lvlJc w:val="left"/>
      <w:pPr>
        <w:tabs>
          <w:tab w:val="num" w:pos="4320"/>
        </w:tabs>
        <w:ind w:left="4320" w:hanging="360"/>
      </w:pPr>
    </w:lvl>
    <w:lvl w:ilvl="4" w:tplc="0C090019" w:tentative="1">
      <w:start w:val="1"/>
      <w:numFmt w:val="lowerLetter"/>
      <w:lvlText w:val="%5."/>
      <w:lvlJc w:val="left"/>
      <w:pPr>
        <w:tabs>
          <w:tab w:val="num" w:pos="5040"/>
        </w:tabs>
        <w:ind w:left="5040" w:hanging="360"/>
      </w:pPr>
    </w:lvl>
    <w:lvl w:ilvl="5" w:tplc="0C09001B" w:tentative="1">
      <w:start w:val="1"/>
      <w:numFmt w:val="lowerRoman"/>
      <w:lvlText w:val="%6."/>
      <w:lvlJc w:val="right"/>
      <w:pPr>
        <w:tabs>
          <w:tab w:val="num" w:pos="5760"/>
        </w:tabs>
        <w:ind w:left="5760" w:hanging="180"/>
      </w:pPr>
    </w:lvl>
    <w:lvl w:ilvl="6" w:tplc="0C09000F" w:tentative="1">
      <w:start w:val="1"/>
      <w:numFmt w:val="decimal"/>
      <w:lvlText w:val="%7."/>
      <w:lvlJc w:val="left"/>
      <w:pPr>
        <w:tabs>
          <w:tab w:val="num" w:pos="6480"/>
        </w:tabs>
        <w:ind w:left="6480" w:hanging="360"/>
      </w:pPr>
    </w:lvl>
    <w:lvl w:ilvl="7" w:tplc="0C090019" w:tentative="1">
      <w:start w:val="1"/>
      <w:numFmt w:val="lowerLetter"/>
      <w:lvlText w:val="%8."/>
      <w:lvlJc w:val="left"/>
      <w:pPr>
        <w:tabs>
          <w:tab w:val="num" w:pos="7200"/>
        </w:tabs>
        <w:ind w:left="7200" w:hanging="360"/>
      </w:pPr>
    </w:lvl>
    <w:lvl w:ilvl="8" w:tplc="0C09001B" w:tentative="1">
      <w:start w:val="1"/>
      <w:numFmt w:val="lowerRoman"/>
      <w:lvlText w:val="%9."/>
      <w:lvlJc w:val="right"/>
      <w:pPr>
        <w:tabs>
          <w:tab w:val="num" w:pos="7920"/>
        </w:tabs>
        <w:ind w:left="7920" w:hanging="180"/>
      </w:pPr>
    </w:lvl>
  </w:abstractNum>
  <w:abstractNum w:abstractNumId="13">
    <w:nsid w:val="2FBD11B4"/>
    <w:multiLevelType w:val="multilevel"/>
    <w:tmpl w:val="88B61454"/>
    <w:lvl w:ilvl="0">
      <w:start w:val="1"/>
      <w:numFmt w:val="decimal"/>
      <w:pStyle w:val="List-number-1"/>
      <w:lvlText w:val="%1."/>
      <w:lvlJc w:val="left"/>
      <w:pPr>
        <w:tabs>
          <w:tab w:val="num" w:pos="360"/>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30C2392D"/>
    <w:multiLevelType w:val="hybridMultilevel"/>
    <w:tmpl w:val="5694FF50"/>
    <w:lvl w:ilvl="0" w:tplc="AF9A3AE6">
      <w:numFmt w:val="bullet"/>
      <w:lvlText w:val=""/>
      <w:lvlJc w:val="left"/>
      <w:pPr>
        <w:tabs>
          <w:tab w:val="num" w:pos="720"/>
        </w:tabs>
        <w:ind w:left="720" w:hanging="360"/>
      </w:pPr>
      <w:rPr>
        <w:rFonts w:ascii="Wingdings" w:eastAsia="Times New Roman"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E87C14"/>
    <w:multiLevelType w:val="hybridMultilevel"/>
    <w:tmpl w:val="973A38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4E57B58"/>
    <w:multiLevelType w:val="hybridMultilevel"/>
    <w:tmpl w:val="6B226158"/>
    <w:lvl w:ilvl="0" w:tplc="FB6C1462">
      <w:start w:val="1"/>
      <w:numFmt w:val="bullet"/>
      <w:lvlText w:val=""/>
      <w:lvlJc w:val="left"/>
      <w:pPr>
        <w:tabs>
          <w:tab w:val="num" w:pos="624"/>
        </w:tabs>
        <w:ind w:left="624" w:hanging="170"/>
      </w:pPr>
      <w:rPr>
        <w:rFonts w:ascii="Symbol" w:hAnsi="Symbol" w:hint="default"/>
        <w:color w:val="0000FF"/>
      </w:rPr>
    </w:lvl>
    <w:lvl w:ilvl="1" w:tplc="04090003" w:tentative="1">
      <w:start w:val="1"/>
      <w:numFmt w:val="bullet"/>
      <w:lvlText w:val="o"/>
      <w:lvlJc w:val="left"/>
      <w:pPr>
        <w:tabs>
          <w:tab w:val="num" w:pos="1894"/>
        </w:tabs>
        <w:ind w:left="1894" w:hanging="360"/>
      </w:pPr>
      <w:rPr>
        <w:rFonts w:ascii="Courier New" w:hAnsi="Courier New" w:cs="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cs="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cs="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17">
    <w:nsid w:val="3C64032D"/>
    <w:multiLevelType w:val="hybridMultilevel"/>
    <w:tmpl w:val="FE4430FC"/>
    <w:lvl w:ilvl="0" w:tplc="EA8229C4">
      <w:numFmt w:val="bullet"/>
      <w:lvlText w:val=""/>
      <w:lvlJc w:val="left"/>
      <w:pPr>
        <w:tabs>
          <w:tab w:val="num" w:pos="720"/>
        </w:tabs>
        <w:ind w:left="720" w:hanging="360"/>
      </w:pPr>
      <w:rPr>
        <w:rFonts w:ascii="Wingdings" w:hAnsi="Wingdings" w:cs="Times New Roman" w:hint="default"/>
        <w:b w:val="0"/>
        <w:i w:val="0"/>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774EFE"/>
    <w:multiLevelType w:val="hybridMultilevel"/>
    <w:tmpl w:val="973A38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7531147"/>
    <w:multiLevelType w:val="hybridMultilevel"/>
    <w:tmpl w:val="D5B06BB0"/>
    <w:lvl w:ilvl="0" w:tplc="C5B0958A">
      <w:start w:val="1"/>
      <w:numFmt w:val="bullet"/>
      <w:pStyle w:val="List-bullet-2"/>
      <w:lvlText w:val="–"/>
      <w:lvlJc w:val="left"/>
      <w:pPr>
        <w:tabs>
          <w:tab w:val="num" w:pos="1021"/>
        </w:tabs>
        <w:ind w:left="1021" w:hanging="301"/>
      </w:pPr>
      <w:rPr>
        <w:rFonts w:hint="default"/>
        <w:color w:val="auto"/>
        <w:sz w:val="20"/>
      </w:rPr>
    </w:lvl>
    <w:lvl w:ilvl="1" w:tplc="416EABDE">
      <w:start w:val="1"/>
      <w:numFmt w:val="bullet"/>
      <w:lvlText w:val="–"/>
      <w:lvlJc w:val="left"/>
      <w:pPr>
        <w:tabs>
          <w:tab w:val="num" w:pos="1724"/>
        </w:tabs>
        <w:ind w:left="1724" w:hanging="363"/>
      </w:pPr>
      <w:rPr>
        <w:rFonts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nsid w:val="48C56684"/>
    <w:multiLevelType w:val="hybridMultilevel"/>
    <w:tmpl w:val="BC8A9B00"/>
    <w:lvl w:ilvl="0" w:tplc="0409000F">
      <w:start w:val="1"/>
      <w:numFmt w:val="decimal"/>
      <w:lvlText w:val="%1."/>
      <w:lvlJc w:val="left"/>
      <w:pPr>
        <w:tabs>
          <w:tab w:val="num" w:pos="720"/>
        </w:tabs>
        <w:ind w:left="720" w:hanging="360"/>
      </w:pPr>
    </w:lvl>
    <w:lvl w:ilvl="1" w:tplc="D3E0EC30">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9CF4F7B"/>
    <w:multiLevelType w:val="multilevel"/>
    <w:tmpl w:val="FE4430FC"/>
    <w:lvl w:ilvl="0">
      <w:numFmt w:val="bullet"/>
      <w:lvlText w:val=""/>
      <w:lvlJc w:val="left"/>
      <w:pPr>
        <w:tabs>
          <w:tab w:val="num" w:pos="720"/>
        </w:tabs>
        <w:ind w:left="720" w:hanging="360"/>
      </w:pPr>
      <w:rPr>
        <w:rFonts w:ascii="Wingdings" w:hAnsi="Wingdings" w:cs="Times New Roman" w:hint="default"/>
        <w:b w:val="0"/>
        <w:i w:val="0"/>
        <w:sz w:val="26"/>
        <w:szCs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B7E6638"/>
    <w:multiLevelType w:val="hybridMultilevel"/>
    <w:tmpl w:val="CC32436A"/>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D73762F"/>
    <w:multiLevelType w:val="hybridMultilevel"/>
    <w:tmpl w:val="973A38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F4144CC"/>
    <w:multiLevelType w:val="hybridMultilevel"/>
    <w:tmpl w:val="11F41EFA"/>
    <w:lvl w:ilvl="0" w:tplc="9118B95E">
      <w:start w:val="2"/>
      <w:numFmt w:val="decimal"/>
      <w:lvlText w:val="%1."/>
      <w:lvlJc w:val="left"/>
      <w:pPr>
        <w:tabs>
          <w:tab w:val="num" w:pos="360"/>
        </w:tabs>
        <w:ind w:left="360" w:hanging="360"/>
      </w:pPr>
      <w:rPr>
        <w:b w:val="0"/>
      </w:rPr>
    </w:lvl>
    <w:lvl w:ilvl="1" w:tplc="0C090001">
      <w:start w:val="1"/>
      <w:numFmt w:val="bullet"/>
      <w:lvlText w:val=""/>
      <w:lvlJc w:val="left"/>
      <w:pPr>
        <w:tabs>
          <w:tab w:val="num" w:pos="1080"/>
        </w:tabs>
        <w:ind w:left="1080" w:hanging="360"/>
      </w:pPr>
      <w:rPr>
        <w:rFonts w:ascii="Symbol" w:hAnsi="Symbol" w:hint="default"/>
      </w:rPr>
    </w:lvl>
    <w:lvl w:ilvl="2" w:tplc="E916A4EC">
      <w:start w:val="2"/>
      <w:numFmt w:val="bullet"/>
      <w:lvlText w:val="-"/>
      <w:lvlJc w:val="left"/>
      <w:pPr>
        <w:tabs>
          <w:tab w:val="num" w:pos="1980"/>
        </w:tabs>
        <w:ind w:left="1980" w:hanging="360"/>
      </w:pPr>
      <w:rPr>
        <w:rFonts w:ascii="Times New Roman" w:eastAsia="Times New Roman" w:hAnsi="Times New Roman" w:cs="Times New Roman"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nsid w:val="54A16312"/>
    <w:multiLevelType w:val="hybridMultilevel"/>
    <w:tmpl w:val="0248FFAE"/>
    <w:lvl w:ilvl="0" w:tplc="3C888874">
      <w:numFmt w:val="bullet"/>
      <w:lvlText w:val=""/>
      <w:lvlJc w:val="left"/>
      <w:pPr>
        <w:tabs>
          <w:tab w:val="num" w:pos="717"/>
        </w:tabs>
        <w:ind w:left="717" w:hanging="360"/>
      </w:pPr>
      <w:rPr>
        <w:rFonts w:ascii="Wingdings" w:hAnsi="Wingdings" w:cs="Times New Roman" w:hint="default"/>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990D16"/>
    <w:multiLevelType w:val="multilevel"/>
    <w:tmpl w:val="B8AAF53A"/>
    <w:lvl w:ilvl="0">
      <w:numFmt w:val="bullet"/>
      <w:lvlText w:val=""/>
      <w:lvlJc w:val="left"/>
      <w:pPr>
        <w:tabs>
          <w:tab w:val="num" w:pos="720"/>
        </w:tabs>
        <w:ind w:left="720" w:hanging="360"/>
      </w:pPr>
      <w:rPr>
        <w:rFonts w:ascii="Wingdings" w:hAnsi="Wingdings"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7E65D90"/>
    <w:multiLevelType w:val="hybridMultilevel"/>
    <w:tmpl w:val="56686C26"/>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88247B9"/>
    <w:multiLevelType w:val="hybridMultilevel"/>
    <w:tmpl w:val="B4F22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1B3406"/>
    <w:multiLevelType w:val="hybridMultilevel"/>
    <w:tmpl w:val="C152E4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97D395E"/>
    <w:multiLevelType w:val="hybridMultilevel"/>
    <w:tmpl w:val="F0C69608"/>
    <w:lvl w:ilvl="0" w:tplc="234ECC50">
      <w:numFmt w:val="bullet"/>
      <w:lvlText w:val=""/>
      <w:lvlJc w:val="left"/>
      <w:pPr>
        <w:tabs>
          <w:tab w:val="num" w:pos="720"/>
        </w:tabs>
        <w:ind w:left="720" w:hanging="360"/>
      </w:pPr>
      <w:rPr>
        <w:rFonts w:ascii="Wingdings" w:hAnsi="Wingdings"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1CC66FC"/>
    <w:multiLevelType w:val="multilevel"/>
    <w:tmpl w:val="5694FF50"/>
    <w:lvl w:ilvl="0">
      <w:numFmt w:val="bullet"/>
      <w:lvlText w:val=""/>
      <w:lvlJc w:val="left"/>
      <w:pPr>
        <w:tabs>
          <w:tab w:val="num" w:pos="720"/>
        </w:tabs>
        <w:ind w:left="720" w:hanging="360"/>
      </w:pPr>
      <w:rPr>
        <w:rFonts w:ascii="Wingdings" w:eastAsia="Times New Roman" w:hAnsi="Wingdings"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286401F"/>
    <w:multiLevelType w:val="multilevel"/>
    <w:tmpl w:val="5F303A0A"/>
    <w:lvl w:ilvl="0">
      <w:start w:val="1"/>
      <w:numFmt w:val="decimal"/>
      <w:lvlText w:val="%1"/>
      <w:lvlJc w:val="left"/>
      <w:pPr>
        <w:tabs>
          <w:tab w:val="num" w:pos="357"/>
        </w:tabs>
        <w:ind w:left="357" w:hanging="357"/>
      </w:pPr>
      <w:rPr>
        <w:rFonts w:hint="default"/>
      </w:rPr>
    </w:lvl>
    <w:lvl w:ilvl="1">
      <w:start w:val="1"/>
      <w:numFmt w:val="decimal"/>
      <w:pStyle w:val="Heading2numbered"/>
      <w:lvlText w:val="%2."/>
      <w:lvlJc w:val="left"/>
      <w:pPr>
        <w:tabs>
          <w:tab w:val="num" w:pos="357"/>
        </w:tabs>
        <w:ind w:left="357" w:hanging="357"/>
      </w:pPr>
      <w:rPr>
        <w:rFonts w:hint="default"/>
      </w:rPr>
    </w:lvl>
    <w:lvl w:ilvl="2">
      <w:start w:val="1"/>
      <w:numFmt w:val="decimal"/>
      <w:pStyle w:val="Heading3numbered"/>
      <w:lvlText w:val="%2.%3"/>
      <w:lvlJc w:val="left"/>
      <w:pPr>
        <w:tabs>
          <w:tab w:val="num" w:pos="851"/>
        </w:tabs>
        <w:ind w:left="851" w:hanging="494"/>
      </w:pPr>
      <w:rPr>
        <w:rFonts w:ascii="Arial" w:hAnsi="Arial" w:hint="default"/>
        <w:b/>
        <w:i/>
        <w:sz w:val="22"/>
        <w:szCs w:val="18"/>
      </w:rPr>
    </w:lvl>
    <w:lvl w:ilvl="3">
      <w:start w:val="1"/>
      <w:numFmt w:val="lowerLetter"/>
      <w:pStyle w:val="List-outline-numbered"/>
      <w:lvlText w:val="%4."/>
      <w:lvlJc w:val="left"/>
      <w:pPr>
        <w:tabs>
          <w:tab w:val="num" w:pos="737"/>
        </w:tabs>
        <w:ind w:left="737" w:hanging="380"/>
      </w:pPr>
      <w:rPr>
        <w:rFonts w:hint="default"/>
      </w:rPr>
    </w:lvl>
    <w:lvl w:ilvl="4">
      <w:start w:val="1"/>
      <w:numFmt w:val="decimal"/>
      <w:lvlText w:val="%1.%2.%3.%4.%5"/>
      <w:lvlJc w:val="left"/>
      <w:pPr>
        <w:tabs>
          <w:tab w:val="num" w:pos="1080"/>
        </w:tabs>
        <w:ind w:left="1080" w:hanging="1008"/>
      </w:pPr>
      <w:rPr>
        <w:rFonts w:hint="default"/>
      </w:rPr>
    </w:lvl>
    <w:lvl w:ilvl="5">
      <w:start w:val="1"/>
      <w:numFmt w:val="decimal"/>
      <w:lvlText w:val="%1.%2.%3.%4.%5.%6"/>
      <w:lvlJc w:val="left"/>
      <w:pPr>
        <w:tabs>
          <w:tab w:val="num" w:pos="1224"/>
        </w:tabs>
        <w:ind w:left="1224" w:hanging="1152"/>
      </w:pPr>
      <w:rPr>
        <w:rFonts w:hint="default"/>
      </w:rPr>
    </w:lvl>
    <w:lvl w:ilvl="6">
      <w:start w:val="1"/>
      <w:numFmt w:val="decimal"/>
      <w:lvlText w:val="%1.%2.%3.%4.%5.%6.%7"/>
      <w:lvlJc w:val="left"/>
      <w:pPr>
        <w:tabs>
          <w:tab w:val="num" w:pos="1368"/>
        </w:tabs>
        <w:ind w:left="1368" w:hanging="1296"/>
      </w:pPr>
      <w:rPr>
        <w:rFonts w:hint="default"/>
      </w:rPr>
    </w:lvl>
    <w:lvl w:ilvl="7">
      <w:start w:val="1"/>
      <w:numFmt w:val="decimal"/>
      <w:lvlText w:val="%1.%2.%3.%4.%5.%6.%7.%8"/>
      <w:lvlJc w:val="left"/>
      <w:pPr>
        <w:tabs>
          <w:tab w:val="num" w:pos="1512"/>
        </w:tabs>
        <w:ind w:left="1512" w:hanging="1440"/>
      </w:pPr>
      <w:rPr>
        <w:rFonts w:hint="default"/>
      </w:rPr>
    </w:lvl>
    <w:lvl w:ilvl="8">
      <w:start w:val="1"/>
      <w:numFmt w:val="decimal"/>
      <w:lvlText w:val="%1.%2.%3.%4.%5.%6.%7.%8.%9"/>
      <w:lvlJc w:val="left"/>
      <w:pPr>
        <w:tabs>
          <w:tab w:val="num" w:pos="1656"/>
        </w:tabs>
        <w:ind w:left="1656" w:hanging="1584"/>
      </w:pPr>
      <w:rPr>
        <w:rFonts w:hint="default"/>
      </w:rPr>
    </w:lvl>
  </w:abstractNum>
  <w:abstractNum w:abstractNumId="33">
    <w:nsid w:val="7387475D"/>
    <w:multiLevelType w:val="hybridMultilevel"/>
    <w:tmpl w:val="973A38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63C3E42"/>
    <w:multiLevelType w:val="hybridMultilevel"/>
    <w:tmpl w:val="6E842AD0"/>
    <w:lvl w:ilvl="0" w:tplc="094CF94A">
      <w:start w:val="1"/>
      <w:numFmt w:val="bullet"/>
      <w:pStyle w:val="Bullet"/>
      <w:lvlText w:val=""/>
      <w:lvlJc w:val="left"/>
      <w:pPr>
        <w:ind w:left="720" w:hanging="360"/>
      </w:pPr>
      <w:rPr>
        <w:rFonts w:ascii="Symbol" w:hAnsi="Symbol" w:hint="default"/>
      </w:rPr>
    </w:lvl>
    <w:lvl w:ilvl="1" w:tplc="54E08C7A">
      <w:start w:val="1"/>
      <w:numFmt w:val="bullet"/>
      <w:lvlText w:val="o"/>
      <w:lvlJc w:val="left"/>
      <w:pPr>
        <w:ind w:left="1440" w:hanging="360"/>
      </w:pPr>
      <w:rPr>
        <w:rFonts w:ascii="Courier New" w:hAnsi="Courier New" w:cs="Courier New" w:hint="default"/>
      </w:rPr>
    </w:lvl>
    <w:lvl w:ilvl="2" w:tplc="CC7C6E9E" w:tentative="1">
      <w:start w:val="1"/>
      <w:numFmt w:val="bullet"/>
      <w:lvlText w:val=""/>
      <w:lvlJc w:val="left"/>
      <w:pPr>
        <w:ind w:left="2160" w:hanging="360"/>
      </w:pPr>
      <w:rPr>
        <w:rFonts w:ascii="Wingdings" w:hAnsi="Wingdings" w:hint="default"/>
      </w:rPr>
    </w:lvl>
    <w:lvl w:ilvl="3" w:tplc="0C0A3592" w:tentative="1">
      <w:start w:val="1"/>
      <w:numFmt w:val="bullet"/>
      <w:lvlText w:val=""/>
      <w:lvlJc w:val="left"/>
      <w:pPr>
        <w:ind w:left="2880" w:hanging="360"/>
      </w:pPr>
      <w:rPr>
        <w:rFonts w:ascii="Symbol" w:hAnsi="Symbol" w:hint="default"/>
      </w:rPr>
    </w:lvl>
    <w:lvl w:ilvl="4" w:tplc="8F38C5B2" w:tentative="1">
      <w:start w:val="1"/>
      <w:numFmt w:val="bullet"/>
      <w:lvlText w:val="o"/>
      <w:lvlJc w:val="left"/>
      <w:pPr>
        <w:ind w:left="3600" w:hanging="360"/>
      </w:pPr>
      <w:rPr>
        <w:rFonts w:ascii="Courier New" w:hAnsi="Courier New" w:cs="Courier New" w:hint="default"/>
      </w:rPr>
    </w:lvl>
    <w:lvl w:ilvl="5" w:tplc="D03C3FE6" w:tentative="1">
      <w:start w:val="1"/>
      <w:numFmt w:val="bullet"/>
      <w:lvlText w:val=""/>
      <w:lvlJc w:val="left"/>
      <w:pPr>
        <w:ind w:left="4320" w:hanging="360"/>
      </w:pPr>
      <w:rPr>
        <w:rFonts w:ascii="Wingdings" w:hAnsi="Wingdings" w:hint="default"/>
      </w:rPr>
    </w:lvl>
    <w:lvl w:ilvl="6" w:tplc="CF64C1C8" w:tentative="1">
      <w:start w:val="1"/>
      <w:numFmt w:val="bullet"/>
      <w:lvlText w:val=""/>
      <w:lvlJc w:val="left"/>
      <w:pPr>
        <w:ind w:left="5040" w:hanging="360"/>
      </w:pPr>
      <w:rPr>
        <w:rFonts w:ascii="Symbol" w:hAnsi="Symbol" w:hint="default"/>
      </w:rPr>
    </w:lvl>
    <w:lvl w:ilvl="7" w:tplc="B888B67C" w:tentative="1">
      <w:start w:val="1"/>
      <w:numFmt w:val="bullet"/>
      <w:lvlText w:val="o"/>
      <w:lvlJc w:val="left"/>
      <w:pPr>
        <w:ind w:left="5760" w:hanging="360"/>
      </w:pPr>
      <w:rPr>
        <w:rFonts w:ascii="Courier New" w:hAnsi="Courier New" w:cs="Courier New" w:hint="default"/>
      </w:rPr>
    </w:lvl>
    <w:lvl w:ilvl="8" w:tplc="515A7448" w:tentative="1">
      <w:start w:val="1"/>
      <w:numFmt w:val="bullet"/>
      <w:lvlText w:val=""/>
      <w:lvlJc w:val="left"/>
      <w:pPr>
        <w:ind w:left="6480" w:hanging="360"/>
      </w:pPr>
      <w:rPr>
        <w:rFonts w:ascii="Wingdings" w:hAnsi="Wingdings" w:hint="default"/>
      </w:rPr>
    </w:lvl>
  </w:abstractNum>
  <w:abstractNum w:abstractNumId="35">
    <w:nsid w:val="774868B9"/>
    <w:multiLevelType w:val="hybridMultilevel"/>
    <w:tmpl w:val="A02AF9EA"/>
    <w:lvl w:ilvl="0" w:tplc="F33CF392">
      <w:start w:val="1"/>
      <w:numFmt w:val="bullet"/>
      <w:pStyle w:val="Table-list-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B471930"/>
    <w:multiLevelType w:val="hybridMultilevel"/>
    <w:tmpl w:val="D368F730"/>
    <w:lvl w:ilvl="0" w:tplc="CFB4EBF4">
      <w:numFmt w:val="bullet"/>
      <w:lvlText w:val=""/>
      <w:lvlJc w:val="left"/>
      <w:pPr>
        <w:tabs>
          <w:tab w:val="num" w:pos="284"/>
        </w:tabs>
        <w:ind w:left="284" w:hanging="284"/>
      </w:pPr>
      <w:rPr>
        <w:rFonts w:ascii="Symbol" w:hAnsi="Symbol" w:cs="Times New Roman"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CE4871"/>
    <w:multiLevelType w:val="hybridMultilevel"/>
    <w:tmpl w:val="C44E9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9"/>
  </w:num>
  <w:num w:numId="4">
    <w:abstractNumId w:val="13"/>
  </w:num>
  <w:num w:numId="5">
    <w:abstractNumId w:val="32"/>
  </w:num>
  <w:num w:numId="6">
    <w:abstractNumId w:val="35"/>
  </w:num>
  <w:num w:numId="7">
    <w:abstractNumId w:val="1"/>
  </w:num>
  <w:num w:numId="8">
    <w:abstractNumId w:val="28"/>
  </w:num>
  <w:num w:numId="9">
    <w:abstractNumId w:val="3"/>
  </w:num>
  <w:num w:numId="10">
    <w:abstractNumId w:val="32"/>
  </w:num>
  <w:num w:numId="11">
    <w:abstractNumId w:val="32"/>
  </w:num>
  <w:num w:numId="12">
    <w:abstractNumId w:val="9"/>
  </w:num>
  <w:num w:numId="13">
    <w:abstractNumId w:val="19"/>
  </w:num>
  <w:num w:numId="14">
    <w:abstractNumId w:val="13"/>
  </w:num>
  <w:num w:numId="15">
    <w:abstractNumId w:val="13"/>
  </w:num>
  <w:num w:numId="16">
    <w:abstractNumId w:val="32"/>
  </w:num>
  <w:num w:numId="17">
    <w:abstractNumId w:val="35"/>
  </w:num>
  <w:num w:numId="18">
    <w:abstractNumId w:val="1"/>
  </w:num>
  <w:num w:numId="19">
    <w:abstractNumId w:val="2"/>
  </w:num>
  <w:num w:numId="20">
    <w:abstractNumId w:val="14"/>
  </w:num>
  <w:num w:numId="21">
    <w:abstractNumId w:val="31"/>
  </w:num>
  <w:num w:numId="22">
    <w:abstractNumId w:val="10"/>
  </w:num>
  <w:num w:numId="23">
    <w:abstractNumId w:val="0"/>
  </w:num>
  <w:num w:numId="24">
    <w:abstractNumId w:val="8"/>
  </w:num>
  <w:num w:numId="25">
    <w:abstractNumId w:val="26"/>
  </w:num>
  <w:num w:numId="26">
    <w:abstractNumId w:val="17"/>
  </w:num>
  <w:num w:numId="27">
    <w:abstractNumId w:val="11"/>
  </w:num>
  <w:num w:numId="28">
    <w:abstractNumId w:val="25"/>
  </w:num>
  <w:num w:numId="29">
    <w:abstractNumId w:val="21"/>
  </w:num>
  <w:num w:numId="30">
    <w:abstractNumId w:val="30"/>
  </w:num>
  <w:num w:numId="31">
    <w:abstractNumId w:val="27"/>
  </w:num>
  <w:num w:numId="32">
    <w:abstractNumId w:val="12"/>
  </w:num>
  <w:num w:numId="33">
    <w:abstractNumId w:val="22"/>
  </w:num>
  <w:num w:numId="34">
    <w:abstractNumId w:val="20"/>
  </w:num>
  <w:num w:numId="35">
    <w:abstractNumId w:val="16"/>
  </w:num>
  <w:num w:numId="36">
    <w:abstractNumId w:val="4"/>
  </w:num>
  <w:num w:numId="37">
    <w:abstractNumId w:val="37"/>
  </w:num>
  <w:num w:numId="38">
    <w:abstractNumId w:val="29"/>
  </w:num>
  <w:num w:numId="39">
    <w:abstractNumId w:val="5"/>
  </w:num>
  <w:num w:numId="40">
    <w:abstractNumId w:val="6"/>
  </w:num>
  <w:num w:numId="41">
    <w:abstractNumId w:val="7"/>
  </w:num>
  <w:num w:numId="42">
    <w:abstractNumId w:val="34"/>
  </w:num>
  <w:num w:numId="43">
    <w:abstractNumId w:val="15"/>
  </w:num>
  <w:num w:numId="44">
    <w:abstractNumId w:val="18"/>
  </w:num>
  <w:num w:numId="45">
    <w:abstractNumId w:val="33"/>
  </w:num>
  <w:num w:numId="46">
    <w:abstractNumId w:val="23"/>
  </w:num>
  <w:num w:numId="47">
    <w:abstractNumId w:val="24"/>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drawingGridVerticalSpacing w:val="181"/>
  <w:displayVertic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35"/>
    <w:rsid w:val="00012070"/>
    <w:rsid w:val="00012E96"/>
    <w:rsid w:val="000135D5"/>
    <w:rsid w:val="00013E09"/>
    <w:rsid w:val="00015371"/>
    <w:rsid w:val="000163BD"/>
    <w:rsid w:val="000272E0"/>
    <w:rsid w:val="00031779"/>
    <w:rsid w:val="000412DD"/>
    <w:rsid w:val="00052316"/>
    <w:rsid w:val="0005389C"/>
    <w:rsid w:val="00054700"/>
    <w:rsid w:val="00057316"/>
    <w:rsid w:val="00060B33"/>
    <w:rsid w:val="00067C95"/>
    <w:rsid w:val="0007162A"/>
    <w:rsid w:val="00071CEC"/>
    <w:rsid w:val="000728D3"/>
    <w:rsid w:val="000733A7"/>
    <w:rsid w:val="000765F5"/>
    <w:rsid w:val="00077243"/>
    <w:rsid w:val="000815FC"/>
    <w:rsid w:val="000869CE"/>
    <w:rsid w:val="00094CE2"/>
    <w:rsid w:val="000A77DB"/>
    <w:rsid w:val="000B520A"/>
    <w:rsid w:val="000B7AFD"/>
    <w:rsid w:val="000C4574"/>
    <w:rsid w:val="000D316D"/>
    <w:rsid w:val="000D38AE"/>
    <w:rsid w:val="000E1475"/>
    <w:rsid w:val="000E1958"/>
    <w:rsid w:val="000F51D5"/>
    <w:rsid w:val="000F5FF5"/>
    <w:rsid w:val="0010006D"/>
    <w:rsid w:val="00102362"/>
    <w:rsid w:val="00104963"/>
    <w:rsid w:val="001077BF"/>
    <w:rsid w:val="00113C84"/>
    <w:rsid w:val="00116D39"/>
    <w:rsid w:val="00121F43"/>
    <w:rsid w:val="001236CF"/>
    <w:rsid w:val="00123C3E"/>
    <w:rsid w:val="0012582F"/>
    <w:rsid w:val="00134B6C"/>
    <w:rsid w:val="001378B7"/>
    <w:rsid w:val="00140289"/>
    <w:rsid w:val="00144AF1"/>
    <w:rsid w:val="001461C8"/>
    <w:rsid w:val="001467C6"/>
    <w:rsid w:val="00151891"/>
    <w:rsid w:val="00153F2A"/>
    <w:rsid w:val="001614B0"/>
    <w:rsid w:val="0016457C"/>
    <w:rsid w:val="00173632"/>
    <w:rsid w:val="00175FFC"/>
    <w:rsid w:val="00177AC0"/>
    <w:rsid w:val="00184728"/>
    <w:rsid w:val="001874BC"/>
    <w:rsid w:val="001917F6"/>
    <w:rsid w:val="001B1EE4"/>
    <w:rsid w:val="001B5DEE"/>
    <w:rsid w:val="001D7353"/>
    <w:rsid w:val="001E3D24"/>
    <w:rsid w:val="001E4372"/>
    <w:rsid w:val="001E4FCC"/>
    <w:rsid w:val="001F548E"/>
    <w:rsid w:val="00201759"/>
    <w:rsid w:val="00206132"/>
    <w:rsid w:val="00214F7F"/>
    <w:rsid w:val="00221D53"/>
    <w:rsid w:val="00223581"/>
    <w:rsid w:val="00232239"/>
    <w:rsid w:val="002425E0"/>
    <w:rsid w:val="00245265"/>
    <w:rsid w:val="00250414"/>
    <w:rsid w:val="00250CB9"/>
    <w:rsid w:val="002524DA"/>
    <w:rsid w:val="002546B7"/>
    <w:rsid w:val="00255DF0"/>
    <w:rsid w:val="002600AF"/>
    <w:rsid w:val="00264366"/>
    <w:rsid w:val="00275326"/>
    <w:rsid w:val="00276F45"/>
    <w:rsid w:val="002824B7"/>
    <w:rsid w:val="002839B9"/>
    <w:rsid w:val="0029717D"/>
    <w:rsid w:val="002B2279"/>
    <w:rsid w:val="002B2BA6"/>
    <w:rsid w:val="002B5216"/>
    <w:rsid w:val="002D1173"/>
    <w:rsid w:val="002D4C96"/>
    <w:rsid w:val="002E0EA2"/>
    <w:rsid w:val="002E7065"/>
    <w:rsid w:val="002E7A09"/>
    <w:rsid w:val="002F001E"/>
    <w:rsid w:val="002F13CD"/>
    <w:rsid w:val="002F3803"/>
    <w:rsid w:val="0030264B"/>
    <w:rsid w:val="00310523"/>
    <w:rsid w:val="00310FA6"/>
    <w:rsid w:val="00326D2A"/>
    <w:rsid w:val="00334E51"/>
    <w:rsid w:val="00342870"/>
    <w:rsid w:val="00345F77"/>
    <w:rsid w:val="00350917"/>
    <w:rsid w:val="0035724B"/>
    <w:rsid w:val="00361A7F"/>
    <w:rsid w:val="00367DA3"/>
    <w:rsid w:val="003719DB"/>
    <w:rsid w:val="00371B8D"/>
    <w:rsid w:val="00373EB2"/>
    <w:rsid w:val="0037535E"/>
    <w:rsid w:val="0039002F"/>
    <w:rsid w:val="00390A59"/>
    <w:rsid w:val="00394C72"/>
    <w:rsid w:val="00395FC0"/>
    <w:rsid w:val="00397F85"/>
    <w:rsid w:val="003A09AD"/>
    <w:rsid w:val="003A273C"/>
    <w:rsid w:val="003A36D5"/>
    <w:rsid w:val="003A4D26"/>
    <w:rsid w:val="003B518A"/>
    <w:rsid w:val="003C0A67"/>
    <w:rsid w:val="003C24EC"/>
    <w:rsid w:val="003C25ED"/>
    <w:rsid w:val="003C3333"/>
    <w:rsid w:val="003C480B"/>
    <w:rsid w:val="003D0C24"/>
    <w:rsid w:val="003D236A"/>
    <w:rsid w:val="003D4CAC"/>
    <w:rsid w:val="003D548A"/>
    <w:rsid w:val="003D5CFC"/>
    <w:rsid w:val="003D6E0A"/>
    <w:rsid w:val="003D7317"/>
    <w:rsid w:val="003E0DFE"/>
    <w:rsid w:val="003E2603"/>
    <w:rsid w:val="003E3E3E"/>
    <w:rsid w:val="003E6561"/>
    <w:rsid w:val="003E7BC4"/>
    <w:rsid w:val="003F0F7E"/>
    <w:rsid w:val="003F2997"/>
    <w:rsid w:val="003F43CF"/>
    <w:rsid w:val="003F43F9"/>
    <w:rsid w:val="003F7C64"/>
    <w:rsid w:val="004032D0"/>
    <w:rsid w:val="00403881"/>
    <w:rsid w:val="00406563"/>
    <w:rsid w:val="00406867"/>
    <w:rsid w:val="00406CD2"/>
    <w:rsid w:val="00411862"/>
    <w:rsid w:val="00416565"/>
    <w:rsid w:val="004221A5"/>
    <w:rsid w:val="00434134"/>
    <w:rsid w:val="00444D45"/>
    <w:rsid w:val="00454766"/>
    <w:rsid w:val="004555E2"/>
    <w:rsid w:val="00455F94"/>
    <w:rsid w:val="00456E9B"/>
    <w:rsid w:val="00461D80"/>
    <w:rsid w:val="00466CDA"/>
    <w:rsid w:val="004700E8"/>
    <w:rsid w:val="004707CB"/>
    <w:rsid w:val="00473AA7"/>
    <w:rsid w:val="00476FDC"/>
    <w:rsid w:val="0047719C"/>
    <w:rsid w:val="00496DB3"/>
    <w:rsid w:val="004A100E"/>
    <w:rsid w:val="004A56A0"/>
    <w:rsid w:val="004C00C0"/>
    <w:rsid w:val="004C429D"/>
    <w:rsid w:val="004C675F"/>
    <w:rsid w:val="004D3454"/>
    <w:rsid w:val="004D3EF2"/>
    <w:rsid w:val="004E0A16"/>
    <w:rsid w:val="004E150A"/>
    <w:rsid w:val="004E37BD"/>
    <w:rsid w:val="004F5F17"/>
    <w:rsid w:val="00504689"/>
    <w:rsid w:val="00504739"/>
    <w:rsid w:val="005077AB"/>
    <w:rsid w:val="005149FE"/>
    <w:rsid w:val="005154F9"/>
    <w:rsid w:val="0052010E"/>
    <w:rsid w:val="00522766"/>
    <w:rsid w:val="00523BBF"/>
    <w:rsid w:val="00530283"/>
    <w:rsid w:val="00536454"/>
    <w:rsid w:val="005477B9"/>
    <w:rsid w:val="00550E26"/>
    <w:rsid w:val="005672CB"/>
    <w:rsid w:val="00576EED"/>
    <w:rsid w:val="005829CA"/>
    <w:rsid w:val="00586B72"/>
    <w:rsid w:val="00587599"/>
    <w:rsid w:val="0059065C"/>
    <w:rsid w:val="005928E6"/>
    <w:rsid w:val="00593DB7"/>
    <w:rsid w:val="0059519C"/>
    <w:rsid w:val="00596949"/>
    <w:rsid w:val="005A4455"/>
    <w:rsid w:val="005A47C3"/>
    <w:rsid w:val="005A6B4A"/>
    <w:rsid w:val="005A7156"/>
    <w:rsid w:val="005A7776"/>
    <w:rsid w:val="005D008B"/>
    <w:rsid w:val="005D3F4B"/>
    <w:rsid w:val="005E0F91"/>
    <w:rsid w:val="005E3939"/>
    <w:rsid w:val="00611E1D"/>
    <w:rsid w:val="0061231E"/>
    <w:rsid w:val="00614E79"/>
    <w:rsid w:val="00614EC8"/>
    <w:rsid w:val="006153BC"/>
    <w:rsid w:val="00630522"/>
    <w:rsid w:val="00632714"/>
    <w:rsid w:val="00636F15"/>
    <w:rsid w:val="00642F53"/>
    <w:rsid w:val="00654BC0"/>
    <w:rsid w:val="00656E2F"/>
    <w:rsid w:val="00670D9D"/>
    <w:rsid w:val="00677BF8"/>
    <w:rsid w:val="00681953"/>
    <w:rsid w:val="00681FC6"/>
    <w:rsid w:val="00683EB4"/>
    <w:rsid w:val="00691182"/>
    <w:rsid w:val="00696A03"/>
    <w:rsid w:val="006A069A"/>
    <w:rsid w:val="006A33F8"/>
    <w:rsid w:val="006A6864"/>
    <w:rsid w:val="006B0754"/>
    <w:rsid w:val="006B0F3C"/>
    <w:rsid w:val="006B204D"/>
    <w:rsid w:val="006B4A7A"/>
    <w:rsid w:val="006B5E30"/>
    <w:rsid w:val="006B7BFE"/>
    <w:rsid w:val="006C2142"/>
    <w:rsid w:val="006D31BA"/>
    <w:rsid w:val="006D7297"/>
    <w:rsid w:val="006E0843"/>
    <w:rsid w:val="006E08F6"/>
    <w:rsid w:val="007104C5"/>
    <w:rsid w:val="0072064D"/>
    <w:rsid w:val="00721865"/>
    <w:rsid w:val="007336DD"/>
    <w:rsid w:val="00736E87"/>
    <w:rsid w:val="00743FDA"/>
    <w:rsid w:val="00744139"/>
    <w:rsid w:val="007478C2"/>
    <w:rsid w:val="00747B90"/>
    <w:rsid w:val="00755ECE"/>
    <w:rsid w:val="007617BD"/>
    <w:rsid w:val="00762F7B"/>
    <w:rsid w:val="00767EB4"/>
    <w:rsid w:val="007717B2"/>
    <w:rsid w:val="0077265D"/>
    <w:rsid w:val="0077790F"/>
    <w:rsid w:val="007820D0"/>
    <w:rsid w:val="00783EFE"/>
    <w:rsid w:val="00783F58"/>
    <w:rsid w:val="007A7EBD"/>
    <w:rsid w:val="007B042E"/>
    <w:rsid w:val="007C0E48"/>
    <w:rsid w:val="007C5FAB"/>
    <w:rsid w:val="007D2631"/>
    <w:rsid w:val="007E37A6"/>
    <w:rsid w:val="007E4E22"/>
    <w:rsid w:val="007E4FE8"/>
    <w:rsid w:val="007E60A1"/>
    <w:rsid w:val="007E694D"/>
    <w:rsid w:val="007F3EE5"/>
    <w:rsid w:val="00800650"/>
    <w:rsid w:val="00802A54"/>
    <w:rsid w:val="00804AEF"/>
    <w:rsid w:val="00804D49"/>
    <w:rsid w:val="00806888"/>
    <w:rsid w:val="00814D47"/>
    <w:rsid w:val="0081654C"/>
    <w:rsid w:val="00816584"/>
    <w:rsid w:val="00817570"/>
    <w:rsid w:val="00831FE2"/>
    <w:rsid w:val="00841348"/>
    <w:rsid w:val="00843412"/>
    <w:rsid w:val="00843D42"/>
    <w:rsid w:val="00845B17"/>
    <w:rsid w:val="00847FA2"/>
    <w:rsid w:val="00864A76"/>
    <w:rsid w:val="0087604D"/>
    <w:rsid w:val="00886689"/>
    <w:rsid w:val="00887304"/>
    <w:rsid w:val="00894472"/>
    <w:rsid w:val="008B3156"/>
    <w:rsid w:val="008B7666"/>
    <w:rsid w:val="008D105C"/>
    <w:rsid w:val="008D6B75"/>
    <w:rsid w:val="008D716B"/>
    <w:rsid w:val="008D7666"/>
    <w:rsid w:val="008E0C4C"/>
    <w:rsid w:val="008F36C7"/>
    <w:rsid w:val="0091135C"/>
    <w:rsid w:val="00913F5E"/>
    <w:rsid w:val="00921CBF"/>
    <w:rsid w:val="00923B0C"/>
    <w:rsid w:val="009247FD"/>
    <w:rsid w:val="00933765"/>
    <w:rsid w:val="00936948"/>
    <w:rsid w:val="00944BC2"/>
    <w:rsid w:val="0094578A"/>
    <w:rsid w:val="009526A3"/>
    <w:rsid w:val="00953FAD"/>
    <w:rsid w:val="0095688C"/>
    <w:rsid w:val="00963AAF"/>
    <w:rsid w:val="00963C76"/>
    <w:rsid w:val="00963FE5"/>
    <w:rsid w:val="00975EFF"/>
    <w:rsid w:val="00982318"/>
    <w:rsid w:val="00983442"/>
    <w:rsid w:val="00993D41"/>
    <w:rsid w:val="009A4B0D"/>
    <w:rsid w:val="009B1EDE"/>
    <w:rsid w:val="009B4B2D"/>
    <w:rsid w:val="009B6244"/>
    <w:rsid w:val="009B6A20"/>
    <w:rsid w:val="009C235A"/>
    <w:rsid w:val="009C34DA"/>
    <w:rsid w:val="009C73C2"/>
    <w:rsid w:val="009D4B42"/>
    <w:rsid w:val="009D62FF"/>
    <w:rsid w:val="009D6DE1"/>
    <w:rsid w:val="009D7187"/>
    <w:rsid w:val="009E74C0"/>
    <w:rsid w:val="00A02130"/>
    <w:rsid w:val="00A04888"/>
    <w:rsid w:val="00A236A7"/>
    <w:rsid w:val="00A2540E"/>
    <w:rsid w:val="00A268C7"/>
    <w:rsid w:val="00A30231"/>
    <w:rsid w:val="00A32596"/>
    <w:rsid w:val="00A33696"/>
    <w:rsid w:val="00A36EBD"/>
    <w:rsid w:val="00A435F6"/>
    <w:rsid w:val="00A44E49"/>
    <w:rsid w:val="00A5059C"/>
    <w:rsid w:val="00A519CC"/>
    <w:rsid w:val="00A5273A"/>
    <w:rsid w:val="00A53647"/>
    <w:rsid w:val="00A558C5"/>
    <w:rsid w:val="00A55C90"/>
    <w:rsid w:val="00A71362"/>
    <w:rsid w:val="00A75B48"/>
    <w:rsid w:val="00A85757"/>
    <w:rsid w:val="00A91D3A"/>
    <w:rsid w:val="00A94B71"/>
    <w:rsid w:val="00AA4991"/>
    <w:rsid w:val="00AB6960"/>
    <w:rsid w:val="00AC3332"/>
    <w:rsid w:val="00AD1B8A"/>
    <w:rsid w:val="00AE250D"/>
    <w:rsid w:val="00AE52D5"/>
    <w:rsid w:val="00AE5F85"/>
    <w:rsid w:val="00AE7561"/>
    <w:rsid w:val="00AF1433"/>
    <w:rsid w:val="00AF367C"/>
    <w:rsid w:val="00AF4FCA"/>
    <w:rsid w:val="00AF6DEC"/>
    <w:rsid w:val="00B008B4"/>
    <w:rsid w:val="00B04101"/>
    <w:rsid w:val="00B045C1"/>
    <w:rsid w:val="00B06A1E"/>
    <w:rsid w:val="00B07AD5"/>
    <w:rsid w:val="00B11A4D"/>
    <w:rsid w:val="00B13085"/>
    <w:rsid w:val="00B2593F"/>
    <w:rsid w:val="00B35F23"/>
    <w:rsid w:val="00B362C7"/>
    <w:rsid w:val="00B369D1"/>
    <w:rsid w:val="00B41A17"/>
    <w:rsid w:val="00B432DE"/>
    <w:rsid w:val="00B4437C"/>
    <w:rsid w:val="00B55A04"/>
    <w:rsid w:val="00B67F3E"/>
    <w:rsid w:val="00B75863"/>
    <w:rsid w:val="00B766F4"/>
    <w:rsid w:val="00B8200C"/>
    <w:rsid w:val="00B84249"/>
    <w:rsid w:val="00B86E2F"/>
    <w:rsid w:val="00B91940"/>
    <w:rsid w:val="00B93E67"/>
    <w:rsid w:val="00B9551F"/>
    <w:rsid w:val="00BA3C47"/>
    <w:rsid w:val="00BB53D4"/>
    <w:rsid w:val="00BB7FD0"/>
    <w:rsid w:val="00BC2C84"/>
    <w:rsid w:val="00BC5D5C"/>
    <w:rsid w:val="00BF3562"/>
    <w:rsid w:val="00BF3735"/>
    <w:rsid w:val="00C00100"/>
    <w:rsid w:val="00C01019"/>
    <w:rsid w:val="00C0509D"/>
    <w:rsid w:val="00C0520A"/>
    <w:rsid w:val="00C13229"/>
    <w:rsid w:val="00C16B9D"/>
    <w:rsid w:val="00C20446"/>
    <w:rsid w:val="00C263B2"/>
    <w:rsid w:val="00C42279"/>
    <w:rsid w:val="00C441FE"/>
    <w:rsid w:val="00C4776D"/>
    <w:rsid w:val="00C51434"/>
    <w:rsid w:val="00C51CFF"/>
    <w:rsid w:val="00C53398"/>
    <w:rsid w:val="00C6299D"/>
    <w:rsid w:val="00C64683"/>
    <w:rsid w:val="00C64B11"/>
    <w:rsid w:val="00C65145"/>
    <w:rsid w:val="00C657FB"/>
    <w:rsid w:val="00C65A25"/>
    <w:rsid w:val="00C65DDC"/>
    <w:rsid w:val="00C66DAE"/>
    <w:rsid w:val="00C679C9"/>
    <w:rsid w:val="00C700FD"/>
    <w:rsid w:val="00C77C7A"/>
    <w:rsid w:val="00C8100B"/>
    <w:rsid w:val="00C8709B"/>
    <w:rsid w:val="00CA2397"/>
    <w:rsid w:val="00CA5F98"/>
    <w:rsid w:val="00CB0D9F"/>
    <w:rsid w:val="00CB13C6"/>
    <w:rsid w:val="00CB24A3"/>
    <w:rsid w:val="00CC11D2"/>
    <w:rsid w:val="00CC30D7"/>
    <w:rsid w:val="00CC5199"/>
    <w:rsid w:val="00CC7AE9"/>
    <w:rsid w:val="00CD0227"/>
    <w:rsid w:val="00CE0C47"/>
    <w:rsid w:val="00CF08F0"/>
    <w:rsid w:val="00D02F70"/>
    <w:rsid w:val="00D1403E"/>
    <w:rsid w:val="00D17961"/>
    <w:rsid w:val="00D23DFA"/>
    <w:rsid w:val="00D273CD"/>
    <w:rsid w:val="00D34B08"/>
    <w:rsid w:val="00D35C20"/>
    <w:rsid w:val="00D459AC"/>
    <w:rsid w:val="00D4711F"/>
    <w:rsid w:val="00D66ACD"/>
    <w:rsid w:val="00D709F8"/>
    <w:rsid w:val="00D721A2"/>
    <w:rsid w:val="00D72611"/>
    <w:rsid w:val="00D81AE0"/>
    <w:rsid w:val="00D82FCE"/>
    <w:rsid w:val="00D91610"/>
    <w:rsid w:val="00D9527A"/>
    <w:rsid w:val="00D95EB1"/>
    <w:rsid w:val="00D97C41"/>
    <w:rsid w:val="00DB1297"/>
    <w:rsid w:val="00DB20B2"/>
    <w:rsid w:val="00DC06C0"/>
    <w:rsid w:val="00DC4205"/>
    <w:rsid w:val="00DC5878"/>
    <w:rsid w:val="00DC73A5"/>
    <w:rsid w:val="00DC7D35"/>
    <w:rsid w:val="00DE11AB"/>
    <w:rsid w:val="00DE2470"/>
    <w:rsid w:val="00DF62D0"/>
    <w:rsid w:val="00E10870"/>
    <w:rsid w:val="00E10988"/>
    <w:rsid w:val="00E12A1C"/>
    <w:rsid w:val="00E12F7B"/>
    <w:rsid w:val="00E20030"/>
    <w:rsid w:val="00E245E4"/>
    <w:rsid w:val="00E27F4A"/>
    <w:rsid w:val="00E30F79"/>
    <w:rsid w:val="00E33E4E"/>
    <w:rsid w:val="00E36400"/>
    <w:rsid w:val="00E44075"/>
    <w:rsid w:val="00E50AA1"/>
    <w:rsid w:val="00E5268B"/>
    <w:rsid w:val="00E57B1B"/>
    <w:rsid w:val="00E605EE"/>
    <w:rsid w:val="00E6298A"/>
    <w:rsid w:val="00E67963"/>
    <w:rsid w:val="00E77EAF"/>
    <w:rsid w:val="00E854B4"/>
    <w:rsid w:val="00E86F3D"/>
    <w:rsid w:val="00E879FB"/>
    <w:rsid w:val="00E9095B"/>
    <w:rsid w:val="00E9260F"/>
    <w:rsid w:val="00E9448D"/>
    <w:rsid w:val="00EA1AA0"/>
    <w:rsid w:val="00EA5124"/>
    <w:rsid w:val="00EA6987"/>
    <w:rsid w:val="00EA6FCD"/>
    <w:rsid w:val="00EB37C1"/>
    <w:rsid w:val="00EB3E0E"/>
    <w:rsid w:val="00EB3F2D"/>
    <w:rsid w:val="00EB74F2"/>
    <w:rsid w:val="00EC262F"/>
    <w:rsid w:val="00EC54C2"/>
    <w:rsid w:val="00EC6A26"/>
    <w:rsid w:val="00EF02B3"/>
    <w:rsid w:val="00EF116F"/>
    <w:rsid w:val="00EF51DB"/>
    <w:rsid w:val="00F00F21"/>
    <w:rsid w:val="00F01177"/>
    <w:rsid w:val="00F0204F"/>
    <w:rsid w:val="00F0610B"/>
    <w:rsid w:val="00F13AF9"/>
    <w:rsid w:val="00F22FFA"/>
    <w:rsid w:val="00F31F3B"/>
    <w:rsid w:val="00F36188"/>
    <w:rsid w:val="00F3700D"/>
    <w:rsid w:val="00F37B61"/>
    <w:rsid w:val="00F37DD4"/>
    <w:rsid w:val="00F4512D"/>
    <w:rsid w:val="00F52AAB"/>
    <w:rsid w:val="00F52EA1"/>
    <w:rsid w:val="00F570DB"/>
    <w:rsid w:val="00F63B43"/>
    <w:rsid w:val="00F67830"/>
    <w:rsid w:val="00F931EC"/>
    <w:rsid w:val="00FA2BD3"/>
    <w:rsid w:val="00FA5AC3"/>
    <w:rsid w:val="00FB4715"/>
    <w:rsid w:val="00FC2E73"/>
    <w:rsid w:val="00FC32FD"/>
    <w:rsid w:val="00FE16B3"/>
    <w:rsid w:val="00FE5571"/>
    <w:rsid w:val="00FF0910"/>
    <w:rsid w:val="00FF247F"/>
    <w:rsid w:val="00FF3066"/>
    <w:rsid w:val="00FF31DD"/>
    <w:rsid w:val="00FF5A97"/>
    <w:rsid w:val="00FF6C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0E27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7DB"/>
    <w:pPr>
      <w:spacing w:before="120"/>
    </w:pPr>
    <w:rPr>
      <w:rFonts w:ascii="Arial" w:hAnsi="Arial"/>
      <w:szCs w:val="24"/>
      <w:lang w:eastAsia="en-US"/>
    </w:rPr>
  </w:style>
  <w:style w:type="paragraph" w:styleId="Heading1">
    <w:name w:val="heading 1"/>
    <w:next w:val="Normal"/>
    <w:qFormat/>
    <w:rsid w:val="002B2279"/>
    <w:pPr>
      <w:keepNext/>
      <w:spacing w:before="240" w:after="60"/>
      <w:outlineLvl w:val="0"/>
    </w:pPr>
    <w:rPr>
      <w:rFonts w:ascii="Arial" w:hAnsi="Arial" w:cs="Arial"/>
      <w:b/>
      <w:sz w:val="26"/>
      <w:szCs w:val="32"/>
    </w:rPr>
  </w:style>
  <w:style w:type="paragraph" w:styleId="Heading2">
    <w:name w:val="heading 2"/>
    <w:basedOn w:val="Heading1"/>
    <w:next w:val="Normal"/>
    <w:link w:val="Heading2Char"/>
    <w:qFormat/>
    <w:rsid w:val="002B2279"/>
    <w:pPr>
      <w:outlineLvl w:val="1"/>
    </w:pPr>
    <w:rPr>
      <w:iCs/>
      <w:sz w:val="24"/>
      <w:szCs w:val="22"/>
    </w:rPr>
  </w:style>
  <w:style w:type="paragraph" w:styleId="Heading3">
    <w:name w:val="heading 3"/>
    <w:next w:val="Normal"/>
    <w:qFormat/>
    <w:rsid w:val="002B2279"/>
    <w:pPr>
      <w:keepNext/>
      <w:spacing w:before="160" w:after="60"/>
      <w:outlineLvl w:val="2"/>
    </w:pPr>
    <w:rPr>
      <w:rFonts w:ascii="Arial" w:hAnsi="Arial"/>
      <w:b/>
      <w:bCs/>
      <w:i/>
      <w:i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Name">
    <w:name w:val="DocName"/>
    <w:basedOn w:val="Normal"/>
    <w:link w:val="DocNameChar"/>
    <w:rsid w:val="002B2279"/>
    <w:pPr>
      <w:spacing w:before="0"/>
      <w:jc w:val="center"/>
    </w:pPr>
    <w:rPr>
      <w:b/>
      <w:bCs/>
      <w:sz w:val="28"/>
    </w:rPr>
  </w:style>
  <w:style w:type="paragraph" w:customStyle="1" w:styleId="DocStatus">
    <w:name w:val="DocStatus"/>
    <w:basedOn w:val="Normal"/>
    <w:rsid w:val="002B2279"/>
    <w:pPr>
      <w:spacing w:after="60"/>
      <w:jc w:val="center"/>
    </w:pPr>
    <w:rPr>
      <w:b/>
      <w:sz w:val="22"/>
    </w:rPr>
  </w:style>
  <w:style w:type="paragraph" w:customStyle="1" w:styleId="Heading2numbered">
    <w:name w:val="Heading 2 numbered"/>
    <w:basedOn w:val="Heading2"/>
    <w:next w:val="Normal"/>
    <w:rsid w:val="002B2279"/>
    <w:pPr>
      <w:numPr>
        <w:ilvl w:val="1"/>
        <w:numId w:val="16"/>
      </w:numPr>
    </w:pPr>
  </w:style>
  <w:style w:type="paragraph" w:customStyle="1" w:styleId="Heading3numbered">
    <w:name w:val="Heading 3 numbered"/>
    <w:basedOn w:val="Heading3"/>
    <w:next w:val="Normal"/>
    <w:rsid w:val="002B2279"/>
    <w:pPr>
      <w:numPr>
        <w:ilvl w:val="2"/>
        <w:numId w:val="16"/>
      </w:numPr>
    </w:pPr>
  </w:style>
  <w:style w:type="paragraph" w:customStyle="1" w:styleId="List-bullet-2">
    <w:name w:val="List-bullet-2"/>
    <w:basedOn w:val="Normal"/>
    <w:rsid w:val="002B2279"/>
    <w:pPr>
      <w:numPr>
        <w:numId w:val="13"/>
      </w:numPr>
      <w:spacing w:before="80"/>
    </w:pPr>
    <w:rPr>
      <w:rFonts w:cs="Arial"/>
      <w:szCs w:val="22"/>
      <w:lang w:val="en-US"/>
    </w:rPr>
  </w:style>
  <w:style w:type="paragraph" w:customStyle="1" w:styleId="List-number-2">
    <w:name w:val="List-number-2"/>
    <w:basedOn w:val="Normal"/>
    <w:link w:val="List-number-2Char"/>
    <w:rsid w:val="002B2279"/>
    <w:pPr>
      <w:numPr>
        <w:ilvl w:val="1"/>
        <w:numId w:val="15"/>
      </w:numPr>
    </w:pPr>
  </w:style>
  <w:style w:type="paragraph" w:customStyle="1" w:styleId="Normal-indent">
    <w:name w:val="Normal-indent"/>
    <w:basedOn w:val="Normal"/>
    <w:rsid w:val="002B2279"/>
    <w:pPr>
      <w:ind w:left="357"/>
    </w:pPr>
    <w:rPr>
      <w:lang w:eastAsia="en-AU"/>
    </w:rPr>
  </w:style>
  <w:style w:type="character" w:styleId="CommentReference">
    <w:name w:val="annotation reference"/>
    <w:semiHidden/>
    <w:rsid w:val="002B2279"/>
    <w:rPr>
      <w:sz w:val="16"/>
      <w:szCs w:val="16"/>
    </w:rPr>
  </w:style>
  <w:style w:type="paragraph" w:customStyle="1" w:styleId="TableHeader">
    <w:name w:val="TableHeader"/>
    <w:basedOn w:val="Normal"/>
    <w:rsid w:val="002B2279"/>
    <w:pPr>
      <w:keepNext/>
      <w:spacing w:before="60" w:after="40"/>
      <w:jc w:val="center"/>
    </w:pPr>
    <w:rPr>
      <w:rFonts w:cs="Arial"/>
      <w:b/>
    </w:rPr>
  </w:style>
  <w:style w:type="paragraph" w:customStyle="1" w:styleId="Table-normal-text">
    <w:name w:val="Table-normal-text"/>
    <w:basedOn w:val="Normal"/>
    <w:rsid w:val="002B2279"/>
    <w:pPr>
      <w:spacing w:before="60"/>
    </w:pPr>
  </w:style>
  <w:style w:type="paragraph" w:customStyle="1" w:styleId="Table-list-bullet">
    <w:name w:val="Table-list-bullet"/>
    <w:basedOn w:val="Table-normal-text"/>
    <w:rsid w:val="002B2279"/>
    <w:pPr>
      <w:numPr>
        <w:numId w:val="17"/>
      </w:numPr>
    </w:pPr>
  </w:style>
  <w:style w:type="paragraph" w:customStyle="1" w:styleId="Table-list-number">
    <w:name w:val="Table-list-number"/>
    <w:basedOn w:val="Table-normal-text"/>
    <w:rsid w:val="002B2279"/>
    <w:pPr>
      <w:numPr>
        <w:numId w:val="18"/>
      </w:numPr>
    </w:pPr>
  </w:style>
  <w:style w:type="paragraph" w:customStyle="1" w:styleId="TableTitle">
    <w:name w:val="TableTitle"/>
    <w:basedOn w:val="Normal"/>
    <w:next w:val="Table-normal-text"/>
    <w:rsid w:val="002B2279"/>
    <w:pPr>
      <w:keepNext/>
      <w:spacing w:before="240" w:after="120"/>
      <w:jc w:val="center"/>
    </w:pPr>
    <w:rPr>
      <w:b/>
    </w:rPr>
  </w:style>
  <w:style w:type="paragraph" w:styleId="Header">
    <w:name w:val="header"/>
    <w:basedOn w:val="Normal"/>
    <w:rsid w:val="002B2279"/>
    <w:pPr>
      <w:tabs>
        <w:tab w:val="center" w:pos="4153"/>
        <w:tab w:val="right" w:pos="8306"/>
      </w:tabs>
    </w:pPr>
    <w:rPr>
      <w:sz w:val="16"/>
    </w:rPr>
  </w:style>
  <w:style w:type="paragraph" w:styleId="Footer">
    <w:name w:val="footer"/>
    <w:basedOn w:val="Normal"/>
    <w:rsid w:val="002B2279"/>
    <w:pPr>
      <w:tabs>
        <w:tab w:val="center" w:pos="4153"/>
        <w:tab w:val="right" w:pos="8306"/>
      </w:tabs>
    </w:pPr>
    <w:rPr>
      <w:sz w:val="16"/>
    </w:rPr>
  </w:style>
  <w:style w:type="character" w:styleId="PageNumber">
    <w:name w:val="page number"/>
    <w:rsid w:val="002B2279"/>
    <w:rPr>
      <w:rFonts w:ascii="Arial" w:hAnsi="Arial"/>
      <w:sz w:val="16"/>
    </w:rPr>
  </w:style>
  <w:style w:type="character" w:styleId="Hyperlink">
    <w:name w:val="Hyperlink"/>
    <w:rsid w:val="002B2279"/>
    <w:rPr>
      <w:rFonts w:ascii="Arial" w:hAnsi="Arial"/>
      <w:color w:val="0000FF"/>
      <w:u w:val="single"/>
    </w:rPr>
  </w:style>
  <w:style w:type="paragraph" w:customStyle="1" w:styleId="List-outline-numbered">
    <w:name w:val="List-outline-numbered"/>
    <w:basedOn w:val="Normal"/>
    <w:rsid w:val="002B2279"/>
    <w:pPr>
      <w:numPr>
        <w:ilvl w:val="3"/>
        <w:numId w:val="16"/>
      </w:numPr>
    </w:pPr>
  </w:style>
  <w:style w:type="paragraph" w:customStyle="1" w:styleId="List-bullet-1">
    <w:name w:val="List-bullet-1"/>
    <w:basedOn w:val="Normal"/>
    <w:rsid w:val="002B2279"/>
    <w:pPr>
      <w:numPr>
        <w:numId w:val="12"/>
      </w:numPr>
    </w:pPr>
    <w:rPr>
      <w:rFonts w:cs="Arial"/>
      <w:szCs w:val="22"/>
    </w:rPr>
  </w:style>
  <w:style w:type="paragraph" w:customStyle="1" w:styleId="List-number-1">
    <w:name w:val="List-number-1"/>
    <w:basedOn w:val="Normal"/>
    <w:rsid w:val="002B2279"/>
    <w:pPr>
      <w:numPr>
        <w:numId w:val="15"/>
      </w:numPr>
    </w:pPr>
  </w:style>
  <w:style w:type="paragraph" w:styleId="BalloonText">
    <w:name w:val="Balloon Text"/>
    <w:basedOn w:val="Normal"/>
    <w:semiHidden/>
    <w:rsid w:val="002B2279"/>
    <w:rPr>
      <w:rFonts w:ascii="Tahoma" w:hAnsi="Tahoma" w:cs="Tahoma"/>
      <w:sz w:val="16"/>
      <w:szCs w:val="16"/>
    </w:rPr>
  </w:style>
  <w:style w:type="table" w:styleId="TableGrid">
    <w:name w:val="Table Grid"/>
    <w:basedOn w:val="TableNormal"/>
    <w:rsid w:val="002B2279"/>
    <w:pPr>
      <w:spacing w:before="60"/>
    </w:pPr>
    <w:rPr>
      <w:rFonts w:ascii="Arial" w:hAnsi="Arial"/>
      <w:sz w:val="18"/>
      <w:szCs w:val="18"/>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28" w:type="dxa"/>
        <w:right w:w="57" w:type="dxa"/>
      </w:tblCellMar>
    </w:tblPr>
    <w:trPr>
      <w:cantSplit/>
    </w:trPr>
    <w:tblStylePr w:type="firstRow">
      <w:pPr>
        <w:jc w:val="center"/>
      </w:pPr>
      <w:rPr>
        <w:rFonts w:ascii="Arial" w:hAnsi="Arial"/>
        <w:b/>
        <w:sz w:val="18"/>
      </w:rPr>
      <w:tblPr/>
      <w:trPr>
        <w:tblHeader/>
      </w:trPr>
      <w:tcPr>
        <w:shd w:val="clear" w:color="auto" w:fill="E0E0E0"/>
        <w:vAlign w:val="center"/>
      </w:tcPr>
    </w:tblStylePr>
  </w:style>
  <w:style w:type="table" w:customStyle="1" w:styleId="TableCheckList-1">
    <w:name w:val="TableCheckList-1"/>
    <w:basedOn w:val="TableNormal"/>
    <w:rsid w:val="002B2279"/>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firstCol">
      <w:tblPr/>
      <w:tcPr>
        <w:tcBorders>
          <w:bottom w:val="nil"/>
          <w:insideH w:val="single" w:sz="4" w:space="0" w:color="999999"/>
        </w:tcBorders>
      </w:tcPr>
    </w:tblStylePr>
  </w:style>
  <w:style w:type="table" w:customStyle="1" w:styleId="TableCheckList-2">
    <w:name w:val="TableCheckList-2"/>
    <w:basedOn w:val="TableNormal"/>
    <w:rsid w:val="002B2279"/>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lastCol">
      <w:tblPr/>
      <w:tcPr>
        <w:tcBorders>
          <w:bottom w:val="single" w:sz="4" w:space="0" w:color="999999"/>
          <w:insideH w:val="single" w:sz="4" w:space="0" w:color="999999"/>
        </w:tcBorders>
      </w:tcPr>
    </w:tblStylePr>
  </w:style>
  <w:style w:type="paragraph" w:styleId="CommentText">
    <w:name w:val="annotation text"/>
    <w:basedOn w:val="Normal"/>
    <w:semiHidden/>
    <w:rsid w:val="002B2279"/>
    <w:rPr>
      <w:szCs w:val="20"/>
    </w:rPr>
  </w:style>
  <w:style w:type="paragraph" w:styleId="CommentSubject">
    <w:name w:val="annotation subject"/>
    <w:basedOn w:val="CommentText"/>
    <w:next w:val="CommentText"/>
    <w:semiHidden/>
    <w:rsid w:val="002B2279"/>
    <w:rPr>
      <w:b/>
      <w:bCs/>
    </w:rPr>
  </w:style>
  <w:style w:type="character" w:customStyle="1" w:styleId="List-number-2Char">
    <w:name w:val="List-number-2 Char"/>
    <w:link w:val="List-number-2"/>
    <w:rsid w:val="002B2279"/>
    <w:rPr>
      <w:rFonts w:ascii="Arial" w:hAnsi="Arial"/>
      <w:szCs w:val="24"/>
      <w:lang w:val="en-AU" w:eastAsia="en-US" w:bidi="ar-SA"/>
    </w:rPr>
  </w:style>
  <w:style w:type="table" w:customStyle="1" w:styleId="Tablewithnoheader">
    <w:name w:val="Table with no header"/>
    <w:basedOn w:val="TableNormal"/>
    <w:rsid w:val="002B2279"/>
    <w:rPr>
      <w:rFonts w:ascii="Arial" w:hAnsi="Arial"/>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style>
  <w:style w:type="table" w:customStyle="1" w:styleId="Tablewithheader">
    <w:name w:val="Table with header"/>
    <w:basedOn w:val="Tablewithnoheader"/>
    <w:rsid w:val="002B2279"/>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tblStylePr w:type="firstRow">
      <w:pPr>
        <w:jc w:val="center"/>
      </w:pPr>
      <w:rPr>
        <w:rFonts w:ascii="Arial" w:hAnsi="Arial"/>
        <w:b/>
        <w:sz w:val="20"/>
      </w:rPr>
      <w:tblPr/>
      <w:trPr>
        <w:tblHeader/>
      </w:trPr>
      <w:tcPr>
        <w:shd w:val="clear" w:color="auto" w:fill="E0E0E0"/>
        <w:vAlign w:val="center"/>
      </w:tcPr>
    </w:tblStylePr>
  </w:style>
  <w:style w:type="paragraph" w:styleId="TOC1">
    <w:name w:val="toc 1"/>
    <w:basedOn w:val="Normal"/>
    <w:next w:val="Normal"/>
    <w:autoRedefine/>
    <w:semiHidden/>
    <w:rsid w:val="002B2279"/>
    <w:pPr>
      <w:tabs>
        <w:tab w:val="left" w:pos="798"/>
      </w:tabs>
      <w:ind w:left="456"/>
    </w:pPr>
  </w:style>
  <w:style w:type="paragraph" w:styleId="TOC2">
    <w:name w:val="toc 2"/>
    <w:basedOn w:val="Normal"/>
    <w:next w:val="Normal"/>
    <w:autoRedefine/>
    <w:semiHidden/>
    <w:rsid w:val="002B2279"/>
    <w:pPr>
      <w:tabs>
        <w:tab w:val="left" w:pos="855"/>
      </w:tabs>
      <w:spacing w:before="80"/>
      <w:ind w:left="454"/>
    </w:pPr>
  </w:style>
  <w:style w:type="paragraph" w:styleId="TOC3">
    <w:name w:val="toc 3"/>
    <w:basedOn w:val="Normal"/>
    <w:next w:val="Normal"/>
    <w:autoRedefine/>
    <w:semiHidden/>
    <w:rsid w:val="002B2279"/>
    <w:pPr>
      <w:tabs>
        <w:tab w:val="left" w:pos="1311"/>
      </w:tabs>
      <w:spacing w:before="40"/>
      <w:ind w:left="856"/>
    </w:pPr>
  </w:style>
  <w:style w:type="character" w:customStyle="1" w:styleId="DocNameChar">
    <w:name w:val="DocName Char"/>
    <w:link w:val="DocName"/>
    <w:rsid w:val="003D6E0A"/>
    <w:rPr>
      <w:rFonts w:ascii="Arial" w:hAnsi="Arial"/>
      <w:b/>
      <w:bCs/>
      <w:sz w:val="28"/>
      <w:szCs w:val="24"/>
      <w:lang w:val="en-AU" w:eastAsia="en-US" w:bidi="ar-SA"/>
    </w:rPr>
  </w:style>
  <w:style w:type="character" w:customStyle="1" w:styleId="Heading2Char">
    <w:name w:val="Heading 2 Char"/>
    <w:link w:val="Heading2"/>
    <w:rsid w:val="00C657FB"/>
    <w:rPr>
      <w:rFonts w:ascii="Arial" w:hAnsi="Arial" w:cs="Arial"/>
      <w:b/>
      <w:iCs/>
      <w:sz w:val="24"/>
      <w:szCs w:val="22"/>
    </w:rPr>
  </w:style>
  <w:style w:type="character" w:styleId="FollowedHyperlink">
    <w:name w:val="FollowedHyperlink"/>
    <w:basedOn w:val="DefaultParagraphFont"/>
    <w:rsid w:val="00077243"/>
    <w:rPr>
      <w:color w:val="800080" w:themeColor="followedHyperlink"/>
      <w:u w:val="single"/>
    </w:rPr>
  </w:style>
  <w:style w:type="paragraph" w:customStyle="1" w:styleId="Bullet">
    <w:name w:val="Bullet"/>
    <w:basedOn w:val="ListParagraph"/>
    <w:link w:val="BulletChar"/>
    <w:qFormat/>
    <w:rsid w:val="00536454"/>
    <w:pPr>
      <w:numPr>
        <w:numId w:val="42"/>
      </w:numPr>
      <w:spacing w:after="120" w:line="276" w:lineRule="auto"/>
      <w:ind w:left="714" w:hanging="357"/>
      <w:contextualSpacing w:val="0"/>
      <w:jc w:val="both"/>
    </w:pPr>
    <w:rPr>
      <w:rFonts w:eastAsiaTheme="minorHAnsi" w:cstheme="minorBidi"/>
      <w:sz w:val="22"/>
      <w:szCs w:val="22"/>
    </w:rPr>
  </w:style>
  <w:style w:type="character" w:customStyle="1" w:styleId="BulletChar">
    <w:name w:val="Bullet Char"/>
    <w:basedOn w:val="DefaultParagraphFont"/>
    <w:link w:val="Bullet"/>
    <w:rsid w:val="00536454"/>
    <w:rPr>
      <w:rFonts w:ascii="Arial" w:eastAsiaTheme="minorHAnsi" w:hAnsi="Arial" w:cstheme="minorBidi"/>
      <w:sz w:val="22"/>
      <w:szCs w:val="22"/>
      <w:lang w:eastAsia="en-US"/>
    </w:rPr>
  </w:style>
  <w:style w:type="paragraph" w:styleId="ListParagraph">
    <w:name w:val="List Paragraph"/>
    <w:basedOn w:val="Normal"/>
    <w:uiPriority w:val="34"/>
    <w:qFormat/>
    <w:rsid w:val="005364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7DB"/>
    <w:pPr>
      <w:spacing w:before="120"/>
    </w:pPr>
    <w:rPr>
      <w:rFonts w:ascii="Arial" w:hAnsi="Arial"/>
      <w:szCs w:val="24"/>
      <w:lang w:eastAsia="en-US"/>
    </w:rPr>
  </w:style>
  <w:style w:type="paragraph" w:styleId="Heading1">
    <w:name w:val="heading 1"/>
    <w:next w:val="Normal"/>
    <w:qFormat/>
    <w:rsid w:val="002B2279"/>
    <w:pPr>
      <w:keepNext/>
      <w:spacing w:before="240" w:after="60"/>
      <w:outlineLvl w:val="0"/>
    </w:pPr>
    <w:rPr>
      <w:rFonts w:ascii="Arial" w:hAnsi="Arial" w:cs="Arial"/>
      <w:b/>
      <w:sz w:val="26"/>
      <w:szCs w:val="32"/>
    </w:rPr>
  </w:style>
  <w:style w:type="paragraph" w:styleId="Heading2">
    <w:name w:val="heading 2"/>
    <w:basedOn w:val="Heading1"/>
    <w:next w:val="Normal"/>
    <w:link w:val="Heading2Char"/>
    <w:qFormat/>
    <w:rsid w:val="002B2279"/>
    <w:pPr>
      <w:outlineLvl w:val="1"/>
    </w:pPr>
    <w:rPr>
      <w:iCs/>
      <w:sz w:val="24"/>
      <w:szCs w:val="22"/>
    </w:rPr>
  </w:style>
  <w:style w:type="paragraph" w:styleId="Heading3">
    <w:name w:val="heading 3"/>
    <w:next w:val="Normal"/>
    <w:qFormat/>
    <w:rsid w:val="002B2279"/>
    <w:pPr>
      <w:keepNext/>
      <w:spacing w:before="160" w:after="60"/>
      <w:outlineLvl w:val="2"/>
    </w:pPr>
    <w:rPr>
      <w:rFonts w:ascii="Arial" w:hAnsi="Arial"/>
      <w:b/>
      <w:bCs/>
      <w:i/>
      <w:i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Name">
    <w:name w:val="DocName"/>
    <w:basedOn w:val="Normal"/>
    <w:link w:val="DocNameChar"/>
    <w:rsid w:val="002B2279"/>
    <w:pPr>
      <w:spacing w:before="0"/>
      <w:jc w:val="center"/>
    </w:pPr>
    <w:rPr>
      <w:b/>
      <w:bCs/>
      <w:sz w:val="28"/>
    </w:rPr>
  </w:style>
  <w:style w:type="paragraph" w:customStyle="1" w:styleId="DocStatus">
    <w:name w:val="DocStatus"/>
    <w:basedOn w:val="Normal"/>
    <w:rsid w:val="002B2279"/>
    <w:pPr>
      <w:spacing w:after="60"/>
      <w:jc w:val="center"/>
    </w:pPr>
    <w:rPr>
      <w:b/>
      <w:sz w:val="22"/>
    </w:rPr>
  </w:style>
  <w:style w:type="paragraph" w:customStyle="1" w:styleId="Heading2numbered">
    <w:name w:val="Heading 2 numbered"/>
    <w:basedOn w:val="Heading2"/>
    <w:next w:val="Normal"/>
    <w:rsid w:val="002B2279"/>
    <w:pPr>
      <w:numPr>
        <w:ilvl w:val="1"/>
        <w:numId w:val="16"/>
      </w:numPr>
    </w:pPr>
  </w:style>
  <w:style w:type="paragraph" w:customStyle="1" w:styleId="Heading3numbered">
    <w:name w:val="Heading 3 numbered"/>
    <w:basedOn w:val="Heading3"/>
    <w:next w:val="Normal"/>
    <w:rsid w:val="002B2279"/>
    <w:pPr>
      <w:numPr>
        <w:ilvl w:val="2"/>
        <w:numId w:val="16"/>
      </w:numPr>
    </w:pPr>
  </w:style>
  <w:style w:type="paragraph" w:customStyle="1" w:styleId="List-bullet-2">
    <w:name w:val="List-bullet-2"/>
    <w:basedOn w:val="Normal"/>
    <w:rsid w:val="002B2279"/>
    <w:pPr>
      <w:numPr>
        <w:numId w:val="13"/>
      </w:numPr>
      <w:spacing w:before="80"/>
    </w:pPr>
    <w:rPr>
      <w:rFonts w:cs="Arial"/>
      <w:szCs w:val="22"/>
      <w:lang w:val="en-US"/>
    </w:rPr>
  </w:style>
  <w:style w:type="paragraph" w:customStyle="1" w:styleId="List-number-2">
    <w:name w:val="List-number-2"/>
    <w:basedOn w:val="Normal"/>
    <w:link w:val="List-number-2Char"/>
    <w:rsid w:val="002B2279"/>
    <w:pPr>
      <w:numPr>
        <w:ilvl w:val="1"/>
        <w:numId w:val="15"/>
      </w:numPr>
    </w:pPr>
  </w:style>
  <w:style w:type="paragraph" w:customStyle="1" w:styleId="Normal-indent">
    <w:name w:val="Normal-indent"/>
    <w:basedOn w:val="Normal"/>
    <w:rsid w:val="002B2279"/>
    <w:pPr>
      <w:ind w:left="357"/>
    </w:pPr>
    <w:rPr>
      <w:lang w:eastAsia="en-AU"/>
    </w:rPr>
  </w:style>
  <w:style w:type="character" w:styleId="CommentReference">
    <w:name w:val="annotation reference"/>
    <w:semiHidden/>
    <w:rsid w:val="002B2279"/>
    <w:rPr>
      <w:sz w:val="16"/>
      <w:szCs w:val="16"/>
    </w:rPr>
  </w:style>
  <w:style w:type="paragraph" w:customStyle="1" w:styleId="TableHeader">
    <w:name w:val="TableHeader"/>
    <w:basedOn w:val="Normal"/>
    <w:rsid w:val="002B2279"/>
    <w:pPr>
      <w:keepNext/>
      <w:spacing w:before="60" w:after="40"/>
      <w:jc w:val="center"/>
    </w:pPr>
    <w:rPr>
      <w:rFonts w:cs="Arial"/>
      <w:b/>
    </w:rPr>
  </w:style>
  <w:style w:type="paragraph" w:customStyle="1" w:styleId="Table-normal-text">
    <w:name w:val="Table-normal-text"/>
    <w:basedOn w:val="Normal"/>
    <w:rsid w:val="002B2279"/>
    <w:pPr>
      <w:spacing w:before="60"/>
    </w:pPr>
  </w:style>
  <w:style w:type="paragraph" w:customStyle="1" w:styleId="Table-list-bullet">
    <w:name w:val="Table-list-bullet"/>
    <w:basedOn w:val="Table-normal-text"/>
    <w:rsid w:val="002B2279"/>
    <w:pPr>
      <w:numPr>
        <w:numId w:val="17"/>
      </w:numPr>
    </w:pPr>
  </w:style>
  <w:style w:type="paragraph" w:customStyle="1" w:styleId="Table-list-number">
    <w:name w:val="Table-list-number"/>
    <w:basedOn w:val="Table-normal-text"/>
    <w:rsid w:val="002B2279"/>
    <w:pPr>
      <w:numPr>
        <w:numId w:val="18"/>
      </w:numPr>
    </w:pPr>
  </w:style>
  <w:style w:type="paragraph" w:customStyle="1" w:styleId="TableTitle">
    <w:name w:val="TableTitle"/>
    <w:basedOn w:val="Normal"/>
    <w:next w:val="Table-normal-text"/>
    <w:rsid w:val="002B2279"/>
    <w:pPr>
      <w:keepNext/>
      <w:spacing w:before="240" w:after="120"/>
      <w:jc w:val="center"/>
    </w:pPr>
    <w:rPr>
      <w:b/>
    </w:rPr>
  </w:style>
  <w:style w:type="paragraph" w:styleId="Header">
    <w:name w:val="header"/>
    <w:basedOn w:val="Normal"/>
    <w:rsid w:val="002B2279"/>
    <w:pPr>
      <w:tabs>
        <w:tab w:val="center" w:pos="4153"/>
        <w:tab w:val="right" w:pos="8306"/>
      </w:tabs>
    </w:pPr>
    <w:rPr>
      <w:sz w:val="16"/>
    </w:rPr>
  </w:style>
  <w:style w:type="paragraph" w:styleId="Footer">
    <w:name w:val="footer"/>
    <w:basedOn w:val="Normal"/>
    <w:rsid w:val="002B2279"/>
    <w:pPr>
      <w:tabs>
        <w:tab w:val="center" w:pos="4153"/>
        <w:tab w:val="right" w:pos="8306"/>
      </w:tabs>
    </w:pPr>
    <w:rPr>
      <w:sz w:val="16"/>
    </w:rPr>
  </w:style>
  <w:style w:type="character" w:styleId="PageNumber">
    <w:name w:val="page number"/>
    <w:rsid w:val="002B2279"/>
    <w:rPr>
      <w:rFonts w:ascii="Arial" w:hAnsi="Arial"/>
      <w:sz w:val="16"/>
    </w:rPr>
  </w:style>
  <w:style w:type="character" w:styleId="Hyperlink">
    <w:name w:val="Hyperlink"/>
    <w:rsid w:val="002B2279"/>
    <w:rPr>
      <w:rFonts w:ascii="Arial" w:hAnsi="Arial"/>
      <w:color w:val="0000FF"/>
      <w:u w:val="single"/>
    </w:rPr>
  </w:style>
  <w:style w:type="paragraph" w:customStyle="1" w:styleId="List-outline-numbered">
    <w:name w:val="List-outline-numbered"/>
    <w:basedOn w:val="Normal"/>
    <w:rsid w:val="002B2279"/>
    <w:pPr>
      <w:numPr>
        <w:ilvl w:val="3"/>
        <w:numId w:val="16"/>
      </w:numPr>
    </w:pPr>
  </w:style>
  <w:style w:type="paragraph" w:customStyle="1" w:styleId="List-bullet-1">
    <w:name w:val="List-bullet-1"/>
    <w:basedOn w:val="Normal"/>
    <w:rsid w:val="002B2279"/>
    <w:pPr>
      <w:numPr>
        <w:numId w:val="12"/>
      </w:numPr>
    </w:pPr>
    <w:rPr>
      <w:rFonts w:cs="Arial"/>
      <w:szCs w:val="22"/>
    </w:rPr>
  </w:style>
  <w:style w:type="paragraph" w:customStyle="1" w:styleId="List-number-1">
    <w:name w:val="List-number-1"/>
    <w:basedOn w:val="Normal"/>
    <w:rsid w:val="002B2279"/>
    <w:pPr>
      <w:numPr>
        <w:numId w:val="15"/>
      </w:numPr>
    </w:pPr>
  </w:style>
  <w:style w:type="paragraph" w:styleId="BalloonText">
    <w:name w:val="Balloon Text"/>
    <w:basedOn w:val="Normal"/>
    <w:semiHidden/>
    <w:rsid w:val="002B2279"/>
    <w:rPr>
      <w:rFonts w:ascii="Tahoma" w:hAnsi="Tahoma" w:cs="Tahoma"/>
      <w:sz w:val="16"/>
      <w:szCs w:val="16"/>
    </w:rPr>
  </w:style>
  <w:style w:type="table" w:styleId="TableGrid">
    <w:name w:val="Table Grid"/>
    <w:basedOn w:val="TableNormal"/>
    <w:rsid w:val="002B2279"/>
    <w:pPr>
      <w:spacing w:before="60"/>
    </w:pPr>
    <w:rPr>
      <w:rFonts w:ascii="Arial" w:hAnsi="Arial"/>
      <w:sz w:val="18"/>
      <w:szCs w:val="18"/>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28" w:type="dxa"/>
        <w:right w:w="57" w:type="dxa"/>
      </w:tblCellMar>
    </w:tblPr>
    <w:trPr>
      <w:cantSplit/>
    </w:trPr>
    <w:tblStylePr w:type="firstRow">
      <w:pPr>
        <w:jc w:val="center"/>
      </w:pPr>
      <w:rPr>
        <w:rFonts w:ascii="Arial" w:hAnsi="Arial"/>
        <w:b/>
        <w:sz w:val="18"/>
      </w:rPr>
      <w:tblPr/>
      <w:trPr>
        <w:tblHeader/>
      </w:trPr>
      <w:tcPr>
        <w:shd w:val="clear" w:color="auto" w:fill="E0E0E0"/>
        <w:vAlign w:val="center"/>
      </w:tcPr>
    </w:tblStylePr>
  </w:style>
  <w:style w:type="table" w:customStyle="1" w:styleId="TableCheckList-1">
    <w:name w:val="TableCheckList-1"/>
    <w:basedOn w:val="TableNormal"/>
    <w:rsid w:val="002B2279"/>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firstCol">
      <w:tblPr/>
      <w:tcPr>
        <w:tcBorders>
          <w:bottom w:val="nil"/>
          <w:insideH w:val="single" w:sz="4" w:space="0" w:color="999999"/>
        </w:tcBorders>
      </w:tcPr>
    </w:tblStylePr>
  </w:style>
  <w:style w:type="table" w:customStyle="1" w:styleId="TableCheckList-2">
    <w:name w:val="TableCheckList-2"/>
    <w:basedOn w:val="TableNormal"/>
    <w:rsid w:val="002B2279"/>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lastCol">
      <w:tblPr/>
      <w:tcPr>
        <w:tcBorders>
          <w:bottom w:val="single" w:sz="4" w:space="0" w:color="999999"/>
          <w:insideH w:val="single" w:sz="4" w:space="0" w:color="999999"/>
        </w:tcBorders>
      </w:tcPr>
    </w:tblStylePr>
  </w:style>
  <w:style w:type="paragraph" w:styleId="CommentText">
    <w:name w:val="annotation text"/>
    <w:basedOn w:val="Normal"/>
    <w:semiHidden/>
    <w:rsid w:val="002B2279"/>
    <w:rPr>
      <w:szCs w:val="20"/>
    </w:rPr>
  </w:style>
  <w:style w:type="paragraph" w:styleId="CommentSubject">
    <w:name w:val="annotation subject"/>
    <w:basedOn w:val="CommentText"/>
    <w:next w:val="CommentText"/>
    <w:semiHidden/>
    <w:rsid w:val="002B2279"/>
    <w:rPr>
      <w:b/>
      <w:bCs/>
    </w:rPr>
  </w:style>
  <w:style w:type="character" w:customStyle="1" w:styleId="List-number-2Char">
    <w:name w:val="List-number-2 Char"/>
    <w:link w:val="List-number-2"/>
    <w:rsid w:val="002B2279"/>
    <w:rPr>
      <w:rFonts w:ascii="Arial" w:hAnsi="Arial"/>
      <w:szCs w:val="24"/>
      <w:lang w:val="en-AU" w:eastAsia="en-US" w:bidi="ar-SA"/>
    </w:rPr>
  </w:style>
  <w:style w:type="table" w:customStyle="1" w:styleId="Tablewithnoheader">
    <w:name w:val="Table with no header"/>
    <w:basedOn w:val="TableNormal"/>
    <w:rsid w:val="002B2279"/>
    <w:rPr>
      <w:rFonts w:ascii="Arial" w:hAnsi="Arial"/>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style>
  <w:style w:type="table" w:customStyle="1" w:styleId="Tablewithheader">
    <w:name w:val="Table with header"/>
    <w:basedOn w:val="Tablewithnoheader"/>
    <w:rsid w:val="002B2279"/>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tblStylePr w:type="firstRow">
      <w:pPr>
        <w:jc w:val="center"/>
      </w:pPr>
      <w:rPr>
        <w:rFonts w:ascii="Arial" w:hAnsi="Arial"/>
        <w:b/>
        <w:sz w:val="20"/>
      </w:rPr>
      <w:tblPr/>
      <w:trPr>
        <w:tblHeader/>
      </w:trPr>
      <w:tcPr>
        <w:shd w:val="clear" w:color="auto" w:fill="E0E0E0"/>
        <w:vAlign w:val="center"/>
      </w:tcPr>
    </w:tblStylePr>
  </w:style>
  <w:style w:type="paragraph" w:styleId="TOC1">
    <w:name w:val="toc 1"/>
    <w:basedOn w:val="Normal"/>
    <w:next w:val="Normal"/>
    <w:autoRedefine/>
    <w:semiHidden/>
    <w:rsid w:val="002B2279"/>
    <w:pPr>
      <w:tabs>
        <w:tab w:val="left" w:pos="798"/>
      </w:tabs>
      <w:ind w:left="456"/>
    </w:pPr>
  </w:style>
  <w:style w:type="paragraph" w:styleId="TOC2">
    <w:name w:val="toc 2"/>
    <w:basedOn w:val="Normal"/>
    <w:next w:val="Normal"/>
    <w:autoRedefine/>
    <w:semiHidden/>
    <w:rsid w:val="002B2279"/>
    <w:pPr>
      <w:tabs>
        <w:tab w:val="left" w:pos="855"/>
      </w:tabs>
      <w:spacing w:before="80"/>
      <w:ind w:left="454"/>
    </w:pPr>
  </w:style>
  <w:style w:type="paragraph" w:styleId="TOC3">
    <w:name w:val="toc 3"/>
    <w:basedOn w:val="Normal"/>
    <w:next w:val="Normal"/>
    <w:autoRedefine/>
    <w:semiHidden/>
    <w:rsid w:val="002B2279"/>
    <w:pPr>
      <w:tabs>
        <w:tab w:val="left" w:pos="1311"/>
      </w:tabs>
      <w:spacing w:before="40"/>
      <w:ind w:left="856"/>
    </w:pPr>
  </w:style>
  <w:style w:type="character" w:customStyle="1" w:styleId="DocNameChar">
    <w:name w:val="DocName Char"/>
    <w:link w:val="DocName"/>
    <w:rsid w:val="003D6E0A"/>
    <w:rPr>
      <w:rFonts w:ascii="Arial" w:hAnsi="Arial"/>
      <w:b/>
      <w:bCs/>
      <w:sz w:val="28"/>
      <w:szCs w:val="24"/>
      <w:lang w:val="en-AU" w:eastAsia="en-US" w:bidi="ar-SA"/>
    </w:rPr>
  </w:style>
  <w:style w:type="character" w:customStyle="1" w:styleId="Heading2Char">
    <w:name w:val="Heading 2 Char"/>
    <w:link w:val="Heading2"/>
    <w:rsid w:val="00C657FB"/>
    <w:rPr>
      <w:rFonts w:ascii="Arial" w:hAnsi="Arial" w:cs="Arial"/>
      <w:b/>
      <w:iCs/>
      <w:sz w:val="24"/>
      <w:szCs w:val="22"/>
    </w:rPr>
  </w:style>
  <w:style w:type="character" w:styleId="FollowedHyperlink">
    <w:name w:val="FollowedHyperlink"/>
    <w:basedOn w:val="DefaultParagraphFont"/>
    <w:rsid w:val="00077243"/>
    <w:rPr>
      <w:color w:val="800080" w:themeColor="followedHyperlink"/>
      <w:u w:val="single"/>
    </w:rPr>
  </w:style>
  <w:style w:type="paragraph" w:customStyle="1" w:styleId="Bullet">
    <w:name w:val="Bullet"/>
    <w:basedOn w:val="ListParagraph"/>
    <w:link w:val="BulletChar"/>
    <w:qFormat/>
    <w:rsid w:val="00536454"/>
    <w:pPr>
      <w:numPr>
        <w:numId w:val="42"/>
      </w:numPr>
      <w:spacing w:after="120" w:line="276" w:lineRule="auto"/>
      <w:ind w:left="714" w:hanging="357"/>
      <w:contextualSpacing w:val="0"/>
      <w:jc w:val="both"/>
    </w:pPr>
    <w:rPr>
      <w:rFonts w:eastAsiaTheme="minorHAnsi" w:cstheme="minorBidi"/>
      <w:sz w:val="22"/>
      <w:szCs w:val="22"/>
    </w:rPr>
  </w:style>
  <w:style w:type="character" w:customStyle="1" w:styleId="BulletChar">
    <w:name w:val="Bullet Char"/>
    <w:basedOn w:val="DefaultParagraphFont"/>
    <w:link w:val="Bullet"/>
    <w:rsid w:val="00536454"/>
    <w:rPr>
      <w:rFonts w:ascii="Arial" w:eastAsiaTheme="minorHAnsi" w:hAnsi="Arial" w:cstheme="minorBidi"/>
      <w:sz w:val="22"/>
      <w:szCs w:val="22"/>
      <w:lang w:eastAsia="en-US"/>
    </w:rPr>
  </w:style>
  <w:style w:type="paragraph" w:styleId="ListParagraph">
    <w:name w:val="List Paragraph"/>
    <w:basedOn w:val="Normal"/>
    <w:uiPriority w:val="34"/>
    <w:qFormat/>
    <w:rsid w:val="00536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588479">
      <w:bodyDiv w:val="1"/>
      <w:marLeft w:val="0"/>
      <w:marRight w:val="0"/>
      <w:marTop w:val="0"/>
      <w:marBottom w:val="0"/>
      <w:divBdr>
        <w:top w:val="none" w:sz="0" w:space="0" w:color="auto"/>
        <w:left w:val="none" w:sz="0" w:space="0" w:color="auto"/>
        <w:bottom w:val="none" w:sz="0" w:space="0" w:color="auto"/>
        <w:right w:val="none" w:sz="0" w:space="0" w:color="auto"/>
      </w:divBdr>
    </w:div>
    <w:div w:id="1045331677">
      <w:bodyDiv w:val="1"/>
      <w:marLeft w:val="0"/>
      <w:marRight w:val="0"/>
      <w:marTop w:val="0"/>
      <w:marBottom w:val="0"/>
      <w:divBdr>
        <w:top w:val="none" w:sz="0" w:space="0" w:color="auto"/>
        <w:left w:val="none" w:sz="0" w:space="0" w:color="auto"/>
        <w:bottom w:val="none" w:sz="0" w:space="0" w:color="auto"/>
        <w:right w:val="none" w:sz="0" w:space="0" w:color="auto"/>
      </w:divBdr>
    </w:div>
    <w:div w:id="1226143778">
      <w:bodyDiv w:val="1"/>
      <w:marLeft w:val="0"/>
      <w:marRight w:val="0"/>
      <w:marTop w:val="0"/>
      <w:marBottom w:val="0"/>
      <w:divBdr>
        <w:top w:val="none" w:sz="0" w:space="0" w:color="auto"/>
        <w:left w:val="none" w:sz="0" w:space="0" w:color="auto"/>
        <w:bottom w:val="none" w:sz="0" w:space="0" w:color="auto"/>
        <w:right w:val="none" w:sz="0" w:space="0" w:color="auto"/>
      </w:divBdr>
    </w:div>
    <w:div w:id="1844468126">
      <w:bodyDiv w:val="1"/>
      <w:marLeft w:val="0"/>
      <w:marRight w:val="0"/>
      <w:marTop w:val="0"/>
      <w:marBottom w:val="0"/>
      <w:divBdr>
        <w:top w:val="none" w:sz="0" w:space="0" w:color="auto"/>
        <w:left w:val="none" w:sz="0" w:space="0" w:color="auto"/>
        <w:bottom w:val="none" w:sz="0" w:space="0" w:color="auto"/>
        <w:right w:val="none" w:sz="0" w:space="0" w:color="auto"/>
      </w:divBdr>
    </w:div>
    <w:div w:id="210097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FE41FD-B8B7-43B7-9F92-FCD20C189B38}"/>
</file>

<file path=customXml/itemProps2.xml><?xml version="1.0" encoding="utf-8"?>
<ds:datastoreItem xmlns:ds="http://schemas.openxmlformats.org/officeDocument/2006/customXml" ds:itemID="{63D61978-558C-4ACC-B2C5-84D1B4668FC7}"/>
</file>

<file path=customXml/itemProps3.xml><?xml version="1.0" encoding="utf-8"?>
<ds:datastoreItem xmlns:ds="http://schemas.openxmlformats.org/officeDocument/2006/customXml" ds:itemID="{8FC19780-1D3D-44F9-8A89-6FA983D9598B}"/>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2013-06-13T00:17:00Z</dcterms:created>
  <dcterms:modified xsi:type="dcterms:W3CDTF">2013-06-13T00:17:00Z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PublishingContact">
    <vt:lpwstr/>
  </property>
  <property fmtid="{D5CDD505-2E9C-101B-9397-08002B2CF9AE}" pid="5" name="WCMSPublicationSubCategory">
    <vt:lpwstr/>
  </property>
  <property fmtid="{D5CDD505-2E9C-101B-9397-08002B2CF9AE}" pid="6" name="Order">
    <vt:r8>291700</vt:r8>
  </property>
  <property fmtid="{D5CDD505-2E9C-101B-9397-08002B2CF9AE}" pid="7" name="PublishingRollupImage">
    <vt:lpwstr/>
  </property>
  <property fmtid="{D5CDD505-2E9C-101B-9397-08002B2CF9AE}" pid="8" name="AusAIDAggregationLevel">
    <vt:lpwstr/>
  </property>
  <property fmtid="{D5CDD505-2E9C-101B-9397-08002B2CF9AE}" pid="9" name="WCMSStatus">
    <vt:lpwstr/>
  </property>
  <property fmtid="{D5CDD505-2E9C-101B-9397-08002B2CF9AE}" pid="10" name="WCMSIPSSubCategory">
    <vt:lpwstr/>
  </property>
  <property fmtid="{D5CDD505-2E9C-101B-9397-08002B2CF9AE}" pid="12" name="PublishingContactEmail">
    <vt:lpwstr/>
  </property>
  <property fmtid="{D5CDD505-2E9C-101B-9397-08002B2CF9AE}" pid="13" name="WCMSPrintedMedia">
    <vt:bool>false</vt:bool>
  </property>
  <property fmtid="{D5CDD505-2E9C-101B-9397-08002B2CF9AE}" pid="14" name="xd_Signature">
    <vt:bool>false</vt:bool>
  </property>
  <property fmtid="{D5CDD505-2E9C-101B-9397-08002B2CF9AE}" pid="15" name="WCMSIPSCategory">
    <vt:lpwstr/>
  </property>
  <property fmtid="{D5CDD505-2E9C-101B-9397-08002B2CF9AE}" pid="16" name="xd_ProgID">
    <vt:lpwstr/>
  </property>
  <property fmtid="{D5CDD505-2E9C-101B-9397-08002B2CF9AE}" pid="17" name="RSS Feed Link">
    <vt:lpwstr/>
  </property>
  <property fmtid="{D5CDD505-2E9C-101B-9397-08002B2CF9AE}" pid="18" name="WCMSDocumentLink">
    <vt:lpwstr/>
  </property>
  <property fmtid="{D5CDD505-2E9C-101B-9397-08002B2CF9AE}" pid="19" name="WCMSReportDisclaimer">
    <vt:bool>false</vt:bool>
  </property>
  <property fmtid="{D5CDD505-2E9C-101B-9397-08002B2CF9AE}" pid="20" name="PublishingContactName">
    <vt:lpwstr/>
  </property>
  <property fmtid="{D5CDD505-2E9C-101B-9397-08002B2CF9AE}" pid="21" name="PublishingVariationRelationshipLinkFieldID">
    <vt:lpwstr/>
  </property>
  <property fmtid="{D5CDD505-2E9C-101B-9397-08002B2CF9AE}" pid="22" name="WCMSPublicationCategory">
    <vt:lpwstr/>
  </property>
  <property fmtid="{D5CDD505-2E9C-101B-9397-08002B2CF9AE}" pid="23" name="WCMSRegion">
    <vt:lpwstr/>
  </property>
  <property fmtid="{D5CDD505-2E9C-101B-9397-08002B2CF9AE}" pid="24" name="WCMSPublicationAuthor">
    <vt:lpwstr/>
  </property>
  <property fmtid="{D5CDD505-2E9C-101B-9397-08002B2CF9AE}" pid="25" name="WCMSElectronicMedia">
    <vt:bool>false</vt:bool>
  </property>
  <property fmtid="{D5CDD505-2E9C-101B-9397-08002B2CF9AE}" pid="26" name="_SourceUrl">
    <vt:lpwstr/>
  </property>
  <property fmtid="{D5CDD505-2E9C-101B-9397-08002B2CF9AE}" pid="27" name="_SharedFileIndex">
    <vt:lpwstr/>
  </property>
  <property fmtid="{D5CDD505-2E9C-101B-9397-08002B2CF9AE}" pid="28" name="Comments">
    <vt:lpwstr/>
  </property>
  <property fmtid="{D5CDD505-2E9C-101B-9397-08002B2CF9AE}" pid="29" name="PublishingPageLayout">
    <vt:lpwstr/>
  </property>
  <property fmtid="{D5CDD505-2E9C-101B-9397-08002B2CF9AE}" pid="30" name="WCMSCountry">
    <vt:lpwstr/>
  </property>
  <property fmtid="{D5CDD505-2E9C-101B-9397-08002B2CF9AE}" pid="31" name="WCMSSourceId">
    <vt:lpwstr/>
  </property>
  <property fmtid="{D5CDD505-2E9C-101B-9397-08002B2CF9AE}" pid="32" name="WCMSLatest">
    <vt:bool>false</vt:bool>
  </property>
  <property fmtid="{D5CDD505-2E9C-101B-9397-08002B2CF9AE}" pid="33" name="WCMSPublicationFormat">
    <vt:lpwstr/>
  </property>
  <property fmtid="{D5CDD505-2E9C-101B-9397-08002B2CF9AE}" pid="34" name="AusAIDPageSubjectMetadata">
    <vt:lpwstr/>
  </property>
  <property fmtid="{D5CDD505-2E9C-101B-9397-08002B2CF9AE}" pid="35" name="AusAIDCategoryMetadata">
    <vt:lpwstr/>
  </property>
  <property fmtid="{D5CDD505-2E9C-101B-9397-08002B2CF9AE}" pid="36" name="AusAIDDocumentTypeMetaData">
    <vt:lpwstr/>
  </property>
  <property fmtid="{D5CDD505-2E9C-101B-9397-08002B2CF9AE}" pid="37" name="WCMSLanguage">
    <vt:lpwstr/>
  </property>
  <property fmtid="{D5CDD505-2E9C-101B-9397-08002B2CF9AE}" pid="38" name="TemplateUrl">
    <vt:lpwstr/>
  </property>
  <property fmtid="{D5CDD505-2E9C-101B-9397-08002B2CF9AE}" pid="39" name="Audience">
    <vt:lpwstr/>
  </property>
  <property fmtid="{D5CDD505-2E9C-101B-9397-08002B2CF9AE}" pid="40" name="WCMSDescription">
    <vt:lpwstr/>
  </property>
  <property fmtid="{D5CDD505-2E9C-101B-9397-08002B2CF9AE}" pid="42" name="WCMSOtherCategory">
    <vt:lpwstr/>
  </property>
  <property fmtid="{D5CDD505-2E9C-101B-9397-08002B2CF9AE}" pid="43" name="AusAIDPageDescriptionMetadata">
    <vt:lpwstr/>
  </property>
  <property fmtid="{D5CDD505-2E9C-101B-9397-08002B2CF9AE}" pid="44" name="WCMSTheme">
    <vt:lpwstr/>
  </property>
  <property fmtid="{D5CDD505-2E9C-101B-9397-08002B2CF9AE}" pid="45" name="WCMSISBNISSN">
    <vt:lpwstr/>
  </property>
  <property fmtid="{D5CDD505-2E9C-101B-9397-08002B2CF9AE}" pid="47" name="PublishingContactPicture">
    <vt:lpwstr/>
  </property>
  <property fmtid="{D5CDD505-2E9C-101B-9397-08002B2CF9AE}" pid="48" name="PublishingVariationGroupID">
    <vt:lpwstr/>
  </property>
  <property fmtid="{D5CDD505-2E9C-101B-9397-08002B2CF9AE}" pid="49" name="AusAIDIdentifierMetadata">
    <vt:lpwstr/>
  </property>
</Properties>
</file>