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07C8" w14:textId="77777777" w:rsidR="00220C1E" w:rsidRDefault="00871006" w:rsidP="00871006">
      <w:pPr>
        <w:pStyle w:val="Heading1"/>
        <w:spacing w:after="300"/>
        <w:jc w:val="center"/>
        <w:rPr>
          <w:color w:val="auto"/>
        </w:rPr>
      </w:pPr>
      <w:bookmarkStart w:id="0" w:name="_Toc475348267"/>
      <w:bookmarkStart w:id="1" w:name="_Toc373853205"/>
      <w:bookmarkStart w:id="2" w:name="_GoBack"/>
      <w:bookmarkEnd w:id="2"/>
      <w:r>
        <w:rPr>
          <w:color w:val="auto"/>
        </w:rPr>
        <w:t>independent end of program evaluation</w:t>
      </w:r>
      <w:r w:rsidR="00E928D7" w:rsidRPr="007451B9">
        <w:rPr>
          <w:color w:val="auto"/>
        </w:rPr>
        <w:t xml:space="preserve"> </w:t>
      </w:r>
    </w:p>
    <w:p w14:paraId="4C80266D" w14:textId="438CBA7C" w:rsidR="00ED5255" w:rsidRPr="007451B9" w:rsidRDefault="00220C1E" w:rsidP="00871006">
      <w:pPr>
        <w:pStyle w:val="Heading1"/>
        <w:spacing w:after="300"/>
        <w:jc w:val="center"/>
        <w:rPr>
          <w:color w:val="auto"/>
        </w:rPr>
      </w:pPr>
      <w:r>
        <w:rPr>
          <w:color w:val="auto"/>
        </w:rPr>
        <w:t xml:space="preserve">DFAt </w:t>
      </w:r>
      <w:r w:rsidR="00E928D7" w:rsidRPr="007451B9">
        <w:rPr>
          <w:color w:val="auto"/>
        </w:rPr>
        <w:t>Management Response</w:t>
      </w:r>
      <w:bookmarkEnd w:id="0"/>
    </w:p>
    <w:p w14:paraId="2C3900D9" w14:textId="2DE35A06" w:rsidR="000E64ED" w:rsidRPr="00D404C1" w:rsidRDefault="000E64ED" w:rsidP="00D404C1">
      <w:pPr>
        <w:pStyle w:val="Heading3"/>
        <w:rPr>
          <w:rFonts w:asciiTheme="minorHAnsi" w:eastAsiaTheme="minorHAnsi" w:hAnsiTheme="minorHAnsi" w:cstheme="minorBidi"/>
          <w:b/>
          <w:bCs w:val="0"/>
          <w:sz w:val="22"/>
          <w:szCs w:val="22"/>
          <w:lang w:val="en-GB"/>
        </w:rPr>
      </w:pPr>
      <w:r w:rsidRPr="00D404C1">
        <w:rPr>
          <w:rFonts w:asciiTheme="minorHAnsi" w:eastAsiaTheme="minorHAnsi" w:hAnsiTheme="minorHAnsi" w:cstheme="minorBidi"/>
          <w:b/>
          <w:bCs w:val="0"/>
          <w:sz w:val="22"/>
          <w:szCs w:val="22"/>
          <w:lang w:val="en-GB"/>
        </w:rPr>
        <w:t>Prepared by:</w:t>
      </w:r>
      <w:r w:rsidRPr="00D404C1">
        <w:rPr>
          <w:rFonts w:asciiTheme="minorHAnsi" w:eastAsiaTheme="minorHAnsi" w:hAnsiTheme="minorHAnsi" w:cstheme="minorBidi"/>
          <w:b/>
          <w:bCs w:val="0"/>
          <w:sz w:val="22"/>
          <w:szCs w:val="22"/>
          <w:lang w:val="en-GB"/>
        </w:rPr>
        <w:tab/>
      </w:r>
      <w:r w:rsidRPr="00D404C1">
        <w:rPr>
          <w:rFonts w:asciiTheme="minorHAnsi" w:eastAsiaTheme="minorHAnsi" w:hAnsiTheme="minorHAnsi" w:cstheme="minorBidi"/>
          <w:b/>
          <w:bCs w:val="0"/>
          <w:sz w:val="22"/>
          <w:szCs w:val="22"/>
          <w:lang w:val="en-GB"/>
        </w:rPr>
        <w:tab/>
      </w:r>
      <w:r w:rsidR="00173200">
        <w:rPr>
          <w:rFonts w:asciiTheme="minorHAnsi" w:eastAsiaTheme="minorHAnsi" w:hAnsiTheme="minorHAnsi" w:cstheme="minorBidi"/>
          <w:b/>
          <w:bCs w:val="0"/>
          <w:sz w:val="22"/>
          <w:szCs w:val="22"/>
          <w:lang w:val="en-GB"/>
        </w:rPr>
        <w:t>Padric Harm, Senior Program Manager</w:t>
      </w:r>
      <w:r w:rsidRPr="00D404C1">
        <w:rPr>
          <w:rFonts w:asciiTheme="minorHAnsi" w:eastAsiaTheme="minorHAnsi" w:hAnsiTheme="minorHAnsi" w:cstheme="minorBidi"/>
          <w:b/>
          <w:bCs w:val="0"/>
          <w:sz w:val="22"/>
          <w:szCs w:val="22"/>
          <w:lang w:val="en-GB"/>
        </w:rPr>
        <w:t>, Suva Post</w:t>
      </w:r>
    </w:p>
    <w:p w14:paraId="21E23CA8" w14:textId="62DE434E" w:rsidR="000E64ED" w:rsidRPr="00D404C1" w:rsidRDefault="000E64ED" w:rsidP="00D404C1">
      <w:pPr>
        <w:pStyle w:val="Heading3"/>
        <w:rPr>
          <w:rFonts w:asciiTheme="minorHAnsi" w:eastAsiaTheme="minorHAnsi" w:hAnsiTheme="minorHAnsi" w:cstheme="minorBidi"/>
          <w:b/>
          <w:bCs w:val="0"/>
          <w:sz w:val="22"/>
          <w:szCs w:val="22"/>
          <w:lang w:val="en-GB"/>
        </w:rPr>
      </w:pPr>
      <w:r w:rsidRPr="00D404C1">
        <w:rPr>
          <w:rFonts w:asciiTheme="minorHAnsi" w:eastAsiaTheme="minorHAnsi" w:hAnsiTheme="minorHAnsi" w:cstheme="minorBidi"/>
          <w:b/>
          <w:bCs w:val="0"/>
          <w:sz w:val="22"/>
          <w:szCs w:val="22"/>
          <w:lang w:val="en-GB"/>
        </w:rPr>
        <w:t xml:space="preserve">Approved by: </w:t>
      </w:r>
      <w:r w:rsidRPr="00D404C1">
        <w:rPr>
          <w:rFonts w:asciiTheme="minorHAnsi" w:eastAsiaTheme="minorHAnsi" w:hAnsiTheme="minorHAnsi" w:cstheme="minorBidi"/>
          <w:b/>
          <w:bCs w:val="0"/>
          <w:sz w:val="22"/>
          <w:szCs w:val="22"/>
          <w:lang w:val="en-GB"/>
        </w:rPr>
        <w:tab/>
      </w:r>
      <w:r w:rsidRPr="00D404C1">
        <w:rPr>
          <w:rFonts w:asciiTheme="minorHAnsi" w:eastAsiaTheme="minorHAnsi" w:hAnsiTheme="minorHAnsi" w:cstheme="minorBidi"/>
          <w:b/>
          <w:bCs w:val="0"/>
          <w:sz w:val="22"/>
          <w:szCs w:val="22"/>
          <w:lang w:val="en-GB"/>
        </w:rPr>
        <w:tab/>
      </w:r>
      <w:r w:rsidR="00C47072">
        <w:rPr>
          <w:rFonts w:asciiTheme="minorHAnsi" w:eastAsiaTheme="minorHAnsi" w:hAnsiTheme="minorHAnsi" w:cstheme="minorBidi"/>
          <w:b/>
          <w:bCs w:val="0"/>
          <w:sz w:val="22"/>
          <w:szCs w:val="22"/>
          <w:lang w:val="en-GB"/>
        </w:rPr>
        <w:t>Christina Munzer</w:t>
      </w:r>
      <w:r w:rsidRPr="00D404C1">
        <w:rPr>
          <w:rFonts w:asciiTheme="minorHAnsi" w:eastAsiaTheme="minorHAnsi" w:hAnsiTheme="minorHAnsi" w:cstheme="minorBidi"/>
          <w:b/>
          <w:bCs w:val="0"/>
          <w:sz w:val="22"/>
          <w:szCs w:val="22"/>
          <w:lang w:val="en-GB"/>
        </w:rPr>
        <w:t>,</w:t>
      </w:r>
      <w:r w:rsidR="00C47072">
        <w:rPr>
          <w:rFonts w:asciiTheme="minorHAnsi" w:eastAsiaTheme="minorHAnsi" w:hAnsiTheme="minorHAnsi" w:cstheme="minorBidi"/>
          <w:b/>
          <w:bCs w:val="0"/>
          <w:sz w:val="22"/>
          <w:szCs w:val="22"/>
          <w:lang w:val="en-GB"/>
        </w:rPr>
        <w:t xml:space="preserve"> Counsellor Development Cooperation Fiji and Tuvalu</w:t>
      </w:r>
      <w:r w:rsidRPr="00D404C1">
        <w:rPr>
          <w:rFonts w:asciiTheme="minorHAnsi" w:eastAsiaTheme="minorHAnsi" w:hAnsiTheme="minorHAnsi" w:cstheme="minorBidi"/>
          <w:b/>
          <w:bCs w:val="0"/>
          <w:sz w:val="22"/>
          <w:szCs w:val="22"/>
          <w:lang w:val="en-GB"/>
        </w:rPr>
        <w:t>, Fiji Post</w:t>
      </w:r>
    </w:p>
    <w:p w14:paraId="7F3DB8DE" w14:textId="6AF11AA1" w:rsidR="000E64ED" w:rsidRPr="00D404C1" w:rsidRDefault="000E64ED" w:rsidP="00D404C1">
      <w:pPr>
        <w:pStyle w:val="Heading3"/>
        <w:rPr>
          <w:rFonts w:asciiTheme="minorHAnsi" w:eastAsiaTheme="minorHAnsi" w:hAnsiTheme="minorHAnsi" w:cstheme="minorBidi"/>
          <w:b/>
          <w:bCs w:val="0"/>
          <w:sz w:val="22"/>
          <w:szCs w:val="22"/>
          <w:lang w:val="en-GB"/>
        </w:rPr>
      </w:pPr>
      <w:r w:rsidRPr="00D404C1">
        <w:rPr>
          <w:rFonts w:asciiTheme="minorHAnsi" w:eastAsiaTheme="minorHAnsi" w:hAnsiTheme="minorHAnsi" w:cstheme="minorBidi"/>
          <w:b/>
          <w:bCs w:val="0"/>
          <w:sz w:val="22"/>
          <w:szCs w:val="22"/>
          <w:lang w:val="en-GB"/>
        </w:rPr>
        <w:t>Date Approved:</w:t>
      </w:r>
      <w:r w:rsidRPr="00D404C1">
        <w:rPr>
          <w:rFonts w:asciiTheme="minorHAnsi" w:eastAsiaTheme="minorHAnsi" w:hAnsiTheme="minorHAnsi" w:cstheme="minorBidi"/>
          <w:b/>
          <w:bCs w:val="0"/>
          <w:sz w:val="22"/>
          <w:szCs w:val="22"/>
          <w:lang w:val="en-GB"/>
        </w:rPr>
        <w:tab/>
      </w:r>
      <w:r w:rsidR="00D404C1" w:rsidRPr="00D404C1">
        <w:rPr>
          <w:rFonts w:asciiTheme="minorHAnsi" w:eastAsiaTheme="minorHAnsi" w:hAnsiTheme="minorHAnsi" w:cstheme="minorBidi"/>
          <w:b/>
          <w:bCs w:val="0"/>
          <w:sz w:val="22"/>
          <w:szCs w:val="22"/>
          <w:lang w:val="en-GB"/>
        </w:rPr>
        <w:tab/>
      </w:r>
      <w:r w:rsidR="00337112">
        <w:rPr>
          <w:rFonts w:asciiTheme="minorHAnsi" w:eastAsiaTheme="minorHAnsi" w:hAnsiTheme="minorHAnsi" w:cstheme="minorBidi"/>
          <w:b/>
          <w:bCs w:val="0"/>
          <w:sz w:val="22"/>
          <w:szCs w:val="22"/>
          <w:lang w:val="en-GB"/>
        </w:rPr>
        <w:t>05</w:t>
      </w:r>
      <w:r w:rsidR="007406CD">
        <w:rPr>
          <w:rFonts w:asciiTheme="minorHAnsi" w:eastAsiaTheme="minorHAnsi" w:hAnsiTheme="minorHAnsi" w:cstheme="minorBidi"/>
          <w:b/>
          <w:bCs w:val="0"/>
          <w:sz w:val="22"/>
          <w:szCs w:val="22"/>
          <w:lang w:val="en-GB"/>
        </w:rPr>
        <w:t xml:space="preserve"> February 2018</w:t>
      </w:r>
    </w:p>
    <w:p w14:paraId="26A154DF" w14:textId="2F7A3715" w:rsidR="00220C1E" w:rsidRDefault="00220C1E" w:rsidP="00220C1E">
      <w:pPr>
        <w:pStyle w:val="Heading2"/>
        <w:jc w:val="both"/>
        <w:rPr>
          <w:szCs w:val="24"/>
        </w:rPr>
      </w:pPr>
      <w:r w:rsidRPr="00B207BF">
        <w:rPr>
          <w:szCs w:val="24"/>
        </w:rPr>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220C1E" w:rsidRPr="001A7552" w14:paraId="7AB814FA" w14:textId="77777777" w:rsidTr="000E64ED">
        <w:trPr>
          <w:cantSplit/>
          <w:tblHeader/>
        </w:trPr>
        <w:tc>
          <w:tcPr>
            <w:tcW w:w="2660" w:type="dxa"/>
            <w:shd w:val="clear" w:color="auto" w:fill="E0E0E0"/>
            <w:vAlign w:val="center"/>
          </w:tcPr>
          <w:p w14:paraId="26EC4A99" w14:textId="77777777" w:rsidR="00220C1E" w:rsidRPr="001A7552" w:rsidRDefault="00220C1E" w:rsidP="000E64ED">
            <w:pPr>
              <w:pStyle w:val="Table-normal-text"/>
              <w:spacing w:before="120" w:after="120"/>
              <w:rPr>
                <w:b/>
              </w:rPr>
            </w:pPr>
            <w:r w:rsidRPr="001A7552">
              <w:rPr>
                <w:b/>
              </w:rPr>
              <w:t>Initiative Name</w:t>
            </w:r>
          </w:p>
        </w:tc>
        <w:tc>
          <w:tcPr>
            <w:tcW w:w="7229" w:type="dxa"/>
            <w:gridSpan w:val="3"/>
            <w:shd w:val="clear" w:color="auto" w:fill="E0E0E0"/>
            <w:vAlign w:val="center"/>
          </w:tcPr>
          <w:p w14:paraId="51F68E25" w14:textId="42EADC14" w:rsidR="00220C1E" w:rsidRPr="001A7552" w:rsidRDefault="00112198" w:rsidP="000E64ED">
            <w:pPr>
              <w:pStyle w:val="Table-normal-text"/>
              <w:spacing w:before="120" w:after="120"/>
              <w:rPr>
                <w:b/>
              </w:rPr>
            </w:pPr>
            <w:r>
              <w:rPr>
                <w:b/>
              </w:rPr>
              <w:t>Access to Quality Education</w:t>
            </w:r>
            <w:r w:rsidR="00220C1E">
              <w:rPr>
                <w:b/>
              </w:rPr>
              <w:t xml:space="preserve"> Program</w:t>
            </w:r>
          </w:p>
        </w:tc>
      </w:tr>
      <w:tr w:rsidR="00220C1E" w:rsidRPr="008209AF" w14:paraId="5FAFB96D" w14:textId="77777777" w:rsidTr="000E64ED">
        <w:trPr>
          <w:cantSplit/>
        </w:trPr>
        <w:tc>
          <w:tcPr>
            <w:tcW w:w="2660" w:type="dxa"/>
            <w:shd w:val="clear" w:color="auto" w:fill="auto"/>
          </w:tcPr>
          <w:p w14:paraId="0309BE79"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AidWorks initiative number</w:t>
            </w:r>
          </w:p>
        </w:tc>
        <w:tc>
          <w:tcPr>
            <w:tcW w:w="7229" w:type="dxa"/>
            <w:gridSpan w:val="3"/>
            <w:shd w:val="clear" w:color="auto" w:fill="auto"/>
          </w:tcPr>
          <w:p w14:paraId="27DCE0FB" w14:textId="11040D33" w:rsidR="00220C1E" w:rsidRPr="008209AF" w:rsidRDefault="00220C1E" w:rsidP="00112198">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IN</w:t>
            </w:r>
            <w:r w:rsidR="00112198">
              <w:rPr>
                <w:rFonts w:asciiTheme="minorHAnsi" w:eastAsiaTheme="minorHAnsi" w:hAnsiTheme="minorHAnsi" w:cstheme="minorBidi"/>
                <w:iCs/>
                <w:color w:val="495965" w:themeColor="text2"/>
                <w:sz w:val="22"/>
                <w:szCs w:val="20"/>
                <w:lang w:val="en-PH"/>
              </w:rPr>
              <w:t>J515</w:t>
            </w:r>
          </w:p>
        </w:tc>
      </w:tr>
      <w:tr w:rsidR="00220C1E" w:rsidRPr="008209AF" w14:paraId="6C81E1AF" w14:textId="77777777" w:rsidTr="000E64ED">
        <w:trPr>
          <w:cantSplit/>
        </w:trPr>
        <w:tc>
          <w:tcPr>
            <w:tcW w:w="2660" w:type="dxa"/>
            <w:shd w:val="clear" w:color="auto" w:fill="auto"/>
          </w:tcPr>
          <w:p w14:paraId="73697CEF"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Commencement date</w:t>
            </w:r>
          </w:p>
        </w:tc>
        <w:tc>
          <w:tcPr>
            <w:tcW w:w="2693" w:type="dxa"/>
            <w:shd w:val="clear" w:color="auto" w:fill="auto"/>
          </w:tcPr>
          <w:p w14:paraId="30EAE412" w14:textId="490A193B" w:rsidR="00220C1E" w:rsidRPr="008209AF" w:rsidRDefault="00A568B1" w:rsidP="000E64ED">
            <w:pPr>
              <w:pStyle w:val="Table-normal-text"/>
              <w:rPr>
                <w:rFonts w:asciiTheme="minorHAnsi" w:eastAsiaTheme="minorHAnsi" w:hAnsiTheme="minorHAnsi" w:cstheme="minorBidi"/>
                <w:iCs/>
                <w:color w:val="495965" w:themeColor="text2"/>
                <w:sz w:val="22"/>
                <w:szCs w:val="20"/>
                <w:lang w:val="en-PH"/>
              </w:rPr>
            </w:pPr>
            <w:r>
              <w:rPr>
                <w:rFonts w:asciiTheme="minorHAnsi" w:eastAsiaTheme="minorHAnsi" w:hAnsiTheme="minorHAnsi" w:cstheme="minorBidi"/>
                <w:iCs/>
                <w:color w:val="495965" w:themeColor="text2"/>
                <w:sz w:val="22"/>
                <w:szCs w:val="20"/>
                <w:lang w:val="en-PH"/>
              </w:rPr>
              <w:t>15 October 2010</w:t>
            </w:r>
          </w:p>
        </w:tc>
        <w:tc>
          <w:tcPr>
            <w:tcW w:w="1843" w:type="dxa"/>
            <w:shd w:val="clear" w:color="auto" w:fill="auto"/>
          </w:tcPr>
          <w:p w14:paraId="3E3C5B22"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Completion date</w:t>
            </w:r>
          </w:p>
        </w:tc>
        <w:tc>
          <w:tcPr>
            <w:tcW w:w="2693" w:type="dxa"/>
            <w:shd w:val="clear" w:color="auto" w:fill="auto"/>
          </w:tcPr>
          <w:p w14:paraId="2C8103F7" w14:textId="3BC864D3" w:rsidR="00220C1E" w:rsidRPr="008209AF" w:rsidRDefault="00A568B1" w:rsidP="000E64ED">
            <w:pPr>
              <w:pStyle w:val="Table-normal-text"/>
              <w:rPr>
                <w:rFonts w:asciiTheme="minorHAnsi" w:eastAsiaTheme="minorHAnsi" w:hAnsiTheme="minorHAnsi" w:cstheme="minorBidi"/>
                <w:iCs/>
                <w:color w:val="495965" w:themeColor="text2"/>
                <w:sz w:val="22"/>
                <w:szCs w:val="20"/>
                <w:lang w:val="en-PH"/>
              </w:rPr>
            </w:pPr>
            <w:r>
              <w:rPr>
                <w:rFonts w:asciiTheme="minorHAnsi" w:eastAsiaTheme="minorHAnsi" w:hAnsiTheme="minorHAnsi" w:cstheme="minorBidi"/>
                <w:iCs/>
                <w:color w:val="495965" w:themeColor="text2"/>
                <w:sz w:val="22"/>
                <w:szCs w:val="20"/>
                <w:lang w:val="en-PH"/>
              </w:rPr>
              <w:t>30 June 2017</w:t>
            </w:r>
          </w:p>
        </w:tc>
      </w:tr>
      <w:tr w:rsidR="00220C1E" w:rsidRPr="008209AF" w14:paraId="2905DF19" w14:textId="77777777" w:rsidTr="000E64ED">
        <w:trPr>
          <w:cantSplit/>
        </w:trPr>
        <w:tc>
          <w:tcPr>
            <w:tcW w:w="2660" w:type="dxa"/>
            <w:shd w:val="clear" w:color="auto" w:fill="auto"/>
          </w:tcPr>
          <w:p w14:paraId="4DBBF74D"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Total Australian $</w:t>
            </w:r>
          </w:p>
        </w:tc>
        <w:tc>
          <w:tcPr>
            <w:tcW w:w="7229" w:type="dxa"/>
            <w:gridSpan w:val="3"/>
            <w:shd w:val="clear" w:color="auto" w:fill="auto"/>
          </w:tcPr>
          <w:p w14:paraId="3F0B2136" w14:textId="6327EA6B" w:rsidR="00220C1E" w:rsidRPr="008209AF" w:rsidRDefault="00A568B1" w:rsidP="000E64ED">
            <w:pPr>
              <w:pStyle w:val="Table-normal-text"/>
              <w:rPr>
                <w:rFonts w:asciiTheme="minorHAnsi" w:eastAsiaTheme="minorHAnsi" w:hAnsiTheme="minorHAnsi" w:cstheme="minorBidi"/>
                <w:iCs/>
                <w:color w:val="495965" w:themeColor="text2"/>
                <w:sz w:val="22"/>
                <w:szCs w:val="20"/>
                <w:lang w:val="en-PH"/>
              </w:rPr>
            </w:pPr>
            <w:r>
              <w:rPr>
                <w:rFonts w:asciiTheme="minorHAnsi" w:eastAsiaTheme="minorHAnsi" w:hAnsiTheme="minorHAnsi" w:cstheme="minorBidi"/>
                <w:iCs/>
                <w:color w:val="495965" w:themeColor="text2"/>
                <w:sz w:val="22"/>
                <w:szCs w:val="20"/>
                <w:lang w:val="en-PH"/>
              </w:rPr>
              <w:t>43,300,000</w:t>
            </w:r>
          </w:p>
        </w:tc>
      </w:tr>
      <w:tr w:rsidR="00220C1E" w:rsidRPr="008209AF" w14:paraId="0E518203" w14:textId="77777777" w:rsidTr="000E64ED">
        <w:trPr>
          <w:cantSplit/>
        </w:trPr>
        <w:tc>
          <w:tcPr>
            <w:tcW w:w="2660" w:type="dxa"/>
            <w:shd w:val="clear" w:color="auto" w:fill="auto"/>
          </w:tcPr>
          <w:p w14:paraId="33709893"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Delivery organisation(s)</w:t>
            </w:r>
          </w:p>
        </w:tc>
        <w:tc>
          <w:tcPr>
            <w:tcW w:w="7229" w:type="dxa"/>
            <w:gridSpan w:val="3"/>
            <w:shd w:val="clear" w:color="auto" w:fill="auto"/>
          </w:tcPr>
          <w:p w14:paraId="019A0F81" w14:textId="61B51DD0" w:rsidR="00220C1E" w:rsidRPr="008209AF" w:rsidRDefault="00A568B1" w:rsidP="000E64ED">
            <w:pPr>
              <w:pStyle w:val="Table-normal-text"/>
              <w:rPr>
                <w:rFonts w:asciiTheme="minorHAnsi" w:eastAsiaTheme="minorHAnsi" w:hAnsiTheme="minorHAnsi" w:cstheme="minorBidi"/>
                <w:iCs/>
                <w:color w:val="495965" w:themeColor="text2"/>
                <w:sz w:val="22"/>
                <w:szCs w:val="20"/>
                <w:lang w:val="en-PH"/>
              </w:rPr>
            </w:pPr>
            <w:r>
              <w:rPr>
                <w:rFonts w:asciiTheme="minorHAnsi" w:eastAsiaTheme="minorHAnsi" w:hAnsiTheme="minorHAnsi" w:cstheme="minorBidi"/>
                <w:iCs/>
                <w:color w:val="495965" w:themeColor="text2"/>
                <w:sz w:val="22"/>
                <w:szCs w:val="20"/>
                <w:lang w:val="en-PH"/>
              </w:rPr>
              <w:t>Palladium International</w:t>
            </w:r>
          </w:p>
        </w:tc>
      </w:tr>
      <w:tr w:rsidR="00220C1E" w:rsidRPr="008209AF" w14:paraId="30338C87" w14:textId="77777777" w:rsidTr="000E64ED">
        <w:trPr>
          <w:cantSplit/>
        </w:trPr>
        <w:tc>
          <w:tcPr>
            <w:tcW w:w="2660" w:type="dxa"/>
            <w:shd w:val="clear" w:color="auto" w:fill="auto"/>
          </w:tcPr>
          <w:p w14:paraId="44FBEFD9"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Country/Region</w:t>
            </w:r>
          </w:p>
        </w:tc>
        <w:tc>
          <w:tcPr>
            <w:tcW w:w="7229" w:type="dxa"/>
            <w:gridSpan w:val="3"/>
            <w:shd w:val="clear" w:color="auto" w:fill="auto"/>
          </w:tcPr>
          <w:p w14:paraId="102D2D67" w14:textId="4D9C5EF4" w:rsidR="00220C1E" w:rsidRPr="008209AF" w:rsidRDefault="008209AF" w:rsidP="000E64ED">
            <w:pPr>
              <w:pStyle w:val="Table-normal-text"/>
              <w:rPr>
                <w:rFonts w:asciiTheme="minorHAnsi" w:eastAsiaTheme="minorHAnsi" w:hAnsiTheme="minorHAnsi" w:cstheme="minorBidi"/>
                <w:iCs/>
                <w:color w:val="495965" w:themeColor="text2"/>
                <w:sz w:val="22"/>
                <w:szCs w:val="20"/>
                <w:lang w:val="en-PH"/>
              </w:rPr>
            </w:pPr>
            <w:r>
              <w:rPr>
                <w:rFonts w:asciiTheme="minorHAnsi" w:eastAsiaTheme="minorHAnsi" w:hAnsiTheme="minorHAnsi" w:cstheme="minorBidi"/>
                <w:iCs/>
                <w:color w:val="495965" w:themeColor="text2"/>
                <w:sz w:val="22"/>
                <w:szCs w:val="20"/>
                <w:lang w:val="en-PH"/>
              </w:rPr>
              <w:t>Fiji Islands / Pacific</w:t>
            </w:r>
            <w:r w:rsidR="00220C1E" w:rsidRPr="008209AF">
              <w:rPr>
                <w:rFonts w:asciiTheme="minorHAnsi" w:eastAsiaTheme="minorHAnsi" w:hAnsiTheme="minorHAnsi" w:cstheme="minorBidi"/>
                <w:iCs/>
                <w:color w:val="495965" w:themeColor="text2"/>
                <w:sz w:val="22"/>
                <w:szCs w:val="20"/>
                <w:lang w:val="en-PH"/>
              </w:rPr>
              <w:t xml:space="preserve"> </w:t>
            </w:r>
          </w:p>
        </w:tc>
      </w:tr>
      <w:tr w:rsidR="00220C1E" w:rsidRPr="008209AF" w14:paraId="4B7BD3E6" w14:textId="77777777" w:rsidTr="000E64ED">
        <w:trPr>
          <w:cantSplit/>
        </w:trPr>
        <w:tc>
          <w:tcPr>
            <w:tcW w:w="2660" w:type="dxa"/>
            <w:shd w:val="clear" w:color="auto" w:fill="auto"/>
          </w:tcPr>
          <w:p w14:paraId="57D05B92"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Initiative objective/s</w:t>
            </w:r>
          </w:p>
        </w:tc>
        <w:tc>
          <w:tcPr>
            <w:tcW w:w="7229" w:type="dxa"/>
            <w:gridSpan w:val="3"/>
            <w:shd w:val="clear" w:color="auto" w:fill="auto"/>
          </w:tcPr>
          <w:p w14:paraId="7AA65B6D" w14:textId="245BE3F1" w:rsidR="00A568B1" w:rsidRDefault="007406CD" w:rsidP="00DD140A">
            <w:pPr>
              <w:jc w:val="both"/>
            </w:pPr>
            <w:r>
              <w:t>The goal of AQEP wa</w:t>
            </w:r>
            <w:r w:rsidR="00A568B1">
              <w:t>s to work in conjunction with the Ministry of Education, Heritage and Arts (</w:t>
            </w:r>
            <w:r w:rsidR="00F61E08">
              <w:t>MEHA</w:t>
            </w:r>
            <w:r w:rsidR="00A568B1">
              <w:t xml:space="preserve">) and other relevant stakeholders (including education and disability stakeholders) to improve the ability of children from very poor communities, including those with disabilities, to access a quality school education. </w:t>
            </w:r>
          </w:p>
          <w:p w14:paraId="5B0E68D8" w14:textId="589E2153" w:rsidR="00A568B1" w:rsidRPr="00DD140A" w:rsidRDefault="00A568B1" w:rsidP="00DD140A">
            <w:pPr>
              <w:jc w:val="both"/>
            </w:pPr>
            <w:r w:rsidRPr="00DD140A">
              <w:t>The AQEP end</w:t>
            </w:r>
            <w:r w:rsidR="007406CD">
              <w:t>-of-program outcomes (EOPOs) were</w:t>
            </w:r>
            <w:r w:rsidRPr="00DD140A">
              <w:t>:</w:t>
            </w:r>
          </w:p>
          <w:p w14:paraId="52D9173C" w14:textId="4F7F1EAB" w:rsidR="00A568B1" w:rsidRDefault="00DD140A" w:rsidP="00DD140A">
            <w:pPr>
              <w:jc w:val="both"/>
            </w:pPr>
            <w:r>
              <w:t xml:space="preserve">• </w:t>
            </w:r>
            <w:r w:rsidR="00A568B1">
              <w:t>Improved access to education for children from poor communities with a reduction in disparities based on location, disability and gender</w:t>
            </w:r>
          </w:p>
          <w:p w14:paraId="6D5D40CB" w14:textId="690BFD55" w:rsidR="00A568B1" w:rsidRDefault="00DD140A" w:rsidP="00DD140A">
            <w:pPr>
              <w:jc w:val="both"/>
            </w:pPr>
            <w:r>
              <w:t xml:space="preserve">• </w:t>
            </w:r>
            <w:r w:rsidR="00A568B1">
              <w:t>Improved quality of education for children from poor communities with a reduction in disparities based on location, disability and gender</w:t>
            </w:r>
          </w:p>
          <w:p w14:paraId="2D8BB072" w14:textId="6258F0B2" w:rsidR="00A568B1" w:rsidRDefault="00DD140A" w:rsidP="00DD140A">
            <w:pPr>
              <w:jc w:val="both"/>
            </w:pPr>
            <w:r>
              <w:t xml:space="preserve">• </w:t>
            </w:r>
            <w:r w:rsidR="00A568B1">
              <w:t>Sustainable adoption of AQEP approaches and principles at school, district and MoE level to improve access and quality for children from poor communities, including children with disability.</w:t>
            </w:r>
          </w:p>
          <w:p w14:paraId="6F55D93C" w14:textId="11BA2935" w:rsidR="00220C1E" w:rsidRPr="00DD140A" w:rsidRDefault="00A568B1" w:rsidP="007406CD">
            <w:pPr>
              <w:jc w:val="both"/>
            </w:pPr>
            <w:r>
              <w:t>AQEP also contributed significantly to disaster response efforts in the education sector on behalf of DFAT.</w:t>
            </w:r>
          </w:p>
        </w:tc>
      </w:tr>
    </w:tbl>
    <w:p w14:paraId="315BB5BD" w14:textId="319C55FF" w:rsidR="000E64ED" w:rsidRPr="00C47072" w:rsidRDefault="000E64ED" w:rsidP="000E64ED">
      <w:pPr>
        <w:pStyle w:val="Heading2"/>
        <w:jc w:val="both"/>
        <w:rPr>
          <w:szCs w:val="24"/>
        </w:rPr>
      </w:pPr>
      <w:r w:rsidRPr="00C47072">
        <w:rPr>
          <w:szCs w:val="24"/>
        </w:rPr>
        <w:lastRenderedPageBreak/>
        <w:t>Evaluation Summary</w:t>
      </w:r>
    </w:p>
    <w:p w14:paraId="264C871D" w14:textId="79BDF4E8" w:rsidR="00220C1E" w:rsidRDefault="000E64ED" w:rsidP="000E64ED">
      <w:pPr>
        <w:pStyle w:val="Heading3"/>
      </w:pPr>
      <w:r w:rsidRPr="000E64ED">
        <w:t>Evaluation Objective:</w:t>
      </w:r>
    </w:p>
    <w:p w14:paraId="7ED8AB09" w14:textId="31AE985C" w:rsidR="00D006A7" w:rsidRDefault="00D006A7" w:rsidP="00D006A7">
      <w:r>
        <w:t>The purpose of the E</w:t>
      </w:r>
      <w:r w:rsidR="00225692">
        <w:t>nd of Program Evaluation (EPE) wa</w:t>
      </w:r>
      <w:r>
        <w:t>s to evaluate the extent to which the Fiji Access to Qual</w:t>
      </w:r>
      <w:r w:rsidR="007406CD">
        <w:t>ity Education Program (AQEP) had</w:t>
      </w:r>
      <w:r>
        <w:t xml:space="preserve"> achieved its end-of-program outcomes; assess the effectiveness of program implementation and the relevance of program interventions; compile lessons learnt; and provide recommendations that will inform and shape DFAT’s future engagement with the Fiji Government through the Ministry of Education.  </w:t>
      </w:r>
    </w:p>
    <w:p w14:paraId="6DB4892B" w14:textId="7CD2DA00" w:rsidR="00225692" w:rsidRPr="00225692" w:rsidRDefault="00225692" w:rsidP="00225692">
      <w:pPr>
        <w:jc w:val="both"/>
      </w:pPr>
      <w:r>
        <w:t xml:space="preserve">The EPE was tasked to </w:t>
      </w:r>
      <w:r w:rsidRPr="00225692">
        <w:t>independently assess relevance, efficiency, effectiveness and sustainability of AQEP activities, with a specific focus on:</w:t>
      </w:r>
    </w:p>
    <w:p w14:paraId="41FF2BCF" w14:textId="77777777" w:rsidR="00225692" w:rsidRPr="00225692" w:rsidRDefault="00225692" w:rsidP="00225692">
      <w:pPr>
        <w:pStyle w:val="ListParagraph"/>
        <w:numPr>
          <w:ilvl w:val="0"/>
          <w:numId w:val="24"/>
        </w:numPr>
        <w:suppressAutoHyphens w:val="0"/>
        <w:spacing w:before="0" w:after="0" w:line="240" w:lineRule="auto"/>
        <w:jc w:val="both"/>
      </w:pPr>
      <w:r w:rsidRPr="00225692">
        <w:t>Capacity building approaches;</w:t>
      </w:r>
    </w:p>
    <w:p w14:paraId="75408155" w14:textId="77777777" w:rsidR="00225692" w:rsidRPr="00225692" w:rsidRDefault="00225692" w:rsidP="00225692">
      <w:pPr>
        <w:pStyle w:val="ListParagraph"/>
        <w:numPr>
          <w:ilvl w:val="0"/>
          <w:numId w:val="24"/>
        </w:numPr>
        <w:suppressAutoHyphens w:val="0"/>
        <w:spacing w:before="0" w:after="0" w:line="240" w:lineRule="auto"/>
        <w:jc w:val="both"/>
      </w:pPr>
      <w:r w:rsidRPr="00225692">
        <w:t>Management effectiveness;</w:t>
      </w:r>
    </w:p>
    <w:p w14:paraId="46AE919D" w14:textId="77777777" w:rsidR="00225692" w:rsidRPr="00225692" w:rsidRDefault="00225692" w:rsidP="00225692">
      <w:pPr>
        <w:pStyle w:val="ListParagraph"/>
        <w:numPr>
          <w:ilvl w:val="0"/>
          <w:numId w:val="24"/>
        </w:numPr>
        <w:suppressAutoHyphens w:val="0"/>
        <w:spacing w:before="0" w:after="0" w:line="240" w:lineRule="auto"/>
        <w:jc w:val="both"/>
      </w:pPr>
      <w:r w:rsidRPr="00225692">
        <w:t>Stakeholder engagement and cooperation;</w:t>
      </w:r>
    </w:p>
    <w:p w14:paraId="32151811" w14:textId="77777777" w:rsidR="00225692" w:rsidRPr="00225692" w:rsidRDefault="00225692" w:rsidP="00225692">
      <w:pPr>
        <w:pStyle w:val="ListParagraph"/>
        <w:numPr>
          <w:ilvl w:val="0"/>
          <w:numId w:val="24"/>
        </w:numPr>
        <w:suppressAutoHyphens w:val="0"/>
        <w:spacing w:before="0" w:after="0" w:line="240" w:lineRule="auto"/>
        <w:jc w:val="both"/>
      </w:pPr>
      <w:r w:rsidRPr="00225692">
        <w:t>Monitoring and evaluation;</w:t>
      </w:r>
    </w:p>
    <w:p w14:paraId="6E490A75" w14:textId="77777777" w:rsidR="00225692" w:rsidRPr="00225692" w:rsidRDefault="00225692" w:rsidP="00225692">
      <w:pPr>
        <w:pStyle w:val="ListParagraph"/>
        <w:numPr>
          <w:ilvl w:val="0"/>
          <w:numId w:val="24"/>
        </w:numPr>
        <w:suppressAutoHyphens w:val="0"/>
        <w:spacing w:before="0" w:after="0" w:line="240" w:lineRule="auto"/>
        <w:jc w:val="both"/>
      </w:pPr>
      <w:r w:rsidRPr="00225692">
        <w:t xml:space="preserve">Analysis and learning; and </w:t>
      </w:r>
    </w:p>
    <w:p w14:paraId="032312E2" w14:textId="77777777" w:rsidR="00225692" w:rsidRPr="00225692" w:rsidRDefault="00225692" w:rsidP="00225692">
      <w:pPr>
        <w:pStyle w:val="ListParagraph"/>
        <w:numPr>
          <w:ilvl w:val="0"/>
          <w:numId w:val="24"/>
        </w:numPr>
        <w:suppressAutoHyphens w:val="0"/>
        <w:spacing w:before="0" w:after="0" w:line="240" w:lineRule="auto"/>
        <w:jc w:val="both"/>
      </w:pPr>
      <w:r w:rsidRPr="00225692">
        <w:t>Cross-cutting issues such as disability, gender and emergency response.</w:t>
      </w:r>
    </w:p>
    <w:p w14:paraId="2996291A" w14:textId="77777777" w:rsidR="007D40C5" w:rsidRPr="00225692" w:rsidRDefault="007D40C5" w:rsidP="000F25A1"/>
    <w:p w14:paraId="68F63D78" w14:textId="7A0571D1" w:rsidR="000F25A1" w:rsidRDefault="000F25A1" w:rsidP="000F25A1">
      <w:pPr>
        <w:rPr>
          <w:b/>
        </w:rPr>
      </w:pPr>
      <w:r w:rsidRPr="001A7552">
        <w:rPr>
          <w:b/>
        </w:rPr>
        <w:t>Evaluation Completion Date:</w:t>
      </w:r>
      <w:r>
        <w:rPr>
          <w:b/>
        </w:rPr>
        <w:t xml:space="preserve"> </w:t>
      </w:r>
      <w:r w:rsidR="00A568B1">
        <w:rPr>
          <w:b/>
        </w:rPr>
        <w:t>20 November</w:t>
      </w:r>
      <w:r w:rsidR="00D404C1">
        <w:rPr>
          <w:b/>
        </w:rPr>
        <w:t>, 2017</w:t>
      </w:r>
      <w:r w:rsidR="00EC2CCF">
        <w:rPr>
          <w:b/>
        </w:rPr>
        <w:t>.</w:t>
      </w:r>
    </w:p>
    <w:p w14:paraId="3D154E35" w14:textId="27BD3CF1" w:rsidR="000F25A1" w:rsidRDefault="000F25A1" w:rsidP="000F25A1">
      <w:pPr>
        <w:rPr>
          <w:b/>
        </w:rPr>
      </w:pPr>
      <w:r w:rsidRPr="001A7552">
        <w:rPr>
          <w:b/>
        </w:rPr>
        <w:t xml:space="preserve">Evaluation Team: </w:t>
      </w:r>
    </w:p>
    <w:p w14:paraId="3B8B561E" w14:textId="5F37DE8A" w:rsidR="000F25A1" w:rsidRDefault="00D006A7" w:rsidP="000F25A1">
      <w:r>
        <w:t xml:space="preserve">Geoff Peterson – </w:t>
      </w:r>
      <w:r w:rsidR="00EC2CCF">
        <w:t>Team Leader</w:t>
      </w:r>
    </w:p>
    <w:p w14:paraId="788EA059" w14:textId="13A8D885" w:rsidR="000F25A1" w:rsidRDefault="00D006A7" w:rsidP="000F25A1">
      <w:r>
        <w:t>Jo Crawford-Bryde</w:t>
      </w:r>
      <w:r w:rsidR="000F25A1">
        <w:t xml:space="preserve"> – </w:t>
      </w:r>
      <w:r>
        <w:t>Education Specialist</w:t>
      </w:r>
    </w:p>
    <w:p w14:paraId="4A5C0296" w14:textId="19D19637" w:rsidR="000F25A1" w:rsidRDefault="00D006A7" w:rsidP="000F25A1">
      <w:r>
        <w:t>Rhys Gwilliam</w:t>
      </w:r>
      <w:r w:rsidR="000F25A1">
        <w:t xml:space="preserve"> – </w:t>
      </w:r>
      <w:r>
        <w:t>Infrastructure Specialist</w:t>
      </w:r>
    </w:p>
    <w:p w14:paraId="609A3C02" w14:textId="020683CF" w:rsidR="00C10415" w:rsidRPr="00D404C1" w:rsidRDefault="0031432C" w:rsidP="00D404C1">
      <w:pPr>
        <w:pStyle w:val="Heading2"/>
        <w:jc w:val="both"/>
        <w:rPr>
          <w:szCs w:val="24"/>
        </w:rPr>
      </w:pPr>
      <w:r w:rsidRPr="00D404C1">
        <w:rPr>
          <w:szCs w:val="24"/>
        </w:rPr>
        <w:t>Summary of management r</w:t>
      </w:r>
      <w:r w:rsidR="00C10415" w:rsidRPr="00D404C1">
        <w:rPr>
          <w:szCs w:val="24"/>
        </w:rPr>
        <w:t xml:space="preserve">esponse </w:t>
      </w:r>
    </w:p>
    <w:p w14:paraId="07E0426C" w14:textId="63CF12B0" w:rsidR="00D404C1" w:rsidRDefault="00722BDF" w:rsidP="00722BDF">
      <w:pPr>
        <w:pStyle w:val="BodyText"/>
        <w:jc w:val="both"/>
      </w:pPr>
      <w:r>
        <w:t xml:space="preserve">The evaluation was managed by </w:t>
      </w:r>
      <w:r w:rsidR="007406CD">
        <w:t xml:space="preserve">the Fiji Program Support Facility with oversight from </w:t>
      </w:r>
      <w:r>
        <w:t xml:space="preserve">DFAT’s bilateral aid section at Suva Post. </w:t>
      </w:r>
      <w:r w:rsidR="00D404C1">
        <w:t xml:space="preserve">DFAT considers the evaluation to be of </w:t>
      </w:r>
      <w:r>
        <w:t>acceptable</w:t>
      </w:r>
      <w:r w:rsidR="00D404C1">
        <w:t xml:space="preserve"> quality an</w:t>
      </w:r>
      <w:r w:rsidR="00453FCC">
        <w:t xml:space="preserve">d </w:t>
      </w:r>
      <w:r>
        <w:t>to have</w:t>
      </w:r>
      <w:r w:rsidR="00EC2CCF">
        <w:t xml:space="preserve"> sufficiently addressed</w:t>
      </w:r>
      <w:r w:rsidR="00D404C1">
        <w:t xml:space="preserve"> the </w:t>
      </w:r>
      <w:r>
        <w:t>requirements of the Terms of Reference</w:t>
      </w:r>
      <w:r w:rsidR="00D404C1">
        <w:t xml:space="preserve">. </w:t>
      </w:r>
    </w:p>
    <w:p w14:paraId="5F1CBC3C" w14:textId="6A92D006" w:rsidR="003D3C6E" w:rsidRDefault="00722BDF" w:rsidP="00722BDF">
      <w:pPr>
        <w:pStyle w:val="BodyText"/>
        <w:jc w:val="both"/>
      </w:pPr>
      <w:r>
        <w:t xml:space="preserve">The evaluation </w:t>
      </w:r>
      <w:r w:rsidR="00811F79">
        <w:t>noted that AQEP was a successful program overall, and provided evidence that AQEP objectives were s</w:t>
      </w:r>
      <w:r w:rsidR="00E81D62">
        <w:t xml:space="preserve">atisfactorily achieved. </w:t>
      </w:r>
      <w:r w:rsidR="007406CD">
        <w:t>AQEP supported a total of 222 schools and</w:t>
      </w:r>
      <w:r w:rsidR="003D3C6E">
        <w:t xml:space="preserve"> 45,927 students through all of</w:t>
      </w:r>
      <w:r w:rsidR="007406CD">
        <w:t xml:space="preserve"> its activities over the life of the program. </w:t>
      </w:r>
      <w:r w:rsidR="003D3C6E">
        <w:t>The program as a whole was highly relevant, responding to needs in all key areas of work across the three program components – access, quality and strategic support to Ministry of Education (</w:t>
      </w:r>
      <w:r w:rsidR="00F61E08">
        <w:t>MEHA</w:t>
      </w:r>
      <w:r w:rsidR="003D3C6E">
        <w:t xml:space="preserve">) priorities. It was generally effective across all program components. Despite challenges associated with contextual change in both Fijian and Australian government policies and budgets, AQEP was able to deliver the interventions efficiently within budget. In the area of sustainability, AQEP was generally successful in enabling </w:t>
      </w:r>
      <w:r w:rsidR="00F61E08">
        <w:t>MEHA</w:t>
      </w:r>
      <w:r w:rsidR="003D3C6E">
        <w:t xml:space="preserve"> to adopt best practice, for example, the Literacy and Numeracy package now has a </w:t>
      </w:r>
      <w:r w:rsidR="00F61E08">
        <w:t>MEHA</w:t>
      </w:r>
      <w:r w:rsidR="003D3C6E">
        <w:t xml:space="preserve"> budget allocation, and is supported by dedicated staff.</w:t>
      </w:r>
    </w:p>
    <w:p w14:paraId="295AC8FF" w14:textId="209205DB" w:rsidR="00722BDF" w:rsidRDefault="00192EA7" w:rsidP="00722BDF">
      <w:pPr>
        <w:pStyle w:val="BodyText"/>
        <w:jc w:val="both"/>
      </w:pPr>
      <w:r>
        <w:t>There were notable advances in new literacy and numeracy strategies, in infrastructure repair, and data management through the Fiji Education Management Information System (FEMIS). Support to disability</w:t>
      </w:r>
      <w:r w:rsidR="00C10259">
        <w:t xml:space="preserve"> </w:t>
      </w:r>
      <w:r>
        <w:t xml:space="preserve">inclusion has been a strong focus of AQEP, and AQEP has led to a growth in awareness regarding disability inclusive education and how to integrate disability inclusion in a school setting. </w:t>
      </w:r>
    </w:p>
    <w:p w14:paraId="174836B1" w14:textId="3DEC2ABD" w:rsidR="00192EA7" w:rsidRDefault="00192EA7" w:rsidP="00722BDF">
      <w:pPr>
        <w:pStyle w:val="BodyText"/>
        <w:jc w:val="both"/>
      </w:pPr>
      <w:r>
        <w:lastRenderedPageBreak/>
        <w:t xml:space="preserve">AQEP was able to improve teaching quality through coaching and mentoring of teachers in literacy and numeracy. These literacy and numeracy strategies have </w:t>
      </w:r>
      <w:r w:rsidR="00352A18">
        <w:t>had a positive impact on learning outcomes, and these stra</w:t>
      </w:r>
      <w:r w:rsidR="003D3C6E">
        <w:t xml:space="preserve">tegies have been adopted by </w:t>
      </w:r>
      <w:r w:rsidR="00F61E08">
        <w:t>MEHA</w:t>
      </w:r>
      <w:r w:rsidR="00352A18">
        <w:t>.</w:t>
      </w:r>
    </w:p>
    <w:p w14:paraId="522FE596" w14:textId="0ED2F466" w:rsidR="00352A18" w:rsidRDefault="00352A18" w:rsidP="00722BDF">
      <w:pPr>
        <w:pStyle w:val="BodyText"/>
        <w:jc w:val="both"/>
      </w:pPr>
      <w:r>
        <w:t xml:space="preserve">Infrastructure improvements were highly relevant interventions in the areas of improving access to school, creating better quality learning environments, responding to the needs of students with disabilities, and repairing damage from natural disasters. </w:t>
      </w:r>
    </w:p>
    <w:p w14:paraId="7BEA462C" w14:textId="3AEC9F9F" w:rsidR="003D3C6E" w:rsidRDefault="00EC6395" w:rsidP="00722BDF">
      <w:pPr>
        <w:pStyle w:val="BodyText"/>
        <w:jc w:val="both"/>
      </w:pPr>
      <w:r>
        <w:t xml:space="preserve">FEMIS has been effective in assisting </w:t>
      </w:r>
      <w:r w:rsidR="00F61E08">
        <w:t>MEHA</w:t>
      </w:r>
      <w:r>
        <w:t xml:space="preserve"> collect and manage data. While AQEP has improved compliance and accountability in </w:t>
      </w:r>
      <w:r w:rsidR="00F61E08">
        <w:t>MEHA</w:t>
      </w:r>
      <w:r>
        <w:t xml:space="preserve"> through FEMIS, there remains a need for </w:t>
      </w:r>
      <w:r w:rsidR="00F61E08">
        <w:t>MEHA</w:t>
      </w:r>
      <w:r>
        <w:t xml:space="preserve"> to move from compliance and accountability to using FEMIS for evidence-based decision making and the improvement of teaching and learning.</w:t>
      </w:r>
      <w:r w:rsidR="003D3C6E" w:rsidRPr="003D3C6E">
        <w:t xml:space="preserve"> </w:t>
      </w:r>
    </w:p>
    <w:p w14:paraId="7D6BC36D" w14:textId="38FDCE90" w:rsidR="00722BDF" w:rsidRDefault="003D3C6E" w:rsidP="00722BDF">
      <w:pPr>
        <w:pStyle w:val="BodyText"/>
        <w:jc w:val="both"/>
      </w:pPr>
      <w:r>
        <w:t>The attendance rate for AQEP supported schools improved from 85% in 2012 to 91% in 2017. This is slightly higher than the average national attendance rate of 90% in 2017 – the challenge of school access remains, however it should be noted that AQEP focused on the most disadvantaged schools in the country.</w:t>
      </w:r>
    </w:p>
    <w:p w14:paraId="71909222" w14:textId="23B45B41" w:rsidR="00352A18" w:rsidRDefault="00127677" w:rsidP="00722BDF">
      <w:pPr>
        <w:pStyle w:val="BodyText"/>
        <w:jc w:val="both"/>
      </w:pPr>
      <w:r>
        <w:t xml:space="preserve">The recommendations proposed in the evaluation </w:t>
      </w:r>
      <w:r w:rsidR="00E20CC7">
        <w:t xml:space="preserve">are based on lessons learned through AQEP, as well as how AQEP successes can be built upon </w:t>
      </w:r>
      <w:r w:rsidR="00015A47">
        <w:t>through future support to the education sector in Fiji.</w:t>
      </w:r>
      <w:r w:rsidR="00080474">
        <w:t xml:space="preserve"> Post is in agreement with all the recommendations.</w:t>
      </w:r>
      <w:r w:rsidR="00080474" w:rsidRPr="00080474">
        <w:t xml:space="preserve"> </w:t>
      </w:r>
      <w:r w:rsidR="00080474">
        <w:t>AQEP has in a very real sense succeeded in laying important groundwork for future support to the MEHA at the systems level.  Gains across literacy, numeracy, disability inclusion, and data management can be consolidated and embedded in a future phase of support, where the focus most likely should transition from a school based management model to one of centralised system support, with a continued line of site to the school level to ensure on-going evidence of sustainability of core areas of external support to MEHA from AQEP.</w:t>
      </w:r>
    </w:p>
    <w:p w14:paraId="7C3A2A6B" w14:textId="77777777" w:rsidR="00B93D68" w:rsidRDefault="00B93D68" w:rsidP="00B93D68">
      <w:pPr>
        <w:suppressAutoHyphens w:val="0"/>
        <w:spacing w:before="0" w:after="120" w:line="440" w:lineRule="atLeast"/>
        <w:sectPr w:rsidR="00B93D68" w:rsidSect="0013615E">
          <w:headerReference w:type="default" r:id="rId8"/>
          <w:footerReference w:type="default" r:id="rId9"/>
          <w:headerReference w:type="first" r:id="rId10"/>
          <w:footerReference w:type="first" r:id="rId11"/>
          <w:pgSz w:w="11906" w:h="16838" w:code="9"/>
          <w:pgMar w:top="1985" w:right="1134" w:bottom="1701" w:left="1134" w:header="567" w:footer="567" w:gutter="0"/>
          <w:cols w:space="708"/>
          <w:titlePg/>
          <w:docGrid w:linePitch="360"/>
        </w:sectPr>
      </w:pPr>
      <w:r>
        <w:br w:type="page"/>
      </w:r>
    </w:p>
    <w:p w14:paraId="5F00AA30" w14:textId="6C8146B7" w:rsidR="00C10415" w:rsidRDefault="0031432C" w:rsidP="00A02111">
      <w:pPr>
        <w:pStyle w:val="Heading3"/>
      </w:pPr>
      <w:r>
        <w:lastRenderedPageBreak/>
        <w:t>Individual m</w:t>
      </w:r>
      <w:r w:rsidR="00C10415" w:rsidRPr="002B1079">
        <w:t xml:space="preserve">anagement response to the recommendations </w:t>
      </w:r>
    </w:p>
    <w:p w14:paraId="3682D703" w14:textId="77777777" w:rsidR="008F39BE" w:rsidRPr="008F39BE" w:rsidRDefault="008F39BE" w:rsidP="008F39BE">
      <w:pPr>
        <w:rPr>
          <w:lang w:val="en-AU"/>
        </w:rPr>
      </w:pPr>
    </w:p>
    <w:tbl>
      <w:tblPr>
        <w:tblStyle w:val="DFATTable1"/>
        <w:tblW w:w="5578" w:type="pct"/>
        <w:tblInd w:w="-567"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88"/>
        <w:gridCol w:w="2028"/>
        <w:gridCol w:w="2039"/>
        <w:gridCol w:w="2694"/>
        <w:gridCol w:w="2623"/>
      </w:tblGrid>
      <w:tr w:rsidR="00C10415" w14:paraId="464F0A9D" w14:textId="77777777" w:rsidTr="00CF68DB">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02" w:type="pct"/>
            <w:hideMark/>
          </w:tcPr>
          <w:p w14:paraId="378DEF72" w14:textId="77777777" w:rsidR="00C10415" w:rsidRPr="008A0512" w:rsidRDefault="00C10415" w:rsidP="00901AF4">
            <w:pPr>
              <w:pStyle w:val="TableHeaderRow"/>
              <w:ind w:left="32"/>
            </w:pPr>
            <w:r w:rsidRPr="008A0512">
              <w:t>Recommendation</w:t>
            </w:r>
          </w:p>
        </w:tc>
        <w:tc>
          <w:tcPr>
            <w:tcW w:w="691" w:type="pct"/>
            <w:hideMark/>
          </w:tcPr>
          <w:p w14:paraId="5B27B37E" w14:textId="4525C3DD" w:rsidR="00C10415" w:rsidRPr="008A0512" w:rsidRDefault="00C10415" w:rsidP="00015A47">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695" w:type="pct"/>
            <w:hideMark/>
          </w:tcPr>
          <w:p w14:paraId="1D1DC2C4" w14:textId="2090BC59" w:rsidR="00C10415" w:rsidRPr="008A0512" w:rsidRDefault="00C10415" w:rsidP="00A72C41">
            <w:pPr>
              <w:pStyle w:val="TableHeaderRow"/>
              <w:cnfStyle w:val="100000000000" w:firstRow="1" w:lastRow="0" w:firstColumn="0" w:lastColumn="0" w:oddVBand="0" w:evenVBand="0" w:oddHBand="0" w:evenHBand="0" w:firstRowFirstColumn="0" w:firstRowLastColumn="0" w:lastRowFirstColumn="0" w:lastRowLastColumn="0"/>
            </w:pPr>
            <w:r w:rsidRPr="008A0512">
              <w:t>Explanation</w:t>
            </w:r>
          </w:p>
        </w:tc>
        <w:tc>
          <w:tcPr>
            <w:tcW w:w="918" w:type="pct"/>
            <w:hideMark/>
          </w:tcPr>
          <w:p w14:paraId="19C59273"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894" w:type="pct"/>
            <w:hideMark/>
          </w:tcPr>
          <w:p w14:paraId="4B9016ED"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p w14:paraId="71CC5112" w14:textId="27A52D58" w:rsidR="00C10415" w:rsidRPr="008F4A4D" w:rsidRDefault="00C10415" w:rsidP="008A0512">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C10415" w:rsidRPr="00E734D4" w14:paraId="685E94ED" w14:textId="77777777" w:rsidTr="00B03361">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802" w:type="pct"/>
          </w:tcPr>
          <w:p w14:paraId="6156F23D" w14:textId="77777777" w:rsidR="00C10415" w:rsidRPr="00A72C41" w:rsidRDefault="00C10415" w:rsidP="00E734D4">
            <w:pPr>
              <w:pStyle w:val="Heading3"/>
              <w:outlineLvl w:val="2"/>
              <w:rPr>
                <w:rFonts w:ascii="Calibri" w:eastAsiaTheme="minorHAnsi" w:hAnsi="Calibri" w:cstheme="minorBidi"/>
                <w:b/>
                <w:bCs w:val="0"/>
                <w:sz w:val="24"/>
                <w:szCs w:val="24"/>
                <w:lang w:val="en-GB"/>
              </w:rPr>
            </w:pPr>
            <w:r w:rsidRPr="00A72C41">
              <w:rPr>
                <w:rFonts w:ascii="Calibri" w:eastAsiaTheme="minorHAnsi" w:hAnsi="Calibri" w:cstheme="minorBidi"/>
                <w:b/>
                <w:bCs w:val="0"/>
                <w:sz w:val="24"/>
                <w:szCs w:val="24"/>
                <w:lang w:val="en-GB"/>
              </w:rPr>
              <w:t>Recommendation 1</w:t>
            </w:r>
          </w:p>
          <w:p w14:paraId="6CE77AE6" w14:textId="77777777" w:rsidR="00E734D4" w:rsidRPr="00047435" w:rsidRDefault="00F54263" w:rsidP="00866F73">
            <w:pPr>
              <w:pStyle w:val="BodyText"/>
              <w:rPr>
                <w:sz w:val="24"/>
                <w:szCs w:val="24"/>
              </w:rPr>
            </w:pPr>
            <w:r w:rsidRPr="00047435">
              <w:rPr>
                <w:sz w:val="24"/>
                <w:szCs w:val="24"/>
              </w:rPr>
              <w:t xml:space="preserve">That DFAT support the Literacy and Numeracy Program. </w:t>
            </w:r>
          </w:p>
          <w:p w14:paraId="64555B05" w14:textId="49EEE582" w:rsidR="00CF3A3D" w:rsidRPr="008A0512" w:rsidRDefault="00CF3A3D" w:rsidP="00866F73">
            <w:pPr>
              <w:pStyle w:val="BodyText"/>
              <w:rPr>
                <w:sz w:val="24"/>
                <w:szCs w:val="24"/>
              </w:rPr>
            </w:pPr>
          </w:p>
        </w:tc>
        <w:tc>
          <w:tcPr>
            <w:tcW w:w="691" w:type="pct"/>
            <w:shd w:val="clear" w:color="auto" w:fill="92D050"/>
            <w:hideMark/>
          </w:tcPr>
          <w:p w14:paraId="3991BCF6" w14:textId="55B339AF" w:rsidR="00C10415" w:rsidRPr="00E734D4" w:rsidRDefault="00C10415" w:rsidP="00A72C41">
            <w:pPr>
              <w:pStyle w:val="Heading3"/>
              <w:jc w:val="center"/>
              <w:outlineLvl w:val="2"/>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Cs w:val="0"/>
                <w:sz w:val="24"/>
                <w:szCs w:val="24"/>
                <w:lang w:val="en-GB"/>
              </w:rPr>
            </w:pPr>
            <w:r w:rsidRPr="00E734D4">
              <w:rPr>
                <w:rFonts w:ascii="Calibri" w:eastAsiaTheme="minorHAnsi" w:hAnsi="Calibri" w:cstheme="minorBidi"/>
                <w:bCs w:val="0"/>
                <w:sz w:val="24"/>
                <w:szCs w:val="24"/>
                <w:lang w:val="en-GB"/>
              </w:rPr>
              <w:t>Agree</w:t>
            </w:r>
          </w:p>
        </w:tc>
        <w:tc>
          <w:tcPr>
            <w:tcW w:w="695" w:type="pct"/>
          </w:tcPr>
          <w:p w14:paraId="270B03A8" w14:textId="075834D2" w:rsidR="00C10415" w:rsidRPr="008A0512" w:rsidRDefault="00C10415" w:rsidP="00B03361">
            <w:pPr>
              <w:pStyle w:val="BodyText"/>
              <w:cnfStyle w:val="000000100000" w:firstRow="0" w:lastRow="0" w:firstColumn="0" w:lastColumn="0" w:oddVBand="0" w:evenVBand="0" w:oddHBand="1" w:evenHBand="0" w:firstRowFirstColumn="0" w:firstRowLastColumn="0" w:lastRowFirstColumn="0" w:lastRowLastColumn="0"/>
              <w:rPr>
                <w:sz w:val="24"/>
                <w:szCs w:val="24"/>
              </w:rPr>
            </w:pPr>
          </w:p>
        </w:tc>
        <w:tc>
          <w:tcPr>
            <w:tcW w:w="918" w:type="pct"/>
          </w:tcPr>
          <w:p w14:paraId="1A74C54B" w14:textId="093999FC" w:rsidR="00225692" w:rsidRDefault="008F39BE" w:rsidP="00CF3A3D">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new b</w:t>
            </w:r>
            <w:r w:rsidR="009C2794">
              <w:rPr>
                <w:sz w:val="24"/>
                <w:szCs w:val="24"/>
              </w:rPr>
              <w:t>ilateral education program (2018</w:t>
            </w:r>
            <w:r>
              <w:rPr>
                <w:sz w:val="24"/>
                <w:szCs w:val="24"/>
              </w:rPr>
              <w:t xml:space="preserve">-2022) will </w:t>
            </w:r>
            <w:r w:rsidR="00530522">
              <w:rPr>
                <w:sz w:val="24"/>
                <w:szCs w:val="24"/>
              </w:rPr>
              <w:t>take forward</w:t>
            </w:r>
            <w:r w:rsidR="00D242A5">
              <w:rPr>
                <w:sz w:val="24"/>
                <w:szCs w:val="24"/>
              </w:rPr>
              <w:t xml:space="preserve"> continued support to literacy and numeracy</w:t>
            </w:r>
            <w:r>
              <w:rPr>
                <w:sz w:val="24"/>
                <w:szCs w:val="24"/>
              </w:rPr>
              <w:t>.</w:t>
            </w:r>
            <w:r w:rsidR="00CF3A3D">
              <w:rPr>
                <w:sz w:val="24"/>
                <w:szCs w:val="24"/>
              </w:rPr>
              <w:t xml:space="preserve"> </w:t>
            </w:r>
          </w:p>
          <w:p w14:paraId="6C981926" w14:textId="386ED4A9" w:rsidR="00C10415" w:rsidRPr="008A0512" w:rsidRDefault="00CF3A3D" w:rsidP="00CF3A3D">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transitional activities currently being implemented by the Fiji Program Support Facility (the Facility) are supporting the </w:t>
            </w:r>
            <w:r w:rsidR="00F61E08">
              <w:rPr>
                <w:sz w:val="24"/>
                <w:szCs w:val="24"/>
              </w:rPr>
              <w:t>MEHA</w:t>
            </w:r>
            <w:r>
              <w:rPr>
                <w:sz w:val="24"/>
                <w:szCs w:val="24"/>
              </w:rPr>
              <w:t xml:space="preserve"> with the national roll out of Literacy and Numeracy training.</w:t>
            </w:r>
          </w:p>
        </w:tc>
        <w:tc>
          <w:tcPr>
            <w:tcW w:w="894" w:type="pct"/>
          </w:tcPr>
          <w:p w14:paraId="2209ADD5" w14:textId="4B4E6EE7" w:rsidR="00C10415" w:rsidRPr="008A0512" w:rsidRDefault="009C2794" w:rsidP="008F39BE">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2018</w:t>
            </w:r>
            <w:r w:rsidR="00A72C41">
              <w:rPr>
                <w:sz w:val="24"/>
                <w:szCs w:val="24"/>
              </w:rPr>
              <w:t>-2022 under the Fiji Program Support Facility</w:t>
            </w:r>
            <w:r w:rsidR="008F39BE">
              <w:rPr>
                <w:sz w:val="24"/>
                <w:szCs w:val="24"/>
              </w:rPr>
              <w:t xml:space="preserve"> (the Facility)</w:t>
            </w:r>
            <w:r w:rsidR="008E175F">
              <w:rPr>
                <w:sz w:val="24"/>
                <w:szCs w:val="24"/>
              </w:rPr>
              <w:t>.</w:t>
            </w:r>
          </w:p>
        </w:tc>
      </w:tr>
    </w:tbl>
    <w:p w14:paraId="5713304A" w14:textId="77777777" w:rsidR="00C10415" w:rsidRPr="00E734D4" w:rsidRDefault="00C10415" w:rsidP="00C10415">
      <w:pPr>
        <w:pStyle w:val="BodyText"/>
        <w:rPr>
          <w:rFonts w:ascii="Calibri" w:hAnsi="Calibri"/>
          <w:sz w:val="24"/>
          <w:szCs w:val="24"/>
        </w:rPr>
      </w:pPr>
    </w:p>
    <w:p w14:paraId="1865B93B" w14:textId="77777777" w:rsidR="00C10415" w:rsidRDefault="00C10415" w:rsidP="00C10415">
      <w:pPr>
        <w:pStyle w:val="BodyText"/>
        <w:rPr>
          <w:rFonts w:ascii="Franklin Gothic Book" w:hAnsi="Franklin Gothic Book"/>
          <w:color w:val="000000" w:themeColor="text1"/>
          <w:sz w:val="21"/>
        </w:rPr>
      </w:pPr>
    </w:p>
    <w:p w14:paraId="117FBF2A" w14:textId="77777777" w:rsidR="00C10415" w:rsidRDefault="00C10415" w:rsidP="00C10415"/>
    <w:tbl>
      <w:tblPr>
        <w:tblStyle w:val="DFATTable1"/>
        <w:tblpPr w:leftFromText="180" w:rightFromText="180" w:vertAnchor="page" w:horzAnchor="margin" w:tblpXSpec="center" w:tblpY="2289"/>
        <w:tblW w:w="5578" w:type="pct"/>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88"/>
        <w:gridCol w:w="2028"/>
        <w:gridCol w:w="2039"/>
        <w:gridCol w:w="2694"/>
        <w:gridCol w:w="2623"/>
      </w:tblGrid>
      <w:tr w:rsidR="00684AC7" w14:paraId="7FB1D923" w14:textId="77777777" w:rsidTr="00841E4A">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02" w:type="pct"/>
            <w:hideMark/>
          </w:tcPr>
          <w:p w14:paraId="048306FF" w14:textId="77777777" w:rsidR="00684AC7" w:rsidRPr="008A0512" w:rsidRDefault="00684AC7" w:rsidP="0059100C">
            <w:pPr>
              <w:pStyle w:val="TableHeaderRow"/>
              <w:ind w:left="32"/>
            </w:pPr>
            <w:r w:rsidRPr="008A0512">
              <w:lastRenderedPageBreak/>
              <w:t>Recommendation</w:t>
            </w:r>
          </w:p>
        </w:tc>
        <w:tc>
          <w:tcPr>
            <w:tcW w:w="691" w:type="pct"/>
            <w:hideMark/>
          </w:tcPr>
          <w:p w14:paraId="31B02719" w14:textId="77777777" w:rsidR="00684AC7" w:rsidRPr="008A0512" w:rsidRDefault="00684AC7" w:rsidP="0059100C">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695" w:type="pct"/>
            <w:hideMark/>
          </w:tcPr>
          <w:p w14:paraId="4DD8C857" w14:textId="77777777" w:rsidR="00684AC7" w:rsidRPr="008A0512" w:rsidRDefault="00684AC7" w:rsidP="0059100C">
            <w:pPr>
              <w:pStyle w:val="TableHeaderRow"/>
              <w:cnfStyle w:val="100000000000" w:firstRow="1" w:lastRow="0" w:firstColumn="0" w:lastColumn="0" w:oddVBand="0" w:evenVBand="0" w:oddHBand="0" w:evenHBand="0" w:firstRowFirstColumn="0" w:firstRowLastColumn="0" w:lastRowFirstColumn="0" w:lastRowLastColumn="0"/>
            </w:pPr>
            <w:r w:rsidRPr="008A0512">
              <w:t>Explanation</w:t>
            </w:r>
          </w:p>
        </w:tc>
        <w:tc>
          <w:tcPr>
            <w:tcW w:w="918" w:type="pct"/>
            <w:hideMark/>
          </w:tcPr>
          <w:p w14:paraId="108A9EC7" w14:textId="77777777" w:rsidR="00684AC7" w:rsidRPr="008A0512" w:rsidRDefault="00684AC7" w:rsidP="0059100C">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894" w:type="pct"/>
            <w:hideMark/>
          </w:tcPr>
          <w:p w14:paraId="30FA04B9" w14:textId="77777777" w:rsidR="00684AC7" w:rsidRPr="008A0512" w:rsidRDefault="00684AC7" w:rsidP="0059100C">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p w14:paraId="0293EB2D" w14:textId="20161A77" w:rsidR="00684AC7" w:rsidRPr="008F4A4D" w:rsidRDefault="00684AC7" w:rsidP="0059100C">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684AC7" w:rsidRPr="00E734D4" w14:paraId="1596341B" w14:textId="77777777" w:rsidTr="0059100C">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802" w:type="pct"/>
          </w:tcPr>
          <w:p w14:paraId="64E411F8" w14:textId="10168AC4" w:rsidR="00684AC7" w:rsidRPr="00A72C41" w:rsidRDefault="0059100C" w:rsidP="0059100C">
            <w:pPr>
              <w:pStyle w:val="Heading3"/>
              <w:outlineLvl w:val="2"/>
              <w:rPr>
                <w:rFonts w:ascii="Calibri" w:eastAsiaTheme="minorHAnsi" w:hAnsi="Calibri" w:cstheme="minorBidi"/>
                <w:b/>
                <w:bCs w:val="0"/>
                <w:sz w:val="24"/>
                <w:szCs w:val="24"/>
                <w:lang w:val="en-GB"/>
              </w:rPr>
            </w:pPr>
            <w:r>
              <w:rPr>
                <w:rFonts w:ascii="Calibri" w:eastAsiaTheme="minorHAnsi" w:hAnsi="Calibri" w:cstheme="minorBidi"/>
                <w:b/>
                <w:bCs w:val="0"/>
                <w:sz w:val="24"/>
                <w:szCs w:val="24"/>
                <w:lang w:val="en-GB"/>
              </w:rPr>
              <w:t>Recommendation 2</w:t>
            </w:r>
          </w:p>
          <w:p w14:paraId="50972A08" w14:textId="77777777" w:rsidR="00684AC7" w:rsidRPr="00047435" w:rsidRDefault="00684AC7" w:rsidP="0059100C">
            <w:pPr>
              <w:pStyle w:val="BodyText"/>
              <w:rPr>
                <w:sz w:val="24"/>
                <w:szCs w:val="24"/>
              </w:rPr>
            </w:pPr>
            <w:r w:rsidRPr="00047435">
              <w:rPr>
                <w:sz w:val="24"/>
                <w:szCs w:val="24"/>
              </w:rPr>
              <w:t xml:space="preserve">That </w:t>
            </w:r>
            <w:r w:rsidR="0059100C" w:rsidRPr="00047435">
              <w:rPr>
                <w:sz w:val="24"/>
                <w:szCs w:val="24"/>
              </w:rPr>
              <w:t>a process of co-development be considered for literacy and numeracy support and culturally appropriate reading materials.</w:t>
            </w:r>
          </w:p>
          <w:p w14:paraId="1C924A69" w14:textId="558E5672" w:rsidR="0059100C" w:rsidRPr="008A0512" w:rsidRDefault="0059100C" w:rsidP="0059100C">
            <w:pPr>
              <w:pStyle w:val="BodyText"/>
              <w:rPr>
                <w:sz w:val="24"/>
                <w:szCs w:val="24"/>
              </w:rPr>
            </w:pPr>
          </w:p>
        </w:tc>
        <w:tc>
          <w:tcPr>
            <w:tcW w:w="691" w:type="pct"/>
            <w:shd w:val="clear" w:color="auto" w:fill="92D050"/>
            <w:hideMark/>
          </w:tcPr>
          <w:p w14:paraId="333D6687" w14:textId="77777777" w:rsidR="00684AC7" w:rsidRPr="00E734D4" w:rsidRDefault="00684AC7" w:rsidP="0059100C">
            <w:pPr>
              <w:pStyle w:val="Heading3"/>
              <w:jc w:val="center"/>
              <w:outlineLvl w:val="2"/>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Cs w:val="0"/>
                <w:sz w:val="24"/>
                <w:szCs w:val="24"/>
                <w:lang w:val="en-GB"/>
              </w:rPr>
            </w:pPr>
            <w:r w:rsidRPr="00E734D4">
              <w:rPr>
                <w:rFonts w:ascii="Calibri" w:eastAsiaTheme="minorHAnsi" w:hAnsi="Calibri" w:cstheme="minorBidi"/>
                <w:bCs w:val="0"/>
                <w:sz w:val="24"/>
                <w:szCs w:val="24"/>
                <w:lang w:val="en-GB"/>
              </w:rPr>
              <w:t>Agree</w:t>
            </w:r>
          </w:p>
        </w:tc>
        <w:tc>
          <w:tcPr>
            <w:tcW w:w="695" w:type="pct"/>
          </w:tcPr>
          <w:p w14:paraId="55930E5A" w14:textId="77777777" w:rsidR="00684AC7" w:rsidRPr="008A0512" w:rsidRDefault="00684AC7" w:rsidP="0059100C">
            <w:pPr>
              <w:pStyle w:val="BodyText"/>
              <w:cnfStyle w:val="000000100000" w:firstRow="0" w:lastRow="0" w:firstColumn="0" w:lastColumn="0" w:oddVBand="0" w:evenVBand="0" w:oddHBand="1" w:evenHBand="0" w:firstRowFirstColumn="0" w:firstRowLastColumn="0" w:lastRowFirstColumn="0" w:lastRowLastColumn="0"/>
              <w:rPr>
                <w:sz w:val="24"/>
                <w:szCs w:val="24"/>
              </w:rPr>
            </w:pPr>
          </w:p>
        </w:tc>
        <w:tc>
          <w:tcPr>
            <w:tcW w:w="918" w:type="pct"/>
          </w:tcPr>
          <w:p w14:paraId="5AB8D915" w14:textId="5114F710" w:rsidR="00684AC7" w:rsidRDefault="0059100C" w:rsidP="0059100C">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new bilateral education </w:t>
            </w:r>
            <w:r w:rsidR="009C2794">
              <w:rPr>
                <w:sz w:val="24"/>
                <w:szCs w:val="24"/>
              </w:rPr>
              <w:t>program (2018</w:t>
            </w:r>
            <w:r>
              <w:rPr>
                <w:sz w:val="24"/>
                <w:szCs w:val="24"/>
              </w:rPr>
              <w:t xml:space="preserve">-2022) will </w:t>
            </w:r>
            <w:r w:rsidR="00530522">
              <w:rPr>
                <w:sz w:val="24"/>
                <w:szCs w:val="24"/>
              </w:rPr>
              <w:t>take forward</w:t>
            </w:r>
            <w:r>
              <w:rPr>
                <w:sz w:val="24"/>
                <w:szCs w:val="24"/>
              </w:rPr>
              <w:t xml:space="preserve"> this</w:t>
            </w:r>
            <w:r w:rsidR="00D242A5">
              <w:rPr>
                <w:sz w:val="24"/>
                <w:szCs w:val="24"/>
              </w:rPr>
              <w:t xml:space="preserve"> approach</w:t>
            </w:r>
            <w:r>
              <w:rPr>
                <w:sz w:val="24"/>
                <w:szCs w:val="24"/>
              </w:rPr>
              <w:t>.</w:t>
            </w:r>
          </w:p>
          <w:p w14:paraId="105C7448" w14:textId="2B4FF677" w:rsidR="0059100C" w:rsidRPr="008A0512" w:rsidRDefault="00B10950" w:rsidP="0059100C">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DFAT </w:t>
            </w:r>
            <w:r w:rsidR="0059100C">
              <w:rPr>
                <w:sz w:val="24"/>
                <w:szCs w:val="24"/>
              </w:rPr>
              <w:t xml:space="preserve">acknowledges that representatives from teacher training institutions, </w:t>
            </w:r>
            <w:r w:rsidR="00F61E08">
              <w:rPr>
                <w:sz w:val="24"/>
                <w:szCs w:val="24"/>
              </w:rPr>
              <w:t>MEHA</w:t>
            </w:r>
            <w:r w:rsidR="0059100C">
              <w:rPr>
                <w:sz w:val="24"/>
                <w:szCs w:val="24"/>
              </w:rPr>
              <w:t xml:space="preserve"> Curriculum Development Unit and District Officers will need to be engaged to embed new strategies across all levels.</w:t>
            </w:r>
          </w:p>
        </w:tc>
        <w:tc>
          <w:tcPr>
            <w:tcW w:w="894" w:type="pct"/>
          </w:tcPr>
          <w:p w14:paraId="45E5A275" w14:textId="34EAA2F0" w:rsidR="00684AC7" w:rsidRPr="008A0512" w:rsidRDefault="009C2794" w:rsidP="0059100C">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2018</w:t>
            </w:r>
            <w:r w:rsidR="00684AC7">
              <w:rPr>
                <w:sz w:val="24"/>
                <w:szCs w:val="24"/>
              </w:rPr>
              <w:t>-2022 under</w:t>
            </w:r>
            <w:r w:rsidR="0059100C">
              <w:rPr>
                <w:sz w:val="24"/>
                <w:szCs w:val="24"/>
              </w:rPr>
              <w:t xml:space="preserve"> the</w:t>
            </w:r>
            <w:r w:rsidR="00684AC7">
              <w:rPr>
                <w:sz w:val="24"/>
                <w:szCs w:val="24"/>
              </w:rPr>
              <w:t xml:space="preserve"> Facility.</w:t>
            </w:r>
          </w:p>
        </w:tc>
      </w:tr>
      <w:bookmarkEnd w:id="1"/>
    </w:tbl>
    <w:p w14:paraId="04EF9FDF" w14:textId="4C78643D" w:rsidR="003D6F3F" w:rsidRDefault="003D6F3F">
      <w:pPr>
        <w:suppressAutoHyphens w:val="0"/>
        <w:spacing w:before="0" w:after="120" w:line="440" w:lineRule="atLeast"/>
        <w:rPr>
          <w:lang w:val="en-AU"/>
        </w:rPr>
      </w:pPr>
    </w:p>
    <w:p w14:paraId="41AA5E36" w14:textId="77777777" w:rsidR="0059100C" w:rsidRDefault="0059100C">
      <w:pPr>
        <w:suppressAutoHyphens w:val="0"/>
        <w:spacing w:before="0" w:after="120" w:line="440" w:lineRule="atLeast"/>
        <w:rPr>
          <w:lang w:val="en-AU"/>
        </w:rPr>
      </w:pPr>
    </w:p>
    <w:p w14:paraId="52CA6660" w14:textId="2D011CF1" w:rsidR="003D6F3F" w:rsidRDefault="003D6F3F" w:rsidP="00C10415">
      <w:pPr>
        <w:rPr>
          <w:lang w:val="en-AU"/>
        </w:rPr>
      </w:pPr>
    </w:p>
    <w:p w14:paraId="1EC00353" w14:textId="43E171B6" w:rsidR="003D6F3F" w:rsidRDefault="003D6F3F" w:rsidP="00C10415">
      <w:pPr>
        <w:rPr>
          <w:lang w:val="en-AU"/>
        </w:rPr>
      </w:pPr>
    </w:p>
    <w:tbl>
      <w:tblPr>
        <w:tblStyle w:val="DFATTable1"/>
        <w:tblpPr w:leftFromText="180" w:rightFromText="180" w:vertAnchor="page" w:horzAnchor="margin" w:tblpX="-567" w:tblpY="2027"/>
        <w:tblW w:w="5621"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2"/>
        <w:gridCol w:w="1898"/>
        <w:gridCol w:w="1931"/>
        <w:gridCol w:w="3401"/>
        <w:gridCol w:w="2593"/>
      </w:tblGrid>
      <w:tr w:rsidR="003D6F3F" w14:paraId="044C018F" w14:textId="77777777" w:rsidTr="00841E4A">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678" w:type="pct"/>
            <w:hideMark/>
          </w:tcPr>
          <w:p w14:paraId="1E67BE0E" w14:textId="77777777" w:rsidR="003D6F3F" w:rsidRDefault="003D6F3F" w:rsidP="003D6F3F">
            <w:pPr>
              <w:pStyle w:val="TableHeaderRow"/>
            </w:pPr>
            <w:r>
              <w:t>Recommendation</w:t>
            </w:r>
          </w:p>
        </w:tc>
        <w:tc>
          <w:tcPr>
            <w:tcW w:w="642" w:type="pct"/>
            <w:hideMark/>
          </w:tcPr>
          <w:p w14:paraId="0CF2CE5E" w14:textId="0872B42A" w:rsidR="003D6F3F" w:rsidRDefault="003D6F3F" w:rsidP="00841E4A">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653" w:type="pct"/>
            <w:hideMark/>
          </w:tcPr>
          <w:p w14:paraId="59E3B73A" w14:textId="77777777" w:rsidR="003D6F3F" w:rsidRDefault="003D6F3F" w:rsidP="003D6F3F">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150" w:type="pct"/>
            <w:hideMark/>
          </w:tcPr>
          <w:p w14:paraId="0FF90610" w14:textId="77777777" w:rsidR="003D6F3F" w:rsidRPr="00841E4A" w:rsidRDefault="003D6F3F" w:rsidP="003D6F3F">
            <w:pPr>
              <w:pStyle w:val="TableHeaderRow"/>
              <w:cnfStyle w:val="100000000000" w:firstRow="1" w:lastRow="0" w:firstColumn="0" w:lastColumn="0" w:oddVBand="0" w:evenVBand="0" w:oddHBand="0" w:evenHBand="0" w:firstRowFirstColumn="0" w:firstRowLastColumn="0" w:lastRowFirstColumn="0" w:lastRowLastColumn="0"/>
              <w:rPr>
                <w:b w:val="0"/>
              </w:rPr>
            </w:pPr>
            <w:r>
              <w:t xml:space="preserve">Action plan </w:t>
            </w:r>
          </w:p>
        </w:tc>
        <w:tc>
          <w:tcPr>
            <w:tcW w:w="878" w:type="pct"/>
            <w:hideMark/>
          </w:tcPr>
          <w:p w14:paraId="5F6A4D0E" w14:textId="77777777" w:rsidR="003D6F3F" w:rsidRPr="005D67B8" w:rsidRDefault="003D6F3F" w:rsidP="003D6F3F">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0C1B099A" w14:textId="165AF66F" w:rsidR="003D6F3F" w:rsidRPr="008F4A4D" w:rsidRDefault="003D6F3F" w:rsidP="003D6F3F">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3D6F3F" w14:paraId="2A21946B" w14:textId="77777777" w:rsidTr="001D6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pct"/>
            <w:hideMark/>
          </w:tcPr>
          <w:p w14:paraId="72E48FA8" w14:textId="0CE29161" w:rsidR="003D6F3F" w:rsidRPr="00FD7EA3" w:rsidRDefault="003D6F3F" w:rsidP="003D6F3F">
            <w:pPr>
              <w:pStyle w:val="Heading3"/>
              <w:outlineLvl w:val="2"/>
              <w:rPr>
                <w:b/>
                <w:sz w:val="24"/>
                <w:szCs w:val="24"/>
              </w:rPr>
            </w:pPr>
            <w:r w:rsidRPr="00FD7EA3">
              <w:rPr>
                <w:b/>
                <w:sz w:val="24"/>
                <w:szCs w:val="24"/>
              </w:rPr>
              <w:t xml:space="preserve">Recommendation </w:t>
            </w:r>
            <w:r>
              <w:rPr>
                <w:b/>
                <w:sz w:val="24"/>
                <w:szCs w:val="24"/>
              </w:rPr>
              <w:t>3</w:t>
            </w:r>
          </w:p>
          <w:p w14:paraId="45680F86" w14:textId="6B655EEF" w:rsidR="003D6F3F" w:rsidRPr="008E175F" w:rsidRDefault="00047435" w:rsidP="003D6F3F">
            <w:pPr>
              <w:pStyle w:val="BodyText"/>
              <w:rPr>
                <w:rFonts w:asciiTheme="majorHAnsi" w:eastAsiaTheme="majorEastAsia" w:hAnsiTheme="majorHAnsi" w:cstheme="majorBidi"/>
                <w:bCs/>
                <w:sz w:val="24"/>
                <w:szCs w:val="24"/>
                <w:lang w:val="en-AU"/>
              </w:rPr>
            </w:pPr>
            <w:r>
              <w:rPr>
                <w:rFonts w:asciiTheme="majorHAnsi" w:eastAsiaTheme="majorEastAsia" w:hAnsiTheme="majorHAnsi" w:cstheme="majorBidi"/>
                <w:bCs/>
                <w:sz w:val="24"/>
                <w:szCs w:val="24"/>
                <w:lang w:val="en-AU"/>
              </w:rPr>
              <w:t>DFAT should continue to support the disability inclusion strategy.</w:t>
            </w:r>
          </w:p>
        </w:tc>
        <w:tc>
          <w:tcPr>
            <w:tcW w:w="642" w:type="pct"/>
            <w:shd w:val="clear" w:color="auto" w:fill="92D050"/>
            <w:hideMark/>
          </w:tcPr>
          <w:p w14:paraId="44286C4F" w14:textId="02405442" w:rsidR="003D6F3F" w:rsidRPr="008F4A4D" w:rsidRDefault="003D6F3F" w:rsidP="003D6F3F">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653" w:type="pct"/>
          </w:tcPr>
          <w:p w14:paraId="5DCFEA5D" w14:textId="054C9259" w:rsidR="003D6F3F" w:rsidRPr="008F4A4D" w:rsidRDefault="003D6F3F" w:rsidP="003D6F3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150" w:type="pct"/>
          </w:tcPr>
          <w:p w14:paraId="75C8C7C0" w14:textId="442140C8" w:rsidR="003D6F3F" w:rsidRDefault="00841E4A" w:rsidP="00026761">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new b</w:t>
            </w:r>
            <w:r w:rsidR="009C2794">
              <w:rPr>
                <w:sz w:val="24"/>
                <w:szCs w:val="24"/>
              </w:rPr>
              <w:t>ilateral education program (2018</w:t>
            </w:r>
            <w:r>
              <w:rPr>
                <w:sz w:val="24"/>
                <w:szCs w:val="24"/>
              </w:rPr>
              <w:t xml:space="preserve">-2022) will </w:t>
            </w:r>
            <w:r w:rsidR="00530522">
              <w:rPr>
                <w:sz w:val="24"/>
                <w:szCs w:val="24"/>
              </w:rPr>
              <w:t>take forward</w:t>
            </w:r>
            <w:r>
              <w:rPr>
                <w:sz w:val="24"/>
                <w:szCs w:val="24"/>
              </w:rPr>
              <w:t xml:space="preserve"> </w:t>
            </w:r>
            <w:r w:rsidR="00D242A5">
              <w:rPr>
                <w:sz w:val="24"/>
                <w:szCs w:val="24"/>
              </w:rPr>
              <w:t>continued support to disability inclusion</w:t>
            </w:r>
            <w:r>
              <w:rPr>
                <w:sz w:val="24"/>
                <w:szCs w:val="24"/>
              </w:rPr>
              <w:t>.</w:t>
            </w:r>
          </w:p>
          <w:p w14:paraId="0C5EDF8F" w14:textId="37D099FB" w:rsidR="00841E4A" w:rsidRPr="008F4A4D" w:rsidRDefault="00841E4A" w:rsidP="00841E4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sz w:val="24"/>
                <w:szCs w:val="24"/>
              </w:rPr>
              <w:t xml:space="preserve">The transitional activities currently being implemented by the Facility are supporting the </w:t>
            </w:r>
            <w:r w:rsidR="00F61E08">
              <w:rPr>
                <w:sz w:val="24"/>
                <w:szCs w:val="24"/>
              </w:rPr>
              <w:t>MEHA</w:t>
            </w:r>
            <w:r>
              <w:rPr>
                <w:sz w:val="24"/>
                <w:szCs w:val="24"/>
              </w:rPr>
              <w:t xml:space="preserve"> with training on the FEMIS disability disaggregation tool.</w:t>
            </w:r>
          </w:p>
        </w:tc>
        <w:tc>
          <w:tcPr>
            <w:tcW w:w="878" w:type="pct"/>
          </w:tcPr>
          <w:p w14:paraId="2EB32866" w14:textId="7ACA8D6E" w:rsidR="003D6F3F" w:rsidRPr="008F4A4D" w:rsidRDefault="009C2794" w:rsidP="00841E4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2018</w:t>
            </w:r>
            <w:r w:rsidR="003D6F3F" w:rsidRPr="003D6F3F">
              <w:rPr>
                <w:rFonts w:asciiTheme="majorHAnsi" w:hAnsiTheme="majorHAnsi"/>
                <w:sz w:val="24"/>
                <w:szCs w:val="24"/>
              </w:rPr>
              <w:t>-2022 under the Facility.</w:t>
            </w:r>
          </w:p>
        </w:tc>
      </w:tr>
    </w:tbl>
    <w:p w14:paraId="3AD4314D" w14:textId="16B03D70" w:rsidR="00026761" w:rsidRDefault="00026761" w:rsidP="00C10415">
      <w:pPr>
        <w:rPr>
          <w:lang w:val="en-AU"/>
        </w:rPr>
      </w:pPr>
    </w:p>
    <w:p w14:paraId="0231B07B" w14:textId="77777777" w:rsidR="00026761" w:rsidRDefault="00026761">
      <w:pPr>
        <w:suppressAutoHyphens w:val="0"/>
        <w:spacing w:before="0" w:after="120" w:line="440" w:lineRule="atLeast"/>
        <w:rPr>
          <w:lang w:val="en-AU"/>
        </w:rPr>
      </w:pPr>
      <w:r>
        <w:rPr>
          <w:lang w:val="en-AU"/>
        </w:rPr>
        <w:br w:type="page"/>
      </w:r>
    </w:p>
    <w:p w14:paraId="67893B2E" w14:textId="143323ED" w:rsidR="003D6F3F" w:rsidRDefault="003D6F3F" w:rsidP="00C10415">
      <w:pPr>
        <w:rPr>
          <w:lang w:val="en-AU"/>
        </w:rPr>
      </w:pPr>
    </w:p>
    <w:p w14:paraId="5F12A402" w14:textId="441AC55D" w:rsidR="00026761" w:rsidRDefault="00026761" w:rsidP="00C10415">
      <w:pPr>
        <w:rPr>
          <w:lang w:val="en-AU"/>
        </w:rPr>
      </w:pPr>
    </w:p>
    <w:tbl>
      <w:tblPr>
        <w:tblStyle w:val="DFATTable1"/>
        <w:tblpPr w:leftFromText="180" w:rightFromText="180" w:vertAnchor="page" w:horzAnchor="margin" w:tblpX="-567" w:tblpY="2027"/>
        <w:tblW w:w="5695"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5334"/>
        <w:gridCol w:w="2044"/>
        <w:gridCol w:w="2263"/>
        <w:gridCol w:w="2694"/>
        <w:gridCol w:w="542"/>
        <w:gridCol w:w="2103"/>
      </w:tblGrid>
      <w:tr w:rsidR="001D6906" w14:paraId="4C3338FE" w14:textId="77777777" w:rsidTr="00841E4A">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780" w:type="pct"/>
            <w:hideMark/>
          </w:tcPr>
          <w:p w14:paraId="367D6942" w14:textId="77777777" w:rsidR="00D379DF" w:rsidRDefault="00D379DF" w:rsidP="00192EA7">
            <w:pPr>
              <w:pStyle w:val="TableHeaderRow"/>
            </w:pPr>
            <w:r>
              <w:t>Recommendation</w:t>
            </w:r>
          </w:p>
        </w:tc>
        <w:tc>
          <w:tcPr>
            <w:tcW w:w="682" w:type="pct"/>
            <w:hideMark/>
          </w:tcPr>
          <w:p w14:paraId="043BCA65" w14:textId="08008017" w:rsidR="00D379DF" w:rsidRDefault="00D379DF" w:rsidP="00841E4A">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755" w:type="pct"/>
            <w:hideMark/>
          </w:tcPr>
          <w:p w14:paraId="04D027C3" w14:textId="77777777" w:rsidR="00D379DF" w:rsidRDefault="00D379DF"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899" w:type="pct"/>
            <w:hideMark/>
          </w:tcPr>
          <w:p w14:paraId="4092179E" w14:textId="77777777" w:rsidR="00D379DF" w:rsidRDefault="00D379DF"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83" w:type="pct"/>
            <w:gridSpan w:val="2"/>
            <w:hideMark/>
          </w:tcPr>
          <w:p w14:paraId="3FA0CF95" w14:textId="77777777" w:rsidR="00D379DF" w:rsidRPr="005D67B8" w:rsidRDefault="00D379DF" w:rsidP="00192EA7">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17485009" w14:textId="785B0B31" w:rsidR="00D379DF" w:rsidRPr="008F4A4D" w:rsidRDefault="00D379DF" w:rsidP="00192EA7">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1D6906" w14:paraId="63E27249" w14:textId="77777777" w:rsidTr="0015397D">
        <w:trPr>
          <w:cnfStyle w:val="000000100000" w:firstRow="0" w:lastRow="0" w:firstColumn="0" w:lastColumn="0" w:oddVBand="0" w:evenVBand="0" w:oddHBand="1" w:evenHBand="0" w:firstRowFirstColumn="0" w:firstRowLastColumn="0" w:lastRowFirstColumn="0" w:lastRowLastColumn="0"/>
          <w:trHeight w:val="4200"/>
        </w:trPr>
        <w:tc>
          <w:tcPr>
            <w:cnfStyle w:val="001000000000" w:firstRow="0" w:lastRow="0" w:firstColumn="1" w:lastColumn="0" w:oddVBand="0" w:evenVBand="0" w:oddHBand="0" w:evenHBand="0" w:firstRowFirstColumn="0" w:firstRowLastColumn="0" w:lastRowFirstColumn="0" w:lastRowLastColumn="0"/>
            <w:tcW w:w="1780" w:type="pct"/>
            <w:hideMark/>
          </w:tcPr>
          <w:p w14:paraId="641E4C4D" w14:textId="77777777" w:rsidR="00D379DF" w:rsidRPr="00FD7EA3" w:rsidRDefault="00D379DF" w:rsidP="00192EA7">
            <w:pPr>
              <w:pStyle w:val="Heading3"/>
              <w:outlineLvl w:val="2"/>
              <w:rPr>
                <w:b/>
                <w:sz w:val="24"/>
                <w:szCs w:val="24"/>
              </w:rPr>
            </w:pPr>
            <w:r w:rsidRPr="00FD7EA3">
              <w:rPr>
                <w:b/>
                <w:sz w:val="24"/>
                <w:szCs w:val="24"/>
              </w:rPr>
              <w:t xml:space="preserve">Recommendation </w:t>
            </w:r>
            <w:r>
              <w:rPr>
                <w:b/>
                <w:sz w:val="24"/>
                <w:szCs w:val="24"/>
              </w:rPr>
              <w:t>4</w:t>
            </w:r>
          </w:p>
          <w:p w14:paraId="7962129E" w14:textId="69C8827B" w:rsidR="00D379DF" w:rsidRPr="008E175F" w:rsidRDefault="00530522" w:rsidP="00192EA7">
            <w:pPr>
              <w:pStyle w:val="BodyText"/>
              <w:rPr>
                <w:rFonts w:asciiTheme="majorHAnsi" w:eastAsiaTheme="majorEastAsia" w:hAnsiTheme="majorHAnsi" w:cstheme="majorBidi"/>
                <w:bCs/>
                <w:sz w:val="24"/>
                <w:szCs w:val="24"/>
                <w:lang w:val="en-AU"/>
              </w:rPr>
            </w:pPr>
            <w:r>
              <w:rPr>
                <w:rFonts w:asciiTheme="majorHAnsi" w:eastAsiaTheme="majorEastAsia" w:hAnsiTheme="majorHAnsi" w:cstheme="majorBidi"/>
                <w:bCs/>
                <w:sz w:val="24"/>
                <w:szCs w:val="24"/>
                <w:lang w:val="en-AU"/>
              </w:rPr>
              <w:t>School</w:t>
            </w:r>
            <w:r w:rsidR="00841E4A">
              <w:rPr>
                <w:rFonts w:asciiTheme="majorHAnsi" w:eastAsiaTheme="majorEastAsia" w:hAnsiTheme="majorHAnsi" w:cstheme="majorBidi"/>
                <w:bCs/>
                <w:sz w:val="24"/>
                <w:szCs w:val="24"/>
                <w:lang w:val="en-AU"/>
              </w:rPr>
              <w:t xml:space="preserve"> leadership and management qualities make a big difference on quality and access interventions and need to be supported more explicitly.</w:t>
            </w:r>
          </w:p>
        </w:tc>
        <w:tc>
          <w:tcPr>
            <w:tcW w:w="682" w:type="pct"/>
            <w:shd w:val="clear" w:color="auto" w:fill="92D050"/>
            <w:hideMark/>
          </w:tcPr>
          <w:p w14:paraId="42711FC6" w14:textId="77777777" w:rsidR="00D379DF" w:rsidRPr="008F4A4D" w:rsidRDefault="00D379DF" w:rsidP="00192EA7">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755" w:type="pct"/>
          </w:tcPr>
          <w:p w14:paraId="08DCC9D2" w14:textId="77777777" w:rsidR="00D379DF" w:rsidRPr="008F4A4D" w:rsidRDefault="00D379DF"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080" w:type="pct"/>
            <w:gridSpan w:val="2"/>
          </w:tcPr>
          <w:p w14:paraId="6E6F6849" w14:textId="282273A1" w:rsidR="00841E4A" w:rsidRDefault="00841E4A" w:rsidP="00841E4A">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new b</w:t>
            </w:r>
            <w:r w:rsidR="009C2794">
              <w:rPr>
                <w:sz w:val="24"/>
                <w:szCs w:val="24"/>
              </w:rPr>
              <w:t>ilateral education program (2018</w:t>
            </w:r>
            <w:r>
              <w:rPr>
                <w:sz w:val="24"/>
                <w:szCs w:val="24"/>
              </w:rPr>
              <w:t xml:space="preserve">-2022) will consider </w:t>
            </w:r>
            <w:r w:rsidR="00D242A5">
              <w:rPr>
                <w:sz w:val="24"/>
                <w:szCs w:val="24"/>
              </w:rPr>
              <w:t>explicit support to Head Teacher leadership and management</w:t>
            </w:r>
            <w:r>
              <w:rPr>
                <w:sz w:val="24"/>
                <w:szCs w:val="24"/>
              </w:rPr>
              <w:t>.</w:t>
            </w:r>
          </w:p>
          <w:p w14:paraId="087870D0" w14:textId="16E70143" w:rsidR="00841E4A" w:rsidRDefault="0015397D" w:rsidP="00841E4A">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This is likely to be covered under the systems strengthening support to </w:t>
            </w:r>
            <w:r w:rsidR="00F61E08">
              <w:rPr>
                <w:sz w:val="24"/>
                <w:szCs w:val="24"/>
              </w:rPr>
              <w:t>MEHA</w:t>
            </w:r>
            <w:r>
              <w:rPr>
                <w:sz w:val="24"/>
                <w:szCs w:val="24"/>
              </w:rPr>
              <w:t xml:space="preserve"> to implement civil service reforms </w:t>
            </w:r>
            <w:r w:rsidR="00D242A5">
              <w:rPr>
                <w:sz w:val="24"/>
                <w:szCs w:val="24"/>
              </w:rPr>
              <w:t xml:space="preserve">on </w:t>
            </w:r>
            <w:r>
              <w:rPr>
                <w:sz w:val="24"/>
                <w:szCs w:val="24"/>
              </w:rPr>
              <w:t>open merit recruitment and H</w:t>
            </w:r>
            <w:r w:rsidR="00D242A5">
              <w:rPr>
                <w:sz w:val="24"/>
                <w:szCs w:val="24"/>
              </w:rPr>
              <w:t xml:space="preserve">uman </w:t>
            </w:r>
            <w:r>
              <w:rPr>
                <w:sz w:val="24"/>
                <w:szCs w:val="24"/>
              </w:rPr>
              <w:t>R</w:t>
            </w:r>
            <w:r w:rsidR="00D242A5">
              <w:rPr>
                <w:sz w:val="24"/>
                <w:szCs w:val="24"/>
              </w:rPr>
              <w:t>esource</w:t>
            </w:r>
            <w:r>
              <w:rPr>
                <w:sz w:val="24"/>
                <w:szCs w:val="24"/>
              </w:rPr>
              <w:t xml:space="preserve"> management</w:t>
            </w:r>
            <w:r w:rsidR="00D242A5">
              <w:rPr>
                <w:sz w:val="24"/>
                <w:szCs w:val="24"/>
              </w:rPr>
              <w:t>,</w:t>
            </w:r>
            <w:r>
              <w:rPr>
                <w:sz w:val="24"/>
                <w:szCs w:val="24"/>
              </w:rPr>
              <w:t xml:space="preserve"> which should have a positive impact on leadership and management quality across </w:t>
            </w:r>
            <w:r w:rsidR="00D242A5">
              <w:rPr>
                <w:sz w:val="24"/>
                <w:szCs w:val="24"/>
              </w:rPr>
              <w:t>the Ministry</w:t>
            </w:r>
            <w:r>
              <w:rPr>
                <w:sz w:val="24"/>
                <w:szCs w:val="24"/>
              </w:rPr>
              <w:t>.</w:t>
            </w:r>
          </w:p>
          <w:p w14:paraId="19373D6E" w14:textId="7FCE0388" w:rsidR="00D379DF" w:rsidRPr="008F4A4D" w:rsidRDefault="00D379DF" w:rsidP="00897ED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701" w:type="pct"/>
          </w:tcPr>
          <w:p w14:paraId="773C6B04" w14:textId="52C78E8B" w:rsidR="00D379DF" w:rsidRPr="008F4A4D" w:rsidRDefault="009C2794"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2018</w:t>
            </w:r>
            <w:r w:rsidR="00841E4A">
              <w:rPr>
                <w:rFonts w:asciiTheme="majorHAnsi" w:hAnsiTheme="majorHAnsi"/>
                <w:sz w:val="24"/>
                <w:szCs w:val="24"/>
              </w:rPr>
              <w:t>-2022 under the Facility.</w:t>
            </w:r>
          </w:p>
        </w:tc>
      </w:tr>
    </w:tbl>
    <w:p w14:paraId="52126AA8" w14:textId="5C82651D" w:rsidR="00D379DF" w:rsidRDefault="00D379DF" w:rsidP="00C10415">
      <w:pPr>
        <w:rPr>
          <w:lang w:val="en-AU"/>
        </w:rPr>
      </w:pPr>
    </w:p>
    <w:p w14:paraId="116DDECF" w14:textId="5CA4CAB1" w:rsidR="00D379DF" w:rsidRDefault="00D379DF">
      <w:pPr>
        <w:suppressAutoHyphens w:val="0"/>
        <w:spacing w:before="0" w:after="120" w:line="440" w:lineRule="atLeast"/>
        <w:rPr>
          <w:lang w:val="en-AU"/>
        </w:rPr>
      </w:pPr>
    </w:p>
    <w:p w14:paraId="256F4785" w14:textId="77777777" w:rsidR="00D379DF" w:rsidRDefault="00D379DF" w:rsidP="00C10415">
      <w:pPr>
        <w:rPr>
          <w:lang w:val="en-AU"/>
        </w:rPr>
      </w:pPr>
    </w:p>
    <w:tbl>
      <w:tblPr>
        <w:tblStyle w:val="DFATTable1"/>
        <w:tblpPr w:leftFromText="180" w:rightFromText="180" w:vertAnchor="page" w:horzAnchor="margin" w:tblpX="-567" w:tblpY="2027"/>
        <w:tblW w:w="5623"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5"/>
        <w:gridCol w:w="1899"/>
        <w:gridCol w:w="2068"/>
        <w:gridCol w:w="322"/>
        <w:gridCol w:w="3079"/>
        <w:gridCol w:w="2458"/>
      </w:tblGrid>
      <w:tr w:rsidR="00026761" w14:paraId="18D29617" w14:textId="77777777" w:rsidTr="00897ED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678" w:type="pct"/>
            <w:hideMark/>
          </w:tcPr>
          <w:p w14:paraId="42CB6A2D" w14:textId="77777777" w:rsidR="00026761" w:rsidRDefault="00026761" w:rsidP="00192EA7">
            <w:pPr>
              <w:pStyle w:val="TableHeaderRow"/>
            </w:pPr>
            <w:r>
              <w:t>Recommendation</w:t>
            </w:r>
          </w:p>
        </w:tc>
        <w:tc>
          <w:tcPr>
            <w:tcW w:w="642" w:type="pct"/>
            <w:hideMark/>
          </w:tcPr>
          <w:p w14:paraId="10B521AF" w14:textId="77777777" w:rsidR="00026761" w:rsidRDefault="00026761"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808" w:type="pct"/>
            <w:gridSpan w:val="2"/>
            <w:hideMark/>
          </w:tcPr>
          <w:p w14:paraId="0FD9E82E" w14:textId="77777777" w:rsidR="00026761" w:rsidRDefault="00026761"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040" w:type="pct"/>
            <w:hideMark/>
          </w:tcPr>
          <w:p w14:paraId="35ACE9A1" w14:textId="77777777" w:rsidR="00026761" w:rsidRDefault="00026761"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31" w:type="pct"/>
            <w:hideMark/>
          </w:tcPr>
          <w:p w14:paraId="458B92D0" w14:textId="77777777" w:rsidR="00026761" w:rsidRPr="005D67B8" w:rsidRDefault="00026761" w:rsidP="00192EA7">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168C20CA" w14:textId="77777777" w:rsidR="00026761" w:rsidRPr="008F4A4D" w:rsidRDefault="00026761" w:rsidP="00192EA7">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026761" w14:paraId="311E9D4D" w14:textId="77777777" w:rsidTr="00897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pct"/>
            <w:hideMark/>
          </w:tcPr>
          <w:p w14:paraId="61D4A661" w14:textId="49BF9C7B" w:rsidR="00026761" w:rsidRPr="00FD7EA3" w:rsidRDefault="00026761" w:rsidP="00192EA7">
            <w:pPr>
              <w:pStyle w:val="Heading3"/>
              <w:outlineLvl w:val="2"/>
              <w:rPr>
                <w:b/>
                <w:sz w:val="24"/>
                <w:szCs w:val="24"/>
              </w:rPr>
            </w:pPr>
            <w:r w:rsidRPr="00FD7EA3">
              <w:rPr>
                <w:b/>
                <w:sz w:val="24"/>
                <w:szCs w:val="24"/>
              </w:rPr>
              <w:t xml:space="preserve">Recommendation </w:t>
            </w:r>
            <w:r w:rsidR="00934230">
              <w:rPr>
                <w:b/>
                <w:sz w:val="24"/>
                <w:szCs w:val="24"/>
              </w:rPr>
              <w:t>5</w:t>
            </w:r>
          </w:p>
          <w:p w14:paraId="35FFAFA8" w14:textId="441BEE12" w:rsidR="00026761" w:rsidRPr="008E175F" w:rsidRDefault="00E71EA7" w:rsidP="00337112">
            <w:pPr>
              <w:pStyle w:val="BodyText"/>
              <w:rPr>
                <w:rFonts w:asciiTheme="majorHAnsi" w:eastAsiaTheme="majorEastAsia" w:hAnsiTheme="majorHAnsi" w:cstheme="majorBidi"/>
                <w:bCs/>
                <w:sz w:val="24"/>
                <w:szCs w:val="24"/>
                <w:lang w:val="en-AU"/>
              </w:rPr>
            </w:pPr>
            <w:r>
              <w:rPr>
                <w:rFonts w:asciiTheme="majorHAnsi" w:hAnsiTheme="majorHAnsi"/>
                <w:sz w:val="24"/>
                <w:szCs w:val="24"/>
                <w:lang w:val="en-AU"/>
              </w:rPr>
              <w:t xml:space="preserve">AQEP’s infrastructure initiatives including the </w:t>
            </w:r>
            <w:r w:rsidR="00F61E08">
              <w:rPr>
                <w:rFonts w:asciiTheme="majorHAnsi" w:hAnsiTheme="majorHAnsi"/>
                <w:sz w:val="24"/>
                <w:szCs w:val="24"/>
                <w:lang w:val="en-AU"/>
              </w:rPr>
              <w:t>MEHA</w:t>
            </w:r>
            <w:r>
              <w:rPr>
                <w:rFonts w:asciiTheme="majorHAnsi" w:hAnsiTheme="majorHAnsi"/>
                <w:sz w:val="24"/>
                <w:szCs w:val="24"/>
                <w:lang w:val="en-AU"/>
              </w:rPr>
              <w:t xml:space="preserve"> minimum infrastructure standards need to be revised and integrated into the </w:t>
            </w:r>
            <w:r w:rsidR="00D242A5">
              <w:rPr>
                <w:rFonts w:asciiTheme="majorHAnsi" w:hAnsiTheme="majorHAnsi"/>
                <w:sz w:val="24"/>
                <w:szCs w:val="24"/>
                <w:lang w:val="en-AU"/>
              </w:rPr>
              <w:t xml:space="preserve">Ministry’s </w:t>
            </w:r>
            <w:r>
              <w:rPr>
                <w:rFonts w:asciiTheme="majorHAnsi" w:hAnsiTheme="majorHAnsi"/>
                <w:sz w:val="24"/>
                <w:szCs w:val="24"/>
                <w:lang w:val="en-AU"/>
              </w:rPr>
              <w:t>legal and policy framework.</w:t>
            </w:r>
            <w:r w:rsidR="00897EDE" w:rsidRPr="00897EDE">
              <w:rPr>
                <w:rFonts w:asciiTheme="majorHAnsi" w:hAnsiTheme="majorHAnsi"/>
                <w:sz w:val="24"/>
                <w:szCs w:val="24"/>
                <w:lang w:val="en-AU"/>
              </w:rPr>
              <w:t xml:space="preserve">  </w:t>
            </w:r>
          </w:p>
        </w:tc>
        <w:tc>
          <w:tcPr>
            <w:tcW w:w="642" w:type="pct"/>
            <w:shd w:val="clear" w:color="auto" w:fill="92D050"/>
            <w:hideMark/>
          </w:tcPr>
          <w:p w14:paraId="2D028065" w14:textId="77777777" w:rsidR="00026761" w:rsidRPr="008F4A4D" w:rsidRDefault="00026761" w:rsidP="00192EA7">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699" w:type="pct"/>
          </w:tcPr>
          <w:p w14:paraId="54047DA7" w14:textId="1110264E" w:rsidR="00026761" w:rsidRPr="008F4A4D" w:rsidRDefault="00026761"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150" w:type="pct"/>
            <w:gridSpan w:val="2"/>
          </w:tcPr>
          <w:p w14:paraId="30BA32F7" w14:textId="06045422" w:rsidR="00433974" w:rsidRPr="00B62DEB" w:rsidRDefault="00433974" w:rsidP="00433974">
            <w:pPr>
              <w:pStyle w:val="BodyText"/>
              <w:cnfStyle w:val="000000100000" w:firstRow="0" w:lastRow="0" w:firstColumn="0" w:lastColumn="0" w:oddVBand="0" w:evenVBand="0" w:oddHBand="1" w:evenHBand="0" w:firstRowFirstColumn="0" w:firstRowLastColumn="0" w:lastRowFirstColumn="0" w:lastRowLastColumn="0"/>
              <w:rPr>
                <w:b/>
                <w:sz w:val="24"/>
                <w:szCs w:val="24"/>
              </w:rPr>
            </w:pPr>
            <w:r>
              <w:rPr>
                <w:sz w:val="24"/>
                <w:szCs w:val="24"/>
              </w:rPr>
              <w:t>The new b</w:t>
            </w:r>
            <w:r w:rsidR="009C2794">
              <w:rPr>
                <w:sz w:val="24"/>
                <w:szCs w:val="24"/>
              </w:rPr>
              <w:t>ilateral education program (2018</w:t>
            </w:r>
            <w:r>
              <w:rPr>
                <w:sz w:val="24"/>
                <w:szCs w:val="24"/>
              </w:rPr>
              <w:t xml:space="preserve">-2022) will consider </w:t>
            </w:r>
            <w:r w:rsidR="00D242A5">
              <w:rPr>
                <w:sz w:val="24"/>
                <w:szCs w:val="24"/>
              </w:rPr>
              <w:t xml:space="preserve">support to </w:t>
            </w:r>
            <w:r w:rsidR="00F61E08">
              <w:rPr>
                <w:sz w:val="24"/>
                <w:szCs w:val="24"/>
              </w:rPr>
              <w:t>MEHA</w:t>
            </w:r>
            <w:r w:rsidR="00D242A5">
              <w:rPr>
                <w:sz w:val="24"/>
                <w:szCs w:val="24"/>
              </w:rPr>
              <w:t xml:space="preserve"> infrastructure standards</w:t>
            </w:r>
            <w:r>
              <w:rPr>
                <w:sz w:val="24"/>
                <w:szCs w:val="24"/>
              </w:rPr>
              <w:t>.</w:t>
            </w:r>
          </w:p>
          <w:p w14:paraId="0EDB3B67" w14:textId="0379D488" w:rsidR="00433974" w:rsidRDefault="00433974" w:rsidP="00433974">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DFAT is considering support to the </w:t>
            </w:r>
            <w:r w:rsidR="00F61E08">
              <w:rPr>
                <w:sz w:val="24"/>
                <w:szCs w:val="24"/>
              </w:rPr>
              <w:t>MEHA</w:t>
            </w:r>
            <w:r w:rsidR="00B10950">
              <w:rPr>
                <w:sz w:val="24"/>
                <w:szCs w:val="24"/>
              </w:rPr>
              <w:t xml:space="preserve"> Assets Monitoring Unit</w:t>
            </w:r>
            <w:r>
              <w:rPr>
                <w:sz w:val="24"/>
                <w:szCs w:val="24"/>
              </w:rPr>
              <w:t xml:space="preserve"> to strengthen technical capacity.</w:t>
            </w:r>
          </w:p>
          <w:p w14:paraId="4B555D23" w14:textId="72AE335D" w:rsidR="00897EDE" w:rsidRPr="008F4A4D" w:rsidRDefault="00897EDE" w:rsidP="00897ED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831" w:type="pct"/>
          </w:tcPr>
          <w:p w14:paraId="23D72E34" w14:textId="2DEDA3D8" w:rsidR="00026761" w:rsidRDefault="009C2794"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2018</w:t>
            </w:r>
            <w:r w:rsidR="00E71EA7">
              <w:rPr>
                <w:rFonts w:asciiTheme="majorHAnsi" w:hAnsiTheme="majorHAnsi"/>
                <w:sz w:val="24"/>
                <w:szCs w:val="24"/>
              </w:rPr>
              <w:t>-2022 under the Facility.</w:t>
            </w:r>
          </w:p>
          <w:p w14:paraId="760C69C3" w14:textId="77777777" w:rsidR="00433974" w:rsidRDefault="00433974"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6619042A" w14:textId="77777777" w:rsidR="00B10950" w:rsidRDefault="00B10950"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24E2F004" w14:textId="51347FD6" w:rsidR="00433974" w:rsidRPr="008F4A4D" w:rsidRDefault="00433974"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November 2017 – June 2018.</w:t>
            </w:r>
          </w:p>
        </w:tc>
      </w:tr>
    </w:tbl>
    <w:p w14:paraId="1122C21B" w14:textId="5785A373" w:rsidR="00934230" w:rsidRDefault="00934230" w:rsidP="00C10415">
      <w:pPr>
        <w:rPr>
          <w:lang w:val="en-AU"/>
        </w:rPr>
      </w:pPr>
    </w:p>
    <w:p w14:paraId="3CDC686A" w14:textId="77777777" w:rsidR="00934230" w:rsidRDefault="00934230">
      <w:pPr>
        <w:suppressAutoHyphens w:val="0"/>
        <w:spacing w:before="0" w:after="120" w:line="440" w:lineRule="atLeast"/>
        <w:rPr>
          <w:lang w:val="en-AU"/>
        </w:rPr>
      </w:pPr>
      <w:r>
        <w:rPr>
          <w:lang w:val="en-AU"/>
        </w:rPr>
        <w:br w:type="page"/>
      </w:r>
    </w:p>
    <w:p w14:paraId="5A645E61" w14:textId="0DDEFF1E" w:rsidR="00026761" w:rsidRDefault="00026761" w:rsidP="00C10415">
      <w:pPr>
        <w:rPr>
          <w:lang w:val="en-AU"/>
        </w:rPr>
      </w:pPr>
    </w:p>
    <w:p w14:paraId="3EEDE46F" w14:textId="1F2524B0" w:rsidR="00934230" w:rsidRDefault="00934230" w:rsidP="00C10415">
      <w:pPr>
        <w:rPr>
          <w:lang w:val="en-AU"/>
        </w:rPr>
      </w:pPr>
    </w:p>
    <w:tbl>
      <w:tblPr>
        <w:tblStyle w:val="DFATTable1"/>
        <w:tblpPr w:leftFromText="180" w:rightFromText="180" w:vertAnchor="page" w:horzAnchor="margin" w:tblpX="-567" w:tblpY="2027"/>
        <w:tblW w:w="5516"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1"/>
        <w:gridCol w:w="1901"/>
        <w:gridCol w:w="1361"/>
        <w:gridCol w:w="331"/>
        <w:gridCol w:w="3497"/>
        <w:gridCol w:w="2458"/>
      </w:tblGrid>
      <w:tr w:rsidR="00934230" w14:paraId="63704695" w14:textId="77777777" w:rsidTr="000F300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10" w:type="pct"/>
            <w:hideMark/>
          </w:tcPr>
          <w:p w14:paraId="49AA4ED2" w14:textId="77777777" w:rsidR="00934230" w:rsidRDefault="00934230" w:rsidP="00192EA7">
            <w:pPr>
              <w:pStyle w:val="TableHeaderRow"/>
            </w:pPr>
            <w:r>
              <w:t>Recommendation</w:t>
            </w:r>
          </w:p>
        </w:tc>
        <w:tc>
          <w:tcPr>
            <w:tcW w:w="655" w:type="pct"/>
            <w:hideMark/>
          </w:tcPr>
          <w:p w14:paraId="259E9A7E" w14:textId="77777777" w:rsidR="00934230" w:rsidRDefault="00934230"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583" w:type="pct"/>
            <w:gridSpan w:val="2"/>
            <w:hideMark/>
          </w:tcPr>
          <w:p w14:paraId="5099A332" w14:textId="77777777" w:rsidR="00934230" w:rsidRDefault="00934230"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205" w:type="pct"/>
            <w:hideMark/>
          </w:tcPr>
          <w:p w14:paraId="3116A3AF" w14:textId="77777777" w:rsidR="00934230" w:rsidRDefault="00934230"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48" w:type="pct"/>
            <w:hideMark/>
          </w:tcPr>
          <w:p w14:paraId="4C924757" w14:textId="77777777" w:rsidR="00934230" w:rsidRPr="005D67B8" w:rsidRDefault="00934230" w:rsidP="00192EA7">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22C7BB7C" w14:textId="77777777" w:rsidR="00934230" w:rsidRPr="008F4A4D" w:rsidRDefault="00934230" w:rsidP="00192EA7">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934230" w14:paraId="3D4676D3" w14:textId="77777777" w:rsidTr="000F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pct"/>
            <w:hideMark/>
          </w:tcPr>
          <w:p w14:paraId="6550A75B" w14:textId="18E53034" w:rsidR="00934230" w:rsidRPr="00FD7EA3" w:rsidRDefault="00934230" w:rsidP="00192EA7">
            <w:pPr>
              <w:pStyle w:val="Heading3"/>
              <w:outlineLvl w:val="2"/>
              <w:rPr>
                <w:b/>
                <w:sz w:val="24"/>
                <w:szCs w:val="24"/>
              </w:rPr>
            </w:pPr>
            <w:r w:rsidRPr="00FD7EA3">
              <w:rPr>
                <w:b/>
                <w:sz w:val="24"/>
                <w:szCs w:val="24"/>
              </w:rPr>
              <w:t xml:space="preserve">Recommendation </w:t>
            </w:r>
            <w:r>
              <w:rPr>
                <w:b/>
                <w:sz w:val="24"/>
                <w:szCs w:val="24"/>
              </w:rPr>
              <w:t>6</w:t>
            </w:r>
          </w:p>
          <w:p w14:paraId="151BF9FA" w14:textId="2796D512" w:rsidR="00934230" w:rsidRPr="008E175F" w:rsidRDefault="0062071E" w:rsidP="0062071E">
            <w:pPr>
              <w:pStyle w:val="BodyText"/>
              <w:rPr>
                <w:rFonts w:asciiTheme="majorHAnsi" w:eastAsiaTheme="majorEastAsia" w:hAnsiTheme="majorHAnsi" w:cstheme="majorBidi"/>
                <w:bCs/>
                <w:sz w:val="24"/>
                <w:szCs w:val="24"/>
                <w:lang w:val="en-AU"/>
              </w:rPr>
            </w:pPr>
            <w:r>
              <w:rPr>
                <w:rFonts w:asciiTheme="majorHAnsi" w:hAnsiTheme="majorHAnsi"/>
                <w:sz w:val="24"/>
                <w:szCs w:val="24"/>
                <w:lang w:val="en-AU"/>
              </w:rPr>
              <w:t>A baseline audit to assist the Assets Monitoring Unit should be supported</w:t>
            </w:r>
            <w:r w:rsidR="009C2794">
              <w:rPr>
                <w:rFonts w:asciiTheme="majorHAnsi" w:hAnsiTheme="majorHAnsi"/>
                <w:sz w:val="24"/>
                <w:szCs w:val="24"/>
                <w:lang w:val="en-AU"/>
              </w:rPr>
              <w:t>.</w:t>
            </w:r>
          </w:p>
        </w:tc>
        <w:tc>
          <w:tcPr>
            <w:tcW w:w="655" w:type="pct"/>
            <w:shd w:val="clear" w:color="auto" w:fill="92D050"/>
            <w:hideMark/>
          </w:tcPr>
          <w:p w14:paraId="6D51A643" w14:textId="77777777" w:rsidR="00934230" w:rsidRPr="008F4A4D" w:rsidRDefault="00934230" w:rsidP="00192EA7">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469" w:type="pct"/>
          </w:tcPr>
          <w:p w14:paraId="70644C40" w14:textId="77777777" w:rsidR="00934230" w:rsidRPr="008F4A4D" w:rsidRDefault="00934230"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318" w:type="pct"/>
            <w:gridSpan w:val="2"/>
          </w:tcPr>
          <w:p w14:paraId="1F3468CA" w14:textId="499519CA" w:rsidR="0062071E" w:rsidRDefault="0062071E" w:rsidP="0062071E">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new bilateral education program </w:t>
            </w:r>
            <w:r w:rsidR="009C2794">
              <w:rPr>
                <w:sz w:val="24"/>
                <w:szCs w:val="24"/>
              </w:rPr>
              <w:t>(2018</w:t>
            </w:r>
            <w:r>
              <w:rPr>
                <w:sz w:val="24"/>
                <w:szCs w:val="24"/>
              </w:rPr>
              <w:t xml:space="preserve">-2022) will consider </w:t>
            </w:r>
            <w:r w:rsidR="00B10950">
              <w:rPr>
                <w:sz w:val="24"/>
                <w:szCs w:val="24"/>
              </w:rPr>
              <w:t>support to the Assets Monitoring Unit</w:t>
            </w:r>
            <w:r>
              <w:rPr>
                <w:sz w:val="24"/>
                <w:szCs w:val="24"/>
              </w:rPr>
              <w:t>.</w:t>
            </w:r>
          </w:p>
          <w:p w14:paraId="2EB453CF" w14:textId="2285375D" w:rsidR="004C052C" w:rsidRDefault="004C052C" w:rsidP="004C052C">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DFAT is considering support to the </w:t>
            </w:r>
            <w:r w:rsidR="00F61E08">
              <w:rPr>
                <w:sz w:val="24"/>
                <w:szCs w:val="24"/>
              </w:rPr>
              <w:t>MEHA</w:t>
            </w:r>
            <w:r>
              <w:rPr>
                <w:sz w:val="24"/>
                <w:szCs w:val="24"/>
              </w:rPr>
              <w:t>’s Assets Monitoring Unit to strengthen technical capacity.</w:t>
            </w:r>
          </w:p>
          <w:p w14:paraId="52CE3374" w14:textId="6B2E3A9E" w:rsidR="000F300E" w:rsidRPr="008F4A4D" w:rsidRDefault="000F300E" w:rsidP="0062071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848" w:type="pct"/>
          </w:tcPr>
          <w:p w14:paraId="02B7D4B3" w14:textId="29CCF556" w:rsidR="0062071E" w:rsidRDefault="009C2794" w:rsidP="0062071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2018</w:t>
            </w:r>
            <w:r w:rsidR="0062071E">
              <w:rPr>
                <w:rFonts w:asciiTheme="majorHAnsi" w:hAnsiTheme="majorHAnsi"/>
                <w:sz w:val="24"/>
                <w:szCs w:val="24"/>
              </w:rPr>
              <w:t>-2022 under the Facility.</w:t>
            </w:r>
          </w:p>
          <w:p w14:paraId="61678E9F" w14:textId="77777777" w:rsidR="0062071E" w:rsidRDefault="0062071E" w:rsidP="0062071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3C2F746F" w14:textId="77777777" w:rsidR="004C052C" w:rsidRDefault="004C052C" w:rsidP="0062071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4B98BAE3" w14:textId="68D48642" w:rsidR="00934230" w:rsidRPr="008F4A4D" w:rsidRDefault="0062071E" w:rsidP="0062071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November 2017 – June 2018.</w:t>
            </w:r>
          </w:p>
        </w:tc>
      </w:tr>
    </w:tbl>
    <w:p w14:paraId="6EFD3114" w14:textId="47749607" w:rsidR="00934230" w:rsidRDefault="00934230" w:rsidP="00C10415">
      <w:pPr>
        <w:rPr>
          <w:lang w:val="en-AU"/>
        </w:rPr>
      </w:pPr>
    </w:p>
    <w:p w14:paraId="5EAC63A2" w14:textId="77777777" w:rsidR="00934230" w:rsidRDefault="00934230">
      <w:pPr>
        <w:suppressAutoHyphens w:val="0"/>
        <w:spacing w:before="0" w:after="120" w:line="440" w:lineRule="atLeast"/>
        <w:rPr>
          <w:lang w:val="en-AU"/>
        </w:rPr>
      </w:pPr>
      <w:r>
        <w:rPr>
          <w:lang w:val="en-AU"/>
        </w:rPr>
        <w:br w:type="page"/>
      </w:r>
    </w:p>
    <w:p w14:paraId="78FAC56B" w14:textId="51094ECB" w:rsidR="00934230" w:rsidRDefault="00934230" w:rsidP="00C10415">
      <w:pPr>
        <w:rPr>
          <w:lang w:val="en-AU"/>
        </w:rPr>
      </w:pPr>
    </w:p>
    <w:p w14:paraId="6D20B116" w14:textId="69E48629" w:rsidR="00934230" w:rsidRDefault="00934230" w:rsidP="00C10415">
      <w:pPr>
        <w:rPr>
          <w:lang w:val="en-AU"/>
        </w:rPr>
      </w:pPr>
    </w:p>
    <w:tbl>
      <w:tblPr>
        <w:tblStyle w:val="DFATTable1"/>
        <w:tblpPr w:leftFromText="180" w:rightFromText="180" w:vertAnchor="page" w:horzAnchor="margin" w:tblpX="-567" w:tblpY="2027"/>
        <w:tblW w:w="5216"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1"/>
        <w:gridCol w:w="1899"/>
        <w:gridCol w:w="2212"/>
        <w:gridCol w:w="327"/>
        <w:gridCol w:w="1860"/>
        <w:gridCol w:w="222"/>
        <w:gridCol w:w="2239"/>
      </w:tblGrid>
      <w:tr w:rsidR="00015A47" w14:paraId="155A2D54" w14:textId="77777777" w:rsidTr="0069036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08" w:type="pct"/>
            <w:hideMark/>
          </w:tcPr>
          <w:p w14:paraId="64641A10" w14:textId="77777777" w:rsidR="00015A47" w:rsidRDefault="00015A47" w:rsidP="00F54263">
            <w:pPr>
              <w:pStyle w:val="TableHeaderRow"/>
            </w:pPr>
            <w:r>
              <w:t>Recommendation</w:t>
            </w:r>
          </w:p>
        </w:tc>
        <w:tc>
          <w:tcPr>
            <w:tcW w:w="692" w:type="pct"/>
            <w:hideMark/>
          </w:tcPr>
          <w:p w14:paraId="6F48BC4A" w14:textId="4A804062" w:rsidR="00015A47" w:rsidRDefault="00015A47" w:rsidP="0069036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925" w:type="pct"/>
            <w:gridSpan w:val="2"/>
            <w:hideMark/>
          </w:tcPr>
          <w:p w14:paraId="546C52FA" w14:textId="77777777" w:rsidR="00015A47" w:rsidRDefault="00015A47" w:rsidP="00F54263">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678" w:type="pct"/>
            <w:hideMark/>
          </w:tcPr>
          <w:p w14:paraId="5AB81078" w14:textId="77777777" w:rsidR="00015A47" w:rsidRDefault="00015A47" w:rsidP="00F54263">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97" w:type="pct"/>
            <w:gridSpan w:val="2"/>
            <w:hideMark/>
          </w:tcPr>
          <w:p w14:paraId="625CA8A7" w14:textId="77777777" w:rsidR="00015A47" w:rsidRPr="005D67B8" w:rsidRDefault="00015A47" w:rsidP="00F54263">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17BEFF70" w14:textId="2FFCF2E5" w:rsidR="00015A47" w:rsidRPr="008F4A4D" w:rsidRDefault="00015A47" w:rsidP="00F5426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015A47" w14:paraId="23855C52" w14:textId="77777777" w:rsidTr="00F5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pct"/>
            <w:hideMark/>
          </w:tcPr>
          <w:p w14:paraId="3F89A77D" w14:textId="77777777" w:rsidR="00015A47" w:rsidRPr="00FD7EA3" w:rsidRDefault="00015A47" w:rsidP="00F54263">
            <w:pPr>
              <w:pStyle w:val="Heading3"/>
              <w:outlineLvl w:val="2"/>
              <w:rPr>
                <w:b/>
                <w:sz w:val="24"/>
                <w:szCs w:val="24"/>
              </w:rPr>
            </w:pPr>
            <w:r w:rsidRPr="00FD7EA3">
              <w:rPr>
                <w:b/>
                <w:sz w:val="24"/>
                <w:szCs w:val="24"/>
              </w:rPr>
              <w:t xml:space="preserve">Recommendation </w:t>
            </w:r>
            <w:r>
              <w:rPr>
                <w:b/>
                <w:sz w:val="24"/>
                <w:szCs w:val="24"/>
              </w:rPr>
              <w:t>7</w:t>
            </w:r>
          </w:p>
          <w:p w14:paraId="1EEB3430" w14:textId="53805391" w:rsidR="00015A47" w:rsidRPr="008E175F" w:rsidRDefault="00F61E08" w:rsidP="00F54263">
            <w:pPr>
              <w:pStyle w:val="BodyText"/>
              <w:rPr>
                <w:rFonts w:asciiTheme="majorHAnsi" w:eastAsiaTheme="majorEastAsia" w:hAnsiTheme="majorHAnsi" w:cstheme="majorBidi"/>
                <w:bCs/>
                <w:sz w:val="24"/>
                <w:szCs w:val="24"/>
                <w:lang w:val="en-AU"/>
              </w:rPr>
            </w:pPr>
            <w:r>
              <w:rPr>
                <w:rFonts w:asciiTheme="majorHAnsi" w:hAnsiTheme="majorHAnsi"/>
                <w:sz w:val="24"/>
                <w:szCs w:val="24"/>
                <w:lang w:val="en-AU"/>
              </w:rPr>
              <w:t>MEHA</w:t>
            </w:r>
            <w:r w:rsidR="0069036C">
              <w:rPr>
                <w:rFonts w:asciiTheme="majorHAnsi" w:hAnsiTheme="majorHAnsi"/>
                <w:sz w:val="24"/>
                <w:szCs w:val="24"/>
                <w:lang w:val="en-AU"/>
              </w:rPr>
              <w:t xml:space="preserve"> should help support use of FEMIS transition from a utility focused approach to a learning focused one</w:t>
            </w:r>
            <w:r w:rsidR="009C2794">
              <w:rPr>
                <w:rFonts w:asciiTheme="majorHAnsi" w:hAnsiTheme="majorHAnsi"/>
                <w:sz w:val="24"/>
                <w:szCs w:val="24"/>
                <w:lang w:val="en-AU"/>
              </w:rPr>
              <w:t xml:space="preserve"> with DFAT assistance</w:t>
            </w:r>
            <w:r w:rsidR="0069036C">
              <w:rPr>
                <w:rFonts w:asciiTheme="majorHAnsi" w:hAnsiTheme="majorHAnsi"/>
                <w:sz w:val="24"/>
                <w:szCs w:val="24"/>
                <w:lang w:val="en-AU"/>
              </w:rPr>
              <w:t>.</w:t>
            </w:r>
            <w:r w:rsidR="00015A47" w:rsidRPr="000F300E">
              <w:rPr>
                <w:rFonts w:asciiTheme="majorHAnsi" w:hAnsiTheme="majorHAnsi"/>
                <w:sz w:val="24"/>
                <w:szCs w:val="24"/>
                <w:lang w:val="en-AU"/>
              </w:rPr>
              <w:t xml:space="preserve">  </w:t>
            </w:r>
          </w:p>
        </w:tc>
        <w:tc>
          <w:tcPr>
            <w:tcW w:w="692" w:type="pct"/>
            <w:shd w:val="clear" w:color="auto" w:fill="92D050"/>
            <w:hideMark/>
          </w:tcPr>
          <w:p w14:paraId="403DDDBE" w14:textId="64E9EA29" w:rsidR="00015A47" w:rsidRPr="008F4A4D" w:rsidRDefault="00015A47" w:rsidP="009C2794">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806" w:type="pct"/>
          </w:tcPr>
          <w:p w14:paraId="2070A6BB" w14:textId="3F1199C6" w:rsidR="00015A47" w:rsidRPr="008F4A4D" w:rsidRDefault="00015A47" w:rsidP="00BD440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878" w:type="pct"/>
            <w:gridSpan w:val="3"/>
          </w:tcPr>
          <w:p w14:paraId="2CDBC3F6" w14:textId="35B93D47" w:rsidR="00BD4402" w:rsidRDefault="00BD4402" w:rsidP="00BD4402">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new b</w:t>
            </w:r>
            <w:r w:rsidR="009C2794">
              <w:rPr>
                <w:sz w:val="24"/>
                <w:szCs w:val="24"/>
              </w:rPr>
              <w:t>ilateral education program (2018</w:t>
            </w:r>
            <w:r>
              <w:rPr>
                <w:sz w:val="24"/>
                <w:szCs w:val="24"/>
              </w:rPr>
              <w:t xml:space="preserve">-2022) will </w:t>
            </w:r>
            <w:r w:rsidR="00530522">
              <w:rPr>
                <w:sz w:val="24"/>
                <w:szCs w:val="24"/>
              </w:rPr>
              <w:t>take forward</w:t>
            </w:r>
            <w:r>
              <w:rPr>
                <w:sz w:val="24"/>
                <w:szCs w:val="24"/>
              </w:rPr>
              <w:t xml:space="preserve"> </w:t>
            </w:r>
            <w:r w:rsidR="004C052C">
              <w:rPr>
                <w:sz w:val="24"/>
                <w:szCs w:val="24"/>
              </w:rPr>
              <w:t xml:space="preserve">continued support to </w:t>
            </w:r>
            <w:r w:rsidR="00F61E08">
              <w:rPr>
                <w:sz w:val="24"/>
                <w:szCs w:val="24"/>
              </w:rPr>
              <w:t>MEHA</w:t>
            </w:r>
            <w:r w:rsidR="004C052C">
              <w:rPr>
                <w:sz w:val="24"/>
                <w:szCs w:val="24"/>
              </w:rPr>
              <w:t xml:space="preserve"> on FEMIS</w:t>
            </w:r>
            <w:r>
              <w:rPr>
                <w:sz w:val="24"/>
                <w:szCs w:val="24"/>
              </w:rPr>
              <w:t>.</w:t>
            </w:r>
          </w:p>
          <w:p w14:paraId="1CB90C35" w14:textId="4D2B7DA1" w:rsidR="00015A47" w:rsidRPr="00BD4402" w:rsidRDefault="00BD4402" w:rsidP="00BD4402">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transitional activities currently being implemented by the Facility are supporting the </w:t>
            </w:r>
            <w:r w:rsidR="00F61E08">
              <w:rPr>
                <w:sz w:val="24"/>
                <w:szCs w:val="24"/>
              </w:rPr>
              <w:t>MEHA</w:t>
            </w:r>
            <w:r>
              <w:rPr>
                <w:sz w:val="24"/>
                <w:szCs w:val="24"/>
              </w:rPr>
              <w:t xml:space="preserve"> with FEMIS technical assistance.</w:t>
            </w:r>
          </w:p>
        </w:tc>
        <w:tc>
          <w:tcPr>
            <w:tcW w:w="816" w:type="pct"/>
          </w:tcPr>
          <w:p w14:paraId="6E01665C" w14:textId="75786931" w:rsidR="00BD4402" w:rsidRDefault="009C2794" w:rsidP="00BD440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2018</w:t>
            </w:r>
            <w:r w:rsidR="00BD4402">
              <w:rPr>
                <w:rFonts w:asciiTheme="majorHAnsi" w:hAnsiTheme="majorHAnsi"/>
                <w:sz w:val="24"/>
                <w:szCs w:val="24"/>
              </w:rPr>
              <w:t>-2022 under the Facility.</w:t>
            </w:r>
          </w:p>
          <w:p w14:paraId="46C0D5E7" w14:textId="77777777" w:rsidR="00BD4402" w:rsidRDefault="00BD4402" w:rsidP="00BD440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0216108B" w14:textId="1A2EA098" w:rsidR="00015A47" w:rsidRPr="008F4A4D" w:rsidRDefault="00015A47" w:rsidP="00BD440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bl>
    <w:p w14:paraId="06187D44" w14:textId="55E113DE" w:rsidR="00934230" w:rsidRDefault="00934230" w:rsidP="00C10415">
      <w:pPr>
        <w:rPr>
          <w:lang w:val="en-AU"/>
        </w:rPr>
      </w:pPr>
    </w:p>
    <w:tbl>
      <w:tblPr>
        <w:tblStyle w:val="DFATTable1"/>
        <w:tblpPr w:leftFromText="180" w:rightFromText="180" w:vertAnchor="page" w:horzAnchor="margin" w:tblpX="-567" w:tblpY="2027"/>
        <w:tblW w:w="5216"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1"/>
        <w:gridCol w:w="1899"/>
        <w:gridCol w:w="2212"/>
        <w:gridCol w:w="327"/>
        <w:gridCol w:w="1860"/>
        <w:gridCol w:w="222"/>
        <w:gridCol w:w="2239"/>
      </w:tblGrid>
      <w:tr w:rsidR="00934230" w14:paraId="30922AEA" w14:textId="77777777" w:rsidTr="00396AA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08" w:type="pct"/>
            <w:hideMark/>
          </w:tcPr>
          <w:p w14:paraId="3B81CD98" w14:textId="77777777" w:rsidR="00934230" w:rsidRDefault="00934230" w:rsidP="00192EA7">
            <w:pPr>
              <w:pStyle w:val="TableHeaderRow"/>
            </w:pPr>
            <w:r>
              <w:t>Recommendation</w:t>
            </w:r>
          </w:p>
        </w:tc>
        <w:tc>
          <w:tcPr>
            <w:tcW w:w="692" w:type="pct"/>
            <w:hideMark/>
          </w:tcPr>
          <w:p w14:paraId="7DB90A05" w14:textId="66C56AA6" w:rsidR="00934230" w:rsidRDefault="00934230" w:rsidP="00396AA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925" w:type="pct"/>
            <w:gridSpan w:val="2"/>
            <w:hideMark/>
          </w:tcPr>
          <w:p w14:paraId="3EC25ECC" w14:textId="77777777" w:rsidR="00934230" w:rsidRDefault="00934230"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678" w:type="pct"/>
            <w:hideMark/>
          </w:tcPr>
          <w:p w14:paraId="41BB910D" w14:textId="77777777" w:rsidR="00934230" w:rsidRDefault="00934230" w:rsidP="00192EA7">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97" w:type="pct"/>
            <w:gridSpan w:val="2"/>
            <w:hideMark/>
          </w:tcPr>
          <w:p w14:paraId="53B86A80" w14:textId="77777777" w:rsidR="00934230" w:rsidRPr="005D67B8" w:rsidRDefault="00934230" w:rsidP="00192EA7">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64DA94FA" w14:textId="3C109D23" w:rsidR="00934230" w:rsidRPr="008F4A4D" w:rsidRDefault="00934230" w:rsidP="00192EA7">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934230" w14:paraId="3E7818E3" w14:textId="77777777" w:rsidTr="00870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pct"/>
            <w:hideMark/>
          </w:tcPr>
          <w:p w14:paraId="728522A7" w14:textId="6DBAC662" w:rsidR="00934230" w:rsidRPr="00FD7EA3" w:rsidRDefault="00934230" w:rsidP="00192EA7">
            <w:pPr>
              <w:pStyle w:val="Heading3"/>
              <w:outlineLvl w:val="2"/>
              <w:rPr>
                <w:b/>
                <w:sz w:val="24"/>
                <w:szCs w:val="24"/>
              </w:rPr>
            </w:pPr>
            <w:r w:rsidRPr="00FD7EA3">
              <w:rPr>
                <w:b/>
                <w:sz w:val="24"/>
                <w:szCs w:val="24"/>
              </w:rPr>
              <w:t xml:space="preserve">Recommendation </w:t>
            </w:r>
            <w:r w:rsidR="00BD4402">
              <w:rPr>
                <w:b/>
                <w:sz w:val="24"/>
                <w:szCs w:val="24"/>
              </w:rPr>
              <w:t>8</w:t>
            </w:r>
          </w:p>
          <w:p w14:paraId="2FFFB746" w14:textId="52CE01A2" w:rsidR="00934230" w:rsidRPr="008E175F" w:rsidRDefault="00BD4402" w:rsidP="00192EA7">
            <w:pPr>
              <w:pStyle w:val="BodyText"/>
              <w:rPr>
                <w:rFonts w:asciiTheme="majorHAnsi" w:eastAsiaTheme="majorEastAsia" w:hAnsiTheme="majorHAnsi" w:cstheme="majorBidi"/>
                <w:bCs/>
                <w:sz w:val="24"/>
                <w:szCs w:val="24"/>
                <w:lang w:val="en-AU"/>
              </w:rPr>
            </w:pPr>
            <w:r>
              <w:rPr>
                <w:rFonts w:asciiTheme="majorHAnsi" w:hAnsiTheme="majorHAnsi"/>
                <w:sz w:val="24"/>
                <w:szCs w:val="24"/>
                <w:lang w:val="en-AU"/>
              </w:rPr>
              <w:t>Future training for principals and teachers should focus on using data to improve teaching and learning, management and planning.</w:t>
            </w:r>
          </w:p>
        </w:tc>
        <w:tc>
          <w:tcPr>
            <w:tcW w:w="692" w:type="pct"/>
            <w:shd w:val="clear" w:color="auto" w:fill="92D050"/>
            <w:hideMark/>
          </w:tcPr>
          <w:p w14:paraId="0026C815" w14:textId="77777777" w:rsidR="00934230" w:rsidRPr="008F4A4D" w:rsidRDefault="00934230" w:rsidP="00192EA7">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806" w:type="pct"/>
          </w:tcPr>
          <w:p w14:paraId="6AD68453" w14:textId="77777777" w:rsidR="00934230" w:rsidRPr="008F4A4D" w:rsidRDefault="00934230"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878" w:type="pct"/>
            <w:gridSpan w:val="3"/>
          </w:tcPr>
          <w:p w14:paraId="4D07210A" w14:textId="574AE6C1" w:rsidR="00DB5537" w:rsidRDefault="00DB5537" w:rsidP="000F300E">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new b</w:t>
            </w:r>
            <w:r w:rsidR="009C2794">
              <w:rPr>
                <w:sz w:val="24"/>
                <w:szCs w:val="24"/>
              </w:rPr>
              <w:t>ilateral education program (2018</w:t>
            </w:r>
            <w:r>
              <w:rPr>
                <w:sz w:val="24"/>
                <w:szCs w:val="24"/>
              </w:rPr>
              <w:t xml:space="preserve">-2022) will consider </w:t>
            </w:r>
            <w:r w:rsidR="004C052C">
              <w:rPr>
                <w:sz w:val="24"/>
                <w:szCs w:val="24"/>
              </w:rPr>
              <w:t>future training for principals and teachers</w:t>
            </w:r>
            <w:r>
              <w:rPr>
                <w:sz w:val="24"/>
                <w:szCs w:val="24"/>
              </w:rPr>
              <w:t xml:space="preserve">. </w:t>
            </w:r>
          </w:p>
          <w:p w14:paraId="429F54EC" w14:textId="74A7ED6D" w:rsidR="00934230" w:rsidRPr="008F4A4D" w:rsidRDefault="00DB5537" w:rsidP="0033711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sz w:val="24"/>
                <w:szCs w:val="24"/>
              </w:rPr>
              <w:t xml:space="preserve">The transitional activities currently implemented by the Facility are supporting </w:t>
            </w:r>
            <w:r w:rsidR="009C2794">
              <w:rPr>
                <w:sz w:val="24"/>
                <w:szCs w:val="24"/>
              </w:rPr>
              <w:t xml:space="preserve">the </w:t>
            </w:r>
            <w:r w:rsidR="00F61E08">
              <w:rPr>
                <w:sz w:val="24"/>
                <w:szCs w:val="24"/>
              </w:rPr>
              <w:t>MEHA</w:t>
            </w:r>
            <w:r w:rsidR="009C2794">
              <w:rPr>
                <w:sz w:val="24"/>
                <w:szCs w:val="24"/>
              </w:rPr>
              <w:t xml:space="preserve"> with FEMIS technical assistance, as well as</w:t>
            </w:r>
            <w:r>
              <w:rPr>
                <w:sz w:val="24"/>
                <w:szCs w:val="24"/>
              </w:rPr>
              <w:t xml:space="preserve"> the national roll out of Literacy and Numeracy training.</w:t>
            </w:r>
          </w:p>
        </w:tc>
        <w:tc>
          <w:tcPr>
            <w:tcW w:w="816" w:type="pct"/>
          </w:tcPr>
          <w:p w14:paraId="2A8D5328" w14:textId="600112F8" w:rsidR="00DB5537" w:rsidRDefault="00DB5537" w:rsidP="00DB553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w:t>
            </w:r>
            <w:r w:rsidR="009C2794">
              <w:rPr>
                <w:rFonts w:asciiTheme="majorHAnsi" w:hAnsiTheme="majorHAnsi"/>
                <w:sz w:val="24"/>
                <w:szCs w:val="24"/>
              </w:rPr>
              <w:t>018</w:t>
            </w:r>
            <w:r>
              <w:rPr>
                <w:rFonts w:asciiTheme="majorHAnsi" w:hAnsiTheme="majorHAnsi"/>
                <w:sz w:val="24"/>
                <w:szCs w:val="24"/>
              </w:rPr>
              <w:t>-2022 under the Facility.</w:t>
            </w:r>
          </w:p>
          <w:p w14:paraId="7589B1D4" w14:textId="3497470B" w:rsidR="00934230" w:rsidRPr="008F4A4D" w:rsidRDefault="00934230" w:rsidP="00192EA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bl>
    <w:p w14:paraId="36C41CB7" w14:textId="67D90017" w:rsidR="00934230" w:rsidRDefault="00934230" w:rsidP="00C10415">
      <w:pPr>
        <w:rPr>
          <w:lang w:val="en-AU"/>
        </w:rPr>
      </w:pPr>
    </w:p>
    <w:p w14:paraId="0AE55916" w14:textId="3FB12BB2" w:rsidR="00015A47" w:rsidRDefault="00015A47" w:rsidP="00C10415">
      <w:pPr>
        <w:rPr>
          <w:lang w:val="en-AU"/>
        </w:rPr>
      </w:pPr>
    </w:p>
    <w:p w14:paraId="0AE6183F" w14:textId="0C08F6B8" w:rsidR="00015A47" w:rsidRDefault="00015A47" w:rsidP="00C10415">
      <w:pPr>
        <w:rPr>
          <w:lang w:val="en-AU"/>
        </w:rPr>
      </w:pPr>
    </w:p>
    <w:tbl>
      <w:tblPr>
        <w:tblStyle w:val="DFATTable1"/>
        <w:tblpPr w:leftFromText="180" w:rightFromText="180" w:vertAnchor="page" w:horzAnchor="margin" w:tblpX="-567" w:tblpY="2027"/>
        <w:tblW w:w="5216"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1"/>
        <w:gridCol w:w="1899"/>
        <w:gridCol w:w="2212"/>
        <w:gridCol w:w="327"/>
        <w:gridCol w:w="1860"/>
        <w:gridCol w:w="222"/>
        <w:gridCol w:w="2239"/>
      </w:tblGrid>
      <w:tr w:rsidR="00015A47" w14:paraId="51EC9070" w14:textId="77777777" w:rsidTr="00396AAC">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08" w:type="pct"/>
            <w:hideMark/>
          </w:tcPr>
          <w:p w14:paraId="0951706C" w14:textId="77777777" w:rsidR="00015A47" w:rsidRDefault="00015A47" w:rsidP="00F54263">
            <w:pPr>
              <w:pStyle w:val="TableHeaderRow"/>
            </w:pPr>
            <w:r>
              <w:t>Recommendation</w:t>
            </w:r>
          </w:p>
        </w:tc>
        <w:tc>
          <w:tcPr>
            <w:tcW w:w="692" w:type="pct"/>
            <w:hideMark/>
          </w:tcPr>
          <w:p w14:paraId="145290CD" w14:textId="2F3EEF54" w:rsidR="00015A47" w:rsidRDefault="00015A47" w:rsidP="00396AA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925" w:type="pct"/>
            <w:gridSpan w:val="2"/>
            <w:hideMark/>
          </w:tcPr>
          <w:p w14:paraId="3E89D516" w14:textId="77777777" w:rsidR="00015A47" w:rsidRDefault="00015A47" w:rsidP="00F54263">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678" w:type="pct"/>
            <w:hideMark/>
          </w:tcPr>
          <w:p w14:paraId="48C08F8F" w14:textId="77777777" w:rsidR="00015A47" w:rsidRDefault="00015A47" w:rsidP="00F54263">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97" w:type="pct"/>
            <w:gridSpan w:val="2"/>
            <w:hideMark/>
          </w:tcPr>
          <w:p w14:paraId="1E504BF3" w14:textId="77777777" w:rsidR="00015A47" w:rsidRPr="005D67B8" w:rsidRDefault="00015A47" w:rsidP="00F54263">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097E6B71" w14:textId="15EF8998" w:rsidR="00015A47" w:rsidRPr="008F4A4D" w:rsidRDefault="00015A47" w:rsidP="00F5426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015A47" w14:paraId="4A01C21F" w14:textId="77777777" w:rsidTr="00F5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pct"/>
            <w:hideMark/>
          </w:tcPr>
          <w:p w14:paraId="7B6DEFFA" w14:textId="167A8EEC" w:rsidR="00015A47" w:rsidRPr="00FD7EA3" w:rsidRDefault="00015A47" w:rsidP="00F54263">
            <w:pPr>
              <w:pStyle w:val="Heading3"/>
              <w:outlineLvl w:val="2"/>
              <w:rPr>
                <w:b/>
                <w:sz w:val="24"/>
                <w:szCs w:val="24"/>
              </w:rPr>
            </w:pPr>
            <w:r w:rsidRPr="00FD7EA3">
              <w:rPr>
                <w:b/>
                <w:sz w:val="24"/>
                <w:szCs w:val="24"/>
              </w:rPr>
              <w:t xml:space="preserve">Recommendation </w:t>
            </w:r>
            <w:r w:rsidR="00225692">
              <w:rPr>
                <w:b/>
                <w:sz w:val="24"/>
                <w:szCs w:val="24"/>
              </w:rPr>
              <w:t>9</w:t>
            </w:r>
          </w:p>
          <w:p w14:paraId="439C3B1D" w14:textId="04B84675" w:rsidR="00015A47" w:rsidRPr="008E175F" w:rsidRDefault="00225692" w:rsidP="00530522">
            <w:pPr>
              <w:pStyle w:val="BodyText"/>
              <w:rPr>
                <w:rFonts w:asciiTheme="majorHAnsi" w:eastAsiaTheme="majorEastAsia" w:hAnsiTheme="majorHAnsi" w:cstheme="majorBidi"/>
                <w:bCs/>
                <w:sz w:val="24"/>
                <w:szCs w:val="24"/>
                <w:lang w:val="en-AU"/>
              </w:rPr>
            </w:pPr>
            <w:r>
              <w:rPr>
                <w:rFonts w:asciiTheme="majorHAnsi" w:hAnsiTheme="majorHAnsi"/>
                <w:sz w:val="24"/>
                <w:szCs w:val="24"/>
                <w:lang w:val="en-AU"/>
              </w:rPr>
              <w:t>FEMIS data from Ea</w:t>
            </w:r>
            <w:r w:rsidR="00530522">
              <w:rPr>
                <w:rFonts w:asciiTheme="majorHAnsi" w:hAnsiTheme="majorHAnsi"/>
                <w:sz w:val="24"/>
                <w:szCs w:val="24"/>
                <w:lang w:val="en-AU"/>
              </w:rPr>
              <w:t xml:space="preserve">rly Childhood Education Centres, </w:t>
            </w:r>
            <w:r>
              <w:rPr>
                <w:rFonts w:asciiTheme="majorHAnsi" w:hAnsiTheme="majorHAnsi"/>
                <w:sz w:val="24"/>
                <w:szCs w:val="24"/>
                <w:lang w:val="en-AU"/>
              </w:rPr>
              <w:t>Technical Colleges</w:t>
            </w:r>
            <w:r w:rsidR="00530522">
              <w:rPr>
                <w:rFonts w:asciiTheme="majorHAnsi" w:hAnsiTheme="majorHAnsi"/>
                <w:sz w:val="24"/>
                <w:szCs w:val="24"/>
                <w:lang w:val="en-AU"/>
              </w:rPr>
              <w:t xml:space="preserve"> and Higher Education Institutions</w:t>
            </w:r>
            <w:r>
              <w:rPr>
                <w:rFonts w:asciiTheme="majorHAnsi" w:hAnsiTheme="majorHAnsi"/>
                <w:sz w:val="24"/>
                <w:szCs w:val="24"/>
                <w:lang w:val="en-AU"/>
              </w:rPr>
              <w:t xml:space="preserve"> need to be targeted in the near future.</w:t>
            </w:r>
            <w:r w:rsidR="00015A47" w:rsidRPr="000F300E">
              <w:rPr>
                <w:rFonts w:asciiTheme="majorHAnsi" w:hAnsiTheme="majorHAnsi"/>
                <w:sz w:val="24"/>
                <w:szCs w:val="24"/>
                <w:lang w:val="en-AU"/>
              </w:rPr>
              <w:t xml:space="preserve">  </w:t>
            </w:r>
          </w:p>
        </w:tc>
        <w:tc>
          <w:tcPr>
            <w:tcW w:w="692" w:type="pct"/>
            <w:shd w:val="clear" w:color="auto" w:fill="92D050"/>
            <w:hideMark/>
          </w:tcPr>
          <w:p w14:paraId="5B949396" w14:textId="77777777" w:rsidR="00015A47" w:rsidRPr="008F4A4D" w:rsidRDefault="00015A47" w:rsidP="00F54263">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806" w:type="pct"/>
          </w:tcPr>
          <w:p w14:paraId="6DEEC957" w14:textId="77777777" w:rsidR="00015A47" w:rsidRPr="008F4A4D" w:rsidRDefault="00015A47" w:rsidP="00F5426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878" w:type="pct"/>
            <w:gridSpan w:val="3"/>
          </w:tcPr>
          <w:p w14:paraId="7CAF055D" w14:textId="4F1349C6" w:rsidR="00015A47" w:rsidRPr="00396AAC" w:rsidRDefault="0034129C" w:rsidP="00530522">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new b</w:t>
            </w:r>
            <w:r w:rsidR="009C2794">
              <w:rPr>
                <w:sz w:val="24"/>
                <w:szCs w:val="24"/>
              </w:rPr>
              <w:t>ilateral education program (2018</w:t>
            </w:r>
            <w:r>
              <w:rPr>
                <w:sz w:val="24"/>
                <w:szCs w:val="24"/>
              </w:rPr>
              <w:t xml:space="preserve">-2022) </w:t>
            </w:r>
            <w:r w:rsidR="00530522">
              <w:rPr>
                <w:sz w:val="24"/>
                <w:szCs w:val="24"/>
              </w:rPr>
              <w:t xml:space="preserve">will </w:t>
            </w:r>
            <w:r w:rsidR="00396AAC">
              <w:rPr>
                <w:sz w:val="24"/>
                <w:szCs w:val="24"/>
              </w:rPr>
              <w:t xml:space="preserve">workclosely with </w:t>
            </w:r>
            <w:r w:rsidR="00F61E08">
              <w:rPr>
                <w:sz w:val="24"/>
                <w:szCs w:val="24"/>
              </w:rPr>
              <w:t>MEHA</w:t>
            </w:r>
            <w:r w:rsidR="00396AAC">
              <w:rPr>
                <w:sz w:val="24"/>
                <w:szCs w:val="24"/>
              </w:rPr>
              <w:t xml:space="preserve"> to explore options to include higher education institutions, technical colleges and early childhood education centres in FEMIS </w:t>
            </w:r>
            <w:r w:rsidR="00B62AC8">
              <w:rPr>
                <w:rFonts w:asciiTheme="majorHAnsi" w:hAnsiTheme="majorHAnsi"/>
                <w:sz w:val="24"/>
                <w:szCs w:val="24"/>
              </w:rPr>
              <w:t xml:space="preserve">to track progress and achievement of students through the </w:t>
            </w:r>
            <w:r w:rsidR="00A92408">
              <w:rPr>
                <w:rFonts w:asciiTheme="majorHAnsi" w:hAnsiTheme="majorHAnsi"/>
                <w:sz w:val="24"/>
                <w:szCs w:val="24"/>
              </w:rPr>
              <w:t xml:space="preserve">entire education cycle. </w:t>
            </w:r>
          </w:p>
        </w:tc>
        <w:tc>
          <w:tcPr>
            <w:tcW w:w="816" w:type="pct"/>
          </w:tcPr>
          <w:p w14:paraId="62D9263E" w14:textId="06E2547B" w:rsidR="0034129C" w:rsidRDefault="009C2794" w:rsidP="0034129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2018</w:t>
            </w:r>
            <w:r w:rsidR="0034129C">
              <w:rPr>
                <w:rFonts w:asciiTheme="majorHAnsi" w:hAnsiTheme="majorHAnsi"/>
                <w:sz w:val="24"/>
                <w:szCs w:val="24"/>
              </w:rPr>
              <w:t>-2022 under the Facility.</w:t>
            </w:r>
          </w:p>
          <w:p w14:paraId="616DBD3D" w14:textId="0C1D808C" w:rsidR="00015A47" w:rsidRPr="008F4A4D" w:rsidRDefault="00015A47" w:rsidP="00F5426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bl>
    <w:p w14:paraId="4EEDA5BE" w14:textId="77777777" w:rsidR="00015A47" w:rsidRPr="00C10415" w:rsidRDefault="00015A47" w:rsidP="00C10415">
      <w:pPr>
        <w:rPr>
          <w:lang w:val="en-AU"/>
        </w:rPr>
      </w:pPr>
    </w:p>
    <w:sectPr w:rsidR="00015A47" w:rsidRPr="00C10415" w:rsidSect="00B93D68">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0E63" w14:textId="77777777" w:rsidR="00BD4402" w:rsidRDefault="00BD4402" w:rsidP="003A5358">
      <w:r>
        <w:separator/>
      </w:r>
    </w:p>
  </w:endnote>
  <w:endnote w:type="continuationSeparator" w:id="0">
    <w:p w14:paraId="317ED4A6" w14:textId="77777777" w:rsidR="00BD4402" w:rsidRDefault="00BD4402"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5DC0" w14:textId="77777777" w:rsidR="00BD4402" w:rsidRDefault="00BD4402" w:rsidP="00057479">
    <w:pPr>
      <w:pStyle w:val="Classification"/>
    </w:pPr>
    <w:r>
      <w:rPr>
        <w:noProof/>
        <w:lang w:val="en-AU" w:eastAsia="en-AU"/>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74" name="Picture 7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19C01516" w:rsidR="00BD4402" w:rsidRDefault="00BD4402"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4253B1">
      <w:rPr>
        <w:rStyle w:val="PageNumber"/>
        <w:noProof/>
      </w:rPr>
      <w:t>12</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DB2F" w14:textId="69F61C5B" w:rsidR="00BD4402" w:rsidRDefault="00BD4402" w:rsidP="003A5358">
    <w:pPr>
      <w:pStyle w:val="Footer"/>
    </w:pPr>
    <w:r>
      <w:rPr>
        <w:noProof/>
        <w:lang w:val="en-AU" w:eastAsia="en-AU"/>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76" name="Picture 7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4253B1">
      <w:rPr>
        <w:rStyle w:val="PageNumber"/>
        <w:noProof/>
      </w:rPr>
      <w:t>1</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E0E" w14:textId="77777777" w:rsidR="00BD4402" w:rsidRPr="008C5A0E" w:rsidRDefault="00BD4402" w:rsidP="003A5358">
      <w:pPr>
        <w:pStyle w:val="FootnoteSeparator"/>
      </w:pPr>
    </w:p>
  </w:footnote>
  <w:footnote w:type="continuationSeparator" w:id="0">
    <w:p w14:paraId="161ED927" w14:textId="77777777" w:rsidR="00BD4402" w:rsidRDefault="00BD4402"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867F" w14:textId="6914B84E" w:rsidR="00BD4402" w:rsidRPr="00806503" w:rsidRDefault="00BD4402" w:rsidP="00057479">
    <w:pPr>
      <w:pStyle w:val="Classification"/>
    </w:pPr>
    <w:r>
      <w:rPr>
        <w:noProof/>
        <w:lang w:val="en-AU" w:eastAsia="en-AU"/>
      </w:rPr>
      <w:drawing>
        <wp:anchor distT="0" distB="0" distL="114300" distR="114300" simplePos="0" relativeHeight="251671552" behindDoc="1" locked="0" layoutInCell="1" allowOverlap="1" wp14:anchorId="5AEF8158" wp14:editId="104C404D">
          <wp:simplePos x="0" y="0"/>
          <wp:positionH relativeFrom="margin">
            <wp:posOffset>-459352</wp:posOffset>
          </wp:positionH>
          <wp:positionV relativeFrom="page">
            <wp:posOffset>407547</wp:posOffset>
          </wp:positionV>
          <wp:extent cx="6872323" cy="731575"/>
          <wp:effectExtent l="0" t="0" r="5080" b="0"/>
          <wp:wrapNone/>
          <wp:docPr id="73" name="Picture 7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872323" cy="731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EEAB" w14:textId="7B5931E9" w:rsidR="00BD4402" w:rsidRDefault="00BD4402" w:rsidP="003A5358">
    <w:pPr>
      <w:pStyle w:val="Header"/>
    </w:pPr>
    <w:r>
      <w:rPr>
        <w:noProof/>
        <w:lang w:val="en-AU" w:eastAsia="en-AU"/>
      </w:rPr>
      <w:drawing>
        <wp:anchor distT="0" distB="0" distL="114300" distR="114300" simplePos="0" relativeHeight="251669504" behindDoc="1" locked="0" layoutInCell="1" allowOverlap="1" wp14:anchorId="27DCB334" wp14:editId="0AA6784A">
          <wp:simplePos x="0" y="0"/>
          <wp:positionH relativeFrom="margin">
            <wp:posOffset>-351510</wp:posOffset>
          </wp:positionH>
          <wp:positionV relativeFrom="page">
            <wp:posOffset>348104</wp:posOffset>
          </wp:positionV>
          <wp:extent cx="6872323" cy="731575"/>
          <wp:effectExtent l="0" t="0" r="5080" b="0"/>
          <wp:wrapNone/>
          <wp:docPr id="75" name="Picture 7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872323" cy="731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19C"/>
    <w:multiLevelType w:val="hybridMultilevel"/>
    <w:tmpl w:val="E9529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6"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7" w15:restartNumberingAfterBreak="0">
    <w:nsid w:val="1B5419D5"/>
    <w:multiLevelType w:val="hybridMultilevel"/>
    <w:tmpl w:val="A57E69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4427542F"/>
    <w:multiLevelType w:val="hybridMultilevel"/>
    <w:tmpl w:val="A78EA0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304926"/>
    <w:multiLevelType w:val="hybridMultilevel"/>
    <w:tmpl w:val="21040E12"/>
    <w:lvl w:ilvl="0" w:tplc="27E85A7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AC74884"/>
    <w:multiLevelType w:val="hybridMultilevel"/>
    <w:tmpl w:val="43AED786"/>
    <w:lvl w:ilvl="0" w:tplc="27E85A7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56043A"/>
    <w:multiLevelType w:val="multilevel"/>
    <w:tmpl w:val="69AEB596"/>
    <w:numStyleLink w:val="BulletsList"/>
  </w:abstractNum>
  <w:abstractNum w:abstractNumId="1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E2ABC"/>
    <w:multiLevelType w:val="multilevel"/>
    <w:tmpl w:val="3BBAD900"/>
    <w:numStyleLink w:val="HeadingsList"/>
  </w:abstractNum>
  <w:abstractNum w:abstractNumId="18" w15:restartNumberingAfterBreak="0">
    <w:nsid w:val="71CF699F"/>
    <w:multiLevelType w:val="hybridMultilevel"/>
    <w:tmpl w:val="8298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DC65ABE"/>
    <w:multiLevelType w:val="hybridMultilevel"/>
    <w:tmpl w:val="FC7A7978"/>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2"/>
  </w:num>
  <w:num w:numId="3">
    <w:abstractNumId w:val="8"/>
  </w:num>
  <w:num w:numId="4">
    <w:abstractNumId w:val="11"/>
  </w:num>
  <w:num w:numId="5">
    <w:abstractNumId w:val="15"/>
  </w:num>
  <w:num w:numId="6">
    <w:abstractNumId w:val="2"/>
  </w:num>
  <w:num w:numId="7">
    <w:abstractNumId w:val="4"/>
  </w:num>
  <w:num w:numId="8">
    <w:abstractNumId w:val="2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7"/>
  </w:num>
  <w:num w:numId="18">
    <w:abstractNumId w:val="1"/>
  </w:num>
  <w:num w:numId="19">
    <w:abstractNumId w:val="21"/>
  </w:num>
  <w:num w:numId="20">
    <w:abstractNumId w:val="9"/>
  </w:num>
  <w:num w:numId="21">
    <w:abstractNumId w:val="18"/>
  </w:num>
  <w:num w:numId="22">
    <w:abstractNumId w:val="10"/>
  </w:num>
  <w:num w:numId="23">
    <w:abstractNumId w:val="13"/>
  </w:num>
  <w:num w:numId="2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1"/>
  <w:activeWritingStyle w:appName="MSWord" w:lang="en-AU" w:vendorID="64" w:dllVersion="131078" w:nlCheck="1" w:checkStyle="1"/>
  <w:activeWritingStyle w:appName="MSWord" w:lang="en-PH" w:vendorID="64" w:dllVersion="131078" w:nlCheck="1" w:checkStyle="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6"/>
    <w:rsid w:val="00013F0E"/>
    <w:rsid w:val="00015A47"/>
    <w:rsid w:val="0001666A"/>
    <w:rsid w:val="0001758F"/>
    <w:rsid w:val="0002080A"/>
    <w:rsid w:val="0002336C"/>
    <w:rsid w:val="00025D1E"/>
    <w:rsid w:val="00026761"/>
    <w:rsid w:val="00027287"/>
    <w:rsid w:val="0002782F"/>
    <w:rsid w:val="000356C3"/>
    <w:rsid w:val="00040A8B"/>
    <w:rsid w:val="00047307"/>
    <w:rsid w:val="00047435"/>
    <w:rsid w:val="000524C5"/>
    <w:rsid w:val="00054E4D"/>
    <w:rsid w:val="00057479"/>
    <w:rsid w:val="00060073"/>
    <w:rsid w:val="00061316"/>
    <w:rsid w:val="00064004"/>
    <w:rsid w:val="00067916"/>
    <w:rsid w:val="000721AE"/>
    <w:rsid w:val="00080474"/>
    <w:rsid w:val="000972FD"/>
    <w:rsid w:val="000A677A"/>
    <w:rsid w:val="000A7FA1"/>
    <w:rsid w:val="000B1310"/>
    <w:rsid w:val="000B290F"/>
    <w:rsid w:val="000B3155"/>
    <w:rsid w:val="000B321A"/>
    <w:rsid w:val="000B5035"/>
    <w:rsid w:val="000C3638"/>
    <w:rsid w:val="000D53CF"/>
    <w:rsid w:val="000E64ED"/>
    <w:rsid w:val="000E79F6"/>
    <w:rsid w:val="000F12F0"/>
    <w:rsid w:val="000F25A1"/>
    <w:rsid w:val="000F2A97"/>
    <w:rsid w:val="000F300E"/>
    <w:rsid w:val="000F4993"/>
    <w:rsid w:val="00101A68"/>
    <w:rsid w:val="00105094"/>
    <w:rsid w:val="001055F8"/>
    <w:rsid w:val="00112198"/>
    <w:rsid w:val="0011276D"/>
    <w:rsid w:val="001250CF"/>
    <w:rsid w:val="00125E4E"/>
    <w:rsid w:val="00127677"/>
    <w:rsid w:val="0013615E"/>
    <w:rsid w:val="00141E3E"/>
    <w:rsid w:val="00146016"/>
    <w:rsid w:val="0015356B"/>
    <w:rsid w:val="0015397D"/>
    <w:rsid w:val="001541EA"/>
    <w:rsid w:val="00156A3D"/>
    <w:rsid w:val="00157C34"/>
    <w:rsid w:val="00157CF5"/>
    <w:rsid w:val="00173200"/>
    <w:rsid w:val="00176E78"/>
    <w:rsid w:val="00177828"/>
    <w:rsid w:val="001805D8"/>
    <w:rsid w:val="00192EA7"/>
    <w:rsid w:val="00196380"/>
    <w:rsid w:val="00196DE3"/>
    <w:rsid w:val="001A79DE"/>
    <w:rsid w:val="001C013B"/>
    <w:rsid w:val="001C2CE5"/>
    <w:rsid w:val="001C5C4C"/>
    <w:rsid w:val="001C7935"/>
    <w:rsid w:val="001D36D7"/>
    <w:rsid w:val="001D4767"/>
    <w:rsid w:val="001D663E"/>
    <w:rsid w:val="001D6906"/>
    <w:rsid w:val="001E0D37"/>
    <w:rsid w:val="001E1DC0"/>
    <w:rsid w:val="001F20E5"/>
    <w:rsid w:val="00203BF7"/>
    <w:rsid w:val="00220C1E"/>
    <w:rsid w:val="0022167B"/>
    <w:rsid w:val="0022186C"/>
    <w:rsid w:val="00225692"/>
    <w:rsid w:val="002308AD"/>
    <w:rsid w:val="0023481D"/>
    <w:rsid w:val="00234A59"/>
    <w:rsid w:val="00235580"/>
    <w:rsid w:val="00240892"/>
    <w:rsid w:val="0024653B"/>
    <w:rsid w:val="00253405"/>
    <w:rsid w:val="002573DB"/>
    <w:rsid w:val="00260099"/>
    <w:rsid w:val="002607B0"/>
    <w:rsid w:val="00271503"/>
    <w:rsid w:val="00272B56"/>
    <w:rsid w:val="00276B76"/>
    <w:rsid w:val="00283EFE"/>
    <w:rsid w:val="0028602A"/>
    <w:rsid w:val="00286EDD"/>
    <w:rsid w:val="002921CE"/>
    <w:rsid w:val="0029542A"/>
    <w:rsid w:val="002B1079"/>
    <w:rsid w:val="002B22C4"/>
    <w:rsid w:val="002C0C6F"/>
    <w:rsid w:val="002C1EB6"/>
    <w:rsid w:val="002D43C3"/>
    <w:rsid w:val="002D484F"/>
    <w:rsid w:val="002D5825"/>
    <w:rsid w:val="002F1BDC"/>
    <w:rsid w:val="002F782D"/>
    <w:rsid w:val="003002C0"/>
    <w:rsid w:val="00301144"/>
    <w:rsid w:val="00302E4B"/>
    <w:rsid w:val="0031097F"/>
    <w:rsid w:val="0031432C"/>
    <w:rsid w:val="003148B7"/>
    <w:rsid w:val="003158C3"/>
    <w:rsid w:val="00317188"/>
    <w:rsid w:val="003274CD"/>
    <w:rsid w:val="00332FA2"/>
    <w:rsid w:val="00333501"/>
    <w:rsid w:val="00337112"/>
    <w:rsid w:val="00337B31"/>
    <w:rsid w:val="00337D35"/>
    <w:rsid w:val="0034129C"/>
    <w:rsid w:val="00343E2A"/>
    <w:rsid w:val="003457C4"/>
    <w:rsid w:val="003508A8"/>
    <w:rsid w:val="0035119D"/>
    <w:rsid w:val="00352A18"/>
    <w:rsid w:val="0035513B"/>
    <w:rsid w:val="00355610"/>
    <w:rsid w:val="003567C7"/>
    <w:rsid w:val="00363B3C"/>
    <w:rsid w:val="003653B1"/>
    <w:rsid w:val="00367856"/>
    <w:rsid w:val="00371C70"/>
    <w:rsid w:val="00373E92"/>
    <w:rsid w:val="00383B26"/>
    <w:rsid w:val="00390584"/>
    <w:rsid w:val="00392BFF"/>
    <w:rsid w:val="00396AAC"/>
    <w:rsid w:val="003A5358"/>
    <w:rsid w:val="003A5CD1"/>
    <w:rsid w:val="003A7F18"/>
    <w:rsid w:val="003B4F12"/>
    <w:rsid w:val="003B7805"/>
    <w:rsid w:val="003D0DC7"/>
    <w:rsid w:val="003D3C6E"/>
    <w:rsid w:val="003D4F79"/>
    <w:rsid w:val="003D6F3F"/>
    <w:rsid w:val="003D7D08"/>
    <w:rsid w:val="003D7F56"/>
    <w:rsid w:val="003E038E"/>
    <w:rsid w:val="003E0442"/>
    <w:rsid w:val="003E32FA"/>
    <w:rsid w:val="003F163B"/>
    <w:rsid w:val="003F2F48"/>
    <w:rsid w:val="003F3DE0"/>
    <w:rsid w:val="003F525E"/>
    <w:rsid w:val="0041430C"/>
    <w:rsid w:val="004144E9"/>
    <w:rsid w:val="004203A3"/>
    <w:rsid w:val="0042098F"/>
    <w:rsid w:val="004215E7"/>
    <w:rsid w:val="004230ED"/>
    <w:rsid w:val="00423F31"/>
    <w:rsid w:val="0042455D"/>
    <w:rsid w:val="004253B1"/>
    <w:rsid w:val="00425CB9"/>
    <w:rsid w:val="00426C51"/>
    <w:rsid w:val="004270F9"/>
    <w:rsid w:val="00427B4D"/>
    <w:rsid w:val="00431899"/>
    <w:rsid w:val="00433974"/>
    <w:rsid w:val="00436291"/>
    <w:rsid w:val="00437A5A"/>
    <w:rsid w:val="00453FCC"/>
    <w:rsid w:val="00460764"/>
    <w:rsid w:val="004646F2"/>
    <w:rsid w:val="00467695"/>
    <w:rsid w:val="0047483B"/>
    <w:rsid w:val="0047491E"/>
    <w:rsid w:val="004778BE"/>
    <w:rsid w:val="0048174A"/>
    <w:rsid w:val="00481CA0"/>
    <w:rsid w:val="00486804"/>
    <w:rsid w:val="00486BA0"/>
    <w:rsid w:val="00495F8E"/>
    <w:rsid w:val="004971E7"/>
    <w:rsid w:val="004A3947"/>
    <w:rsid w:val="004A704E"/>
    <w:rsid w:val="004B3775"/>
    <w:rsid w:val="004C052C"/>
    <w:rsid w:val="004D0AEE"/>
    <w:rsid w:val="004D336E"/>
    <w:rsid w:val="004D633C"/>
    <w:rsid w:val="004E058F"/>
    <w:rsid w:val="004E3B87"/>
    <w:rsid w:val="004E7E9F"/>
    <w:rsid w:val="004F2CEC"/>
    <w:rsid w:val="00501EA3"/>
    <w:rsid w:val="0050405D"/>
    <w:rsid w:val="00510921"/>
    <w:rsid w:val="00510AD3"/>
    <w:rsid w:val="00513348"/>
    <w:rsid w:val="00513EC1"/>
    <w:rsid w:val="00521B2A"/>
    <w:rsid w:val="00530522"/>
    <w:rsid w:val="005336D4"/>
    <w:rsid w:val="00533B5D"/>
    <w:rsid w:val="00534683"/>
    <w:rsid w:val="00534BE6"/>
    <w:rsid w:val="00536F42"/>
    <w:rsid w:val="00552BFE"/>
    <w:rsid w:val="005536C4"/>
    <w:rsid w:val="0056172E"/>
    <w:rsid w:val="00562806"/>
    <w:rsid w:val="0057225D"/>
    <w:rsid w:val="00580BDB"/>
    <w:rsid w:val="0058458D"/>
    <w:rsid w:val="0058530D"/>
    <w:rsid w:val="0059100C"/>
    <w:rsid w:val="00596DED"/>
    <w:rsid w:val="005A3526"/>
    <w:rsid w:val="005B583F"/>
    <w:rsid w:val="005C18AC"/>
    <w:rsid w:val="005C4B23"/>
    <w:rsid w:val="005C70FA"/>
    <w:rsid w:val="005D0990"/>
    <w:rsid w:val="005D1E4D"/>
    <w:rsid w:val="005D6697"/>
    <w:rsid w:val="005E295B"/>
    <w:rsid w:val="005F0701"/>
    <w:rsid w:val="005F1D57"/>
    <w:rsid w:val="00617926"/>
    <w:rsid w:val="0062071E"/>
    <w:rsid w:val="006222A8"/>
    <w:rsid w:val="00623BA1"/>
    <w:rsid w:val="00627558"/>
    <w:rsid w:val="006346BC"/>
    <w:rsid w:val="00655169"/>
    <w:rsid w:val="0065749D"/>
    <w:rsid w:val="00660AF5"/>
    <w:rsid w:val="00661748"/>
    <w:rsid w:val="00663BB9"/>
    <w:rsid w:val="0066652A"/>
    <w:rsid w:val="0067164D"/>
    <w:rsid w:val="00682167"/>
    <w:rsid w:val="00684AC7"/>
    <w:rsid w:val="00686E76"/>
    <w:rsid w:val="00687B3B"/>
    <w:rsid w:val="0069036C"/>
    <w:rsid w:val="006922D7"/>
    <w:rsid w:val="006955FB"/>
    <w:rsid w:val="006B0E2A"/>
    <w:rsid w:val="006C3042"/>
    <w:rsid w:val="006C42AF"/>
    <w:rsid w:val="006C483E"/>
    <w:rsid w:val="006D3831"/>
    <w:rsid w:val="006E2A12"/>
    <w:rsid w:val="006F0606"/>
    <w:rsid w:val="006F682D"/>
    <w:rsid w:val="00700B3A"/>
    <w:rsid w:val="00706FDE"/>
    <w:rsid w:val="007071DB"/>
    <w:rsid w:val="0071086E"/>
    <w:rsid w:val="00710AC4"/>
    <w:rsid w:val="00711D8E"/>
    <w:rsid w:val="00712672"/>
    <w:rsid w:val="00716E3E"/>
    <w:rsid w:val="007217E9"/>
    <w:rsid w:val="007217FC"/>
    <w:rsid w:val="00722BDF"/>
    <w:rsid w:val="00731A39"/>
    <w:rsid w:val="00732CA1"/>
    <w:rsid w:val="00734E3F"/>
    <w:rsid w:val="00736985"/>
    <w:rsid w:val="007406CD"/>
    <w:rsid w:val="007451B9"/>
    <w:rsid w:val="00745DF5"/>
    <w:rsid w:val="00750DBA"/>
    <w:rsid w:val="007538A5"/>
    <w:rsid w:val="00756044"/>
    <w:rsid w:val="0075794C"/>
    <w:rsid w:val="00761FBB"/>
    <w:rsid w:val="00774489"/>
    <w:rsid w:val="007806BC"/>
    <w:rsid w:val="00785854"/>
    <w:rsid w:val="007903D7"/>
    <w:rsid w:val="00794DDF"/>
    <w:rsid w:val="00794E78"/>
    <w:rsid w:val="0079738A"/>
    <w:rsid w:val="007A011C"/>
    <w:rsid w:val="007A34B5"/>
    <w:rsid w:val="007A7373"/>
    <w:rsid w:val="007B42BF"/>
    <w:rsid w:val="007B6200"/>
    <w:rsid w:val="007B634D"/>
    <w:rsid w:val="007C42D8"/>
    <w:rsid w:val="007D40C5"/>
    <w:rsid w:val="007D5DCF"/>
    <w:rsid w:val="007D60CC"/>
    <w:rsid w:val="007E2357"/>
    <w:rsid w:val="007E2535"/>
    <w:rsid w:val="007E3380"/>
    <w:rsid w:val="007F3395"/>
    <w:rsid w:val="007F3779"/>
    <w:rsid w:val="007F39E2"/>
    <w:rsid w:val="00801B9F"/>
    <w:rsid w:val="00806503"/>
    <w:rsid w:val="00806757"/>
    <w:rsid w:val="00811F79"/>
    <w:rsid w:val="008209AF"/>
    <w:rsid w:val="00822EB9"/>
    <w:rsid w:val="00823FC8"/>
    <w:rsid w:val="0082741E"/>
    <w:rsid w:val="00834336"/>
    <w:rsid w:val="00840942"/>
    <w:rsid w:val="00841E4A"/>
    <w:rsid w:val="0085011E"/>
    <w:rsid w:val="00850804"/>
    <w:rsid w:val="00863389"/>
    <w:rsid w:val="00866F73"/>
    <w:rsid w:val="00870108"/>
    <w:rsid w:val="00871006"/>
    <w:rsid w:val="00875F79"/>
    <w:rsid w:val="008830D2"/>
    <w:rsid w:val="00892441"/>
    <w:rsid w:val="00897EDE"/>
    <w:rsid w:val="008A0512"/>
    <w:rsid w:val="008A217A"/>
    <w:rsid w:val="008A2D70"/>
    <w:rsid w:val="008B24F6"/>
    <w:rsid w:val="008B28AE"/>
    <w:rsid w:val="008B3A67"/>
    <w:rsid w:val="008C455D"/>
    <w:rsid w:val="008C5A0E"/>
    <w:rsid w:val="008E032F"/>
    <w:rsid w:val="008E175F"/>
    <w:rsid w:val="008F39BE"/>
    <w:rsid w:val="008F4066"/>
    <w:rsid w:val="008F4A4D"/>
    <w:rsid w:val="008F516A"/>
    <w:rsid w:val="00901AF4"/>
    <w:rsid w:val="009057EA"/>
    <w:rsid w:val="00910B98"/>
    <w:rsid w:val="00924EB1"/>
    <w:rsid w:val="00934230"/>
    <w:rsid w:val="009457A1"/>
    <w:rsid w:val="00952E37"/>
    <w:rsid w:val="00961895"/>
    <w:rsid w:val="00971905"/>
    <w:rsid w:val="009767DC"/>
    <w:rsid w:val="00982A5F"/>
    <w:rsid w:val="009946C6"/>
    <w:rsid w:val="0099481F"/>
    <w:rsid w:val="009A1EE6"/>
    <w:rsid w:val="009A4CDE"/>
    <w:rsid w:val="009A60A0"/>
    <w:rsid w:val="009B12CA"/>
    <w:rsid w:val="009B4D3B"/>
    <w:rsid w:val="009C0928"/>
    <w:rsid w:val="009C0C53"/>
    <w:rsid w:val="009C2794"/>
    <w:rsid w:val="009C6BCD"/>
    <w:rsid w:val="009C6D70"/>
    <w:rsid w:val="009D3402"/>
    <w:rsid w:val="009D7407"/>
    <w:rsid w:val="009E0866"/>
    <w:rsid w:val="009E25BF"/>
    <w:rsid w:val="009F6423"/>
    <w:rsid w:val="00A02111"/>
    <w:rsid w:val="00A04166"/>
    <w:rsid w:val="00A06BE8"/>
    <w:rsid w:val="00A13E4D"/>
    <w:rsid w:val="00A1561E"/>
    <w:rsid w:val="00A161CD"/>
    <w:rsid w:val="00A20315"/>
    <w:rsid w:val="00A24100"/>
    <w:rsid w:val="00A2486C"/>
    <w:rsid w:val="00A24A62"/>
    <w:rsid w:val="00A3022D"/>
    <w:rsid w:val="00A3043C"/>
    <w:rsid w:val="00A31C9F"/>
    <w:rsid w:val="00A33827"/>
    <w:rsid w:val="00A33A72"/>
    <w:rsid w:val="00A3732B"/>
    <w:rsid w:val="00A376D2"/>
    <w:rsid w:val="00A4144F"/>
    <w:rsid w:val="00A44AC6"/>
    <w:rsid w:val="00A51B45"/>
    <w:rsid w:val="00A5609A"/>
    <w:rsid w:val="00A568B1"/>
    <w:rsid w:val="00A61D28"/>
    <w:rsid w:val="00A6241D"/>
    <w:rsid w:val="00A62CC4"/>
    <w:rsid w:val="00A65F96"/>
    <w:rsid w:val="00A72C41"/>
    <w:rsid w:val="00A745FC"/>
    <w:rsid w:val="00A75A27"/>
    <w:rsid w:val="00A90510"/>
    <w:rsid w:val="00A92408"/>
    <w:rsid w:val="00A93C92"/>
    <w:rsid w:val="00A940AA"/>
    <w:rsid w:val="00AB388E"/>
    <w:rsid w:val="00AC164A"/>
    <w:rsid w:val="00AC4620"/>
    <w:rsid w:val="00AC5C34"/>
    <w:rsid w:val="00AC5DC8"/>
    <w:rsid w:val="00AE3E05"/>
    <w:rsid w:val="00AF2050"/>
    <w:rsid w:val="00AF5A66"/>
    <w:rsid w:val="00AF66C5"/>
    <w:rsid w:val="00AF6D5E"/>
    <w:rsid w:val="00B03361"/>
    <w:rsid w:val="00B03CA8"/>
    <w:rsid w:val="00B10950"/>
    <w:rsid w:val="00B13B4F"/>
    <w:rsid w:val="00B13C94"/>
    <w:rsid w:val="00B15FC6"/>
    <w:rsid w:val="00B34059"/>
    <w:rsid w:val="00B35911"/>
    <w:rsid w:val="00B50F8E"/>
    <w:rsid w:val="00B55E19"/>
    <w:rsid w:val="00B6075D"/>
    <w:rsid w:val="00B62AC8"/>
    <w:rsid w:val="00B62DEB"/>
    <w:rsid w:val="00B66BDC"/>
    <w:rsid w:val="00B6782A"/>
    <w:rsid w:val="00B71158"/>
    <w:rsid w:val="00B76749"/>
    <w:rsid w:val="00B76C71"/>
    <w:rsid w:val="00B851FD"/>
    <w:rsid w:val="00B92E1E"/>
    <w:rsid w:val="00B93D68"/>
    <w:rsid w:val="00BA31A7"/>
    <w:rsid w:val="00BA4B6D"/>
    <w:rsid w:val="00BA5D1A"/>
    <w:rsid w:val="00BB19CD"/>
    <w:rsid w:val="00BB26C5"/>
    <w:rsid w:val="00BB567A"/>
    <w:rsid w:val="00BC25E7"/>
    <w:rsid w:val="00BD0B99"/>
    <w:rsid w:val="00BD2DE2"/>
    <w:rsid w:val="00BD4402"/>
    <w:rsid w:val="00BE0891"/>
    <w:rsid w:val="00BE1FFF"/>
    <w:rsid w:val="00BF14D0"/>
    <w:rsid w:val="00BF27EF"/>
    <w:rsid w:val="00BF29D2"/>
    <w:rsid w:val="00BF3A17"/>
    <w:rsid w:val="00BF4DE6"/>
    <w:rsid w:val="00BF57D1"/>
    <w:rsid w:val="00BF786B"/>
    <w:rsid w:val="00C00C98"/>
    <w:rsid w:val="00C04CAA"/>
    <w:rsid w:val="00C0613F"/>
    <w:rsid w:val="00C10259"/>
    <w:rsid w:val="00C10415"/>
    <w:rsid w:val="00C16478"/>
    <w:rsid w:val="00C33A9C"/>
    <w:rsid w:val="00C3731C"/>
    <w:rsid w:val="00C40091"/>
    <w:rsid w:val="00C42CDE"/>
    <w:rsid w:val="00C47072"/>
    <w:rsid w:val="00C63EE9"/>
    <w:rsid w:val="00C65C11"/>
    <w:rsid w:val="00C86007"/>
    <w:rsid w:val="00C96797"/>
    <w:rsid w:val="00CA37B1"/>
    <w:rsid w:val="00CA6EC9"/>
    <w:rsid w:val="00CB1959"/>
    <w:rsid w:val="00CC18E5"/>
    <w:rsid w:val="00CC431B"/>
    <w:rsid w:val="00CC531A"/>
    <w:rsid w:val="00CC7D0A"/>
    <w:rsid w:val="00CD2F34"/>
    <w:rsid w:val="00CD60B1"/>
    <w:rsid w:val="00CE2F1B"/>
    <w:rsid w:val="00CE321B"/>
    <w:rsid w:val="00CF280B"/>
    <w:rsid w:val="00CF3A3D"/>
    <w:rsid w:val="00CF68DB"/>
    <w:rsid w:val="00D006A7"/>
    <w:rsid w:val="00D018D0"/>
    <w:rsid w:val="00D0296C"/>
    <w:rsid w:val="00D042D3"/>
    <w:rsid w:val="00D07E78"/>
    <w:rsid w:val="00D12225"/>
    <w:rsid w:val="00D12D89"/>
    <w:rsid w:val="00D17E7D"/>
    <w:rsid w:val="00D203EB"/>
    <w:rsid w:val="00D2248F"/>
    <w:rsid w:val="00D22A81"/>
    <w:rsid w:val="00D242A5"/>
    <w:rsid w:val="00D31A9F"/>
    <w:rsid w:val="00D379DF"/>
    <w:rsid w:val="00D404C1"/>
    <w:rsid w:val="00D40C15"/>
    <w:rsid w:val="00D41E2A"/>
    <w:rsid w:val="00D44758"/>
    <w:rsid w:val="00D44F25"/>
    <w:rsid w:val="00D500E9"/>
    <w:rsid w:val="00D509F3"/>
    <w:rsid w:val="00D54624"/>
    <w:rsid w:val="00D5556A"/>
    <w:rsid w:val="00D57616"/>
    <w:rsid w:val="00D61576"/>
    <w:rsid w:val="00D65170"/>
    <w:rsid w:val="00D9353F"/>
    <w:rsid w:val="00DA024F"/>
    <w:rsid w:val="00DB0239"/>
    <w:rsid w:val="00DB5537"/>
    <w:rsid w:val="00DB6402"/>
    <w:rsid w:val="00DB792F"/>
    <w:rsid w:val="00DC5265"/>
    <w:rsid w:val="00DD140A"/>
    <w:rsid w:val="00DD420C"/>
    <w:rsid w:val="00DD44EA"/>
    <w:rsid w:val="00E03461"/>
    <w:rsid w:val="00E03E92"/>
    <w:rsid w:val="00E04AC1"/>
    <w:rsid w:val="00E10987"/>
    <w:rsid w:val="00E1612F"/>
    <w:rsid w:val="00E16D17"/>
    <w:rsid w:val="00E20CC7"/>
    <w:rsid w:val="00E26E94"/>
    <w:rsid w:val="00E3368B"/>
    <w:rsid w:val="00E357B7"/>
    <w:rsid w:val="00E377D5"/>
    <w:rsid w:val="00E37B70"/>
    <w:rsid w:val="00E41B0A"/>
    <w:rsid w:val="00E4629C"/>
    <w:rsid w:val="00E53800"/>
    <w:rsid w:val="00E55AF3"/>
    <w:rsid w:val="00E6081F"/>
    <w:rsid w:val="00E62377"/>
    <w:rsid w:val="00E62925"/>
    <w:rsid w:val="00E6753E"/>
    <w:rsid w:val="00E71EA7"/>
    <w:rsid w:val="00E734D4"/>
    <w:rsid w:val="00E8026F"/>
    <w:rsid w:val="00E81D62"/>
    <w:rsid w:val="00E82491"/>
    <w:rsid w:val="00E82F47"/>
    <w:rsid w:val="00E839A4"/>
    <w:rsid w:val="00E86EFA"/>
    <w:rsid w:val="00E91D1D"/>
    <w:rsid w:val="00E928D7"/>
    <w:rsid w:val="00E9392A"/>
    <w:rsid w:val="00EA04B2"/>
    <w:rsid w:val="00EA0BCE"/>
    <w:rsid w:val="00EA20F3"/>
    <w:rsid w:val="00EA3CFE"/>
    <w:rsid w:val="00EA5EDD"/>
    <w:rsid w:val="00EA7640"/>
    <w:rsid w:val="00EB6875"/>
    <w:rsid w:val="00EC2CCF"/>
    <w:rsid w:val="00EC6395"/>
    <w:rsid w:val="00ED43D1"/>
    <w:rsid w:val="00ED5255"/>
    <w:rsid w:val="00ED75E2"/>
    <w:rsid w:val="00EE0D33"/>
    <w:rsid w:val="00EE4EE1"/>
    <w:rsid w:val="00EF23EA"/>
    <w:rsid w:val="00EF4574"/>
    <w:rsid w:val="00EF75BF"/>
    <w:rsid w:val="00F001F8"/>
    <w:rsid w:val="00F14C4A"/>
    <w:rsid w:val="00F1611E"/>
    <w:rsid w:val="00F20E5E"/>
    <w:rsid w:val="00F2684E"/>
    <w:rsid w:val="00F40E06"/>
    <w:rsid w:val="00F4730B"/>
    <w:rsid w:val="00F4791C"/>
    <w:rsid w:val="00F50744"/>
    <w:rsid w:val="00F5404C"/>
    <w:rsid w:val="00F54263"/>
    <w:rsid w:val="00F6098C"/>
    <w:rsid w:val="00F61E08"/>
    <w:rsid w:val="00F62971"/>
    <w:rsid w:val="00F63911"/>
    <w:rsid w:val="00F66D0E"/>
    <w:rsid w:val="00F729EF"/>
    <w:rsid w:val="00F77CAE"/>
    <w:rsid w:val="00F8555B"/>
    <w:rsid w:val="00F87CF4"/>
    <w:rsid w:val="00F958AE"/>
    <w:rsid w:val="00F96BB9"/>
    <w:rsid w:val="00FA6261"/>
    <w:rsid w:val="00FB7242"/>
    <w:rsid w:val="00FC129A"/>
    <w:rsid w:val="00FC1DEF"/>
    <w:rsid w:val="00FC750D"/>
    <w:rsid w:val="00FD1DF4"/>
    <w:rsid w:val="00FD22B7"/>
    <w:rsid w:val="00FD4C8E"/>
    <w:rsid w:val="00FD7EA3"/>
    <w:rsid w:val="00FE6D51"/>
    <w:rsid w:val="00FE7052"/>
    <w:rsid w:val="00FF2EE8"/>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 w:type="paragraph" w:customStyle="1" w:styleId="Table-normal-text">
    <w:name w:val="Table-normal-text"/>
    <w:basedOn w:val="Normal"/>
    <w:rsid w:val="00220C1E"/>
    <w:pPr>
      <w:suppressAutoHyphens w:val="0"/>
      <w:spacing w:before="60" w:after="0" w:line="240" w:lineRule="auto"/>
    </w:pPr>
    <w:rPr>
      <w:rFonts w:ascii="Arial" w:eastAsia="Times New Roman" w:hAnsi="Arial" w:cs="Times New Roman"/>
      <w:color w:val="auto"/>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2E951E-E3F8-4A1B-B1F6-1041DFA37511}"/>
</file>

<file path=customXml/itemProps2.xml><?xml version="1.0" encoding="utf-8"?>
<ds:datastoreItem xmlns:ds="http://schemas.openxmlformats.org/officeDocument/2006/customXml" ds:itemID="{D66F63A3-593A-442C-974A-34B4534A5D6E}"/>
</file>

<file path=customXml/itemProps3.xml><?xml version="1.0" encoding="utf-8"?>
<ds:datastoreItem xmlns:ds="http://schemas.openxmlformats.org/officeDocument/2006/customXml" ds:itemID="{B3F2008B-CC89-4546-9959-46710BAE2829}"/>
</file>

<file path=customXml/itemProps4.xml><?xml version="1.0" encoding="utf-8"?>
<ds:datastoreItem xmlns:ds="http://schemas.openxmlformats.org/officeDocument/2006/customXml" ds:itemID="{39A2F4F4-DB1F-4571-9384-F705A6692888}"/>
</file>

<file path=docProps/app.xml><?xml version="1.0" encoding="utf-8"?>
<Properties xmlns="http://schemas.openxmlformats.org/officeDocument/2006/extended-properties" xmlns:vt="http://schemas.openxmlformats.org/officeDocument/2006/docPropsVTypes">
  <Template>Normal.dotm</Template>
  <TotalTime>0</TotalTime>
  <Pages>12</Pages>
  <Words>1636</Words>
  <Characters>9314</Characters>
  <Application>Microsoft Office Word</Application>
  <DocSecurity>0</DocSecurity>
  <Lines>150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Quality Education Program End of Program Management Response</dc:title>
  <dc:subject/>
  <dc:creator/>
  <cp:keywords/>
  <dc:description/>
  <cp:lastModifiedBy/>
  <cp:revision>1</cp:revision>
  <dcterms:created xsi:type="dcterms:W3CDTF">2018-09-28T00:54:00Z</dcterms:created>
  <dcterms:modified xsi:type="dcterms:W3CDTF">2018-09-28T00:54:00Z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e74170d3-750b-434e-9aea-b83619894a17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1197700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