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505A" w14:textId="77777777" w:rsidR="003867DF" w:rsidRPr="00BD18EB" w:rsidRDefault="003867DF" w:rsidP="00BD18EB">
      <w:pPr>
        <w:pStyle w:val="Heading1"/>
      </w:pPr>
      <w:r w:rsidRPr="00BD18EB">
        <w:t>AANZFTA General Review: Recommendations for the 23rd AEM-CER Consultations (endorsed by Ministers on 1 September 2018)</w:t>
      </w:r>
    </w:p>
    <w:p w14:paraId="6F481BDB" w14:textId="1FCC90F1" w:rsidR="003867DF" w:rsidRDefault="003867DF" w:rsidP="00BD18EB">
      <w:pPr>
        <w:spacing w:before="120" w:after="120" w:line="240" w:lineRule="atLeast"/>
        <w:ind w:left="20"/>
        <w:jc w:val="both"/>
        <w:rPr>
          <w:sz w:val="24"/>
        </w:rPr>
      </w:pPr>
      <w:r>
        <w:rPr>
          <w:b/>
          <w:sz w:val="24"/>
        </w:rPr>
        <w:t>Recalling</w:t>
      </w:r>
      <w:r>
        <w:rPr>
          <w:b/>
          <w:spacing w:val="9"/>
          <w:sz w:val="24"/>
        </w:rPr>
        <w:t xml:space="preserve"> </w:t>
      </w:r>
      <w:r>
        <w:rPr>
          <w:sz w:val="24"/>
        </w:rPr>
        <w:t>the</w:t>
      </w:r>
      <w:r>
        <w:rPr>
          <w:spacing w:val="11"/>
          <w:sz w:val="24"/>
        </w:rPr>
        <w:t xml:space="preserve"> </w:t>
      </w:r>
      <w:r>
        <w:rPr>
          <w:i/>
          <w:sz w:val="24"/>
        </w:rPr>
        <w:t>Terms</w:t>
      </w:r>
      <w:r>
        <w:rPr>
          <w:i/>
          <w:spacing w:val="9"/>
          <w:sz w:val="24"/>
        </w:rPr>
        <w:t xml:space="preserve"> </w:t>
      </w:r>
      <w:r>
        <w:rPr>
          <w:i/>
          <w:sz w:val="24"/>
        </w:rPr>
        <w:t>of</w:t>
      </w:r>
      <w:r>
        <w:rPr>
          <w:i/>
          <w:spacing w:val="11"/>
          <w:sz w:val="24"/>
        </w:rPr>
        <w:t xml:space="preserve"> </w:t>
      </w:r>
      <w:r>
        <w:rPr>
          <w:i/>
          <w:sz w:val="24"/>
        </w:rPr>
        <w:t>Reference</w:t>
      </w:r>
      <w:r>
        <w:rPr>
          <w:i/>
          <w:spacing w:val="8"/>
          <w:sz w:val="24"/>
        </w:rPr>
        <w:t xml:space="preserve"> </w:t>
      </w:r>
      <w:r>
        <w:rPr>
          <w:i/>
          <w:sz w:val="24"/>
        </w:rPr>
        <w:t>for</w:t>
      </w:r>
      <w:r>
        <w:rPr>
          <w:i/>
          <w:spacing w:val="9"/>
          <w:sz w:val="24"/>
        </w:rPr>
        <w:t xml:space="preserve"> </w:t>
      </w:r>
      <w:r>
        <w:rPr>
          <w:i/>
          <w:sz w:val="24"/>
        </w:rPr>
        <w:t>Conducting</w:t>
      </w:r>
      <w:r>
        <w:rPr>
          <w:i/>
          <w:spacing w:val="12"/>
          <w:sz w:val="24"/>
        </w:rPr>
        <w:t xml:space="preserve"> </w:t>
      </w:r>
      <w:r>
        <w:rPr>
          <w:i/>
          <w:sz w:val="24"/>
        </w:rPr>
        <w:t>the</w:t>
      </w:r>
      <w:r>
        <w:rPr>
          <w:i/>
          <w:spacing w:val="10"/>
          <w:sz w:val="24"/>
        </w:rPr>
        <w:t xml:space="preserve"> </w:t>
      </w:r>
      <w:r>
        <w:rPr>
          <w:i/>
          <w:sz w:val="24"/>
        </w:rPr>
        <w:t>General</w:t>
      </w:r>
      <w:r>
        <w:rPr>
          <w:i/>
          <w:spacing w:val="15"/>
          <w:sz w:val="24"/>
        </w:rPr>
        <w:t xml:space="preserve"> </w:t>
      </w:r>
      <w:r>
        <w:rPr>
          <w:i/>
          <w:sz w:val="24"/>
        </w:rPr>
        <w:t>Review</w:t>
      </w:r>
      <w:r>
        <w:rPr>
          <w:i/>
          <w:spacing w:val="9"/>
          <w:sz w:val="24"/>
        </w:rPr>
        <w:t xml:space="preserve"> </w:t>
      </w:r>
      <w:r>
        <w:rPr>
          <w:i/>
          <w:sz w:val="24"/>
        </w:rPr>
        <w:t>of</w:t>
      </w:r>
      <w:r>
        <w:rPr>
          <w:i/>
          <w:spacing w:val="11"/>
          <w:sz w:val="24"/>
        </w:rPr>
        <w:t xml:space="preserve"> </w:t>
      </w:r>
      <w:r>
        <w:rPr>
          <w:i/>
          <w:sz w:val="24"/>
        </w:rPr>
        <w:t>AANZFTA</w:t>
      </w:r>
      <w:r>
        <w:rPr>
          <w:sz w:val="24"/>
        </w:rPr>
        <w:t>,</w:t>
      </w:r>
      <w:r>
        <w:rPr>
          <w:spacing w:val="10"/>
          <w:sz w:val="24"/>
        </w:rPr>
        <w:t xml:space="preserve"> </w:t>
      </w:r>
      <w:r>
        <w:rPr>
          <w:spacing w:val="-2"/>
          <w:sz w:val="24"/>
        </w:rPr>
        <w:t>endorsed</w:t>
      </w:r>
    </w:p>
    <w:p w14:paraId="3C618AA8" w14:textId="77777777" w:rsidR="003867DF" w:rsidRDefault="003867DF" w:rsidP="00BD18EB">
      <w:pPr>
        <w:pStyle w:val="BodyText"/>
        <w:spacing w:before="120" w:after="120" w:line="240" w:lineRule="atLeast"/>
        <w:ind w:right="17"/>
        <w:jc w:val="both"/>
      </w:pPr>
      <w:r>
        <w:t>at the 21</w:t>
      </w:r>
      <w:r>
        <w:rPr>
          <w:vertAlign w:val="superscript"/>
        </w:rPr>
        <w:t>st</w:t>
      </w:r>
      <w:r>
        <w:t xml:space="preserve"> AEM-CER Consultations (4 August 2016, Vientiane), which included the following objective for the General Review, </w:t>
      </w:r>
      <w:proofErr w:type="gramStart"/>
      <w:r>
        <w:t>to</w:t>
      </w:r>
      <w:proofErr w:type="gramEnd"/>
      <w:r>
        <w:t>:</w:t>
      </w:r>
    </w:p>
    <w:p w14:paraId="4640DC9A" w14:textId="124F5CC4" w:rsidR="003867DF" w:rsidRDefault="003867DF" w:rsidP="00BD18EB">
      <w:pPr>
        <w:pStyle w:val="BodyText"/>
        <w:spacing w:before="120" w:after="120" w:line="240" w:lineRule="atLeast"/>
        <w:ind w:left="739" w:right="18"/>
        <w:jc w:val="both"/>
      </w:pPr>
      <w:r>
        <w:t>“</w:t>
      </w:r>
      <w:proofErr w:type="gramStart"/>
      <w:r>
        <w:t>make</w:t>
      </w:r>
      <w:proofErr w:type="gramEnd"/>
      <w:r>
        <w:t xml:space="preserve"> recommendations to update, improve, upgrade and unlock the potential of AANZFTA taking into account the AEC [ASEAN Economic Community] Blueprint 2025 and other relevant developments”;</w:t>
      </w:r>
    </w:p>
    <w:p w14:paraId="68ABD844" w14:textId="77777777" w:rsidR="003867DF" w:rsidRDefault="003867DF" w:rsidP="00BD18EB">
      <w:pPr>
        <w:pStyle w:val="BodyText"/>
        <w:spacing w:before="120" w:after="120" w:line="240" w:lineRule="atLeast"/>
      </w:pPr>
      <w:r>
        <w:rPr>
          <w:b/>
        </w:rPr>
        <w:t xml:space="preserve">Noting </w:t>
      </w:r>
      <w:r>
        <w:t>the</w:t>
      </w:r>
      <w:r>
        <w:rPr>
          <w:spacing w:val="3"/>
        </w:rPr>
        <w:t xml:space="preserve"> </w:t>
      </w:r>
      <w:r>
        <w:t>findings</w:t>
      </w:r>
      <w:r>
        <w:rPr>
          <w:spacing w:val="4"/>
        </w:rPr>
        <w:t xml:space="preserve"> </w:t>
      </w:r>
      <w:r>
        <w:t>of</w:t>
      </w:r>
      <w:r>
        <w:rPr>
          <w:spacing w:val="3"/>
        </w:rPr>
        <w:t xml:space="preserve"> </w:t>
      </w:r>
      <w:r>
        <w:t>the</w:t>
      </w:r>
      <w:r>
        <w:rPr>
          <w:spacing w:val="5"/>
        </w:rPr>
        <w:t xml:space="preserve"> </w:t>
      </w:r>
      <w:r>
        <w:t>joint</w:t>
      </w:r>
      <w:r>
        <w:rPr>
          <w:spacing w:val="7"/>
        </w:rPr>
        <w:t xml:space="preserve"> </w:t>
      </w:r>
      <w:hyperlink r:id="rId7">
        <w:r>
          <w:rPr>
            <w:color w:val="0462C1"/>
            <w:u w:val="single" w:color="0462C1"/>
          </w:rPr>
          <w:t>General</w:t>
        </w:r>
        <w:r>
          <w:rPr>
            <w:color w:val="0462C1"/>
            <w:spacing w:val="2"/>
            <w:u w:val="single" w:color="0462C1"/>
          </w:rPr>
          <w:t xml:space="preserve"> </w:t>
        </w:r>
        <w:r>
          <w:rPr>
            <w:color w:val="0462C1"/>
            <w:u w:val="single" w:color="0462C1"/>
          </w:rPr>
          <w:t>Review</w:t>
        </w:r>
        <w:r>
          <w:rPr>
            <w:color w:val="0462C1"/>
            <w:spacing w:val="5"/>
            <w:u w:val="single" w:color="0462C1"/>
          </w:rPr>
          <w:t xml:space="preserve"> </w:t>
        </w:r>
        <w:r>
          <w:rPr>
            <w:color w:val="0462C1"/>
            <w:u w:val="single" w:color="0462C1"/>
          </w:rPr>
          <w:t>Stage</w:t>
        </w:r>
        <w:r>
          <w:rPr>
            <w:color w:val="0462C1"/>
            <w:spacing w:val="5"/>
            <w:u w:val="single" w:color="0462C1"/>
          </w:rPr>
          <w:t xml:space="preserve"> </w:t>
        </w:r>
        <w:r>
          <w:rPr>
            <w:color w:val="0462C1"/>
            <w:u w:val="single" w:color="0462C1"/>
          </w:rPr>
          <w:t>One</w:t>
        </w:r>
        <w:r>
          <w:rPr>
            <w:color w:val="0462C1"/>
            <w:spacing w:val="3"/>
            <w:u w:val="single" w:color="0462C1"/>
          </w:rPr>
          <w:t xml:space="preserve"> </w:t>
        </w:r>
        <w:r>
          <w:rPr>
            <w:color w:val="0462C1"/>
            <w:u w:val="single" w:color="0462C1"/>
          </w:rPr>
          <w:t>Report</w:t>
        </w:r>
      </w:hyperlink>
      <w:r>
        <w:t>,</w:t>
      </w:r>
      <w:r>
        <w:rPr>
          <w:spacing w:val="2"/>
        </w:rPr>
        <w:t xml:space="preserve"> </w:t>
      </w:r>
      <w:r>
        <w:t>presented</w:t>
      </w:r>
      <w:r>
        <w:rPr>
          <w:spacing w:val="4"/>
        </w:rPr>
        <w:t xml:space="preserve"> </w:t>
      </w:r>
      <w:r>
        <w:t>to</w:t>
      </w:r>
      <w:r>
        <w:rPr>
          <w:spacing w:val="3"/>
        </w:rPr>
        <w:t xml:space="preserve"> </w:t>
      </w:r>
      <w:r>
        <w:t>Ministers</w:t>
      </w:r>
      <w:r>
        <w:rPr>
          <w:spacing w:val="3"/>
        </w:rPr>
        <w:t xml:space="preserve"> </w:t>
      </w:r>
      <w:r>
        <w:rPr>
          <w:spacing w:val="-5"/>
        </w:rPr>
        <w:t>in</w:t>
      </w:r>
    </w:p>
    <w:p w14:paraId="7B2C2C49" w14:textId="09A68FB1" w:rsidR="003867DF" w:rsidRDefault="003867DF" w:rsidP="00BD18EB">
      <w:pPr>
        <w:pStyle w:val="BodyText"/>
        <w:spacing w:before="120" w:after="120" w:line="240" w:lineRule="atLeast"/>
      </w:pPr>
      <w:r>
        <w:t>September</w:t>
      </w:r>
      <w:r>
        <w:rPr>
          <w:spacing w:val="40"/>
        </w:rPr>
        <w:t xml:space="preserve"> </w:t>
      </w:r>
      <w:r>
        <w:t>2017,</w:t>
      </w:r>
      <w:r>
        <w:rPr>
          <w:spacing w:val="40"/>
        </w:rPr>
        <w:t xml:space="preserve"> </w:t>
      </w:r>
      <w:r>
        <w:t>which</w:t>
      </w:r>
      <w:r>
        <w:rPr>
          <w:spacing w:val="40"/>
        </w:rPr>
        <w:t xml:space="preserve"> </w:t>
      </w:r>
      <w:r>
        <w:t>assessed</w:t>
      </w:r>
      <w:r>
        <w:rPr>
          <w:spacing w:val="40"/>
        </w:rPr>
        <w:t xml:space="preserve"> </w:t>
      </w:r>
      <w:r>
        <w:t>AANZFTA’s</w:t>
      </w:r>
      <w:r>
        <w:rPr>
          <w:spacing w:val="40"/>
        </w:rPr>
        <w:t xml:space="preserve"> </w:t>
      </w:r>
      <w:r>
        <w:t>operation</w:t>
      </w:r>
      <w:r>
        <w:rPr>
          <w:spacing w:val="40"/>
        </w:rPr>
        <w:t xml:space="preserve"> </w:t>
      </w:r>
      <w:r>
        <w:t>and</w:t>
      </w:r>
      <w:r>
        <w:rPr>
          <w:spacing w:val="40"/>
        </w:rPr>
        <w:t xml:space="preserve"> </w:t>
      </w:r>
      <w:r>
        <w:t>implementation</w:t>
      </w:r>
      <w:r>
        <w:rPr>
          <w:spacing w:val="40"/>
        </w:rPr>
        <w:t xml:space="preserve"> </w:t>
      </w:r>
      <w:r>
        <w:t>since</w:t>
      </w:r>
      <w:r>
        <w:rPr>
          <w:spacing w:val="40"/>
        </w:rPr>
        <w:t xml:space="preserve"> </w:t>
      </w:r>
      <w:r>
        <w:t>the</w:t>
      </w:r>
      <w:r>
        <w:rPr>
          <w:spacing w:val="80"/>
          <w:w w:val="150"/>
        </w:rPr>
        <w:t xml:space="preserve"> </w:t>
      </w:r>
      <w:r>
        <w:t>Agreement entered into force in 2010;</w:t>
      </w:r>
    </w:p>
    <w:p w14:paraId="1F4A8397" w14:textId="77777777" w:rsidR="003867DF" w:rsidRDefault="003867DF" w:rsidP="00BD18EB">
      <w:pPr>
        <w:pStyle w:val="BodyText"/>
        <w:spacing w:before="120" w:after="120" w:line="240" w:lineRule="atLeast"/>
      </w:pPr>
      <w:r>
        <w:rPr>
          <w:b/>
        </w:rPr>
        <w:t>Further</w:t>
      </w:r>
      <w:r>
        <w:rPr>
          <w:b/>
          <w:spacing w:val="-1"/>
        </w:rPr>
        <w:t xml:space="preserve"> </w:t>
      </w:r>
      <w:r>
        <w:rPr>
          <w:b/>
        </w:rPr>
        <w:t xml:space="preserve">noting </w:t>
      </w:r>
      <w:r>
        <w:t>the conclusion</w:t>
      </w:r>
      <w:r>
        <w:rPr>
          <w:spacing w:val="-1"/>
        </w:rPr>
        <w:t xml:space="preserve"> </w:t>
      </w:r>
      <w:r>
        <w:t>of</w:t>
      </w:r>
      <w:r>
        <w:rPr>
          <w:spacing w:val="-1"/>
        </w:rPr>
        <w:t xml:space="preserve"> </w:t>
      </w:r>
      <w:r>
        <w:t>the General</w:t>
      </w:r>
      <w:r>
        <w:rPr>
          <w:spacing w:val="-2"/>
        </w:rPr>
        <w:t xml:space="preserve"> </w:t>
      </w:r>
      <w:r>
        <w:t>Review</w:t>
      </w:r>
      <w:r>
        <w:rPr>
          <w:spacing w:val="-1"/>
        </w:rPr>
        <w:t xml:space="preserve"> </w:t>
      </w:r>
      <w:r>
        <w:t>Stage One Report</w:t>
      </w:r>
      <w:r>
        <w:rPr>
          <w:spacing w:val="1"/>
        </w:rPr>
        <w:t xml:space="preserve"> </w:t>
      </w:r>
      <w:r>
        <w:t>that AANZFTA</w:t>
      </w:r>
      <w:r>
        <w:rPr>
          <w:spacing w:val="-1"/>
        </w:rPr>
        <w:t xml:space="preserve"> </w:t>
      </w:r>
      <w:r>
        <w:rPr>
          <w:spacing w:val="-2"/>
        </w:rPr>
        <w:t>serves</w:t>
      </w:r>
    </w:p>
    <w:p w14:paraId="39FE1F7C" w14:textId="55E32D86" w:rsidR="003867DF" w:rsidRDefault="003867DF" w:rsidP="00BD18EB">
      <w:pPr>
        <w:pStyle w:val="BodyText"/>
        <w:spacing w:before="120" w:after="120" w:line="240" w:lineRule="atLeast"/>
        <w:rPr>
          <w:b/>
        </w:rPr>
      </w:pPr>
      <w:r>
        <w:t>as</w:t>
      </w:r>
      <w:r>
        <w:rPr>
          <w:spacing w:val="32"/>
        </w:rPr>
        <w:t xml:space="preserve"> </w:t>
      </w:r>
      <w:r>
        <w:t>an</w:t>
      </w:r>
      <w:r>
        <w:rPr>
          <w:spacing w:val="33"/>
        </w:rPr>
        <w:t xml:space="preserve"> </w:t>
      </w:r>
      <w:r>
        <w:t>important</w:t>
      </w:r>
      <w:r>
        <w:rPr>
          <w:spacing w:val="33"/>
        </w:rPr>
        <w:t xml:space="preserve"> </w:t>
      </w:r>
      <w:r>
        <w:t>building</w:t>
      </w:r>
      <w:r>
        <w:rPr>
          <w:spacing w:val="32"/>
        </w:rPr>
        <w:t xml:space="preserve"> </w:t>
      </w:r>
      <w:r>
        <w:t>block</w:t>
      </w:r>
      <w:r>
        <w:rPr>
          <w:spacing w:val="31"/>
        </w:rPr>
        <w:t xml:space="preserve"> </w:t>
      </w:r>
      <w:r>
        <w:t>in</w:t>
      </w:r>
      <w:r>
        <w:rPr>
          <w:spacing w:val="33"/>
        </w:rPr>
        <w:t xml:space="preserve"> </w:t>
      </w:r>
      <w:proofErr w:type="spellStart"/>
      <w:r>
        <w:t>realising</w:t>
      </w:r>
      <w:proofErr w:type="spellEnd"/>
      <w:r>
        <w:rPr>
          <w:spacing w:val="32"/>
        </w:rPr>
        <w:t xml:space="preserve"> </w:t>
      </w:r>
      <w:r>
        <w:t>regional</w:t>
      </w:r>
      <w:r>
        <w:rPr>
          <w:spacing w:val="32"/>
        </w:rPr>
        <w:t xml:space="preserve"> </w:t>
      </w:r>
      <w:r>
        <w:t>economic</w:t>
      </w:r>
      <w:r>
        <w:rPr>
          <w:spacing w:val="31"/>
        </w:rPr>
        <w:t xml:space="preserve"> </w:t>
      </w:r>
      <w:r>
        <w:t>integration</w:t>
      </w:r>
      <w:r>
        <w:rPr>
          <w:spacing w:val="34"/>
        </w:rPr>
        <w:t xml:space="preserve"> </w:t>
      </w:r>
      <w:r>
        <w:t>and</w:t>
      </w:r>
      <w:r>
        <w:rPr>
          <w:spacing w:val="33"/>
        </w:rPr>
        <w:t xml:space="preserve"> </w:t>
      </w:r>
      <w:r>
        <w:t>sustainable economic development and seeking to build on its potential in this regard</w:t>
      </w:r>
      <w:r>
        <w:rPr>
          <w:b/>
        </w:rPr>
        <w:t>;</w:t>
      </w:r>
    </w:p>
    <w:p w14:paraId="761677DC" w14:textId="77777777" w:rsidR="003867DF" w:rsidRDefault="003867DF" w:rsidP="00BD18EB">
      <w:pPr>
        <w:pStyle w:val="BodyText"/>
        <w:spacing w:before="120" w:after="120" w:line="240" w:lineRule="atLeast"/>
        <w:jc w:val="both"/>
      </w:pPr>
      <w:r>
        <w:rPr>
          <w:b/>
          <w:spacing w:val="-2"/>
        </w:rPr>
        <w:t>Acknowledging</w:t>
      </w:r>
      <w:r>
        <w:rPr>
          <w:b/>
          <w:spacing w:val="-7"/>
        </w:rPr>
        <w:t xml:space="preserve"> </w:t>
      </w:r>
      <w:r>
        <w:rPr>
          <w:spacing w:val="-2"/>
        </w:rPr>
        <w:t>that</w:t>
      </w:r>
      <w:r>
        <w:rPr>
          <w:spacing w:val="-3"/>
        </w:rPr>
        <w:t xml:space="preserve"> </w:t>
      </w:r>
      <w:r>
        <w:rPr>
          <w:spacing w:val="-2"/>
        </w:rPr>
        <w:t>the</w:t>
      </w:r>
      <w:r>
        <w:rPr>
          <w:spacing w:val="-6"/>
        </w:rPr>
        <w:t xml:space="preserve"> </w:t>
      </w:r>
      <w:r>
        <w:rPr>
          <w:spacing w:val="-2"/>
        </w:rPr>
        <w:t>FTA</w:t>
      </w:r>
      <w:r>
        <w:rPr>
          <w:spacing w:val="-1"/>
        </w:rPr>
        <w:t xml:space="preserve"> </w:t>
      </w:r>
      <w:r>
        <w:rPr>
          <w:spacing w:val="-2"/>
        </w:rPr>
        <w:t>Joint</w:t>
      </w:r>
      <w:r>
        <w:t xml:space="preserve"> </w:t>
      </w:r>
      <w:r>
        <w:rPr>
          <w:spacing w:val="-2"/>
        </w:rPr>
        <w:t>Committee</w:t>
      </w:r>
      <w:r>
        <w:rPr>
          <w:spacing w:val="-3"/>
        </w:rPr>
        <w:t xml:space="preserve"> </w:t>
      </w:r>
      <w:r>
        <w:rPr>
          <w:spacing w:val="-2"/>
        </w:rPr>
        <w:t>(FJC) recommendations</w:t>
      </w:r>
      <w:r>
        <w:rPr>
          <w:spacing w:val="-4"/>
        </w:rPr>
        <w:t xml:space="preserve"> </w:t>
      </w:r>
      <w:r>
        <w:rPr>
          <w:spacing w:val="-2"/>
        </w:rPr>
        <w:t>for</w:t>
      </w:r>
      <w:r>
        <w:rPr>
          <w:spacing w:val="-3"/>
        </w:rPr>
        <w:t xml:space="preserve"> </w:t>
      </w:r>
      <w:r>
        <w:rPr>
          <w:spacing w:val="-2"/>
        </w:rPr>
        <w:t>the</w:t>
      </w:r>
      <w:r>
        <w:t xml:space="preserve"> </w:t>
      </w:r>
      <w:r>
        <w:rPr>
          <w:spacing w:val="-2"/>
        </w:rPr>
        <w:t>General</w:t>
      </w:r>
      <w:r>
        <w:t xml:space="preserve"> </w:t>
      </w:r>
      <w:r>
        <w:rPr>
          <w:spacing w:val="-2"/>
        </w:rPr>
        <w:t>Review,</w:t>
      </w:r>
    </w:p>
    <w:p w14:paraId="09AEDF9E" w14:textId="07565EAD" w:rsidR="003867DF" w:rsidRDefault="003867DF" w:rsidP="00BD18EB">
      <w:pPr>
        <w:pStyle w:val="BodyText"/>
        <w:spacing w:before="120" w:after="120" w:line="240" w:lineRule="atLeast"/>
        <w:ind w:right="23"/>
        <w:jc w:val="both"/>
      </w:pPr>
      <w:r>
        <w:t>if endorsed by Ministers, will set a baseline for future negotiations, the outcomes of which should ensure the Agreement retains its relevance to business and adds value to developments in other fora including the Regional Comprehensive Economic Partnership (RCEP) negotiations;</w:t>
      </w:r>
    </w:p>
    <w:p w14:paraId="572DB4D0" w14:textId="0DA3CE2D" w:rsidR="003867DF" w:rsidRDefault="003867DF" w:rsidP="00BD18EB">
      <w:pPr>
        <w:pStyle w:val="BodyText"/>
        <w:spacing w:before="120" w:after="120" w:line="240" w:lineRule="atLeast"/>
        <w:jc w:val="both"/>
      </w:pPr>
      <w:r>
        <w:t>The</w:t>
      </w:r>
      <w:r>
        <w:rPr>
          <w:spacing w:val="-16"/>
        </w:rPr>
        <w:t xml:space="preserve"> </w:t>
      </w:r>
      <w:r>
        <w:t>FJC</w:t>
      </w:r>
      <w:r>
        <w:rPr>
          <w:spacing w:val="-13"/>
        </w:rPr>
        <w:t xml:space="preserve"> </w:t>
      </w:r>
      <w:r>
        <w:rPr>
          <w:b/>
        </w:rPr>
        <w:t>proposes</w:t>
      </w:r>
      <w:r>
        <w:rPr>
          <w:b/>
          <w:spacing w:val="-13"/>
        </w:rPr>
        <w:t xml:space="preserve"> </w:t>
      </w:r>
      <w:r>
        <w:t>Ministers</w:t>
      </w:r>
      <w:r>
        <w:rPr>
          <w:spacing w:val="-10"/>
        </w:rPr>
        <w:t xml:space="preserve"> </w:t>
      </w:r>
      <w:r>
        <w:t>agree</w:t>
      </w:r>
      <w:r>
        <w:rPr>
          <w:spacing w:val="-13"/>
        </w:rPr>
        <w:t xml:space="preserve"> </w:t>
      </w:r>
      <w:r>
        <w:t>to</w:t>
      </w:r>
      <w:r>
        <w:rPr>
          <w:spacing w:val="-14"/>
        </w:rPr>
        <w:t xml:space="preserve"> </w:t>
      </w:r>
      <w:r>
        <w:t>the</w:t>
      </w:r>
      <w:r>
        <w:rPr>
          <w:spacing w:val="-13"/>
        </w:rPr>
        <w:t xml:space="preserve"> </w:t>
      </w:r>
      <w:r>
        <w:t>recommendations</w:t>
      </w:r>
      <w:r>
        <w:rPr>
          <w:spacing w:val="-12"/>
        </w:rPr>
        <w:t xml:space="preserve"> </w:t>
      </w:r>
      <w:r>
        <w:t>listed</w:t>
      </w:r>
      <w:r>
        <w:rPr>
          <w:spacing w:val="-11"/>
        </w:rPr>
        <w:t xml:space="preserve"> </w:t>
      </w:r>
      <w:r>
        <w:t>below,</w:t>
      </w:r>
      <w:r>
        <w:rPr>
          <w:spacing w:val="-12"/>
        </w:rPr>
        <w:t xml:space="preserve"> </w:t>
      </w:r>
      <w:r>
        <w:t>to</w:t>
      </w:r>
      <w:r>
        <w:rPr>
          <w:spacing w:val="-14"/>
        </w:rPr>
        <w:t xml:space="preserve"> </w:t>
      </w:r>
      <w:r>
        <w:t>guide</w:t>
      </w:r>
      <w:r>
        <w:rPr>
          <w:spacing w:val="-13"/>
        </w:rPr>
        <w:t xml:space="preserve"> </w:t>
      </w:r>
      <w:r>
        <w:rPr>
          <w:spacing w:val="-2"/>
        </w:rPr>
        <w:t>negotiations</w:t>
      </w:r>
    </w:p>
    <w:p w14:paraId="0F7E8354" w14:textId="77777777" w:rsidR="003867DF" w:rsidRDefault="003867DF" w:rsidP="00BD18EB">
      <w:pPr>
        <w:pStyle w:val="BodyText"/>
        <w:spacing w:before="120" w:after="120" w:line="240" w:lineRule="atLeast"/>
        <w:ind w:right="17"/>
        <w:jc w:val="both"/>
      </w:pPr>
      <w:r>
        <w:t>to upgrade AANZFTA. The FJC proposes that officials commence implementation of the recommendations at the 11</w:t>
      </w:r>
      <w:r>
        <w:rPr>
          <w:vertAlign w:val="superscript"/>
        </w:rPr>
        <w:t>th</w:t>
      </w:r>
      <w:r>
        <w:t xml:space="preserve"> FJC Meeting and Related Meetings in Australia in the first half of 2019, with a view to concluding text of a second protocol to amend AANZFTA within an expeditious timeframe. The FJC will devise a workplan that </w:t>
      </w:r>
      <w:proofErr w:type="gramStart"/>
      <w:r>
        <w:t>takes into account</w:t>
      </w:r>
      <w:proofErr w:type="gramEnd"/>
      <w:r>
        <w:t xml:space="preserve"> progress in other negotiations in determining the schedule of meetings to implement the recommendations.</w:t>
      </w:r>
      <w:r>
        <w:rPr>
          <w:spacing w:val="-6"/>
        </w:rPr>
        <w:t xml:space="preserve"> </w:t>
      </w:r>
      <w:r>
        <w:t>The</w:t>
      </w:r>
      <w:r>
        <w:rPr>
          <w:spacing w:val="-4"/>
        </w:rPr>
        <w:t xml:space="preserve"> </w:t>
      </w:r>
      <w:r>
        <w:t>FJC</w:t>
      </w:r>
      <w:r>
        <w:rPr>
          <w:spacing w:val="-5"/>
        </w:rPr>
        <w:t xml:space="preserve"> </w:t>
      </w:r>
      <w:r>
        <w:t>may</w:t>
      </w:r>
      <w:r>
        <w:rPr>
          <w:spacing w:val="-5"/>
        </w:rPr>
        <w:t xml:space="preserve"> </w:t>
      </w:r>
      <w:r>
        <w:t>thus</w:t>
      </w:r>
      <w:r>
        <w:rPr>
          <w:spacing w:val="-8"/>
        </w:rPr>
        <w:t xml:space="preserve"> </w:t>
      </w:r>
      <w:proofErr w:type="spellStart"/>
      <w:r>
        <w:t>prioritise</w:t>
      </w:r>
      <w:proofErr w:type="spellEnd"/>
      <w:r>
        <w:rPr>
          <w:spacing w:val="-5"/>
        </w:rPr>
        <w:t xml:space="preserve"> </w:t>
      </w:r>
      <w:r>
        <w:t>some</w:t>
      </w:r>
      <w:r>
        <w:rPr>
          <w:spacing w:val="-4"/>
        </w:rPr>
        <w:t xml:space="preserve"> </w:t>
      </w:r>
      <w:r>
        <w:t>areas</w:t>
      </w:r>
      <w:r>
        <w:rPr>
          <w:spacing w:val="-7"/>
        </w:rPr>
        <w:t xml:space="preserve"> </w:t>
      </w:r>
      <w:r>
        <w:t>for</w:t>
      </w:r>
      <w:r>
        <w:rPr>
          <w:spacing w:val="-6"/>
        </w:rPr>
        <w:t xml:space="preserve"> </w:t>
      </w:r>
      <w:r>
        <w:t>early</w:t>
      </w:r>
      <w:r>
        <w:rPr>
          <w:spacing w:val="-8"/>
        </w:rPr>
        <w:t xml:space="preserve"> </w:t>
      </w:r>
      <w:r>
        <w:t>discussion</w:t>
      </w:r>
      <w:r>
        <w:rPr>
          <w:spacing w:val="-4"/>
        </w:rPr>
        <w:t xml:space="preserve"> </w:t>
      </w:r>
      <w:r>
        <w:t>before</w:t>
      </w:r>
      <w:r>
        <w:rPr>
          <w:spacing w:val="-4"/>
        </w:rPr>
        <w:t xml:space="preserve"> </w:t>
      </w:r>
      <w:r>
        <w:t>others.</w:t>
      </w:r>
    </w:p>
    <w:p w14:paraId="2D97FA17" w14:textId="77777777" w:rsidR="003867DF" w:rsidRPr="00BD18EB" w:rsidRDefault="003867DF" w:rsidP="00BD18EB">
      <w:pPr>
        <w:pStyle w:val="Heading2"/>
      </w:pPr>
      <w:r w:rsidRPr="00BD18EB">
        <w:t>Rules of Origin</w:t>
      </w:r>
    </w:p>
    <w:p w14:paraId="519363F5" w14:textId="77777777" w:rsidR="003867DF" w:rsidRDefault="003867DF" w:rsidP="00BD18EB">
      <w:pPr>
        <w:pStyle w:val="BodyText"/>
        <w:spacing w:before="120" w:after="120" w:line="240" w:lineRule="atLeast"/>
      </w:pPr>
      <w:r>
        <w:t>Review</w:t>
      </w:r>
      <w:r>
        <w:rPr>
          <w:spacing w:val="-8"/>
        </w:rPr>
        <w:t xml:space="preserve"> </w:t>
      </w:r>
      <w:r>
        <w:t>ROO</w:t>
      </w:r>
      <w:r>
        <w:rPr>
          <w:spacing w:val="-7"/>
        </w:rPr>
        <w:t xml:space="preserve"> </w:t>
      </w:r>
      <w:r>
        <w:t>text</w:t>
      </w:r>
      <w:r>
        <w:rPr>
          <w:spacing w:val="-7"/>
        </w:rPr>
        <w:t xml:space="preserve"> </w:t>
      </w:r>
      <w:r>
        <w:t>and</w:t>
      </w:r>
      <w:r>
        <w:rPr>
          <w:spacing w:val="-8"/>
        </w:rPr>
        <w:t xml:space="preserve"> </w:t>
      </w:r>
      <w:r>
        <w:t>update</w:t>
      </w:r>
      <w:r>
        <w:rPr>
          <w:spacing w:val="-8"/>
        </w:rPr>
        <w:t xml:space="preserve"> </w:t>
      </w:r>
      <w:r>
        <w:t>as</w:t>
      </w:r>
      <w:r>
        <w:rPr>
          <w:spacing w:val="-9"/>
        </w:rPr>
        <w:t xml:space="preserve"> </w:t>
      </w:r>
      <w:r>
        <w:t>required</w:t>
      </w:r>
      <w:r>
        <w:rPr>
          <w:spacing w:val="-8"/>
        </w:rPr>
        <w:t xml:space="preserve"> </w:t>
      </w:r>
      <w:r>
        <w:t>to</w:t>
      </w:r>
      <w:r>
        <w:rPr>
          <w:spacing w:val="-9"/>
        </w:rPr>
        <w:t xml:space="preserve"> </w:t>
      </w:r>
      <w:proofErr w:type="gramStart"/>
      <w:r>
        <w:t>take</w:t>
      </w:r>
      <w:r>
        <w:rPr>
          <w:spacing w:val="-5"/>
        </w:rPr>
        <w:t xml:space="preserve"> </w:t>
      </w:r>
      <w:r>
        <w:t>into</w:t>
      </w:r>
      <w:r>
        <w:rPr>
          <w:spacing w:val="-8"/>
        </w:rPr>
        <w:t xml:space="preserve"> </w:t>
      </w:r>
      <w:r>
        <w:t>account</w:t>
      </w:r>
      <w:proofErr w:type="gramEnd"/>
      <w:r>
        <w:rPr>
          <w:spacing w:val="-7"/>
        </w:rPr>
        <w:t xml:space="preserve"> </w:t>
      </w:r>
      <w:r>
        <w:t>modern</w:t>
      </w:r>
      <w:r>
        <w:rPr>
          <w:spacing w:val="-10"/>
        </w:rPr>
        <w:t xml:space="preserve"> </w:t>
      </w:r>
      <w:r>
        <w:t>trade</w:t>
      </w:r>
      <w:r>
        <w:rPr>
          <w:spacing w:val="-6"/>
        </w:rPr>
        <w:t xml:space="preserve"> </w:t>
      </w:r>
      <w:r>
        <w:t>practices</w:t>
      </w:r>
      <w:r>
        <w:rPr>
          <w:spacing w:val="-6"/>
        </w:rPr>
        <w:t xml:space="preserve"> </w:t>
      </w:r>
      <w:r>
        <w:rPr>
          <w:spacing w:val="-5"/>
        </w:rPr>
        <w:t>and</w:t>
      </w:r>
    </w:p>
    <w:p w14:paraId="1E6E9063" w14:textId="77777777" w:rsidR="003867DF" w:rsidRDefault="003867DF" w:rsidP="00BD18EB">
      <w:pPr>
        <w:pStyle w:val="BodyText"/>
        <w:spacing w:before="120" w:after="120" w:line="240" w:lineRule="atLeast"/>
      </w:pPr>
      <w:r>
        <w:t>make</w:t>
      </w:r>
      <w:r>
        <w:rPr>
          <w:spacing w:val="-3"/>
        </w:rPr>
        <w:t xml:space="preserve"> </w:t>
      </w:r>
      <w:r>
        <w:t>ROO</w:t>
      </w:r>
      <w:r>
        <w:rPr>
          <w:spacing w:val="-2"/>
        </w:rPr>
        <w:t xml:space="preserve"> </w:t>
      </w:r>
      <w:r>
        <w:t>easier</w:t>
      </w:r>
      <w:r>
        <w:rPr>
          <w:spacing w:val="-2"/>
        </w:rPr>
        <w:t xml:space="preserve"> </w:t>
      </w:r>
      <w:r>
        <w:t>to</w:t>
      </w:r>
      <w:r>
        <w:rPr>
          <w:spacing w:val="-3"/>
        </w:rPr>
        <w:t xml:space="preserve"> </w:t>
      </w:r>
      <w:r>
        <w:t>use</w:t>
      </w:r>
      <w:r>
        <w:rPr>
          <w:spacing w:val="-3"/>
        </w:rPr>
        <w:t xml:space="preserve"> </w:t>
      </w:r>
      <w:r>
        <w:t>by</w:t>
      </w:r>
      <w:r>
        <w:rPr>
          <w:spacing w:val="-1"/>
        </w:rPr>
        <w:t xml:space="preserve"> </w:t>
      </w:r>
      <w:r>
        <w:t>traders,</w:t>
      </w:r>
      <w:r>
        <w:rPr>
          <w:spacing w:val="-4"/>
        </w:rPr>
        <w:t xml:space="preserve"> </w:t>
      </w:r>
      <w:r>
        <w:t>as</w:t>
      </w:r>
      <w:r>
        <w:rPr>
          <w:spacing w:val="-1"/>
        </w:rPr>
        <w:t xml:space="preserve"> </w:t>
      </w:r>
      <w:r>
        <w:t>per Article</w:t>
      </w:r>
      <w:r>
        <w:rPr>
          <w:spacing w:val="-2"/>
        </w:rPr>
        <w:t xml:space="preserve"> </w:t>
      </w:r>
      <w:r>
        <w:t>18</w:t>
      </w:r>
      <w:r>
        <w:rPr>
          <w:spacing w:val="1"/>
        </w:rPr>
        <w:t xml:space="preserve"> </w:t>
      </w:r>
      <w:r>
        <w:t>of Chapter</w:t>
      </w:r>
      <w:r>
        <w:rPr>
          <w:spacing w:val="-1"/>
        </w:rPr>
        <w:t xml:space="preserve"> </w:t>
      </w:r>
      <w:r>
        <w:t>3</w:t>
      </w:r>
      <w:r>
        <w:rPr>
          <w:spacing w:val="-2"/>
        </w:rPr>
        <w:t xml:space="preserve"> </w:t>
      </w:r>
      <w:r>
        <w:t>of AANZFTA,</w:t>
      </w:r>
      <w:r>
        <w:rPr>
          <w:spacing w:val="-1"/>
        </w:rPr>
        <w:t xml:space="preserve"> </w:t>
      </w:r>
      <w:r>
        <w:rPr>
          <w:spacing w:val="-2"/>
        </w:rPr>
        <w:t>including:</w:t>
      </w:r>
    </w:p>
    <w:p w14:paraId="7052A268" w14:textId="77777777" w:rsidR="003867DF" w:rsidRDefault="003867DF" w:rsidP="00BD18EB">
      <w:pPr>
        <w:pStyle w:val="BodyText"/>
        <w:numPr>
          <w:ilvl w:val="0"/>
          <w:numId w:val="1"/>
        </w:numPr>
        <w:spacing w:before="120" w:after="120" w:line="240" w:lineRule="atLeast"/>
      </w:pPr>
      <w:proofErr w:type="gramStart"/>
      <w:r>
        <w:t>a</w:t>
      </w:r>
      <w:r>
        <w:rPr>
          <w:spacing w:val="-6"/>
        </w:rPr>
        <w:t xml:space="preserve"> </w:t>
      </w:r>
      <w:r>
        <w:t>trade</w:t>
      </w:r>
      <w:r>
        <w:rPr>
          <w:spacing w:val="-5"/>
        </w:rPr>
        <w:t xml:space="preserve"> </w:t>
      </w:r>
      <w:r>
        <w:t>facilitating</w:t>
      </w:r>
      <w:r>
        <w:rPr>
          <w:spacing w:val="-5"/>
        </w:rPr>
        <w:t xml:space="preserve"> </w:t>
      </w:r>
      <w:r>
        <w:t>documentary</w:t>
      </w:r>
      <w:r>
        <w:rPr>
          <w:spacing w:val="-4"/>
        </w:rPr>
        <w:t xml:space="preserve"> </w:t>
      </w:r>
      <w:r>
        <w:t>evidence</w:t>
      </w:r>
      <w:proofErr w:type="gramEnd"/>
      <w:r>
        <w:rPr>
          <w:spacing w:val="-4"/>
        </w:rPr>
        <w:t xml:space="preserve"> </w:t>
      </w:r>
      <w:r>
        <w:t>of</w:t>
      </w:r>
      <w:r>
        <w:rPr>
          <w:spacing w:val="-4"/>
        </w:rPr>
        <w:t xml:space="preserve"> </w:t>
      </w:r>
      <w:r>
        <w:t>origin</w:t>
      </w:r>
      <w:r>
        <w:rPr>
          <w:spacing w:val="-2"/>
        </w:rPr>
        <w:t xml:space="preserve"> system</w:t>
      </w:r>
    </w:p>
    <w:p w14:paraId="2D2D6233" w14:textId="77777777" w:rsidR="003867DF" w:rsidRDefault="003867DF" w:rsidP="00BD18EB">
      <w:pPr>
        <w:pStyle w:val="BodyText"/>
        <w:numPr>
          <w:ilvl w:val="0"/>
          <w:numId w:val="1"/>
        </w:numPr>
        <w:spacing w:before="120" w:after="120" w:line="240" w:lineRule="atLeast"/>
      </w:pPr>
      <w:r>
        <w:t>transit</w:t>
      </w:r>
      <w:r>
        <w:rPr>
          <w:spacing w:val="-6"/>
        </w:rPr>
        <w:t xml:space="preserve"> </w:t>
      </w:r>
      <w:r>
        <w:t>arrangements</w:t>
      </w:r>
      <w:r>
        <w:rPr>
          <w:spacing w:val="-9"/>
        </w:rPr>
        <w:t xml:space="preserve"> </w:t>
      </w:r>
      <w:r>
        <w:t>that</w:t>
      </w:r>
      <w:r>
        <w:rPr>
          <w:spacing w:val="-6"/>
        </w:rPr>
        <w:t xml:space="preserve"> </w:t>
      </w:r>
      <w:r>
        <w:t>reflect</w:t>
      </w:r>
      <w:r>
        <w:rPr>
          <w:spacing w:val="-8"/>
        </w:rPr>
        <w:t xml:space="preserve"> </w:t>
      </w:r>
      <w:r>
        <w:t>modern</w:t>
      </w:r>
      <w:r>
        <w:rPr>
          <w:spacing w:val="-8"/>
        </w:rPr>
        <w:t xml:space="preserve"> </w:t>
      </w:r>
      <w:proofErr w:type="spellStart"/>
      <w:r>
        <w:t>hubbing</w:t>
      </w:r>
      <w:proofErr w:type="spellEnd"/>
      <w:r>
        <w:rPr>
          <w:spacing w:val="-9"/>
        </w:rPr>
        <w:t xml:space="preserve"> </w:t>
      </w:r>
      <w:r>
        <w:t>practices reach an outcome on built-in agenda issues.</w:t>
      </w:r>
    </w:p>
    <w:p w14:paraId="595CB520" w14:textId="549D7706" w:rsidR="003867DF" w:rsidRDefault="003867DF" w:rsidP="00BD18EB">
      <w:pPr>
        <w:pStyle w:val="BodyText"/>
        <w:numPr>
          <w:ilvl w:val="0"/>
          <w:numId w:val="1"/>
        </w:numPr>
        <w:spacing w:before="120" w:after="120" w:line="240" w:lineRule="atLeast"/>
      </w:pPr>
      <w:r>
        <w:t>reach an outcome on built-in agenda issues.</w:t>
      </w:r>
    </w:p>
    <w:p w14:paraId="473B5E44" w14:textId="77777777" w:rsidR="003867DF" w:rsidRPr="00BD18EB" w:rsidRDefault="003867DF" w:rsidP="00BD18EB">
      <w:pPr>
        <w:pStyle w:val="Heading2"/>
      </w:pPr>
      <w:r w:rsidRPr="00BD18EB">
        <w:t>Customs Procedures</w:t>
      </w:r>
    </w:p>
    <w:p w14:paraId="4B9C39E8" w14:textId="44CFBD49" w:rsidR="00BD18EB" w:rsidRDefault="003867DF" w:rsidP="00BD18EB">
      <w:pPr>
        <w:pStyle w:val="BodyText"/>
        <w:numPr>
          <w:ilvl w:val="0"/>
          <w:numId w:val="3"/>
        </w:numPr>
        <w:tabs>
          <w:tab w:val="left" w:pos="303"/>
        </w:tabs>
        <w:spacing w:before="120" w:after="120" w:line="240" w:lineRule="atLeast"/>
        <w:ind w:right="17"/>
      </w:pPr>
      <w:r w:rsidRPr="00BD18EB">
        <w:t xml:space="preserve"> Review</w:t>
      </w:r>
      <w:r w:rsidRPr="00BD18EB">
        <w:rPr>
          <w:spacing w:val="-14"/>
        </w:rPr>
        <w:t xml:space="preserve"> </w:t>
      </w:r>
      <w:r w:rsidRPr="00BD18EB">
        <w:t>and</w:t>
      </w:r>
      <w:r w:rsidRPr="00BD18EB">
        <w:rPr>
          <w:spacing w:val="-14"/>
        </w:rPr>
        <w:t xml:space="preserve"> </w:t>
      </w:r>
      <w:r w:rsidRPr="00BD18EB">
        <w:t>expand</w:t>
      </w:r>
      <w:r w:rsidRPr="00BD18EB">
        <w:rPr>
          <w:spacing w:val="-13"/>
        </w:rPr>
        <w:t xml:space="preserve"> </w:t>
      </w:r>
      <w:r w:rsidRPr="00BD18EB">
        <w:t>the</w:t>
      </w:r>
      <w:r w:rsidRPr="00BD18EB">
        <w:rPr>
          <w:spacing w:val="-14"/>
        </w:rPr>
        <w:t xml:space="preserve"> </w:t>
      </w:r>
      <w:r w:rsidRPr="00BD18EB">
        <w:t>Customs</w:t>
      </w:r>
      <w:r w:rsidRPr="00BD18EB">
        <w:rPr>
          <w:spacing w:val="-13"/>
        </w:rPr>
        <w:t xml:space="preserve"> </w:t>
      </w:r>
      <w:r w:rsidRPr="00BD18EB">
        <w:t>Procedures</w:t>
      </w:r>
      <w:r w:rsidRPr="00BD18EB">
        <w:rPr>
          <w:spacing w:val="-14"/>
        </w:rPr>
        <w:t xml:space="preserve"> </w:t>
      </w:r>
      <w:r w:rsidRPr="00BD18EB">
        <w:t>Chapter</w:t>
      </w:r>
      <w:r w:rsidRPr="00BD18EB">
        <w:rPr>
          <w:spacing w:val="-13"/>
        </w:rPr>
        <w:t xml:space="preserve"> </w:t>
      </w:r>
      <w:r w:rsidRPr="00BD18EB">
        <w:t>to</w:t>
      </w:r>
      <w:r w:rsidRPr="00BD18EB">
        <w:rPr>
          <w:spacing w:val="-14"/>
        </w:rPr>
        <w:t xml:space="preserve"> </w:t>
      </w:r>
      <w:r w:rsidRPr="00BD18EB">
        <w:t>include</w:t>
      </w:r>
      <w:r w:rsidRPr="00BD18EB">
        <w:rPr>
          <w:spacing w:val="-14"/>
        </w:rPr>
        <w:t xml:space="preserve"> </w:t>
      </w:r>
      <w:r w:rsidRPr="00BD18EB">
        <w:t>trade</w:t>
      </w:r>
      <w:r w:rsidRPr="00BD18EB">
        <w:rPr>
          <w:spacing w:val="-13"/>
        </w:rPr>
        <w:t xml:space="preserve"> </w:t>
      </w:r>
      <w:r w:rsidRPr="00BD18EB">
        <w:t>facilitation,</w:t>
      </w:r>
      <w:r w:rsidRPr="00BD18EB">
        <w:rPr>
          <w:spacing w:val="-14"/>
        </w:rPr>
        <w:t xml:space="preserve"> </w:t>
      </w:r>
      <w:r w:rsidRPr="00BD18EB">
        <w:t>including consideration of the provisions of the WTO Trade Facilitation Agreement.</w:t>
      </w:r>
    </w:p>
    <w:p w14:paraId="709D7BF9" w14:textId="77777777" w:rsidR="00BD18EB" w:rsidRDefault="00BD18EB">
      <w:pPr>
        <w:widowControl/>
        <w:autoSpaceDE/>
        <w:autoSpaceDN/>
        <w:spacing w:after="160" w:line="278" w:lineRule="auto"/>
        <w:rPr>
          <w:sz w:val="24"/>
          <w:szCs w:val="24"/>
        </w:rPr>
      </w:pPr>
      <w:r>
        <w:br w:type="page"/>
      </w:r>
    </w:p>
    <w:p w14:paraId="49C9EC3D" w14:textId="77777777" w:rsidR="003867DF" w:rsidRPr="00BD18EB" w:rsidRDefault="003867DF" w:rsidP="00BD18EB">
      <w:pPr>
        <w:pStyle w:val="Heading2"/>
      </w:pPr>
      <w:r w:rsidRPr="00BD18EB">
        <w:lastRenderedPageBreak/>
        <w:t>Trade</w:t>
      </w:r>
      <w:r w:rsidRPr="00BD18EB">
        <w:rPr>
          <w:spacing w:val="-3"/>
        </w:rPr>
        <w:t xml:space="preserve"> </w:t>
      </w:r>
      <w:r w:rsidRPr="00BD18EB">
        <w:t xml:space="preserve">in </w:t>
      </w:r>
      <w:r w:rsidRPr="00BD18EB">
        <w:rPr>
          <w:spacing w:val="-2"/>
        </w:rPr>
        <w:t>Services</w:t>
      </w:r>
    </w:p>
    <w:p w14:paraId="2F815113" w14:textId="02FFF20F" w:rsidR="003867DF" w:rsidRPr="00BD18EB" w:rsidRDefault="003867DF" w:rsidP="00BD18EB">
      <w:pPr>
        <w:pStyle w:val="BodyText"/>
        <w:numPr>
          <w:ilvl w:val="0"/>
          <w:numId w:val="4"/>
        </w:numPr>
        <w:spacing w:before="120" w:after="120" w:line="240" w:lineRule="atLeast"/>
      </w:pPr>
      <w:r w:rsidRPr="00BD18EB">
        <w:t>Review</w:t>
      </w:r>
      <w:r w:rsidRPr="00BD18EB">
        <w:rPr>
          <w:spacing w:val="8"/>
        </w:rPr>
        <w:t xml:space="preserve"> </w:t>
      </w:r>
      <w:r w:rsidRPr="00BD18EB">
        <w:t>services</w:t>
      </w:r>
      <w:r w:rsidRPr="00BD18EB">
        <w:rPr>
          <w:spacing w:val="8"/>
        </w:rPr>
        <w:t xml:space="preserve"> </w:t>
      </w:r>
      <w:r w:rsidRPr="00BD18EB">
        <w:t>commitments</w:t>
      </w:r>
      <w:r w:rsidRPr="00BD18EB">
        <w:rPr>
          <w:spacing w:val="9"/>
        </w:rPr>
        <w:t xml:space="preserve"> </w:t>
      </w:r>
      <w:r w:rsidRPr="00BD18EB">
        <w:t>and</w:t>
      </w:r>
      <w:r w:rsidRPr="00BD18EB">
        <w:rPr>
          <w:spacing w:val="9"/>
        </w:rPr>
        <w:t xml:space="preserve"> </w:t>
      </w:r>
      <w:r w:rsidRPr="00BD18EB">
        <w:t>Chapter</w:t>
      </w:r>
      <w:r w:rsidRPr="00BD18EB">
        <w:rPr>
          <w:spacing w:val="9"/>
        </w:rPr>
        <w:t xml:space="preserve"> </w:t>
      </w:r>
      <w:r w:rsidRPr="00BD18EB">
        <w:t>text</w:t>
      </w:r>
      <w:r w:rsidRPr="00BD18EB">
        <w:rPr>
          <w:spacing w:val="8"/>
        </w:rPr>
        <w:t xml:space="preserve"> </w:t>
      </w:r>
      <w:r w:rsidRPr="00BD18EB">
        <w:t>(including</w:t>
      </w:r>
      <w:r w:rsidRPr="00BD18EB">
        <w:rPr>
          <w:spacing w:val="8"/>
        </w:rPr>
        <w:t xml:space="preserve"> </w:t>
      </w:r>
      <w:r w:rsidRPr="00BD18EB">
        <w:t>related</w:t>
      </w:r>
      <w:r w:rsidRPr="00BD18EB">
        <w:rPr>
          <w:spacing w:val="10"/>
        </w:rPr>
        <w:t xml:space="preserve"> </w:t>
      </w:r>
      <w:r w:rsidRPr="00BD18EB">
        <w:t>Annexes)</w:t>
      </w:r>
      <w:r w:rsidRPr="00BD18EB">
        <w:rPr>
          <w:spacing w:val="9"/>
        </w:rPr>
        <w:t xml:space="preserve"> </w:t>
      </w:r>
      <w:r w:rsidRPr="00BD18EB">
        <w:t>with</w:t>
      </w:r>
      <w:r w:rsidRPr="00BD18EB">
        <w:rPr>
          <w:spacing w:val="9"/>
        </w:rPr>
        <w:t xml:space="preserve"> </w:t>
      </w:r>
      <w:r w:rsidRPr="00BD18EB">
        <w:t>a</w:t>
      </w:r>
      <w:r w:rsidRPr="00BD18EB">
        <w:rPr>
          <w:spacing w:val="9"/>
        </w:rPr>
        <w:t xml:space="preserve"> </w:t>
      </w:r>
      <w:r w:rsidRPr="00BD18EB">
        <w:rPr>
          <w:spacing w:val="-4"/>
        </w:rPr>
        <w:t>view</w:t>
      </w:r>
    </w:p>
    <w:p w14:paraId="0F1004EC" w14:textId="77777777" w:rsidR="003867DF" w:rsidRPr="00BD18EB" w:rsidRDefault="003867DF" w:rsidP="00BD18EB">
      <w:pPr>
        <w:pStyle w:val="BodyText"/>
        <w:spacing w:before="120" w:after="120" w:line="240" w:lineRule="atLeast"/>
        <w:ind w:left="380"/>
      </w:pPr>
      <w:r w:rsidRPr="00BD18EB">
        <w:t xml:space="preserve">to update and upgrade AANZFTA, </w:t>
      </w:r>
      <w:proofErr w:type="gramStart"/>
      <w:r w:rsidRPr="00BD18EB">
        <w:t>taking into account</w:t>
      </w:r>
      <w:proofErr w:type="gramEnd"/>
      <w:r w:rsidRPr="00BD18EB">
        <w:t xml:space="preserve"> existing built-in agenda items and progress in other relevant free trade agreement processes.</w:t>
      </w:r>
    </w:p>
    <w:p w14:paraId="631335C9" w14:textId="77777777" w:rsidR="003867DF" w:rsidRPr="00BD18EB" w:rsidRDefault="003867DF" w:rsidP="00BD18EB">
      <w:pPr>
        <w:pStyle w:val="Heading2"/>
      </w:pPr>
      <w:r w:rsidRPr="00BD18EB">
        <w:t>Electronic</w:t>
      </w:r>
      <w:r w:rsidRPr="00BD18EB">
        <w:rPr>
          <w:spacing w:val="-3"/>
        </w:rPr>
        <w:t xml:space="preserve"> </w:t>
      </w:r>
      <w:r w:rsidRPr="00BD18EB">
        <w:rPr>
          <w:spacing w:val="-2"/>
        </w:rPr>
        <w:t>Commerce</w:t>
      </w:r>
    </w:p>
    <w:p w14:paraId="1195D232" w14:textId="77777777" w:rsidR="003867DF" w:rsidRPr="00BD18EB" w:rsidRDefault="003867DF" w:rsidP="00BD18EB">
      <w:pPr>
        <w:pStyle w:val="BodyText"/>
        <w:numPr>
          <w:ilvl w:val="0"/>
          <w:numId w:val="4"/>
        </w:numPr>
        <w:spacing w:before="120" w:after="120" w:line="240" w:lineRule="atLeast"/>
      </w:pPr>
      <w:proofErr w:type="gramStart"/>
      <w:r w:rsidRPr="00BD18EB">
        <w:t>Review</w:t>
      </w:r>
      <w:proofErr w:type="gramEnd"/>
      <w:r w:rsidRPr="00BD18EB">
        <w:rPr>
          <w:spacing w:val="-6"/>
        </w:rPr>
        <w:t xml:space="preserve"> </w:t>
      </w:r>
      <w:r w:rsidRPr="00BD18EB">
        <w:t>the</w:t>
      </w:r>
      <w:r w:rsidRPr="00BD18EB">
        <w:rPr>
          <w:spacing w:val="-4"/>
        </w:rPr>
        <w:t xml:space="preserve"> </w:t>
      </w:r>
      <w:r w:rsidRPr="00BD18EB">
        <w:t>Electronic</w:t>
      </w:r>
      <w:r w:rsidRPr="00BD18EB">
        <w:rPr>
          <w:spacing w:val="-3"/>
        </w:rPr>
        <w:t xml:space="preserve"> </w:t>
      </w:r>
      <w:r w:rsidRPr="00BD18EB">
        <w:t>Commerce</w:t>
      </w:r>
      <w:r w:rsidRPr="00BD18EB">
        <w:rPr>
          <w:spacing w:val="-3"/>
        </w:rPr>
        <w:t xml:space="preserve"> </w:t>
      </w:r>
      <w:proofErr w:type="gramStart"/>
      <w:r w:rsidRPr="00BD18EB">
        <w:t>Chapter</w:t>
      </w:r>
      <w:r w:rsidRPr="00BD18EB">
        <w:rPr>
          <w:spacing w:val="-4"/>
        </w:rPr>
        <w:t xml:space="preserve"> </w:t>
      </w:r>
      <w:r w:rsidRPr="00BD18EB">
        <w:t>text</w:t>
      </w:r>
      <w:proofErr w:type="gramEnd"/>
      <w:r w:rsidRPr="00BD18EB">
        <w:rPr>
          <w:spacing w:val="-4"/>
        </w:rPr>
        <w:t xml:space="preserve"> </w:t>
      </w:r>
      <w:r w:rsidRPr="00BD18EB">
        <w:t>to</w:t>
      </w:r>
      <w:r w:rsidRPr="00BD18EB">
        <w:rPr>
          <w:spacing w:val="-4"/>
        </w:rPr>
        <w:t xml:space="preserve"> </w:t>
      </w:r>
      <w:proofErr w:type="gramStart"/>
      <w:r w:rsidRPr="00BD18EB">
        <w:t>take</w:t>
      </w:r>
      <w:r w:rsidRPr="00BD18EB">
        <w:rPr>
          <w:spacing w:val="-2"/>
        </w:rPr>
        <w:t xml:space="preserve"> </w:t>
      </w:r>
      <w:r w:rsidRPr="00BD18EB">
        <w:t>into</w:t>
      </w:r>
      <w:r w:rsidRPr="00BD18EB">
        <w:rPr>
          <w:spacing w:val="-4"/>
        </w:rPr>
        <w:t xml:space="preserve"> </w:t>
      </w:r>
      <w:r w:rsidRPr="00BD18EB">
        <w:t>account</w:t>
      </w:r>
      <w:proofErr w:type="gramEnd"/>
      <w:r w:rsidRPr="00BD18EB">
        <w:rPr>
          <w:spacing w:val="-2"/>
        </w:rPr>
        <w:t xml:space="preserve"> </w:t>
      </w:r>
      <w:r w:rsidRPr="00BD18EB">
        <w:t>developments</w:t>
      </w:r>
      <w:r w:rsidRPr="00BD18EB">
        <w:rPr>
          <w:spacing w:val="-3"/>
        </w:rPr>
        <w:t xml:space="preserve"> </w:t>
      </w:r>
      <w:r w:rsidRPr="00BD18EB">
        <w:t>at</w:t>
      </w:r>
      <w:r w:rsidRPr="00BD18EB">
        <w:rPr>
          <w:spacing w:val="-3"/>
        </w:rPr>
        <w:t xml:space="preserve"> </w:t>
      </w:r>
      <w:r w:rsidRPr="00BD18EB">
        <w:rPr>
          <w:spacing w:val="-5"/>
        </w:rPr>
        <w:t>the</w:t>
      </w:r>
    </w:p>
    <w:p w14:paraId="3BAD83CF" w14:textId="77777777" w:rsidR="003867DF" w:rsidRPr="00BD18EB" w:rsidRDefault="003867DF" w:rsidP="00BD18EB">
      <w:pPr>
        <w:pStyle w:val="BodyText"/>
        <w:spacing w:before="120" w:after="120" w:line="240" w:lineRule="atLeast"/>
        <w:ind w:left="379"/>
      </w:pPr>
      <w:r w:rsidRPr="00BD18EB">
        <w:t>international,</w:t>
      </w:r>
      <w:r w:rsidRPr="00BD18EB">
        <w:rPr>
          <w:spacing w:val="-7"/>
        </w:rPr>
        <w:t xml:space="preserve"> </w:t>
      </w:r>
      <w:r w:rsidRPr="00BD18EB">
        <w:t>regional</w:t>
      </w:r>
      <w:r w:rsidRPr="00BD18EB">
        <w:rPr>
          <w:spacing w:val="-1"/>
        </w:rPr>
        <w:t xml:space="preserve"> </w:t>
      </w:r>
      <w:r w:rsidRPr="00BD18EB">
        <w:t>and</w:t>
      </w:r>
      <w:r w:rsidRPr="00BD18EB">
        <w:rPr>
          <w:spacing w:val="-1"/>
        </w:rPr>
        <w:t xml:space="preserve"> </w:t>
      </w:r>
      <w:r w:rsidRPr="00BD18EB">
        <w:t>national</w:t>
      </w:r>
      <w:r w:rsidRPr="00BD18EB">
        <w:rPr>
          <w:spacing w:val="-4"/>
        </w:rPr>
        <w:t xml:space="preserve"> </w:t>
      </w:r>
      <w:r w:rsidRPr="00BD18EB">
        <w:t>level,</w:t>
      </w:r>
      <w:r w:rsidRPr="00BD18EB">
        <w:rPr>
          <w:spacing w:val="-4"/>
        </w:rPr>
        <w:t xml:space="preserve"> </w:t>
      </w:r>
      <w:r w:rsidRPr="00BD18EB">
        <w:t>in</w:t>
      </w:r>
      <w:r w:rsidRPr="00BD18EB">
        <w:rPr>
          <w:spacing w:val="-4"/>
        </w:rPr>
        <w:t xml:space="preserve"> </w:t>
      </w:r>
      <w:r w:rsidRPr="00BD18EB">
        <w:t>relation</w:t>
      </w:r>
      <w:r w:rsidRPr="00BD18EB">
        <w:rPr>
          <w:spacing w:val="-2"/>
        </w:rPr>
        <w:t xml:space="preserve"> </w:t>
      </w:r>
      <w:r w:rsidRPr="00BD18EB">
        <w:t>to</w:t>
      </w:r>
      <w:r w:rsidRPr="00BD18EB">
        <w:rPr>
          <w:spacing w:val="-4"/>
        </w:rPr>
        <w:t xml:space="preserve"> </w:t>
      </w:r>
      <w:r w:rsidRPr="00BD18EB">
        <w:t>electronic</w:t>
      </w:r>
      <w:r w:rsidRPr="00BD18EB">
        <w:rPr>
          <w:spacing w:val="-2"/>
        </w:rPr>
        <w:t xml:space="preserve"> </w:t>
      </w:r>
      <w:r w:rsidRPr="00BD18EB">
        <w:t>commerce,</w:t>
      </w:r>
      <w:r w:rsidRPr="00BD18EB">
        <w:rPr>
          <w:spacing w:val="-2"/>
        </w:rPr>
        <w:t xml:space="preserve"> including:</w:t>
      </w:r>
    </w:p>
    <w:p w14:paraId="0AA66628" w14:textId="77777777" w:rsidR="003867DF" w:rsidRPr="00BD18EB" w:rsidRDefault="003867DF" w:rsidP="00BD18EB">
      <w:pPr>
        <w:pStyle w:val="BodyText"/>
        <w:numPr>
          <w:ilvl w:val="0"/>
          <w:numId w:val="5"/>
        </w:numPr>
        <w:tabs>
          <w:tab w:val="left" w:pos="738"/>
        </w:tabs>
        <w:spacing w:before="120" w:after="120" w:line="240" w:lineRule="atLeast"/>
        <w:ind w:left="1079" w:hanging="359"/>
      </w:pPr>
      <w:r w:rsidRPr="00BD18EB">
        <w:t>updating</w:t>
      </w:r>
      <w:r w:rsidRPr="00BD18EB">
        <w:rPr>
          <w:spacing w:val="-6"/>
        </w:rPr>
        <w:t xml:space="preserve"> </w:t>
      </w:r>
      <w:r w:rsidRPr="00BD18EB">
        <w:t>key</w:t>
      </w:r>
      <w:r w:rsidRPr="00BD18EB">
        <w:rPr>
          <w:spacing w:val="-5"/>
        </w:rPr>
        <w:t xml:space="preserve"> </w:t>
      </w:r>
      <w:r w:rsidRPr="00BD18EB">
        <w:t>provisions</w:t>
      </w:r>
      <w:r w:rsidRPr="00BD18EB">
        <w:rPr>
          <w:spacing w:val="-4"/>
        </w:rPr>
        <w:t xml:space="preserve"> </w:t>
      </w:r>
      <w:r w:rsidRPr="00BD18EB">
        <w:rPr>
          <w:spacing w:val="-5"/>
        </w:rPr>
        <w:t>and</w:t>
      </w:r>
    </w:p>
    <w:p w14:paraId="2CA9CAB9" w14:textId="77777777" w:rsidR="003867DF" w:rsidRPr="00BD18EB" w:rsidRDefault="003867DF" w:rsidP="00BD18EB">
      <w:pPr>
        <w:pStyle w:val="BodyText"/>
        <w:numPr>
          <w:ilvl w:val="0"/>
          <w:numId w:val="5"/>
        </w:numPr>
        <w:tabs>
          <w:tab w:val="left" w:pos="739"/>
        </w:tabs>
        <w:spacing w:before="120" w:after="120" w:line="240" w:lineRule="atLeast"/>
        <w:ind w:left="1080" w:right="268"/>
      </w:pPr>
      <w:r w:rsidRPr="00BD18EB">
        <w:t>discussing</w:t>
      </w:r>
      <w:r w:rsidRPr="00BD18EB">
        <w:rPr>
          <w:spacing w:val="-4"/>
        </w:rPr>
        <w:t xml:space="preserve"> </w:t>
      </w:r>
      <w:r w:rsidRPr="00BD18EB">
        <w:t>inclusion</w:t>
      </w:r>
      <w:r w:rsidRPr="00BD18EB">
        <w:rPr>
          <w:spacing w:val="-3"/>
        </w:rPr>
        <w:t xml:space="preserve"> </w:t>
      </w:r>
      <w:r w:rsidRPr="00BD18EB">
        <w:t>of</w:t>
      </w:r>
      <w:r w:rsidRPr="00BD18EB">
        <w:rPr>
          <w:spacing w:val="-5"/>
        </w:rPr>
        <w:t xml:space="preserve"> </w:t>
      </w:r>
      <w:r w:rsidRPr="00BD18EB">
        <w:t>new</w:t>
      </w:r>
      <w:r w:rsidRPr="00BD18EB">
        <w:rPr>
          <w:spacing w:val="-4"/>
        </w:rPr>
        <w:t xml:space="preserve"> </w:t>
      </w:r>
      <w:r w:rsidRPr="00BD18EB">
        <w:t>disciplines,</w:t>
      </w:r>
      <w:r w:rsidRPr="00BD18EB">
        <w:rPr>
          <w:spacing w:val="-3"/>
        </w:rPr>
        <w:t xml:space="preserve"> </w:t>
      </w:r>
      <w:proofErr w:type="gramStart"/>
      <w:r w:rsidRPr="00BD18EB">
        <w:t>taking</w:t>
      </w:r>
      <w:r w:rsidRPr="00BD18EB">
        <w:rPr>
          <w:spacing w:val="-4"/>
        </w:rPr>
        <w:t xml:space="preserve"> </w:t>
      </w:r>
      <w:r w:rsidRPr="00BD18EB">
        <w:t>into</w:t>
      </w:r>
      <w:r w:rsidRPr="00BD18EB">
        <w:rPr>
          <w:spacing w:val="-3"/>
        </w:rPr>
        <w:t xml:space="preserve"> </w:t>
      </w:r>
      <w:r w:rsidRPr="00BD18EB">
        <w:t>account</w:t>
      </w:r>
      <w:proofErr w:type="gramEnd"/>
      <w:r w:rsidRPr="00BD18EB">
        <w:rPr>
          <w:spacing w:val="-5"/>
        </w:rPr>
        <w:t xml:space="preserve"> </w:t>
      </w:r>
      <w:r w:rsidRPr="00BD18EB">
        <w:t>developments</w:t>
      </w:r>
      <w:r w:rsidRPr="00BD18EB">
        <w:rPr>
          <w:spacing w:val="-6"/>
        </w:rPr>
        <w:t xml:space="preserve"> </w:t>
      </w:r>
      <w:r w:rsidRPr="00BD18EB">
        <w:t>in</w:t>
      </w:r>
      <w:r w:rsidRPr="00BD18EB">
        <w:rPr>
          <w:spacing w:val="-5"/>
        </w:rPr>
        <w:t xml:space="preserve"> </w:t>
      </w:r>
      <w:r w:rsidRPr="00BD18EB">
        <w:t>e-commerce since negotiation of AANZFTA.</w:t>
      </w:r>
    </w:p>
    <w:p w14:paraId="1CC37E87" w14:textId="77777777" w:rsidR="003867DF" w:rsidRPr="00BD18EB" w:rsidRDefault="003867DF" w:rsidP="00BD18EB">
      <w:pPr>
        <w:pStyle w:val="Heading2"/>
      </w:pPr>
      <w:r w:rsidRPr="00BD18EB">
        <w:t>Investment</w:t>
      </w:r>
    </w:p>
    <w:p w14:paraId="0288C444" w14:textId="77777777" w:rsidR="003867DF" w:rsidRPr="00BD18EB" w:rsidRDefault="003867DF" w:rsidP="00BD18EB">
      <w:pPr>
        <w:pStyle w:val="BodyText"/>
        <w:numPr>
          <w:ilvl w:val="0"/>
          <w:numId w:val="4"/>
        </w:numPr>
        <w:spacing w:before="120" w:after="120" w:line="240" w:lineRule="atLeast"/>
        <w:jc w:val="both"/>
      </w:pPr>
      <w:r w:rsidRPr="00BD18EB">
        <w:t>Review</w:t>
      </w:r>
      <w:r w:rsidRPr="00BD18EB">
        <w:rPr>
          <w:spacing w:val="24"/>
        </w:rPr>
        <w:t xml:space="preserve"> </w:t>
      </w:r>
      <w:r w:rsidRPr="00BD18EB">
        <w:t>Chapter</w:t>
      </w:r>
      <w:r w:rsidRPr="00BD18EB">
        <w:rPr>
          <w:spacing w:val="24"/>
        </w:rPr>
        <w:t xml:space="preserve"> </w:t>
      </w:r>
      <w:r w:rsidRPr="00BD18EB">
        <w:t>text</w:t>
      </w:r>
      <w:r w:rsidRPr="00BD18EB">
        <w:rPr>
          <w:spacing w:val="23"/>
        </w:rPr>
        <w:t xml:space="preserve"> </w:t>
      </w:r>
      <w:r w:rsidRPr="00BD18EB">
        <w:t>and</w:t>
      </w:r>
      <w:r w:rsidRPr="00BD18EB">
        <w:rPr>
          <w:spacing w:val="29"/>
        </w:rPr>
        <w:t xml:space="preserve"> </w:t>
      </w:r>
      <w:proofErr w:type="spellStart"/>
      <w:r w:rsidRPr="00BD18EB">
        <w:t>finalise</w:t>
      </w:r>
      <w:proofErr w:type="spellEnd"/>
      <w:r w:rsidRPr="00BD18EB">
        <w:rPr>
          <w:spacing w:val="24"/>
        </w:rPr>
        <w:t xml:space="preserve"> </w:t>
      </w:r>
      <w:r w:rsidRPr="00BD18EB">
        <w:t>discussions</w:t>
      </w:r>
      <w:r w:rsidRPr="00BD18EB">
        <w:rPr>
          <w:spacing w:val="24"/>
        </w:rPr>
        <w:t xml:space="preserve"> </w:t>
      </w:r>
      <w:r w:rsidRPr="00BD18EB">
        <w:t>on</w:t>
      </w:r>
      <w:r w:rsidRPr="00BD18EB">
        <w:rPr>
          <w:spacing w:val="24"/>
        </w:rPr>
        <w:t xml:space="preserve"> </w:t>
      </w:r>
      <w:r w:rsidRPr="00BD18EB">
        <w:t>schedules</w:t>
      </w:r>
      <w:r w:rsidRPr="00BD18EB">
        <w:rPr>
          <w:spacing w:val="23"/>
        </w:rPr>
        <w:t xml:space="preserve"> </w:t>
      </w:r>
      <w:r w:rsidRPr="00BD18EB">
        <w:t>of</w:t>
      </w:r>
      <w:r w:rsidRPr="00BD18EB">
        <w:rPr>
          <w:spacing w:val="25"/>
        </w:rPr>
        <w:t xml:space="preserve"> </w:t>
      </w:r>
      <w:r w:rsidRPr="00BD18EB">
        <w:t>reservation</w:t>
      </w:r>
      <w:r w:rsidRPr="00BD18EB">
        <w:rPr>
          <w:spacing w:val="31"/>
        </w:rPr>
        <w:t xml:space="preserve"> </w:t>
      </w:r>
      <w:r w:rsidRPr="00BD18EB">
        <w:t>including</w:t>
      </w:r>
      <w:r w:rsidRPr="00BD18EB">
        <w:rPr>
          <w:spacing w:val="27"/>
        </w:rPr>
        <w:t xml:space="preserve"> </w:t>
      </w:r>
      <w:r w:rsidRPr="00BD18EB">
        <w:rPr>
          <w:spacing w:val="-5"/>
        </w:rPr>
        <w:t>the</w:t>
      </w:r>
    </w:p>
    <w:p w14:paraId="53DE0AEA" w14:textId="77777777" w:rsidR="003867DF" w:rsidRPr="00BD18EB" w:rsidRDefault="003867DF" w:rsidP="00BD18EB">
      <w:pPr>
        <w:pStyle w:val="BodyText"/>
        <w:spacing w:before="120" w:after="120" w:line="240" w:lineRule="atLeast"/>
        <w:ind w:left="380" w:right="18"/>
        <w:jc w:val="both"/>
      </w:pPr>
      <w:r w:rsidRPr="00BD18EB">
        <w:t>scheduling</w:t>
      </w:r>
      <w:r w:rsidRPr="00BD18EB">
        <w:rPr>
          <w:spacing w:val="-5"/>
        </w:rPr>
        <w:t xml:space="preserve"> </w:t>
      </w:r>
      <w:r w:rsidRPr="00BD18EB">
        <w:t>approach</w:t>
      </w:r>
      <w:r w:rsidRPr="00BD18EB">
        <w:rPr>
          <w:spacing w:val="-2"/>
        </w:rPr>
        <w:t xml:space="preserve"> </w:t>
      </w:r>
      <w:r w:rsidRPr="00BD18EB">
        <w:t>using</w:t>
      </w:r>
      <w:r w:rsidRPr="00BD18EB">
        <w:rPr>
          <w:spacing w:val="-5"/>
        </w:rPr>
        <w:t xml:space="preserve"> </w:t>
      </w:r>
      <w:r w:rsidRPr="00BD18EB">
        <w:t>the</w:t>
      </w:r>
      <w:r w:rsidRPr="00BD18EB">
        <w:rPr>
          <w:spacing w:val="-7"/>
        </w:rPr>
        <w:t xml:space="preserve"> </w:t>
      </w:r>
      <w:r w:rsidRPr="00BD18EB">
        <w:t>negative</w:t>
      </w:r>
      <w:r w:rsidRPr="00BD18EB">
        <w:rPr>
          <w:spacing w:val="-2"/>
        </w:rPr>
        <w:t xml:space="preserve"> </w:t>
      </w:r>
      <w:r w:rsidRPr="00BD18EB">
        <w:t>list,</w:t>
      </w:r>
      <w:r w:rsidRPr="00BD18EB">
        <w:rPr>
          <w:spacing w:val="-5"/>
        </w:rPr>
        <w:t xml:space="preserve"> </w:t>
      </w:r>
      <w:r w:rsidRPr="00BD18EB">
        <w:t>with</w:t>
      </w:r>
      <w:r w:rsidRPr="00BD18EB">
        <w:rPr>
          <w:spacing w:val="-6"/>
        </w:rPr>
        <w:t xml:space="preserve"> </w:t>
      </w:r>
      <w:r w:rsidRPr="00BD18EB">
        <w:t>a</w:t>
      </w:r>
      <w:r w:rsidRPr="00BD18EB">
        <w:rPr>
          <w:spacing w:val="-2"/>
        </w:rPr>
        <w:t xml:space="preserve"> </w:t>
      </w:r>
      <w:r w:rsidRPr="00BD18EB">
        <w:t>view</w:t>
      </w:r>
      <w:r w:rsidRPr="00BD18EB">
        <w:rPr>
          <w:spacing w:val="-6"/>
        </w:rPr>
        <w:t xml:space="preserve"> </w:t>
      </w:r>
      <w:r w:rsidRPr="00BD18EB">
        <w:t>to</w:t>
      </w:r>
      <w:r w:rsidRPr="00BD18EB">
        <w:rPr>
          <w:spacing w:val="-5"/>
        </w:rPr>
        <w:t xml:space="preserve"> </w:t>
      </w:r>
      <w:r w:rsidRPr="00BD18EB">
        <w:t>update</w:t>
      </w:r>
      <w:r w:rsidRPr="00BD18EB">
        <w:rPr>
          <w:spacing w:val="-5"/>
        </w:rPr>
        <w:t xml:space="preserve"> </w:t>
      </w:r>
      <w:r w:rsidRPr="00BD18EB">
        <w:t>and</w:t>
      </w:r>
      <w:r w:rsidRPr="00BD18EB">
        <w:rPr>
          <w:spacing w:val="-4"/>
        </w:rPr>
        <w:t xml:space="preserve"> </w:t>
      </w:r>
      <w:proofErr w:type="gramStart"/>
      <w:r w:rsidRPr="00BD18EB">
        <w:t>upgrade</w:t>
      </w:r>
      <w:proofErr w:type="gramEnd"/>
      <w:r w:rsidRPr="00BD18EB">
        <w:rPr>
          <w:spacing w:val="-5"/>
        </w:rPr>
        <w:t xml:space="preserve"> </w:t>
      </w:r>
      <w:r w:rsidRPr="00BD18EB">
        <w:t xml:space="preserve">AANZFTA (including considering the adequacy of safeguards for public policy), </w:t>
      </w:r>
      <w:proofErr w:type="gramStart"/>
      <w:r w:rsidRPr="00BD18EB">
        <w:t>taking into account</w:t>
      </w:r>
      <w:proofErr w:type="gramEnd"/>
      <w:r w:rsidRPr="00BD18EB">
        <w:t xml:space="preserve"> existing built-in agenda items and progress in other relevant free trade agreement </w:t>
      </w:r>
      <w:r w:rsidRPr="00BD18EB">
        <w:rPr>
          <w:spacing w:val="-2"/>
        </w:rPr>
        <w:t>processes.</w:t>
      </w:r>
    </w:p>
    <w:p w14:paraId="0855A548" w14:textId="77777777" w:rsidR="003867DF" w:rsidRPr="00BD18EB" w:rsidRDefault="003867DF" w:rsidP="00BD18EB">
      <w:pPr>
        <w:pStyle w:val="BodyText"/>
        <w:numPr>
          <w:ilvl w:val="0"/>
          <w:numId w:val="4"/>
        </w:numPr>
        <w:spacing w:before="120" w:after="120" w:line="240" w:lineRule="atLeast"/>
        <w:ind w:right="24"/>
        <w:jc w:val="both"/>
      </w:pPr>
      <w:r w:rsidRPr="00BD18EB">
        <w:t xml:space="preserve">Discuss how investment facilitation and aftercare could contribute to AANZFTA </w:t>
      </w:r>
      <w:r w:rsidRPr="00BD18EB">
        <w:rPr>
          <w:spacing w:val="-2"/>
        </w:rPr>
        <w:t>implementation.</w:t>
      </w:r>
    </w:p>
    <w:p w14:paraId="2CC9D4B3" w14:textId="77777777" w:rsidR="003867DF" w:rsidRPr="00BD18EB" w:rsidRDefault="003867DF" w:rsidP="00BD18EB">
      <w:pPr>
        <w:pStyle w:val="Heading2"/>
      </w:pPr>
      <w:r w:rsidRPr="00BD18EB">
        <w:t>Competition</w:t>
      </w:r>
    </w:p>
    <w:p w14:paraId="47CAB251" w14:textId="77777777" w:rsidR="003867DF" w:rsidRPr="00BD18EB" w:rsidRDefault="003867DF" w:rsidP="00BD18EB">
      <w:pPr>
        <w:pStyle w:val="BodyText"/>
        <w:numPr>
          <w:ilvl w:val="0"/>
          <w:numId w:val="4"/>
        </w:numPr>
        <w:spacing w:before="120" w:after="120" w:line="240" w:lineRule="atLeast"/>
      </w:pPr>
      <w:proofErr w:type="gramStart"/>
      <w:r w:rsidRPr="00BD18EB">
        <w:t>Review</w:t>
      </w:r>
      <w:proofErr w:type="gramEnd"/>
      <w:r w:rsidRPr="00BD18EB">
        <w:rPr>
          <w:spacing w:val="-3"/>
        </w:rPr>
        <w:t xml:space="preserve"> </w:t>
      </w:r>
      <w:r w:rsidRPr="00BD18EB">
        <w:t>the</w:t>
      </w:r>
      <w:r w:rsidRPr="00BD18EB">
        <w:rPr>
          <w:spacing w:val="-4"/>
        </w:rPr>
        <w:t xml:space="preserve"> </w:t>
      </w:r>
      <w:r w:rsidRPr="00BD18EB">
        <w:t>Competition</w:t>
      </w:r>
      <w:r w:rsidRPr="00BD18EB">
        <w:rPr>
          <w:spacing w:val="-6"/>
        </w:rPr>
        <w:t xml:space="preserve"> </w:t>
      </w:r>
      <w:r w:rsidRPr="00BD18EB">
        <w:t>Chapter</w:t>
      </w:r>
      <w:r w:rsidRPr="00BD18EB">
        <w:rPr>
          <w:spacing w:val="-1"/>
        </w:rPr>
        <w:t xml:space="preserve"> </w:t>
      </w:r>
      <w:r w:rsidRPr="00BD18EB">
        <w:rPr>
          <w:spacing w:val="-4"/>
        </w:rPr>
        <w:t>text</w:t>
      </w:r>
    </w:p>
    <w:p w14:paraId="4627B221" w14:textId="77777777" w:rsidR="003867DF" w:rsidRPr="00BD18EB" w:rsidRDefault="003867DF" w:rsidP="00BD18EB">
      <w:pPr>
        <w:pStyle w:val="BodyText"/>
        <w:numPr>
          <w:ilvl w:val="0"/>
          <w:numId w:val="7"/>
        </w:numPr>
        <w:tabs>
          <w:tab w:val="left" w:pos="738"/>
        </w:tabs>
        <w:spacing w:before="120" w:after="120" w:line="240" w:lineRule="atLeast"/>
        <w:jc w:val="both"/>
      </w:pPr>
      <w:r w:rsidRPr="00BD18EB">
        <w:t>discuss</w:t>
      </w:r>
      <w:r w:rsidRPr="00BD18EB">
        <w:rPr>
          <w:spacing w:val="-6"/>
        </w:rPr>
        <w:t xml:space="preserve"> </w:t>
      </w:r>
      <w:r w:rsidRPr="00BD18EB">
        <w:t>inclusion</w:t>
      </w:r>
      <w:r w:rsidRPr="00BD18EB">
        <w:rPr>
          <w:spacing w:val="-3"/>
        </w:rPr>
        <w:t xml:space="preserve"> </w:t>
      </w:r>
      <w:r w:rsidRPr="00BD18EB">
        <w:t>of</w:t>
      </w:r>
      <w:r w:rsidRPr="00BD18EB">
        <w:rPr>
          <w:spacing w:val="-3"/>
        </w:rPr>
        <w:t xml:space="preserve"> </w:t>
      </w:r>
      <w:r w:rsidRPr="00BD18EB">
        <w:t>new</w:t>
      </w:r>
      <w:r w:rsidRPr="00BD18EB">
        <w:rPr>
          <w:spacing w:val="-6"/>
        </w:rPr>
        <w:t xml:space="preserve"> </w:t>
      </w:r>
      <w:r w:rsidRPr="00BD18EB">
        <w:t>provisions</w:t>
      </w:r>
      <w:r w:rsidRPr="00BD18EB">
        <w:rPr>
          <w:spacing w:val="-4"/>
        </w:rPr>
        <w:t xml:space="preserve"> </w:t>
      </w:r>
      <w:r w:rsidRPr="00BD18EB">
        <w:t>on</w:t>
      </w:r>
      <w:r w:rsidRPr="00BD18EB">
        <w:rPr>
          <w:spacing w:val="1"/>
        </w:rPr>
        <w:t xml:space="preserve"> </w:t>
      </w:r>
      <w:r w:rsidRPr="00BD18EB">
        <w:t>consumer</w:t>
      </w:r>
      <w:r w:rsidRPr="00BD18EB">
        <w:rPr>
          <w:spacing w:val="-3"/>
        </w:rPr>
        <w:t xml:space="preserve"> </w:t>
      </w:r>
      <w:r w:rsidRPr="00BD18EB">
        <w:rPr>
          <w:spacing w:val="-2"/>
        </w:rPr>
        <w:t>protection.</w:t>
      </w:r>
    </w:p>
    <w:p w14:paraId="1F30B54A" w14:textId="4195A311" w:rsidR="003867DF" w:rsidRPr="00BD18EB" w:rsidRDefault="003867DF" w:rsidP="00BD18EB">
      <w:pPr>
        <w:pStyle w:val="Heading2"/>
      </w:pPr>
      <w:r w:rsidRPr="00BD18EB">
        <w:t>Government</w:t>
      </w:r>
      <w:r w:rsidRPr="00BD18EB">
        <w:rPr>
          <w:spacing w:val="-5"/>
        </w:rPr>
        <w:t xml:space="preserve"> </w:t>
      </w:r>
      <w:r w:rsidRPr="00BD18EB">
        <w:rPr>
          <w:spacing w:val="-2"/>
        </w:rPr>
        <w:t>Procurement</w:t>
      </w:r>
    </w:p>
    <w:p w14:paraId="1AA0615D" w14:textId="77777777" w:rsidR="003867DF" w:rsidRPr="00BD18EB" w:rsidRDefault="003867DF" w:rsidP="00BD18EB">
      <w:pPr>
        <w:pStyle w:val="BodyText"/>
        <w:numPr>
          <w:ilvl w:val="0"/>
          <w:numId w:val="4"/>
        </w:numPr>
        <w:spacing w:before="120" w:after="120" w:line="240" w:lineRule="atLeast"/>
      </w:pPr>
      <w:r w:rsidRPr="00BD18EB">
        <w:t>Develop</w:t>
      </w:r>
      <w:r w:rsidRPr="00BD18EB">
        <w:rPr>
          <w:spacing w:val="4"/>
        </w:rPr>
        <w:t xml:space="preserve"> </w:t>
      </w:r>
      <w:r w:rsidRPr="00BD18EB">
        <w:t>a</w:t>
      </w:r>
      <w:r w:rsidRPr="00BD18EB">
        <w:rPr>
          <w:spacing w:val="4"/>
        </w:rPr>
        <w:t xml:space="preserve"> </w:t>
      </w:r>
      <w:r w:rsidRPr="00BD18EB">
        <w:t>chapter</w:t>
      </w:r>
      <w:r w:rsidRPr="00BD18EB">
        <w:rPr>
          <w:spacing w:val="3"/>
        </w:rPr>
        <w:t xml:space="preserve"> </w:t>
      </w:r>
      <w:r w:rsidRPr="00BD18EB">
        <w:t>on</w:t>
      </w:r>
      <w:r w:rsidRPr="00BD18EB">
        <w:rPr>
          <w:spacing w:val="5"/>
        </w:rPr>
        <w:t xml:space="preserve"> </w:t>
      </w:r>
      <w:r w:rsidRPr="00BD18EB">
        <w:t>Government</w:t>
      </w:r>
      <w:r w:rsidRPr="00BD18EB">
        <w:rPr>
          <w:spacing w:val="2"/>
        </w:rPr>
        <w:t xml:space="preserve"> </w:t>
      </w:r>
      <w:r w:rsidRPr="00BD18EB">
        <w:t>Procurement,</w:t>
      </w:r>
      <w:r w:rsidRPr="00BD18EB">
        <w:rPr>
          <w:spacing w:val="2"/>
        </w:rPr>
        <w:t xml:space="preserve"> </w:t>
      </w:r>
      <w:r w:rsidRPr="00BD18EB">
        <w:t>to</w:t>
      </w:r>
      <w:r w:rsidRPr="00BD18EB">
        <w:rPr>
          <w:spacing w:val="4"/>
        </w:rPr>
        <w:t xml:space="preserve"> </w:t>
      </w:r>
      <w:r w:rsidRPr="00BD18EB">
        <w:t>support</w:t>
      </w:r>
      <w:r w:rsidRPr="00BD18EB">
        <w:rPr>
          <w:spacing w:val="3"/>
        </w:rPr>
        <w:t xml:space="preserve"> </w:t>
      </w:r>
      <w:r w:rsidRPr="00BD18EB">
        <w:t>improved</w:t>
      </w:r>
      <w:r w:rsidRPr="00BD18EB">
        <w:rPr>
          <w:spacing w:val="2"/>
        </w:rPr>
        <w:t xml:space="preserve"> </w:t>
      </w:r>
      <w:r w:rsidRPr="00BD18EB">
        <w:t>transparency</w:t>
      </w:r>
      <w:r w:rsidRPr="00BD18EB">
        <w:rPr>
          <w:spacing w:val="4"/>
        </w:rPr>
        <w:t xml:space="preserve"> </w:t>
      </w:r>
      <w:r w:rsidRPr="00BD18EB">
        <w:rPr>
          <w:spacing w:val="-5"/>
        </w:rPr>
        <w:t>and</w:t>
      </w:r>
    </w:p>
    <w:p w14:paraId="15C3EA9B" w14:textId="77777777" w:rsidR="003867DF" w:rsidRPr="00BD18EB" w:rsidRDefault="003867DF" w:rsidP="00BD18EB">
      <w:pPr>
        <w:pStyle w:val="BodyText"/>
        <w:spacing w:before="120" w:after="120" w:line="240" w:lineRule="atLeast"/>
        <w:ind w:left="380" w:right="14"/>
      </w:pPr>
      <w:r w:rsidRPr="00BD18EB">
        <w:t>cooperation</w:t>
      </w:r>
      <w:r w:rsidRPr="00BD18EB">
        <w:rPr>
          <w:spacing w:val="-14"/>
        </w:rPr>
        <w:t xml:space="preserve"> </w:t>
      </w:r>
      <w:r w:rsidRPr="00BD18EB">
        <w:t>in</w:t>
      </w:r>
      <w:r w:rsidRPr="00BD18EB">
        <w:rPr>
          <w:spacing w:val="-14"/>
        </w:rPr>
        <w:t xml:space="preserve"> </w:t>
      </w:r>
      <w:r w:rsidRPr="00BD18EB">
        <w:t>government</w:t>
      </w:r>
      <w:r w:rsidRPr="00BD18EB">
        <w:rPr>
          <w:spacing w:val="-13"/>
        </w:rPr>
        <w:t xml:space="preserve"> </w:t>
      </w:r>
      <w:r w:rsidRPr="00BD18EB">
        <w:t>procurement.</w:t>
      </w:r>
      <w:r w:rsidRPr="00BD18EB">
        <w:rPr>
          <w:spacing w:val="-15"/>
        </w:rPr>
        <w:t xml:space="preserve"> </w:t>
      </w:r>
      <w:r w:rsidRPr="00BD18EB">
        <w:t>The</w:t>
      </w:r>
      <w:r w:rsidRPr="00BD18EB">
        <w:rPr>
          <w:spacing w:val="-14"/>
        </w:rPr>
        <w:t xml:space="preserve"> </w:t>
      </w:r>
      <w:r w:rsidRPr="00BD18EB">
        <w:t>Chapter</w:t>
      </w:r>
      <w:r w:rsidRPr="00BD18EB">
        <w:rPr>
          <w:spacing w:val="-13"/>
        </w:rPr>
        <w:t xml:space="preserve"> </w:t>
      </w:r>
      <w:r w:rsidRPr="00BD18EB">
        <w:t>shall</w:t>
      </w:r>
      <w:r w:rsidRPr="00BD18EB">
        <w:rPr>
          <w:spacing w:val="-14"/>
        </w:rPr>
        <w:t xml:space="preserve"> </w:t>
      </w:r>
      <w:r w:rsidRPr="00BD18EB">
        <w:t>not</w:t>
      </w:r>
      <w:r w:rsidRPr="00BD18EB">
        <w:rPr>
          <w:spacing w:val="-14"/>
        </w:rPr>
        <w:t xml:space="preserve"> </w:t>
      </w:r>
      <w:r w:rsidRPr="00BD18EB">
        <w:t>include</w:t>
      </w:r>
      <w:r w:rsidRPr="00BD18EB">
        <w:rPr>
          <w:spacing w:val="-13"/>
        </w:rPr>
        <w:t xml:space="preserve"> </w:t>
      </w:r>
      <w:r w:rsidRPr="00BD18EB">
        <w:t>any</w:t>
      </w:r>
      <w:r w:rsidRPr="00BD18EB">
        <w:rPr>
          <w:spacing w:val="-17"/>
        </w:rPr>
        <w:t xml:space="preserve"> </w:t>
      </w:r>
      <w:r w:rsidRPr="00BD18EB">
        <w:t>market</w:t>
      </w:r>
      <w:r w:rsidRPr="00BD18EB">
        <w:rPr>
          <w:spacing w:val="-14"/>
        </w:rPr>
        <w:t xml:space="preserve"> </w:t>
      </w:r>
      <w:r w:rsidRPr="00BD18EB">
        <w:t xml:space="preserve">access </w:t>
      </w:r>
      <w:r w:rsidRPr="00BD18EB">
        <w:rPr>
          <w:spacing w:val="-2"/>
        </w:rPr>
        <w:t>obligations.</w:t>
      </w:r>
    </w:p>
    <w:p w14:paraId="140EF2C5" w14:textId="77777777" w:rsidR="003867DF" w:rsidRPr="00BD18EB" w:rsidRDefault="003867DF" w:rsidP="00BD18EB">
      <w:pPr>
        <w:pStyle w:val="Heading2"/>
      </w:pPr>
      <w:r w:rsidRPr="00BD18EB">
        <w:t>Trade</w:t>
      </w:r>
      <w:r w:rsidRPr="00BD18EB">
        <w:rPr>
          <w:spacing w:val="-3"/>
        </w:rPr>
        <w:t xml:space="preserve"> </w:t>
      </w:r>
      <w:r w:rsidRPr="00BD18EB">
        <w:t>and</w:t>
      </w:r>
      <w:r w:rsidRPr="00BD18EB">
        <w:rPr>
          <w:spacing w:val="-3"/>
        </w:rPr>
        <w:t xml:space="preserve"> </w:t>
      </w:r>
      <w:r w:rsidRPr="00BD18EB">
        <w:t>Sustainable</w:t>
      </w:r>
      <w:r w:rsidRPr="00BD18EB">
        <w:rPr>
          <w:spacing w:val="-3"/>
        </w:rPr>
        <w:t xml:space="preserve"> </w:t>
      </w:r>
      <w:r w:rsidRPr="00BD18EB">
        <w:rPr>
          <w:spacing w:val="-2"/>
        </w:rPr>
        <w:t>Development</w:t>
      </w:r>
    </w:p>
    <w:p w14:paraId="6BA77901" w14:textId="77777777" w:rsidR="003867DF" w:rsidRDefault="003867DF" w:rsidP="00BD18EB">
      <w:pPr>
        <w:pStyle w:val="BodyText"/>
        <w:numPr>
          <w:ilvl w:val="0"/>
          <w:numId w:val="4"/>
        </w:numPr>
        <w:spacing w:before="120" w:after="120" w:line="240" w:lineRule="atLeast"/>
      </w:pPr>
      <w:r>
        <w:t>Discuss</w:t>
      </w:r>
      <w:r>
        <w:rPr>
          <w:spacing w:val="-9"/>
        </w:rPr>
        <w:t xml:space="preserve"> </w:t>
      </w:r>
      <w:r>
        <w:t>further</w:t>
      </w:r>
      <w:r>
        <w:rPr>
          <w:spacing w:val="-10"/>
        </w:rPr>
        <w:t xml:space="preserve"> </w:t>
      </w:r>
      <w:r>
        <w:t>how</w:t>
      </w:r>
      <w:r>
        <w:rPr>
          <w:spacing w:val="-7"/>
        </w:rPr>
        <w:t xml:space="preserve"> </w:t>
      </w:r>
      <w:r>
        <w:t>economic</w:t>
      </w:r>
      <w:r>
        <w:rPr>
          <w:spacing w:val="-9"/>
        </w:rPr>
        <w:t xml:space="preserve"> </w:t>
      </w:r>
      <w:r>
        <w:t>cooperation</w:t>
      </w:r>
      <w:r>
        <w:rPr>
          <w:spacing w:val="-5"/>
        </w:rPr>
        <w:t xml:space="preserve"> </w:t>
      </w:r>
      <w:r>
        <w:t>on</w:t>
      </w:r>
      <w:r>
        <w:rPr>
          <w:spacing w:val="-7"/>
        </w:rPr>
        <w:t xml:space="preserve"> </w:t>
      </w:r>
      <w:r>
        <w:t>Trade</w:t>
      </w:r>
      <w:r>
        <w:rPr>
          <w:spacing w:val="-8"/>
        </w:rPr>
        <w:t xml:space="preserve"> </w:t>
      </w:r>
      <w:r>
        <w:t>and</w:t>
      </w:r>
      <w:r>
        <w:rPr>
          <w:spacing w:val="-7"/>
        </w:rPr>
        <w:t xml:space="preserve"> </w:t>
      </w:r>
      <w:r>
        <w:t>Sustainable</w:t>
      </w:r>
      <w:r>
        <w:rPr>
          <w:spacing w:val="-6"/>
        </w:rPr>
        <w:t xml:space="preserve"> </w:t>
      </w:r>
      <w:r>
        <w:t>Development</w:t>
      </w:r>
      <w:r>
        <w:rPr>
          <w:spacing w:val="-7"/>
        </w:rPr>
        <w:t xml:space="preserve"> </w:t>
      </w:r>
      <w:r>
        <w:rPr>
          <w:spacing w:val="-2"/>
        </w:rPr>
        <w:t>issues</w:t>
      </w:r>
    </w:p>
    <w:p w14:paraId="37DC289D" w14:textId="452DEB84" w:rsidR="003867DF" w:rsidRPr="003867DF" w:rsidRDefault="003867DF" w:rsidP="00BD18EB">
      <w:pPr>
        <w:pStyle w:val="BodyText"/>
        <w:spacing w:before="120" w:after="120" w:line="240" w:lineRule="atLeast"/>
        <w:ind w:firstLine="360"/>
      </w:pPr>
      <w:r>
        <w:t>could</w:t>
      </w:r>
      <w:r>
        <w:rPr>
          <w:spacing w:val="-4"/>
        </w:rPr>
        <w:t xml:space="preserve"> </w:t>
      </w:r>
      <w:r>
        <w:t>be</w:t>
      </w:r>
      <w:r>
        <w:rPr>
          <w:spacing w:val="-3"/>
        </w:rPr>
        <w:t xml:space="preserve"> </w:t>
      </w:r>
      <w:r>
        <w:t>undertaken</w:t>
      </w:r>
      <w:r>
        <w:rPr>
          <w:spacing w:val="-2"/>
        </w:rPr>
        <w:t xml:space="preserve"> </w:t>
      </w:r>
      <w:r>
        <w:t>under</w:t>
      </w:r>
      <w:r>
        <w:rPr>
          <w:spacing w:val="-1"/>
        </w:rPr>
        <w:t xml:space="preserve"> </w:t>
      </w:r>
      <w:r>
        <w:t>the</w:t>
      </w:r>
      <w:r>
        <w:rPr>
          <w:spacing w:val="-1"/>
        </w:rPr>
        <w:t xml:space="preserve"> </w:t>
      </w:r>
      <w:r>
        <w:rPr>
          <w:spacing w:val="-2"/>
        </w:rPr>
        <w:t>AANZFTA.</w:t>
      </w:r>
    </w:p>
    <w:sectPr w:rsidR="003867DF" w:rsidRPr="003867D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F358" w14:textId="77777777" w:rsidR="004E49A8" w:rsidRDefault="004E49A8" w:rsidP="003867DF">
      <w:r>
        <w:separator/>
      </w:r>
    </w:p>
  </w:endnote>
  <w:endnote w:type="continuationSeparator" w:id="0">
    <w:p w14:paraId="19B239D0" w14:textId="77777777" w:rsidR="004E49A8" w:rsidRDefault="004E49A8" w:rsidP="0038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8CF7" w14:textId="4F22B6AA" w:rsidR="003867DF" w:rsidRDefault="003867DF">
    <w:pPr>
      <w:pStyle w:val="Footer"/>
    </w:pPr>
    <w:r>
      <w:rPr>
        <w:noProof/>
        <w14:ligatures w14:val="standardContextual"/>
      </w:rPr>
      <mc:AlternateContent>
        <mc:Choice Requires="wps">
          <w:drawing>
            <wp:anchor distT="0" distB="0" distL="0" distR="0" simplePos="0" relativeHeight="251662336" behindDoc="0" locked="0" layoutInCell="1" allowOverlap="1" wp14:anchorId="01C6690F" wp14:editId="55A2DA5B">
              <wp:simplePos x="635" y="635"/>
              <wp:positionH relativeFrom="page">
                <wp:align>center</wp:align>
              </wp:positionH>
              <wp:positionV relativeFrom="page">
                <wp:align>bottom</wp:align>
              </wp:positionV>
              <wp:extent cx="622300" cy="376555"/>
              <wp:effectExtent l="0" t="0" r="6350" b="0"/>
              <wp:wrapNone/>
              <wp:docPr id="11866658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EC5B7A" w14:textId="527E2BD7"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C6690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CEC5B7A" w14:textId="527E2BD7"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4A3B" w14:textId="03A5F575" w:rsidR="003867DF" w:rsidRDefault="003867DF">
    <w:pPr>
      <w:pStyle w:val="Footer"/>
    </w:pPr>
    <w:r>
      <w:rPr>
        <w:noProof/>
        <w14:ligatures w14:val="standardContextual"/>
      </w:rPr>
      <mc:AlternateContent>
        <mc:Choice Requires="wps">
          <w:drawing>
            <wp:anchor distT="0" distB="0" distL="0" distR="0" simplePos="0" relativeHeight="251663360" behindDoc="0" locked="0" layoutInCell="1" allowOverlap="1" wp14:anchorId="10C64826" wp14:editId="203A5FC4">
              <wp:simplePos x="914400" y="10067925"/>
              <wp:positionH relativeFrom="page">
                <wp:align>center</wp:align>
              </wp:positionH>
              <wp:positionV relativeFrom="page">
                <wp:align>bottom</wp:align>
              </wp:positionV>
              <wp:extent cx="622300" cy="376555"/>
              <wp:effectExtent l="0" t="0" r="6350" b="0"/>
              <wp:wrapNone/>
              <wp:docPr id="15406646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BFC32B6" w14:textId="15326EAD"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C6482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BFC32B6" w14:textId="15326EAD"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C7D6" w14:textId="05F4196D" w:rsidR="003867DF" w:rsidRDefault="003867DF">
    <w:pPr>
      <w:pStyle w:val="Footer"/>
    </w:pPr>
    <w:r>
      <w:rPr>
        <w:noProof/>
        <w14:ligatures w14:val="standardContextual"/>
      </w:rPr>
      <mc:AlternateContent>
        <mc:Choice Requires="wps">
          <w:drawing>
            <wp:anchor distT="0" distB="0" distL="0" distR="0" simplePos="0" relativeHeight="251661312" behindDoc="0" locked="0" layoutInCell="1" allowOverlap="1" wp14:anchorId="008030F6" wp14:editId="10EDA06A">
              <wp:simplePos x="635" y="635"/>
              <wp:positionH relativeFrom="page">
                <wp:align>center</wp:align>
              </wp:positionH>
              <wp:positionV relativeFrom="page">
                <wp:align>bottom</wp:align>
              </wp:positionV>
              <wp:extent cx="622300" cy="376555"/>
              <wp:effectExtent l="0" t="0" r="6350" b="0"/>
              <wp:wrapNone/>
              <wp:docPr id="55834571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F4A888" w14:textId="30F24E69"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8030F6"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CF4A888" w14:textId="30F24E69"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92EF" w14:textId="77777777" w:rsidR="004E49A8" w:rsidRDefault="004E49A8" w:rsidP="003867DF">
      <w:r>
        <w:separator/>
      </w:r>
    </w:p>
  </w:footnote>
  <w:footnote w:type="continuationSeparator" w:id="0">
    <w:p w14:paraId="503384F4" w14:textId="77777777" w:rsidR="004E49A8" w:rsidRDefault="004E49A8" w:rsidP="00386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2A6C" w14:textId="2899F9EC" w:rsidR="003867DF" w:rsidRDefault="003867DF">
    <w:pPr>
      <w:pStyle w:val="Header"/>
    </w:pPr>
    <w:r>
      <w:rPr>
        <w:noProof/>
        <w14:ligatures w14:val="standardContextual"/>
      </w:rPr>
      <mc:AlternateContent>
        <mc:Choice Requires="wps">
          <w:drawing>
            <wp:anchor distT="0" distB="0" distL="0" distR="0" simplePos="0" relativeHeight="251659264" behindDoc="0" locked="0" layoutInCell="1" allowOverlap="1" wp14:anchorId="361596EC" wp14:editId="64BBE182">
              <wp:simplePos x="635" y="635"/>
              <wp:positionH relativeFrom="page">
                <wp:align>center</wp:align>
              </wp:positionH>
              <wp:positionV relativeFrom="page">
                <wp:align>top</wp:align>
              </wp:positionV>
              <wp:extent cx="622300" cy="376555"/>
              <wp:effectExtent l="0" t="0" r="6350" b="4445"/>
              <wp:wrapNone/>
              <wp:docPr id="354096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B6EE7DF" w14:textId="28C23625"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1596E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B6EE7DF" w14:textId="28C23625"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597B" w14:textId="6FD0338A" w:rsidR="003867DF" w:rsidRDefault="003867DF">
    <w:pPr>
      <w:pStyle w:val="Header"/>
    </w:pPr>
    <w:r>
      <w:rPr>
        <w:noProof/>
        <w14:ligatures w14:val="standardContextual"/>
      </w:rPr>
      <mc:AlternateContent>
        <mc:Choice Requires="wps">
          <w:drawing>
            <wp:anchor distT="0" distB="0" distL="0" distR="0" simplePos="0" relativeHeight="251660288" behindDoc="0" locked="0" layoutInCell="1" allowOverlap="1" wp14:anchorId="21563A0F" wp14:editId="2B2198B1">
              <wp:simplePos x="914400" y="447675"/>
              <wp:positionH relativeFrom="page">
                <wp:align>center</wp:align>
              </wp:positionH>
              <wp:positionV relativeFrom="page">
                <wp:align>top</wp:align>
              </wp:positionV>
              <wp:extent cx="622300" cy="376555"/>
              <wp:effectExtent l="0" t="0" r="6350" b="4445"/>
              <wp:wrapNone/>
              <wp:docPr id="25888186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BE06D7" w14:textId="15191490"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563A0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00BE06D7" w14:textId="15191490"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5F3" w14:textId="11422DB8" w:rsidR="003867DF" w:rsidRDefault="003867DF">
    <w:pPr>
      <w:pStyle w:val="Header"/>
    </w:pPr>
    <w:r>
      <w:rPr>
        <w:noProof/>
        <w14:ligatures w14:val="standardContextual"/>
      </w:rPr>
      <mc:AlternateContent>
        <mc:Choice Requires="wps">
          <w:drawing>
            <wp:anchor distT="0" distB="0" distL="0" distR="0" simplePos="0" relativeHeight="251658240" behindDoc="0" locked="0" layoutInCell="1" allowOverlap="1" wp14:anchorId="32E0944E" wp14:editId="42F38EC8">
              <wp:simplePos x="635" y="635"/>
              <wp:positionH relativeFrom="page">
                <wp:align>center</wp:align>
              </wp:positionH>
              <wp:positionV relativeFrom="page">
                <wp:align>top</wp:align>
              </wp:positionV>
              <wp:extent cx="622300" cy="376555"/>
              <wp:effectExtent l="0" t="0" r="6350" b="4445"/>
              <wp:wrapNone/>
              <wp:docPr id="728455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CC5A8C" w14:textId="7EBA7323"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0944E"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14CC5A8C" w14:textId="7EBA7323" w:rsidR="003867DF" w:rsidRPr="003867DF" w:rsidRDefault="003867DF" w:rsidP="003867DF">
                    <w:pPr>
                      <w:rPr>
                        <w:rFonts w:ascii="Aptos" w:eastAsia="Aptos" w:hAnsi="Aptos" w:cs="Aptos"/>
                        <w:noProof/>
                        <w:color w:val="FF0000"/>
                        <w:sz w:val="24"/>
                        <w:szCs w:val="24"/>
                      </w:rPr>
                    </w:pPr>
                    <w:r w:rsidRPr="003867D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25"/>
    <w:multiLevelType w:val="hybridMultilevel"/>
    <w:tmpl w:val="BBC8628A"/>
    <w:lvl w:ilvl="0" w:tplc="B2EA4890">
      <w:numFmt w:val="bullet"/>
      <w:lvlText w:val="o"/>
      <w:lvlJc w:val="left"/>
      <w:pPr>
        <w:ind w:left="746" w:hanging="360"/>
      </w:pPr>
      <w:rPr>
        <w:rFonts w:ascii="Courier New" w:eastAsia="Courier New" w:hAnsi="Courier New" w:cs="Courier New" w:hint="default"/>
        <w:b w:val="0"/>
        <w:bCs w:val="0"/>
        <w:i w:val="0"/>
        <w:iCs w:val="0"/>
        <w:spacing w:val="0"/>
        <w:w w:val="100"/>
        <w:sz w:val="24"/>
        <w:szCs w:val="24"/>
        <w:lang w:val="en-US" w:eastAsia="en-US" w:bidi="ar-SA"/>
      </w:rPr>
    </w:lvl>
    <w:lvl w:ilvl="1" w:tplc="2CA64336">
      <w:numFmt w:val="bullet"/>
      <w:lvlText w:val="•"/>
      <w:lvlJc w:val="left"/>
      <w:pPr>
        <w:ind w:left="1334" w:hanging="360"/>
      </w:pPr>
      <w:rPr>
        <w:rFonts w:hint="default"/>
        <w:lang w:val="en-US" w:eastAsia="en-US" w:bidi="ar-SA"/>
      </w:rPr>
    </w:lvl>
    <w:lvl w:ilvl="2" w:tplc="0076EF0A">
      <w:numFmt w:val="bullet"/>
      <w:lvlText w:val="•"/>
      <w:lvlJc w:val="left"/>
      <w:pPr>
        <w:ind w:left="1922" w:hanging="360"/>
      </w:pPr>
      <w:rPr>
        <w:rFonts w:hint="default"/>
        <w:lang w:val="en-US" w:eastAsia="en-US" w:bidi="ar-SA"/>
      </w:rPr>
    </w:lvl>
    <w:lvl w:ilvl="3" w:tplc="D73A81D4">
      <w:numFmt w:val="bullet"/>
      <w:lvlText w:val="•"/>
      <w:lvlJc w:val="left"/>
      <w:pPr>
        <w:ind w:left="2510" w:hanging="360"/>
      </w:pPr>
      <w:rPr>
        <w:rFonts w:hint="default"/>
        <w:lang w:val="en-US" w:eastAsia="en-US" w:bidi="ar-SA"/>
      </w:rPr>
    </w:lvl>
    <w:lvl w:ilvl="4" w:tplc="49187EA4">
      <w:numFmt w:val="bullet"/>
      <w:lvlText w:val="•"/>
      <w:lvlJc w:val="left"/>
      <w:pPr>
        <w:ind w:left="3098" w:hanging="360"/>
      </w:pPr>
      <w:rPr>
        <w:rFonts w:hint="default"/>
        <w:lang w:val="en-US" w:eastAsia="en-US" w:bidi="ar-SA"/>
      </w:rPr>
    </w:lvl>
    <w:lvl w:ilvl="5" w:tplc="CB9CC5B8">
      <w:numFmt w:val="bullet"/>
      <w:lvlText w:val="•"/>
      <w:lvlJc w:val="left"/>
      <w:pPr>
        <w:ind w:left="3686" w:hanging="360"/>
      </w:pPr>
      <w:rPr>
        <w:rFonts w:hint="default"/>
        <w:lang w:val="en-US" w:eastAsia="en-US" w:bidi="ar-SA"/>
      </w:rPr>
    </w:lvl>
    <w:lvl w:ilvl="6" w:tplc="CBD2D7F6">
      <w:numFmt w:val="bullet"/>
      <w:lvlText w:val="•"/>
      <w:lvlJc w:val="left"/>
      <w:pPr>
        <w:ind w:left="4274" w:hanging="360"/>
      </w:pPr>
      <w:rPr>
        <w:rFonts w:hint="default"/>
        <w:lang w:val="en-US" w:eastAsia="en-US" w:bidi="ar-SA"/>
      </w:rPr>
    </w:lvl>
    <w:lvl w:ilvl="7" w:tplc="96A0EEDE">
      <w:numFmt w:val="bullet"/>
      <w:lvlText w:val="•"/>
      <w:lvlJc w:val="left"/>
      <w:pPr>
        <w:ind w:left="4862" w:hanging="360"/>
      </w:pPr>
      <w:rPr>
        <w:rFonts w:hint="default"/>
        <w:lang w:val="en-US" w:eastAsia="en-US" w:bidi="ar-SA"/>
      </w:rPr>
    </w:lvl>
    <w:lvl w:ilvl="8" w:tplc="4BFEDF82">
      <w:numFmt w:val="bullet"/>
      <w:lvlText w:val="•"/>
      <w:lvlJc w:val="left"/>
      <w:pPr>
        <w:ind w:left="5450" w:hanging="360"/>
      </w:pPr>
      <w:rPr>
        <w:rFonts w:hint="default"/>
        <w:lang w:val="en-US" w:eastAsia="en-US" w:bidi="ar-SA"/>
      </w:rPr>
    </w:lvl>
  </w:abstractNum>
  <w:abstractNum w:abstractNumId="1" w15:restartNumberingAfterBreak="0">
    <w:nsid w:val="11C67D6D"/>
    <w:multiLevelType w:val="hybridMultilevel"/>
    <w:tmpl w:val="15523050"/>
    <w:lvl w:ilvl="0" w:tplc="F5D479D0">
      <w:numFmt w:val="bullet"/>
      <w:lvlText w:val="o"/>
      <w:lvlJc w:val="left"/>
      <w:pPr>
        <w:ind w:left="739" w:hanging="360"/>
      </w:pPr>
      <w:rPr>
        <w:rFonts w:ascii="Courier New" w:eastAsia="Courier New" w:hAnsi="Courier New" w:cs="Courier New" w:hint="default"/>
        <w:b w:val="0"/>
        <w:bCs w:val="0"/>
        <w:i w:val="0"/>
        <w:iCs w:val="0"/>
        <w:spacing w:val="0"/>
        <w:w w:val="100"/>
        <w:sz w:val="24"/>
        <w:szCs w:val="24"/>
        <w:lang w:val="en-US" w:eastAsia="en-US" w:bidi="ar-SA"/>
      </w:rPr>
    </w:lvl>
    <w:lvl w:ilvl="1" w:tplc="88D24BCC">
      <w:numFmt w:val="bullet"/>
      <w:lvlText w:val="•"/>
      <w:lvlJc w:val="left"/>
      <w:pPr>
        <w:ind w:left="1527" w:hanging="360"/>
      </w:pPr>
      <w:rPr>
        <w:rFonts w:hint="default"/>
        <w:lang w:val="en-US" w:eastAsia="en-US" w:bidi="ar-SA"/>
      </w:rPr>
    </w:lvl>
    <w:lvl w:ilvl="2" w:tplc="42648C84">
      <w:numFmt w:val="bullet"/>
      <w:lvlText w:val="•"/>
      <w:lvlJc w:val="left"/>
      <w:pPr>
        <w:ind w:left="2315" w:hanging="360"/>
      </w:pPr>
      <w:rPr>
        <w:rFonts w:hint="default"/>
        <w:lang w:val="en-US" w:eastAsia="en-US" w:bidi="ar-SA"/>
      </w:rPr>
    </w:lvl>
    <w:lvl w:ilvl="3" w:tplc="2998037A">
      <w:numFmt w:val="bullet"/>
      <w:lvlText w:val="•"/>
      <w:lvlJc w:val="left"/>
      <w:pPr>
        <w:ind w:left="3103" w:hanging="360"/>
      </w:pPr>
      <w:rPr>
        <w:rFonts w:hint="default"/>
        <w:lang w:val="en-US" w:eastAsia="en-US" w:bidi="ar-SA"/>
      </w:rPr>
    </w:lvl>
    <w:lvl w:ilvl="4" w:tplc="A942EBD0">
      <w:numFmt w:val="bullet"/>
      <w:lvlText w:val="•"/>
      <w:lvlJc w:val="left"/>
      <w:pPr>
        <w:ind w:left="3891" w:hanging="360"/>
      </w:pPr>
      <w:rPr>
        <w:rFonts w:hint="default"/>
        <w:lang w:val="en-US" w:eastAsia="en-US" w:bidi="ar-SA"/>
      </w:rPr>
    </w:lvl>
    <w:lvl w:ilvl="5" w:tplc="295AE9DE">
      <w:numFmt w:val="bullet"/>
      <w:lvlText w:val="•"/>
      <w:lvlJc w:val="left"/>
      <w:pPr>
        <w:ind w:left="4679" w:hanging="360"/>
      </w:pPr>
      <w:rPr>
        <w:rFonts w:hint="default"/>
        <w:lang w:val="en-US" w:eastAsia="en-US" w:bidi="ar-SA"/>
      </w:rPr>
    </w:lvl>
    <w:lvl w:ilvl="6" w:tplc="83D03496">
      <w:numFmt w:val="bullet"/>
      <w:lvlText w:val="•"/>
      <w:lvlJc w:val="left"/>
      <w:pPr>
        <w:ind w:left="5467" w:hanging="360"/>
      </w:pPr>
      <w:rPr>
        <w:rFonts w:hint="default"/>
        <w:lang w:val="en-US" w:eastAsia="en-US" w:bidi="ar-SA"/>
      </w:rPr>
    </w:lvl>
    <w:lvl w:ilvl="7" w:tplc="AEDCBB50">
      <w:numFmt w:val="bullet"/>
      <w:lvlText w:val="•"/>
      <w:lvlJc w:val="left"/>
      <w:pPr>
        <w:ind w:left="6255" w:hanging="360"/>
      </w:pPr>
      <w:rPr>
        <w:rFonts w:hint="default"/>
        <w:lang w:val="en-US" w:eastAsia="en-US" w:bidi="ar-SA"/>
      </w:rPr>
    </w:lvl>
    <w:lvl w:ilvl="8" w:tplc="6D3030D4">
      <w:numFmt w:val="bullet"/>
      <w:lvlText w:val="•"/>
      <w:lvlJc w:val="left"/>
      <w:pPr>
        <w:ind w:left="7043" w:hanging="360"/>
      </w:pPr>
      <w:rPr>
        <w:rFonts w:hint="default"/>
        <w:lang w:val="en-US" w:eastAsia="en-US" w:bidi="ar-SA"/>
      </w:rPr>
    </w:lvl>
  </w:abstractNum>
  <w:abstractNum w:abstractNumId="2" w15:restartNumberingAfterBreak="0">
    <w:nsid w:val="2F383368"/>
    <w:multiLevelType w:val="hybridMultilevel"/>
    <w:tmpl w:val="D534ED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389453FD"/>
    <w:multiLevelType w:val="hybridMultilevel"/>
    <w:tmpl w:val="8EEEB7BE"/>
    <w:lvl w:ilvl="0" w:tplc="1EC24072">
      <w:numFmt w:val="bullet"/>
      <w:lvlText w:val="-"/>
      <w:lvlJc w:val="left"/>
      <w:pPr>
        <w:ind w:left="380" w:hanging="360"/>
      </w:pPr>
      <w:rPr>
        <w:rFonts w:ascii="Calibri" w:eastAsia="Calibri" w:hAnsi="Calibri" w:cs="Calibri" w:hint="default"/>
      </w:rPr>
    </w:lvl>
    <w:lvl w:ilvl="1" w:tplc="0C090003">
      <w:start w:val="1"/>
      <w:numFmt w:val="bullet"/>
      <w:lvlText w:val="o"/>
      <w:lvlJc w:val="left"/>
      <w:pPr>
        <w:ind w:left="1100" w:hanging="360"/>
      </w:pPr>
      <w:rPr>
        <w:rFonts w:ascii="Courier New" w:hAnsi="Courier New" w:cs="Courier New" w:hint="default"/>
      </w:rPr>
    </w:lvl>
    <w:lvl w:ilvl="2" w:tplc="0C090005">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4" w15:restartNumberingAfterBreak="0">
    <w:nsid w:val="57E8322C"/>
    <w:multiLevelType w:val="hybridMultilevel"/>
    <w:tmpl w:val="EA72B712"/>
    <w:lvl w:ilvl="0" w:tplc="1EC24072">
      <w:numFmt w:val="bullet"/>
      <w:lvlText w:val="-"/>
      <w:lvlJc w:val="left"/>
      <w:pPr>
        <w:ind w:left="380" w:hanging="360"/>
      </w:pPr>
      <w:rPr>
        <w:rFonts w:ascii="Calibri" w:eastAsia="Calibri" w:hAnsi="Calibri" w:cs="Calibri" w:hint="default"/>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5" w15:restartNumberingAfterBreak="0">
    <w:nsid w:val="610838DE"/>
    <w:multiLevelType w:val="hybridMultilevel"/>
    <w:tmpl w:val="D40ED78E"/>
    <w:lvl w:ilvl="0" w:tplc="1EC24072">
      <w:numFmt w:val="bullet"/>
      <w:lvlText w:val="-"/>
      <w:lvlJc w:val="left"/>
      <w:pPr>
        <w:ind w:left="380" w:hanging="360"/>
      </w:pPr>
      <w:rPr>
        <w:rFonts w:ascii="Calibri" w:eastAsia="Calibri" w:hAnsi="Calibri" w:cs="Calibri" w:hint="default"/>
      </w:rPr>
    </w:lvl>
    <w:lvl w:ilvl="1" w:tplc="0C090003">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6" w15:restartNumberingAfterBreak="0">
    <w:nsid w:val="7AF27B4B"/>
    <w:multiLevelType w:val="hybridMultilevel"/>
    <w:tmpl w:val="0AA47B3C"/>
    <w:lvl w:ilvl="0" w:tplc="0C090003">
      <w:start w:val="1"/>
      <w:numFmt w:val="bullet"/>
      <w:lvlText w:val="o"/>
      <w:lvlJc w:val="left"/>
      <w:pPr>
        <w:ind w:left="740" w:hanging="360"/>
      </w:pPr>
      <w:rPr>
        <w:rFonts w:ascii="Courier New" w:hAnsi="Courier New" w:cs="Courier New" w:hint="default"/>
      </w:rPr>
    </w:lvl>
    <w:lvl w:ilvl="1" w:tplc="535E99B0">
      <w:numFmt w:val="bullet"/>
      <w:lvlText w:val="-"/>
      <w:lvlJc w:val="left"/>
      <w:pPr>
        <w:ind w:left="1460" w:hanging="360"/>
      </w:pPr>
      <w:rPr>
        <w:rFonts w:ascii="Calibri" w:eastAsia="Calibri" w:hAnsi="Calibri" w:cs="Calibri"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num w:numId="1" w16cid:durableId="1323048424">
    <w:abstractNumId w:val="6"/>
  </w:num>
  <w:num w:numId="2" w16cid:durableId="1222719208">
    <w:abstractNumId w:val="4"/>
  </w:num>
  <w:num w:numId="3" w16cid:durableId="1642691851">
    <w:abstractNumId w:val="5"/>
  </w:num>
  <w:num w:numId="4" w16cid:durableId="17631223">
    <w:abstractNumId w:val="3"/>
  </w:num>
  <w:num w:numId="5" w16cid:durableId="897011746">
    <w:abstractNumId w:val="1"/>
  </w:num>
  <w:num w:numId="6" w16cid:durableId="922496822">
    <w:abstractNumId w:val="0"/>
  </w:num>
  <w:num w:numId="7" w16cid:durableId="2133396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7DF"/>
    <w:rsid w:val="00152A0F"/>
    <w:rsid w:val="003867DF"/>
    <w:rsid w:val="003F510F"/>
    <w:rsid w:val="004757BC"/>
    <w:rsid w:val="004E49A8"/>
    <w:rsid w:val="004F68AF"/>
    <w:rsid w:val="00621121"/>
    <w:rsid w:val="00A739C3"/>
    <w:rsid w:val="00BD18EB"/>
    <w:rsid w:val="00EA60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00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7DF"/>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BD18EB"/>
    <w:pPr>
      <w:spacing w:before="120" w:after="360" w:line="240" w:lineRule="atLeast"/>
      <w:ind w:left="1803" w:right="17" w:hanging="1786"/>
      <w:outlineLvl w:val="0"/>
    </w:pPr>
    <w:rPr>
      <w:b/>
      <w:sz w:val="24"/>
    </w:rPr>
  </w:style>
  <w:style w:type="paragraph" w:styleId="Heading2">
    <w:name w:val="heading 2"/>
    <w:basedOn w:val="Normal"/>
    <w:next w:val="Normal"/>
    <w:link w:val="Heading2Char"/>
    <w:uiPriority w:val="9"/>
    <w:unhideWhenUsed/>
    <w:qFormat/>
    <w:rsid w:val="00BD18EB"/>
    <w:pPr>
      <w:spacing w:before="120" w:after="120" w:line="240" w:lineRule="atLeast"/>
      <w:ind w:left="20"/>
      <w:outlineLvl w:val="1"/>
    </w:pPr>
    <w:rPr>
      <w:b/>
      <w:sz w:val="24"/>
    </w:rPr>
  </w:style>
  <w:style w:type="paragraph" w:styleId="Heading3">
    <w:name w:val="heading 3"/>
    <w:basedOn w:val="Normal"/>
    <w:next w:val="Normal"/>
    <w:link w:val="Heading3Char"/>
    <w:uiPriority w:val="9"/>
    <w:semiHidden/>
    <w:unhideWhenUsed/>
    <w:qFormat/>
    <w:rsid w:val="003867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7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7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7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7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7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7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8EB"/>
    <w:rPr>
      <w:rFonts w:ascii="Calibri" w:eastAsia="Calibri" w:hAnsi="Calibri" w:cs="Calibri"/>
      <w:b/>
      <w:kern w:val="0"/>
      <w:szCs w:val="22"/>
      <w:lang w:val="en-US"/>
      <w14:ligatures w14:val="none"/>
    </w:rPr>
  </w:style>
  <w:style w:type="character" w:customStyle="1" w:styleId="Heading2Char">
    <w:name w:val="Heading 2 Char"/>
    <w:basedOn w:val="DefaultParagraphFont"/>
    <w:link w:val="Heading2"/>
    <w:uiPriority w:val="9"/>
    <w:rsid w:val="00BD18EB"/>
    <w:rPr>
      <w:rFonts w:ascii="Calibri" w:eastAsia="Calibri" w:hAnsi="Calibri" w:cs="Calibri"/>
      <w:b/>
      <w:kern w:val="0"/>
      <w:szCs w:val="22"/>
      <w:lang w:val="en-US"/>
      <w14:ligatures w14:val="none"/>
    </w:rPr>
  </w:style>
  <w:style w:type="character" w:customStyle="1" w:styleId="Heading3Char">
    <w:name w:val="Heading 3 Char"/>
    <w:basedOn w:val="DefaultParagraphFont"/>
    <w:link w:val="Heading3"/>
    <w:uiPriority w:val="9"/>
    <w:semiHidden/>
    <w:rsid w:val="003867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7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7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7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7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7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7DF"/>
    <w:rPr>
      <w:rFonts w:eastAsiaTheme="majorEastAsia" w:cstheme="majorBidi"/>
      <w:color w:val="272727" w:themeColor="text1" w:themeTint="D8"/>
    </w:rPr>
  </w:style>
  <w:style w:type="paragraph" w:styleId="Title">
    <w:name w:val="Title"/>
    <w:basedOn w:val="Normal"/>
    <w:next w:val="Normal"/>
    <w:link w:val="TitleChar"/>
    <w:uiPriority w:val="10"/>
    <w:qFormat/>
    <w:rsid w:val="003867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7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7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7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7DF"/>
    <w:pPr>
      <w:spacing w:before="160"/>
      <w:jc w:val="center"/>
    </w:pPr>
    <w:rPr>
      <w:i/>
      <w:iCs/>
      <w:color w:val="404040" w:themeColor="text1" w:themeTint="BF"/>
    </w:rPr>
  </w:style>
  <w:style w:type="character" w:customStyle="1" w:styleId="QuoteChar">
    <w:name w:val="Quote Char"/>
    <w:basedOn w:val="DefaultParagraphFont"/>
    <w:link w:val="Quote"/>
    <w:uiPriority w:val="29"/>
    <w:rsid w:val="003867DF"/>
    <w:rPr>
      <w:i/>
      <w:iCs/>
      <w:color w:val="404040" w:themeColor="text1" w:themeTint="BF"/>
    </w:rPr>
  </w:style>
  <w:style w:type="paragraph" w:styleId="ListParagraph">
    <w:name w:val="List Paragraph"/>
    <w:basedOn w:val="Normal"/>
    <w:uiPriority w:val="34"/>
    <w:qFormat/>
    <w:rsid w:val="003867DF"/>
    <w:pPr>
      <w:ind w:left="720"/>
      <w:contextualSpacing/>
    </w:pPr>
  </w:style>
  <w:style w:type="character" w:styleId="IntenseEmphasis">
    <w:name w:val="Intense Emphasis"/>
    <w:basedOn w:val="DefaultParagraphFont"/>
    <w:uiPriority w:val="21"/>
    <w:qFormat/>
    <w:rsid w:val="003867DF"/>
    <w:rPr>
      <w:i/>
      <w:iCs/>
      <w:color w:val="0F4761" w:themeColor="accent1" w:themeShade="BF"/>
    </w:rPr>
  </w:style>
  <w:style w:type="paragraph" w:styleId="IntenseQuote">
    <w:name w:val="Intense Quote"/>
    <w:basedOn w:val="Normal"/>
    <w:next w:val="Normal"/>
    <w:link w:val="IntenseQuoteChar"/>
    <w:uiPriority w:val="30"/>
    <w:qFormat/>
    <w:rsid w:val="00386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7DF"/>
    <w:rPr>
      <w:i/>
      <w:iCs/>
      <w:color w:val="0F4761" w:themeColor="accent1" w:themeShade="BF"/>
    </w:rPr>
  </w:style>
  <w:style w:type="character" w:styleId="IntenseReference">
    <w:name w:val="Intense Reference"/>
    <w:basedOn w:val="DefaultParagraphFont"/>
    <w:uiPriority w:val="32"/>
    <w:qFormat/>
    <w:rsid w:val="003867DF"/>
    <w:rPr>
      <w:b/>
      <w:bCs/>
      <w:smallCaps/>
      <w:color w:val="0F4761" w:themeColor="accent1" w:themeShade="BF"/>
      <w:spacing w:val="5"/>
    </w:rPr>
  </w:style>
  <w:style w:type="paragraph" w:styleId="BodyText">
    <w:name w:val="Body Text"/>
    <w:basedOn w:val="Normal"/>
    <w:link w:val="BodyTextChar"/>
    <w:uiPriority w:val="1"/>
    <w:qFormat/>
    <w:rsid w:val="003867DF"/>
    <w:pPr>
      <w:spacing w:line="260" w:lineRule="exact"/>
      <w:ind w:left="20"/>
    </w:pPr>
    <w:rPr>
      <w:sz w:val="24"/>
      <w:szCs w:val="24"/>
    </w:rPr>
  </w:style>
  <w:style w:type="character" w:customStyle="1" w:styleId="BodyTextChar">
    <w:name w:val="Body Text Char"/>
    <w:basedOn w:val="DefaultParagraphFont"/>
    <w:link w:val="BodyText"/>
    <w:uiPriority w:val="1"/>
    <w:rsid w:val="003867DF"/>
    <w:rPr>
      <w:rFonts w:ascii="Calibri" w:eastAsia="Calibri" w:hAnsi="Calibri" w:cs="Calibri"/>
      <w:kern w:val="0"/>
      <w:lang w:val="en-US"/>
      <w14:ligatures w14:val="none"/>
    </w:rPr>
  </w:style>
  <w:style w:type="paragraph" w:styleId="Header">
    <w:name w:val="header"/>
    <w:basedOn w:val="Normal"/>
    <w:link w:val="HeaderChar"/>
    <w:uiPriority w:val="99"/>
    <w:unhideWhenUsed/>
    <w:rsid w:val="003867DF"/>
    <w:pPr>
      <w:tabs>
        <w:tab w:val="center" w:pos="4513"/>
        <w:tab w:val="right" w:pos="9026"/>
      </w:tabs>
    </w:pPr>
  </w:style>
  <w:style w:type="character" w:customStyle="1" w:styleId="HeaderChar">
    <w:name w:val="Header Char"/>
    <w:basedOn w:val="DefaultParagraphFont"/>
    <w:link w:val="Header"/>
    <w:uiPriority w:val="99"/>
    <w:rsid w:val="003867DF"/>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3867DF"/>
    <w:pPr>
      <w:tabs>
        <w:tab w:val="center" w:pos="4513"/>
        <w:tab w:val="right" w:pos="9026"/>
      </w:tabs>
    </w:pPr>
  </w:style>
  <w:style w:type="character" w:customStyle="1" w:styleId="FooterChar">
    <w:name w:val="Footer Char"/>
    <w:basedOn w:val="DefaultParagraphFont"/>
    <w:link w:val="Footer"/>
    <w:uiPriority w:val="99"/>
    <w:rsid w:val="003867DF"/>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anzfta.asean.org/general-review/"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3535</Characters>
  <Application>Microsoft Office Word</Application>
  <DocSecurity>0</DocSecurity>
  <Lines>82</Lines>
  <Paragraphs>48</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AANZFTA General Review: Recommendations for the 23rd AEM-CER Consultations (endorsed by Ministers on 1 September 2018)</dc:title>
  <dc:subject/>
  <dc:creator/>
  <cp:keywords/>
  <dc:description/>
  <cp:lastModifiedBy/>
  <cp:revision>1</cp:revision>
  <dcterms:created xsi:type="dcterms:W3CDTF">2026-06-18T00:04:00Z</dcterms:created>
  <dcterms:modified xsi:type="dcterms:W3CDTF">2026-06-18T00:04:00Z</dcterms:modified>
</cp:coreProperties>
</file>