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3BE88" w14:textId="77777777" w:rsidR="00CA3A1F" w:rsidRPr="003C536C" w:rsidRDefault="00CA3A1F" w:rsidP="00CA3A1F">
      <w:pPr>
        <w:pStyle w:val="Title"/>
        <w:spacing w:after="360" w:line="480" w:lineRule="auto"/>
      </w:pPr>
      <w:bookmarkStart w:id="0" w:name="_Toc40972065"/>
      <w:bookmarkStart w:id="1" w:name="_Toc40972957"/>
      <w:r>
        <w:rPr>
          <w:noProof/>
          <w:lang w:eastAsia="en-AU"/>
        </w:rPr>
        <w:drawing>
          <wp:inline distT="0" distB="0" distL="0" distR="0" wp14:anchorId="3841484A" wp14:editId="3B7F1367">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11">
                      <a:extLst>
                        <a:ext uri="{28A0092B-C50C-407E-A947-70E740481C1C}">
                          <a14:useLocalDpi xmlns:a14="http://schemas.microsoft.com/office/drawing/2010/main" val="0"/>
                        </a:ext>
                      </a:extLst>
                    </a:blip>
                    <a:srcRect t="196" b="7338"/>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0"/>
      <w:bookmarkEnd w:id="1"/>
      <w:bookmarkEnd w:id="2"/>
    </w:p>
    <w:p w14:paraId="74EA3413" w14:textId="3A9CCDEA" w:rsidR="00CA3A1F" w:rsidRPr="00624F30" w:rsidRDefault="008A1B06" w:rsidP="00624F30">
      <w:pPr>
        <w:pStyle w:val="Heading1NoNumbering"/>
        <w:rPr>
          <w:rStyle w:val="eop"/>
          <w:sz w:val="72"/>
          <w:szCs w:val="72"/>
        </w:rPr>
      </w:pPr>
      <w:bookmarkStart w:id="3" w:name="_Toc103348715"/>
      <w:r w:rsidRPr="00624F30">
        <w:rPr>
          <w:rStyle w:val="eop"/>
          <w:sz w:val="72"/>
          <w:szCs w:val="72"/>
        </w:rPr>
        <w:t xml:space="preserve">Australia Awards </w:t>
      </w:r>
      <w:r w:rsidR="00CA3A1F" w:rsidRPr="00624F30">
        <w:rPr>
          <w:rStyle w:val="eop"/>
          <w:sz w:val="72"/>
          <w:szCs w:val="72"/>
        </w:rPr>
        <w:br/>
        <w:t xml:space="preserve">Global Tracer </w:t>
      </w:r>
      <w:r w:rsidR="00C670C2" w:rsidRPr="00624F30">
        <w:rPr>
          <w:rStyle w:val="eop"/>
          <w:sz w:val="72"/>
          <w:szCs w:val="72"/>
        </w:rPr>
        <w:t>F</w:t>
      </w:r>
      <w:r w:rsidR="00CA3A1F" w:rsidRPr="00624F30">
        <w:rPr>
          <w:rStyle w:val="eop"/>
          <w:sz w:val="72"/>
          <w:szCs w:val="72"/>
        </w:rPr>
        <w:t>acility</w:t>
      </w:r>
      <w:bookmarkEnd w:id="3"/>
    </w:p>
    <w:p w14:paraId="7C6EFAAE" w14:textId="77777777" w:rsidR="00CA3A1F" w:rsidRPr="008A009B" w:rsidRDefault="00CA3A1F" w:rsidP="00624F30">
      <w:pPr>
        <w:pStyle w:val="Heading1NoNumbering"/>
        <w:spacing w:line="560" w:lineRule="exact"/>
        <w:rPr>
          <w:rStyle w:val="eop"/>
        </w:rPr>
      </w:pPr>
      <w:bookmarkStart w:id="4" w:name="_Toc103348716"/>
      <w:r w:rsidRPr="008A009B">
        <w:rPr>
          <w:rStyle w:val="eop"/>
        </w:rPr>
        <w:t xml:space="preserve">Australia Awards Exemplary Partnerships: </w:t>
      </w:r>
      <w:r w:rsidRPr="008A009B">
        <w:rPr>
          <w:rStyle w:val="eop"/>
        </w:rPr>
        <w:br/>
        <w:t>The South Pacific Centre for Central Banking</w:t>
      </w:r>
      <w:bookmarkEnd w:id="4"/>
    </w:p>
    <w:p w14:paraId="4EC7A67A" w14:textId="68255D08" w:rsidR="00C06228" w:rsidRPr="00CA3A1F" w:rsidRDefault="0007081B" w:rsidP="00624F30">
      <w:pPr>
        <w:pStyle w:val="Heading1NoNumbering"/>
        <w:rPr>
          <w:rStyle w:val="eop"/>
        </w:rPr>
      </w:pPr>
      <w:bookmarkStart w:id="5" w:name="_Toc103348717"/>
      <w:r w:rsidRPr="00CA3A1F">
        <w:rPr>
          <w:rStyle w:val="eop"/>
          <w:sz w:val="36"/>
          <w:szCs w:val="36"/>
        </w:rPr>
        <w:t>February 2022</w:t>
      </w:r>
      <w:bookmarkEnd w:id="5"/>
    </w:p>
    <w:p w14:paraId="3A296C78" w14:textId="77777777" w:rsidR="00C06228" w:rsidRPr="00CB40AA" w:rsidRDefault="00C06228" w:rsidP="00E26E08">
      <w:pPr>
        <w:rPr>
          <w:lang w:eastAsia="en-AU"/>
        </w:rPr>
      </w:pPr>
      <w:r w:rsidRPr="00CB40AA">
        <w:rPr>
          <w:lang w:eastAsia="en-AU"/>
        </w:rPr>
        <w:br w:type="page"/>
      </w:r>
    </w:p>
    <w:p w14:paraId="6232FF00" w14:textId="77777777" w:rsidR="00C06228" w:rsidRPr="007C083C" w:rsidRDefault="00C06228" w:rsidP="007C083C">
      <w:pPr>
        <w:pStyle w:val="BodyCopy"/>
      </w:pPr>
      <w:r w:rsidRPr="007C083C">
        <w:lastRenderedPageBreak/>
        <w:t>The views expressed in this report are those of the authors and do not necessarily reflect the policy or position of the Australian Government, its agencies or representatives.</w:t>
      </w:r>
    </w:p>
    <w:p w14:paraId="596D80CF" w14:textId="77777777" w:rsidR="00C06228" w:rsidRPr="007C083C" w:rsidRDefault="00C06228" w:rsidP="007C083C">
      <w:pPr>
        <w:pStyle w:val="BodyCopy"/>
      </w:pPr>
      <w:r w:rsidRPr="007C083C">
        <w:t>Australian Department of Foreign Affairs and Trade</w:t>
      </w:r>
    </w:p>
    <w:p w14:paraId="58F36EEC" w14:textId="77777777" w:rsidR="00C06228" w:rsidRPr="007C083C" w:rsidRDefault="00C06228" w:rsidP="007C083C">
      <w:pPr>
        <w:pStyle w:val="BodyCopy"/>
      </w:pPr>
      <w:r w:rsidRPr="007C083C">
        <w:t>With the exception of the Commonwealth Coat of Arms and where otherwise noted, all material presented is provided under a Creative Commons Attribution 3.0 Australia license.</w:t>
      </w:r>
    </w:p>
    <w:p w14:paraId="3D9E51C8" w14:textId="77777777" w:rsidR="00C06228" w:rsidRPr="007C083C" w:rsidRDefault="00C06228" w:rsidP="007C083C">
      <w:pPr>
        <w:pStyle w:val="BodyCopy"/>
        <w:rPr>
          <w:b/>
          <w:bCs/>
        </w:rPr>
      </w:pPr>
      <w:r w:rsidRPr="007C083C">
        <w:rPr>
          <w:b/>
          <w:bCs/>
        </w:rPr>
        <w:t>Acknowledgements:</w:t>
      </w:r>
    </w:p>
    <w:p w14:paraId="46040A9C" w14:textId="6BC741AF" w:rsidR="003C5EE4" w:rsidRPr="00CB40AA" w:rsidRDefault="003C5EE4" w:rsidP="007C083C">
      <w:pPr>
        <w:pStyle w:val="BodyCopy"/>
      </w:pPr>
      <w:r w:rsidRPr="00CB40AA">
        <w:t>The authors would like to thank Dr Parmendra Sharma, Ms Sharm Aboosally, Dr Jen-Je Su, Associate Professor Tarlock Singh and Professor Caitlin Byrne from Griffith University, for supporting this case st</w:t>
      </w:r>
      <w:r w:rsidR="00965A5C" w:rsidRPr="00CB40AA">
        <w:t xml:space="preserve">udy. </w:t>
      </w:r>
      <w:r w:rsidRPr="00CB40AA">
        <w:t xml:space="preserve">Most importantly, we would also </w:t>
      </w:r>
      <w:r w:rsidR="00965A5C" w:rsidRPr="00CB40AA">
        <w:t xml:space="preserve">like to </w:t>
      </w:r>
      <w:r w:rsidRPr="00CB40AA">
        <w:t xml:space="preserve">thank the staff from the Reserve Bank of Fiji and the </w:t>
      </w:r>
      <w:r w:rsidR="00965A5C" w:rsidRPr="00CB40AA">
        <w:t>Central Bank of Solomon Islands who participated in our focus groups and shared their insights into the impact of the South Pacific Centre for Central Banking on their organisations.</w:t>
      </w:r>
    </w:p>
    <w:p w14:paraId="639E0AFB" w14:textId="77777777" w:rsidR="007C083C" w:rsidRPr="0042732A" w:rsidRDefault="00C06228" w:rsidP="4BCAB437">
      <w:pPr>
        <w:rPr>
          <w:b/>
          <w:bCs/>
          <w:sz w:val="20"/>
          <w:szCs w:val="20"/>
        </w:rPr>
      </w:pPr>
      <w:r w:rsidRPr="0042732A">
        <w:rPr>
          <w:b/>
          <w:bCs/>
          <w:sz w:val="20"/>
          <w:szCs w:val="20"/>
        </w:rPr>
        <w:t xml:space="preserve">Recommended citation:  </w:t>
      </w:r>
    </w:p>
    <w:p w14:paraId="736327FA" w14:textId="061B627D" w:rsidR="00C06228" w:rsidRPr="00CB40AA" w:rsidRDefault="0079501E" w:rsidP="00863FA1">
      <w:pPr>
        <w:pStyle w:val="BodyCopy"/>
      </w:pPr>
      <w:r w:rsidRPr="00CB40AA">
        <w:t>Doyle, J</w:t>
      </w:r>
      <w:r w:rsidR="00D65707" w:rsidRPr="00CB40AA">
        <w:t xml:space="preserve">. &amp; </w:t>
      </w:r>
      <w:r w:rsidRPr="00CB40AA">
        <w:t>Haddow</w:t>
      </w:r>
      <w:r w:rsidR="00D65707" w:rsidRPr="00CB40AA">
        <w:t>, A</w:t>
      </w:r>
      <w:r w:rsidR="00C06228" w:rsidRPr="00CB40AA">
        <w:t>. (202</w:t>
      </w:r>
      <w:r w:rsidRPr="00CB40AA">
        <w:t>2</w:t>
      </w:r>
      <w:r w:rsidR="00C06228" w:rsidRPr="00CB40AA">
        <w:t>).</w:t>
      </w:r>
      <w:r w:rsidR="00C06228" w:rsidRPr="00CB40AA">
        <w:rPr>
          <w:i/>
        </w:rPr>
        <w:t xml:space="preserve"> </w:t>
      </w:r>
      <w:r w:rsidR="00C06228" w:rsidRPr="0DE9DB83">
        <w:rPr>
          <w:i/>
          <w:iCs/>
        </w:rPr>
        <w:t xml:space="preserve">Australia Awards </w:t>
      </w:r>
      <w:r w:rsidR="005153C8" w:rsidRPr="0DE9DB83">
        <w:rPr>
          <w:i/>
          <w:iCs/>
        </w:rPr>
        <w:t>Exemplary Partnerships</w:t>
      </w:r>
      <w:r w:rsidR="005153C8" w:rsidRPr="00CB40AA">
        <w:rPr>
          <w:i/>
        </w:rPr>
        <w:t>: The South Pacific Centre for Central Banking</w:t>
      </w:r>
      <w:r w:rsidR="005153C8" w:rsidRPr="00CB40AA">
        <w:t xml:space="preserve">, </w:t>
      </w:r>
      <w:r w:rsidR="00C06228" w:rsidRPr="00CB40AA">
        <w:t xml:space="preserve">Australia Awards Global Tracer Facility, Australian Department of Foreign Affairs and Trade, Canberra. Retrieved from: </w:t>
      </w:r>
      <w:hyperlink r:id="rId12">
        <w:r w:rsidR="00C06228" w:rsidRPr="00CB40AA">
          <w:rPr>
            <w:rStyle w:val="Hyperlink"/>
          </w:rPr>
          <w:t>https://www.dfat.gov.au/people-to-people/australia-awards/australia-awards-global-tracer-facility-year-6-results</w:t>
        </w:r>
      </w:hyperlink>
      <w:r w:rsidR="4BCAB437" w:rsidRPr="00CB40AA">
        <w:t xml:space="preserve">. </w:t>
      </w:r>
    </w:p>
    <w:p w14:paraId="3E01967C" w14:textId="77777777" w:rsidR="00C06228" w:rsidRPr="00CB40AA" w:rsidRDefault="00C06228" w:rsidP="00E26E08">
      <w:pPr>
        <w:pStyle w:val="paragraph"/>
      </w:pPr>
    </w:p>
    <w:p w14:paraId="1FD04E16" w14:textId="77777777" w:rsidR="002673FF" w:rsidRPr="00CB40AA" w:rsidRDefault="002673FF" w:rsidP="00E26E08">
      <w:r w:rsidRPr="00CB40AA">
        <w:br w:type="page"/>
      </w:r>
    </w:p>
    <w:bookmarkStart w:id="6" w:name="_Toc97115937" w:displacedByCustomXml="next"/>
    <w:bookmarkStart w:id="7" w:name="_Toc98408077" w:displacedByCustomXml="next"/>
    <w:bookmarkStart w:id="8" w:name="_Toc100666081" w:displacedByCustomXml="next"/>
    <w:bookmarkStart w:id="9" w:name="_Toc103348718" w:displacedByCustomXml="next"/>
    <w:sdt>
      <w:sdtPr>
        <w:rPr>
          <w:rFonts w:asciiTheme="minorHAnsi" w:eastAsiaTheme="minorHAnsi" w:hAnsiTheme="minorHAnsi" w:cstheme="minorBidi"/>
          <w:color w:val="000000"/>
          <w:sz w:val="22"/>
          <w:szCs w:val="22"/>
          <w:shd w:val="clear" w:color="auto" w:fill="E6E6E6"/>
          <w14:textFill>
            <w14:solidFill>
              <w14:srgbClr w14:val="000000">
                <w14:lumMod w14:val="50000"/>
              </w14:srgbClr>
            </w14:solidFill>
          </w14:textFill>
        </w:rPr>
        <w:id w:val="1842760224"/>
        <w:docPartObj>
          <w:docPartGallery w:val="Table of Contents"/>
          <w:docPartUnique/>
        </w:docPartObj>
      </w:sdtPr>
      <w:sdtEndPr>
        <w:rPr>
          <w:rFonts w:ascii="Arial" w:hAnsi="Arial"/>
          <w:sz w:val="20"/>
          <w:szCs w:val="20"/>
        </w:rPr>
      </w:sdtEndPr>
      <w:sdtContent>
        <w:p w14:paraId="46C0618D" w14:textId="3ACC170A" w:rsidR="002673FF" w:rsidRPr="008A009B" w:rsidRDefault="6D86D456" w:rsidP="00624F30">
          <w:pPr>
            <w:pStyle w:val="Heading2NoNumbering"/>
          </w:pPr>
          <w:r w:rsidRPr="008A009B">
            <w:t>Contents</w:t>
          </w:r>
          <w:bookmarkEnd w:id="9"/>
          <w:bookmarkEnd w:id="8"/>
          <w:bookmarkEnd w:id="7"/>
          <w:bookmarkEnd w:id="6"/>
        </w:p>
        <w:p w14:paraId="0ECEEE2A" w14:textId="5F5EA17F" w:rsidR="00D40E11" w:rsidRPr="00FB6DD3" w:rsidRDefault="129E54B2" w:rsidP="00D40E11">
          <w:pPr>
            <w:pStyle w:val="TOC1"/>
            <w:tabs>
              <w:tab w:val="right" w:pos="9350"/>
            </w:tabs>
            <w:spacing w:before="120" w:after="60" w:line="260" w:lineRule="exact"/>
            <w:rPr>
              <w:rFonts w:eastAsiaTheme="minorEastAsia" w:cs="Arial"/>
              <w:noProof/>
              <w:sz w:val="20"/>
              <w:szCs w:val="20"/>
              <w:lang w:eastAsia="en-GB"/>
            </w:rPr>
          </w:pPr>
          <w:r w:rsidRPr="00FB6DD3">
            <w:rPr>
              <w:color w:val="2B579A"/>
              <w:sz w:val="20"/>
              <w:szCs w:val="20"/>
              <w:shd w:val="clear" w:color="auto" w:fill="E6E6E6"/>
            </w:rPr>
            <w:fldChar w:fldCharType="begin"/>
          </w:r>
          <w:r w:rsidR="002673FF" w:rsidRPr="00FB6DD3">
            <w:rPr>
              <w:sz w:val="20"/>
              <w:szCs w:val="20"/>
            </w:rPr>
            <w:instrText>TOC \o "1-2" \h \z \u</w:instrText>
          </w:r>
          <w:r w:rsidRPr="00FB6DD3">
            <w:rPr>
              <w:color w:val="2B579A"/>
              <w:sz w:val="20"/>
              <w:szCs w:val="20"/>
              <w:shd w:val="clear" w:color="auto" w:fill="E6E6E6"/>
            </w:rPr>
            <w:fldChar w:fldCharType="separate"/>
          </w:r>
        </w:p>
        <w:p w14:paraId="33936EE4" w14:textId="4E5698A6" w:rsidR="00D40E11" w:rsidRPr="00FB6DD3" w:rsidRDefault="00C9321C" w:rsidP="00D40E11">
          <w:pPr>
            <w:pStyle w:val="TOC1"/>
            <w:tabs>
              <w:tab w:val="right" w:pos="9350"/>
            </w:tabs>
            <w:spacing w:before="120" w:after="60" w:line="260" w:lineRule="exact"/>
            <w:rPr>
              <w:rFonts w:eastAsiaTheme="minorEastAsia" w:cs="Arial"/>
              <w:noProof/>
              <w:sz w:val="20"/>
              <w:szCs w:val="20"/>
              <w:lang w:eastAsia="en-GB"/>
            </w:rPr>
          </w:pPr>
          <w:hyperlink w:anchor="_Toc103348719" w:history="1">
            <w:r w:rsidR="00D40E11" w:rsidRPr="00FB6DD3">
              <w:rPr>
                <w:rStyle w:val="Hyperlink"/>
                <w:rFonts w:cs="Arial"/>
                <w:noProof/>
                <w:sz w:val="20"/>
                <w:szCs w:val="20"/>
              </w:rPr>
              <w:t>Acronyms and Abbreviations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_Toc103348719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4</w:t>
            </w:r>
            <w:r w:rsidR="00D40E11" w:rsidRPr="00FB6DD3">
              <w:rPr>
                <w:rFonts w:cs="Arial"/>
                <w:noProof/>
                <w:webHidden/>
                <w:sz w:val="20"/>
                <w:szCs w:val="20"/>
              </w:rPr>
              <w:fldChar w:fldCharType="end"/>
            </w:r>
          </w:hyperlink>
        </w:p>
        <w:p w14:paraId="3A11EC0F" w14:textId="6BD44D60" w:rsidR="00D40E11" w:rsidRPr="00FB6DD3" w:rsidRDefault="00C9321C" w:rsidP="00D40E11">
          <w:pPr>
            <w:pStyle w:val="TOC1"/>
            <w:tabs>
              <w:tab w:val="right" w:pos="9350"/>
            </w:tabs>
            <w:spacing w:before="120" w:after="60" w:line="260" w:lineRule="exact"/>
            <w:rPr>
              <w:rFonts w:eastAsiaTheme="minorEastAsia" w:cs="Arial"/>
              <w:noProof/>
              <w:sz w:val="20"/>
              <w:szCs w:val="20"/>
              <w:lang w:eastAsia="en-GB"/>
            </w:rPr>
          </w:pPr>
          <w:hyperlink w:anchor="_Toc103348720" w:history="1">
            <w:r w:rsidR="00D40E11" w:rsidRPr="00FB6DD3">
              <w:rPr>
                <w:rStyle w:val="Hyperlink"/>
                <w:rFonts w:cs="Arial"/>
                <w:noProof/>
                <w:sz w:val="20"/>
                <w:szCs w:val="20"/>
              </w:rPr>
              <w:t>Executive Summary</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_Toc103348720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5</w:t>
            </w:r>
            <w:r w:rsidR="00D40E11" w:rsidRPr="00FB6DD3">
              <w:rPr>
                <w:rFonts w:cs="Arial"/>
                <w:noProof/>
                <w:webHidden/>
                <w:sz w:val="20"/>
                <w:szCs w:val="20"/>
              </w:rPr>
              <w:fldChar w:fldCharType="end"/>
            </w:r>
          </w:hyperlink>
        </w:p>
        <w:p w14:paraId="5C99BD03" w14:textId="5C05169E"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21" w:history="1">
            <w:r w:rsidR="00D40E11" w:rsidRPr="00FB6DD3">
              <w:rPr>
                <w:rStyle w:val="Hyperlink"/>
                <w:rFonts w:cs="Arial"/>
                <w:noProof/>
                <w:sz w:val="20"/>
                <w:szCs w:val="20"/>
              </w:rPr>
              <w:t>1.</w:t>
            </w:r>
            <w:r w:rsidR="00D40E11" w:rsidRPr="00FB6DD3">
              <w:rPr>
                <w:rFonts w:eastAsiaTheme="minorEastAsia" w:cs="Arial"/>
                <w:noProof/>
                <w:sz w:val="20"/>
                <w:szCs w:val="20"/>
                <w:lang w:eastAsia="en-GB"/>
              </w:rPr>
              <w:tab/>
            </w:r>
            <w:r w:rsidR="00D40E11" w:rsidRPr="00FB6DD3">
              <w:rPr>
                <w:rStyle w:val="Hyperlink"/>
                <w:rFonts w:cs="Arial"/>
                <w:noProof/>
                <w:sz w:val="20"/>
                <w:szCs w:val="20"/>
              </w:rPr>
              <w:t>Introduction</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_Toc103348721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9</w:t>
            </w:r>
            <w:r w:rsidR="00D40E11" w:rsidRPr="00FB6DD3">
              <w:rPr>
                <w:rFonts w:cs="Arial"/>
                <w:noProof/>
                <w:webHidden/>
                <w:sz w:val="20"/>
                <w:szCs w:val="20"/>
              </w:rPr>
              <w:fldChar w:fldCharType="end"/>
            </w:r>
          </w:hyperlink>
        </w:p>
        <w:p w14:paraId="10F4F376" w14:textId="512809BC"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2" w:history="1">
            <w:r w:rsidR="00D40E11" w:rsidRPr="00FB6DD3">
              <w:rPr>
                <w:rStyle w:val="Hyperlink"/>
                <w:rFonts w:cs="Arial"/>
                <w:noProof/>
                <w:sz w:val="20"/>
                <w:szCs w:val="20"/>
              </w:rPr>
              <w:t>1.1</w:t>
            </w:r>
            <w:r w:rsidR="00D40E11" w:rsidRPr="00FB6DD3">
              <w:rPr>
                <w:rFonts w:eastAsiaTheme="minorEastAsia" w:cs="Arial"/>
                <w:noProof/>
                <w:sz w:val="20"/>
                <w:szCs w:val="20"/>
                <w:lang w:eastAsia="en-GB"/>
              </w:rPr>
              <w:tab/>
            </w:r>
            <w:r w:rsidR="00D40E11" w:rsidRPr="00FB6DD3">
              <w:rPr>
                <w:rStyle w:val="Hyperlink"/>
                <w:rFonts w:cs="Arial"/>
                <w:noProof/>
                <w:sz w:val="20"/>
                <w:szCs w:val="20"/>
              </w:rPr>
              <w:t>Australia Awards Fellowships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_Toc103348722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9</w:t>
            </w:r>
            <w:r w:rsidR="00D40E11" w:rsidRPr="00FB6DD3">
              <w:rPr>
                <w:rFonts w:cs="Arial"/>
                <w:noProof/>
                <w:webHidden/>
                <w:sz w:val="20"/>
                <w:szCs w:val="20"/>
              </w:rPr>
              <w:fldChar w:fldCharType="end"/>
            </w:r>
          </w:hyperlink>
        </w:p>
        <w:p w14:paraId="202CA167" w14:textId="0CE5FB6B"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3" w:history="1">
            <w:r w:rsidR="00D40E11" w:rsidRPr="00FB6DD3">
              <w:rPr>
                <w:rStyle w:val="Hyperlink"/>
                <w:rFonts w:cs="Arial"/>
                <w:noProof/>
                <w:sz w:val="20"/>
                <w:szCs w:val="20"/>
              </w:rPr>
              <w:t>1.2</w:t>
            </w:r>
            <w:r w:rsidR="00D40E11" w:rsidRPr="00FB6DD3">
              <w:rPr>
                <w:rFonts w:eastAsiaTheme="minorEastAsia" w:cs="Arial"/>
                <w:noProof/>
                <w:sz w:val="20"/>
                <w:szCs w:val="20"/>
                <w:lang w:eastAsia="en-GB"/>
              </w:rPr>
              <w:tab/>
            </w:r>
            <w:r w:rsidR="00D40E11" w:rsidRPr="00FB6DD3">
              <w:rPr>
                <w:rStyle w:val="Hyperlink"/>
                <w:rFonts w:cs="Arial"/>
                <w:noProof/>
                <w:sz w:val="20"/>
                <w:szCs w:val="20"/>
              </w:rPr>
              <w:t>Objectives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_Toc103348723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9</w:t>
            </w:r>
            <w:r w:rsidR="00D40E11" w:rsidRPr="00FB6DD3">
              <w:rPr>
                <w:rFonts w:cs="Arial"/>
                <w:noProof/>
                <w:webHidden/>
                <w:sz w:val="20"/>
                <w:szCs w:val="20"/>
              </w:rPr>
              <w:fldChar w:fldCharType="end"/>
            </w:r>
          </w:hyperlink>
        </w:p>
        <w:p w14:paraId="6B38B459" w14:textId="6833E86D"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4" w:history="1">
            <w:r w:rsidR="00D40E11" w:rsidRPr="00FB6DD3">
              <w:rPr>
                <w:rStyle w:val="Hyperlink"/>
                <w:rFonts w:cs="Arial"/>
                <w:noProof/>
                <w:sz w:val="20"/>
                <w:szCs w:val="20"/>
              </w:rPr>
              <w:t>1.3</w:t>
            </w:r>
            <w:r w:rsidR="00D40E11" w:rsidRPr="00FB6DD3">
              <w:rPr>
                <w:rFonts w:eastAsiaTheme="minorEastAsia" w:cs="Arial"/>
                <w:noProof/>
                <w:sz w:val="20"/>
                <w:szCs w:val="20"/>
                <w:lang w:eastAsia="en-GB"/>
              </w:rPr>
              <w:tab/>
            </w:r>
            <w:r w:rsidR="00D40E11" w:rsidRPr="00FB6DD3">
              <w:rPr>
                <w:rStyle w:val="Hyperlink"/>
                <w:rFonts w:cs="Arial"/>
                <w:noProof/>
                <w:sz w:val="20"/>
                <w:szCs w:val="20"/>
              </w:rPr>
              <w:t>Scope</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_Toc103348724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11</w:t>
            </w:r>
            <w:r w:rsidR="00D40E11" w:rsidRPr="00FB6DD3">
              <w:rPr>
                <w:rFonts w:cs="Arial"/>
                <w:noProof/>
                <w:webHidden/>
                <w:sz w:val="20"/>
                <w:szCs w:val="20"/>
              </w:rPr>
              <w:fldChar w:fldCharType="end"/>
            </w:r>
          </w:hyperlink>
        </w:p>
        <w:p w14:paraId="796BA28E" w14:textId="05B7C9FC"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5" w:history="1">
            <w:r w:rsidR="00D40E11" w:rsidRPr="00FB6DD3">
              <w:rPr>
                <w:rStyle w:val="Hyperlink"/>
                <w:rFonts w:cs="Arial"/>
                <w:noProof/>
                <w:sz w:val="20"/>
                <w:szCs w:val="20"/>
              </w:rPr>
              <w:t>1.4</w:t>
            </w:r>
            <w:r w:rsidR="00D40E11" w:rsidRPr="00FB6DD3">
              <w:rPr>
                <w:rFonts w:eastAsiaTheme="minorEastAsia" w:cs="Arial"/>
                <w:noProof/>
                <w:sz w:val="20"/>
                <w:szCs w:val="20"/>
                <w:lang w:eastAsia="en-GB"/>
              </w:rPr>
              <w:tab/>
            </w:r>
            <w:r w:rsidR="00D40E11" w:rsidRPr="00FB6DD3">
              <w:rPr>
                <w:rStyle w:val="Hyperlink"/>
                <w:rFonts w:cs="Arial"/>
                <w:noProof/>
                <w:sz w:val="20"/>
                <w:szCs w:val="20"/>
              </w:rPr>
              <w:t>Case study participants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_Toc103348725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11</w:t>
            </w:r>
            <w:r w:rsidR="00D40E11" w:rsidRPr="00FB6DD3">
              <w:rPr>
                <w:rFonts w:cs="Arial"/>
                <w:noProof/>
                <w:webHidden/>
                <w:sz w:val="20"/>
                <w:szCs w:val="20"/>
              </w:rPr>
              <w:fldChar w:fldCharType="end"/>
            </w:r>
          </w:hyperlink>
        </w:p>
        <w:p w14:paraId="314814E7" w14:textId="1B12A2A2"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26" w:history="1">
            <w:r w:rsidR="00D40E11" w:rsidRPr="00FB6DD3">
              <w:rPr>
                <w:rStyle w:val="Hyperlink"/>
                <w:rFonts w:eastAsia="Calibri" w:cs="Arial"/>
                <w:noProof/>
                <w:sz w:val="20"/>
                <w:szCs w:val="20"/>
              </w:rPr>
              <w:t>2.</w:t>
            </w:r>
            <w:r w:rsidR="00D40E11" w:rsidRPr="00FB6DD3">
              <w:rPr>
                <w:rFonts w:eastAsiaTheme="minorEastAsia" w:cs="Arial"/>
                <w:noProof/>
                <w:sz w:val="20"/>
                <w:szCs w:val="20"/>
                <w:lang w:eastAsia="en-GB"/>
              </w:rPr>
              <w:tab/>
            </w:r>
            <w:r w:rsidR="00D40E11" w:rsidRPr="00FB6DD3">
              <w:rPr>
                <w:rStyle w:val="Hyperlink"/>
                <w:rFonts w:cs="Arial"/>
                <w:noProof/>
                <w:sz w:val="20"/>
                <w:szCs w:val="20"/>
              </w:rPr>
              <w:t>SPCCB partnership background</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_Toc103348726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13</w:t>
            </w:r>
            <w:r w:rsidR="00D40E11" w:rsidRPr="00FB6DD3">
              <w:rPr>
                <w:rFonts w:cs="Arial"/>
                <w:noProof/>
                <w:webHidden/>
                <w:sz w:val="20"/>
                <w:szCs w:val="20"/>
              </w:rPr>
              <w:fldChar w:fldCharType="end"/>
            </w:r>
          </w:hyperlink>
        </w:p>
        <w:p w14:paraId="3556AA60" w14:textId="590FC775"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7" w:history="1">
            <w:r w:rsidR="00D40E11" w:rsidRPr="00FB6DD3">
              <w:rPr>
                <w:rStyle w:val="Hyperlink"/>
                <w:rFonts w:cs="Arial"/>
                <w:noProof/>
                <w:sz w:val="20"/>
                <w:szCs w:val="20"/>
              </w:rPr>
              <w:t>2.1</w:t>
            </w:r>
            <w:r w:rsidR="00D40E11" w:rsidRPr="00FB6DD3">
              <w:rPr>
                <w:rFonts w:eastAsiaTheme="minorEastAsia" w:cs="Arial"/>
                <w:noProof/>
                <w:sz w:val="20"/>
                <w:szCs w:val="20"/>
                <w:lang w:eastAsia="en-GB"/>
              </w:rPr>
              <w:tab/>
            </w:r>
            <w:r w:rsidR="00D40E11" w:rsidRPr="00FB6DD3">
              <w:rPr>
                <w:rStyle w:val="Hyperlink"/>
                <w:rFonts w:cs="Arial"/>
                <w:noProof/>
                <w:sz w:val="20"/>
                <w:szCs w:val="20"/>
              </w:rPr>
              <w:t>SPCCB key partners and stakeholders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_Toc103348727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13</w:t>
            </w:r>
            <w:r w:rsidR="00D40E11" w:rsidRPr="00FB6DD3">
              <w:rPr>
                <w:rFonts w:cs="Arial"/>
                <w:noProof/>
                <w:webHidden/>
                <w:sz w:val="20"/>
                <w:szCs w:val="20"/>
              </w:rPr>
              <w:fldChar w:fldCharType="end"/>
            </w:r>
          </w:hyperlink>
        </w:p>
        <w:p w14:paraId="58D2F127" w14:textId="06C0FAD5"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8" w:history="1">
            <w:r w:rsidR="00D40E11" w:rsidRPr="00FB6DD3">
              <w:rPr>
                <w:rStyle w:val="Hyperlink"/>
                <w:rFonts w:cs="Arial"/>
                <w:noProof/>
                <w:sz w:val="20"/>
                <w:szCs w:val="20"/>
              </w:rPr>
              <w:t>2.2</w:t>
            </w:r>
            <w:r w:rsidR="00D40E11" w:rsidRPr="00FB6DD3">
              <w:rPr>
                <w:rFonts w:eastAsiaTheme="minorEastAsia" w:cs="Arial"/>
                <w:noProof/>
                <w:sz w:val="20"/>
                <w:szCs w:val="20"/>
                <w:lang w:eastAsia="en-GB"/>
              </w:rPr>
              <w:tab/>
            </w:r>
            <w:r w:rsidR="00D40E11" w:rsidRPr="00FB6DD3">
              <w:rPr>
                <w:rStyle w:val="Hyperlink"/>
                <w:rFonts w:cs="Arial"/>
                <w:noProof/>
                <w:sz w:val="20"/>
                <w:szCs w:val="20"/>
              </w:rPr>
              <w:t>History of SPCCB partnership development</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_Toc103348728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14</w:t>
            </w:r>
            <w:r w:rsidR="00D40E11" w:rsidRPr="00FB6DD3">
              <w:rPr>
                <w:rFonts w:cs="Arial"/>
                <w:noProof/>
                <w:webHidden/>
                <w:sz w:val="20"/>
                <w:szCs w:val="20"/>
              </w:rPr>
              <w:fldChar w:fldCharType="end"/>
            </w:r>
          </w:hyperlink>
        </w:p>
        <w:p w14:paraId="2F7A3B90" w14:textId="63697033"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29" w:history="1">
            <w:r w:rsidR="00D40E11" w:rsidRPr="00FB6DD3">
              <w:rPr>
                <w:rStyle w:val="Hyperlink"/>
                <w:rFonts w:cs="Arial"/>
                <w:noProof/>
                <w:sz w:val="20"/>
                <w:szCs w:val="20"/>
              </w:rPr>
              <w:t>2.3</w:t>
            </w:r>
            <w:r w:rsidR="00D40E11" w:rsidRPr="00FB6DD3">
              <w:rPr>
                <w:rFonts w:eastAsiaTheme="minorEastAsia" w:cs="Arial"/>
                <w:noProof/>
                <w:sz w:val="20"/>
                <w:szCs w:val="20"/>
                <w:lang w:eastAsia="en-GB"/>
              </w:rPr>
              <w:tab/>
            </w:r>
            <w:r w:rsidR="00D40E11" w:rsidRPr="00FB6DD3">
              <w:rPr>
                <w:rStyle w:val="Hyperlink"/>
                <w:rFonts w:cs="Arial"/>
                <w:noProof/>
                <w:sz w:val="20"/>
                <w:szCs w:val="20"/>
              </w:rPr>
              <w:t>The important role of central banks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_Toc103348729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16</w:t>
            </w:r>
            <w:r w:rsidR="00D40E11" w:rsidRPr="00FB6DD3">
              <w:rPr>
                <w:rFonts w:cs="Arial"/>
                <w:noProof/>
                <w:webHidden/>
                <w:sz w:val="20"/>
                <w:szCs w:val="20"/>
              </w:rPr>
              <w:fldChar w:fldCharType="end"/>
            </w:r>
          </w:hyperlink>
        </w:p>
        <w:p w14:paraId="7F4BC758" w14:textId="72045A74"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0" w:history="1">
            <w:r w:rsidR="00D40E11" w:rsidRPr="00FB6DD3">
              <w:rPr>
                <w:rStyle w:val="Hyperlink"/>
                <w:rFonts w:cs="Arial"/>
                <w:noProof/>
                <w:sz w:val="20"/>
                <w:szCs w:val="20"/>
              </w:rPr>
              <w:t>2.4</w:t>
            </w:r>
            <w:r w:rsidR="00D40E11" w:rsidRPr="00FB6DD3">
              <w:rPr>
                <w:rFonts w:eastAsiaTheme="minorEastAsia" w:cs="Arial"/>
                <w:noProof/>
                <w:sz w:val="20"/>
                <w:szCs w:val="20"/>
                <w:lang w:eastAsia="en-GB"/>
              </w:rPr>
              <w:tab/>
            </w:r>
            <w:r w:rsidR="00D40E11" w:rsidRPr="00FB6DD3">
              <w:rPr>
                <w:rStyle w:val="Hyperlink"/>
                <w:rFonts w:cs="Arial"/>
                <w:noProof/>
                <w:sz w:val="20"/>
                <w:szCs w:val="20"/>
              </w:rPr>
              <w:t>Development challenges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_Toc103348730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16</w:t>
            </w:r>
            <w:r w:rsidR="00D40E11" w:rsidRPr="00FB6DD3">
              <w:rPr>
                <w:rFonts w:cs="Arial"/>
                <w:noProof/>
                <w:webHidden/>
                <w:sz w:val="20"/>
                <w:szCs w:val="20"/>
              </w:rPr>
              <w:fldChar w:fldCharType="end"/>
            </w:r>
          </w:hyperlink>
        </w:p>
        <w:p w14:paraId="192B787A" w14:textId="5AABB8C8"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1" w:history="1">
            <w:r w:rsidR="00D40E11" w:rsidRPr="00FB6DD3">
              <w:rPr>
                <w:rStyle w:val="Hyperlink"/>
                <w:rFonts w:cs="Arial"/>
                <w:noProof/>
                <w:sz w:val="20"/>
                <w:szCs w:val="20"/>
              </w:rPr>
              <w:t>2.5</w:t>
            </w:r>
            <w:r w:rsidR="00D40E11" w:rsidRPr="00FB6DD3">
              <w:rPr>
                <w:rFonts w:eastAsiaTheme="minorEastAsia" w:cs="Arial"/>
                <w:noProof/>
                <w:sz w:val="20"/>
                <w:szCs w:val="20"/>
                <w:lang w:eastAsia="en-GB"/>
              </w:rPr>
              <w:tab/>
            </w:r>
            <w:r w:rsidR="00D40E11" w:rsidRPr="00FB6DD3">
              <w:rPr>
                <w:rStyle w:val="Hyperlink"/>
                <w:rFonts w:cs="Arial"/>
                <w:noProof/>
                <w:sz w:val="20"/>
                <w:szCs w:val="20"/>
              </w:rPr>
              <w:t>Research themes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_Toc103348731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16</w:t>
            </w:r>
            <w:r w:rsidR="00D40E11" w:rsidRPr="00FB6DD3">
              <w:rPr>
                <w:rFonts w:cs="Arial"/>
                <w:noProof/>
                <w:webHidden/>
                <w:sz w:val="20"/>
                <w:szCs w:val="20"/>
              </w:rPr>
              <w:fldChar w:fldCharType="end"/>
            </w:r>
          </w:hyperlink>
        </w:p>
        <w:p w14:paraId="33B99D63" w14:textId="16FB1F7D"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32" w:history="1">
            <w:r w:rsidR="00D40E11" w:rsidRPr="00FB6DD3">
              <w:rPr>
                <w:rStyle w:val="Hyperlink"/>
                <w:rFonts w:cs="Arial"/>
                <w:noProof/>
                <w:sz w:val="20"/>
                <w:szCs w:val="20"/>
              </w:rPr>
              <w:t>3.</w:t>
            </w:r>
            <w:r w:rsidR="00D40E11" w:rsidRPr="00FB6DD3">
              <w:rPr>
                <w:rFonts w:eastAsiaTheme="minorEastAsia" w:cs="Arial"/>
                <w:noProof/>
                <w:sz w:val="20"/>
                <w:szCs w:val="20"/>
                <w:lang w:eastAsia="en-GB"/>
              </w:rPr>
              <w:tab/>
            </w:r>
            <w:r w:rsidR="00D40E11" w:rsidRPr="00FB6DD3">
              <w:rPr>
                <w:rStyle w:val="Hyperlink"/>
                <w:rFonts w:cs="Arial"/>
                <w:noProof/>
                <w:sz w:val="20"/>
                <w:szCs w:val="20"/>
              </w:rPr>
              <w:t>SPCCB contributions to Australia Awards long-term program outcomes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_Toc103348732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18</w:t>
            </w:r>
            <w:r w:rsidR="00D40E11" w:rsidRPr="00FB6DD3">
              <w:rPr>
                <w:rFonts w:cs="Arial"/>
                <w:noProof/>
                <w:webHidden/>
                <w:sz w:val="20"/>
                <w:szCs w:val="20"/>
              </w:rPr>
              <w:fldChar w:fldCharType="end"/>
            </w:r>
          </w:hyperlink>
        </w:p>
        <w:p w14:paraId="72D7BA3A" w14:textId="34A5647D"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3" w:history="1">
            <w:r w:rsidR="00D40E11" w:rsidRPr="00FB6DD3">
              <w:rPr>
                <w:rStyle w:val="Hyperlink"/>
                <w:rFonts w:cs="Arial"/>
                <w:noProof/>
                <w:sz w:val="20"/>
                <w:szCs w:val="20"/>
              </w:rPr>
              <w:t>3.1</w:t>
            </w:r>
            <w:r w:rsidR="00D40E11" w:rsidRPr="00FB6DD3">
              <w:rPr>
                <w:rFonts w:eastAsiaTheme="minorEastAsia" w:cs="Arial"/>
                <w:noProof/>
                <w:sz w:val="20"/>
                <w:szCs w:val="20"/>
                <w:lang w:eastAsia="en-GB"/>
              </w:rPr>
              <w:tab/>
            </w:r>
            <w:r w:rsidR="00D40E11" w:rsidRPr="00FB6DD3">
              <w:rPr>
                <w:rStyle w:val="Hyperlink"/>
                <w:rFonts w:cs="Arial"/>
                <w:noProof/>
                <w:sz w:val="20"/>
                <w:szCs w:val="20"/>
              </w:rPr>
              <w:t>Introduction</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_Toc103348733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18</w:t>
            </w:r>
            <w:r w:rsidR="00D40E11" w:rsidRPr="00FB6DD3">
              <w:rPr>
                <w:rFonts w:cs="Arial"/>
                <w:noProof/>
                <w:webHidden/>
                <w:sz w:val="20"/>
                <w:szCs w:val="20"/>
              </w:rPr>
              <w:fldChar w:fldCharType="end"/>
            </w:r>
          </w:hyperlink>
        </w:p>
        <w:p w14:paraId="5910260D" w14:textId="2FA84D17"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4" w:history="1">
            <w:r w:rsidR="00D40E11" w:rsidRPr="00FB6DD3">
              <w:rPr>
                <w:rStyle w:val="Hyperlink"/>
                <w:rFonts w:cs="Arial"/>
                <w:noProof/>
                <w:sz w:val="20"/>
                <w:szCs w:val="20"/>
              </w:rPr>
              <w:t>3.2</w:t>
            </w:r>
            <w:r w:rsidR="00D40E11" w:rsidRPr="00FB6DD3">
              <w:rPr>
                <w:rFonts w:eastAsiaTheme="minorEastAsia" w:cs="Arial"/>
                <w:noProof/>
                <w:sz w:val="20"/>
                <w:szCs w:val="20"/>
                <w:lang w:eastAsia="en-GB"/>
              </w:rPr>
              <w:tab/>
            </w:r>
            <w:r w:rsidR="00D40E11" w:rsidRPr="00FB6DD3">
              <w:rPr>
                <w:rStyle w:val="Hyperlink"/>
                <w:rFonts w:cs="Arial"/>
                <w:noProof/>
                <w:sz w:val="20"/>
                <w:szCs w:val="20"/>
              </w:rPr>
              <w:t>Contributions to development</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_Toc103348734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19</w:t>
            </w:r>
            <w:r w:rsidR="00D40E11" w:rsidRPr="00FB6DD3">
              <w:rPr>
                <w:rFonts w:cs="Arial"/>
                <w:noProof/>
                <w:webHidden/>
                <w:sz w:val="20"/>
                <w:szCs w:val="20"/>
              </w:rPr>
              <w:fldChar w:fldCharType="end"/>
            </w:r>
          </w:hyperlink>
        </w:p>
        <w:p w14:paraId="5B90989D" w14:textId="799048FB"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5" w:history="1">
            <w:r w:rsidR="00D40E11" w:rsidRPr="00FB6DD3">
              <w:rPr>
                <w:rStyle w:val="Hyperlink"/>
                <w:rFonts w:cs="Arial"/>
                <w:noProof/>
                <w:sz w:val="20"/>
                <w:szCs w:val="20"/>
              </w:rPr>
              <w:t>3.3</w:t>
            </w:r>
            <w:r w:rsidR="00D40E11" w:rsidRPr="00FB6DD3">
              <w:rPr>
                <w:rFonts w:eastAsiaTheme="minorEastAsia" w:cs="Arial"/>
                <w:noProof/>
                <w:sz w:val="20"/>
                <w:szCs w:val="20"/>
                <w:lang w:eastAsia="en-GB"/>
              </w:rPr>
              <w:tab/>
            </w:r>
            <w:r w:rsidR="00D40E11" w:rsidRPr="00FB6DD3">
              <w:rPr>
                <w:rStyle w:val="Hyperlink"/>
                <w:rFonts w:cs="Arial"/>
                <w:noProof/>
                <w:sz w:val="20"/>
                <w:szCs w:val="20"/>
              </w:rPr>
              <w:t>Contributions to bilateral cooperation</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_Toc103348735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21</w:t>
            </w:r>
            <w:r w:rsidR="00D40E11" w:rsidRPr="00FB6DD3">
              <w:rPr>
                <w:rFonts w:cs="Arial"/>
                <w:noProof/>
                <w:webHidden/>
                <w:sz w:val="20"/>
                <w:szCs w:val="20"/>
              </w:rPr>
              <w:fldChar w:fldCharType="end"/>
            </w:r>
          </w:hyperlink>
        </w:p>
        <w:p w14:paraId="553B9B59" w14:textId="2DD5E8F4"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36" w:history="1">
            <w:r w:rsidR="00D40E11" w:rsidRPr="00FB6DD3">
              <w:rPr>
                <w:rStyle w:val="Hyperlink"/>
                <w:rFonts w:cs="Arial"/>
                <w:noProof/>
                <w:sz w:val="20"/>
                <w:szCs w:val="20"/>
              </w:rPr>
              <w:t>4.</w:t>
            </w:r>
            <w:r w:rsidR="00D40E11" w:rsidRPr="00FB6DD3">
              <w:rPr>
                <w:rFonts w:eastAsiaTheme="minorEastAsia" w:cs="Arial"/>
                <w:noProof/>
                <w:sz w:val="20"/>
                <w:szCs w:val="20"/>
                <w:lang w:eastAsia="en-GB"/>
              </w:rPr>
              <w:tab/>
            </w:r>
            <w:r w:rsidR="00D40E11" w:rsidRPr="00FB6DD3">
              <w:rPr>
                <w:rStyle w:val="Hyperlink"/>
                <w:rFonts w:cs="Arial"/>
                <w:noProof/>
                <w:sz w:val="20"/>
                <w:szCs w:val="20"/>
              </w:rPr>
              <w:t>Conditions that have built SPCCB partnership success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_Toc103348736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24</w:t>
            </w:r>
            <w:r w:rsidR="00D40E11" w:rsidRPr="00FB6DD3">
              <w:rPr>
                <w:rFonts w:cs="Arial"/>
                <w:noProof/>
                <w:webHidden/>
                <w:sz w:val="20"/>
                <w:szCs w:val="20"/>
              </w:rPr>
              <w:fldChar w:fldCharType="end"/>
            </w:r>
          </w:hyperlink>
        </w:p>
        <w:p w14:paraId="6AC376C7" w14:textId="51C518F8"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7" w:history="1">
            <w:r w:rsidR="00D40E11" w:rsidRPr="00FB6DD3">
              <w:rPr>
                <w:rStyle w:val="Hyperlink"/>
                <w:rFonts w:cs="Arial"/>
                <w:noProof/>
                <w:sz w:val="20"/>
                <w:szCs w:val="20"/>
              </w:rPr>
              <w:t>4.1</w:t>
            </w:r>
            <w:r w:rsidR="00D40E11" w:rsidRPr="00FB6DD3">
              <w:rPr>
                <w:rFonts w:eastAsiaTheme="minorEastAsia" w:cs="Arial"/>
                <w:noProof/>
                <w:sz w:val="20"/>
                <w:szCs w:val="20"/>
                <w:lang w:eastAsia="en-GB"/>
              </w:rPr>
              <w:tab/>
            </w:r>
            <w:r w:rsidR="00D40E11" w:rsidRPr="00FB6DD3">
              <w:rPr>
                <w:rStyle w:val="Hyperlink"/>
                <w:rFonts w:cs="Arial"/>
                <w:noProof/>
                <w:sz w:val="20"/>
                <w:szCs w:val="20"/>
              </w:rPr>
              <w:t>Introduction</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_Toc103348737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24</w:t>
            </w:r>
            <w:r w:rsidR="00D40E11" w:rsidRPr="00FB6DD3">
              <w:rPr>
                <w:rFonts w:cs="Arial"/>
                <w:noProof/>
                <w:webHidden/>
                <w:sz w:val="20"/>
                <w:szCs w:val="20"/>
              </w:rPr>
              <w:fldChar w:fldCharType="end"/>
            </w:r>
          </w:hyperlink>
        </w:p>
        <w:p w14:paraId="67B09B23" w14:textId="08008019"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8" w:history="1">
            <w:r w:rsidR="00D40E11" w:rsidRPr="00FB6DD3">
              <w:rPr>
                <w:rStyle w:val="Hyperlink"/>
                <w:rFonts w:cs="Arial"/>
                <w:noProof/>
                <w:sz w:val="20"/>
                <w:szCs w:val="20"/>
              </w:rPr>
              <w:t>4.2</w:t>
            </w:r>
            <w:r w:rsidR="00D40E11" w:rsidRPr="00FB6DD3">
              <w:rPr>
                <w:rFonts w:eastAsiaTheme="minorEastAsia" w:cs="Arial"/>
                <w:noProof/>
                <w:sz w:val="20"/>
                <w:szCs w:val="20"/>
                <w:lang w:eastAsia="en-GB"/>
              </w:rPr>
              <w:tab/>
            </w:r>
            <w:r w:rsidR="00D40E11" w:rsidRPr="00FB6DD3">
              <w:rPr>
                <w:rStyle w:val="Hyperlink"/>
                <w:rFonts w:cs="Arial"/>
                <w:noProof/>
                <w:sz w:val="20"/>
                <w:szCs w:val="20"/>
              </w:rPr>
              <w:t>Factors enabling SPCCB partnership success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_Toc103348738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24</w:t>
            </w:r>
            <w:r w:rsidR="00D40E11" w:rsidRPr="00FB6DD3">
              <w:rPr>
                <w:rFonts w:cs="Arial"/>
                <w:noProof/>
                <w:webHidden/>
                <w:sz w:val="20"/>
                <w:szCs w:val="20"/>
              </w:rPr>
              <w:fldChar w:fldCharType="end"/>
            </w:r>
          </w:hyperlink>
        </w:p>
        <w:p w14:paraId="7D3C8EAA" w14:textId="0698F8E3"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39" w:history="1">
            <w:r w:rsidR="00D40E11" w:rsidRPr="00FB6DD3">
              <w:rPr>
                <w:rStyle w:val="Hyperlink"/>
                <w:rFonts w:cs="Arial"/>
                <w:noProof/>
                <w:sz w:val="20"/>
                <w:szCs w:val="20"/>
              </w:rPr>
              <w:t>4.3</w:t>
            </w:r>
            <w:r w:rsidR="00D40E11" w:rsidRPr="00FB6DD3">
              <w:rPr>
                <w:rFonts w:eastAsiaTheme="minorEastAsia" w:cs="Arial"/>
                <w:noProof/>
                <w:sz w:val="20"/>
                <w:szCs w:val="20"/>
                <w:lang w:eastAsia="en-GB"/>
              </w:rPr>
              <w:tab/>
            </w:r>
            <w:r w:rsidR="00D40E11" w:rsidRPr="00FB6DD3">
              <w:rPr>
                <w:rStyle w:val="Hyperlink"/>
                <w:rFonts w:cs="Arial"/>
                <w:noProof/>
                <w:sz w:val="20"/>
                <w:szCs w:val="20"/>
              </w:rPr>
              <w:t>Challenges to partnering</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_Toc103348739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27</w:t>
            </w:r>
            <w:r w:rsidR="00D40E11" w:rsidRPr="00FB6DD3">
              <w:rPr>
                <w:rFonts w:cs="Arial"/>
                <w:noProof/>
                <w:webHidden/>
                <w:sz w:val="20"/>
                <w:szCs w:val="20"/>
              </w:rPr>
              <w:fldChar w:fldCharType="end"/>
            </w:r>
          </w:hyperlink>
        </w:p>
        <w:p w14:paraId="173A00C1" w14:textId="0D97B878" w:rsidR="00D40E11" w:rsidRPr="00FB6DD3" w:rsidRDefault="00C9321C" w:rsidP="00D40E11">
          <w:pPr>
            <w:pStyle w:val="TOC2"/>
            <w:tabs>
              <w:tab w:val="left" w:pos="1134"/>
              <w:tab w:val="right" w:pos="9350"/>
            </w:tabs>
            <w:spacing w:before="120" w:after="60" w:line="260" w:lineRule="exact"/>
            <w:ind w:left="426"/>
            <w:rPr>
              <w:rFonts w:eastAsiaTheme="minorEastAsia" w:cs="Arial"/>
              <w:noProof/>
              <w:sz w:val="20"/>
              <w:szCs w:val="20"/>
              <w:lang w:eastAsia="en-GB"/>
            </w:rPr>
          </w:pPr>
          <w:hyperlink w:anchor="_Toc103348740" w:history="1">
            <w:r w:rsidR="00D40E11" w:rsidRPr="00FB6DD3">
              <w:rPr>
                <w:rStyle w:val="Hyperlink"/>
                <w:rFonts w:cs="Arial"/>
                <w:noProof/>
                <w:sz w:val="20"/>
                <w:szCs w:val="20"/>
              </w:rPr>
              <w:t>4.4</w:t>
            </w:r>
            <w:r w:rsidR="00D40E11" w:rsidRPr="00FB6DD3">
              <w:rPr>
                <w:rFonts w:eastAsiaTheme="minorEastAsia" w:cs="Arial"/>
                <w:noProof/>
                <w:sz w:val="20"/>
                <w:szCs w:val="20"/>
                <w:lang w:eastAsia="en-GB"/>
              </w:rPr>
              <w:tab/>
            </w:r>
            <w:r w:rsidR="00D40E11" w:rsidRPr="00FB6DD3">
              <w:rPr>
                <w:rStyle w:val="Hyperlink"/>
                <w:rFonts w:cs="Arial"/>
                <w:noProof/>
                <w:sz w:val="20"/>
                <w:szCs w:val="20"/>
              </w:rPr>
              <w:t>High level perspective from the SPCCB Governors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_Toc103348740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29</w:t>
            </w:r>
            <w:r w:rsidR="00D40E11" w:rsidRPr="00FB6DD3">
              <w:rPr>
                <w:rFonts w:cs="Arial"/>
                <w:noProof/>
                <w:webHidden/>
                <w:sz w:val="20"/>
                <w:szCs w:val="20"/>
              </w:rPr>
              <w:fldChar w:fldCharType="end"/>
            </w:r>
          </w:hyperlink>
        </w:p>
        <w:p w14:paraId="273B9C4B" w14:textId="7CD2B06E"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41" w:history="1">
            <w:r w:rsidR="00D40E11" w:rsidRPr="00FB6DD3">
              <w:rPr>
                <w:rStyle w:val="Hyperlink"/>
                <w:rFonts w:cs="Arial"/>
                <w:noProof/>
                <w:sz w:val="20"/>
                <w:szCs w:val="20"/>
              </w:rPr>
              <w:t>5.</w:t>
            </w:r>
            <w:r w:rsidR="00D40E11" w:rsidRPr="00FB6DD3">
              <w:rPr>
                <w:rFonts w:eastAsiaTheme="minorEastAsia" w:cs="Arial"/>
                <w:noProof/>
                <w:sz w:val="20"/>
                <w:szCs w:val="20"/>
                <w:lang w:eastAsia="en-GB"/>
              </w:rPr>
              <w:tab/>
            </w:r>
            <w:r w:rsidR="00D40E11" w:rsidRPr="00FB6DD3">
              <w:rPr>
                <w:rStyle w:val="Hyperlink"/>
                <w:rFonts w:cs="Arial"/>
                <w:noProof/>
                <w:sz w:val="20"/>
                <w:szCs w:val="20"/>
              </w:rPr>
              <w:t>Conclusion and recommendations for partnerships for development</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_Toc103348741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31</w:t>
            </w:r>
            <w:r w:rsidR="00D40E11" w:rsidRPr="00FB6DD3">
              <w:rPr>
                <w:rFonts w:cs="Arial"/>
                <w:noProof/>
                <w:webHidden/>
                <w:sz w:val="20"/>
                <w:szCs w:val="20"/>
              </w:rPr>
              <w:fldChar w:fldCharType="end"/>
            </w:r>
          </w:hyperlink>
        </w:p>
        <w:p w14:paraId="34E7BB38" w14:textId="2F3A7F49" w:rsidR="00D40E11" w:rsidRPr="00FB6DD3" w:rsidRDefault="00C9321C" w:rsidP="00DE4510">
          <w:pPr>
            <w:pStyle w:val="TOC2"/>
            <w:tabs>
              <w:tab w:val="left" w:pos="1134"/>
              <w:tab w:val="right" w:pos="9350"/>
            </w:tabs>
            <w:spacing w:before="120" w:after="60" w:line="260" w:lineRule="exact"/>
            <w:ind w:left="1134" w:hanging="708"/>
            <w:rPr>
              <w:rFonts w:eastAsiaTheme="minorEastAsia" w:cs="Arial"/>
              <w:noProof/>
              <w:sz w:val="20"/>
              <w:szCs w:val="20"/>
              <w:lang w:eastAsia="en-GB"/>
            </w:rPr>
          </w:pPr>
          <w:hyperlink w:anchor="_Toc103348742" w:history="1">
            <w:r w:rsidR="00D40E11" w:rsidRPr="00FB6DD3">
              <w:rPr>
                <w:rStyle w:val="Hyperlink"/>
                <w:rFonts w:cs="Arial"/>
                <w:noProof/>
                <w:sz w:val="20"/>
                <w:szCs w:val="20"/>
              </w:rPr>
              <w:t>5.1</w:t>
            </w:r>
            <w:r w:rsidR="00D40E11" w:rsidRPr="00FB6DD3">
              <w:rPr>
                <w:rFonts w:eastAsiaTheme="minorEastAsia" w:cs="Arial"/>
                <w:noProof/>
                <w:sz w:val="20"/>
                <w:szCs w:val="20"/>
                <w:lang w:eastAsia="en-GB"/>
              </w:rPr>
              <w:tab/>
            </w:r>
            <w:r w:rsidR="00D40E11" w:rsidRPr="00FB6DD3">
              <w:rPr>
                <w:rStyle w:val="Hyperlink"/>
                <w:rFonts w:cs="Arial"/>
                <w:noProof/>
                <w:sz w:val="20"/>
                <w:szCs w:val="20"/>
              </w:rPr>
              <w:t>Australia Awards Global Tracer Facility recommendations for future Australia Awards fellowship iterations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_Toc103348742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31</w:t>
            </w:r>
            <w:r w:rsidR="00D40E11" w:rsidRPr="00FB6DD3">
              <w:rPr>
                <w:rFonts w:cs="Arial"/>
                <w:noProof/>
                <w:webHidden/>
                <w:sz w:val="20"/>
                <w:szCs w:val="20"/>
              </w:rPr>
              <w:fldChar w:fldCharType="end"/>
            </w:r>
          </w:hyperlink>
        </w:p>
        <w:p w14:paraId="3906223E" w14:textId="003AD64C" w:rsidR="00D40E11" w:rsidRPr="00FB6DD3" w:rsidRDefault="00C9321C" w:rsidP="00D40E11">
          <w:pPr>
            <w:pStyle w:val="TOC1"/>
            <w:tabs>
              <w:tab w:val="left" w:pos="440"/>
              <w:tab w:val="right" w:pos="9350"/>
            </w:tabs>
            <w:spacing w:before="120" w:after="60" w:line="260" w:lineRule="exact"/>
            <w:rPr>
              <w:rFonts w:eastAsiaTheme="minorEastAsia" w:cs="Arial"/>
              <w:noProof/>
              <w:sz w:val="20"/>
              <w:szCs w:val="20"/>
              <w:lang w:eastAsia="en-GB"/>
            </w:rPr>
          </w:pPr>
          <w:hyperlink w:anchor="_Toc103348743" w:history="1">
            <w:r w:rsidR="00D40E11" w:rsidRPr="00FB6DD3">
              <w:rPr>
                <w:rStyle w:val="Hyperlink"/>
                <w:rFonts w:cs="Arial"/>
                <w:noProof/>
                <w:sz w:val="20"/>
                <w:szCs w:val="20"/>
              </w:rPr>
              <w:t>6.</w:t>
            </w:r>
            <w:r w:rsidR="00D40E11" w:rsidRPr="00FB6DD3">
              <w:rPr>
                <w:rFonts w:eastAsiaTheme="minorEastAsia" w:cs="Arial"/>
                <w:noProof/>
                <w:sz w:val="20"/>
                <w:szCs w:val="20"/>
                <w:lang w:eastAsia="en-GB"/>
              </w:rPr>
              <w:tab/>
            </w:r>
            <w:r w:rsidR="00D40E11" w:rsidRPr="00FB6DD3">
              <w:rPr>
                <w:rStyle w:val="Hyperlink"/>
                <w:rFonts w:cs="Arial"/>
                <w:noProof/>
                <w:sz w:val="20"/>
                <w:szCs w:val="20"/>
              </w:rPr>
              <w:t>References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_Toc103348743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34</w:t>
            </w:r>
            <w:r w:rsidR="00D40E11" w:rsidRPr="00FB6DD3">
              <w:rPr>
                <w:rFonts w:cs="Arial"/>
                <w:noProof/>
                <w:webHidden/>
                <w:sz w:val="20"/>
                <w:szCs w:val="20"/>
              </w:rPr>
              <w:fldChar w:fldCharType="end"/>
            </w:r>
          </w:hyperlink>
        </w:p>
        <w:p w14:paraId="3B5C88A1" w14:textId="4D5C4AD2" w:rsidR="00D40E11" w:rsidRPr="00FB6DD3" w:rsidRDefault="00C9321C" w:rsidP="00D40E11">
          <w:pPr>
            <w:pStyle w:val="TOC1"/>
            <w:tabs>
              <w:tab w:val="right" w:pos="9350"/>
            </w:tabs>
            <w:spacing w:before="120" w:after="60" w:line="260" w:lineRule="exact"/>
            <w:rPr>
              <w:rFonts w:eastAsiaTheme="minorEastAsia" w:cs="Arial"/>
              <w:noProof/>
              <w:sz w:val="20"/>
              <w:szCs w:val="20"/>
              <w:lang w:eastAsia="en-GB"/>
            </w:rPr>
          </w:pPr>
          <w:hyperlink w:anchor="_Toc103348744" w:history="1">
            <w:r w:rsidR="00D40E11" w:rsidRPr="00FB6DD3">
              <w:rPr>
                <w:rStyle w:val="Hyperlink"/>
                <w:rFonts w:cs="Arial"/>
                <w:noProof/>
                <w:sz w:val="20"/>
                <w:szCs w:val="20"/>
              </w:rPr>
              <w:t>Annex 1: Organisational Profiles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_Toc103348744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37</w:t>
            </w:r>
            <w:r w:rsidR="00D40E11" w:rsidRPr="00FB6DD3">
              <w:rPr>
                <w:rFonts w:cs="Arial"/>
                <w:noProof/>
                <w:webHidden/>
                <w:sz w:val="20"/>
                <w:szCs w:val="20"/>
              </w:rPr>
              <w:fldChar w:fldCharType="end"/>
            </w:r>
          </w:hyperlink>
        </w:p>
        <w:p w14:paraId="0B3B8101" w14:textId="27160924" w:rsidR="00D40E11" w:rsidRPr="00FB6DD3" w:rsidRDefault="00C9321C" w:rsidP="00D40E11">
          <w:pPr>
            <w:pStyle w:val="TOC1"/>
            <w:tabs>
              <w:tab w:val="right" w:pos="9350"/>
            </w:tabs>
            <w:spacing w:before="120" w:after="60" w:line="260" w:lineRule="exact"/>
            <w:rPr>
              <w:rFonts w:eastAsiaTheme="minorEastAsia" w:cs="Arial"/>
              <w:noProof/>
              <w:sz w:val="20"/>
              <w:szCs w:val="20"/>
              <w:lang w:eastAsia="en-GB"/>
            </w:rPr>
          </w:pPr>
          <w:hyperlink w:anchor="_Toc103348753" w:history="1">
            <w:r w:rsidR="00D40E11" w:rsidRPr="00FB6DD3">
              <w:rPr>
                <w:rStyle w:val="Hyperlink"/>
                <w:rFonts w:cs="Arial"/>
                <w:noProof/>
                <w:sz w:val="20"/>
                <w:szCs w:val="20"/>
              </w:rPr>
              <w:t>Annex 2: Methodology</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_Toc103348753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40</w:t>
            </w:r>
            <w:r w:rsidR="00D40E11" w:rsidRPr="00FB6DD3">
              <w:rPr>
                <w:rFonts w:cs="Arial"/>
                <w:noProof/>
                <w:webHidden/>
                <w:sz w:val="20"/>
                <w:szCs w:val="20"/>
              </w:rPr>
              <w:fldChar w:fldCharType="end"/>
            </w:r>
          </w:hyperlink>
        </w:p>
        <w:p w14:paraId="265DE6BF" w14:textId="4FDFF819" w:rsidR="00D40E11" w:rsidRPr="00FB6DD3" w:rsidRDefault="00C9321C" w:rsidP="00D40E11">
          <w:pPr>
            <w:pStyle w:val="TOC1"/>
            <w:tabs>
              <w:tab w:val="right" w:pos="9350"/>
            </w:tabs>
            <w:spacing w:before="120" w:after="60" w:line="260" w:lineRule="exact"/>
            <w:rPr>
              <w:rFonts w:asciiTheme="minorHAnsi" w:eastAsiaTheme="minorEastAsia" w:hAnsiTheme="minorHAnsi"/>
              <w:noProof/>
              <w:sz w:val="20"/>
              <w:szCs w:val="20"/>
              <w:lang w:eastAsia="en-GB"/>
            </w:rPr>
          </w:pPr>
          <w:hyperlink w:anchor="_Toc103348760" w:history="1">
            <w:r w:rsidR="00D40E11" w:rsidRPr="00FB6DD3">
              <w:rPr>
                <w:rStyle w:val="Hyperlink"/>
                <w:rFonts w:cs="Arial"/>
                <w:noProof/>
                <w:sz w:val="20"/>
                <w:szCs w:val="20"/>
              </w:rPr>
              <w:t>Annex 3: Interview Guides</w:t>
            </w:r>
            <w:r w:rsidR="00D40E11" w:rsidRPr="00FB6DD3">
              <w:rPr>
                <w:rFonts w:cs="Arial"/>
                <w:noProof/>
                <w:webHidden/>
                <w:sz w:val="20"/>
                <w:szCs w:val="20"/>
              </w:rPr>
              <w:tab/>
            </w:r>
            <w:r w:rsidR="00D40E11" w:rsidRPr="00FB6DD3">
              <w:rPr>
                <w:rFonts w:cs="Arial"/>
                <w:noProof/>
                <w:webHidden/>
                <w:sz w:val="20"/>
                <w:szCs w:val="20"/>
              </w:rPr>
              <w:fldChar w:fldCharType="begin"/>
            </w:r>
            <w:r w:rsidR="00D40E11" w:rsidRPr="00FB6DD3">
              <w:rPr>
                <w:rFonts w:cs="Arial"/>
                <w:noProof/>
                <w:webHidden/>
                <w:sz w:val="20"/>
                <w:szCs w:val="20"/>
              </w:rPr>
              <w:instrText xml:space="preserve"> PAGEREF _Toc103348760 \h </w:instrText>
            </w:r>
            <w:r w:rsidR="00D40E11" w:rsidRPr="00FB6DD3">
              <w:rPr>
                <w:rFonts w:cs="Arial"/>
                <w:noProof/>
                <w:webHidden/>
                <w:sz w:val="20"/>
                <w:szCs w:val="20"/>
              </w:rPr>
            </w:r>
            <w:r w:rsidR="00D40E11" w:rsidRPr="00FB6DD3">
              <w:rPr>
                <w:rFonts w:cs="Arial"/>
                <w:noProof/>
                <w:webHidden/>
                <w:sz w:val="20"/>
                <w:szCs w:val="20"/>
              </w:rPr>
              <w:fldChar w:fldCharType="separate"/>
            </w:r>
            <w:r w:rsidR="001D6B4B" w:rsidRPr="00FB6DD3">
              <w:rPr>
                <w:rFonts w:cs="Arial"/>
                <w:noProof/>
                <w:webHidden/>
                <w:sz w:val="20"/>
                <w:szCs w:val="20"/>
              </w:rPr>
              <w:t>45</w:t>
            </w:r>
            <w:r w:rsidR="00D40E11" w:rsidRPr="00FB6DD3">
              <w:rPr>
                <w:rFonts w:cs="Arial"/>
                <w:noProof/>
                <w:webHidden/>
                <w:sz w:val="20"/>
                <w:szCs w:val="20"/>
              </w:rPr>
              <w:fldChar w:fldCharType="end"/>
            </w:r>
          </w:hyperlink>
        </w:p>
        <w:p w14:paraId="19A6549A" w14:textId="3C00E388" w:rsidR="001C6D9B" w:rsidRPr="00FB6DD3" w:rsidRDefault="129E54B2" w:rsidP="001C6D9B">
          <w:pPr>
            <w:pStyle w:val="TOC1"/>
            <w:tabs>
              <w:tab w:val="right" w:leader="dot" w:pos="9360"/>
            </w:tabs>
            <w:rPr>
              <w:sz w:val="20"/>
              <w:szCs w:val="20"/>
              <w:shd w:val="clear" w:color="auto" w:fill="E6E6E6"/>
            </w:rPr>
          </w:pPr>
          <w:r w:rsidRPr="00FB6DD3">
            <w:rPr>
              <w:color w:val="2B579A"/>
              <w:sz w:val="20"/>
              <w:szCs w:val="20"/>
              <w:shd w:val="clear" w:color="auto" w:fill="E6E6E6"/>
            </w:rPr>
            <w:fldChar w:fldCharType="end"/>
          </w:r>
        </w:p>
      </w:sdtContent>
    </w:sdt>
    <w:p w14:paraId="1D515036" w14:textId="77777777" w:rsidR="004355B1" w:rsidRDefault="004355B1">
      <w:pPr>
        <w:spacing w:before="0"/>
      </w:pPr>
      <w:r>
        <w:br w:type="page"/>
      </w:r>
    </w:p>
    <w:p w14:paraId="53967DE0" w14:textId="332863F9" w:rsidR="007C083C" w:rsidRPr="007C083C" w:rsidRDefault="004355B1" w:rsidP="00624F30">
      <w:pPr>
        <w:pStyle w:val="Heading2NoNumbering"/>
      </w:pPr>
      <w:bookmarkStart w:id="10" w:name="_Toc103348719"/>
      <w:r w:rsidRPr="007C083C">
        <w:lastRenderedPageBreak/>
        <w:t>Acronyms and Abbreviations</w:t>
      </w:r>
      <w:bookmarkEnd w:id="10"/>
    </w:p>
    <w:p w14:paraId="2386108B" w14:textId="77777777" w:rsidR="00F2636C" w:rsidRPr="00CB40AA" w:rsidRDefault="00F2636C" w:rsidP="001B44E2">
      <w:pPr>
        <w:pStyle w:val="BodyCopy"/>
        <w:tabs>
          <w:tab w:val="left" w:pos="1843"/>
        </w:tabs>
        <w:spacing w:after="60"/>
      </w:pPr>
      <w:r>
        <w:rPr>
          <w:lang w:eastAsia="ja-JP"/>
        </w:rPr>
        <w:t>ADB</w:t>
      </w:r>
      <w:r>
        <w:rPr>
          <w:lang w:eastAsia="ja-JP"/>
        </w:rPr>
        <w:tab/>
      </w:r>
      <w:r>
        <w:t>Asian Development Bank</w:t>
      </w:r>
    </w:p>
    <w:p w14:paraId="69356768" w14:textId="77777777" w:rsidR="00F2636C" w:rsidRPr="00CB40AA" w:rsidRDefault="00F2636C" w:rsidP="001B44E2">
      <w:pPr>
        <w:pStyle w:val="BodyCopy"/>
        <w:tabs>
          <w:tab w:val="left" w:pos="1843"/>
        </w:tabs>
        <w:spacing w:after="60"/>
      </w:pPr>
      <w:r>
        <w:rPr>
          <w:lang w:eastAsia="ja-JP"/>
        </w:rPr>
        <w:t>APEC</w:t>
      </w:r>
      <w:r w:rsidRPr="00CB40AA">
        <w:rPr>
          <w:lang w:eastAsia="ja-JP"/>
        </w:rPr>
        <w:tab/>
      </w:r>
      <w:r w:rsidRPr="00CB40AA">
        <w:t>Asia-Pacific Economic Cooperation</w:t>
      </w:r>
    </w:p>
    <w:p w14:paraId="40CCE27D" w14:textId="77777777" w:rsidR="00F2636C" w:rsidRPr="00CB40AA" w:rsidRDefault="00F2636C" w:rsidP="001B44E2">
      <w:pPr>
        <w:pStyle w:val="BodyCopy"/>
        <w:tabs>
          <w:tab w:val="left" w:pos="1843"/>
        </w:tabs>
        <w:spacing w:after="60"/>
        <w:rPr>
          <w:sz w:val="32"/>
          <w:szCs w:val="32"/>
        </w:rPr>
      </w:pPr>
      <w:r w:rsidRPr="00CB40AA">
        <w:rPr>
          <w:lang w:eastAsia="ja-JP"/>
        </w:rPr>
        <w:t>BCTL</w:t>
      </w:r>
      <w:r w:rsidRPr="00CB40AA">
        <w:rPr>
          <w:lang w:eastAsia="ja-JP"/>
        </w:rPr>
        <w:tab/>
      </w:r>
      <w:r w:rsidRPr="00CB40AA">
        <w:t>Banco Central De Timor-Leste (Central Bank of Timor-Leste)</w:t>
      </w:r>
    </w:p>
    <w:p w14:paraId="0F19A9DC" w14:textId="77777777" w:rsidR="00F2636C" w:rsidRPr="00CB40AA" w:rsidRDefault="00F2636C" w:rsidP="001B44E2">
      <w:pPr>
        <w:pStyle w:val="BodyCopy"/>
        <w:tabs>
          <w:tab w:val="left" w:pos="1843"/>
        </w:tabs>
        <w:spacing w:after="60"/>
      </w:pPr>
      <w:r w:rsidRPr="00CB40AA">
        <w:rPr>
          <w:lang w:eastAsia="ja-JP"/>
        </w:rPr>
        <w:t>BPN</w:t>
      </w:r>
      <w:r>
        <w:rPr>
          <w:lang w:eastAsia="ja-JP"/>
        </w:rPr>
        <w:t>G</w:t>
      </w:r>
      <w:r w:rsidRPr="00CB40AA">
        <w:rPr>
          <w:lang w:eastAsia="ja-JP"/>
        </w:rPr>
        <w:tab/>
        <w:t xml:space="preserve">Bank of Papua New Guinea  </w:t>
      </w:r>
    </w:p>
    <w:p w14:paraId="6696053B" w14:textId="77777777" w:rsidR="00F2636C" w:rsidRPr="00CB40AA" w:rsidRDefault="00F2636C" w:rsidP="001B44E2">
      <w:pPr>
        <w:pStyle w:val="BodyCopy"/>
        <w:tabs>
          <w:tab w:val="left" w:pos="1843"/>
        </w:tabs>
        <w:spacing w:after="60"/>
      </w:pPr>
      <w:r w:rsidRPr="00CB40AA">
        <w:rPr>
          <w:lang w:eastAsia="ja-JP"/>
        </w:rPr>
        <w:t>CBSI</w:t>
      </w:r>
      <w:r w:rsidRPr="00CB40AA">
        <w:rPr>
          <w:lang w:eastAsia="ja-JP"/>
        </w:rPr>
        <w:tab/>
      </w:r>
      <w:r w:rsidRPr="00CB40AA">
        <w:t>Central Bank of the Solomon Islands</w:t>
      </w:r>
    </w:p>
    <w:p w14:paraId="24539E00" w14:textId="77777777" w:rsidR="00F2636C" w:rsidRPr="00CB40AA" w:rsidRDefault="00F2636C" w:rsidP="001B44E2">
      <w:pPr>
        <w:pStyle w:val="BodyCopy"/>
        <w:tabs>
          <w:tab w:val="left" w:pos="1843"/>
        </w:tabs>
        <w:spacing w:after="60"/>
        <w:rPr>
          <w:lang w:eastAsia="ja-JP"/>
        </w:rPr>
      </w:pPr>
      <w:r>
        <w:rPr>
          <w:lang w:eastAsia="ja-JP"/>
        </w:rPr>
        <w:t>DFAT</w:t>
      </w:r>
      <w:r w:rsidRPr="00CB40AA">
        <w:rPr>
          <w:lang w:eastAsia="ja-JP"/>
        </w:rPr>
        <w:tab/>
      </w:r>
      <w:r>
        <w:rPr>
          <w:lang w:eastAsia="ja-JP"/>
        </w:rPr>
        <w:t>Department of Foreign Affairs and Trade</w:t>
      </w:r>
    </w:p>
    <w:p w14:paraId="36E11940" w14:textId="77777777" w:rsidR="00F2636C" w:rsidRPr="00CB40AA" w:rsidRDefault="00F2636C" w:rsidP="001B44E2">
      <w:pPr>
        <w:pStyle w:val="BodyCopy"/>
        <w:tabs>
          <w:tab w:val="left" w:pos="1843"/>
        </w:tabs>
        <w:spacing w:after="60"/>
        <w:rPr>
          <w:lang w:eastAsia="ja-JP"/>
        </w:rPr>
      </w:pPr>
      <w:r>
        <w:rPr>
          <w:lang w:eastAsia="ja-JP"/>
        </w:rPr>
        <w:t>EOI</w:t>
      </w:r>
      <w:r w:rsidRPr="00CB40AA">
        <w:rPr>
          <w:lang w:eastAsia="ja-JP"/>
        </w:rPr>
        <w:tab/>
      </w:r>
      <w:r>
        <w:rPr>
          <w:lang w:eastAsia="ja-JP"/>
        </w:rPr>
        <w:t>Expression of Interest</w:t>
      </w:r>
    </w:p>
    <w:p w14:paraId="74928F61" w14:textId="77777777" w:rsidR="00F2636C" w:rsidRPr="00CB40AA" w:rsidRDefault="00F2636C" w:rsidP="001B44E2">
      <w:pPr>
        <w:pStyle w:val="BodyCopy"/>
        <w:tabs>
          <w:tab w:val="left" w:pos="1843"/>
        </w:tabs>
        <w:spacing w:after="60"/>
        <w:rPr>
          <w:lang w:eastAsia="ja-JP"/>
        </w:rPr>
      </w:pPr>
      <w:r w:rsidRPr="00CB40AA">
        <w:rPr>
          <w:lang w:eastAsia="ja-JP"/>
        </w:rPr>
        <w:t>GAI</w:t>
      </w:r>
      <w:r w:rsidRPr="00CB40AA">
        <w:rPr>
          <w:lang w:eastAsia="ja-JP"/>
        </w:rPr>
        <w:tab/>
        <w:t>Griffith Asia Institute</w:t>
      </w:r>
    </w:p>
    <w:p w14:paraId="359361FE" w14:textId="77777777" w:rsidR="00F2636C" w:rsidRPr="00CB40AA" w:rsidRDefault="00F2636C" w:rsidP="001B44E2">
      <w:pPr>
        <w:pStyle w:val="BodyCopy"/>
        <w:tabs>
          <w:tab w:val="left" w:pos="1843"/>
        </w:tabs>
        <w:spacing w:after="60"/>
        <w:rPr>
          <w:lang w:eastAsia="ja-JP"/>
        </w:rPr>
      </w:pPr>
      <w:r>
        <w:rPr>
          <w:lang w:eastAsia="ja-JP"/>
        </w:rPr>
        <w:t>GLE</w:t>
      </w:r>
      <w:r w:rsidRPr="00CB40AA">
        <w:rPr>
          <w:lang w:eastAsia="ja-JP"/>
        </w:rPr>
        <w:tab/>
      </w:r>
      <w:r>
        <w:t>Global Education and Scholarships Section (DFAT)</w:t>
      </w:r>
    </w:p>
    <w:p w14:paraId="72231A86" w14:textId="77777777" w:rsidR="00F2636C" w:rsidRPr="00CB40AA" w:rsidRDefault="00F2636C" w:rsidP="001B44E2">
      <w:pPr>
        <w:pStyle w:val="BodyCopy"/>
        <w:tabs>
          <w:tab w:val="left" w:pos="1843"/>
        </w:tabs>
        <w:spacing w:after="60"/>
      </w:pPr>
      <w:r>
        <w:rPr>
          <w:lang w:eastAsia="ja-JP"/>
        </w:rPr>
        <w:t>GTF</w:t>
      </w:r>
      <w:r w:rsidRPr="00CB40AA">
        <w:rPr>
          <w:lang w:eastAsia="ja-JP"/>
        </w:rPr>
        <w:tab/>
      </w:r>
      <w:r>
        <w:t>Australian Awards Global Tracer Facility</w:t>
      </w:r>
    </w:p>
    <w:p w14:paraId="47BD6AEF" w14:textId="77777777" w:rsidR="00F2636C" w:rsidRPr="00CB40AA" w:rsidRDefault="00F2636C" w:rsidP="001B44E2">
      <w:pPr>
        <w:pStyle w:val="BodyCopy"/>
        <w:tabs>
          <w:tab w:val="left" w:pos="1843"/>
        </w:tabs>
        <w:spacing w:after="60"/>
      </w:pPr>
      <w:r w:rsidRPr="00CB40AA">
        <w:rPr>
          <w:lang w:eastAsia="ja-JP"/>
        </w:rPr>
        <w:t>IDU</w:t>
      </w:r>
      <w:r w:rsidRPr="00CB40AA">
        <w:rPr>
          <w:lang w:eastAsia="ja-JP"/>
        </w:rPr>
        <w:tab/>
      </w:r>
      <w:r w:rsidRPr="00CB40AA">
        <w:t>International Development Unit (Griffith University)</w:t>
      </w:r>
    </w:p>
    <w:p w14:paraId="48BC2E29" w14:textId="77777777" w:rsidR="00F2636C" w:rsidRPr="00CB40AA" w:rsidRDefault="00F2636C" w:rsidP="001B44E2">
      <w:pPr>
        <w:pStyle w:val="BodyCopy"/>
        <w:tabs>
          <w:tab w:val="left" w:pos="1843"/>
        </w:tabs>
        <w:spacing w:after="60"/>
      </w:pPr>
      <w:r>
        <w:rPr>
          <w:lang w:eastAsia="ja-JP"/>
        </w:rPr>
        <w:t>IFC</w:t>
      </w:r>
      <w:r w:rsidRPr="00CB40AA">
        <w:rPr>
          <w:lang w:eastAsia="ja-JP"/>
        </w:rPr>
        <w:tab/>
      </w:r>
      <w:r>
        <w:t>International Finance Corporation</w:t>
      </w:r>
    </w:p>
    <w:p w14:paraId="7643C4D7" w14:textId="77777777" w:rsidR="00F2636C" w:rsidRPr="00CB40AA" w:rsidRDefault="00F2636C" w:rsidP="001B44E2">
      <w:pPr>
        <w:pStyle w:val="BodyCopy"/>
        <w:tabs>
          <w:tab w:val="left" w:pos="1843"/>
        </w:tabs>
        <w:spacing w:after="60"/>
      </w:pPr>
      <w:r w:rsidRPr="00CB40AA">
        <w:rPr>
          <w:lang w:eastAsia="ja-JP"/>
        </w:rPr>
        <w:t>IMF</w:t>
      </w:r>
      <w:r w:rsidRPr="00CB40AA">
        <w:rPr>
          <w:lang w:eastAsia="ja-JP"/>
        </w:rPr>
        <w:tab/>
      </w:r>
      <w:r w:rsidRPr="00CB40AA">
        <w:t>International Monetary Fund</w:t>
      </w:r>
    </w:p>
    <w:p w14:paraId="20E3662A" w14:textId="77777777" w:rsidR="00F2636C" w:rsidRPr="00AB2FE8" w:rsidRDefault="00F2636C" w:rsidP="001B44E2">
      <w:pPr>
        <w:pStyle w:val="BodyCopy"/>
        <w:tabs>
          <w:tab w:val="left" w:pos="1843"/>
        </w:tabs>
        <w:spacing w:after="60"/>
        <w:rPr>
          <w:lang w:eastAsia="ja-JP"/>
        </w:rPr>
      </w:pPr>
      <w:r w:rsidRPr="00AB2FE8">
        <w:rPr>
          <w:lang w:eastAsia="ja-JP"/>
        </w:rPr>
        <w:t>KSMPS</w:t>
      </w:r>
      <w:r w:rsidRPr="00CB40AA">
        <w:rPr>
          <w:lang w:eastAsia="ja-JP"/>
        </w:rPr>
        <w:tab/>
      </w:r>
      <w:r w:rsidRPr="00AB2FE8">
        <w:rPr>
          <w:lang w:eastAsia="ja-JP"/>
        </w:rPr>
        <w:t xml:space="preserve">Kenya School of Monetary Policy Studies </w:t>
      </w:r>
    </w:p>
    <w:p w14:paraId="4ED32F0D" w14:textId="77777777" w:rsidR="00F2636C" w:rsidRPr="00CB40AA" w:rsidRDefault="00F2636C" w:rsidP="001B44E2">
      <w:pPr>
        <w:pStyle w:val="BodyCopy"/>
        <w:tabs>
          <w:tab w:val="left" w:pos="1843"/>
        </w:tabs>
        <w:spacing w:after="60"/>
      </w:pPr>
      <w:r>
        <w:rPr>
          <w:lang w:eastAsia="ja-JP"/>
        </w:rPr>
        <w:t>M&amp;E</w:t>
      </w:r>
      <w:r w:rsidRPr="00CB40AA">
        <w:rPr>
          <w:lang w:eastAsia="ja-JP"/>
        </w:rPr>
        <w:tab/>
      </w:r>
      <w:r>
        <w:t xml:space="preserve">Monitoring and Evaluation </w:t>
      </w:r>
    </w:p>
    <w:p w14:paraId="16C0DEBE" w14:textId="77777777" w:rsidR="00F2636C" w:rsidRPr="00CB40AA" w:rsidRDefault="00F2636C" w:rsidP="001B44E2">
      <w:pPr>
        <w:pStyle w:val="BodyCopy"/>
        <w:tabs>
          <w:tab w:val="left" w:pos="1843"/>
        </w:tabs>
        <w:spacing w:after="60"/>
      </w:pPr>
      <w:r w:rsidRPr="00CB40AA">
        <w:rPr>
          <w:lang w:eastAsia="ja-JP"/>
        </w:rPr>
        <w:t>MOU</w:t>
      </w:r>
      <w:r w:rsidRPr="00CB40AA">
        <w:rPr>
          <w:lang w:eastAsia="ja-JP"/>
        </w:rPr>
        <w:tab/>
      </w:r>
      <w:r w:rsidRPr="00CB40AA">
        <w:t>Memorandum of Understanding</w:t>
      </w:r>
    </w:p>
    <w:p w14:paraId="002DCA69" w14:textId="77777777" w:rsidR="00F2636C" w:rsidRPr="00CB40AA" w:rsidRDefault="00F2636C" w:rsidP="001B44E2">
      <w:pPr>
        <w:pStyle w:val="BodyCopy"/>
        <w:tabs>
          <w:tab w:val="left" w:pos="1843"/>
        </w:tabs>
        <w:spacing w:after="60"/>
      </w:pPr>
      <w:r>
        <w:rPr>
          <w:lang w:eastAsia="ja-JP"/>
        </w:rPr>
        <w:t>NCP</w:t>
      </w:r>
      <w:r w:rsidRPr="00CB40AA">
        <w:rPr>
          <w:lang w:eastAsia="ja-JP"/>
        </w:rPr>
        <w:tab/>
      </w:r>
      <w:r>
        <w:t>New Colombo Plan</w:t>
      </w:r>
    </w:p>
    <w:p w14:paraId="77BAD823" w14:textId="77777777" w:rsidR="00F2636C" w:rsidRDefault="00F2636C" w:rsidP="001B44E2">
      <w:pPr>
        <w:pStyle w:val="BodyCopy"/>
        <w:tabs>
          <w:tab w:val="left" w:pos="1843"/>
        </w:tabs>
        <w:spacing w:after="60"/>
      </w:pPr>
      <w:r>
        <w:rPr>
          <w:lang w:eastAsia="ja-JP"/>
        </w:rPr>
        <w:t>OASIS</w:t>
      </w:r>
      <w:r>
        <w:rPr>
          <w:lang w:eastAsia="ja-JP"/>
        </w:rPr>
        <w:tab/>
      </w:r>
      <w:r>
        <w:t>Online Australia Awards Scholarships Information System</w:t>
      </w:r>
    </w:p>
    <w:p w14:paraId="5602A72F" w14:textId="77777777" w:rsidR="00F2636C" w:rsidRPr="00CB40AA" w:rsidRDefault="00F2636C" w:rsidP="001B44E2">
      <w:pPr>
        <w:pStyle w:val="BodyCopy"/>
        <w:tabs>
          <w:tab w:val="left" w:pos="1843"/>
        </w:tabs>
        <w:spacing w:after="60"/>
      </w:pPr>
      <w:r w:rsidRPr="00CB40AA">
        <w:rPr>
          <w:lang w:eastAsia="ja-JP"/>
        </w:rPr>
        <w:t>PFTAC</w:t>
      </w:r>
      <w:r w:rsidRPr="00CB40AA">
        <w:rPr>
          <w:lang w:eastAsia="ja-JP"/>
        </w:rPr>
        <w:tab/>
      </w:r>
      <w:r w:rsidRPr="00CB40AA">
        <w:t>Pacific Financial Technical Assistant Centre</w:t>
      </w:r>
    </w:p>
    <w:p w14:paraId="3ED490AA" w14:textId="77777777" w:rsidR="00F2636C" w:rsidRPr="00CB40AA" w:rsidRDefault="00F2636C" w:rsidP="001B44E2">
      <w:pPr>
        <w:pStyle w:val="BodyCopy"/>
        <w:tabs>
          <w:tab w:val="left" w:pos="1843"/>
        </w:tabs>
        <w:spacing w:after="60"/>
        <w:rPr>
          <w:lang w:eastAsia="ja-JP"/>
        </w:rPr>
      </w:pPr>
      <w:r w:rsidRPr="00CB40AA">
        <w:rPr>
          <w:lang w:eastAsia="ja-JP"/>
        </w:rPr>
        <w:t>PIC</w:t>
      </w:r>
      <w:r w:rsidRPr="00CB40AA">
        <w:rPr>
          <w:lang w:eastAsia="ja-JP"/>
        </w:rPr>
        <w:tab/>
        <w:t>Pacific Island Countries</w:t>
      </w:r>
    </w:p>
    <w:p w14:paraId="7BBE9462" w14:textId="77777777" w:rsidR="00F2636C" w:rsidRPr="00CB40AA" w:rsidRDefault="00F2636C" w:rsidP="001B44E2">
      <w:pPr>
        <w:pStyle w:val="BodyCopy"/>
        <w:tabs>
          <w:tab w:val="left" w:pos="1843"/>
        </w:tabs>
        <w:spacing w:after="60"/>
        <w:rPr>
          <w:lang w:eastAsia="ja-JP"/>
        </w:rPr>
      </w:pPr>
      <w:r>
        <w:rPr>
          <w:lang w:eastAsia="ja-JP"/>
        </w:rPr>
        <w:t>PNG</w:t>
      </w:r>
      <w:r w:rsidRPr="00CB40AA">
        <w:rPr>
          <w:lang w:eastAsia="ja-JP"/>
        </w:rPr>
        <w:tab/>
      </w:r>
      <w:r>
        <w:rPr>
          <w:lang w:eastAsia="ja-JP"/>
        </w:rPr>
        <w:t xml:space="preserve">Papua New Guinea </w:t>
      </w:r>
    </w:p>
    <w:p w14:paraId="594F7081" w14:textId="77777777" w:rsidR="00F2636C" w:rsidRPr="00CB40AA" w:rsidRDefault="00F2636C" w:rsidP="001B44E2">
      <w:pPr>
        <w:pStyle w:val="BodyCopy"/>
        <w:tabs>
          <w:tab w:val="left" w:pos="1843"/>
        </w:tabs>
        <w:spacing w:after="60"/>
        <w:rPr>
          <w:rFonts w:ascii="Calibri" w:eastAsia="Calibri" w:hAnsi="Calibri" w:cs="Calibri"/>
          <w:color w:val="000000" w:themeColor="text1"/>
        </w:rPr>
      </w:pPr>
      <w:r>
        <w:rPr>
          <w:lang w:eastAsia="ja-JP"/>
        </w:rPr>
        <w:t>REAP</w:t>
      </w:r>
      <w:r w:rsidRPr="00CB40AA">
        <w:rPr>
          <w:lang w:eastAsia="ja-JP"/>
        </w:rPr>
        <w:tab/>
      </w:r>
      <w:r w:rsidRPr="00B135A6">
        <w:rPr>
          <w:lang w:eastAsia="ja-JP"/>
        </w:rPr>
        <w:t>Re-E</w:t>
      </w:r>
      <w:r>
        <w:rPr>
          <w:lang w:eastAsia="ja-JP"/>
        </w:rPr>
        <w:t>ntry Action Plan</w:t>
      </w:r>
    </w:p>
    <w:p w14:paraId="579BFD46" w14:textId="77777777" w:rsidR="00F2636C" w:rsidRPr="00CB40AA" w:rsidRDefault="00F2636C" w:rsidP="001B44E2">
      <w:pPr>
        <w:pStyle w:val="BodyCopy"/>
        <w:tabs>
          <w:tab w:val="left" w:pos="1843"/>
        </w:tabs>
        <w:spacing w:after="60"/>
      </w:pPr>
      <w:r w:rsidRPr="00CB40AA">
        <w:rPr>
          <w:lang w:eastAsia="ja-JP"/>
        </w:rPr>
        <w:t>RBA</w:t>
      </w:r>
      <w:r w:rsidRPr="00CB40AA">
        <w:rPr>
          <w:lang w:eastAsia="ja-JP"/>
        </w:rPr>
        <w:tab/>
      </w:r>
      <w:r w:rsidRPr="00CB40AA">
        <w:t>Reserve Bank of Australia</w:t>
      </w:r>
    </w:p>
    <w:p w14:paraId="16503C4D" w14:textId="77777777" w:rsidR="00F2636C" w:rsidRPr="00CB40AA" w:rsidRDefault="00F2636C" w:rsidP="001B44E2">
      <w:pPr>
        <w:pStyle w:val="BodyCopy"/>
        <w:tabs>
          <w:tab w:val="left" w:pos="1843"/>
        </w:tabs>
        <w:spacing w:after="60"/>
        <w:rPr>
          <w:lang w:eastAsia="ja-JP"/>
        </w:rPr>
      </w:pPr>
      <w:r w:rsidRPr="00CB40AA">
        <w:rPr>
          <w:lang w:eastAsia="ja-JP"/>
        </w:rPr>
        <w:t>RBF</w:t>
      </w:r>
      <w:r w:rsidRPr="00CB40AA">
        <w:rPr>
          <w:lang w:eastAsia="ja-JP"/>
        </w:rPr>
        <w:tab/>
        <w:t>Reserve Bank of Fiji</w:t>
      </w:r>
    </w:p>
    <w:p w14:paraId="1F260F98" w14:textId="77777777" w:rsidR="00F2636C" w:rsidRPr="00CB40AA" w:rsidRDefault="00F2636C" w:rsidP="001B44E2">
      <w:pPr>
        <w:pStyle w:val="BodyCopy"/>
        <w:tabs>
          <w:tab w:val="left" w:pos="1843"/>
        </w:tabs>
        <w:spacing w:after="60"/>
      </w:pPr>
      <w:r w:rsidRPr="00CB40AA">
        <w:rPr>
          <w:lang w:eastAsia="ja-JP"/>
        </w:rPr>
        <w:t>RBNZ</w:t>
      </w:r>
      <w:r w:rsidRPr="00CB40AA">
        <w:rPr>
          <w:lang w:eastAsia="ja-JP"/>
        </w:rPr>
        <w:tab/>
      </w:r>
      <w:r w:rsidRPr="00CB40AA">
        <w:t>Reserve Bank of New Zealand</w:t>
      </w:r>
    </w:p>
    <w:p w14:paraId="123107D9" w14:textId="77777777" w:rsidR="00F2636C" w:rsidRPr="00CB40AA" w:rsidRDefault="00F2636C" w:rsidP="001B44E2">
      <w:pPr>
        <w:pStyle w:val="BodyCopy"/>
        <w:tabs>
          <w:tab w:val="left" w:pos="1843"/>
        </w:tabs>
        <w:spacing w:after="60"/>
      </w:pPr>
      <w:r w:rsidRPr="00CB40AA">
        <w:rPr>
          <w:lang w:eastAsia="ja-JP"/>
        </w:rPr>
        <w:t>RBV</w:t>
      </w:r>
      <w:r w:rsidRPr="00CB40AA">
        <w:rPr>
          <w:lang w:eastAsia="ja-JP"/>
        </w:rPr>
        <w:tab/>
      </w:r>
      <w:r w:rsidRPr="00CB40AA">
        <w:t>Reserve Bank of Vanuatu</w:t>
      </w:r>
    </w:p>
    <w:p w14:paraId="7E06CA33" w14:textId="77777777" w:rsidR="00F2636C" w:rsidRPr="00CB40AA" w:rsidRDefault="00F2636C" w:rsidP="001B44E2">
      <w:pPr>
        <w:pStyle w:val="BodyCopy"/>
        <w:tabs>
          <w:tab w:val="left" w:pos="1843"/>
        </w:tabs>
        <w:spacing w:after="60"/>
      </w:pPr>
      <w:r w:rsidRPr="00CB40AA">
        <w:rPr>
          <w:lang w:eastAsia="ja-JP"/>
        </w:rPr>
        <w:t>SDGs</w:t>
      </w:r>
      <w:r w:rsidRPr="00CB40AA">
        <w:rPr>
          <w:lang w:eastAsia="ja-JP"/>
        </w:rPr>
        <w:tab/>
      </w:r>
      <w:r w:rsidRPr="00CB40AA">
        <w:t>Sustainable Development Goals</w:t>
      </w:r>
    </w:p>
    <w:p w14:paraId="6587F379" w14:textId="77777777" w:rsidR="00F2636C" w:rsidRPr="00CB40AA" w:rsidRDefault="00F2636C" w:rsidP="001B44E2">
      <w:pPr>
        <w:pStyle w:val="BodyCopy"/>
        <w:tabs>
          <w:tab w:val="left" w:pos="1843"/>
        </w:tabs>
        <w:spacing w:after="60"/>
        <w:rPr>
          <w:lang w:eastAsia="ja-JP"/>
        </w:rPr>
      </w:pPr>
      <w:r w:rsidRPr="00CB40AA">
        <w:rPr>
          <w:lang w:eastAsia="ja-JP"/>
        </w:rPr>
        <w:t>SIMA</w:t>
      </w:r>
      <w:r w:rsidRPr="00CB40AA">
        <w:rPr>
          <w:lang w:eastAsia="ja-JP"/>
        </w:rPr>
        <w:tab/>
      </w:r>
      <w:r w:rsidRPr="00CB40AA">
        <w:t xml:space="preserve">Solomon Island Monetary Authority </w:t>
      </w:r>
    </w:p>
    <w:p w14:paraId="2B9446FE" w14:textId="77777777" w:rsidR="00F2636C" w:rsidRPr="00CB40AA" w:rsidRDefault="00F2636C" w:rsidP="001B44E2">
      <w:pPr>
        <w:pStyle w:val="BodyCopy"/>
        <w:tabs>
          <w:tab w:val="left" w:pos="1843"/>
        </w:tabs>
        <w:spacing w:after="60"/>
        <w:rPr>
          <w:lang w:eastAsia="ja-JP"/>
        </w:rPr>
      </w:pPr>
      <w:r w:rsidRPr="00CB40AA">
        <w:rPr>
          <w:lang w:eastAsia="ja-JP"/>
        </w:rPr>
        <w:t>SPCB</w:t>
      </w:r>
      <w:r w:rsidRPr="00CB40AA">
        <w:rPr>
          <w:lang w:eastAsia="ja-JP"/>
        </w:rPr>
        <w:tab/>
        <w:t>South Pacific Central Banks</w:t>
      </w:r>
    </w:p>
    <w:p w14:paraId="72745689" w14:textId="77777777" w:rsidR="00F2636C" w:rsidRPr="00CB40AA" w:rsidRDefault="00F2636C" w:rsidP="001B44E2">
      <w:pPr>
        <w:pStyle w:val="BodyCopy"/>
        <w:tabs>
          <w:tab w:val="left" w:pos="1843"/>
        </w:tabs>
        <w:spacing w:after="60"/>
        <w:rPr>
          <w:lang w:eastAsia="ja-JP"/>
        </w:rPr>
      </w:pPr>
      <w:r w:rsidRPr="00CB40AA">
        <w:rPr>
          <w:lang w:eastAsia="ja-JP"/>
        </w:rPr>
        <w:t>SPCCB</w:t>
      </w:r>
      <w:r w:rsidRPr="00CB40AA">
        <w:rPr>
          <w:lang w:eastAsia="ja-JP"/>
        </w:rPr>
        <w:tab/>
        <w:t>South Pacific Centre for Central Banking</w:t>
      </w:r>
    </w:p>
    <w:p w14:paraId="7428C4EC" w14:textId="77777777" w:rsidR="00F2636C" w:rsidRPr="00CB40AA" w:rsidRDefault="00F2636C" w:rsidP="001B44E2">
      <w:pPr>
        <w:pStyle w:val="BodyCopy"/>
        <w:tabs>
          <w:tab w:val="left" w:pos="1843"/>
        </w:tabs>
        <w:spacing w:after="60"/>
        <w:rPr>
          <w:lang w:eastAsia="ja-JP"/>
        </w:rPr>
      </w:pPr>
      <w:r>
        <w:rPr>
          <w:lang w:eastAsia="ja-JP"/>
        </w:rPr>
        <w:t>SPSG</w:t>
      </w:r>
      <w:r w:rsidRPr="00CB40AA">
        <w:rPr>
          <w:lang w:eastAsia="ja-JP"/>
        </w:rPr>
        <w:tab/>
      </w:r>
      <w:r>
        <w:rPr>
          <w:lang w:eastAsia="ja-JP"/>
        </w:rPr>
        <w:t>South Pacific Studies Group</w:t>
      </w:r>
    </w:p>
    <w:p w14:paraId="5B177503" w14:textId="77777777" w:rsidR="00F2636C" w:rsidRPr="00CB40AA" w:rsidRDefault="00F2636C" w:rsidP="008A009B">
      <w:pPr>
        <w:pStyle w:val="BodyCopy"/>
        <w:tabs>
          <w:tab w:val="left" w:pos="1843"/>
        </w:tabs>
        <w:rPr>
          <w:lang w:eastAsia="ja-JP"/>
        </w:rPr>
      </w:pPr>
      <w:r w:rsidRPr="00CB40AA">
        <w:rPr>
          <w:lang w:eastAsia="ja-JP"/>
        </w:rPr>
        <w:t>UN</w:t>
      </w:r>
      <w:r w:rsidRPr="00CB40AA">
        <w:rPr>
          <w:lang w:eastAsia="ja-JP"/>
        </w:rPr>
        <w:tab/>
        <w:t>United Nations</w:t>
      </w:r>
    </w:p>
    <w:p w14:paraId="5D5C9EF5" w14:textId="77777777" w:rsidR="001B44E2" w:rsidRDefault="001B44E2">
      <w:pPr>
        <w:spacing w:before="0"/>
        <w:rPr>
          <w:rFonts w:ascii="Times New Roman" w:eastAsiaTheme="majorEastAsia" w:hAnsi="Times New Roman" w:cs="Times New Roman"/>
          <w:color w:val="1F3864" w:themeColor="accent1" w:themeShade="80"/>
          <w:sz w:val="48"/>
          <w:szCs w:val="48"/>
        </w:rPr>
      </w:pPr>
      <w:bookmarkStart w:id="11" w:name="_Toc103348720"/>
      <w:r>
        <w:br w:type="page"/>
      </w:r>
    </w:p>
    <w:p w14:paraId="2C078E63" w14:textId="592AE33E" w:rsidR="00C65674" w:rsidRPr="00CB40AA" w:rsidRDefault="00522711" w:rsidP="005464BA">
      <w:pPr>
        <w:pStyle w:val="Heading2NoNumbering"/>
      </w:pPr>
      <w:r w:rsidRPr="00CB40AA">
        <w:lastRenderedPageBreak/>
        <w:t>Executive Summary</w:t>
      </w:r>
      <w:bookmarkEnd w:id="11"/>
    </w:p>
    <w:p w14:paraId="7168FC80" w14:textId="6E3C065C" w:rsidR="3930F953" w:rsidRPr="007C083C" w:rsidRDefault="038C243E" w:rsidP="001B44E2">
      <w:pPr>
        <w:pStyle w:val="Heading3Nonumbering"/>
      </w:pPr>
      <w:bookmarkStart w:id="12" w:name="_Toc98408079"/>
      <w:bookmarkStart w:id="13" w:name="_Toc100666084"/>
      <w:r w:rsidRPr="007C083C">
        <w:t>Introduction</w:t>
      </w:r>
      <w:bookmarkEnd w:id="12"/>
      <w:bookmarkEnd w:id="13"/>
    </w:p>
    <w:p w14:paraId="6346B866" w14:textId="3B95A454" w:rsidR="00725FAE" w:rsidRDefault="7E35FE6B" w:rsidP="007C083C">
      <w:pPr>
        <w:pStyle w:val="BodyCopy"/>
      </w:pPr>
      <w:r>
        <w:rPr>
          <w:shd w:val="clear" w:color="auto" w:fill="FFFFFF"/>
        </w:rPr>
        <w:t>The Australia Awards fellowships (2006 to 2018) were a competitive grants program designed to strengthen and deepen partnerships between Australian organisations and counterparts in developing countries through short-term study and professional development activities in priority areas. The fellowships were paused in 2018 and</w:t>
      </w:r>
      <w:r w:rsidRPr="00A96D25">
        <w:t xml:space="preserve"> </w:t>
      </w:r>
      <w:r>
        <w:t>little is known of the long-term impact of this</w:t>
      </w:r>
      <w:r w:rsidRPr="00CB40AA">
        <w:t xml:space="preserve"> award</w:t>
      </w:r>
      <w:r>
        <w:t xml:space="preserve"> modality</w:t>
      </w:r>
      <w:r w:rsidRPr="00CB40AA">
        <w:t xml:space="preserve"> in building </w:t>
      </w:r>
      <w:r>
        <w:t>and sustaining i</w:t>
      </w:r>
      <w:r w:rsidRPr="00CB40AA">
        <w:t>nstitutional linkages</w:t>
      </w:r>
      <w:r>
        <w:t xml:space="preserve"> and partnerships</w:t>
      </w:r>
      <w:r w:rsidRPr="00CB40AA">
        <w:t xml:space="preserve">. </w:t>
      </w:r>
    </w:p>
    <w:p w14:paraId="7CCBCC22" w14:textId="76CDF285" w:rsidR="00725FAE" w:rsidRDefault="7E35FE6B" w:rsidP="007C083C">
      <w:pPr>
        <w:pStyle w:val="BodyCopy"/>
      </w:pPr>
      <w:r>
        <w:rPr>
          <w:shd w:val="clear" w:color="auto" w:fill="FFFFFF"/>
        </w:rPr>
        <w:t xml:space="preserve">With the relaunch of the Australian Awards Fellowship program in 2022, the following case study by the Australia Awards Global Tracer Facility (GTF) </w:t>
      </w:r>
      <w:r>
        <w:t xml:space="preserve">reflects </w:t>
      </w:r>
      <w:r w:rsidRPr="00CB40AA">
        <w:t>on an exemplar partnership to identify the factors which enabled its ongoing engagement</w:t>
      </w:r>
      <w:r>
        <w:t xml:space="preserve"> and contributions to development and cooperation to inform future programming.</w:t>
      </w:r>
      <w:r>
        <w:rPr>
          <w:shd w:val="clear" w:color="auto" w:fill="FFFFFF"/>
        </w:rPr>
        <w:t xml:space="preserve"> </w:t>
      </w:r>
      <w:r w:rsidRPr="004F1AE3">
        <w:t xml:space="preserve">This case study examines the impact of </w:t>
      </w:r>
      <w:r>
        <w:t xml:space="preserve">two </w:t>
      </w:r>
      <w:r w:rsidRPr="004F1AE3">
        <w:t>fellowships in broaden</w:t>
      </w:r>
      <w:r w:rsidRPr="4712195E">
        <w:t>ing</w:t>
      </w:r>
      <w:r w:rsidRPr="004F1AE3">
        <w:t xml:space="preserve"> engagement </w:t>
      </w:r>
      <w:r>
        <w:t>and sustaining long-term partnerships over time.</w:t>
      </w:r>
    </w:p>
    <w:p w14:paraId="47DAD500" w14:textId="00556872" w:rsidR="00725FAE" w:rsidRPr="00BE0AC1" w:rsidRDefault="007D5766" w:rsidP="007C083C">
      <w:pPr>
        <w:pStyle w:val="BodyCopy"/>
      </w:pPr>
      <w:r>
        <w:t xml:space="preserve">The report explores </w:t>
      </w:r>
      <w:r w:rsidR="7E35FE6B" w:rsidRPr="7819C77F">
        <w:t>the Australia Awards’ role in cultivating institutional connections and people-to-people links between Griffith University and the Reserve Bank of Fiji. This initial partnership acted as a catalyst and led to the establishment of the South Pacific Centre for Central Banking (SPCCB), dedicated to improving the institutional capacity of central banks in the Pacific. This case study examines the use of Australia Awards fellowships by Griffith University to broaden and sustain engagement among the region’s five Pacific central banks and other key economic and financial stakeholders.</w:t>
      </w:r>
    </w:p>
    <w:p w14:paraId="1A860D0F" w14:textId="00B8DECC" w:rsidR="001C2431" w:rsidRDefault="6E1DFB20" w:rsidP="007C083C">
      <w:pPr>
        <w:pStyle w:val="BodyCopy"/>
      </w:pPr>
      <w:r w:rsidRPr="00CB40AA">
        <w:t>The findings of this case stud</w:t>
      </w:r>
      <w:r w:rsidR="001C2431">
        <w:t xml:space="preserve">y demonstrate the importance </w:t>
      </w:r>
      <w:r w:rsidR="001C2431" w:rsidRPr="00CB40AA">
        <w:t xml:space="preserve">of embedding partnership principles in future Australia Awards fellowship iterations to enhance the long-term </w:t>
      </w:r>
      <w:r w:rsidR="001C2431" w:rsidRPr="1713C119">
        <w:t xml:space="preserve">program </w:t>
      </w:r>
      <w:r w:rsidR="001C2431" w:rsidRPr="00CB40AA">
        <w:t>outcomes at both the alumni and organisational levels.</w:t>
      </w:r>
    </w:p>
    <w:p w14:paraId="0029C4B5" w14:textId="3F64287E" w:rsidR="000E2F22" w:rsidRPr="00CB40AA" w:rsidRDefault="1F0C36AA" w:rsidP="001B44E2">
      <w:pPr>
        <w:pStyle w:val="Heading3Nonumbering"/>
      </w:pPr>
      <w:bookmarkStart w:id="14" w:name="_Toc98408080"/>
      <w:bookmarkStart w:id="15" w:name="_Toc100666085"/>
      <w:r>
        <w:t>The South Pacific Centre for Central Banking</w:t>
      </w:r>
      <w:r w:rsidR="4763AD7A">
        <w:t xml:space="preserve"> (SPCCB)</w:t>
      </w:r>
      <w:r w:rsidR="007D5766">
        <w:t xml:space="preserve"> </w:t>
      </w:r>
      <w:r>
        <w:t>2016</w:t>
      </w:r>
      <w:bookmarkEnd w:id="14"/>
      <w:bookmarkEnd w:id="15"/>
    </w:p>
    <w:p w14:paraId="043A43EE" w14:textId="34D22107" w:rsidR="00E209AD" w:rsidRPr="007C083C" w:rsidRDefault="5A84ED36" w:rsidP="007C083C">
      <w:pPr>
        <w:pStyle w:val="BodyCopy"/>
      </w:pPr>
      <w:r w:rsidRPr="007C083C">
        <w:t>SPCCB, located in the Pacific Research Hub of the Griffith Asia Institute (GAI) at Griffith University, was established in 2016. Its purpose is to strengthen local capacity ‘for conducting independent, rigorous inquiry into the problems facing the management of economies in the South Pacific’ through academic</w:t>
      </w:r>
      <w:r w:rsidR="17C430CB" w:rsidRPr="007C083C">
        <w:t>,</w:t>
      </w:r>
      <w:r w:rsidRPr="007C083C">
        <w:t xml:space="preserve"> evidenced-based policymaking</w:t>
      </w:r>
      <w:r w:rsidR="34BE464F" w:rsidRPr="007C083C">
        <w:t xml:space="preserve"> (</w:t>
      </w:r>
      <w:r w:rsidR="24C8799B" w:rsidRPr="007C083C">
        <w:rPr>
          <w:rFonts w:eastAsia="Calibri"/>
        </w:rPr>
        <w:t>Griffith University, 2022c)</w:t>
      </w:r>
      <w:r w:rsidR="62BEF86A" w:rsidRPr="007C083C">
        <w:rPr>
          <w:rStyle w:val="FootnoteReference"/>
        </w:rPr>
        <w:footnoteReference w:id="2"/>
      </w:r>
      <w:r w:rsidR="4F9D66BA" w:rsidRPr="007C083C">
        <w:t>.</w:t>
      </w:r>
      <w:r w:rsidR="1040CD14" w:rsidRPr="007C083C">
        <w:t xml:space="preserve"> Key partners include Griffith University, the Reserve Bank of Fiji (RBF), Reserve Bank of Vanuatu (RBV), Central Bank of Solomon Islands (CBSI), Bank of Papua New Guinea (BPNG) and Central Bank of Timor-Leste (BCTL).</w:t>
      </w:r>
    </w:p>
    <w:p w14:paraId="6E4CE636" w14:textId="0AEB0AE9" w:rsidR="00F53357" w:rsidRPr="007C083C" w:rsidRDefault="1E880488" w:rsidP="007C083C">
      <w:pPr>
        <w:pStyle w:val="BodyCopy"/>
      </w:pPr>
      <w:r w:rsidRPr="007C083C">
        <w:t>The formal partnership between Griffith</w:t>
      </w:r>
      <w:r w:rsidR="47018B32" w:rsidRPr="007C083C">
        <w:t xml:space="preserve"> University </w:t>
      </w:r>
      <w:r w:rsidRPr="007C083C">
        <w:t xml:space="preserve">and </w:t>
      </w:r>
      <w:r w:rsidR="16371277" w:rsidRPr="007C083C">
        <w:t xml:space="preserve">the RBF </w:t>
      </w:r>
      <w:r w:rsidR="42B6F80B" w:rsidRPr="007C083C">
        <w:t xml:space="preserve">was consolidated </w:t>
      </w:r>
      <w:r w:rsidR="16371277" w:rsidRPr="007C083C">
        <w:t xml:space="preserve">through </w:t>
      </w:r>
      <w:r w:rsidR="42B6F80B" w:rsidRPr="007C083C">
        <w:t>the application</w:t>
      </w:r>
      <w:r w:rsidR="16371277" w:rsidRPr="007C083C">
        <w:t xml:space="preserve"> for </w:t>
      </w:r>
      <w:r w:rsidR="42B6F80B" w:rsidRPr="007C083C">
        <w:t xml:space="preserve">an </w:t>
      </w:r>
      <w:r w:rsidR="16371277" w:rsidRPr="007C083C">
        <w:t>Australia Awards fellowship grant to host the 2015 ‘</w:t>
      </w:r>
      <w:r w:rsidR="16371277" w:rsidRPr="007C083C">
        <w:rPr>
          <w:rFonts w:eastAsia="Calibri"/>
          <w:i/>
          <w:iCs/>
        </w:rPr>
        <w:t>Developing capacity for research and policy formulation at the Reserve Bank (Fiji).</w:t>
      </w:r>
      <w:r w:rsidR="6B53647C" w:rsidRPr="007C083C">
        <w:rPr>
          <w:rFonts w:eastAsia="Calibri"/>
          <w:i/>
          <w:iCs/>
        </w:rPr>
        <w:t>’</w:t>
      </w:r>
      <w:r w:rsidR="16371277" w:rsidRPr="007C083C">
        <w:rPr>
          <w:rFonts w:eastAsia="Calibri"/>
          <w:i/>
          <w:iCs/>
        </w:rPr>
        <w:t xml:space="preserve"> </w:t>
      </w:r>
      <w:r w:rsidR="16371277" w:rsidRPr="007C083C">
        <w:rPr>
          <w:rFonts w:eastAsia="Calibri"/>
        </w:rPr>
        <w:t>This led to an interest in capacity building programs by other central banks in the South Pacific and the evolution of the SPCCB following the inaugural Central Banking Symposium hosted by Griffith University in 2016</w:t>
      </w:r>
      <w:r w:rsidR="34BE464F" w:rsidRPr="007C083C">
        <w:t xml:space="preserve"> (</w:t>
      </w:r>
      <w:r w:rsidR="24C8799B" w:rsidRPr="007C083C">
        <w:rPr>
          <w:rFonts w:eastAsia="Calibri"/>
        </w:rPr>
        <w:t>Griffith University, 2022c)</w:t>
      </w:r>
      <w:r w:rsidR="12998B15" w:rsidRPr="007C083C">
        <w:rPr>
          <w:rFonts w:eastAsia="Calibri"/>
        </w:rPr>
        <w:t>.</w:t>
      </w:r>
      <w:r w:rsidR="16371277" w:rsidRPr="007C083C">
        <w:rPr>
          <w:rFonts w:eastAsia="Calibri"/>
        </w:rPr>
        <w:t xml:space="preserve"> In 2018, Griffith University hosted a second capacity building Australia Awards fellowship, ‘</w:t>
      </w:r>
      <w:r w:rsidR="16371277" w:rsidRPr="007C083C">
        <w:rPr>
          <w:rFonts w:eastAsia="Calibri"/>
          <w:i/>
          <w:iCs/>
        </w:rPr>
        <w:t>Developing Research and Policy Formulation Capacity at the Central Banks (RBF &amp; RBV).</w:t>
      </w:r>
      <w:r w:rsidR="23684928" w:rsidRPr="007C083C">
        <w:rPr>
          <w:rFonts w:eastAsia="Calibri"/>
          <w:i/>
          <w:iCs/>
        </w:rPr>
        <w:t>’</w:t>
      </w:r>
    </w:p>
    <w:p w14:paraId="43B942DB" w14:textId="3BA2721E" w:rsidR="00F53357" w:rsidRPr="00CB40AA" w:rsidRDefault="1040CD14" w:rsidP="007C083C">
      <w:pPr>
        <w:pStyle w:val="BodyCopy"/>
      </w:pPr>
      <w:r w:rsidRPr="7819C77F">
        <w:t>This demand-driven par</w:t>
      </w:r>
      <w:r w:rsidR="4763AD7A" w:rsidRPr="7819C77F">
        <w:t xml:space="preserve">tnership has resulted in formal </w:t>
      </w:r>
      <w:r w:rsidR="093076FB" w:rsidRPr="7819C77F">
        <w:t>Memorandum of Understandings</w:t>
      </w:r>
      <w:r w:rsidR="4763AD7A" w:rsidRPr="7819C77F">
        <w:t xml:space="preserve"> (MOUs)</w:t>
      </w:r>
      <w:r w:rsidRPr="7819C77F">
        <w:t xml:space="preserve"> with RBF, RBV, CBSI, BPNG, BCTL individually and as a regional-level agreement; numerous research </w:t>
      </w:r>
      <w:r w:rsidRPr="7819C77F">
        <w:lastRenderedPageBreak/>
        <w:t xml:space="preserve">publications (20 working papers and seven journal articles); and a wide range of engagement activities including forums, </w:t>
      </w:r>
      <w:r w:rsidR="122CFA29" w:rsidRPr="7819C77F">
        <w:t>symposia</w:t>
      </w:r>
      <w:r w:rsidR="0784DFE2" w:rsidRPr="7819C77F">
        <w:t xml:space="preserve">, seminars, </w:t>
      </w:r>
      <w:r w:rsidRPr="7819C77F">
        <w:t>conferences</w:t>
      </w:r>
      <w:r w:rsidR="093076FB" w:rsidRPr="7819C77F">
        <w:t>,</w:t>
      </w:r>
      <w:r w:rsidRPr="7819C77F">
        <w:t xml:space="preserve"> and </w:t>
      </w:r>
      <w:r w:rsidR="1CF7BA65" w:rsidRPr="7819C77F">
        <w:t xml:space="preserve">training </w:t>
      </w:r>
      <w:r w:rsidRPr="7819C77F">
        <w:t xml:space="preserve">workshops. </w:t>
      </w:r>
    </w:p>
    <w:p w14:paraId="3F4708AB" w14:textId="2AC43F04" w:rsidR="000E2F22" w:rsidRPr="00CB40AA" w:rsidRDefault="4031D278" w:rsidP="005D7674">
      <w:pPr>
        <w:pStyle w:val="Heading3Nonumbering"/>
      </w:pPr>
      <w:bookmarkStart w:id="16" w:name="_Toc98408081"/>
      <w:bookmarkStart w:id="17" w:name="_Toc100666086"/>
      <w:r w:rsidRPr="00CB40AA">
        <w:t>SPCCB contributions to Australia Awards long-term program outcomes</w:t>
      </w:r>
      <w:bookmarkEnd w:id="16"/>
      <w:bookmarkEnd w:id="17"/>
    </w:p>
    <w:p w14:paraId="629B9A9A" w14:textId="66932B57" w:rsidR="1805FF8D" w:rsidRDefault="7EEB521A" w:rsidP="007C083C">
      <w:pPr>
        <w:pStyle w:val="BodyCopy"/>
      </w:pPr>
      <w:r w:rsidRPr="2D84C080">
        <w:t>In the context of the</w:t>
      </w:r>
      <w:r w:rsidR="7F865391" w:rsidRPr="2D84C080">
        <w:t xml:space="preserve"> aims and outcomes of the </w:t>
      </w:r>
      <w:r w:rsidRPr="2D84C080">
        <w:t>Australia Awards (DFAT, 2022</w:t>
      </w:r>
      <w:r w:rsidR="00102B91">
        <w:t>a</w:t>
      </w:r>
      <w:r w:rsidRPr="2D84C080">
        <w:t>)</w:t>
      </w:r>
      <w:r w:rsidR="05D9ED00" w:rsidRPr="2D84C080">
        <w:t xml:space="preserve">, </w:t>
      </w:r>
      <w:r w:rsidR="5C3245A5" w:rsidRPr="2D84C080">
        <w:t>impacts</w:t>
      </w:r>
      <w:r w:rsidR="04741795" w:rsidRPr="2D84C080">
        <w:t xml:space="preserve"> </w:t>
      </w:r>
      <w:r w:rsidR="421F8557" w:rsidRPr="2D84C080">
        <w:t>by SPCCB</w:t>
      </w:r>
      <w:r w:rsidR="04741795" w:rsidRPr="2D84C080">
        <w:t xml:space="preserve"> </w:t>
      </w:r>
      <w:r w:rsidR="596E3721" w:rsidRPr="2D84C080">
        <w:t xml:space="preserve">are reflected </w:t>
      </w:r>
      <w:r w:rsidR="6E564402" w:rsidRPr="2D84C080">
        <w:t xml:space="preserve">across </w:t>
      </w:r>
      <w:r w:rsidR="636BE6D0" w:rsidRPr="2D84C080">
        <w:t>its</w:t>
      </w:r>
      <w:r w:rsidR="6E564402" w:rsidRPr="2D84C080">
        <w:t xml:space="preserve"> two </w:t>
      </w:r>
      <w:r w:rsidR="757DF840" w:rsidRPr="2D84C080">
        <w:t xml:space="preserve">long-term </w:t>
      </w:r>
      <w:r w:rsidR="757DF840" w:rsidRPr="1713C119">
        <w:t xml:space="preserve">program </w:t>
      </w:r>
      <w:r w:rsidR="757DF840" w:rsidRPr="2D84C080">
        <w:t>outcomes</w:t>
      </w:r>
      <w:r w:rsidR="09175022" w:rsidRPr="2D84C080">
        <w:t>:</w:t>
      </w:r>
      <w:r w:rsidR="636BE6D0" w:rsidRPr="2D84C080">
        <w:t xml:space="preserve"> </w:t>
      </w:r>
      <w:r w:rsidR="5B28B5FE" w:rsidRPr="2D84C080">
        <w:t xml:space="preserve">contribution to </w:t>
      </w:r>
      <w:r w:rsidR="5A4DF6BB" w:rsidRPr="2D84C080">
        <w:t>development and cooperation</w:t>
      </w:r>
      <w:r w:rsidR="636BE6D0" w:rsidRPr="2D84C080">
        <w:t xml:space="preserve"> between Australia and partner countries</w:t>
      </w:r>
      <w:r w:rsidR="76AD0E54" w:rsidRPr="2D84C080">
        <w:t xml:space="preserve">. The </w:t>
      </w:r>
      <w:r w:rsidR="6307DB16" w:rsidRPr="2D84C080">
        <w:t>2015 and 2018</w:t>
      </w:r>
      <w:r w:rsidR="76AD0E54" w:rsidRPr="2D84C080">
        <w:t xml:space="preserve"> Australia Awards fellowships are intertwined in the foundation</w:t>
      </w:r>
      <w:r w:rsidR="610BFA52" w:rsidRPr="2D84C080">
        <w:t>, growth, and outcomes</w:t>
      </w:r>
      <w:r w:rsidR="76AD0E54" w:rsidRPr="2D84C080">
        <w:t xml:space="preserve"> of </w:t>
      </w:r>
      <w:r w:rsidR="09681C54" w:rsidRPr="2D84C080">
        <w:t xml:space="preserve">SPCCB’s partnership development. The figure below shows the impact of SPCCB’s </w:t>
      </w:r>
      <w:r w:rsidR="739ADFED" w:rsidRPr="2D84C080">
        <w:t xml:space="preserve">partnership </w:t>
      </w:r>
      <w:r w:rsidR="09681C54" w:rsidRPr="2D84C080">
        <w:t>outcomes at the individual (micro), organisational (meso), and national and regional (macro) levels.</w:t>
      </w:r>
    </w:p>
    <w:p w14:paraId="7FB86CFD" w14:textId="0D590D0B" w:rsidR="00341FB1" w:rsidRDefault="00341FB1" w:rsidP="00EB7114">
      <w:pPr>
        <w:pStyle w:val="Figure"/>
      </w:pPr>
      <w:r w:rsidRPr="00C670C2">
        <w:t xml:space="preserve">Figure </w:t>
      </w:r>
      <w:r w:rsidRPr="00C670C2">
        <w:rPr>
          <w:shd w:val="clear" w:color="auto" w:fill="E6E6E6"/>
        </w:rPr>
        <w:fldChar w:fldCharType="begin"/>
      </w:r>
      <w:r w:rsidRPr="00C670C2">
        <w:instrText xml:space="preserve"> SEQ Figure \* ARABIC </w:instrText>
      </w:r>
      <w:r w:rsidRPr="00C670C2">
        <w:rPr>
          <w:shd w:val="clear" w:color="auto" w:fill="E6E6E6"/>
        </w:rPr>
        <w:fldChar w:fldCharType="separate"/>
      </w:r>
      <w:r w:rsidR="001D6B4B">
        <w:rPr>
          <w:noProof/>
        </w:rPr>
        <w:t>1</w:t>
      </w:r>
      <w:r w:rsidRPr="00C670C2">
        <w:rPr>
          <w:shd w:val="clear" w:color="auto" w:fill="E6E6E6"/>
        </w:rPr>
        <w:fldChar w:fldCharType="end"/>
      </w:r>
      <w:r w:rsidRPr="00C670C2">
        <w:t>: Outcomes of the SPCCB partnership activities</w:t>
      </w:r>
    </w:p>
    <w:p w14:paraId="12210E77" w14:textId="65E75F2F" w:rsidR="00B27AAF" w:rsidRPr="00C670C2" w:rsidRDefault="00B27AAF" w:rsidP="00B27AAF">
      <w:pPr>
        <w:pStyle w:val="Figure"/>
      </w:pPr>
      <w:r>
        <w:rPr>
          <w:noProof/>
          <w:lang w:eastAsia="en-AU"/>
        </w:rPr>
        <w:drawing>
          <wp:inline distT="0" distB="0" distL="0" distR="0" wp14:anchorId="783B7D31" wp14:editId="0BF1C85E">
            <wp:extent cx="5237922" cy="4156761"/>
            <wp:effectExtent l="0" t="0" r="0" b="0"/>
            <wp:docPr id="2" name="Picture 2" descr="Figure 5: SPCCB contributions to the Australia Awards long-term OutcomesThe SPCCB partnership is making significant contributions to development at the micro (individual), meso (organisational) and macro (national and regional) levels.Micro/Individual Impacts• Improved research skills• Building researchers’ network• Access to regional and  international patforms• Developing researcher profiles.Meso/Organisational Impacts• Regional research  platform for multilateral• Organisational capacity  and research culture• Inproved practices and  institutional knowledge• International exposure and reputation.Macro/National and Regional Impacts• Regional research and policy formulation  cooperation (COVID-19) pandemic and  climate change• Visibility and reputation  for central banks and  Australian expertise• Contributing to  public dis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SPCCB contributions to the Australia Awards long-term OutcomesThe SPCCB partnership is making significant contributions to development at the micro (individual), meso (organisational) and macro (national and regional) levels.Micro/Individual Impacts• Improved research skills• Building researchers’ network• Access to regional and  international patforms• Developing researcher profiles.Meso/Organisational Impacts• Regional research  platform for multilateral• Organisational capacity  and research culture• Inproved practices and  institutional knowledge• International exposure and reputation.Macro/National and Regional Impacts• Regional research and policy formulation  cooperation (COVID-19) pandemic and  climate change• Visibility and reputation  for central banks and  Australian expertise• Contributing to  public discourse."/>
                    <pic:cNvPicPr/>
                  </pic:nvPicPr>
                  <pic:blipFill>
                    <a:blip r:embed="rId13">
                      <a:extLst>
                        <a:ext uri="{28A0092B-C50C-407E-A947-70E740481C1C}">
                          <a14:useLocalDpi xmlns:a14="http://schemas.microsoft.com/office/drawing/2010/main" val="0"/>
                        </a:ext>
                      </a:extLst>
                    </a:blip>
                    <a:stretch>
                      <a:fillRect/>
                    </a:stretch>
                  </pic:blipFill>
                  <pic:spPr>
                    <a:xfrm>
                      <a:off x="0" y="0"/>
                      <a:ext cx="5297361" cy="4203931"/>
                    </a:xfrm>
                    <a:prstGeom prst="rect">
                      <a:avLst/>
                    </a:prstGeom>
                  </pic:spPr>
                </pic:pic>
              </a:graphicData>
            </a:graphic>
          </wp:inline>
        </w:drawing>
      </w:r>
    </w:p>
    <w:p w14:paraId="663CF0A8" w14:textId="61AFE6EB" w:rsidR="001A4E61" w:rsidRPr="00C670C2" w:rsidRDefault="0784DFE2" w:rsidP="00C670C2">
      <w:pPr>
        <w:pStyle w:val="BodyCopy"/>
      </w:pPr>
      <w:r w:rsidRPr="00C670C2">
        <w:t xml:space="preserve">SPCCB </w:t>
      </w:r>
      <w:r w:rsidR="636BA05A" w:rsidRPr="00C670C2">
        <w:t xml:space="preserve">is strengthening the institutional capacity of the </w:t>
      </w:r>
      <w:r w:rsidR="4D1BFBD5" w:rsidRPr="00C670C2">
        <w:t xml:space="preserve">Pacific </w:t>
      </w:r>
      <w:r w:rsidR="636BA05A" w:rsidRPr="00C670C2">
        <w:t xml:space="preserve">central banks to use </w:t>
      </w:r>
      <w:r w:rsidRPr="00C670C2">
        <w:t xml:space="preserve">research to advance United Nations’ Sustainable Development Goals (SDGs) </w:t>
      </w:r>
      <w:r w:rsidR="682C0E83" w:rsidRPr="00C670C2">
        <w:t>through</w:t>
      </w:r>
      <w:r w:rsidR="636BA05A" w:rsidRPr="00C670C2">
        <w:t xml:space="preserve"> evidence-based policy formation and public dialogue. This is helping the central banks </w:t>
      </w:r>
      <w:r w:rsidR="682C0E83" w:rsidRPr="00C670C2">
        <w:t xml:space="preserve">to address unique and complex regional policy challenges such as climate change, and the </w:t>
      </w:r>
      <w:r w:rsidR="52C37514" w:rsidRPr="00C670C2">
        <w:t xml:space="preserve">ongoing </w:t>
      </w:r>
      <w:r w:rsidR="682C0E83" w:rsidRPr="00C670C2">
        <w:t>economic</w:t>
      </w:r>
      <w:r w:rsidR="52C37514" w:rsidRPr="00C670C2">
        <w:t xml:space="preserve"> and social impact</w:t>
      </w:r>
      <w:r w:rsidR="636BA05A" w:rsidRPr="00C670C2">
        <w:t>s</w:t>
      </w:r>
      <w:r w:rsidR="682C0E83" w:rsidRPr="00C670C2">
        <w:t xml:space="preserve"> of the COVID -19 pandemic and the Global Financial Crisis.  </w:t>
      </w:r>
    </w:p>
    <w:p w14:paraId="07171A18" w14:textId="77777777" w:rsidR="004C3A97" w:rsidRDefault="004C3A97">
      <w:pPr>
        <w:spacing w:before="0"/>
        <w:rPr>
          <w:rFonts w:ascii="Times New Roman" w:eastAsiaTheme="majorEastAsia" w:hAnsi="Times New Roman" w:cs="Times New Roman"/>
          <w:color w:val="1F3864" w:themeColor="accent1" w:themeShade="80"/>
          <w:sz w:val="28"/>
          <w:szCs w:val="28"/>
        </w:rPr>
      </w:pPr>
      <w:bookmarkStart w:id="18" w:name="_Toc98408082"/>
      <w:bookmarkStart w:id="19" w:name="_Toc100666087"/>
      <w:r>
        <w:br w:type="page"/>
      </w:r>
    </w:p>
    <w:p w14:paraId="6C59DE12" w14:textId="55A070E0" w:rsidR="00CF1091" w:rsidRPr="00CB40AA" w:rsidRDefault="038C243E" w:rsidP="001B44E2">
      <w:pPr>
        <w:pStyle w:val="Heading3Nonumbering"/>
      </w:pPr>
      <w:r w:rsidRPr="00CB40AA">
        <w:lastRenderedPageBreak/>
        <w:t>Conditions for SPCCB partnership success</w:t>
      </w:r>
      <w:bookmarkEnd w:id="18"/>
      <w:bookmarkEnd w:id="19"/>
    </w:p>
    <w:p w14:paraId="27F22C35" w14:textId="2016871A" w:rsidR="00BC0EC9" w:rsidRPr="00C670C2" w:rsidRDefault="69841D79" w:rsidP="00C670C2">
      <w:pPr>
        <w:pStyle w:val="BodyCopy"/>
      </w:pPr>
      <w:r w:rsidRPr="00C670C2">
        <w:t>In order to create an exemplar, multi-stakeholder partnership such as the SPCCB, it is essential for institutions to have an outw</w:t>
      </w:r>
      <w:r w:rsidR="634E44A9" w:rsidRPr="00C670C2">
        <w:t xml:space="preserve">ard-looking ‘partnering culture’ </w:t>
      </w:r>
      <w:r w:rsidR="5244AC97" w:rsidRPr="00C670C2">
        <w:fldChar w:fldCharType="begin"/>
      </w:r>
      <w:r w:rsidR="5244AC97" w:rsidRPr="00C670C2">
        <w:instrText xml:space="preserve"> ADDIN ZOTERO_ITEM CSL_CITATION {"citationID":"eWMdXOjP","properties":{"formattedCitation":"(Stibbe &amp; Prescott, 2022)","plainCitation":"(Stibbe &amp; Prescott, 2022)","noteIndex":0},"citationItems":[{"id":661,"uris":["http://zotero.org/groups/2364906/items/9NKUJFXM"],"uri":["http://zotero.org/groups/2364906/items/9NKUJFXM"],"itemData":{"id":661,"type":"report","page":"93","publisher":"The Partnering Initiative and UNDESA","title":"SDGs Partnership Guidebook: A practical guide to building high-impact multi-stakeholder partnerships for the Sustainable Development Goals","URL":"https://www.thepartneringinitiative.org/wp-content/uploads/2020/07/SDG-Partnership-Guidebook-1.0.pdf","author":[{"family":"Stibbe","given":"Darian"},{"family":"Prescott","given":"David"}],"issued":{"date-parts":[["2022"]]}}}],"schema":"https://github.com/citation-style-language/schema/raw/master/csl-citation.json"} </w:instrText>
      </w:r>
      <w:r w:rsidR="5244AC97" w:rsidRPr="00C670C2">
        <w:fldChar w:fldCharType="separate"/>
      </w:r>
      <w:r w:rsidR="634E44A9" w:rsidRPr="00C670C2">
        <w:t>(Stibbe &amp; Prescott, 2022)</w:t>
      </w:r>
      <w:r w:rsidR="5244AC97" w:rsidRPr="00C670C2">
        <w:fldChar w:fldCharType="end"/>
      </w:r>
      <w:r w:rsidRPr="00C670C2">
        <w:t>, alignment of shared strategic goals and values, leadership support and champions to drive and sustain th</w:t>
      </w:r>
      <w:r w:rsidR="1477673C" w:rsidRPr="00C670C2">
        <w:t xml:space="preserve">e relationship, and a suite of </w:t>
      </w:r>
      <w:r w:rsidRPr="00C670C2">
        <w:t>mutually beneficial, collaborative engagement activities.</w:t>
      </w:r>
    </w:p>
    <w:p w14:paraId="2F7EC25A" w14:textId="785DEA23" w:rsidR="00BC0EC9" w:rsidRPr="00C670C2" w:rsidRDefault="4853FFF8" w:rsidP="00C670C2">
      <w:pPr>
        <w:pStyle w:val="BodyCopy"/>
      </w:pPr>
      <w:r w:rsidRPr="00C670C2">
        <w:t>The strength and longevity of SPCCB’s partnerships have been based on the strategic alignment of both Griffith University’s vision to be a ‘university of influence’ in the Asia-Pacific region</w:t>
      </w:r>
      <w:r w:rsidR="082915A5" w:rsidRPr="00C670C2">
        <w:t xml:space="preserve"> (Griffith University, 2018a)</w:t>
      </w:r>
      <w:r w:rsidRPr="00C670C2">
        <w:t xml:space="preserve"> and the capacity development needs of the five central banks to respond to</w:t>
      </w:r>
      <w:r w:rsidR="78F9B9F9" w:rsidRPr="00C670C2">
        <w:t xml:space="preserve"> the</w:t>
      </w:r>
      <w:r w:rsidRPr="00C670C2">
        <w:t xml:space="preserve"> complex, multilayered, economic challenges. Griffith University and the five central bank Governors have enabled the partnership to develop and evolve over time through collaboration and engagement activities based on trust, equity, and shared decision making.</w:t>
      </w:r>
    </w:p>
    <w:p w14:paraId="505F3309" w14:textId="77777777" w:rsidR="00C92DDC" w:rsidRPr="00C92DDC" w:rsidRDefault="00C92DDC" w:rsidP="001B44E2">
      <w:pPr>
        <w:pStyle w:val="Heading3Nonumbering"/>
        <w:rPr>
          <w:rFonts w:ascii="Segoe UI" w:hAnsi="Segoe UI" w:cs="Segoe UI"/>
          <w:sz w:val="18"/>
          <w:szCs w:val="18"/>
        </w:rPr>
      </w:pPr>
      <w:r w:rsidRPr="00C92DDC">
        <w:t xml:space="preserve">Recommendations for future Australia Awards </w:t>
      </w:r>
      <w:r w:rsidRPr="00C670C2">
        <w:t>fellowship</w:t>
      </w:r>
      <w:r w:rsidRPr="00C92DDC">
        <w:t xml:space="preserve"> iterations </w:t>
      </w:r>
    </w:p>
    <w:p w14:paraId="6F35B53C" w14:textId="5A01E8D2" w:rsidR="00C92DDC" w:rsidRPr="00C92DDC" w:rsidRDefault="18B3D960" w:rsidP="00C670C2">
      <w:pPr>
        <w:pStyle w:val="BodyCopy"/>
        <w:rPr>
          <w:rFonts w:ascii="Segoe UI" w:hAnsi="Segoe UI" w:cs="Segoe UI"/>
          <w:sz w:val="18"/>
          <w:szCs w:val="18"/>
          <w:lang w:eastAsia="en-AU"/>
        </w:rPr>
      </w:pPr>
      <w:r w:rsidRPr="4C54F3CE">
        <w:rPr>
          <w:lang w:eastAsia="en-AU"/>
        </w:rPr>
        <w:t>The Australia Awards GTF has found that there is a need to collect further data on the impact of short course modalities on the development and sustainability of partnerships between Australian host institutions and international partners. Evidence suggests that future iterations of Australia Awards fellowships will need to specifically generate a range of factors to strengthen the success of partnerships and enhance contribution to the Australia Awards intermediate and long-term development and cooperation outcomes. </w:t>
      </w:r>
    </w:p>
    <w:p w14:paraId="7A76BE3F" w14:textId="77777777" w:rsidR="00C92DDC" w:rsidRPr="00C92DDC" w:rsidRDefault="00C92DDC" w:rsidP="00C670C2">
      <w:pPr>
        <w:pStyle w:val="BodyCopy"/>
        <w:rPr>
          <w:rFonts w:ascii="Segoe UI" w:hAnsi="Segoe UI" w:cs="Segoe UI"/>
          <w:sz w:val="18"/>
          <w:szCs w:val="18"/>
          <w:lang w:eastAsia="en-AU"/>
        </w:rPr>
      </w:pPr>
      <w:r w:rsidRPr="00C92DDC">
        <w:rPr>
          <w:lang w:eastAsia="en-AU"/>
        </w:rPr>
        <w:t>Recommendations for future iterations of the Australia Awards fellowships: </w:t>
      </w:r>
    </w:p>
    <w:p w14:paraId="386D760A" w14:textId="77777777" w:rsidR="00C92DDC" w:rsidRPr="00C670C2" w:rsidRDefault="00C92DDC"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Embed</w:t>
      </w:r>
      <w:r w:rsidRPr="00C670C2">
        <w:rPr>
          <w:sz w:val="20"/>
          <w:szCs w:val="20"/>
          <w:lang w:eastAsia="en-AU"/>
        </w:rPr>
        <w:t xml:space="preserve"> long-term strategic partnering values in fellowship application criteria and program logic </w:t>
      </w:r>
    </w:p>
    <w:p w14:paraId="5A5640E9" w14:textId="77777777" w:rsidR="00C92DDC" w:rsidRPr="00C670C2" w:rsidRDefault="00C92DDC"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Create</w:t>
      </w:r>
      <w:r w:rsidRPr="00C670C2">
        <w:rPr>
          <w:sz w:val="20"/>
          <w:szCs w:val="20"/>
          <w:lang w:eastAsia="en-AU"/>
        </w:rPr>
        <w:t xml:space="preserve"> an</w:t>
      </w:r>
      <w:r w:rsidRPr="00C670C2">
        <w:rPr>
          <w:b/>
          <w:bCs/>
          <w:sz w:val="20"/>
          <w:szCs w:val="20"/>
          <w:lang w:eastAsia="en-AU"/>
        </w:rPr>
        <w:t xml:space="preserve"> </w:t>
      </w:r>
      <w:r w:rsidRPr="00C670C2">
        <w:rPr>
          <w:sz w:val="20"/>
          <w:szCs w:val="20"/>
          <w:lang w:eastAsia="en-AU"/>
        </w:rPr>
        <w:t>Expression of Interest (EOI) stage in the application process </w:t>
      </w:r>
    </w:p>
    <w:p w14:paraId="3A051E56" w14:textId="77777777" w:rsidR="00C92DDC" w:rsidRPr="00C670C2" w:rsidRDefault="00C92DDC"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Demonstrate</w:t>
      </w:r>
      <w:r w:rsidRPr="00C670C2">
        <w:rPr>
          <w:sz w:val="20"/>
          <w:szCs w:val="20"/>
          <w:lang w:eastAsia="en-AU"/>
        </w:rPr>
        <w:t xml:space="preserve"> a strategic partnership alliance in the proposal  </w:t>
      </w:r>
    </w:p>
    <w:p w14:paraId="71698E19" w14:textId="77777777" w:rsidR="00C92DDC" w:rsidRPr="00C670C2" w:rsidRDefault="00C92DDC"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 xml:space="preserve">Employ </w:t>
      </w:r>
      <w:r w:rsidRPr="00C670C2">
        <w:rPr>
          <w:sz w:val="20"/>
          <w:szCs w:val="20"/>
          <w:lang w:eastAsia="en-AU"/>
        </w:rPr>
        <w:t>a hybrid model of partnership engagement  </w:t>
      </w:r>
    </w:p>
    <w:p w14:paraId="797D5282" w14:textId="77777777" w:rsidR="00C92DDC" w:rsidRPr="00C670C2" w:rsidRDefault="00C92DDC"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Incentivise</w:t>
      </w:r>
      <w:r w:rsidRPr="00C670C2">
        <w:rPr>
          <w:sz w:val="20"/>
          <w:szCs w:val="20"/>
          <w:lang w:eastAsia="en-AU"/>
        </w:rPr>
        <w:t xml:space="preserve"> strategic long-term partnering for further funding  </w:t>
      </w:r>
    </w:p>
    <w:p w14:paraId="57D34820" w14:textId="42997A76" w:rsidR="00C92DDC" w:rsidRPr="00C670C2" w:rsidRDefault="18B3D960" w:rsidP="00657E60">
      <w:pPr>
        <w:pStyle w:val="ListParagraph"/>
        <w:numPr>
          <w:ilvl w:val="0"/>
          <w:numId w:val="6"/>
        </w:numPr>
        <w:spacing w:after="120" w:line="260" w:lineRule="exact"/>
        <w:ind w:left="357" w:hanging="357"/>
        <w:rPr>
          <w:rFonts w:ascii="Segoe UI" w:hAnsi="Segoe UI" w:cs="Segoe UI"/>
          <w:sz w:val="20"/>
          <w:szCs w:val="20"/>
          <w:lang w:eastAsia="en-AU"/>
        </w:rPr>
      </w:pPr>
      <w:r w:rsidRPr="00C670C2">
        <w:rPr>
          <w:b/>
          <w:bCs/>
          <w:sz w:val="20"/>
          <w:szCs w:val="20"/>
          <w:lang w:eastAsia="en-AU"/>
        </w:rPr>
        <w:t>Align</w:t>
      </w:r>
      <w:r w:rsidRPr="00C670C2">
        <w:rPr>
          <w:sz w:val="20"/>
          <w:szCs w:val="20"/>
          <w:lang w:eastAsia="en-AU"/>
        </w:rPr>
        <w:t xml:space="preserve"> fellowship outcomes to the Global M&amp;E framework  </w:t>
      </w:r>
    </w:p>
    <w:p w14:paraId="5F82DA0D" w14:textId="62581EE0" w:rsidR="00C92DDC" w:rsidRPr="00C670C2" w:rsidRDefault="18B3D960" w:rsidP="00657E60">
      <w:pPr>
        <w:pStyle w:val="ListParagraph"/>
        <w:numPr>
          <w:ilvl w:val="0"/>
          <w:numId w:val="6"/>
        </w:numPr>
        <w:spacing w:after="240" w:line="260" w:lineRule="exact"/>
        <w:ind w:left="357" w:hanging="357"/>
        <w:rPr>
          <w:rFonts w:ascii="Segoe UI" w:hAnsi="Segoe UI" w:cs="Segoe UI"/>
          <w:sz w:val="20"/>
          <w:szCs w:val="20"/>
          <w:lang w:eastAsia="en-AU"/>
        </w:rPr>
      </w:pPr>
      <w:r w:rsidRPr="00C670C2">
        <w:rPr>
          <w:b/>
          <w:bCs/>
          <w:sz w:val="20"/>
          <w:szCs w:val="20"/>
          <w:lang w:eastAsia="en-AU"/>
        </w:rPr>
        <w:t>Engage</w:t>
      </w:r>
      <w:r w:rsidRPr="00C670C2">
        <w:rPr>
          <w:sz w:val="20"/>
          <w:szCs w:val="20"/>
          <w:lang w:eastAsia="en-AU"/>
        </w:rPr>
        <w:t xml:space="preserve"> with host and partners post award.  </w:t>
      </w:r>
    </w:p>
    <w:p w14:paraId="618B0B55" w14:textId="77777777" w:rsidR="00C92DDC" w:rsidRPr="00CB40AA" w:rsidRDefault="00C92DDC" w:rsidP="007C083C">
      <w:pPr>
        <w:pStyle w:val="BodyCopy"/>
      </w:pPr>
    </w:p>
    <w:p w14:paraId="5EDB40A6" w14:textId="381EA506" w:rsidR="129E54B2" w:rsidRPr="00CB40AA" w:rsidRDefault="005F55D5" w:rsidP="00D11D1D">
      <w:pPr>
        <w:spacing w:before="0"/>
      </w:pPr>
      <w:r>
        <w:rPr>
          <w:noProof/>
          <w:lang w:eastAsia="en-AU"/>
        </w:rPr>
        <w:lastRenderedPageBreak/>
        <w:drawing>
          <wp:inline distT="0" distB="0" distL="0" distR="0" wp14:anchorId="391D80EB" wp14:editId="66862281">
            <wp:extent cx="6309360" cy="8926193"/>
            <wp:effectExtent l="0" t="0" r="0" b="8890"/>
            <wp:docPr id="5" name="Picture 5" descr="The SPCCB demonstrates the significant potential of partnerships cultivated by an Australia Awards fellowship&#10;to create a larger ripple effect for organisational change and capacity building. It is supporting capacity development &#10;of central bank staff through research collaboration and guidance by leading financial and economic experts in: &#10;• macroeconomics, &#10;• financial development and stability, and &#10;• economic resilience.&#10;Griffith University, Griffith Asia Insitute created the The South Pacific Centre for Central Banking, in collaboration with key partners: the Reserve Bank of Fiji (RBF), Reserve Bank of Vanuatu (RBV), Central Bank of Solomon Islands (CBSI), Bank of Papua New Guinea (BPNG) and Central Bank of Timor-Leste (BCTL).&#10;The SPCCB partnership has resulted in 20 research &#10;working papers and 7 journal articles; and a wide range of &#10;engagement activities including forums, conferences and &#10;workshops which are facilitating:&#10;• regional dialogue, &#10;• academic rigour, and &#10;• independent, evidence-based policymaking. &#10;&#10;The SPCCB partnership is making significant &#10;contributions to development at the micro (individual), &#10;meso (organisational) and macro (national and &#10;regional) levels.&#10;Micro/Individual Impacts&#10;• Improved research skills&#10;• Building researchers’ network&#10;• Access to regional and &#10; international patforms&#10;• Developing researcher profiles.&#10;Meso/Organisational Impacts&#10;• Regional research &#10; platform for multilateral&#10;• Organisational capacity &#10; and research culture&#10;• Inproved practices and &#10; institutional knowledge&#10;• International&#10; exposure and&#10; reputation.&#10;Macro/National and Regional Impacts&#10;• Regional research and policy formulation &#10; cooperation (COVID-19) pandemic and &#10; climate change&#10;• Visibility and reputation &#10; for central banks and &#10; Australian expertise&#10;• Contributing to &#10; public discourse.&#10; The SPCCB is helping to advance United Nation’s Sustainable Development Goals (SDGs) in the region with particular focus on SDGs on gender equailty (SDG 5), decent work and economic growth (SDG8), Reduced inequalities (SDG 10), Climare change (SDG 13), peace, justice and strong institutions (SDG16) and partnering for the goals (SDG17)." title="Infographic: The Ripple Effect of Fellowships: Organisational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Exemplar Partnership Case Study (SPCCB) v3.jpg"/>
                    <pic:cNvPicPr/>
                  </pic:nvPicPr>
                  <pic:blipFill>
                    <a:blip r:embed="rId14">
                      <a:extLst>
                        <a:ext uri="{28A0092B-C50C-407E-A947-70E740481C1C}">
                          <a14:useLocalDpi xmlns:a14="http://schemas.microsoft.com/office/drawing/2010/main" val="0"/>
                        </a:ext>
                      </a:extLst>
                    </a:blip>
                    <a:stretch>
                      <a:fillRect/>
                    </a:stretch>
                  </pic:blipFill>
                  <pic:spPr>
                    <a:xfrm>
                      <a:off x="0" y="0"/>
                      <a:ext cx="6324517" cy="8947637"/>
                    </a:xfrm>
                    <a:prstGeom prst="rect">
                      <a:avLst/>
                    </a:prstGeom>
                  </pic:spPr>
                </pic:pic>
              </a:graphicData>
            </a:graphic>
          </wp:inline>
        </w:drawing>
      </w:r>
    </w:p>
    <w:p w14:paraId="2DE59536" w14:textId="77777777" w:rsidR="00BF131E" w:rsidRPr="00EB7114" w:rsidRDefault="6F5786AB" w:rsidP="005464BA">
      <w:pPr>
        <w:pStyle w:val="Heading1"/>
      </w:pPr>
      <w:bookmarkStart w:id="20" w:name="_Toc53049916"/>
      <w:bookmarkStart w:id="21" w:name="_Toc57926090"/>
      <w:bookmarkStart w:id="22" w:name="_Toc87523869"/>
      <w:bookmarkStart w:id="23" w:name="_Toc91060391"/>
      <w:bookmarkStart w:id="24" w:name="_Toc103348721"/>
      <w:r w:rsidRPr="00EB7114">
        <w:lastRenderedPageBreak/>
        <w:t>Introduction</w:t>
      </w:r>
      <w:bookmarkEnd w:id="20"/>
      <w:bookmarkEnd w:id="21"/>
      <w:bookmarkEnd w:id="22"/>
      <w:bookmarkEnd w:id="23"/>
      <w:bookmarkEnd w:id="24"/>
    </w:p>
    <w:p w14:paraId="6B35AD03" w14:textId="40BFC985" w:rsidR="006F1252" w:rsidRPr="002240E0" w:rsidRDefault="006F1252" w:rsidP="00EB7114">
      <w:pPr>
        <w:pStyle w:val="BodyCopy"/>
        <w:rPr>
          <w:b/>
          <w:bCs/>
        </w:rPr>
      </w:pPr>
      <w:r w:rsidRPr="002240E0">
        <w:rPr>
          <w:b/>
          <w:bCs/>
        </w:rPr>
        <w:t>The Australia Awards fellowships</w:t>
      </w:r>
      <w:r w:rsidR="00EC20CA" w:rsidRPr="002240E0">
        <w:rPr>
          <w:b/>
          <w:bCs/>
        </w:rPr>
        <w:t xml:space="preserve"> (2006-2018)</w:t>
      </w:r>
      <w:r w:rsidRPr="002240E0">
        <w:rPr>
          <w:b/>
          <w:bCs/>
        </w:rPr>
        <w:t xml:space="preserve"> were a competitive grants program </w:t>
      </w:r>
      <w:r w:rsidR="00EC20CA" w:rsidRPr="002240E0">
        <w:rPr>
          <w:b/>
          <w:bCs/>
        </w:rPr>
        <w:t xml:space="preserve">designed </w:t>
      </w:r>
      <w:r w:rsidR="008D63C6" w:rsidRPr="002240E0">
        <w:rPr>
          <w:b/>
          <w:bCs/>
        </w:rPr>
        <w:t>to</w:t>
      </w:r>
      <w:r w:rsidRPr="002240E0">
        <w:rPr>
          <w:b/>
          <w:bCs/>
        </w:rPr>
        <w:t xml:space="preserve"> strengthen </w:t>
      </w:r>
      <w:r w:rsidR="008D63C6" w:rsidRPr="002240E0">
        <w:rPr>
          <w:b/>
          <w:bCs/>
        </w:rPr>
        <w:t xml:space="preserve">and deepen linkages and </w:t>
      </w:r>
      <w:r w:rsidRPr="002240E0">
        <w:rPr>
          <w:b/>
          <w:bCs/>
        </w:rPr>
        <w:t>partnerships</w:t>
      </w:r>
      <w:r w:rsidR="008D63C6" w:rsidRPr="002240E0">
        <w:rPr>
          <w:b/>
          <w:bCs/>
        </w:rPr>
        <w:t xml:space="preserve"> </w:t>
      </w:r>
      <w:r w:rsidRPr="002240E0">
        <w:rPr>
          <w:b/>
          <w:bCs/>
        </w:rPr>
        <w:t>between Australian organisations and counterpart</w:t>
      </w:r>
      <w:r w:rsidR="008D63C6" w:rsidRPr="002240E0">
        <w:rPr>
          <w:b/>
          <w:bCs/>
        </w:rPr>
        <w:t>s in developing countries through short-term study and professional development activities. F</w:t>
      </w:r>
      <w:r w:rsidR="007F64B6" w:rsidRPr="002240E0">
        <w:rPr>
          <w:b/>
          <w:bCs/>
        </w:rPr>
        <w:t>ellowship activities focused on the exchange of expertise, skills and knowledge, and</w:t>
      </w:r>
      <w:r w:rsidR="00C77729" w:rsidRPr="002240E0">
        <w:rPr>
          <w:b/>
          <w:bCs/>
        </w:rPr>
        <w:t xml:space="preserve"> the enhancement of professional</w:t>
      </w:r>
      <w:r w:rsidR="007F64B6" w:rsidRPr="002240E0">
        <w:rPr>
          <w:b/>
          <w:bCs/>
        </w:rPr>
        <w:t xml:space="preserve"> </w:t>
      </w:r>
      <w:r w:rsidR="00C77729" w:rsidRPr="002240E0">
        <w:rPr>
          <w:b/>
          <w:bCs/>
        </w:rPr>
        <w:t xml:space="preserve">networks. </w:t>
      </w:r>
      <w:r w:rsidR="007F64B6" w:rsidRPr="002240E0">
        <w:rPr>
          <w:b/>
          <w:bCs/>
        </w:rPr>
        <w:t xml:space="preserve">They </w:t>
      </w:r>
      <w:r w:rsidR="00EC20CA" w:rsidRPr="002240E0">
        <w:rPr>
          <w:b/>
          <w:bCs/>
        </w:rPr>
        <w:t xml:space="preserve">were </w:t>
      </w:r>
      <w:r w:rsidRPr="002240E0">
        <w:rPr>
          <w:b/>
          <w:bCs/>
        </w:rPr>
        <w:t>hosted in Australia</w:t>
      </w:r>
      <w:r w:rsidR="00C77729" w:rsidRPr="002240E0">
        <w:rPr>
          <w:b/>
          <w:bCs/>
        </w:rPr>
        <w:t>,</w:t>
      </w:r>
      <w:r w:rsidRPr="002240E0">
        <w:rPr>
          <w:b/>
          <w:bCs/>
        </w:rPr>
        <w:t xml:space="preserve"> and managed and administered by DFAT Canberra. Australian institutions applied to host fellowships</w:t>
      </w:r>
      <w:r w:rsidR="00C77729" w:rsidRPr="002240E0">
        <w:rPr>
          <w:b/>
          <w:bCs/>
        </w:rPr>
        <w:t xml:space="preserve"> in collaboration with their partners</w:t>
      </w:r>
      <w:r w:rsidRPr="002240E0">
        <w:rPr>
          <w:b/>
          <w:bCs/>
        </w:rPr>
        <w:t xml:space="preserve"> through a competitive grant process advertised bi-annually.</w:t>
      </w:r>
    </w:p>
    <w:p w14:paraId="36C1E27A" w14:textId="72A62D72" w:rsidR="006F1252" w:rsidRPr="00EB7114" w:rsidRDefault="006F1252" w:rsidP="00EB7114">
      <w:pPr>
        <w:pStyle w:val="BodyCopy"/>
      </w:pPr>
      <w:r w:rsidRPr="00EB7114">
        <w:t xml:space="preserve">This case study investigates the long-term impact of the professional networks and partnerships developed by two fellowships </w:t>
      </w:r>
      <w:r w:rsidR="00673DF9" w:rsidRPr="00EB7114">
        <w:t xml:space="preserve">designed to build research capacity among economists and researchers working in central bank policy formation within the Pacific. The fellowships were </w:t>
      </w:r>
      <w:r w:rsidRPr="00EB7114">
        <w:t>hosted by Griffith University in 2015 and 2018 and led to the establishment of the</w:t>
      </w:r>
      <w:r w:rsidR="00673DF9" w:rsidRPr="00EB7114">
        <w:t xml:space="preserve"> </w:t>
      </w:r>
      <w:r w:rsidRPr="00EB7114">
        <w:t>South Pacific Centre for Central Banking (SPCCB) in 2016</w:t>
      </w:r>
      <w:r w:rsidR="00673DF9" w:rsidRPr="00EB7114">
        <w:t xml:space="preserve">. This case study examines the </w:t>
      </w:r>
      <w:r w:rsidR="004D47F0" w:rsidRPr="00EB7114">
        <w:t xml:space="preserve">SPCCB as an </w:t>
      </w:r>
      <w:r w:rsidR="00673DF9" w:rsidRPr="00EB7114">
        <w:t xml:space="preserve">exemplar partnership, how it </w:t>
      </w:r>
      <w:r w:rsidR="004D47F0" w:rsidRPr="00EB7114">
        <w:t xml:space="preserve">developed and </w:t>
      </w:r>
      <w:r w:rsidR="00402CE1" w:rsidRPr="00EB7114">
        <w:t>is sustain</w:t>
      </w:r>
      <w:r w:rsidR="004D47F0" w:rsidRPr="00EB7114">
        <w:t xml:space="preserve">ed, </w:t>
      </w:r>
      <w:r w:rsidR="00673DF9" w:rsidRPr="00EB7114">
        <w:t>and the</w:t>
      </w:r>
      <w:r w:rsidR="006B3436" w:rsidRPr="00EB7114">
        <w:t xml:space="preserve"> </w:t>
      </w:r>
      <w:r w:rsidR="00673DF9" w:rsidRPr="00EB7114">
        <w:t>Australia Awards’ role in fostering long-term outcomes through institutional connections and people-to-people links.</w:t>
      </w:r>
    </w:p>
    <w:p w14:paraId="30BD2381" w14:textId="2E385EC3" w:rsidR="0007081B" w:rsidRPr="00EB7114" w:rsidRDefault="0007081B" w:rsidP="00EB7114">
      <w:pPr>
        <w:pStyle w:val="BodyCopy"/>
      </w:pPr>
      <w:r w:rsidRPr="00EB7114">
        <w:t xml:space="preserve">This analysis of fellowship outcomes is a new approach by the GTF in its data collection and exploration of the long-term program outcomes of the Australia Awards. Rather than individual alumni, the ‘unit of analysis’ </w:t>
      </w:r>
      <w:r w:rsidR="66EFB194" w:rsidRPr="00EB7114">
        <w:t>is the</w:t>
      </w:r>
      <w:r w:rsidRPr="00EB7114">
        <w:t xml:space="preserve"> organisations participating in the fellowship partnership (</w:t>
      </w:r>
      <w:r w:rsidR="66EFB194" w:rsidRPr="00EB7114">
        <w:t>the Australian host institution</w:t>
      </w:r>
      <w:r w:rsidRPr="00EB7114">
        <w:t xml:space="preserve"> and </w:t>
      </w:r>
      <w:r w:rsidR="66EFB194" w:rsidRPr="00EB7114">
        <w:t>the partner country organisations</w:t>
      </w:r>
      <w:r w:rsidRPr="00EB7114">
        <w:t xml:space="preserve">). </w:t>
      </w:r>
    </w:p>
    <w:p w14:paraId="3A222AA3" w14:textId="77777777" w:rsidR="00557160" w:rsidRPr="00EB7114" w:rsidRDefault="00557160" w:rsidP="00EB7114">
      <w:pPr>
        <w:pStyle w:val="Heading2"/>
      </w:pPr>
      <w:bookmarkStart w:id="25" w:name="_Toc103348722"/>
      <w:bookmarkStart w:id="26" w:name="_Toc91060393"/>
      <w:r w:rsidRPr="00EB7114">
        <w:t>Australia Awards Fellowships</w:t>
      </w:r>
      <w:bookmarkEnd w:id="25"/>
    </w:p>
    <w:p w14:paraId="4BC93480" w14:textId="1DAD910E" w:rsidR="00557160" w:rsidRPr="00EB7114" w:rsidRDefault="0030655A" w:rsidP="00EB7114">
      <w:pPr>
        <w:pStyle w:val="BodyCopy"/>
      </w:pPr>
      <w:r w:rsidRPr="00EB7114">
        <w:t>In 2015, Griffith University hosted the fellowship,</w:t>
      </w:r>
      <w:r w:rsidR="006B5F20" w:rsidRPr="00EB7114">
        <w:t xml:space="preserve"> ‘</w:t>
      </w:r>
      <w:r w:rsidR="001E11EC" w:rsidRPr="00EB7114">
        <w:t xml:space="preserve">Developing capacity for research and policy formulation at the Reserve Bank </w:t>
      </w:r>
      <w:r w:rsidR="006B5F20" w:rsidRPr="00EB7114">
        <w:t>(Fiji)’ at Griffith University’s Nathan campus</w:t>
      </w:r>
      <w:r w:rsidRPr="00EB7114">
        <w:t xml:space="preserve"> in Brisbane. </w:t>
      </w:r>
      <w:r w:rsidR="00673DF9" w:rsidRPr="00EB7114">
        <w:t xml:space="preserve">The course was designed to build the capacity of staff to conduct independent research to produce working papers for dissemination to a range of audiences, including academics, government departments and the public, to improve transparency and public discourse relating to Fiji’s national economic growth and development. </w:t>
      </w:r>
      <w:r w:rsidRPr="00EB7114">
        <w:t xml:space="preserve">The program ran </w:t>
      </w:r>
      <w:r w:rsidR="001E11EC" w:rsidRPr="00EB7114">
        <w:t>from 29 June to 10 July 2015</w:t>
      </w:r>
      <w:r w:rsidRPr="00EB7114">
        <w:t xml:space="preserve"> and </w:t>
      </w:r>
      <w:r w:rsidR="006B5F20" w:rsidRPr="00EB7114">
        <w:t xml:space="preserve">involved six staff </w:t>
      </w:r>
      <w:r w:rsidR="00557160" w:rsidRPr="00EB7114">
        <w:t xml:space="preserve">(three females and three males) </w:t>
      </w:r>
      <w:r w:rsidR="002F3538" w:rsidRPr="00EB7114">
        <w:t xml:space="preserve">from the RBF. </w:t>
      </w:r>
      <w:r w:rsidR="00557160" w:rsidRPr="00EB7114">
        <w:t>A series of Working Papers were produced in 2016 in response to the training.</w:t>
      </w:r>
    </w:p>
    <w:p w14:paraId="15984158" w14:textId="1AB41BE4" w:rsidR="006F1252" w:rsidRPr="00EB7114" w:rsidRDefault="003632AC" w:rsidP="00EB7114">
      <w:pPr>
        <w:pStyle w:val="BodyCopy"/>
      </w:pPr>
      <w:bookmarkStart w:id="27" w:name="_Toc100321686"/>
      <w:r w:rsidRPr="00EB7114">
        <w:t>In 2018, Griff</w:t>
      </w:r>
      <w:r w:rsidR="00E07044" w:rsidRPr="00EB7114">
        <w:t>ith University hosted a second P</w:t>
      </w:r>
      <w:r w:rsidRPr="00EB7114">
        <w:t>acific central banking fellowship, ‘</w:t>
      </w:r>
      <w:r w:rsidR="009B50D0" w:rsidRPr="00EB7114">
        <w:t xml:space="preserve">Developing Research and Policy Formulation Capacity at </w:t>
      </w:r>
      <w:r w:rsidR="00D66BE4" w:rsidRPr="00EB7114">
        <w:t xml:space="preserve">the </w:t>
      </w:r>
      <w:r w:rsidR="009B50D0" w:rsidRPr="00EB7114">
        <w:t>Central Banks (</w:t>
      </w:r>
      <w:r w:rsidR="00D66BE4" w:rsidRPr="00EB7114">
        <w:t>Pacific)</w:t>
      </w:r>
      <w:r w:rsidRPr="00EB7114">
        <w:t xml:space="preserve">’ from 8 to 26 January 2018. </w:t>
      </w:r>
      <w:r w:rsidR="00925B6A" w:rsidRPr="00EB7114">
        <w:t>It focused on developing evidence-based research skills for public dissemination.</w:t>
      </w:r>
      <w:r w:rsidR="00673DF9" w:rsidRPr="00EB7114">
        <w:t xml:space="preserve"> It was attended by four staff (two females and two males) from the Reserve Bank of Fiji and six staff (four females and two males) from the Reserve Bank of Vanuatu. </w:t>
      </w:r>
      <w:r w:rsidR="00925B6A" w:rsidRPr="00EB7114">
        <w:t>As part of the ‘Return to Work Plan’, the fellows produced several Working Papers supported by Griffith University academics,</w:t>
      </w:r>
      <w:r w:rsidR="00673DF9" w:rsidRPr="00EB7114">
        <w:t xml:space="preserve"> with</w:t>
      </w:r>
      <w:r w:rsidR="00925B6A" w:rsidRPr="00EB7114">
        <w:t xml:space="preserve"> alumni presenting their findings at a four day post-course event held 4 to 8 June 2018.</w:t>
      </w:r>
      <w:bookmarkEnd w:id="27"/>
    </w:p>
    <w:p w14:paraId="006C6DCE" w14:textId="609882EC" w:rsidR="2F25A6D2" w:rsidRPr="00CB40AA" w:rsidRDefault="627D24BF" w:rsidP="00EB7114">
      <w:pPr>
        <w:pStyle w:val="Heading2"/>
      </w:pPr>
      <w:bookmarkStart w:id="28" w:name="_Toc103348723"/>
      <w:r>
        <w:t>Objective</w:t>
      </w:r>
      <w:r w:rsidR="7EB58B35">
        <w:t>s</w:t>
      </w:r>
      <w:bookmarkEnd w:id="26"/>
      <w:bookmarkEnd w:id="28"/>
    </w:p>
    <w:p w14:paraId="1E8D140B" w14:textId="19D93E3B" w:rsidR="00D10F20" w:rsidRPr="00EB7114" w:rsidRDefault="71C20B62" w:rsidP="00EB7114">
      <w:pPr>
        <w:pStyle w:val="BodyCopy"/>
      </w:pPr>
      <w:r w:rsidRPr="00EB7114">
        <w:t>T</w:t>
      </w:r>
      <w:r w:rsidR="4B5C1197" w:rsidRPr="00EB7114">
        <w:t xml:space="preserve">his </w:t>
      </w:r>
      <w:r w:rsidRPr="00EB7114">
        <w:t xml:space="preserve">case </w:t>
      </w:r>
      <w:r w:rsidR="4B5C1197" w:rsidRPr="00EB7114">
        <w:t>study has been undertaken to increase the evidence and knowl</w:t>
      </w:r>
      <w:r w:rsidRPr="00EB7114">
        <w:t xml:space="preserve">edge around the development of an exemplar partnership between an Australian host institution and its partners. Following a pausing of the Australia Awards fellowships in 2018, the monitoring and evaluation of the long-term impact of the award in building institutional linkages is unknown. However, this pause provides an opportunity to reflect </w:t>
      </w:r>
      <w:r w:rsidRPr="00EB7114">
        <w:lastRenderedPageBreak/>
        <w:t>on an exemplar partnership to identify the factors which enabled its ongoing engagement and contributions to development.</w:t>
      </w:r>
    </w:p>
    <w:p w14:paraId="69425A2D" w14:textId="29766B30" w:rsidR="00D10F20" w:rsidRPr="00EB7114" w:rsidRDefault="4B5C1197" w:rsidP="00EB7114">
      <w:pPr>
        <w:pStyle w:val="BodyCopy"/>
      </w:pPr>
      <w:r w:rsidRPr="00EB7114">
        <w:t xml:space="preserve">The South Pacific Centre for Central Banking (SPCCB) which </w:t>
      </w:r>
      <w:r w:rsidR="00884F6A" w:rsidRPr="00EB7114">
        <w:t xml:space="preserve">is a partnership between </w:t>
      </w:r>
      <w:r w:rsidRPr="00EB7114">
        <w:t>Griffith University, and five Pacific central banks was identified for its ongoing engagement following two</w:t>
      </w:r>
      <w:r w:rsidR="71C20B62" w:rsidRPr="00EB7114">
        <w:t xml:space="preserve"> Australia Awards fellowships</w:t>
      </w:r>
      <w:r w:rsidRPr="00EB7114">
        <w:t>. The partnership is focused on collaborating to enhance research skills for evidenced-based policy formulation in the central banks.</w:t>
      </w:r>
    </w:p>
    <w:p w14:paraId="67FE9F29" w14:textId="55EFFEE0" w:rsidR="0A71E6AA" w:rsidRPr="00EB7114" w:rsidRDefault="259D4A98" w:rsidP="00EB7114">
      <w:pPr>
        <w:pStyle w:val="BodyCopy"/>
      </w:pPr>
      <w:r w:rsidRPr="00EB7114">
        <w:t>This case study examines the role of Australia Awards fellowships on t</w:t>
      </w:r>
      <w:r w:rsidR="002A6711" w:rsidRPr="00EB7114">
        <w:t>he development of the SPCCB</w:t>
      </w:r>
      <w:r w:rsidRPr="00EB7114">
        <w:t xml:space="preserve">. It aims to understand the development and sustainability of SPCCB to inform </w:t>
      </w:r>
      <w:r w:rsidR="00A1748C" w:rsidRPr="00EB7114">
        <w:t>DFAT about</w:t>
      </w:r>
      <w:r w:rsidRPr="00EB7114">
        <w:t xml:space="preserve"> the conditions of success when building long-lasting and meaningful partnerships through short course modalities.</w:t>
      </w:r>
    </w:p>
    <w:p w14:paraId="6A32D020" w14:textId="3222FD51" w:rsidR="00D10F20" w:rsidRPr="00EB7114" w:rsidRDefault="4B5C1197" w:rsidP="00EB7114">
      <w:pPr>
        <w:pStyle w:val="BodyCopy"/>
      </w:pPr>
      <w:r w:rsidRPr="00EB7114">
        <w:t>This case study seeks to answer three overarching research questions:</w:t>
      </w:r>
    </w:p>
    <w:p w14:paraId="7972BABE" w14:textId="2C2C046F" w:rsidR="0A71E6AA" w:rsidRPr="00EB7114" w:rsidRDefault="259D4A98" w:rsidP="00EB7114">
      <w:pPr>
        <w:pStyle w:val="ListNumber"/>
      </w:pPr>
      <w:r w:rsidRPr="00EB7114">
        <w:t>What were the key factors in the development of the SPCCB partnership?</w:t>
      </w:r>
    </w:p>
    <w:p w14:paraId="172CFBE5" w14:textId="2C929A48" w:rsidR="0A71E6AA" w:rsidRPr="00EB7114" w:rsidRDefault="259D4A98" w:rsidP="00EB7114">
      <w:pPr>
        <w:pStyle w:val="ListNumber"/>
      </w:pPr>
      <w:r w:rsidRPr="00EB7114">
        <w:t>What has been the impact of SPCCB on capacity development and cooperation for Australia and partner countries?</w:t>
      </w:r>
    </w:p>
    <w:p w14:paraId="01365C53" w14:textId="295B4F57" w:rsidR="0A71E6AA" w:rsidRPr="00EB7114" w:rsidRDefault="259D4A98" w:rsidP="00EB7114">
      <w:pPr>
        <w:pStyle w:val="ListNumber"/>
      </w:pPr>
      <w:r w:rsidRPr="00EB7114">
        <w:t>What recommendations based on the SPCCB partnership experience can help to inform future Australia Awards short course programming?</w:t>
      </w:r>
    </w:p>
    <w:p w14:paraId="534DB56F" w14:textId="603E2905" w:rsidR="00D10F20" w:rsidRPr="00EB7114" w:rsidRDefault="63207EA2" w:rsidP="00EB7114">
      <w:pPr>
        <w:pStyle w:val="BodyCopy"/>
      </w:pPr>
      <w:r w:rsidRPr="00EB7114">
        <w:t xml:space="preserve">In addition to the aims specific to this case study, all research conducted by </w:t>
      </w:r>
      <w:r w:rsidR="4A5F92C3" w:rsidRPr="00EB7114">
        <w:t xml:space="preserve">the </w:t>
      </w:r>
      <w:r w:rsidRPr="00EB7114">
        <w:t xml:space="preserve">GTF is framed within the overall objective of the Australia Awards: to ‘support partner countries to achieve their development goals through education and knowledge transfer, and to build enduring relationships with Australia that advance mutual interests.’ The two long-term program outcomes to achieve this aim are outlined in the </w:t>
      </w:r>
      <w:hyperlink r:id="rId15" w:history="1">
        <w:r w:rsidRPr="00EB7114">
          <w:rPr>
            <w:rStyle w:val="Hyperlink"/>
            <w:color w:val="auto"/>
            <w:u w:val="none"/>
          </w:rPr>
          <w:t>Australia Awards Global Policy Framework 2021-2024 and Australia Awards Global Monitoring and Evaluation Framework</w:t>
        </w:r>
      </w:hyperlink>
      <w:r w:rsidRPr="00EB7114">
        <w:t xml:space="preserve">. These are shown in </w:t>
      </w:r>
      <w:r w:rsidR="4B5C1197" w:rsidRPr="00EB7114">
        <w:fldChar w:fldCharType="begin"/>
      </w:r>
      <w:r w:rsidR="4B5C1197" w:rsidRPr="00EB7114">
        <w:instrText xml:space="preserve"> REF _Ref97115333 \h  \* MERGEFORMAT </w:instrText>
      </w:r>
      <w:r w:rsidR="4B5C1197" w:rsidRPr="00EB7114">
        <w:fldChar w:fldCharType="separate"/>
      </w:r>
      <w:r w:rsidR="001D6B4B" w:rsidRPr="00CB40AA">
        <w:t xml:space="preserve">Figure </w:t>
      </w:r>
      <w:r w:rsidR="001D6B4B">
        <w:t>2</w:t>
      </w:r>
      <w:r w:rsidR="4B5C1197" w:rsidRPr="00EB7114">
        <w:fldChar w:fldCharType="end"/>
      </w:r>
      <w:r w:rsidR="33637512" w:rsidRPr="00EB7114">
        <w:t xml:space="preserve"> </w:t>
      </w:r>
      <w:r w:rsidRPr="00EB7114">
        <w:t xml:space="preserve">below along with three Intermediate Outcomes, which are building blocks to the achievement of </w:t>
      </w:r>
      <w:r w:rsidR="73E023D2" w:rsidRPr="00EB7114">
        <w:t>l</w:t>
      </w:r>
      <w:r w:rsidRPr="00EB7114">
        <w:t xml:space="preserve">ong-term </w:t>
      </w:r>
      <w:r w:rsidR="73E023D2" w:rsidRPr="00EB7114">
        <w:t xml:space="preserve">Program </w:t>
      </w:r>
      <w:r w:rsidRPr="00EB7114">
        <w:t>Outcomes.</w:t>
      </w:r>
    </w:p>
    <w:p w14:paraId="58086D4E" w14:textId="363E8D84" w:rsidR="00EF524D" w:rsidRDefault="00EF524D" w:rsidP="002240E0">
      <w:pPr>
        <w:pStyle w:val="Figure"/>
      </w:pPr>
      <w:bookmarkStart w:id="29" w:name="_Ref97115333"/>
      <w:r w:rsidRPr="00CB40AA">
        <w:t xml:space="preserve">Figure </w:t>
      </w:r>
      <w:r w:rsidR="00450AE6" w:rsidRPr="00CB40AA">
        <w:rPr>
          <w:color w:val="2B579A"/>
          <w:shd w:val="clear" w:color="auto" w:fill="E6E6E6"/>
        </w:rPr>
        <w:fldChar w:fldCharType="begin"/>
      </w:r>
      <w:r w:rsidR="00450AE6" w:rsidRPr="00CB40AA">
        <w:instrText xml:space="preserve"> SEQ Figure \* ARABIC </w:instrText>
      </w:r>
      <w:r w:rsidR="00450AE6" w:rsidRPr="00CB40AA">
        <w:rPr>
          <w:color w:val="2B579A"/>
          <w:shd w:val="clear" w:color="auto" w:fill="E6E6E6"/>
        </w:rPr>
        <w:fldChar w:fldCharType="separate"/>
      </w:r>
      <w:r w:rsidR="001D6B4B">
        <w:rPr>
          <w:noProof/>
        </w:rPr>
        <w:t>2</w:t>
      </w:r>
      <w:r w:rsidR="00450AE6" w:rsidRPr="00CB40AA">
        <w:rPr>
          <w:noProof/>
          <w:color w:val="2B579A"/>
          <w:shd w:val="clear" w:color="auto" w:fill="E6E6E6"/>
        </w:rPr>
        <w:fldChar w:fldCharType="end"/>
      </w:r>
      <w:bookmarkEnd w:id="29"/>
      <w:r w:rsidRPr="00CB40AA">
        <w:t xml:space="preserve">: Australia Awards </w:t>
      </w:r>
      <w:r w:rsidRPr="00EB7114">
        <w:t>Program</w:t>
      </w:r>
      <w:r w:rsidRPr="00CB40AA">
        <w:t xml:space="preserve"> Logic</w:t>
      </w:r>
    </w:p>
    <w:tbl>
      <w:tblPr>
        <w:tblStyle w:val="TableGrid"/>
        <w:tblW w:w="4994" w:type="pct"/>
        <w:tblLook w:val="04A0" w:firstRow="1" w:lastRow="0" w:firstColumn="1" w:lastColumn="0" w:noHBand="0" w:noVBand="1"/>
      </w:tblPr>
      <w:tblGrid>
        <w:gridCol w:w="3115"/>
        <w:gridCol w:w="1559"/>
        <w:gridCol w:w="1556"/>
        <w:gridCol w:w="3119"/>
      </w:tblGrid>
      <w:tr w:rsidR="005878D8" w14:paraId="7859185D" w14:textId="77777777" w:rsidTr="005878D8">
        <w:trPr>
          <w:trHeight w:val="94"/>
        </w:trPr>
        <w:tc>
          <w:tcPr>
            <w:tcW w:w="5000" w:type="pct"/>
            <w:gridSpan w:val="4"/>
            <w:tcBorders>
              <w:left w:val="nil"/>
              <w:right w:val="nil"/>
            </w:tcBorders>
            <w:shd w:val="pct10" w:color="auto" w:fill="auto"/>
            <w:tcMar>
              <w:top w:w="94" w:type="dxa"/>
              <w:left w:w="94" w:type="dxa"/>
              <w:bottom w:w="94" w:type="dxa"/>
              <w:right w:w="94" w:type="dxa"/>
            </w:tcMar>
          </w:tcPr>
          <w:p w14:paraId="0286618D" w14:textId="38C425F2" w:rsidR="005878D8" w:rsidRPr="005878D8" w:rsidRDefault="005878D8" w:rsidP="005878D8">
            <w:pPr>
              <w:pStyle w:val="BodyCopy"/>
              <w:adjustRightInd w:val="0"/>
              <w:spacing w:after="0"/>
              <w:jc w:val="center"/>
              <w:rPr>
                <w:b/>
                <w:bCs/>
                <w:color w:val="000000" w:themeColor="text1"/>
              </w:rPr>
            </w:pPr>
            <w:r w:rsidRPr="005878D8">
              <w:rPr>
                <w:b/>
                <w:bCs/>
                <w:color w:val="000000" w:themeColor="text1"/>
              </w:rPr>
              <w:t>Goal</w:t>
            </w:r>
          </w:p>
        </w:tc>
      </w:tr>
      <w:tr w:rsidR="005878D8" w14:paraId="1FDC80B1" w14:textId="77777777" w:rsidTr="005878D8">
        <w:trPr>
          <w:trHeight w:val="94"/>
        </w:trPr>
        <w:tc>
          <w:tcPr>
            <w:tcW w:w="5000" w:type="pct"/>
            <w:gridSpan w:val="4"/>
            <w:tcBorders>
              <w:left w:val="nil"/>
              <w:bottom w:val="single" w:sz="4" w:space="0" w:color="auto"/>
              <w:right w:val="nil"/>
            </w:tcBorders>
            <w:shd w:val="clear" w:color="auto" w:fill="auto"/>
            <w:tcMar>
              <w:top w:w="94" w:type="dxa"/>
              <w:left w:w="94" w:type="dxa"/>
              <w:bottom w:w="94" w:type="dxa"/>
              <w:right w:w="94" w:type="dxa"/>
            </w:tcMar>
          </w:tcPr>
          <w:p w14:paraId="0D08A632" w14:textId="42DA2DBF" w:rsidR="005878D8" w:rsidRPr="005878D8" w:rsidRDefault="005878D8" w:rsidP="005878D8">
            <w:pPr>
              <w:pStyle w:val="BodyCopy"/>
              <w:adjustRightInd w:val="0"/>
              <w:jc w:val="center"/>
              <w:rPr>
                <w:color w:val="000000" w:themeColor="text1"/>
              </w:rPr>
            </w:pPr>
            <w:r w:rsidRPr="005878D8">
              <w:rPr>
                <w:color w:val="000000" w:themeColor="text1"/>
              </w:rPr>
              <w:t>To support partner countries to achieve their development goals through education and knowledge transfer and to build enduring relationships with Australia that advance mutual interests</w:t>
            </w:r>
          </w:p>
        </w:tc>
      </w:tr>
      <w:tr w:rsidR="005878D8" w14:paraId="1B66A31C" w14:textId="77777777" w:rsidTr="005878D8">
        <w:trPr>
          <w:trHeight w:val="94"/>
        </w:trPr>
        <w:tc>
          <w:tcPr>
            <w:tcW w:w="5000" w:type="pct"/>
            <w:gridSpan w:val="4"/>
            <w:tcBorders>
              <w:left w:val="nil"/>
              <w:right w:val="nil"/>
            </w:tcBorders>
            <w:shd w:val="pct10" w:color="auto" w:fill="auto"/>
            <w:tcMar>
              <w:top w:w="94" w:type="dxa"/>
              <w:left w:w="94" w:type="dxa"/>
              <w:bottom w:w="94" w:type="dxa"/>
              <w:right w:w="94" w:type="dxa"/>
            </w:tcMar>
          </w:tcPr>
          <w:p w14:paraId="6941C670" w14:textId="77777777" w:rsidR="005878D8" w:rsidRPr="005878D8" w:rsidRDefault="005878D8" w:rsidP="005878D8">
            <w:pPr>
              <w:pStyle w:val="BodyCopy"/>
              <w:adjustRightInd w:val="0"/>
              <w:spacing w:after="0"/>
              <w:jc w:val="center"/>
              <w:rPr>
                <w:b/>
                <w:bCs/>
                <w:color w:val="000000" w:themeColor="text1"/>
              </w:rPr>
            </w:pPr>
            <w:r w:rsidRPr="005878D8">
              <w:rPr>
                <w:b/>
                <w:bCs/>
                <w:color w:val="000000" w:themeColor="text1"/>
              </w:rPr>
              <w:t>Program Outcomes</w:t>
            </w:r>
          </w:p>
        </w:tc>
      </w:tr>
      <w:tr w:rsidR="005878D8" w14:paraId="254A3886" w14:textId="77777777" w:rsidTr="005878D8">
        <w:trPr>
          <w:trHeight w:val="94"/>
        </w:trPr>
        <w:tc>
          <w:tcPr>
            <w:tcW w:w="2500" w:type="pct"/>
            <w:gridSpan w:val="2"/>
            <w:tcBorders>
              <w:left w:val="nil"/>
              <w:bottom w:val="single" w:sz="4" w:space="0" w:color="auto"/>
            </w:tcBorders>
            <w:shd w:val="clear" w:color="auto" w:fill="auto"/>
            <w:tcMar>
              <w:top w:w="94" w:type="dxa"/>
              <w:left w:w="94" w:type="dxa"/>
              <w:bottom w:w="94" w:type="dxa"/>
              <w:right w:w="94" w:type="dxa"/>
            </w:tcMar>
          </w:tcPr>
          <w:p w14:paraId="4B8C3CA4" w14:textId="77777777" w:rsidR="005878D8" w:rsidRPr="005878D8" w:rsidRDefault="005878D8" w:rsidP="005878D8">
            <w:pPr>
              <w:pStyle w:val="BodyCopy"/>
              <w:adjustRightInd w:val="0"/>
              <w:jc w:val="center"/>
              <w:rPr>
                <w:color w:val="000000" w:themeColor="text1"/>
              </w:rPr>
            </w:pPr>
            <w:r w:rsidRPr="005878D8">
              <w:rPr>
                <w:color w:val="000000" w:themeColor="text1"/>
              </w:rPr>
              <w:t>1. Alumni use their skills, knowledge</w:t>
            </w:r>
            <w:r w:rsidRPr="005878D8">
              <w:rPr>
                <w:color w:val="000000" w:themeColor="text1"/>
              </w:rPr>
              <w:br/>
              <w:t xml:space="preserve">and networks to contribute to </w:t>
            </w:r>
            <w:r w:rsidRPr="005878D8">
              <w:rPr>
                <w:color w:val="000000" w:themeColor="text1"/>
              </w:rPr>
              <w:br/>
              <w:t>sustainable development</w:t>
            </w:r>
          </w:p>
        </w:tc>
        <w:tc>
          <w:tcPr>
            <w:tcW w:w="2500" w:type="pct"/>
            <w:gridSpan w:val="2"/>
            <w:tcBorders>
              <w:bottom w:val="single" w:sz="4" w:space="0" w:color="auto"/>
              <w:right w:val="nil"/>
            </w:tcBorders>
            <w:shd w:val="clear" w:color="auto" w:fill="auto"/>
            <w:tcMar>
              <w:top w:w="94" w:type="dxa"/>
              <w:left w:w="94" w:type="dxa"/>
              <w:bottom w:w="94" w:type="dxa"/>
              <w:right w:w="94" w:type="dxa"/>
            </w:tcMar>
          </w:tcPr>
          <w:p w14:paraId="5DFF46C1" w14:textId="77777777" w:rsidR="005878D8" w:rsidRPr="005878D8" w:rsidRDefault="005878D8" w:rsidP="005878D8">
            <w:pPr>
              <w:pStyle w:val="BodyCopy"/>
              <w:adjustRightInd w:val="0"/>
              <w:jc w:val="center"/>
              <w:rPr>
                <w:color w:val="000000" w:themeColor="text1"/>
              </w:rPr>
            </w:pPr>
            <w:r w:rsidRPr="005878D8">
              <w:rPr>
                <w:color w:val="000000" w:themeColor="text1"/>
              </w:rPr>
              <w:t xml:space="preserve">2. Alumni contributes to cooperation </w:t>
            </w:r>
            <w:r w:rsidRPr="005878D8">
              <w:rPr>
                <w:color w:val="000000" w:themeColor="text1"/>
              </w:rPr>
              <w:br/>
              <w:t>between Australia and partner countries.</w:t>
            </w:r>
          </w:p>
        </w:tc>
      </w:tr>
      <w:tr w:rsidR="005878D8" w14:paraId="3345B6C9" w14:textId="77777777" w:rsidTr="005878D8">
        <w:trPr>
          <w:trHeight w:val="94"/>
        </w:trPr>
        <w:tc>
          <w:tcPr>
            <w:tcW w:w="5000" w:type="pct"/>
            <w:gridSpan w:val="4"/>
            <w:tcBorders>
              <w:left w:val="nil"/>
              <w:right w:val="nil"/>
            </w:tcBorders>
            <w:shd w:val="pct10" w:color="auto" w:fill="auto"/>
            <w:tcMar>
              <w:top w:w="94" w:type="dxa"/>
              <w:left w:w="94" w:type="dxa"/>
              <w:bottom w:w="94" w:type="dxa"/>
              <w:right w:w="94" w:type="dxa"/>
            </w:tcMar>
          </w:tcPr>
          <w:p w14:paraId="2B67416D" w14:textId="147E4D02" w:rsidR="005878D8" w:rsidRPr="005878D8" w:rsidRDefault="005878D8" w:rsidP="005878D8">
            <w:pPr>
              <w:pStyle w:val="BodyCopy"/>
              <w:adjustRightInd w:val="0"/>
              <w:spacing w:after="0"/>
              <w:jc w:val="center"/>
              <w:rPr>
                <w:b/>
                <w:bCs/>
                <w:color w:val="000000" w:themeColor="text1"/>
              </w:rPr>
            </w:pPr>
            <w:r w:rsidRPr="005878D8">
              <w:rPr>
                <w:b/>
                <w:bCs/>
                <w:color w:val="000000" w:themeColor="text1"/>
              </w:rPr>
              <w:t>Intermediate outcomes</w:t>
            </w:r>
          </w:p>
        </w:tc>
      </w:tr>
      <w:tr w:rsidR="005878D8" w14:paraId="59A33669" w14:textId="77777777" w:rsidTr="005878D8">
        <w:trPr>
          <w:trHeight w:val="674"/>
        </w:trPr>
        <w:tc>
          <w:tcPr>
            <w:tcW w:w="1666" w:type="pct"/>
            <w:tcBorders>
              <w:left w:val="nil"/>
            </w:tcBorders>
            <w:shd w:val="clear" w:color="auto" w:fill="auto"/>
            <w:tcMar>
              <w:top w:w="94" w:type="dxa"/>
              <w:left w:w="94" w:type="dxa"/>
              <w:bottom w:w="94" w:type="dxa"/>
              <w:right w:w="94" w:type="dxa"/>
            </w:tcMar>
          </w:tcPr>
          <w:p w14:paraId="2827284A" w14:textId="3848A17A" w:rsidR="005878D8" w:rsidRPr="005878D8" w:rsidRDefault="005878D8" w:rsidP="005878D8">
            <w:pPr>
              <w:pStyle w:val="AATableBodyAATable"/>
              <w:spacing w:after="120" w:line="240" w:lineRule="auto"/>
              <w:jc w:val="center"/>
              <w:rPr>
                <w:rFonts w:ascii="Arial" w:hAnsi="Arial" w:cs="Arial"/>
                <w:color w:val="000000" w:themeColor="text1"/>
                <w:sz w:val="20"/>
                <w:szCs w:val="20"/>
              </w:rPr>
            </w:pPr>
            <w:r w:rsidRPr="005878D8">
              <w:rPr>
                <w:rFonts w:ascii="Arial" w:hAnsi="Arial" w:cs="Arial"/>
                <w:color w:val="000000" w:themeColor="text1"/>
                <w:sz w:val="20"/>
                <w:szCs w:val="20"/>
              </w:rPr>
              <w:t>Alumni have necessary skills and knowledge to contribute to development.</w:t>
            </w:r>
          </w:p>
        </w:tc>
        <w:tc>
          <w:tcPr>
            <w:tcW w:w="1666" w:type="pct"/>
            <w:gridSpan w:val="2"/>
            <w:tcBorders>
              <w:left w:val="nil"/>
            </w:tcBorders>
            <w:shd w:val="clear" w:color="auto" w:fill="auto"/>
          </w:tcPr>
          <w:p w14:paraId="01415A4E" w14:textId="2A141F41" w:rsidR="005878D8" w:rsidRPr="005878D8" w:rsidRDefault="005878D8" w:rsidP="005878D8">
            <w:pPr>
              <w:pStyle w:val="AATableBodyAATable"/>
              <w:spacing w:after="120" w:line="240" w:lineRule="auto"/>
              <w:jc w:val="center"/>
              <w:rPr>
                <w:rFonts w:ascii="Arial" w:hAnsi="Arial" w:cs="Arial"/>
                <w:color w:val="000000" w:themeColor="text1"/>
                <w:sz w:val="20"/>
                <w:szCs w:val="20"/>
              </w:rPr>
            </w:pPr>
            <w:r w:rsidRPr="005878D8">
              <w:rPr>
                <w:rFonts w:ascii="Arial" w:hAnsi="Arial" w:cs="Arial"/>
                <w:color w:val="000000" w:themeColor="text1"/>
                <w:sz w:val="20"/>
                <w:szCs w:val="20"/>
              </w:rPr>
              <w:t>Alumni have relevant and useful networks and relationships.</w:t>
            </w:r>
          </w:p>
        </w:tc>
        <w:tc>
          <w:tcPr>
            <w:tcW w:w="1668" w:type="pct"/>
            <w:tcBorders>
              <w:left w:val="nil"/>
            </w:tcBorders>
            <w:shd w:val="clear" w:color="auto" w:fill="auto"/>
          </w:tcPr>
          <w:p w14:paraId="1481FBBD" w14:textId="60FFDA27" w:rsidR="005878D8" w:rsidRPr="005878D8" w:rsidRDefault="005878D8" w:rsidP="005878D8">
            <w:pPr>
              <w:pStyle w:val="AATableBodyAATable"/>
              <w:spacing w:after="120" w:line="240" w:lineRule="auto"/>
              <w:jc w:val="center"/>
              <w:rPr>
                <w:rFonts w:ascii="Arial" w:hAnsi="Arial" w:cs="Arial"/>
                <w:color w:val="000000" w:themeColor="text1"/>
                <w:sz w:val="20"/>
                <w:szCs w:val="20"/>
              </w:rPr>
            </w:pPr>
            <w:r w:rsidRPr="005878D8">
              <w:rPr>
                <w:rFonts w:ascii="Arial" w:hAnsi="Arial" w:cs="Arial"/>
                <w:color w:val="000000" w:themeColor="text1"/>
                <w:sz w:val="20"/>
                <w:szCs w:val="20"/>
              </w:rPr>
              <w:t>Alumni view Australia, Australians, and Australian expertise positively.</w:t>
            </w:r>
          </w:p>
        </w:tc>
      </w:tr>
    </w:tbl>
    <w:p w14:paraId="7C07624E" w14:textId="2C36F57E" w:rsidR="25980A7D" w:rsidRPr="00CB40AA" w:rsidRDefault="5FA35C0D" w:rsidP="00EB7114">
      <w:pPr>
        <w:pStyle w:val="Heading2"/>
      </w:pPr>
      <w:bookmarkStart w:id="30" w:name="_Toc103348724"/>
      <w:r>
        <w:lastRenderedPageBreak/>
        <w:t>Scope</w:t>
      </w:r>
      <w:bookmarkEnd w:id="30"/>
    </w:p>
    <w:p w14:paraId="64C7474C" w14:textId="023847B0" w:rsidR="00627E8F" w:rsidRPr="00EB7114" w:rsidRDefault="39DA9BCF" w:rsidP="00EB7114">
      <w:pPr>
        <w:pStyle w:val="BodyCopy"/>
      </w:pPr>
      <w:r w:rsidRPr="00EB7114">
        <w:t>This case study examines the role of Australia Awards fellowships on the development of SPCCB. It aims to understand the development and sustainability of SPCCB to</w:t>
      </w:r>
      <w:r w:rsidR="00B135A6" w:rsidRPr="00EB7114">
        <w:t xml:space="preserve"> inform the Global Education and Scholarships Section (GLE) on </w:t>
      </w:r>
      <w:r w:rsidRPr="00EB7114">
        <w:t>conditions for success when building long-lasting and meaningful partnerships through short course modalities. The case study focuses on one partnership; however, the findings can be broadly applied to understanding the organisation-level outcomes of the Australia Awards fellowships. Further research on this topic will benefit understanding of the intended and unintended outcomes of these awards.</w:t>
      </w:r>
    </w:p>
    <w:p w14:paraId="1F895795" w14:textId="04778C49" w:rsidR="00E26E08" w:rsidRPr="00CB40AA" w:rsidRDefault="2B362B19" w:rsidP="00EB7114">
      <w:pPr>
        <w:pStyle w:val="Heading2"/>
      </w:pPr>
      <w:bookmarkStart w:id="31" w:name="_Toc103348725"/>
      <w:r>
        <w:t>Case study participants</w:t>
      </w:r>
      <w:bookmarkEnd w:id="31"/>
      <w:r>
        <w:t xml:space="preserve"> </w:t>
      </w:r>
    </w:p>
    <w:p w14:paraId="51F1D537" w14:textId="54896CCF" w:rsidR="00786AA9" w:rsidRPr="00863FA1" w:rsidRDefault="6205A58B" w:rsidP="00863FA1">
      <w:pPr>
        <w:pStyle w:val="BodyCopy"/>
      </w:pPr>
      <w:r w:rsidRPr="00863FA1">
        <w:t xml:space="preserve">This case study undertook </w:t>
      </w:r>
      <w:r w:rsidR="0F51BB0F" w:rsidRPr="00863FA1">
        <w:t xml:space="preserve">a mixture of focus groups and individual interviews. A total of ten stakeholders were interviewed about their involvement in the development and sustainability of the SPCCB. The main stakeholders include five representatives </w:t>
      </w:r>
      <w:r w:rsidR="3D86F5B9" w:rsidRPr="00863FA1">
        <w:t xml:space="preserve">from the Australian </w:t>
      </w:r>
      <w:r w:rsidRPr="00863FA1">
        <w:t>host organisation</w:t>
      </w:r>
      <w:r w:rsidR="3D86F5B9" w:rsidRPr="00863FA1">
        <w:t xml:space="preserve">- Griffith University, </w:t>
      </w:r>
      <w:r w:rsidR="0F51BB0F" w:rsidRPr="00863FA1">
        <w:t>three staff from the Reserve Bank of Fiji and two staff from the Central Bank of the Solomon Islands.</w:t>
      </w:r>
      <w:r w:rsidR="2205E67D" w:rsidRPr="00863FA1">
        <w:t xml:space="preserve"> </w:t>
      </w:r>
      <w:r w:rsidR="00CB59B2" w:rsidRPr="00863FA1">
        <w:t>A</w:t>
      </w:r>
      <w:r w:rsidR="003503BD" w:rsidRPr="00863FA1">
        <w:t>dditional</w:t>
      </w:r>
      <w:r w:rsidR="00CB59B2" w:rsidRPr="00863FA1">
        <w:t xml:space="preserve"> data was collected from publicly available news items on the SPCCB, and reflections made by central bank Governors. </w:t>
      </w:r>
      <w:r w:rsidR="008A0B75" w:rsidRPr="00863FA1">
        <w:rPr>
          <w:rStyle w:val="normaltextrun"/>
        </w:rPr>
        <w:t>Details relating to key SPCCB interview participants are included below</w:t>
      </w:r>
      <w:r w:rsidR="608C32E1" w:rsidRPr="00863FA1">
        <w:rPr>
          <w:rStyle w:val="normaltextrun"/>
        </w:rPr>
        <w:t>. </w:t>
      </w:r>
    </w:p>
    <w:p w14:paraId="397127AF" w14:textId="777D20A4" w:rsidR="035F4C48" w:rsidRPr="006770C1" w:rsidRDefault="006770C1" w:rsidP="00EB7114">
      <w:pPr>
        <w:pStyle w:val="Figure"/>
        <w:rPr>
          <w:rStyle w:val="normaltextrun"/>
        </w:rPr>
      </w:pPr>
      <w:r w:rsidRPr="006770C1">
        <w:t xml:space="preserve">Table </w:t>
      </w:r>
      <w:r w:rsidRPr="006770C1">
        <w:rPr>
          <w:color w:val="2B579A"/>
          <w:shd w:val="clear" w:color="auto" w:fill="E6E6E6"/>
        </w:rPr>
        <w:fldChar w:fldCharType="begin"/>
      </w:r>
      <w:r w:rsidRPr="006770C1">
        <w:instrText xml:space="preserve"> SEQ Table \* ARABIC </w:instrText>
      </w:r>
      <w:r w:rsidRPr="006770C1">
        <w:rPr>
          <w:color w:val="2B579A"/>
          <w:shd w:val="clear" w:color="auto" w:fill="E6E6E6"/>
        </w:rPr>
        <w:fldChar w:fldCharType="separate"/>
      </w:r>
      <w:r w:rsidR="001D6B4B">
        <w:rPr>
          <w:noProof/>
        </w:rPr>
        <w:t>1</w:t>
      </w:r>
      <w:r w:rsidRPr="006770C1">
        <w:rPr>
          <w:color w:val="2B579A"/>
          <w:shd w:val="clear" w:color="auto" w:fill="E6E6E6"/>
        </w:rPr>
        <w:fldChar w:fldCharType="end"/>
      </w:r>
      <w:r w:rsidR="035F4C48" w:rsidRPr="006770C1">
        <w:rPr>
          <w:rStyle w:val="normaltextrun"/>
        </w:rPr>
        <w:t xml:space="preserve">: </w:t>
      </w:r>
      <w:r w:rsidR="5FFD5C2F" w:rsidRPr="006770C1">
        <w:rPr>
          <w:rStyle w:val="normaltextrun"/>
        </w:rPr>
        <w:t>Australian host organisation – Griffith University participants</w:t>
      </w:r>
    </w:p>
    <w:tbl>
      <w:tblPr>
        <w:tblStyle w:val="TableGrid"/>
        <w:tblW w:w="9351" w:type="dxa"/>
        <w:tblLayout w:type="fixed"/>
        <w:tblCellMar>
          <w:top w:w="108" w:type="dxa"/>
          <w:bottom w:w="108" w:type="dxa"/>
        </w:tblCellMar>
        <w:tblLook w:val="06A0" w:firstRow="1" w:lastRow="0" w:firstColumn="1" w:lastColumn="0" w:noHBand="1" w:noVBand="1"/>
      </w:tblPr>
      <w:tblGrid>
        <w:gridCol w:w="2263"/>
        <w:gridCol w:w="7088"/>
      </w:tblGrid>
      <w:tr w:rsidR="00CD7B23" w:rsidRPr="00F66D91" w14:paraId="3F159E6E" w14:textId="77777777" w:rsidTr="002240E0">
        <w:tc>
          <w:tcPr>
            <w:tcW w:w="2263" w:type="dxa"/>
            <w:shd w:val="clear" w:color="auto" w:fill="auto"/>
          </w:tcPr>
          <w:p w14:paraId="2F07BE5C" w14:textId="2F445B5C" w:rsidR="00CD7B23" w:rsidRPr="00F66D91" w:rsidRDefault="00CD7B23" w:rsidP="00F66D91">
            <w:pPr>
              <w:pStyle w:val="Tabletext"/>
              <w:rPr>
                <w:rStyle w:val="normaltextrun"/>
                <w:b/>
                <w:bCs/>
              </w:rPr>
            </w:pPr>
            <w:r w:rsidRPr="00F66D91">
              <w:rPr>
                <w:rStyle w:val="normaltextrun"/>
                <w:b/>
                <w:bCs/>
              </w:rPr>
              <w:t xml:space="preserve">Name </w:t>
            </w:r>
          </w:p>
        </w:tc>
        <w:tc>
          <w:tcPr>
            <w:tcW w:w="7088" w:type="dxa"/>
            <w:shd w:val="clear" w:color="auto" w:fill="auto"/>
          </w:tcPr>
          <w:p w14:paraId="5D969E0C" w14:textId="4D16325C" w:rsidR="00CD7B23" w:rsidRPr="00F66D91" w:rsidRDefault="00CD7B23" w:rsidP="00F66D91">
            <w:pPr>
              <w:pStyle w:val="Tabletext"/>
              <w:rPr>
                <w:rStyle w:val="normaltextrun"/>
                <w:b/>
                <w:bCs/>
              </w:rPr>
            </w:pPr>
            <w:r w:rsidRPr="00F66D91">
              <w:rPr>
                <w:rStyle w:val="normaltextrun"/>
                <w:b/>
                <w:bCs/>
              </w:rPr>
              <w:t>Current position</w:t>
            </w:r>
          </w:p>
        </w:tc>
      </w:tr>
      <w:tr w:rsidR="00CD7B23" w:rsidRPr="00F66D91" w14:paraId="354D6C7D" w14:textId="77777777" w:rsidTr="002240E0">
        <w:tc>
          <w:tcPr>
            <w:tcW w:w="2263" w:type="dxa"/>
            <w:shd w:val="clear" w:color="auto" w:fill="auto"/>
          </w:tcPr>
          <w:p w14:paraId="3D0CB808" w14:textId="391F9538" w:rsidR="00CD7B23" w:rsidRPr="00F66D91" w:rsidRDefault="00CD7B23" w:rsidP="00F66D91">
            <w:pPr>
              <w:pStyle w:val="Tabletext"/>
              <w:rPr>
                <w:rStyle w:val="normaltextrun"/>
              </w:rPr>
            </w:pPr>
            <w:r w:rsidRPr="00F66D91">
              <w:t>Dr Parmendra Sharma </w:t>
            </w:r>
          </w:p>
        </w:tc>
        <w:tc>
          <w:tcPr>
            <w:tcW w:w="7088" w:type="dxa"/>
            <w:shd w:val="clear" w:color="auto" w:fill="auto"/>
          </w:tcPr>
          <w:p w14:paraId="1CE39E4C" w14:textId="369F1517" w:rsidR="00CD7B23" w:rsidRPr="00F66D91" w:rsidRDefault="00CD7B23" w:rsidP="00F66D91">
            <w:pPr>
              <w:pStyle w:val="Tabletext"/>
            </w:pPr>
            <w:r w:rsidRPr="00F66D91">
              <w:t xml:space="preserve">Program Convenor, South Pacific Centre for Central Banking (SPCCB), and Senior Lecturer, Department of Accounting, Finance and Economics, </w:t>
            </w:r>
            <w:r w:rsidRPr="00F66D91">
              <w:rPr>
                <w:rStyle w:val="normaltextrun"/>
              </w:rPr>
              <w:t>Griffith University</w:t>
            </w:r>
          </w:p>
        </w:tc>
      </w:tr>
      <w:tr w:rsidR="00CD7B23" w:rsidRPr="00F66D91" w14:paraId="69B7F1A0" w14:textId="77777777" w:rsidTr="002240E0">
        <w:tc>
          <w:tcPr>
            <w:tcW w:w="2263" w:type="dxa"/>
            <w:shd w:val="clear" w:color="auto" w:fill="auto"/>
          </w:tcPr>
          <w:p w14:paraId="4322C2C5" w14:textId="77777777" w:rsidR="00CD7B23" w:rsidRPr="00F66D91" w:rsidRDefault="00CD7B23" w:rsidP="00F66D91">
            <w:pPr>
              <w:pStyle w:val="Tabletext"/>
            </w:pPr>
            <w:r w:rsidRPr="00F66D91">
              <w:t>Professor Caitlin Byrne </w:t>
            </w:r>
          </w:p>
        </w:tc>
        <w:tc>
          <w:tcPr>
            <w:tcW w:w="7088" w:type="dxa"/>
            <w:shd w:val="clear" w:color="auto" w:fill="auto"/>
          </w:tcPr>
          <w:p w14:paraId="31B764F3" w14:textId="50A73C6A" w:rsidR="00CD7B23" w:rsidRPr="00F66D91" w:rsidRDefault="00CD7B23" w:rsidP="00F66D91">
            <w:pPr>
              <w:pStyle w:val="Tabletext"/>
            </w:pPr>
            <w:r w:rsidRPr="00F66D91">
              <w:t>Director, Griffith Asia Institute,</w:t>
            </w:r>
            <w:r w:rsidRPr="00F66D91">
              <w:rPr>
                <w:rStyle w:val="normaltextrun"/>
              </w:rPr>
              <w:t xml:space="preserve"> Griffith University</w:t>
            </w:r>
          </w:p>
        </w:tc>
      </w:tr>
      <w:tr w:rsidR="00CD7B23" w:rsidRPr="00F66D91" w14:paraId="344D617C" w14:textId="77777777" w:rsidTr="002240E0">
        <w:tc>
          <w:tcPr>
            <w:tcW w:w="2263" w:type="dxa"/>
            <w:shd w:val="clear" w:color="auto" w:fill="auto"/>
          </w:tcPr>
          <w:p w14:paraId="33A155F6" w14:textId="5482D9DD" w:rsidR="00CD7B23" w:rsidRPr="00F66D91" w:rsidRDefault="00CD7B23" w:rsidP="00F66D91">
            <w:pPr>
              <w:pStyle w:val="Tabletext"/>
            </w:pPr>
            <w:r w:rsidRPr="00F66D91">
              <w:t>Dr Jen-Je Su </w:t>
            </w:r>
          </w:p>
          <w:p w14:paraId="15110DDC" w14:textId="6775E148" w:rsidR="00CD7B23" w:rsidRPr="00F66D91" w:rsidRDefault="00CD7B23" w:rsidP="00F66D91">
            <w:pPr>
              <w:pStyle w:val="Tabletext"/>
              <w:rPr>
                <w:rStyle w:val="normaltextrun"/>
              </w:rPr>
            </w:pPr>
          </w:p>
        </w:tc>
        <w:tc>
          <w:tcPr>
            <w:tcW w:w="7088" w:type="dxa"/>
            <w:shd w:val="clear" w:color="auto" w:fill="auto"/>
          </w:tcPr>
          <w:p w14:paraId="3787AA02" w14:textId="1621E121" w:rsidR="00CD7B23" w:rsidRPr="00F66D91" w:rsidRDefault="00CD7B23" w:rsidP="00F66D91">
            <w:pPr>
              <w:pStyle w:val="Tabletext"/>
            </w:pPr>
            <w:r w:rsidRPr="00F66D91">
              <w:t>Leader – Research, SPCCB, and Senior Lecturer, Department of Accounting, Finance and Economics¸</w:t>
            </w:r>
            <w:r w:rsidRPr="00F66D91">
              <w:rPr>
                <w:rStyle w:val="normaltextrun"/>
              </w:rPr>
              <w:t xml:space="preserve"> Griffith University</w:t>
            </w:r>
          </w:p>
        </w:tc>
      </w:tr>
      <w:tr w:rsidR="00CD7B23" w:rsidRPr="00F66D91" w14:paraId="5FF33DA8" w14:textId="77777777" w:rsidTr="002240E0">
        <w:tc>
          <w:tcPr>
            <w:tcW w:w="2263" w:type="dxa"/>
            <w:shd w:val="clear" w:color="auto" w:fill="auto"/>
          </w:tcPr>
          <w:p w14:paraId="32B653CB" w14:textId="77777777" w:rsidR="00CD7B23" w:rsidRPr="00F66D91" w:rsidRDefault="00CD7B23" w:rsidP="00F66D91">
            <w:pPr>
              <w:pStyle w:val="Tabletext"/>
            </w:pPr>
            <w:r w:rsidRPr="00F66D91">
              <w:t>Associate Professor Tarlok Singh </w:t>
            </w:r>
          </w:p>
        </w:tc>
        <w:tc>
          <w:tcPr>
            <w:tcW w:w="7088" w:type="dxa"/>
            <w:shd w:val="clear" w:color="auto" w:fill="auto"/>
          </w:tcPr>
          <w:p w14:paraId="1AB713F1" w14:textId="59AC190E" w:rsidR="00CD7B23" w:rsidRPr="00F66D91" w:rsidRDefault="00CD7B23" w:rsidP="00F66D91">
            <w:pPr>
              <w:pStyle w:val="Tabletext"/>
            </w:pPr>
            <w:r w:rsidRPr="00F66D91">
              <w:t>Leader – Policy, SPCCB, and Associate Professor of Economics, Department of Accounting, Finance and Economics,</w:t>
            </w:r>
            <w:r w:rsidRPr="00F66D91">
              <w:rPr>
                <w:rStyle w:val="normaltextrun"/>
              </w:rPr>
              <w:t xml:space="preserve"> Griffith University</w:t>
            </w:r>
          </w:p>
        </w:tc>
      </w:tr>
      <w:tr w:rsidR="00CD7B23" w:rsidRPr="00F66D91" w14:paraId="2FFB130C" w14:textId="77777777" w:rsidTr="002240E0">
        <w:tc>
          <w:tcPr>
            <w:tcW w:w="2263" w:type="dxa"/>
            <w:shd w:val="clear" w:color="auto" w:fill="auto"/>
          </w:tcPr>
          <w:p w14:paraId="4C115EE6" w14:textId="77777777" w:rsidR="00CD7B23" w:rsidRPr="00F66D91" w:rsidRDefault="00CD7B23" w:rsidP="00F66D91">
            <w:pPr>
              <w:pStyle w:val="Tabletext"/>
            </w:pPr>
            <w:r w:rsidRPr="00F66D91">
              <w:t>Ms Sharm Aboosally </w:t>
            </w:r>
          </w:p>
        </w:tc>
        <w:tc>
          <w:tcPr>
            <w:tcW w:w="7088" w:type="dxa"/>
            <w:shd w:val="clear" w:color="auto" w:fill="auto"/>
          </w:tcPr>
          <w:p w14:paraId="4D7619A8" w14:textId="0834F5C1" w:rsidR="00CD7B23" w:rsidRPr="00F66D91" w:rsidRDefault="00CD7B23" w:rsidP="00F66D91">
            <w:pPr>
              <w:pStyle w:val="Tabletext"/>
            </w:pPr>
            <w:r w:rsidRPr="00F66D91">
              <w:t>Senior Commercial Projects Officer, Griffith Enterprise, former International Projects Officer/Projects Coordinator International Development,</w:t>
            </w:r>
            <w:r w:rsidRPr="00F66D91">
              <w:rPr>
                <w:rStyle w:val="normaltextrun"/>
              </w:rPr>
              <w:t xml:space="preserve"> Griffith University</w:t>
            </w:r>
          </w:p>
        </w:tc>
      </w:tr>
    </w:tbl>
    <w:p w14:paraId="176F7A5A" w14:textId="11DE5989" w:rsidR="3DCD22B6" w:rsidRPr="006770C1" w:rsidRDefault="006770C1" w:rsidP="00F66D91">
      <w:pPr>
        <w:pStyle w:val="Figure"/>
        <w:rPr>
          <w:rStyle w:val="normaltextrun"/>
        </w:rPr>
      </w:pPr>
      <w:r w:rsidRPr="006770C1">
        <w:t xml:space="preserve">Table </w:t>
      </w:r>
      <w:r w:rsidRPr="006770C1">
        <w:rPr>
          <w:color w:val="2B579A"/>
          <w:shd w:val="clear" w:color="auto" w:fill="E6E6E6"/>
        </w:rPr>
        <w:fldChar w:fldCharType="begin"/>
      </w:r>
      <w:r w:rsidRPr="006770C1">
        <w:instrText xml:space="preserve"> SEQ Table \* ARABIC </w:instrText>
      </w:r>
      <w:r w:rsidRPr="006770C1">
        <w:rPr>
          <w:color w:val="2B579A"/>
          <w:shd w:val="clear" w:color="auto" w:fill="E6E6E6"/>
        </w:rPr>
        <w:fldChar w:fldCharType="separate"/>
      </w:r>
      <w:r w:rsidR="001D6B4B">
        <w:rPr>
          <w:noProof/>
        </w:rPr>
        <w:t>2</w:t>
      </w:r>
      <w:r w:rsidRPr="006770C1">
        <w:rPr>
          <w:color w:val="2B579A"/>
          <w:shd w:val="clear" w:color="auto" w:fill="E6E6E6"/>
        </w:rPr>
        <w:fldChar w:fldCharType="end"/>
      </w:r>
      <w:r w:rsidR="035F4C48" w:rsidRPr="006770C1">
        <w:rPr>
          <w:rStyle w:val="normaltextrun"/>
        </w:rPr>
        <w:t xml:space="preserve">: </w:t>
      </w:r>
      <w:r w:rsidR="5FFD5C2F" w:rsidRPr="006770C1">
        <w:rPr>
          <w:rStyle w:val="normaltextrun"/>
        </w:rPr>
        <w:t>Partner-country org</w:t>
      </w:r>
      <w:r w:rsidR="08409E43" w:rsidRPr="006770C1">
        <w:rPr>
          <w:rStyle w:val="normaltextrun"/>
        </w:rPr>
        <w:t>anisation participants</w:t>
      </w:r>
    </w:p>
    <w:tbl>
      <w:tblPr>
        <w:tblStyle w:val="TableGrid"/>
        <w:tblW w:w="0" w:type="auto"/>
        <w:tblCellMar>
          <w:top w:w="108" w:type="dxa"/>
          <w:bottom w:w="108" w:type="dxa"/>
        </w:tblCellMar>
        <w:tblLook w:val="06A0" w:firstRow="1" w:lastRow="0" w:firstColumn="1" w:lastColumn="0" w:noHBand="1" w:noVBand="1"/>
      </w:tblPr>
      <w:tblGrid>
        <w:gridCol w:w="1980"/>
        <w:gridCol w:w="2339"/>
        <w:gridCol w:w="1980"/>
        <w:gridCol w:w="3045"/>
      </w:tblGrid>
      <w:tr w:rsidR="08409E43" w14:paraId="617D347F" w14:textId="77777777" w:rsidTr="002240E0">
        <w:tc>
          <w:tcPr>
            <w:tcW w:w="1980" w:type="dxa"/>
            <w:shd w:val="clear" w:color="auto" w:fill="auto"/>
          </w:tcPr>
          <w:p w14:paraId="746B1027" w14:textId="2F445B5C" w:rsidR="22CE447F" w:rsidRDefault="22CE447F" w:rsidP="00F66D91">
            <w:pPr>
              <w:pStyle w:val="Tabletext"/>
              <w:rPr>
                <w:rStyle w:val="normaltextrun"/>
                <w:b/>
                <w:bCs/>
                <w:color w:val="000000" w:themeColor="text1"/>
              </w:rPr>
            </w:pPr>
            <w:r w:rsidRPr="08409E43">
              <w:rPr>
                <w:rStyle w:val="normaltextrun"/>
                <w:b/>
                <w:bCs/>
                <w:color w:val="000000" w:themeColor="text1"/>
              </w:rPr>
              <w:t>Name</w:t>
            </w:r>
            <w:r w:rsidR="25EC0C36" w:rsidRPr="08409E43">
              <w:rPr>
                <w:rStyle w:val="normaltextrun"/>
                <w:b/>
                <w:bCs/>
                <w:color w:val="000000" w:themeColor="text1"/>
              </w:rPr>
              <w:t xml:space="preserve"> </w:t>
            </w:r>
          </w:p>
        </w:tc>
        <w:tc>
          <w:tcPr>
            <w:tcW w:w="2339" w:type="dxa"/>
            <w:shd w:val="clear" w:color="auto" w:fill="auto"/>
          </w:tcPr>
          <w:p w14:paraId="146BB243" w14:textId="4D16325C" w:rsidR="25EC0C36" w:rsidRDefault="25EC0C36" w:rsidP="00F66D91">
            <w:pPr>
              <w:pStyle w:val="Tabletext"/>
              <w:rPr>
                <w:rStyle w:val="normaltextrun"/>
                <w:b/>
                <w:bCs/>
                <w:color w:val="000000" w:themeColor="text1"/>
              </w:rPr>
            </w:pPr>
            <w:r w:rsidRPr="08409E43">
              <w:rPr>
                <w:rStyle w:val="normaltextrun"/>
                <w:b/>
                <w:bCs/>
                <w:color w:val="000000" w:themeColor="text1"/>
              </w:rPr>
              <w:t xml:space="preserve">Current </w:t>
            </w:r>
            <w:r w:rsidR="3B3325FB" w:rsidRPr="08409E43">
              <w:rPr>
                <w:rStyle w:val="normaltextrun"/>
                <w:b/>
                <w:bCs/>
                <w:color w:val="000000" w:themeColor="text1"/>
              </w:rPr>
              <w:t>position</w:t>
            </w:r>
          </w:p>
        </w:tc>
        <w:tc>
          <w:tcPr>
            <w:tcW w:w="1980" w:type="dxa"/>
            <w:shd w:val="clear" w:color="auto" w:fill="auto"/>
          </w:tcPr>
          <w:p w14:paraId="5A07CA3D" w14:textId="72FBB9F5" w:rsidR="3FCB1B08" w:rsidRDefault="3FCB1B08" w:rsidP="00F66D91">
            <w:pPr>
              <w:pStyle w:val="Tabletext"/>
              <w:rPr>
                <w:rStyle w:val="normaltextrun"/>
                <w:b/>
                <w:bCs/>
                <w:color w:val="000000" w:themeColor="text1"/>
              </w:rPr>
            </w:pPr>
            <w:r w:rsidRPr="08409E43">
              <w:rPr>
                <w:rStyle w:val="normaltextrun"/>
                <w:b/>
                <w:bCs/>
                <w:color w:val="000000" w:themeColor="text1"/>
              </w:rPr>
              <w:t>Organisation</w:t>
            </w:r>
          </w:p>
        </w:tc>
        <w:tc>
          <w:tcPr>
            <w:tcW w:w="3045" w:type="dxa"/>
            <w:shd w:val="clear" w:color="auto" w:fill="auto"/>
          </w:tcPr>
          <w:p w14:paraId="1B704333" w14:textId="0ECC51DE" w:rsidR="5CCC7D71" w:rsidRDefault="5CCC7D71" w:rsidP="00F66D91">
            <w:pPr>
              <w:pStyle w:val="Tabletext"/>
              <w:rPr>
                <w:rStyle w:val="normaltextrun"/>
                <w:b/>
                <w:bCs/>
                <w:color w:val="000000" w:themeColor="text1"/>
              </w:rPr>
            </w:pPr>
            <w:r w:rsidRPr="08409E43">
              <w:rPr>
                <w:rStyle w:val="normaltextrun"/>
                <w:b/>
                <w:bCs/>
                <w:color w:val="000000" w:themeColor="text1"/>
              </w:rPr>
              <w:t xml:space="preserve">SPCCB research </w:t>
            </w:r>
            <w:r w:rsidR="3228EEF2" w:rsidRPr="08409E43">
              <w:rPr>
                <w:rStyle w:val="normaltextrun"/>
                <w:b/>
                <w:bCs/>
                <w:color w:val="000000" w:themeColor="text1"/>
              </w:rPr>
              <w:t>papers</w:t>
            </w:r>
          </w:p>
        </w:tc>
      </w:tr>
      <w:tr w:rsidR="08409E43" w14:paraId="08CA056D" w14:textId="77777777" w:rsidTr="002240E0">
        <w:tc>
          <w:tcPr>
            <w:tcW w:w="1980" w:type="dxa"/>
            <w:shd w:val="clear" w:color="auto" w:fill="auto"/>
          </w:tcPr>
          <w:p w14:paraId="59790C1B" w14:textId="3DE444A9" w:rsidR="13041430" w:rsidRPr="00F66D91" w:rsidRDefault="13041430" w:rsidP="00F66D91">
            <w:pPr>
              <w:pStyle w:val="Tabletext"/>
            </w:pPr>
            <w:r w:rsidRPr="00F66D91">
              <w:t>Mr Esala Masitabua</w:t>
            </w:r>
          </w:p>
        </w:tc>
        <w:tc>
          <w:tcPr>
            <w:tcW w:w="2339" w:type="dxa"/>
            <w:shd w:val="clear" w:color="auto" w:fill="auto"/>
          </w:tcPr>
          <w:p w14:paraId="7D19C797" w14:textId="1A79C527" w:rsidR="7BAA045C" w:rsidRPr="00F66D91" w:rsidRDefault="7BAA045C" w:rsidP="00F66D91">
            <w:pPr>
              <w:pStyle w:val="Tabletext"/>
            </w:pPr>
            <w:r w:rsidRPr="00F66D91">
              <w:t>Deputy Governor and SPCCB focal point</w:t>
            </w:r>
          </w:p>
        </w:tc>
        <w:tc>
          <w:tcPr>
            <w:tcW w:w="1980" w:type="dxa"/>
            <w:shd w:val="clear" w:color="auto" w:fill="auto"/>
          </w:tcPr>
          <w:p w14:paraId="728CB213" w14:textId="1928E9C4" w:rsidR="1084710A" w:rsidRPr="00F66D91" w:rsidRDefault="1084710A" w:rsidP="00F66D91">
            <w:pPr>
              <w:pStyle w:val="Tabletext"/>
              <w:rPr>
                <w:rStyle w:val="normaltextrun"/>
              </w:rPr>
            </w:pPr>
            <w:r w:rsidRPr="00F66D91">
              <w:rPr>
                <w:rStyle w:val="normaltextrun"/>
              </w:rPr>
              <w:t>Reserve Bank of Fiji</w:t>
            </w:r>
          </w:p>
        </w:tc>
        <w:tc>
          <w:tcPr>
            <w:tcW w:w="3045" w:type="dxa"/>
            <w:shd w:val="clear" w:color="auto" w:fill="auto"/>
          </w:tcPr>
          <w:p w14:paraId="14643924" w14:textId="7800606B" w:rsidR="08409E43" w:rsidRPr="00F66D91" w:rsidRDefault="08409E43" w:rsidP="00F66D91">
            <w:pPr>
              <w:pStyle w:val="Tabletext"/>
              <w:rPr>
                <w:rStyle w:val="normaltextrun"/>
              </w:rPr>
            </w:pPr>
          </w:p>
        </w:tc>
      </w:tr>
      <w:tr w:rsidR="08409E43" w14:paraId="54B07182" w14:textId="77777777" w:rsidTr="002240E0">
        <w:tc>
          <w:tcPr>
            <w:tcW w:w="1980" w:type="dxa"/>
            <w:shd w:val="clear" w:color="auto" w:fill="auto"/>
          </w:tcPr>
          <w:p w14:paraId="2615C2F7" w14:textId="6EB30A8D" w:rsidR="7A845579" w:rsidRPr="00F66D91" w:rsidRDefault="7A845579" w:rsidP="00F66D91">
            <w:pPr>
              <w:pStyle w:val="Tabletext"/>
            </w:pPr>
            <w:r w:rsidRPr="00F66D91">
              <w:t>Ms Louisa Baragamu</w:t>
            </w:r>
          </w:p>
        </w:tc>
        <w:tc>
          <w:tcPr>
            <w:tcW w:w="2339" w:type="dxa"/>
            <w:shd w:val="clear" w:color="auto" w:fill="auto"/>
          </w:tcPr>
          <w:p w14:paraId="14193159" w14:textId="70085331" w:rsidR="7A845579" w:rsidRPr="00F66D91" w:rsidRDefault="7A845579" w:rsidP="00F66D91">
            <w:pPr>
              <w:pStyle w:val="Tabletext"/>
            </w:pPr>
            <w:r w:rsidRPr="00F66D91">
              <w:t>Chief Manager, Economics, Research and Statistics Department</w:t>
            </w:r>
          </w:p>
        </w:tc>
        <w:tc>
          <w:tcPr>
            <w:tcW w:w="1980" w:type="dxa"/>
            <w:shd w:val="clear" w:color="auto" w:fill="auto"/>
          </w:tcPr>
          <w:p w14:paraId="04EC9E26" w14:textId="14F7C402" w:rsidR="7A845579" w:rsidRPr="00F66D91" w:rsidRDefault="7A845579" w:rsidP="00F66D91">
            <w:pPr>
              <w:pStyle w:val="Tabletext"/>
            </w:pPr>
            <w:r w:rsidRPr="00F66D91">
              <w:t xml:space="preserve">Central Bank of Solomon Islands </w:t>
            </w:r>
          </w:p>
        </w:tc>
        <w:tc>
          <w:tcPr>
            <w:tcW w:w="3045" w:type="dxa"/>
            <w:shd w:val="clear" w:color="auto" w:fill="auto"/>
          </w:tcPr>
          <w:p w14:paraId="4AC6CE02" w14:textId="09588D39" w:rsidR="08409E43" w:rsidRPr="00F66D91" w:rsidRDefault="08409E43" w:rsidP="00F66D91">
            <w:pPr>
              <w:pStyle w:val="Tabletext"/>
              <w:rPr>
                <w:rStyle w:val="normaltextrun"/>
              </w:rPr>
            </w:pPr>
          </w:p>
        </w:tc>
      </w:tr>
      <w:tr w:rsidR="08409E43" w14:paraId="48C2C63A" w14:textId="77777777" w:rsidTr="002240E0">
        <w:tc>
          <w:tcPr>
            <w:tcW w:w="1980" w:type="dxa"/>
            <w:shd w:val="clear" w:color="auto" w:fill="auto"/>
          </w:tcPr>
          <w:p w14:paraId="28702F6E" w14:textId="3A25468D" w:rsidR="008A0B75" w:rsidRPr="00F66D91" w:rsidRDefault="008A0B75" w:rsidP="00F66D91">
            <w:pPr>
              <w:pStyle w:val="Tabletext"/>
            </w:pPr>
            <w:r w:rsidRPr="00F66D91">
              <w:t>Ms Kalolaini Ranadi</w:t>
            </w:r>
          </w:p>
        </w:tc>
        <w:tc>
          <w:tcPr>
            <w:tcW w:w="2339" w:type="dxa"/>
            <w:shd w:val="clear" w:color="auto" w:fill="auto"/>
          </w:tcPr>
          <w:p w14:paraId="298FCCA2" w14:textId="787B88B5" w:rsidR="008A0B75" w:rsidRPr="00F66D91" w:rsidRDefault="008A0B75" w:rsidP="00F66D91">
            <w:pPr>
              <w:pStyle w:val="Tabletext"/>
            </w:pPr>
            <w:r w:rsidRPr="00F66D91">
              <w:t>Senior Economist</w:t>
            </w:r>
          </w:p>
          <w:p w14:paraId="62A53DE2" w14:textId="23EF8A44" w:rsidR="008A0B75" w:rsidRPr="00F66D91" w:rsidRDefault="008A0B75" w:rsidP="00F66D91">
            <w:pPr>
              <w:pStyle w:val="Tabletext"/>
            </w:pPr>
            <w:r w:rsidRPr="00F66D91">
              <w:t xml:space="preserve">Alumna </w:t>
            </w:r>
            <w:r w:rsidR="4E99BAA9" w:rsidRPr="00F66D91">
              <w:t xml:space="preserve">- </w:t>
            </w:r>
            <w:r w:rsidR="4E99BAA9" w:rsidRPr="002240E0">
              <w:rPr>
                <w:i/>
                <w:iCs/>
              </w:rPr>
              <w:t>2018 Australia Awards fellowship</w:t>
            </w:r>
            <w:r w:rsidRPr="002240E0">
              <w:rPr>
                <w:i/>
                <w:iCs/>
              </w:rPr>
              <w:t xml:space="preserve"> </w:t>
            </w:r>
            <w:r w:rsidRPr="002240E0">
              <w:rPr>
                <w:i/>
                <w:iCs/>
              </w:rPr>
              <w:lastRenderedPageBreak/>
              <w:t>Developing Research and Policy Formulation Capacity at the Central Banks (RBF &amp; RBV)</w:t>
            </w:r>
          </w:p>
        </w:tc>
        <w:tc>
          <w:tcPr>
            <w:tcW w:w="1980" w:type="dxa"/>
            <w:shd w:val="clear" w:color="auto" w:fill="auto"/>
          </w:tcPr>
          <w:p w14:paraId="121FF6E7" w14:textId="0DE521F4" w:rsidR="008A0B75" w:rsidRPr="00F66D91" w:rsidRDefault="008A0B75" w:rsidP="00F66D91">
            <w:pPr>
              <w:pStyle w:val="Tabletext"/>
            </w:pPr>
            <w:r w:rsidRPr="00F66D91">
              <w:lastRenderedPageBreak/>
              <w:t xml:space="preserve">Reserve Bank of Fiji </w:t>
            </w:r>
          </w:p>
        </w:tc>
        <w:tc>
          <w:tcPr>
            <w:tcW w:w="3045" w:type="dxa"/>
            <w:shd w:val="clear" w:color="auto" w:fill="auto"/>
          </w:tcPr>
          <w:p w14:paraId="4C863A98" w14:textId="004C9A80" w:rsidR="008A0B75" w:rsidRPr="002240E0" w:rsidRDefault="00C9321C" w:rsidP="00F66D91">
            <w:pPr>
              <w:pStyle w:val="Tabletext"/>
              <w:rPr>
                <w:i/>
                <w:iCs/>
              </w:rPr>
            </w:pPr>
            <w:hyperlink r:id="rId16">
              <w:r w:rsidR="008A0B75" w:rsidRPr="002240E0">
                <w:rPr>
                  <w:i/>
                  <w:iCs/>
                </w:rPr>
                <w:t xml:space="preserve">Financial integration in open, small economies of the South Pacific: </w:t>
              </w:r>
              <w:r w:rsidR="008A0B75" w:rsidRPr="002240E0">
                <w:rPr>
                  <w:i/>
                  <w:iCs/>
                </w:rPr>
                <w:lastRenderedPageBreak/>
                <w:t>Extent, conse</w:t>
              </w:r>
              <w:r w:rsidR="1937FB18" w:rsidRPr="002240E0">
                <w:rPr>
                  <w:i/>
                  <w:iCs/>
                </w:rPr>
                <w:t>q</w:t>
              </w:r>
              <w:r w:rsidR="008A0B75" w:rsidRPr="002240E0">
                <w:rPr>
                  <w:i/>
                  <w:iCs/>
                </w:rPr>
                <w:t>uences and policy implications</w:t>
              </w:r>
            </w:hyperlink>
          </w:p>
        </w:tc>
      </w:tr>
      <w:tr w:rsidR="08409E43" w14:paraId="1CFE5934" w14:textId="77777777" w:rsidTr="002240E0">
        <w:tc>
          <w:tcPr>
            <w:tcW w:w="1980" w:type="dxa"/>
            <w:shd w:val="clear" w:color="auto" w:fill="auto"/>
          </w:tcPr>
          <w:p w14:paraId="152EE951" w14:textId="524B9F26" w:rsidR="008A0B75" w:rsidRPr="00F66D91" w:rsidRDefault="008A0B75" w:rsidP="00F66D91">
            <w:pPr>
              <w:pStyle w:val="Tabletext"/>
            </w:pPr>
            <w:r w:rsidRPr="00F66D91">
              <w:lastRenderedPageBreak/>
              <w:t>Mr Matia Tuisawau</w:t>
            </w:r>
          </w:p>
        </w:tc>
        <w:tc>
          <w:tcPr>
            <w:tcW w:w="2339" w:type="dxa"/>
            <w:shd w:val="clear" w:color="auto" w:fill="auto"/>
          </w:tcPr>
          <w:p w14:paraId="546837E8" w14:textId="7CC26CDF" w:rsidR="008A0B75" w:rsidRPr="00F66D91" w:rsidRDefault="008A0B75" w:rsidP="00F66D91">
            <w:pPr>
              <w:pStyle w:val="Tabletext"/>
            </w:pPr>
            <w:r w:rsidRPr="00F66D91">
              <w:t>Senior Economist</w:t>
            </w:r>
          </w:p>
        </w:tc>
        <w:tc>
          <w:tcPr>
            <w:tcW w:w="1980" w:type="dxa"/>
            <w:shd w:val="clear" w:color="auto" w:fill="auto"/>
          </w:tcPr>
          <w:p w14:paraId="2AF7C356" w14:textId="36279869" w:rsidR="008A0B75" w:rsidRPr="00F66D91" w:rsidRDefault="008A0B75" w:rsidP="00F66D91">
            <w:pPr>
              <w:pStyle w:val="Tabletext"/>
            </w:pPr>
            <w:r w:rsidRPr="00F66D91">
              <w:t xml:space="preserve">Reserve Bank of Fiji </w:t>
            </w:r>
          </w:p>
        </w:tc>
        <w:tc>
          <w:tcPr>
            <w:tcW w:w="3045" w:type="dxa"/>
            <w:shd w:val="clear" w:color="auto" w:fill="auto"/>
          </w:tcPr>
          <w:p w14:paraId="3073C74F" w14:textId="77777777" w:rsidR="008A0B75" w:rsidRPr="002240E0" w:rsidRDefault="00C9321C" w:rsidP="00F66D91">
            <w:pPr>
              <w:pStyle w:val="Tabletext"/>
              <w:rPr>
                <w:i/>
                <w:iCs/>
              </w:rPr>
            </w:pPr>
            <w:hyperlink r:id="rId17">
              <w:r w:rsidR="008A0B75" w:rsidRPr="002240E0">
                <w:rPr>
                  <w:i/>
                  <w:iCs/>
                </w:rPr>
                <w:t>Remittances vis-à-vis bank credit and Investments in Pacific Island Countries: The case of Fiji</w:t>
              </w:r>
            </w:hyperlink>
            <w:r w:rsidR="008A0B75" w:rsidRPr="002240E0">
              <w:rPr>
                <w:i/>
                <w:iCs/>
              </w:rPr>
              <w:t> </w:t>
            </w:r>
          </w:p>
        </w:tc>
      </w:tr>
      <w:tr w:rsidR="08409E43" w14:paraId="0D9B5CDD" w14:textId="77777777" w:rsidTr="002240E0">
        <w:tc>
          <w:tcPr>
            <w:tcW w:w="1980" w:type="dxa"/>
            <w:shd w:val="clear" w:color="auto" w:fill="auto"/>
          </w:tcPr>
          <w:p w14:paraId="4172FAC5" w14:textId="6895713B" w:rsidR="008A0B75" w:rsidRPr="00F66D91" w:rsidRDefault="008A0B75" w:rsidP="00F66D91">
            <w:pPr>
              <w:pStyle w:val="Tabletext"/>
            </w:pPr>
            <w:r w:rsidRPr="00F66D91">
              <w:t xml:space="preserve">Ms Angeline </w:t>
            </w:r>
            <w:r w:rsidR="4E99BAA9" w:rsidRPr="00F66D91">
              <w:t>Rohoia</w:t>
            </w:r>
          </w:p>
        </w:tc>
        <w:tc>
          <w:tcPr>
            <w:tcW w:w="2339" w:type="dxa"/>
            <w:shd w:val="clear" w:color="auto" w:fill="auto"/>
          </w:tcPr>
          <w:p w14:paraId="03331E0D" w14:textId="357279E2" w:rsidR="008A0B75" w:rsidRPr="00F66D91" w:rsidRDefault="608C32E1" w:rsidP="00F66D91">
            <w:pPr>
              <w:pStyle w:val="Tabletext"/>
            </w:pPr>
            <w:r w:rsidRPr="00F66D91">
              <w:t>Senior Research Analyst, Research Unit</w:t>
            </w:r>
            <w:r w:rsidR="5C1885AE" w:rsidRPr="00F66D91">
              <w:t>,</w:t>
            </w:r>
            <w:r w:rsidRPr="00F66D91">
              <w:t xml:space="preserve"> Monetary Policy &amp; Research Division, Economics, Research and Statistics Department</w:t>
            </w:r>
          </w:p>
        </w:tc>
        <w:tc>
          <w:tcPr>
            <w:tcW w:w="1980" w:type="dxa"/>
            <w:shd w:val="clear" w:color="auto" w:fill="auto"/>
          </w:tcPr>
          <w:p w14:paraId="1E160433" w14:textId="0F09F3F7" w:rsidR="008A0B75" w:rsidRPr="00F66D91" w:rsidRDefault="008A0B75" w:rsidP="00F66D91">
            <w:pPr>
              <w:pStyle w:val="Tabletext"/>
            </w:pPr>
            <w:r w:rsidRPr="00F66D91">
              <w:t xml:space="preserve">Central Bank of Solomon Islands </w:t>
            </w:r>
          </w:p>
        </w:tc>
        <w:tc>
          <w:tcPr>
            <w:tcW w:w="3045" w:type="dxa"/>
            <w:shd w:val="clear" w:color="auto" w:fill="auto"/>
          </w:tcPr>
          <w:p w14:paraId="5EA8AC4F" w14:textId="77777777" w:rsidR="008A0B75" w:rsidRPr="002240E0" w:rsidRDefault="00C9321C" w:rsidP="00F66D91">
            <w:pPr>
              <w:pStyle w:val="Tabletext"/>
              <w:rPr>
                <w:i/>
                <w:iCs/>
              </w:rPr>
            </w:pPr>
            <w:hyperlink r:id="rId18">
              <w:r w:rsidR="008A0B75" w:rsidRPr="002240E0">
                <w:rPr>
                  <w:i/>
                  <w:iCs/>
                </w:rPr>
                <w:t>Do inflation expectations matter for small open economies? Empirical evidence from the Solomon Islands</w:t>
              </w:r>
            </w:hyperlink>
            <w:r w:rsidR="008A0B75" w:rsidRPr="002240E0">
              <w:rPr>
                <w:i/>
                <w:iCs/>
              </w:rPr>
              <w:t> </w:t>
            </w:r>
          </w:p>
          <w:p w14:paraId="44FC7D8B" w14:textId="2C6064AB" w:rsidR="1E852E3C" w:rsidRPr="002240E0" w:rsidRDefault="00C9321C" w:rsidP="00F66D91">
            <w:pPr>
              <w:pStyle w:val="Tabletext"/>
              <w:rPr>
                <w:i/>
                <w:iCs/>
              </w:rPr>
            </w:pPr>
            <w:hyperlink r:id="rId19">
              <w:r w:rsidR="1E852E3C" w:rsidRPr="002240E0">
                <w:rPr>
                  <w:i/>
                  <w:iCs/>
                </w:rPr>
                <w:t>Effective marketing strategies for promoting SMEs in Pacific Island Countries: A systematic literature review</w:t>
              </w:r>
            </w:hyperlink>
            <w:r w:rsidR="1E852E3C" w:rsidRPr="002240E0">
              <w:rPr>
                <w:i/>
                <w:iCs/>
              </w:rPr>
              <w:t> </w:t>
            </w:r>
          </w:p>
        </w:tc>
      </w:tr>
    </w:tbl>
    <w:p w14:paraId="0D34A5F9" w14:textId="77777777" w:rsidR="00AE2B9D" w:rsidRDefault="00AE2B9D">
      <w:pPr>
        <w:spacing w:before="0"/>
      </w:pPr>
      <w:r>
        <w:br w:type="page"/>
      </w:r>
    </w:p>
    <w:p w14:paraId="22BF2F6D" w14:textId="0ED31317" w:rsidR="0034108F" w:rsidRPr="00AE2B9D" w:rsidRDefault="3EC3C151" w:rsidP="00AE2B9D">
      <w:pPr>
        <w:pStyle w:val="Heading1"/>
      </w:pPr>
      <w:bookmarkStart w:id="32" w:name="_Toc103348726"/>
      <w:r w:rsidRPr="00AE2B9D">
        <w:lastRenderedPageBreak/>
        <w:t>SPCCB</w:t>
      </w:r>
      <w:r w:rsidR="62F43826" w:rsidRPr="00AE2B9D">
        <w:t xml:space="preserve"> partnership</w:t>
      </w:r>
      <w:r w:rsidRPr="00AE2B9D">
        <w:t xml:space="preserve"> background</w:t>
      </w:r>
      <w:bookmarkEnd w:id="32"/>
      <w:r w:rsidR="74A04452" w:rsidRPr="00AE2B9D">
        <w:t xml:space="preserve"> </w:t>
      </w:r>
    </w:p>
    <w:p w14:paraId="6A503B65" w14:textId="385B08A7" w:rsidR="78518274" w:rsidRPr="00CB40AA" w:rsidRDefault="3CD3D612" w:rsidP="00EB7114">
      <w:pPr>
        <w:pStyle w:val="Heading2"/>
      </w:pPr>
      <w:bookmarkStart w:id="33" w:name="_Toc103348727"/>
      <w:r>
        <w:t>SPCCB key partners and stakeholders</w:t>
      </w:r>
      <w:bookmarkEnd w:id="33"/>
    </w:p>
    <w:p w14:paraId="2EFD7444" w14:textId="579F2CEB" w:rsidR="78518274" w:rsidRPr="00EB7114" w:rsidRDefault="002A6711" w:rsidP="00EB7114">
      <w:pPr>
        <w:pStyle w:val="BodyCopy"/>
      </w:pPr>
      <w:r w:rsidRPr="00EB7114">
        <w:t>The SPCCB</w:t>
      </w:r>
      <w:r w:rsidR="323833CB" w:rsidRPr="00EB7114">
        <w:t>,</w:t>
      </w:r>
      <w:r w:rsidR="1FDCA560" w:rsidRPr="00EB7114">
        <w:t xml:space="preserve"> located in the Pacific Research Hub </w:t>
      </w:r>
      <w:r w:rsidR="323833CB" w:rsidRPr="00EB7114">
        <w:t xml:space="preserve">of the </w:t>
      </w:r>
      <w:r w:rsidR="1FDCA560" w:rsidRPr="00EB7114">
        <w:t>Griffith Asia Institute (GAI) at Griffith University,</w:t>
      </w:r>
      <w:r w:rsidR="4719E74F" w:rsidRPr="00EB7114">
        <w:t xml:space="preserve"> </w:t>
      </w:r>
      <w:r w:rsidR="323833CB" w:rsidRPr="00EB7114">
        <w:t xml:space="preserve">was established in 2016 </w:t>
      </w:r>
      <w:r w:rsidR="0334C3A7" w:rsidRPr="00EB7114">
        <w:t>to build a platform for research and collaboration among the central banks in the Pacific</w:t>
      </w:r>
      <w:r w:rsidR="2205E67D" w:rsidRPr="00EB7114">
        <w:t xml:space="preserve"> </w:t>
      </w:r>
      <w:r w:rsidR="323833CB" w:rsidRPr="00EB7114">
        <w:t xml:space="preserve">(see </w:t>
      </w:r>
      <w:r w:rsidR="008919A4" w:rsidRPr="00EB7114">
        <w:t>Annex 1</w:t>
      </w:r>
      <w:r w:rsidR="323833CB" w:rsidRPr="00EB7114">
        <w:t xml:space="preserve"> for organisational profiles).</w:t>
      </w:r>
      <w:r w:rsidR="1289A431" w:rsidRPr="00EB7114">
        <w:t xml:space="preserve"> The Key Partners are comprised of </w:t>
      </w:r>
      <w:r w:rsidR="00F96631" w:rsidRPr="00EB7114">
        <w:t>five</w:t>
      </w:r>
      <w:r w:rsidR="1289A431" w:rsidRPr="00EB7114">
        <w:t xml:space="preserve"> central banks: </w:t>
      </w:r>
      <w:r w:rsidR="1FDCA560" w:rsidRPr="00EB7114">
        <w:t xml:space="preserve">the Reserve Bank of Fiji (RBF), Reserve Bank of Vanuatu (RBV), Central Bank of Solomon Islands (CBSI), Bank of Papua New Guinea (BPNG) and Central Bank of Timor-Leste (BCTL). SPCCB is co-funded by the Key Partners and Griffith University. </w:t>
      </w:r>
      <w:r w:rsidR="41BCB5E5" w:rsidRPr="00EB7114">
        <w:t>Key stakeholders have been invited to engage and participate via research forums</w:t>
      </w:r>
      <w:r w:rsidR="4BAC3C13" w:rsidRPr="00EB7114">
        <w:t>, conferences</w:t>
      </w:r>
      <w:r w:rsidR="5347C508" w:rsidRPr="00EB7114">
        <w:t>,</w:t>
      </w:r>
      <w:r w:rsidR="41BCB5E5" w:rsidRPr="00EB7114">
        <w:t xml:space="preserve"> and regional dialogues, and include the Asian Development Bank (ADB), World Bank Group, DFAT, Reserve Bank of Australia (RBA), Reserve Bank of New Zealand (RBNZ), and the International Monetary Fund Pacific Financial Tech</w:t>
      </w:r>
      <w:r w:rsidR="4BAC3C13" w:rsidRPr="00EB7114">
        <w:t>nical Assistance Centre (PFTAC</w:t>
      </w:r>
      <w:r w:rsidR="60EFD165" w:rsidRPr="00EB7114">
        <w:t>) (Griffith University, 2022c)</w:t>
      </w:r>
      <w:r w:rsidR="6EC645BE" w:rsidRPr="00EB7114">
        <w:t>.</w:t>
      </w:r>
    </w:p>
    <w:p w14:paraId="6FE7E10A" w14:textId="78EFC747" w:rsidR="78518274" w:rsidRPr="00CB40AA" w:rsidRDefault="1A2A43D7" w:rsidP="129E54B2">
      <w:pPr>
        <w:spacing w:after="0"/>
      </w:pPr>
      <w:r>
        <w:rPr>
          <w:noProof/>
          <w:color w:val="2B579A"/>
          <w:shd w:val="clear" w:color="auto" w:fill="E6E6E6"/>
          <w:lang w:eastAsia="en-AU"/>
        </w:rPr>
        <w:drawing>
          <wp:inline distT="0" distB="0" distL="0" distR="0" wp14:anchorId="61357772" wp14:editId="16FCF182">
            <wp:extent cx="6325960" cy="4344987"/>
            <wp:effectExtent l="0" t="0" r="0" b="0"/>
            <wp:docPr id="1760660688" name="Picture 1760660688" descr="Figure 3: SPCCB key partners and stakeholder organisational chart&#10;&#10;Griffith University, Griffith Asia Insitute created the The South Pacific Centre for Central Banking, in collaboration with key partners: the Reserve Bank of Fiji (RBF), Reserve Bank of Vanuatu (RBV), Central Bank of Solomon Islands (CBSI), Bank of Papua New Guinea (BPNG) and Central Bank of Timor-Leste (BCTL).&#10;Key stakeholders: Asian development Bank (ADB), Department of Foreign Affairs and Trade (DFAT), nternational Monetary Fund Pacific Financial Technical Assistance Centre (PFTAC), World Bank Group, Reserve Bank of Australia (RBA), and the Reserve Bank of New Zealand (RB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0688" name="Picture 1760660688" descr="Figure 3: SPCCB key partners and stakeholder organisational chart&#10;&#10;Griffith University, Griffith Asia Insitute created the The South Pacific Centre for Central Banking, in collaboration with key partners: the Reserve Bank of Fiji (RBF), Reserve Bank of Vanuatu (RBV), Central Bank of Solomon Islands (CBSI), Bank of Papua New Guinea (BPNG) and Central Bank of Timor-Leste (BCTL).&#10;Key stakeholders: Asian development Bank (ADB), Department of Foreign Affairs and Trade (DFAT), nternational Monetary Fund Pacific Financial Technical Assistance Centre (PFTAC), World Bank Group, Reserve Bank of Australia (RBA), and the Reserve Bank of New Zealand (RBNZ)."/>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5960" cy="4344987"/>
                    </a:xfrm>
                    <a:prstGeom prst="rect">
                      <a:avLst/>
                    </a:prstGeom>
                  </pic:spPr>
                </pic:pic>
              </a:graphicData>
            </a:graphic>
          </wp:inline>
        </w:drawing>
      </w:r>
    </w:p>
    <w:p w14:paraId="7F64437A" w14:textId="7B782FDA" w:rsidR="00BF3CC4" w:rsidRPr="00CB40AA" w:rsidRDefault="00BF3CC4" w:rsidP="00EB7114">
      <w:pPr>
        <w:pStyle w:val="Figure"/>
      </w:pPr>
      <w:bookmarkStart w:id="34" w:name="_Ref97036511"/>
      <w:r w:rsidRPr="00CB40AA">
        <w:t xml:space="preserve">Figure </w:t>
      </w:r>
      <w:r w:rsidRPr="00CB40AA">
        <w:rPr>
          <w:color w:val="2B579A"/>
          <w:shd w:val="clear" w:color="auto" w:fill="E6E6E6"/>
        </w:rPr>
        <w:fldChar w:fldCharType="begin"/>
      </w:r>
      <w:r w:rsidRPr="00CB40AA">
        <w:instrText xml:space="preserve"> SEQ Figure \* ARABIC </w:instrText>
      </w:r>
      <w:r w:rsidRPr="00CB40AA">
        <w:rPr>
          <w:color w:val="2B579A"/>
          <w:shd w:val="clear" w:color="auto" w:fill="E6E6E6"/>
        </w:rPr>
        <w:fldChar w:fldCharType="separate"/>
      </w:r>
      <w:r w:rsidR="001D6B4B">
        <w:rPr>
          <w:noProof/>
        </w:rPr>
        <w:t>3</w:t>
      </w:r>
      <w:r w:rsidRPr="00CB40AA">
        <w:rPr>
          <w:color w:val="2B579A"/>
          <w:shd w:val="clear" w:color="auto" w:fill="E6E6E6"/>
        </w:rPr>
        <w:fldChar w:fldCharType="end"/>
      </w:r>
      <w:bookmarkEnd w:id="34"/>
      <w:r w:rsidRPr="00CB40AA">
        <w:t>: SPCCB key partners and stakeholder organisational chart</w:t>
      </w:r>
    </w:p>
    <w:p w14:paraId="671931C6" w14:textId="1C082446" w:rsidR="3E214629" w:rsidRPr="00CB40AA" w:rsidRDefault="3E214629">
      <w:r w:rsidRPr="00CB40AA">
        <w:br w:type="page"/>
      </w:r>
    </w:p>
    <w:p w14:paraId="1F77E1CD" w14:textId="52FA0ACC" w:rsidR="78518274" w:rsidRPr="00CB40AA" w:rsidRDefault="3CD3D612" w:rsidP="00EB7114">
      <w:pPr>
        <w:pStyle w:val="Heading2"/>
      </w:pPr>
      <w:bookmarkStart w:id="35" w:name="_Toc103348728"/>
      <w:r>
        <w:lastRenderedPageBreak/>
        <w:t xml:space="preserve">History of </w:t>
      </w:r>
      <w:r w:rsidR="2E216421">
        <w:t>SPCCB partnership development</w:t>
      </w:r>
      <w:bookmarkEnd w:id="35"/>
    </w:p>
    <w:p w14:paraId="23F45B97" w14:textId="3AA06C5B" w:rsidR="000202F0" w:rsidRPr="00EB7114" w:rsidRDefault="696E1B23" w:rsidP="00EB7114">
      <w:pPr>
        <w:pStyle w:val="BodyCopy"/>
      </w:pPr>
      <w:r w:rsidRPr="00EB7114">
        <w:t>SPCCB’s mission is to strengthen local capacity ‘for conducting independent, rigorous inquiry into the problems facing the management of economies in t</w:t>
      </w:r>
      <w:r w:rsidR="2205E67D" w:rsidRPr="00EB7114">
        <w:t>he South Pacific’ through evidenced-based policymaking</w:t>
      </w:r>
      <w:r w:rsidR="3EDEA6A3" w:rsidRPr="00EB7114">
        <w:t xml:space="preserve"> (Griffith University, 2022c).</w:t>
      </w:r>
      <w:r w:rsidR="1FDCA560" w:rsidRPr="00EB7114">
        <w:t xml:space="preserve"> The </w:t>
      </w:r>
      <w:r w:rsidR="0334C3A7" w:rsidRPr="00EB7114">
        <w:t xml:space="preserve">SPCCB </w:t>
      </w:r>
      <w:r w:rsidR="1FDCA560" w:rsidRPr="00EB7114">
        <w:t xml:space="preserve">partnership </w:t>
      </w:r>
      <w:r w:rsidR="323833CB" w:rsidRPr="00EB7114">
        <w:t xml:space="preserve">was </w:t>
      </w:r>
      <w:r w:rsidR="1289A431" w:rsidRPr="00EB7114">
        <w:t xml:space="preserve">first </w:t>
      </w:r>
      <w:r w:rsidR="323833CB" w:rsidRPr="00EB7114">
        <w:t>seeded under its initial title</w:t>
      </w:r>
      <w:r w:rsidR="468158F0" w:rsidRPr="00EB7114">
        <w:t>,</w:t>
      </w:r>
      <w:r w:rsidR="323833CB" w:rsidRPr="00EB7114">
        <w:t xml:space="preserve"> the South Pacific Studies Group (SPSG) </w:t>
      </w:r>
      <w:r w:rsidR="2A2E2986" w:rsidRPr="00EB7114">
        <w:t>by</w:t>
      </w:r>
      <w:r w:rsidR="1FDCA560" w:rsidRPr="00EB7114">
        <w:t xml:space="preserve"> </w:t>
      </w:r>
      <w:r w:rsidR="0334C3A7" w:rsidRPr="00EB7114">
        <w:t>Griffith University academic</w:t>
      </w:r>
      <w:r w:rsidR="2A2E2986" w:rsidRPr="00EB7114">
        <w:t xml:space="preserve"> Dr P</w:t>
      </w:r>
      <w:r w:rsidR="00D217A5" w:rsidRPr="00EB7114">
        <w:t>ar</w:t>
      </w:r>
      <w:r w:rsidR="2A2E2986" w:rsidRPr="00EB7114">
        <w:t>mendra Sharm</w:t>
      </w:r>
      <w:r w:rsidR="7DEAE464" w:rsidRPr="00EB7114">
        <w:t>a</w:t>
      </w:r>
      <w:r w:rsidR="00941984" w:rsidRPr="00EB7114">
        <w:t>, who initiated a connection with</w:t>
      </w:r>
      <w:r w:rsidR="2A2E2986" w:rsidRPr="00EB7114">
        <w:t xml:space="preserve"> the</w:t>
      </w:r>
      <w:r w:rsidR="1FDCA560" w:rsidRPr="00EB7114">
        <w:t xml:space="preserve"> R</w:t>
      </w:r>
      <w:r w:rsidR="2A2E2986" w:rsidRPr="00EB7114">
        <w:t>eserve Bank of Fiji (RBF) to explore collaboration opportunities</w:t>
      </w:r>
      <w:r w:rsidR="4719E74F" w:rsidRPr="00EB7114">
        <w:t xml:space="preserve">. </w:t>
      </w:r>
      <w:r w:rsidRPr="00EB7114">
        <w:br/>
      </w:r>
      <w:r w:rsidR="4719E74F" w:rsidRPr="00EB7114">
        <w:t xml:space="preserve">Dr Sharma, a Fijian </w:t>
      </w:r>
      <w:r w:rsidR="00D3672F" w:rsidRPr="00EB7114">
        <w:t xml:space="preserve">national </w:t>
      </w:r>
      <w:r w:rsidR="4719E74F" w:rsidRPr="00EB7114">
        <w:t xml:space="preserve">and </w:t>
      </w:r>
      <w:r w:rsidR="2A2E2986" w:rsidRPr="00EB7114">
        <w:t>former staff member at RBF</w:t>
      </w:r>
      <w:r w:rsidR="4719E74F" w:rsidRPr="00EB7114">
        <w:t>,</w:t>
      </w:r>
      <w:r w:rsidR="2A2E2986" w:rsidRPr="00EB7114">
        <w:t xml:space="preserve"> understood the bank</w:t>
      </w:r>
      <w:r w:rsidR="62CECB11" w:rsidRPr="00EB7114">
        <w:t>’</w:t>
      </w:r>
      <w:r w:rsidR="2A2E2986" w:rsidRPr="00EB7114">
        <w:t xml:space="preserve">s challenges in terms of research culture and retention of professional staff. </w:t>
      </w:r>
    </w:p>
    <w:p w14:paraId="00804B4A" w14:textId="749DDFB3" w:rsidR="000202F0" w:rsidRPr="00EB7114" w:rsidRDefault="4719E74F" w:rsidP="00EB7114">
      <w:pPr>
        <w:pStyle w:val="BodyCopy"/>
      </w:pPr>
      <w:r w:rsidRPr="00EB7114">
        <w:t>Following an exploratory collaboration exercise producing a joint research paper</w:t>
      </w:r>
      <w:r w:rsidR="4BAC3C13" w:rsidRPr="00EB7114">
        <w:t xml:space="preserve"> in 2014, </w:t>
      </w:r>
      <w:r w:rsidR="62CECB11" w:rsidRPr="00EB7114">
        <w:t xml:space="preserve">Dr Sharma was able to strengthen the relationship further </w:t>
      </w:r>
      <w:r w:rsidR="0000449C" w:rsidRPr="00EB7114">
        <w:t>by successfully applying for and conducting</w:t>
      </w:r>
      <w:r w:rsidR="62CECB11" w:rsidRPr="00EB7114">
        <w:t xml:space="preserve"> </w:t>
      </w:r>
      <w:r w:rsidR="2A2E2986" w:rsidRPr="00EB7114">
        <w:t xml:space="preserve">the </w:t>
      </w:r>
      <w:r w:rsidR="1289A431" w:rsidRPr="00EB7114">
        <w:t xml:space="preserve">2015 </w:t>
      </w:r>
      <w:r w:rsidR="2A2E2986" w:rsidRPr="00EB7114">
        <w:t>Australia Awards fellowship, ‘</w:t>
      </w:r>
      <w:r w:rsidR="2A2E2986" w:rsidRPr="002240E0">
        <w:rPr>
          <w:i/>
          <w:iCs/>
        </w:rPr>
        <w:t>Developing capacity for research and policy formulation at the Reserve Bank (Fiji</w:t>
      </w:r>
      <w:r w:rsidR="2FA5F766" w:rsidRPr="002240E0">
        <w:rPr>
          <w:i/>
          <w:iCs/>
        </w:rPr>
        <w:t>)</w:t>
      </w:r>
      <w:r w:rsidR="2FA5F766" w:rsidRPr="00EB7114">
        <w:t xml:space="preserve"> (Griffith Asia Insights, 2015).</w:t>
      </w:r>
      <w:r w:rsidR="2A2E2986" w:rsidRPr="00EB7114">
        <w:t xml:space="preserve"> Interest </w:t>
      </w:r>
      <w:r w:rsidR="62CECB11" w:rsidRPr="00EB7114">
        <w:t xml:space="preserve">in capacity development activities soon spread among </w:t>
      </w:r>
      <w:r w:rsidR="2A2E2986" w:rsidRPr="00EB7114">
        <w:t xml:space="preserve">other </w:t>
      </w:r>
      <w:r w:rsidRPr="00EB7114">
        <w:t xml:space="preserve">central banks in the </w:t>
      </w:r>
      <w:r w:rsidR="62CECB11" w:rsidRPr="00EB7114">
        <w:t xml:space="preserve">South Pacific. This led to </w:t>
      </w:r>
      <w:r w:rsidR="1FDCA560" w:rsidRPr="00EB7114">
        <w:t>broader e</w:t>
      </w:r>
      <w:r w:rsidR="2A2E2986" w:rsidRPr="00EB7114">
        <w:t>ngagement</w:t>
      </w:r>
      <w:r w:rsidR="62CECB11" w:rsidRPr="00EB7114">
        <w:t xml:space="preserve"> </w:t>
      </w:r>
      <w:r w:rsidRPr="00EB7114">
        <w:t xml:space="preserve">in the </w:t>
      </w:r>
      <w:r w:rsidR="62CECB11" w:rsidRPr="00EB7114">
        <w:t>region</w:t>
      </w:r>
      <w:r w:rsidR="2A2E2986" w:rsidRPr="00EB7114">
        <w:t xml:space="preserve"> </w:t>
      </w:r>
      <w:r w:rsidR="1FDCA560" w:rsidRPr="00EB7114">
        <w:t>and the evolution of the SPCCB</w:t>
      </w:r>
      <w:r w:rsidR="62CECB11" w:rsidRPr="00EB7114">
        <w:t xml:space="preserve"> following the inaugural Central Banking Symposium hosted by Griffith University in 2016</w:t>
      </w:r>
      <w:r w:rsidR="748C1E29" w:rsidRPr="00EB7114">
        <w:t xml:space="preserve"> (Griffith News, 2016a; Griffith News 2016b)</w:t>
      </w:r>
      <w:r w:rsidR="05CCB829" w:rsidRPr="00EB7114">
        <w:t>.</w:t>
      </w:r>
      <w:r w:rsidR="1289A431" w:rsidRPr="00EB7114">
        <w:t xml:space="preserve"> </w:t>
      </w:r>
      <w:r w:rsidR="45A15A22" w:rsidRPr="00EB7114">
        <w:t xml:space="preserve">In </w:t>
      </w:r>
      <w:r w:rsidR="00823215" w:rsidRPr="00EB7114">
        <w:t xml:space="preserve">January </w:t>
      </w:r>
      <w:r w:rsidR="45A15A22" w:rsidRPr="00EB7114">
        <w:t xml:space="preserve">2018, Griffith University hosted a second capacity building Australia Awards fellowship, </w:t>
      </w:r>
      <w:r w:rsidR="45A15A22" w:rsidRPr="002240E0">
        <w:rPr>
          <w:i/>
          <w:iCs/>
        </w:rPr>
        <w:t>‘Developing Research and Policy Formulation Capacity at the Central Banks (RBF &amp; RBV</w:t>
      </w:r>
      <w:r w:rsidR="00823215" w:rsidRPr="002240E0">
        <w:rPr>
          <w:i/>
          <w:iCs/>
        </w:rPr>
        <w:t>)</w:t>
      </w:r>
      <w:r w:rsidR="45A15A22" w:rsidRPr="002240E0">
        <w:rPr>
          <w:i/>
          <w:iCs/>
        </w:rPr>
        <w:t>.</w:t>
      </w:r>
      <w:r w:rsidR="00DD37FC" w:rsidRPr="002240E0">
        <w:rPr>
          <w:i/>
          <w:iCs/>
        </w:rPr>
        <w:t>’</w:t>
      </w:r>
    </w:p>
    <w:p w14:paraId="3FAED57D" w14:textId="545A00D4" w:rsidR="00C42547" w:rsidRPr="00EB7114" w:rsidRDefault="5BE4FDE7" w:rsidP="00EB7114">
      <w:pPr>
        <w:pStyle w:val="BodyCopy"/>
      </w:pPr>
      <w:r w:rsidRPr="00EB7114">
        <w:t>This demand-driven partnership has resulted in</w:t>
      </w:r>
      <w:r w:rsidR="6887D386" w:rsidRPr="00EB7114">
        <w:t xml:space="preserve"> </w:t>
      </w:r>
      <w:r w:rsidR="05DAC86A" w:rsidRPr="00EB7114">
        <w:t xml:space="preserve">formal MOUs with RBF, RBV, CBSI, BPNG, BCTL individually and as </w:t>
      </w:r>
      <w:r w:rsidR="661A60EA" w:rsidRPr="00EB7114">
        <w:t>a</w:t>
      </w:r>
      <w:r w:rsidR="05DAC86A" w:rsidRPr="00EB7114">
        <w:t xml:space="preserve"> regional-level agreement; numerous research publications</w:t>
      </w:r>
      <w:r w:rsidR="50B461B9" w:rsidRPr="00EB7114">
        <w:t xml:space="preserve"> (20</w:t>
      </w:r>
      <w:r w:rsidR="75430B42" w:rsidRPr="00EB7114">
        <w:t xml:space="preserve"> </w:t>
      </w:r>
      <w:r w:rsidR="50B461B9" w:rsidRPr="00EB7114">
        <w:t xml:space="preserve">working papers and </w:t>
      </w:r>
      <w:r w:rsidR="003503BD" w:rsidRPr="00EB7114">
        <w:t>seven</w:t>
      </w:r>
      <w:r w:rsidR="75430B42" w:rsidRPr="00EB7114">
        <w:t xml:space="preserve"> </w:t>
      </w:r>
      <w:r w:rsidR="50B461B9" w:rsidRPr="00EB7114">
        <w:t xml:space="preserve">journal </w:t>
      </w:r>
      <w:r w:rsidR="37DCFE3B" w:rsidRPr="00EB7114">
        <w:t>articles</w:t>
      </w:r>
      <w:r w:rsidR="50B461B9" w:rsidRPr="00EB7114">
        <w:t>);</w:t>
      </w:r>
      <w:r w:rsidR="05DAC86A" w:rsidRPr="00EB7114">
        <w:t xml:space="preserve"> and </w:t>
      </w:r>
      <w:r w:rsidR="37DCFE3B" w:rsidRPr="00EB7114">
        <w:t>a wide</w:t>
      </w:r>
      <w:r w:rsidR="4BD99491" w:rsidRPr="00EB7114">
        <w:t xml:space="preserve"> range of</w:t>
      </w:r>
      <w:r w:rsidR="37DCFE3B" w:rsidRPr="00EB7114">
        <w:t xml:space="preserve"> </w:t>
      </w:r>
      <w:r w:rsidR="05DAC86A" w:rsidRPr="00EB7114">
        <w:t>engagement activities</w:t>
      </w:r>
      <w:r w:rsidR="4BD99491" w:rsidRPr="00EB7114">
        <w:t xml:space="preserve"> including forums, </w:t>
      </w:r>
      <w:r w:rsidR="00C32958" w:rsidRPr="00EB7114">
        <w:t>seminars, symposia</w:t>
      </w:r>
      <w:r w:rsidR="008B0B16" w:rsidRPr="00EB7114">
        <w:t xml:space="preserve">, </w:t>
      </w:r>
      <w:r w:rsidR="4BD99491" w:rsidRPr="00EB7114">
        <w:t xml:space="preserve">conferences and </w:t>
      </w:r>
      <w:r w:rsidR="008B0B16" w:rsidRPr="00EB7114">
        <w:t xml:space="preserve">training </w:t>
      </w:r>
      <w:r w:rsidR="4BD99491" w:rsidRPr="00EB7114">
        <w:t>workshops</w:t>
      </w:r>
      <w:r w:rsidR="75430B42" w:rsidRPr="00EB7114">
        <w:t xml:space="preserve">. </w:t>
      </w:r>
    </w:p>
    <w:p w14:paraId="7D020DCF" w14:textId="5E8C39A5" w:rsidR="00941528" w:rsidRPr="00EB7114" w:rsidRDefault="5E626E32" w:rsidP="00EB7114">
      <w:pPr>
        <w:pStyle w:val="BodyCopy"/>
      </w:pPr>
      <w:r w:rsidRPr="00EB7114">
        <w:t xml:space="preserve">To learn more about the history and mission of the central banks in focus please refer to the organisational profiles in </w:t>
      </w:r>
      <w:r w:rsidR="008919A4" w:rsidRPr="00EB7114">
        <w:t>Annex 1</w:t>
      </w:r>
      <w:r w:rsidRPr="00EB7114">
        <w:t>.</w:t>
      </w:r>
    </w:p>
    <w:p w14:paraId="07EBA257" w14:textId="77777777" w:rsidR="009A3236" w:rsidRPr="00CB40AA" w:rsidRDefault="009A3236" w:rsidP="129E54B2">
      <w:pPr>
        <w:spacing w:after="0"/>
        <w:sectPr w:rsidR="009A3236" w:rsidRPr="00CB40AA" w:rsidSect="00BD25A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p>
    <w:p w14:paraId="2C618247" w14:textId="55CF97D7" w:rsidR="007673CB" w:rsidRPr="00CB40AA" w:rsidRDefault="39E98F28" w:rsidP="00163FA0">
      <w:pPr>
        <w:pStyle w:val="Caption"/>
      </w:pPr>
      <w:r>
        <w:rPr>
          <w:noProof/>
          <w:color w:val="2B579A"/>
          <w:shd w:val="clear" w:color="auto" w:fill="E6E6E6"/>
          <w:lang w:eastAsia="en-AU"/>
        </w:rPr>
        <w:lastRenderedPageBreak/>
        <w:drawing>
          <wp:inline distT="0" distB="0" distL="0" distR="0" wp14:anchorId="3EED20C6" wp14:editId="79934C71">
            <wp:extent cx="8842550" cy="5029200"/>
            <wp:effectExtent l="0" t="0" r="0" b="0"/>
            <wp:docPr id="1472986030" name="Picture 1472986030" descr="Early 2012 : The South Pacific Group (SPSG) is lauched under Griffith University's Asia Institute . &#10;2014: Under SPSG, a partnership with the Reserve Bank of Fiji (RBF) is fostered with a joint research paper.&#10;2015: SPSG is awarded an Australia Awards fellowship to host 6 RBF- Developing capacity for research and policy formation. SPSG and RBF sign a MOU, a relationship to build on joint working papaers platforms further collaboration.&#10;2016: The inaugural Central Banking Symposium hosted by Griffith University, attened by the central banks of Fiji, Vanuatu, Solomon Islands and PNG. SPSG becomes SPCCB at Symposium discussions to elevate the study group into a research centre for central banking.&#10;2017: SPCCB signs MOU with three central banks, PNG, Solomon Islands and Vanuatu to join the 'research for policy' developing capacity program.&#10;2018: SPCCB awarded a second Australia Awards fellowship to host RBF and RBV: 'Developing research and policy formulation capacity at the central bank'.&#10;Joint research seminairs with RBF, RBV, BPNG, CBSI are held in home countries. Inaugural South Pacific Central Banking Research Conference co-hosted by Griffith University, RBF, RBV, BPNG and CBSI.&#10;2019: South Pacific Central Bank Confernce sponsored by Griffith RBF, RBV, BPNG and CBSI. MOU signed with the Central Bank of Timor-Leste to join SPCCB.&#10;Griffith University co-fund PhD research MOU with RBF, RBV, BPNG and CBSI at the research confernce. High level regigional dialogue included central bank Governors and senior staff, with senior delegates from ADB, World Bank, IFC, IMF, RBA and RBNA.&#10;2020: Virtual Governors forum co-hosted by Griffith University and ADB with central bank Governors discussiong COVID-19 impacts on the financial and economic sectors. Pacific regional signing of MOU with Griffith University at Vitual Governor's  Forum with RBF, RBV, BPNG, CBSI and BCTL.&#10;2021: South Pacific Banks 2021 Virtual Governor's Forum: &quot;COVID-19 and the PICs- one year on: How are the central banks coping?&quot;World Bank Presentation hosted by SPCCB: Investment challenges faced by offical sector asset managers in response to COVID-19 pandemic.&#10;&#10;" title="Timeline of the SPCCB partnership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842550" cy="5029200"/>
                    </a:xfrm>
                    <a:prstGeom prst="rect">
                      <a:avLst/>
                    </a:prstGeom>
                  </pic:spPr>
                </pic:pic>
              </a:graphicData>
            </a:graphic>
          </wp:inline>
        </w:drawing>
      </w:r>
    </w:p>
    <w:p w14:paraId="71FD770A" w14:textId="0CDC98BA" w:rsidR="007673CB" w:rsidRPr="00CB40AA" w:rsidRDefault="1E379745" w:rsidP="00EB7114">
      <w:pPr>
        <w:pStyle w:val="Figure"/>
      </w:pPr>
      <w:r>
        <w:t xml:space="preserve">Figure </w:t>
      </w:r>
      <w:r w:rsidR="40CB1E39" w:rsidRPr="2BE99E8E">
        <w:rPr>
          <w:color w:val="2B579A"/>
          <w:shd w:val="clear" w:color="auto" w:fill="E6E6E6"/>
        </w:rPr>
        <w:fldChar w:fldCharType="begin"/>
      </w:r>
      <w:r w:rsidR="40CB1E39">
        <w:instrText xml:space="preserve"> SEQ Figure \* ARABIC </w:instrText>
      </w:r>
      <w:r w:rsidR="40CB1E39" w:rsidRPr="2BE99E8E">
        <w:rPr>
          <w:color w:val="2B579A"/>
          <w:shd w:val="clear" w:color="auto" w:fill="E6E6E6"/>
        </w:rPr>
        <w:fldChar w:fldCharType="separate"/>
      </w:r>
      <w:r w:rsidR="001D6B4B">
        <w:rPr>
          <w:noProof/>
        </w:rPr>
        <w:t>4</w:t>
      </w:r>
      <w:r w:rsidR="40CB1E39" w:rsidRPr="2BE99E8E">
        <w:rPr>
          <w:color w:val="2B579A"/>
          <w:shd w:val="clear" w:color="auto" w:fill="E6E6E6"/>
        </w:rPr>
        <w:fldChar w:fldCharType="end"/>
      </w:r>
      <w:r>
        <w:t>: Timeline of SPCCB partnership development</w:t>
      </w:r>
    </w:p>
    <w:p w14:paraId="57E49B45" w14:textId="77777777" w:rsidR="009A3236" w:rsidRPr="00CB40AA" w:rsidRDefault="009A3236">
      <w:pPr>
        <w:sectPr w:rsidR="009A3236" w:rsidRPr="00CB40AA" w:rsidSect="00F66D91">
          <w:pgSz w:w="15840" w:h="12240" w:orient="landscape"/>
          <w:pgMar w:top="1440" w:right="1440" w:bottom="1440" w:left="1440" w:header="720" w:footer="720" w:gutter="0"/>
          <w:cols w:space="720"/>
          <w:docGrid w:linePitch="360"/>
        </w:sectPr>
      </w:pPr>
    </w:p>
    <w:p w14:paraId="7503699E" w14:textId="145C94E5" w:rsidR="3943AE2E" w:rsidRPr="00CB40AA" w:rsidRDefault="1781A827" w:rsidP="00EB7114">
      <w:pPr>
        <w:pStyle w:val="Heading2"/>
      </w:pPr>
      <w:bookmarkStart w:id="36" w:name="_Toc103348729"/>
      <w:r>
        <w:lastRenderedPageBreak/>
        <w:t xml:space="preserve">The </w:t>
      </w:r>
      <w:r w:rsidR="5308855B">
        <w:t xml:space="preserve">important </w:t>
      </w:r>
      <w:r w:rsidR="596A6716">
        <w:t xml:space="preserve">role </w:t>
      </w:r>
      <w:r>
        <w:t xml:space="preserve">of central </w:t>
      </w:r>
      <w:r w:rsidR="412F2550">
        <w:t>bank</w:t>
      </w:r>
      <w:r>
        <w:t>s</w:t>
      </w:r>
      <w:bookmarkEnd w:id="36"/>
    </w:p>
    <w:p w14:paraId="3032D149" w14:textId="1969A258" w:rsidR="003834E8" w:rsidRPr="00EB7114" w:rsidRDefault="696E1B23" w:rsidP="00EB7114">
      <w:pPr>
        <w:pStyle w:val="BodyCopy"/>
      </w:pPr>
      <w:r w:rsidRPr="00EB7114">
        <w:t xml:space="preserve">The </w:t>
      </w:r>
      <w:r w:rsidR="0D6FCEDA" w:rsidRPr="00EB7114">
        <w:t>core functions</w:t>
      </w:r>
      <w:r w:rsidR="369C8F06" w:rsidRPr="00EB7114">
        <w:t xml:space="preserve"> </w:t>
      </w:r>
      <w:r w:rsidRPr="00EB7114">
        <w:t>of a central bank</w:t>
      </w:r>
      <w:r w:rsidR="0D6FCEDA" w:rsidRPr="00EB7114">
        <w:t xml:space="preserve"> </w:t>
      </w:r>
      <w:r w:rsidR="5B7EFE4A" w:rsidRPr="00EB7114">
        <w:t>include</w:t>
      </w:r>
      <w:r w:rsidR="36A2B9DC" w:rsidRPr="00EB7114">
        <w:t xml:space="preserve"> monetary policy, </w:t>
      </w:r>
      <w:r w:rsidR="7DE80A9D" w:rsidRPr="00EB7114">
        <w:t xml:space="preserve">the </w:t>
      </w:r>
      <w:r w:rsidR="36A2B9DC" w:rsidRPr="00EB7114">
        <w:t xml:space="preserve">regulation of </w:t>
      </w:r>
      <w:r w:rsidR="3C40F07F" w:rsidRPr="00EB7114">
        <w:t>the</w:t>
      </w:r>
      <w:r w:rsidR="23697F12" w:rsidRPr="00EB7114">
        <w:t xml:space="preserve"> nation’s</w:t>
      </w:r>
      <w:r w:rsidR="3C40F07F" w:rsidRPr="00EB7114">
        <w:t xml:space="preserve"> </w:t>
      </w:r>
      <w:r w:rsidR="36A2B9DC" w:rsidRPr="00EB7114">
        <w:t>financial</w:t>
      </w:r>
      <w:r w:rsidR="66581231" w:rsidRPr="00EB7114">
        <w:t xml:space="preserve"> system</w:t>
      </w:r>
      <w:r w:rsidR="54B465FC" w:rsidRPr="00EB7114">
        <w:t xml:space="preserve">, </w:t>
      </w:r>
      <w:r w:rsidR="6F68523E" w:rsidRPr="00EB7114">
        <w:t xml:space="preserve">management of </w:t>
      </w:r>
      <w:r w:rsidR="66581231" w:rsidRPr="00EB7114">
        <w:t xml:space="preserve">foreign reserves, </w:t>
      </w:r>
      <w:r w:rsidR="02F18D39" w:rsidRPr="00EB7114">
        <w:t xml:space="preserve">and </w:t>
      </w:r>
      <w:r w:rsidR="7DE80A9D" w:rsidRPr="00EB7114">
        <w:t xml:space="preserve">the </w:t>
      </w:r>
      <w:r w:rsidR="54B465FC" w:rsidRPr="00EB7114">
        <w:t>financial</w:t>
      </w:r>
      <w:r w:rsidR="7DE80A9D" w:rsidRPr="00EB7114">
        <w:t xml:space="preserve"> and economic advisory role </w:t>
      </w:r>
      <w:r w:rsidR="36A2B9DC" w:rsidRPr="00EB7114">
        <w:t>to government</w:t>
      </w:r>
      <w:r w:rsidR="66581231" w:rsidRPr="00EB7114">
        <w:t xml:space="preserve">. </w:t>
      </w:r>
      <w:r w:rsidR="369C8F06" w:rsidRPr="00EB7114">
        <w:t xml:space="preserve">The </w:t>
      </w:r>
      <w:r w:rsidR="609FB30E" w:rsidRPr="00EB7114">
        <w:t>legal framework</w:t>
      </w:r>
      <w:r w:rsidR="369C8F06" w:rsidRPr="00EB7114">
        <w:t xml:space="preserve"> of central banks</w:t>
      </w:r>
      <w:r w:rsidR="609FB30E" w:rsidRPr="00EB7114">
        <w:t xml:space="preserve"> </w:t>
      </w:r>
      <w:r w:rsidR="680DE658" w:rsidRPr="00EB7114">
        <w:t>varies</w:t>
      </w:r>
      <w:r w:rsidR="369C8F06" w:rsidRPr="00EB7114">
        <w:t xml:space="preserve"> </w:t>
      </w:r>
      <w:r w:rsidR="609FB30E" w:rsidRPr="00EB7114">
        <w:t xml:space="preserve">from country to country, with many </w:t>
      </w:r>
      <w:r w:rsidR="71C17977" w:rsidRPr="00EB7114">
        <w:t>nations</w:t>
      </w:r>
      <w:r w:rsidR="609FB30E" w:rsidRPr="00EB7114">
        <w:t xml:space="preserve"> having </w:t>
      </w:r>
      <w:r w:rsidR="01833334" w:rsidRPr="00EB7114">
        <w:t>a</w:t>
      </w:r>
      <w:r w:rsidR="609FB30E" w:rsidRPr="00EB7114">
        <w:t xml:space="preserve"> legislative mandate</w:t>
      </w:r>
      <w:r w:rsidR="369C8F06" w:rsidRPr="00EB7114">
        <w:t xml:space="preserve"> embedded in their constitutions</w:t>
      </w:r>
      <w:r w:rsidR="6F68523E" w:rsidRPr="00EB7114">
        <w:t xml:space="preserve"> which supports independence of the bank to implement policies and conduct operations</w:t>
      </w:r>
      <w:r w:rsidR="7DE80A9D" w:rsidRPr="00EB7114">
        <w:t xml:space="preserve"> </w:t>
      </w:r>
      <w:r w:rsidR="02D2E12F" w:rsidRPr="00EB7114">
        <w:fldChar w:fldCharType="begin"/>
      </w:r>
      <w:r w:rsidR="004A3542" w:rsidRPr="00EB7114">
        <w:instrText xml:space="preserve"> ADDIN ZOTERO_ITEM CSL_CITATION {"citationID":"KbBnSLdj","properties":{"formattedCitation":"(Klingebiel et al., 2021)","plainCitation":"(Klingebiel et al., 2021)","noteIndex":0},"citationItems":[{"id":659,"uris":["http://zotero.org/groups/2364906/items/8EKGVRXE"],"uri":["http://zotero.org/groups/2364906/items/8EKGVRXE"],"itemData":{"id":659,"type":"article-journal","container-title":"World Bank Research Paper 9763","language":"en","page":"33","source":"Zotero","title":"Central Bank Governance and Reserve Portfolios Investment Policies: An Empirical Analysis","URL":"https://openknowledge.worldbank.org/handle/10986/36228","author":[{"family":"Klingebiel","given":"Daniela"},{"family":"Montes","given":"Carmen Mileva Herrero"},{"family":"Ruiz","given":"Marco"},{"family":"Seward","given":"James"}],"accessed":{"date-parts":[["2022",4,2]]},"issued":{"date-parts":[["2021",8]]}}}],"schema":"https://github.com/citation-style-language/schema/raw/master/csl-citation.json"} </w:instrText>
      </w:r>
      <w:r w:rsidR="02D2E12F" w:rsidRPr="00EB7114">
        <w:fldChar w:fldCharType="separate"/>
      </w:r>
      <w:r w:rsidR="7DE80A9D" w:rsidRPr="00EB7114">
        <w:t>(Klingebiel et al., 2021)</w:t>
      </w:r>
      <w:r w:rsidR="02D2E12F" w:rsidRPr="00EB7114">
        <w:fldChar w:fldCharType="end"/>
      </w:r>
      <w:r w:rsidR="7DE80A9D" w:rsidRPr="00EB7114">
        <w:t>.</w:t>
      </w:r>
      <w:r w:rsidR="756BD13A" w:rsidRPr="00EB7114">
        <w:t xml:space="preserve"> In general, a central bank</w:t>
      </w:r>
      <w:r w:rsidR="7DE80A9D" w:rsidRPr="00EB7114">
        <w:t xml:space="preserve"> </w:t>
      </w:r>
      <w:r w:rsidR="6744C72B" w:rsidRPr="00EB7114">
        <w:t>supports</w:t>
      </w:r>
      <w:r w:rsidR="318DEBFA" w:rsidRPr="00EB7114">
        <w:t xml:space="preserve"> </w:t>
      </w:r>
      <w:r w:rsidR="756BD13A" w:rsidRPr="00EB7114">
        <w:t xml:space="preserve">the </w:t>
      </w:r>
      <w:r w:rsidR="318DEBFA" w:rsidRPr="00EB7114">
        <w:t xml:space="preserve">stability of a nation’s currency, </w:t>
      </w:r>
      <w:r w:rsidR="00EF64D8" w:rsidRPr="00EB7114">
        <w:t>mitigating</w:t>
      </w:r>
      <w:r w:rsidR="318DEBFA" w:rsidRPr="00EB7114">
        <w:t xml:space="preserve"> inflation and unemployment, and stimulating development and economic growth</w:t>
      </w:r>
      <w:r w:rsidR="7DE80A9D" w:rsidRPr="00EB7114">
        <w:t>.</w:t>
      </w:r>
      <w:r w:rsidR="318DEBFA" w:rsidRPr="00EB7114">
        <w:t xml:space="preserve"> </w:t>
      </w:r>
    </w:p>
    <w:p w14:paraId="5FE034FA" w14:textId="04CC852E" w:rsidR="00AB564A" w:rsidRPr="00EB7114" w:rsidRDefault="003834E8" w:rsidP="00EB7114">
      <w:pPr>
        <w:pStyle w:val="BodyCopy"/>
      </w:pPr>
      <w:r w:rsidRPr="00EB7114">
        <w:t>A</w:t>
      </w:r>
      <w:r w:rsidR="66D19A94" w:rsidRPr="00EB7114">
        <w:t xml:space="preserve"> key component of all</w:t>
      </w:r>
      <w:r w:rsidR="34A4A673" w:rsidRPr="00EB7114">
        <w:t xml:space="preserve"> central bank </w:t>
      </w:r>
      <w:r w:rsidR="0D758903" w:rsidRPr="00EB7114">
        <w:t>activities</w:t>
      </w:r>
      <w:r w:rsidR="00AB564A" w:rsidRPr="00EB7114">
        <w:t xml:space="preserve"> is </w:t>
      </w:r>
      <w:r w:rsidR="003115AB" w:rsidRPr="00EB7114">
        <w:t xml:space="preserve">the analysis and interpretation of </w:t>
      </w:r>
      <w:r w:rsidR="00AB564A" w:rsidRPr="00EB7114">
        <w:t xml:space="preserve">a wide range of </w:t>
      </w:r>
      <w:r w:rsidR="003115AB" w:rsidRPr="00EB7114">
        <w:t>data</w:t>
      </w:r>
      <w:r w:rsidR="00AB564A" w:rsidRPr="00EB7114">
        <w:t xml:space="preserve"> to</w:t>
      </w:r>
      <w:r w:rsidR="009A733F" w:rsidRPr="00EB7114">
        <w:t xml:space="preserve"> manage risk, inform</w:t>
      </w:r>
      <w:r w:rsidR="0A5EBA4E" w:rsidRPr="00EB7114">
        <w:t xml:space="preserve"> policy formation</w:t>
      </w:r>
      <w:r w:rsidR="009A733F" w:rsidRPr="00EB7114">
        <w:t xml:space="preserve">, </w:t>
      </w:r>
      <w:r w:rsidR="74BFFD7D" w:rsidRPr="00EB7114">
        <w:t xml:space="preserve">and the type of </w:t>
      </w:r>
      <w:r w:rsidR="2F27068A" w:rsidRPr="00EB7114">
        <w:t xml:space="preserve">monetary policy </w:t>
      </w:r>
      <w:r w:rsidR="74BFFD7D" w:rsidRPr="00EB7114">
        <w:t>tools</w:t>
      </w:r>
      <w:r w:rsidR="003115AB" w:rsidRPr="00EB7114">
        <w:t xml:space="preserve"> to </w:t>
      </w:r>
      <w:r w:rsidR="00662AD1" w:rsidRPr="00EB7114">
        <w:t xml:space="preserve">use to </w:t>
      </w:r>
      <w:r w:rsidR="292E475A" w:rsidRPr="00EB7114">
        <w:t xml:space="preserve">slow </w:t>
      </w:r>
      <w:r w:rsidR="30C68004" w:rsidRPr="00EB7114">
        <w:t>or accelerate the</w:t>
      </w:r>
      <w:r w:rsidR="292E475A" w:rsidRPr="00EB7114">
        <w:t xml:space="preserve"> economy</w:t>
      </w:r>
      <w:r w:rsidR="7353D72A" w:rsidRPr="00EB7114">
        <w:t xml:space="preserve"> to achieve stability</w:t>
      </w:r>
      <w:r w:rsidR="696E1B23" w:rsidRPr="00EB7114">
        <w:t>, development,</w:t>
      </w:r>
      <w:r w:rsidR="00662AD1" w:rsidRPr="00EB7114">
        <w:t xml:space="preserve"> and growth</w:t>
      </w:r>
      <w:r w:rsidR="7353D72A" w:rsidRPr="00EB7114">
        <w:t xml:space="preserve">. </w:t>
      </w:r>
    </w:p>
    <w:p w14:paraId="30B47236" w14:textId="375D339C" w:rsidR="0015757D" w:rsidRPr="00CB40AA" w:rsidRDefault="1CE3C93B" w:rsidP="00EB7114">
      <w:pPr>
        <w:pStyle w:val="Heading2"/>
      </w:pPr>
      <w:bookmarkStart w:id="37" w:name="_Toc103348730"/>
      <w:r>
        <w:t>Development challenges</w:t>
      </w:r>
      <w:bookmarkEnd w:id="37"/>
    </w:p>
    <w:p w14:paraId="0B0FDF6C" w14:textId="2B7B9836" w:rsidR="00466966" w:rsidRPr="00EB7114" w:rsidRDefault="5C7CC46B" w:rsidP="00EB7114">
      <w:pPr>
        <w:pStyle w:val="BodyCopy"/>
      </w:pPr>
      <w:r w:rsidRPr="00EB7114">
        <w:t xml:space="preserve">The South Pacific central bank partners – Fiji, Vanuatu, Solomon Islands, Papua New </w:t>
      </w:r>
      <w:r w:rsidR="6035EC35" w:rsidRPr="00EB7114">
        <w:t>Guinea,</w:t>
      </w:r>
      <w:r w:rsidRPr="00EB7114">
        <w:t xml:space="preserve"> and Timor-Leste are </w:t>
      </w:r>
      <w:r w:rsidR="6DFABD01" w:rsidRPr="00EB7114">
        <w:t>young</w:t>
      </w:r>
      <w:r w:rsidRPr="00EB7114">
        <w:t xml:space="preserve">, developing nations which </w:t>
      </w:r>
      <w:r w:rsidR="0D6FCEDA" w:rsidRPr="00EB7114">
        <w:t xml:space="preserve">have faced a range of </w:t>
      </w:r>
      <w:r w:rsidR="68A089EB" w:rsidRPr="00EB7114">
        <w:t xml:space="preserve">political and socioeconomic </w:t>
      </w:r>
      <w:r w:rsidR="0D6FCEDA" w:rsidRPr="00EB7114">
        <w:t>challenges since gaining indepen</w:t>
      </w:r>
      <w:r w:rsidR="3C40F07F" w:rsidRPr="00EB7114">
        <w:t>dence</w:t>
      </w:r>
      <w:r w:rsidR="65DA04E5" w:rsidRPr="00EB7114">
        <w:t xml:space="preserve"> over the last</w:t>
      </w:r>
      <w:r w:rsidR="00F96631" w:rsidRPr="00EB7114">
        <w:t xml:space="preserve"> five</w:t>
      </w:r>
      <w:r w:rsidR="4F028B45" w:rsidRPr="00EB7114">
        <w:t xml:space="preserve"> decades</w:t>
      </w:r>
      <w:r w:rsidR="0F8B7C32" w:rsidRPr="00EB7114">
        <w:t>.</w:t>
      </w:r>
      <w:r w:rsidR="3054BC14" w:rsidRPr="00EB7114">
        <w:t xml:space="preserve"> </w:t>
      </w:r>
      <w:r w:rsidR="792EB44E" w:rsidRPr="00EB7114">
        <w:t xml:space="preserve">Financial inclusion remains a large challenge across the </w:t>
      </w:r>
      <w:r w:rsidR="66016DA3" w:rsidRPr="00EB7114">
        <w:t xml:space="preserve">South Pacific </w:t>
      </w:r>
      <w:r w:rsidR="3054BC14" w:rsidRPr="00EB7114">
        <w:t xml:space="preserve">region </w:t>
      </w:r>
      <w:r w:rsidR="792EB44E" w:rsidRPr="00EB7114">
        <w:t xml:space="preserve">with </w:t>
      </w:r>
      <w:r w:rsidR="3054BC14" w:rsidRPr="00EB7114">
        <w:t xml:space="preserve">limited financial services and </w:t>
      </w:r>
      <w:r w:rsidR="792EB44E" w:rsidRPr="00EB7114">
        <w:t xml:space="preserve">one of the </w:t>
      </w:r>
      <w:r w:rsidR="3054BC14" w:rsidRPr="00EB7114">
        <w:t xml:space="preserve">highest global </w:t>
      </w:r>
      <w:r w:rsidR="4DC5DEDE" w:rsidRPr="00EB7114">
        <w:t>rates</w:t>
      </w:r>
      <w:r w:rsidR="3054BC14" w:rsidRPr="00EB7114">
        <w:t xml:space="preserve"> of ‘unbanked’ adults (individuals who do not use banks or financial institutions</w:t>
      </w:r>
      <w:r w:rsidR="66016DA3" w:rsidRPr="00EB7114">
        <w:t>)</w:t>
      </w:r>
      <w:r w:rsidR="792EB44E" w:rsidRPr="00EB7114">
        <w:t xml:space="preserve">. </w:t>
      </w:r>
      <w:r w:rsidR="00253E3B" w:rsidRPr="00EB7114">
        <w:t>Financial exclusion in the region is caused by a range of factors such as</w:t>
      </w:r>
      <w:r w:rsidR="3FD378C0" w:rsidRPr="00EB7114">
        <w:t xml:space="preserve"> </w:t>
      </w:r>
      <w:r w:rsidR="000731A9" w:rsidRPr="00EB7114">
        <w:t xml:space="preserve">a lack of </w:t>
      </w:r>
      <w:r w:rsidR="00253E3B" w:rsidRPr="00EB7114">
        <w:t>physical banking infrastructure and geographic remoteness</w:t>
      </w:r>
      <w:r w:rsidR="000731A9" w:rsidRPr="00EB7114">
        <w:t>,</w:t>
      </w:r>
      <w:r w:rsidR="00253E3B" w:rsidRPr="00EB7114">
        <w:t xml:space="preserve"> a lack of personal documentation, gender</w:t>
      </w:r>
      <w:r w:rsidR="00553537" w:rsidRPr="00EB7114">
        <w:t xml:space="preserve"> inequity</w:t>
      </w:r>
      <w:r w:rsidR="00253E3B" w:rsidRPr="00EB7114">
        <w:t xml:space="preserve">, </w:t>
      </w:r>
      <w:r w:rsidR="00B62A46" w:rsidRPr="00EB7114">
        <w:t xml:space="preserve">limited </w:t>
      </w:r>
      <w:r w:rsidR="792EB44E" w:rsidRPr="00EB7114">
        <w:t>financial literacy</w:t>
      </w:r>
      <w:r w:rsidR="00553537" w:rsidRPr="00EB7114">
        <w:t>,</w:t>
      </w:r>
      <w:r w:rsidR="556F3AC9" w:rsidRPr="00EB7114">
        <w:t xml:space="preserve"> and</w:t>
      </w:r>
      <w:r w:rsidR="00885C37" w:rsidRPr="00EB7114">
        <w:t xml:space="preserve"> a lack of</w:t>
      </w:r>
      <w:r w:rsidR="556F3AC9" w:rsidRPr="00EB7114">
        <w:t xml:space="preserve"> affordable banking products for </w:t>
      </w:r>
      <w:r w:rsidR="08F52C8A" w:rsidRPr="00EB7114">
        <w:t>low-income</w:t>
      </w:r>
      <w:r w:rsidR="63B6E0D0" w:rsidRPr="00EB7114">
        <w:t xml:space="preserve"> customers</w:t>
      </w:r>
      <w:r w:rsidR="00253E3B" w:rsidRPr="00EB7114">
        <w:t xml:space="preserve">, </w:t>
      </w:r>
      <w:r w:rsidR="665CECCC" w:rsidRPr="00EB7114">
        <w:fldChar w:fldCharType="begin"/>
      </w:r>
      <w:r w:rsidR="665CECCC" w:rsidRPr="00EB7114">
        <w:instrText xml:space="preserve"> ADDIN ZOTERO_ITEM CSL_CITATION {"citationID":"cPbugwOZ","properties":{"formattedCitation":"(Allen et al., 2012; Demirguc-Kunt &amp; Klapper, 2012)","plainCitation":"(Allen et al., 2012; Demirguc-Kunt &amp; Klapper, 2012)","noteIndex":0},"citationItems":[{"id":653,"uris":["http://zotero.org/groups/2364906/items/E34IQ7BH"],"uri":["http://zotero.org/groups/2364906/items/E34IQ7BH"],"itemData":{"id":653,"type":"article-journal","container-title":"World Bank Policy Research Working Paper 6290","language":"en","page":"61","source":"Zotero","title":"The Foundations of Financial Inclusion: Understanding Ownership and Use of Formal Accounts","URL":"https://openknowledge.worldbank.org/handle/10986/12203","author":[{"family":"Allen","given":"Franklin"},{"family":"Demirguc-Kunt","given":"Asli"},{"family":"Klapper","given":"Leora"},{"family":"Peria","given":"Maria Soledad Martinez"}],"accessed":{"date-parts":[["2022",4,2]]},"issued":{"date-parts":[["2012"]]}}},{"id":657,"uris":["http://zotero.org/groups/2364906/items/68BTASM8"],"uri":["http://zotero.org/groups/2364906/items/68BTASM8"],"itemData":{"id":657,"type":"book","abstract":"This paper provides the first analysis of the Global Financial Inclusion (Global Findex) Database, a new set of indicators that measure how adults in 148 economies save, borrow, make payments, and manage risk. The data show that 50 percent of adults worldwide have an account at a formal financial institution, though account penetration varies widely across regions, income groups and individual characteristics. In addition, 22 percent of adults report having saved at a formal financial institution in the past 12 months, and 9 percent report having taken out a new loan from a bank, credit union or microfinance institution in the past year. Although half of adults around the world remain unbanked, at least 35 percent of them report barriers to account use that might be addressed by public policy. Among the most commonly reported barriers are high cost, physical distance, and lack of proper documentation, though there are significant differences across regions and individual characteristics.","collection-title":"Policy Research Working Paper 6025","language":"en","note":"DOI: 10.1596/1813-9450-6025","publisher":"The World Bank","source":"DOI.org (Crossref)","title":"Measuring Financial Inclusion: The Global Findex Database","title-short":"Measuring Financial Inclusion","URL":"http://elibrary.worldbank.org/doi/book/10.1596/1813-9450-6025","author":[{"family":"Demirguc-Kunt","given":"Asli"},{"family":"Klapper","given":"Leora"}],"accessed":{"date-parts":[["2022",2,4]]},"issued":{"date-parts":[["2012",4]]}}}],"schema":"https://github.com/citation-style-language/schema/raw/master/csl-citation.json"} </w:instrText>
      </w:r>
      <w:r w:rsidR="665CECCC" w:rsidRPr="00EB7114">
        <w:fldChar w:fldCharType="separate"/>
      </w:r>
      <w:r w:rsidR="2863A87B" w:rsidRPr="00EB7114">
        <w:t>(Allen et al., 2012; Demirguc-Kunt &amp; Klapper, 2012)</w:t>
      </w:r>
      <w:r w:rsidR="665CECCC" w:rsidRPr="00EB7114">
        <w:fldChar w:fldCharType="end"/>
      </w:r>
      <w:r w:rsidR="2863A87B" w:rsidRPr="00EB7114">
        <w:t>.</w:t>
      </w:r>
    </w:p>
    <w:p w14:paraId="62ADCC52" w14:textId="7BF9324E" w:rsidR="00905FA7" w:rsidRPr="00EB7114" w:rsidRDefault="0CBB75F1" w:rsidP="00EB7114">
      <w:pPr>
        <w:pStyle w:val="BodyCopy"/>
      </w:pPr>
      <w:r w:rsidRPr="00EB7114">
        <w:t>According to Mr A</w:t>
      </w:r>
      <w:r w:rsidR="233B504B" w:rsidRPr="00EB7114">
        <w:t>drian Orr</w:t>
      </w:r>
      <w:r w:rsidR="3E98AD67" w:rsidRPr="00EB7114">
        <w:t xml:space="preserve">, </w:t>
      </w:r>
      <w:r w:rsidR="233B504B" w:rsidRPr="00EB7114">
        <w:t>Governor of the Reserve Bank of New Zealand</w:t>
      </w:r>
      <w:r w:rsidR="07A1A3AF" w:rsidRPr="00EB7114">
        <w:t xml:space="preserve"> (RBNZ)</w:t>
      </w:r>
      <w:r w:rsidR="043C03C4" w:rsidRPr="00EB7114">
        <w:t>,</w:t>
      </w:r>
      <w:r w:rsidR="00884F6A" w:rsidRPr="00EB7114">
        <w:t xml:space="preserve"> Pacific I</w:t>
      </w:r>
      <w:r w:rsidR="233B504B" w:rsidRPr="00EB7114">
        <w:t xml:space="preserve">sland </w:t>
      </w:r>
      <w:r w:rsidR="00884F6A" w:rsidRPr="00EB7114">
        <w:t>Countries (PIC)</w:t>
      </w:r>
      <w:r w:rsidR="770A2BB6" w:rsidRPr="00EB7114">
        <w:t xml:space="preserve"> </w:t>
      </w:r>
      <w:r w:rsidR="222BB5F9" w:rsidRPr="00EB7114">
        <w:t xml:space="preserve">currently </w:t>
      </w:r>
      <w:r w:rsidR="233B504B" w:rsidRPr="00EB7114">
        <w:t>face two significant and multilayer challenges</w:t>
      </w:r>
      <w:r w:rsidR="770A2BB6" w:rsidRPr="00EB7114">
        <w:t>,</w:t>
      </w:r>
      <w:r w:rsidR="233B504B" w:rsidRPr="00EB7114">
        <w:t xml:space="preserve"> ‘climate change and the </w:t>
      </w:r>
      <w:r w:rsidR="5CAFC41D" w:rsidRPr="00EB7114">
        <w:t>severe</w:t>
      </w:r>
      <w:r w:rsidR="233B504B" w:rsidRPr="00EB7114">
        <w:t xml:space="preserve"> economic impacts of COVID-19</w:t>
      </w:r>
      <w:r w:rsidR="54826C17" w:rsidRPr="00EB7114">
        <w:t>’ (</w:t>
      </w:r>
      <w:r w:rsidR="770A2BB6" w:rsidRPr="00EB7114">
        <w:t>Orr</w:t>
      </w:r>
      <w:r w:rsidR="233B504B" w:rsidRPr="00EB7114">
        <w:t>,</w:t>
      </w:r>
      <w:r w:rsidR="770A2BB6" w:rsidRPr="00EB7114">
        <w:t xml:space="preserve"> </w:t>
      </w:r>
      <w:r w:rsidR="233B504B" w:rsidRPr="00EB7114">
        <w:t>2021).</w:t>
      </w:r>
      <w:r w:rsidR="770A2BB6" w:rsidRPr="00EB7114">
        <w:t xml:space="preserve"> </w:t>
      </w:r>
      <w:r w:rsidR="2B7ADE4F" w:rsidRPr="00EB7114">
        <w:t>These development challenges include increased frequency of natural disasters</w:t>
      </w:r>
      <w:r w:rsidR="0BC7B152" w:rsidRPr="00EB7114">
        <w:t xml:space="preserve"> and environmental damage; rapid urbanisation and migration; geopolitics and boarder security, </w:t>
      </w:r>
      <w:r w:rsidR="2B7ADE4F" w:rsidRPr="00EB7114">
        <w:t>gender</w:t>
      </w:r>
      <w:r w:rsidR="0BC7B152" w:rsidRPr="00EB7114">
        <w:t xml:space="preserve"> </w:t>
      </w:r>
      <w:r w:rsidR="00DF5475" w:rsidRPr="00EB7114">
        <w:t>inequalities</w:t>
      </w:r>
      <w:r w:rsidR="207A0B2B" w:rsidRPr="00EB7114">
        <w:t xml:space="preserve"> and family violence</w:t>
      </w:r>
      <w:r w:rsidR="0BC7B152" w:rsidRPr="00EB7114">
        <w:t>;</w:t>
      </w:r>
      <w:r w:rsidR="2B7ADE4F" w:rsidRPr="00EB7114">
        <w:t xml:space="preserve"> </w:t>
      </w:r>
      <w:r w:rsidR="4D98CD72" w:rsidRPr="00EB7114">
        <w:t xml:space="preserve">high rates of youth unemployment; </w:t>
      </w:r>
      <w:r w:rsidR="00496253" w:rsidRPr="00EB7114">
        <w:t xml:space="preserve">and a lack of </w:t>
      </w:r>
      <w:r w:rsidR="0BC7B152" w:rsidRPr="00EB7114">
        <w:t>financial inclusion</w:t>
      </w:r>
      <w:r w:rsidR="207A0B2B" w:rsidRPr="00EB7114">
        <w:t xml:space="preserve"> and economic stability (</w:t>
      </w:r>
      <w:r w:rsidR="284B7E92" w:rsidRPr="00EB7114">
        <w:t>Pacific Island Forum Secretariat, 2020)</w:t>
      </w:r>
      <w:r w:rsidR="2FF67D7E" w:rsidRPr="00EB7114">
        <w:t xml:space="preserve">. </w:t>
      </w:r>
      <w:r w:rsidR="75330789" w:rsidRPr="00EB7114">
        <w:t xml:space="preserve">For </w:t>
      </w:r>
      <w:r w:rsidR="00884F6A" w:rsidRPr="00EB7114">
        <w:t xml:space="preserve">PIC </w:t>
      </w:r>
      <w:r w:rsidR="75330789" w:rsidRPr="00EB7114">
        <w:t xml:space="preserve">like those featured in this case study, the need to build capacity of their central bank staff to be able to respond </w:t>
      </w:r>
      <w:r w:rsidR="6B4FC4A5" w:rsidRPr="00EB7114">
        <w:t xml:space="preserve">independently </w:t>
      </w:r>
      <w:r w:rsidR="75330789" w:rsidRPr="00EB7114">
        <w:t>to these challenges through evidence</w:t>
      </w:r>
      <w:r w:rsidR="1C8DB051" w:rsidRPr="00EB7114">
        <w:t>-</w:t>
      </w:r>
      <w:r w:rsidR="75330789" w:rsidRPr="00EB7114">
        <w:t>based research, innovation</w:t>
      </w:r>
      <w:r w:rsidR="155C2B27" w:rsidRPr="00EB7114">
        <w:t>,</w:t>
      </w:r>
      <w:r w:rsidR="75330789" w:rsidRPr="00EB7114">
        <w:t xml:space="preserve"> and risk management </w:t>
      </w:r>
      <w:r w:rsidR="2F8FC489" w:rsidRPr="00EB7114">
        <w:t xml:space="preserve">is critical. </w:t>
      </w:r>
    </w:p>
    <w:p w14:paraId="0FB7DA1E" w14:textId="711B5012" w:rsidR="00390E52" w:rsidRDefault="00B97621" w:rsidP="00EB7114">
      <w:pPr>
        <w:pStyle w:val="Heading2"/>
      </w:pPr>
      <w:bookmarkStart w:id="38" w:name="_Toc103348731"/>
      <w:r>
        <w:t>R</w:t>
      </w:r>
      <w:r w:rsidR="00390E52">
        <w:t xml:space="preserve">esearch </w:t>
      </w:r>
      <w:r>
        <w:t>themes</w:t>
      </w:r>
      <w:bookmarkEnd w:id="38"/>
    </w:p>
    <w:p w14:paraId="54E9223E" w14:textId="192C8CF6" w:rsidR="005A2BEC" w:rsidRDefault="3CE1887E" w:rsidP="007C083C">
      <w:pPr>
        <w:pStyle w:val="BodyCopy"/>
      </w:pPr>
      <w:r w:rsidRPr="2852EC75">
        <w:t>The SPCCB partnership is helping to</w:t>
      </w:r>
      <w:r w:rsidR="3C8C8E0B" w:rsidRPr="2852EC75">
        <w:t xml:space="preserve"> </w:t>
      </w:r>
      <w:r w:rsidR="2FF67D7E" w:rsidRPr="2852EC75">
        <w:t xml:space="preserve">strengthen the institutional </w:t>
      </w:r>
      <w:r w:rsidRPr="2852EC75">
        <w:t xml:space="preserve">capacity </w:t>
      </w:r>
      <w:r w:rsidR="2D420B2F" w:rsidRPr="2852EC75">
        <w:t xml:space="preserve">of </w:t>
      </w:r>
      <w:r w:rsidR="25D4FCD2" w:rsidRPr="2852EC75">
        <w:t xml:space="preserve">the </w:t>
      </w:r>
      <w:r w:rsidR="2D420B2F" w:rsidRPr="2852EC75">
        <w:t>central bank</w:t>
      </w:r>
      <w:r w:rsidR="2FF67D7E" w:rsidRPr="2852EC75">
        <w:t xml:space="preserve">s </w:t>
      </w:r>
      <w:r w:rsidR="25D4FCD2" w:rsidRPr="2852EC75">
        <w:t>in the Pacific through</w:t>
      </w:r>
      <w:r w:rsidR="2FF67D7E" w:rsidRPr="2852EC75">
        <w:t xml:space="preserve"> </w:t>
      </w:r>
      <w:r w:rsidRPr="2852EC75">
        <w:t xml:space="preserve">research collaboration and guidance </w:t>
      </w:r>
      <w:r w:rsidR="2D420B2F" w:rsidRPr="2852EC75">
        <w:t>by</w:t>
      </w:r>
      <w:r w:rsidR="429FACBC" w:rsidRPr="2852EC75">
        <w:t xml:space="preserve"> leading</w:t>
      </w:r>
      <w:r w:rsidR="2D420B2F" w:rsidRPr="2852EC75">
        <w:t xml:space="preserve"> </w:t>
      </w:r>
      <w:r w:rsidR="1292C249" w:rsidRPr="2852EC75">
        <w:t xml:space="preserve">financial and economic </w:t>
      </w:r>
      <w:r w:rsidRPr="2852EC75">
        <w:t>experts</w:t>
      </w:r>
      <w:r w:rsidR="4DA1E9A0" w:rsidRPr="2852EC75">
        <w:t xml:space="preserve"> in policy orientated research activities </w:t>
      </w:r>
      <w:r w:rsidR="278C3A5A" w:rsidRPr="2852EC75">
        <w:t xml:space="preserve">centred on </w:t>
      </w:r>
      <w:r w:rsidR="4DA1E9A0" w:rsidRPr="2852EC75">
        <w:t xml:space="preserve">three </w:t>
      </w:r>
      <w:r w:rsidR="58EA1176" w:rsidRPr="2852EC75">
        <w:t xml:space="preserve">broad themes: </w:t>
      </w:r>
      <w:r w:rsidR="58EA1176" w:rsidRPr="2852EC75">
        <w:rPr>
          <w:b/>
          <w:bCs/>
        </w:rPr>
        <w:t>macroeconomics</w:t>
      </w:r>
      <w:r w:rsidR="58EA1176" w:rsidRPr="2852EC75">
        <w:t xml:space="preserve">, </w:t>
      </w:r>
      <w:r w:rsidR="58EA1176" w:rsidRPr="2852EC75">
        <w:rPr>
          <w:b/>
          <w:bCs/>
        </w:rPr>
        <w:t xml:space="preserve">financial development </w:t>
      </w:r>
      <w:r w:rsidR="58EA1176" w:rsidRPr="2852EC75">
        <w:t>and</w:t>
      </w:r>
      <w:r w:rsidR="58EA1176" w:rsidRPr="2852EC75">
        <w:rPr>
          <w:b/>
          <w:bCs/>
        </w:rPr>
        <w:t xml:space="preserve"> stability</w:t>
      </w:r>
      <w:r w:rsidR="58EA1176" w:rsidRPr="2852EC75">
        <w:t xml:space="preserve">, and </w:t>
      </w:r>
      <w:r w:rsidR="58EA1176" w:rsidRPr="2852EC75">
        <w:rPr>
          <w:b/>
          <w:bCs/>
        </w:rPr>
        <w:t>economic resilience</w:t>
      </w:r>
      <w:r w:rsidR="00496253">
        <w:rPr>
          <w:b/>
          <w:bCs/>
        </w:rPr>
        <w:t xml:space="preserve"> </w:t>
      </w:r>
      <w:r w:rsidR="00496253" w:rsidRPr="00496253">
        <w:rPr>
          <w:bCs/>
        </w:rPr>
        <w:t>(</w:t>
      </w:r>
      <w:r w:rsidR="00496253">
        <w:t>Griffith University, 2022d).</w:t>
      </w:r>
    </w:p>
    <w:p w14:paraId="42EE3C99" w14:textId="1BDEB64F" w:rsidR="00B142D1" w:rsidRDefault="119E0937" w:rsidP="007C083C">
      <w:pPr>
        <w:pStyle w:val="BodyCopy"/>
      </w:pPr>
      <w:r w:rsidRPr="2852EC75">
        <w:t xml:space="preserve">The partnership is equipping central bank economists and researchers </w:t>
      </w:r>
      <w:r w:rsidR="7709E652" w:rsidRPr="2852EC75">
        <w:t xml:space="preserve">with valuable skills </w:t>
      </w:r>
      <w:r w:rsidR="278C3A5A" w:rsidRPr="2852EC75">
        <w:t>to independently formulate evidenced-</w:t>
      </w:r>
      <w:r w:rsidR="25D4FCD2" w:rsidRPr="2852EC75">
        <w:t xml:space="preserve">based policy </w:t>
      </w:r>
      <w:r w:rsidR="278C3A5A" w:rsidRPr="2852EC75">
        <w:t xml:space="preserve">in response to the challenges </w:t>
      </w:r>
      <w:r w:rsidR="4D30EB5D" w:rsidRPr="2852EC75">
        <w:t xml:space="preserve">of </w:t>
      </w:r>
      <w:r w:rsidRPr="2852EC75">
        <w:t xml:space="preserve">climate change, the </w:t>
      </w:r>
      <w:r w:rsidR="00884F6A" w:rsidRPr="2852EC75">
        <w:t xml:space="preserve">impact of the COVID-19 pandemic and the lingering economic impact of the </w:t>
      </w:r>
      <w:r w:rsidR="65986967" w:rsidRPr="2852EC75">
        <w:t>Global Financial Crisis</w:t>
      </w:r>
      <w:r w:rsidR="3C8C8E0B" w:rsidRPr="2852EC75">
        <w:t xml:space="preserve"> </w:t>
      </w:r>
      <w:r w:rsidRPr="2852EC75">
        <w:t xml:space="preserve">(Griffith News, 2016). </w:t>
      </w:r>
    </w:p>
    <w:tbl>
      <w:tblPr>
        <w:tblStyle w:val="TableGrid"/>
        <w:tblW w:w="9634" w:type="dxa"/>
        <w:tblCellMar>
          <w:top w:w="108" w:type="dxa"/>
          <w:bottom w:w="108" w:type="dxa"/>
        </w:tblCellMar>
        <w:tblLook w:val="04A0" w:firstRow="1" w:lastRow="0" w:firstColumn="1" w:lastColumn="0" w:noHBand="0" w:noVBand="1"/>
      </w:tblPr>
      <w:tblGrid>
        <w:gridCol w:w="9634"/>
      </w:tblGrid>
      <w:tr w:rsidR="00B142D1" w14:paraId="60BA474A" w14:textId="77777777" w:rsidTr="001C3F8F">
        <w:tc>
          <w:tcPr>
            <w:tcW w:w="9634" w:type="dxa"/>
          </w:tcPr>
          <w:p w14:paraId="11E66F4B" w14:textId="5D28663F" w:rsidR="008111BD" w:rsidRPr="00496253" w:rsidRDefault="008111BD" w:rsidP="005464BA">
            <w:pPr>
              <w:pStyle w:val="BodyCopy"/>
              <w:rPr>
                <w:lang w:eastAsia="en-AU"/>
              </w:rPr>
            </w:pPr>
            <w:r w:rsidRPr="005464BA">
              <w:rPr>
                <w:b/>
                <w:bCs/>
                <w:lang w:eastAsia="en-AU"/>
              </w:rPr>
              <w:lastRenderedPageBreak/>
              <w:t>Thematic research for capacity building</w:t>
            </w:r>
            <w:r w:rsidR="00496253" w:rsidRPr="00496253">
              <w:rPr>
                <w:rStyle w:val="FootnoteReference"/>
                <w:rFonts w:eastAsia="Times New Roman" w:cstheme="minorHAnsi"/>
                <w:b/>
                <w:color w:val="474747"/>
                <w:lang w:eastAsia="en-AU"/>
              </w:rPr>
              <w:footnoteReference w:id="3"/>
            </w:r>
          </w:p>
          <w:p w14:paraId="53DD9594" w14:textId="15EE71ED" w:rsidR="00B97621" w:rsidRPr="001C3F8F" w:rsidRDefault="00D16995" w:rsidP="001C3F8F">
            <w:pPr>
              <w:pStyle w:val="BodyCopy"/>
            </w:pPr>
            <w:r w:rsidRPr="001C3F8F">
              <w:t>The Griffith University-South Pacific central banks’ collaborative research involves conceptualising, framing, designing, and analysing key economic research questions of relevance to policymaking in the South Pacific region.</w:t>
            </w:r>
            <w:r w:rsidR="00B97621" w:rsidRPr="001C3F8F">
              <w:t xml:space="preserve"> </w:t>
            </w:r>
            <w:r w:rsidR="00496253" w:rsidRPr="001C3F8F">
              <w:t>The MoU partner central banks (Papua New Guinea, Fiji, Solomon Islands, Timor-Leste and Vanuatu) and Griffith University have jointly adopted the following broad research themes for the capacity building program:</w:t>
            </w:r>
            <w:r w:rsidRPr="001C3F8F">
              <w:t xml:space="preserve"> </w:t>
            </w:r>
          </w:p>
          <w:p w14:paraId="30C22788" w14:textId="78DF2A97" w:rsidR="00B97621" w:rsidRDefault="16472CB9" w:rsidP="00657E60">
            <w:pPr>
              <w:pStyle w:val="ListNumber"/>
              <w:numPr>
                <w:ilvl w:val="0"/>
                <w:numId w:val="21"/>
              </w:numPr>
              <w:rPr>
                <w:lang w:eastAsia="en-AU"/>
              </w:rPr>
            </w:pPr>
            <w:r w:rsidRPr="001C3F8F">
              <w:rPr>
                <w:b/>
                <w:bCs/>
                <w:lang w:eastAsia="en-AU"/>
              </w:rPr>
              <w:t>Macroeconomics:</w:t>
            </w:r>
            <w:r w:rsidRPr="2852EC75">
              <w:rPr>
                <w:lang w:eastAsia="en-AU"/>
              </w:rPr>
              <w:t xml:space="preserve"> topics include but are not limited to—monetary policy, foreign exchange, trade, economic growth, investments, exchange rate stability, debt sustainability</w:t>
            </w:r>
          </w:p>
          <w:p w14:paraId="2D854E82" w14:textId="50D0DB6E" w:rsidR="00B97621" w:rsidRPr="00B97621" w:rsidRDefault="16472CB9" w:rsidP="001C3F8F">
            <w:pPr>
              <w:pStyle w:val="ListNumber"/>
              <w:rPr>
                <w:lang w:eastAsia="en-AU"/>
              </w:rPr>
            </w:pPr>
            <w:r w:rsidRPr="2852EC75">
              <w:rPr>
                <w:b/>
                <w:bCs/>
                <w:lang w:eastAsia="en-AU"/>
              </w:rPr>
              <w:t>Financial development and stability:</w:t>
            </w:r>
            <w:r w:rsidRPr="2852EC75">
              <w:rPr>
                <w:lang w:eastAsia="en-AU"/>
              </w:rPr>
              <w:t xml:space="preserve"> topics include but are not limited to—financial inclusion, financial sector development, financial markets, financial regulation and supervision, remittances, microfinance, SMEs, fintech, affordable housing, economic integration</w:t>
            </w:r>
          </w:p>
          <w:p w14:paraId="2D1A3043" w14:textId="14384B57" w:rsidR="00B142D1" w:rsidRPr="00006390" w:rsidRDefault="58A5B18B" w:rsidP="001C3F8F">
            <w:pPr>
              <w:pStyle w:val="ListNumber"/>
              <w:rPr>
                <w:rFonts w:eastAsiaTheme="minorEastAsia"/>
                <w:lang w:eastAsia="en-AU"/>
              </w:rPr>
            </w:pPr>
            <w:r w:rsidRPr="4B0FE578">
              <w:rPr>
                <w:b/>
                <w:bCs/>
                <w:lang w:eastAsia="en-AU"/>
              </w:rPr>
              <w:t>Economic resilience:</w:t>
            </w:r>
            <w:r w:rsidRPr="4B0FE578">
              <w:rPr>
                <w:lang w:eastAsia="en-AU"/>
              </w:rPr>
              <w:t xml:space="preserve"> topics include but are not limited to—tourism, poverty and livelihood, climate change, agriculture, natural resources, cyber security, risk management, labour market, and income distribution.</w:t>
            </w:r>
          </w:p>
        </w:tc>
      </w:tr>
    </w:tbl>
    <w:p w14:paraId="23DD374E" w14:textId="7F4B645E" w:rsidR="00657002" w:rsidRPr="00EB7114" w:rsidRDefault="001D566F" w:rsidP="001C3F8F">
      <w:pPr>
        <w:pStyle w:val="BodyCopy"/>
        <w:spacing w:before="240"/>
      </w:pPr>
      <w:r w:rsidRPr="00EB7114">
        <w:t xml:space="preserve">SPCCB’s </w:t>
      </w:r>
      <w:r w:rsidR="005D2DF1" w:rsidRPr="00EB7114">
        <w:t>research activities are</w:t>
      </w:r>
      <w:r w:rsidRPr="00EB7114">
        <w:t xml:space="preserve"> helping to advance United Nations’ Sustainable Development Goals (SDGs). </w:t>
      </w:r>
      <w:r w:rsidR="00FC0032" w:rsidRPr="00EB7114">
        <w:t xml:space="preserve">The SPCCB platform </w:t>
      </w:r>
      <w:r w:rsidRPr="00EB7114">
        <w:t>focuses</w:t>
      </w:r>
      <w:r w:rsidR="00F00589" w:rsidRPr="00EB7114">
        <w:t xml:space="preserve"> on </w:t>
      </w:r>
      <w:r w:rsidR="00BA5CA1" w:rsidRPr="00EB7114">
        <w:t>partnering</w:t>
      </w:r>
      <w:r w:rsidR="00884F6A" w:rsidRPr="00EB7114">
        <w:t xml:space="preserve"> (SDG 17) to </w:t>
      </w:r>
      <w:r w:rsidR="00E720B1" w:rsidRPr="00EB7114">
        <w:t>strengthen institutional capacity (</w:t>
      </w:r>
      <w:r w:rsidR="00AF045F" w:rsidRPr="00EB7114">
        <w:t xml:space="preserve">SDG </w:t>
      </w:r>
      <w:r w:rsidR="00E720B1" w:rsidRPr="00EB7114">
        <w:t>16)</w:t>
      </w:r>
      <w:r w:rsidR="00390E52" w:rsidRPr="00EB7114">
        <w:t xml:space="preserve"> </w:t>
      </w:r>
      <w:r w:rsidR="00884F6A" w:rsidRPr="00EB7114">
        <w:t xml:space="preserve">towards achieving SDGs with </w:t>
      </w:r>
      <w:r w:rsidR="00390E52" w:rsidRPr="00EB7114">
        <w:t>gender equality (SDG 5)</w:t>
      </w:r>
      <w:r w:rsidR="00E720B1" w:rsidRPr="00EB7114">
        <w:t xml:space="preserve">, </w:t>
      </w:r>
      <w:r w:rsidR="00390E52" w:rsidRPr="00EB7114">
        <w:t>decent work and economic development (SDG 8)</w:t>
      </w:r>
      <w:r w:rsidR="00E720B1" w:rsidRPr="00EB7114">
        <w:t xml:space="preserve">, </w:t>
      </w:r>
      <w:r w:rsidR="00390E52" w:rsidRPr="00EB7114">
        <w:t xml:space="preserve">reduced inequalities (SDG 10), </w:t>
      </w:r>
      <w:r w:rsidR="00994D5B" w:rsidRPr="00EB7114">
        <w:t xml:space="preserve">and </w:t>
      </w:r>
      <w:r w:rsidR="00390E52" w:rsidRPr="00EB7114">
        <w:t>climate action (SDG 13)</w:t>
      </w:r>
      <w:r w:rsidR="00994D5B" w:rsidRPr="00EB7114">
        <w:t xml:space="preserve"> in the region</w:t>
      </w:r>
      <w:r w:rsidR="00390E52" w:rsidRPr="00EB7114">
        <w:t xml:space="preserve">. </w:t>
      </w:r>
      <w:r w:rsidR="00994D5B" w:rsidRPr="00EB7114">
        <w:t>These activities support</w:t>
      </w:r>
      <w:r w:rsidR="006B3436" w:rsidRPr="00EB7114">
        <w:t xml:space="preserve"> </w:t>
      </w:r>
      <w:r w:rsidRPr="00EB7114">
        <w:t xml:space="preserve">the Australian Government’s commitment to </w:t>
      </w:r>
      <w:r w:rsidR="00994D5B" w:rsidRPr="00EB7114">
        <w:t xml:space="preserve">promoting </w:t>
      </w:r>
      <w:r w:rsidRPr="00EB7114">
        <w:t>economic prosperity as part of its Pacific Step-up agenda</w:t>
      </w:r>
      <w:r w:rsidR="00C32958" w:rsidRPr="00EB7114">
        <w:t xml:space="preserve"> and the Griffith Asia Institute’s research focus to </w:t>
      </w:r>
      <w:r w:rsidR="00FC0032" w:rsidRPr="00EB7114">
        <w:t>tackle</w:t>
      </w:r>
      <w:r w:rsidR="00C32958" w:rsidRPr="00EB7114">
        <w:t xml:space="preserve"> ‘global challenges around sustainable development and partnerships’ </w:t>
      </w:r>
      <w:r w:rsidRPr="00EB7114">
        <w:t>(Griffith University, 2018b, Griffith News, 2018, DFAT, 2022b).</w:t>
      </w:r>
    </w:p>
    <w:p w14:paraId="33BE6F5D" w14:textId="4A74D37A" w:rsidR="00E975E8" w:rsidRDefault="00A6656A" w:rsidP="00D16995">
      <w:r w:rsidRPr="00CB40AA">
        <w:rPr>
          <w:noProof/>
          <w:color w:val="2B579A"/>
          <w:shd w:val="clear" w:color="auto" w:fill="E6E6E6"/>
          <w:lang w:eastAsia="en-AU"/>
        </w:rPr>
        <w:drawing>
          <wp:inline distT="0" distB="0" distL="0" distR="0" wp14:anchorId="7EE1C4A9" wp14:editId="0AD1040D">
            <wp:extent cx="5584995" cy="1104338"/>
            <wp:effectExtent l="0" t="0" r="0" b="635"/>
            <wp:docPr id="1553617493" name="Picture 1" descr="The SPCCB is helping to advance United Nation’s Sustainable Development Goals (SDGs) in the region with particular focus on SDGs on gender equailty (SDG 5), decent work and economic growth (SDG8), Reduced inequalities (SDG 10), Climare change (SDG 13), peace, justice and strong institutions (SDG16) and partnering for the goals (SDG17)." title="Image of the SD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584995" cy="1104338"/>
                    </a:xfrm>
                    <a:prstGeom prst="rect">
                      <a:avLst/>
                    </a:prstGeom>
                  </pic:spPr>
                </pic:pic>
              </a:graphicData>
            </a:graphic>
          </wp:inline>
        </w:drawing>
      </w:r>
    </w:p>
    <w:p w14:paraId="6115CF05" w14:textId="0692406E" w:rsidR="0032698F" w:rsidRPr="00EB7114" w:rsidRDefault="22F98C33" w:rsidP="00EB7114">
      <w:pPr>
        <w:pStyle w:val="BodyCopy"/>
      </w:pPr>
      <w:r w:rsidRPr="00EB7114">
        <w:t xml:space="preserve">SPCCB has produced over 20 working papers and seven journal publications since </w:t>
      </w:r>
      <w:r w:rsidR="20F348E6" w:rsidRPr="00EB7114">
        <w:t xml:space="preserve">collaboration began with the RBF in </w:t>
      </w:r>
      <w:r w:rsidRPr="00EB7114">
        <w:t xml:space="preserve">2014. To view the SPCCB publications please click </w:t>
      </w:r>
      <w:hyperlink r:id="rId29" w:history="1">
        <w:r w:rsidR="616463D9" w:rsidRPr="00EB7114">
          <w:rPr>
            <w:rStyle w:val="Hyperlink"/>
            <w:color w:val="auto"/>
            <w:u w:val="none"/>
          </w:rPr>
          <w:t>here</w:t>
        </w:r>
      </w:hyperlink>
      <w:r w:rsidR="616463D9" w:rsidRPr="00EB7114">
        <w:t>.</w:t>
      </w:r>
    </w:p>
    <w:p w14:paraId="1892DD00" w14:textId="1D1AF380" w:rsidR="6C83275D" w:rsidRPr="00CB40AA" w:rsidRDefault="6C83275D" w:rsidP="008E0BF8">
      <w:pPr>
        <w:pStyle w:val="ListParagraph"/>
      </w:pPr>
      <w:r w:rsidRPr="00CB40AA">
        <w:br w:type="page"/>
      </w:r>
    </w:p>
    <w:p w14:paraId="37F3A272" w14:textId="21335A6F" w:rsidR="6296DA12" w:rsidRPr="00CB40AA" w:rsidRDefault="6E5EA135" w:rsidP="00AE2B9D">
      <w:pPr>
        <w:pStyle w:val="Heading1"/>
        <w:spacing w:after="240"/>
      </w:pPr>
      <w:bookmarkStart w:id="39" w:name="_Toc103348732"/>
      <w:r>
        <w:lastRenderedPageBreak/>
        <w:t xml:space="preserve">SPCCB contributions to </w:t>
      </w:r>
      <w:r w:rsidR="627D24BF">
        <w:t>Australia Awards long-term program outcomes</w:t>
      </w:r>
      <w:bookmarkEnd w:id="39"/>
    </w:p>
    <w:p w14:paraId="3257294A" w14:textId="779985F0" w:rsidR="48EF631C" w:rsidRPr="00CB40AA" w:rsidRDefault="27D8AA1E" w:rsidP="00AE2B9D">
      <w:pPr>
        <w:pStyle w:val="Heading2"/>
        <w:spacing w:before="360"/>
      </w:pPr>
      <w:bookmarkStart w:id="40" w:name="_Toc103348733"/>
      <w:r>
        <w:t>Introduction</w:t>
      </w:r>
      <w:bookmarkEnd w:id="40"/>
    </w:p>
    <w:p w14:paraId="1E0F9994" w14:textId="115149C0" w:rsidR="13B47B05" w:rsidRPr="00EB7114" w:rsidRDefault="27B5CB67" w:rsidP="007C083C">
      <w:pPr>
        <w:pStyle w:val="BodyCopy"/>
      </w:pPr>
      <w:r w:rsidRPr="00EB7114">
        <w:t>The partnerships developed between Griffith University and the central banks under the auspice of SPCCB are an example of strong outcomes facilitated by the Australia Awards fellowship program</w:t>
      </w:r>
      <w:r w:rsidR="594C8F5E" w:rsidRPr="00EB7114">
        <w:t xml:space="preserve">. </w:t>
      </w:r>
      <w:r w:rsidR="1200A1EE" w:rsidRPr="00EB7114">
        <w:t>In the context of the A</w:t>
      </w:r>
      <w:r w:rsidR="1200A1EE" w:rsidRPr="00EB7114">
        <w:rPr>
          <w:i/>
          <w:iCs/>
        </w:rPr>
        <w:t xml:space="preserve">ustralia Awards </w:t>
      </w:r>
      <w:r w:rsidR="34414692" w:rsidRPr="00EB7114">
        <w:rPr>
          <w:i/>
          <w:iCs/>
        </w:rPr>
        <w:t>Monitoring and Evaluation Framework</w:t>
      </w:r>
      <w:r w:rsidR="1200A1EE" w:rsidRPr="00EB7114">
        <w:rPr>
          <w:i/>
          <w:iCs/>
        </w:rPr>
        <w:t xml:space="preserve"> </w:t>
      </w:r>
      <w:r w:rsidR="1200A1EE" w:rsidRPr="00EB7114">
        <w:t>(DFAT, 2022</w:t>
      </w:r>
      <w:r w:rsidR="00102B91" w:rsidRPr="00EB7114">
        <w:t>a</w:t>
      </w:r>
      <w:r w:rsidR="1200A1EE" w:rsidRPr="00EB7114">
        <w:t>)</w:t>
      </w:r>
      <w:r w:rsidR="18767F2F" w:rsidRPr="00EB7114">
        <w:t xml:space="preserve">, </w:t>
      </w:r>
      <w:r w:rsidR="1F33BCE1" w:rsidRPr="00EB7114">
        <w:t>impacts</w:t>
      </w:r>
      <w:r w:rsidR="553B3933" w:rsidRPr="00EB7114">
        <w:t xml:space="preserve"> </w:t>
      </w:r>
      <w:r w:rsidR="0C5603D5" w:rsidRPr="00EB7114">
        <w:t>by SPCCB</w:t>
      </w:r>
      <w:r w:rsidR="553B3933" w:rsidRPr="00EB7114">
        <w:t xml:space="preserve"> </w:t>
      </w:r>
      <w:r w:rsidR="25B372E6" w:rsidRPr="00EB7114">
        <w:t xml:space="preserve">are reflected </w:t>
      </w:r>
      <w:r w:rsidR="6CD64495" w:rsidRPr="00EB7114">
        <w:t xml:space="preserve">across the two </w:t>
      </w:r>
      <w:r w:rsidR="2975D1AA" w:rsidRPr="00EB7114">
        <w:t>long-term</w:t>
      </w:r>
      <w:r w:rsidR="00BD7966" w:rsidRPr="00EB7114">
        <w:t xml:space="preserve"> program </w:t>
      </w:r>
      <w:r w:rsidR="2975D1AA" w:rsidRPr="00EB7114">
        <w:t>outcomes</w:t>
      </w:r>
      <w:r w:rsidR="41A8BE5A" w:rsidRPr="00EB7114">
        <w:t xml:space="preserve"> intended</w:t>
      </w:r>
      <w:r w:rsidR="1F73B2DB" w:rsidRPr="00EB7114">
        <w:t xml:space="preserve"> by the fellowships</w:t>
      </w:r>
      <w:r w:rsidR="2975D1AA" w:rsidRPr="00EB7114">
        <w:t xml:space="preserve"> </w:t>
      </w:r>
      <w:r w:rsidR="677C5816" w:rsidRPr="00EB7114">
        <w:t>(</w:t>
      </w:r>
      <w:r w:rsidR="268B3A6D" w:rsidRPr="00EB7114">
        <w:t xml:space="preserve">contribution to </w:t>
      </w:r>
      <w:r w:rsidR="677C5816" w:rsidRPr="00EB7114">
        <w:t>development and cooperation)</w:t>
      </w:r>
      <w:r w:rsidR="74F6CF09" w:rsidRPr="00EB7114">
        <w:t xml:space="preserve">. The </w:t>
      </w:r>
      <w:r w:rsidR="5DE5B5C8" w:rsidRPr="00EB7114">
        <w:t>2015 and 2018</w:t>
      </w:r>
      <w:r w:rsidR="74F6CF09" w:rsidRPr="00EB7114">
        <w:t xml:space="preserve"> Australia Awards fellowships are significantly intertwined in the foundation</w:t>
      </w:r>
      <w:r w:rsidR="1782F9C8" w:rsidRPr="00EB7114">
        <w:t>, growth, and outcomes</w:t>
      </w:r>
      <w:r w:rsidR="74F6CF09" w:rsidRPr="00EB7114">
        <w:t xml:space="preserve"> of </w:t>
      </w:r>
      <w:r w:rsidR="660AC883" w:rsidRPr="00EB7114">
        <w:t>SPCCB’s partnership development.</w:t>
      </w:r>
      <w:r w:rsidR="5489D74F" w:rsidRPr="00EB7114">
        <w:t xml:space="preserve"> Other key facilitating factors that enabled the success of this exemplar partnership are detailed in </w:t>
      </w:r>
      <w:r w:rsidR="7790E6EF" w:rsidRPr="00EB7114">
        <w:t xml:space="preserve">Chapter 4 </w:t>
      </w:r>
      <w:r w:rsidR="60DAABF4" w:rsidRPr="00EB7114">
        <w:t>Conditions of SPCCB partnership success.</w:t>
      </w:r>
    </w:p>
    <w:p w14:paraId="69C98957" w14:textId="606A7726" w:rsidR="5303B07C" w:rsidRDefault="38FC6983" w:rsidP="00AE2B9D">
      <w:pPr>
        <w:pStyle w:val="BodyCopy"/>
        <w:spacing w:after="0"/>
      </w:pPr>
      <w:r w:rsidRPr="00EB7114">
        <w:t xml:space="preserve">This chapter </w:t>
      </w:r>
      <w:r w:rsidR="0045461E" w:rsidRPr="00EB7114">
        <w:t>details</w:t>
      </w:r>
      <w:r w:rsidRPr="00EB7114">
        <w:t xml:space="preserve"> the key examples identified through interviews, focus group discussions and news reports of S</w:t>
      </w:r>
      <w:r w:rsidR="7E0073CD" w:rsidRPr="00EB7114">
        <w:t xml:space="preserve">PCCB outcomes </w:t>
      </w:r>
      <w:r w:rsidR="66F7814A" w:rsidRPr="00EB7114">
        <w:t>that</w:t>
      </w:r>
      <w:r w:rsidR="7E0073CD" w:rsidRPr="00EB7114">
        <w:t xml:space="preserve"> contribute to sus</w:t>
      </w:r>
      <w:r w:rsidR="060B2D22" w:rsidRPr="00EB7114">
        <w:t>tainable development and Australia’s cooperation with the Pacific Island region across the three levels of impact</w:t>
      </w:r>
      <w:r w:rsidR="53632604" w:rsidRPr="00EB7114">
        <w:t xml:space="preserve">: </w:t>
      </w:r>
      <w:r w:rsidR="060B2D22" w:rsidRPr="00EB7114">
        <w:t xml:space="preserve">micro, meso and macro. </w:t>
      </w:r>
      <w:r w:rsidR="00DC34A0" w:rsidRPr="00EB7114">
        <w:rPr>
          <w:color w:val="2B579A"/>
          <w:highlight w:val="yellow"/>
          <w:shd w:val="clear" w:color="auto" w:fill="E6E6E6"/>
        </w:rPr>
        <w:fldChar w:fldCharType="begin"/>
      </w:r>
      <w:r w:rsidR="00DC34A0" w:rsidRPr="00EB7114">
        <w:instrText xml:space="preserve"> REF _Ref97115531 \h </w:instrText>
      </w:r>
      <w:r w:rsidR="00EB7114">
        <w:rPr>
          <w:color w:val="2B579A"/>
          <w:highlight w:val="yellow"/>
          <w:shd w:val="clear" w:color="auto" w:fill="E6E6E6"/>
        </w:rPr>
        <w:instrText xml:space="preserve"> \* MERGEFORMAT </w:instrText>
      </w:r>
      <w:r w:rsidR="00DC34A0" w:rsidRPr="00EB7114">
        <w:rPr>
          <w:color w:val="2B579A"/>
          <w:highlight w:val="yellow"/>
          <w:shd w:val="clear" w:color="auto" w:fill="E6E6E6"/>
        </w:rPr>
      </w:r>
      <w:r w:rsidR="00DC34A0" w:rsidRPr="00EB7114">
        <w:rPr>
          <w:color w:val="2B579A"/>
          <w:highlight w:val="yellow"/>
          <w:shd w:val="clear" w:color="auto" w:fill="E6E6E6"/>
        </w:rPr>
        <w:fldChar w:fldCharType="separate"/>
      </w:r>
      <w:r w:rsidR="001D6B4B">
        <w:br/>
      </w:r>
      <w:r w:rsidR="001D6B4B" w:rsidRPr="00CB40AA">
        <w:t>Figure</w:t>
      </w:r>
      <w:r w:rsidR="001D6B4B" w:rsidRPr="00CB40AA">
        <w:rPr>
          <w:noProof/>
        </w:rPr>
        <w:t xml:space="preserve"> </w:t>
      </w:r>
      <w:r w:rsidR="001D6B4B">
        <w:rPr>
          <w:noProof/>
        </w:rPr>
        <w:t>5</w:t>
      </w:r>
      <w:r w:rsidR="00DC34A0" w:rsidRPr="00EB7114">
        <w:rPr>
          <w:color w:val="2B579A"/>
          <w:highlight w:val="yellow"/>
          <w:shd w:val="clear" w:color="auto" w:fill="E6E6E6"/>
        </w:rPr>
        <w:fldChar w:fldCharType="end"/>
      </w:r>
      <w:r w:rsidR="00DC34A0" w:rsidRPr="00EB7114">
        <w:t xml:space="preserve"> </w:t>
      </w:r>
      <w:r w:rsidR="205AEEE7" w:rsidRPr="00EB7114">
        <w:t xml:space="preserve">below shows the impacts resulting from SPCCB from a ‘magnitudes of impact’ framework </w:t>
      </w:r>
      <w:r w:rsidR="4F5AFDD4" w:rsidRPr="00EB7114">
        <w:rPr>
          <w:color w:val="2B579A"/>
          <w:shd w:val="clear" w:color="auto" w:fill="E6E6E6"/>
        </w:rPr>
        <w:fldChar w:fldCharType="begin"/>
      </w:r>
      <w:r w:rsidR="4F5AFDD4" w:rsidRPr="00EB7114">
        <w:instrText xml:space="preserve"> ADDIN ZOTERO_ITEM CSL_CITATION {"citationID":"1EhK25sS","properties":{"formattedCitation":"(Mawer, 2018)","plainCitation":"(Mawer, 2018)","noteIndex":0},"citationItems":[{"id":76,"uris":["http://zotero.org/groups/2364906/items/5XM88KST"],"uri":["http://zotero.org/groups/2364906/items/5XM88KST"],"itemData":{"id":76,"type":"chapter","container-title":"International Scholarships in Higher Education: Pathways to Social Change","event-place":"Cham, Switzerland","ISBN":"978-3-319-62733-5","publisher":"Palgrave MacMillan","publisher-place":"Cham, Switzerland","title":"Magnitudes of Impact: A Three-Level Review of Evidence from Scholarship Evaluation","URL":"DOI 10.1007/978-3-319-62734-2_13","author":[{"family":"Mawer","given":"Matt"}],"editor":[{"family":"Dassin","given":"Joan R."},{"family":"Marsh","given":"Robin R."},{"family":"Mawer","given":"Matt"}],"issued":{"date-parts":[["2018"]]}}}],"schema":"https://github.com/citation-style-language/schema/raw/master/csl-citation.json"} </w:instrText>
      </w:r>
      <w:r w:rsidR="4F5AFDD4" w:rsidRPr="00EB7114">
        <w:rPr>
          <w:color w:val="2B579A"/>
          <w:shd w:val="clear" w:color="auto" w:fill="E6E6E6"/>
        </w:rPr>
        <w:fldChar w:fldCharType="separate"/>
      </w:r>
      <w:r w:rsidR="0C5FB952" w:rsidRPr="00EB7114">
        <w:t>(Mawer, 2018)</w:t>
      </w:r>
      <w:r w:rsidR="4F5AFDD4" w:rsidRPr="00EB7114">
        <w:rPr>
          <w:color w:val="2B579A"/>
          <w:shd w:val="clear" w:color="auto" w:fill="E6E6E6"/>
        </w:rPr>
        <w:fldChar w:fldCharType="end"/>
      </w:r>
      <w:r w:rsidR="005F179A" w:rsidRPr="00EB7114">
        <w:t>,</w:t>
      </w:r>
      <w:r w:rsidR="205AEEE7" w:rsidRPr="00EB7114">
        <w:t xml:space="preserve"> applied to the Australia Awards long-term p</w:t>
      </w:r>
      <w:r w:rsidR="001D0147" w:rsidRPr="00EB7114">
        <w:t>rogram o</w:t>
      </w:r>
      <w:r w:rsidR="205AEEE7" w:rsidRPr="00EB7114">
        <w:t xml:space="preserve">utcomes. This approach involves examining evidence about the partnership outcomes based on three levels of impact: micro (individual), meso (organisational), and macro (national and regional). </w:t>
      </w:r>
    </w:p>
    <w:p w14:paraId="6F69CB49" w14:textId="77777777" w:rsidR="00863FA1" w:rsidRDefault="00863FA1" w:rsidP="00AE2B9D">
      <w:pPr>
        <w:pStyle w:val="BodyCopy"/>
        <w:spacing w:after="0"/>
      </w:pPr>
    </w:p>
    <w:p w14:paraId="3A877E01" w14:textId="48A8B198" w:rsidR="1ACA3A0F" w:rsidRDefault="00DC34A0" w:rsidP="00AE2B9D">
      <w:pPr>
        <w:pStyle w:val="Figure"/>
        <w:spacing w:before="0"/>
      </w:pPr>
      <w:bookmarkStart w:id="41" w:name="_Ref97115531"/>
      <w:r w:rsidRPr="00CB40AA">
        <w:t xml:space="preserve">Figure </w:t>
      </w:r>
      <w:r w:rsidR="00450AE6" w:rsidRPr="00CB40AA">
        <w:rPr>
          <w:color w:val="2B579A"/>
          <w:shd w:val="clear" w:color="auto" w:fill="E6E6E6"/>
        </w:rPr>
        <w:fldChar w:fldCharType="begin"/>
      </w:r>
      <w:r w:rsidR="00450AE6" w:rsidRPr="00CB40AA">
        <w:instrText xml:space="preserve"> SEQ Figure \* ARABIC </w:instrText>
      </w:r>
      <w:r w:rsidR="00450AE6" w:rsidRPr="00CB40AA">
        <w:rPr>
          <w:color w:val="2B579A"/>
          <w:shd w:val="clear" w:color="auto" w:fill="E6E6E6"/>
        </w:rPr>
        <w:fldChar w:fldCharType="separate"/>
      </w:r>
      <w:r w:rsidR="001D6B4B">
        <w:rPr>
          <w:noProof/>
        </w:rPr>
        <w:t>5</w:t>
      </w:r>
      <w:r w:rsidR="00450AE6" w:rsidRPr="00CB40AA">
        <w:rPr>
          <w:noProof/>
          <w:color w:val="2B579A"/>
          <w:shd w:val="clear" w:color="auto" w:fill="E6E6E6"/>
        </w:rPr>
        <w:fldChar w:fldCharType="end"/>
      </w:r>
      <w:bookmarkEnd w:id="41"/>
      <w:r w:rsidRPr="00CB40AA">
        <w:t xml:space="preserve">: SPCCB contributions to the Australia Awards </w:t>
      </w:r>
      <w:r w:rsidR="005A59F6">
        <w:t xml:space="preserve">long-term </w:t>
      </w:r>
      <w:r w:rsidRPr="00CB40AA">
        <w:t>Outcomes</w:t>
      </w:r>
    </w:p>
    <w:p w14:paraId="5A7A41F6" w14:textId="3BFB741D" w:rsidR="00AE2B9D" w:rsidRPr="00CB40AA" w:rsidRDefault="00AE2B9D" w:rsidP="00EB7114">
      <w:pPr>
        <w:pStyle w:val="Figure"/>
      </w:pPr>
      <w:r>
        <w:rPr>
          <w:noProof/>
          <w:lang w:eastAsia="en-AU"/>
        </w:rPr>
        <w:drawing>
          <wp:inline distT="0" distB="0" distL="0" distR="0" wp14:anchorId="38A24CC9" wp14:editId="34411499">
            <wp:extent cx="4796797" cy="3806687"/>
            <wp:effectExtent l="0" t="0" r="3810" b="3810"/>
            <wp:docPr id="4" name="Picture 4" descr="Figure 5: SPCCB contributions to the Australia Awards long-term OutcomesThe SPCCB partnership is making significant contributions to development at the micro (individual), meso (organisational) and macro (national and regional) levels.Micro/Individual Impacts• Improved research skills• Building researchers’ network• Access to regional and  international patforms• Developing researcher profiles.Meso/Organisational Impacts• Regional research  platform for multilateral• Organisational capacity  and research culture• Inproved practices and  institutional knowledge• International exposure and reputation.Macro/National and Regional Impacts• Regional research and policy formulation  cooperation (COVID-19) pandemic and  climate change• Visibility and reputation  for central banks and  Australian expertise• Contributing to  public dis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5: SPCCB contributions to the Australia Awards long-term OutcomesThe SPCCB partnership is making significant contributions to development at the micro (individual), meso (organisational) and macro (national and regional) levels.Micro/Individual Impacts• Improved research skills• Building researchers’ network• Access to regional and  international patforms• Developing researcher profiles.Meso/Organisational Impacts• Regional research  platform for multilateral• Organisational capacity  and research culture• Inproved practices and  institutional knowledge• International exposure and reputation.Macro/National and Regional Impacts• Regional research and policy formulation  cooperation (COVID-19) pandemic and  climate change• Visibility and reputation  for central banks and  Australian expertise• Contributing to  public discour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7474" cy="3815160"/>
                    </a:xfrm>
                    <a:prstGeom prst="rect">
                      <a:avLst/>
                    </a:prstGeom>
                  </pic:spPr>
                </pic:pic>
              </a:graphicData>
            </a:graphic>
          </wp:inline>
        </w:drawing>
      </w:r>
    </w:p>
    <w:p w14:paraId="0BE3DE6D" w14:textId="77777777" w:rsidR="00AE2B9D" w:rsidRDefault="00AE2B9D">
      <w:pPr>
        <w:spacing w:before="0"/>
        <w:rPr>
          <w:rFonts w:ascii="Times New Roman" w:eastAsiaTheme="majorEastAsia" w:hAnsi="Times New Roman" w:cs="Times New Roman"/>
          <w:color w:val="1F3864" w:themeColor="accent1" w:themeShade="80"/>
          <w:sz w:val="28"/>
          <w:szCs w:val="28"/>
          <w:highlight w:val="lightGray"/>
        </w:rPr>
      </w:pPr>
      <w:bookmarkStart w:id="42" w:name="_Toc103348734"/>
      <w:r>
        <w:rPr>
          <w:highlight w:val="lightGray"/>
        </w:rPr>
        <w:br w:type="page"/>
      </w:r>
    </w:p>
    <w:p w14:paraId="21494828" w14:textId="5C463173" w:rsidR="4D0CBB94" w:rsidRPr="00AE2B9D" w:rsidRDefault="16B8D50F" w:rsidP="00AE2B9D">
      <w:pPr>
        <w:pStyle w:val="Heading2"/>
      </w:pPr>
      <w:r w:rsidRPr="00AE2B9D">
        <w:lastRenderedPageBreak/>
        <w:t>Contributions to development</w:t>
      </w:r>
      <w:bookmarkEnd w:id="42"/>
    </w:p>
    <w:p w14:paraId="48ED1E25" w14:textId="5BB1B113" w:rsidR="7105AF12" w:rsidRPr="00CB40AA" w:rsidRDefault="7105AF12" w:rsidP="007C083C">
      <w:pPr>
        <w:pStyle w:val="BodyCopy"/>
      </w:pPr>
      <w:r w:rsidRPr="00CB40AA">
        <w:t>As a result of SPCCB activities, impact and contributions to development can be traced to the participant</w:t>
      </w:r>
      <w:r w:rsidR="67184C61" w:rsidRPr="00CB40AA">
        <w:t xml:space="preserve"> (micro),</w:t>
      </w:r>
      <w:r w:rsidRPr="00CB40AA">
        <w:t xml:space="preserve"> organisation </w:t>
      </w:r>
      <w:r w:rsidR="67184C61" w:rsidRPr="00CB40AA">
        <w:t xml:space="preserve">(meso) </w:t>
      </w:r>
      <w:r w:rsidRPr="00CB40AA">
        <w:t>and community (</w:t>
      </w:r>
      <w:r w:rsidR="67184C61" w:rsidRPr="00CB40AA">
        <w:t>macro) levels.</w:t>
      </w:r>
      <w:r w:rsidRPr="00CB40AA">
        <w:t xml:space="preserve"> These impacts are </w:t>
      </w:r>
      <w:r w:rsidRPr="57AD33EA">
        <w:t>evident</w:t>
      </w:r>
      <w:r w:rsidRPr="4A8C17D3">
        <w:t xml:space="preserve"> </w:t>
      </w:r>
      <w:r w:rsidRPr="00CB40AA">
        <w:t xml:space="preserve">from the breadth of SPCCB activities, including hosting two rounds of the Australia Awards fellowships in 2015 and 2018. </w:t>
      </w:r>
    </w:p>
    <w:p w14:paraId="32FEDE60" w14:textId="1257792A" w:rsidR="00EA43C3" w:rsidRPr="00CB40AA" w:rsidRDefault="6447F5F7" w:rsidP="007C083C">
      <w:pPr>
        <w:pStyle w:val="BodyCopy"/>
      </w:pPr>
      <w:r w:rsidRPr="0C899D70">
        <w:t xml:space="preserve">The </w:t>
      </w:r>
      <w:r w:rsidRPr="071CFBD6">
        <w:t xml:space="preserve">examples of SPCCB’s </w:t>
      </w:r>
      <w:r w:rsidRPr="7B6983AD">
        <w:t xml:space="preserve">contributions to development and capacity building </w:t>
      </w:r>
      <w:r w:rsidRPr="7B248CBE">
        <w:t xml:space="preserve">demonstrate </w:t>
      </w:r>
      <w:r w:rsidRPr="00CB40AA">
        <w:t xml:space="preserve">the ripple effect Australia Awards </w:t>
      </w:r>
      <w:r w:rsidRPr="02F2F9E2">
        <w:t>fellowships can</w:t>
      </w:r>
      <w:r w:rsidRPr="00CB40AA">
        <w:t xml:space="preserve"> have on organisations. </w:t>
      </w:r>
      <w:r w:rsidRPr="02F2F9E2">
        <w:t>The</w:t>
      </w:r>
      <w:r w:rsidRPr="00CB40AA">
        <w:t xml:space="preserve"> fellowships were an opportunity for SPCCB to build on its partnership development with the central banks by hosting a rigorous research training program at Griffith University. Then coupled with ongoing engagement, SPCCB has reached more change agents with a shared purpose and influenced the organisational research culture within the central banks. </w:t>
      </w:r>
    </w:p>
    <w:p w14:paraId="381B5D5B" w14:textId="231584E8" w:rsidR="00AE2B9D" w:rsidRDefault="6447F5F7" w:rsidP="007C083C">
      <w:pPr>
        <w:pStyle w:val="BodyCopy"/>
      </w:pPr>
      <w:r w:rsidRPr="00CB40AA">
        <w:t>The following impacts identified through the focus group discussions highlight the long-term effects of a partnership focussed on peer-driven engagement for capacity development</w:t>
      </w:r>
      <w:r w:rsidR="54A30ADD" w:rsidRPr="16EEC029">
        <w:t>.</w:t>
      </w:r>
    </w:p>
    <w:p w14:paraId="1A608AC4" w14:textId="762175C9" w:rsidR="56238CD6" w:rsidRPr="005464BA" w:rsidRDefault="206D871E" w:rsidP="005464BA">
      <w:pPr>
        <w:pStyle w:val="Heading3"/>
      </w:pPr>
      <w:r w:rsidRPr="005464BA">
        <w:t>Micro/Individual impacts</w:t>
      </w:r>
    </w:p>
    <w:tbl>
      <w:tblPr>
        <w:tblStyle w:val="TableGrid"/>
        <w:tblW w:w="9360" w:type="dxa"/>
        <w:tblLayout w:type="fixed"/>
        <w:tblCellMar>
          <w:top w:w="108" w:type="dxa"/>
          <w:bottom w:w="108" w:type="dxa"/>
        </w:tblCellMar>
        <w:tblLook w:val="06A0" w:firstRow="1" w:lastRow="0" w:firstColumn="1" w:lastColumn="0" w:noHBand="1" w:noVBand="1"/>
      </w:tblPr>
      <w:tblGrid>
        <w:gridCol w:w="1980"/>
        <w:gridCol w:w="7380"/>
      </w:tblGrid>
      <w:tr w:rsidR="3E397AE7" w14:paraId="676D71D6" w14:textId="77777777" w:rsidTr="00191F17">
        <w:tc>
          <w:tcPr>
            <w:tcW w:w="1980" w:type="dxa"/>
            <w:shd w:val="clear" w:color="auto" w:fill="auto"/>
          </w:tcPr>
          <w:p w14:paraId="6F8D94EC" w14:textId="349D35FB" w:rsidR="3E397AE7" w:rsidRPr="00191F17" w:rsidRDefault="6ED1585A" w:rsidP="00191F17">
            <w:pPr>
              <w:pStyle w:val="Tabletext"/>
              <w:rPr>
                <w:b/>
                <w:bCs/>
              </w:rPr>
            </w:pPr>
            <w:r w:rsidRPr="00191F17">
              <w:rPr>
                <w:b/>
                <w:bCs/>
              </w:rPr>
              <w:t>Achieved outcome</w:t>
            </w:r>
          </w:p>
        </w:tc>
        <w:tc>
          <w:tcPr>
            <w:tcW w:w="7380" w:type="dxa"/>
            <w:shd w:val="clear" w:color="auto" w:fill="auto"/>
          </w:tcPr>
          <w:p w14:paraId="738D1FD9" w14:textId="5E042D2B" w:rsidR="3E397AE7" w:rsidRPr="00191F17" w:rsidRDefault="6ED1585A" w:rsidP="00191F17">
            <w:pPr>
              <w:pStyle w:val="Tabletext"/>
              <w:rPr>
                <w:b/>
                <w:bCs/>
              </w:rPr>
            </w:pPr>
            <w:r w:rsidRPr="00191F17">
              <w:rPr>
                <w:b/>
                <w:bCs/>
              </w:rPr>
              <w:t>Evidence of</w:t>
            </w:r>
            <w:r w:rsidR="5C439AA9" w:rsidRPr="00191F17">
              <w:rPr>
                <w:b/>
                <w:bCs/>
              </w:rPr>
              <w:t xml:space="preserve"> outcome</w:t>
            </w:r>
          </w:p>
        </w:tc>
      </w:tr>
      <w:tr w:rsidR="56238CD6" w:rsidRPr="00CB40AA" w14:paraId="691EA184" w14:textId="77777777" w:rsidTr="00191F17">
        <w:tc>
          <w:tcPr>
            <w:tcW w:w="1980" w:type="dxa"/>
            <w:shd w:val="clear" w:color="auto" w:fill="auto"/>
          </w:tcPr>
          <w:p w14:paraId="79DF02B3" w14:textId="5AE2A3BB" w:rsidR="00C99FCC" w:rsidRPr="00191F17" w:rsidRDefault="00C99FCC" w:rsidP="00191F17">
            <w:pPr>
              <w:pStyle w:val="Tabletext"/>
              <w:rPr>
                <w:b/>
                <w:bCs/>
              </w:rPr>
            </w:pPr>
            <w:r w:rsidRPr="00191F17">
              <w:rPr>
                <w:b/>
                <w:bCs/>
              </w:rPr>
              <w:t>Improved research skills</w:t>
            </w:r>
          </w:p>
        </w:tc>
        <w:tc>
          <w:tcPr>
            <w:tcW w:w="7380" w:type="dxa"/>
            <w:shd w:val="clear" w:color="auto" w:fill="auto"/>
          </w:tcPr>
          <w:p w14:paraId="5C8F3E16" w14:textId="4B8048B0" w:rsidR="5B8FE47D" w:rsidRPr="00CB40AA" w:rsidRDefault="00042E5F" w:rsidP="00191F17">
            <w:pPr>
              <w:pStyle w:val="Tabletext0"/>
            </w:pPr>
            <w:r w:rsidRPr="00CB40AA">
              <w:t>T</w:t>
            </w:r>
            <w:r w:rsidR="5B8FE47D" w:rsidRPr="00CB40AA">
              <w:t>he researchers participating in the SPCCB activities have benefitted</w:t>
            </w:r>
            <w:r w:rsidR="00572E75" w:rsidRPr="00CB40AA">
              <w:t xml:space="preserve">, with </w:t>
            </w:r>
            <w:r w:rsidR="006E2B54" w:rsidRPr="00CB40AA">
              <w:t xml:space="preserve">the fellowships </w:t>
            </w:r>
            <w:r w:rsidR="5B8FE47D" w:rsidRPr="00CB40AA">
              <w:t>improving their research skills. Ms Kalolaini Ranadi, a Senior Economist with RBF, and Ms Angeline Rohoia, a Senior Research Analyst with CBSI similarly stated SPCCB has ‘enhanced’ their research skills and gained confidence in conducting research.</w:t>
            </w:r>
          </w:p>
          <w:p w14:paraId="63728E4A" w14:textId="2589B0C2" w:rsidR="0DD40086" w:rsidRPr="00CB40AA" w:rsidRDefault="0DD40086" w:rsidP="00191F17">
            <w:pPr>
              <w:pStyle w:val="Tabletext0"/>
            </w:pPr>
            <w:r w:rsidRPr="00CB40AA">
              <w:t xml:space="preserve">RBF Deputy Governor, Mr Masitabua stated that SPCCB improves the capacity of their researchers, ‘We have really good researchers, I think the main gap is doing things with an academic rigour’. An example of the described academic rigour, Mr Tuisawau, a Senior Economist with RBF </w:t>
            </w:r>
            <w:r w:rsidR="00565C8E" w:rsidRPr="00CB40AA">
              <w:t>not</w:t>
            </w:r>
            <w:r w:rsidRPr="00CB40AA">
              <w:t>ed:</w:t>
            </w:r>
          </w:p>
          <w:p w14:paraId="4720219A" w14:textId="051B0F3D" w:rsidR="2B1A823D" w:rsidRPr="00CB40AA" w:rsidRDefault="2B1A823D" w:rsidP="00191F17">
            <w:pPr>
              <w:pStyle w:val="Tableindent"/>
            </w:pPr>
            <w:r w:rsidRPr="00CB40AA">
              <w:t>It’s helped with improving research skills, trying to get recognition from journals; you get exposed to the type of research and high standards that are required.</w:t>
            </w:r>
          </w:p>
        </w:tc>
      </w:tr>
      <w:tr w:rsidR="56238CD6" w:rsidRPr="00CB40AA" w14:paraId="49BC9B31" w14:textId="77777777" w:rsidTr="00191F17">
        <w:tc>
          <w:tcPr>
            <w:tcW w:w="1980" w:type="dxa"/>
            <w:shd w:val="clear" w:color="auto" w:fill="auto"/>
          </w:tcPr>
          <w:p w14:paraId="5902D68D" w14:textId="77B1B9E3" w:rsidR="01701DAE" w:rsidRPr="00191F17" w:rsidRDefault="01701DAE" w:rsidP="00191F17">
            <w:pPr>
              <w:pStyle w:val="Tabletext"/>
              <w:rPr>
                <w:b/>
                <w:bCs/>
              </w:rPr>
            </w:pPr>
            <w:r w:rsidRPr="00191F17">
              <w:rPr>
                <w:b/>
                <w:bCs/>
              </w:rPr>
              <w:t>Developing researcher profiles</w:t>
            </w:r>
          </w:p>
        </w:tc>
        <w:tc>
          <w:tcPr>
            <w:tcW w:w="7380" w:type="dxa"/>
            <w:shd w:val="clear" w:color="auto" w:fill="auto"/>
          </w:tcPr>
          <w:p w14:paraId="1759705D" w14:textId="72BA5916" w:rsidR="1208F266" w:rsidRPr="00CB40AA" w:rsidRDefault="1208F266" w:rsidP="00191F17">
            <w:pPr>
              <w:pStyle w:val="Tabletext"/>
            </w:pPr>
            <w:r w:rsidRPr="00CB40AA">
              <w:t xml:space="preserve">Through co-authoring working papers, the researchers from the central banks have also built their </w:t>
            </w:r>
            <w:r w:rsidR="00CA1C76" w:rsidRPr="00CB40AA">
              <w:t xml:space="preserve">own </w:t>
            </w:r>
            <w:r w:rsidRPr="00CB40AA">
              <w:t>international research profiles, further developing the working papers for publication in peer-reviewed journals and presenting at conferences. A highlighted example of this is Ms Ran</w:t>
            </w:r>
            <w:r w:rsidR="01234564" w:rsidRPr="00CB40AA">
              <w:t>a</w:t>
            </w:r>
            <w:r w:rsidRPr="00CB40AA">
              <w:t xml:space="preserve">di (RBF), who’s co-authored paper </w:t>
            </w:r>
            <w:r w:rsidRPr="00CB40AA">
              <w:rPr>
                <w:i/>
                <w:iCs/>
              </w:rPr>
              <w:t>Financial Integration in Open, Small Pacific Island Countries: Extent, Consequences, and Policy Implications</w:t>
            </w:r>
            <w:r w:rsidR="00490F14" w:rsidRPr="00CB40AA">
              <w:t>, which</w:t>
            </w:r>
            <w:r w:rsidRPr="00CB40AA">
              <w:t xml:space="preserve"> was selected for the 2019 INFINITI Conference at the University of Glasgow. Ms Ran</w:t>
            </w:r>
            <w:r w:rsidR="01234564" w:rsidRPr="00CB40AA">
              <w:t>a</w:t>
            </w:r>
            <w:r w:rsidRPr="00CB40AA">
              <w:t xml:space="preserve">di was also invited to act as discussant for another paper presented. Overall, Ms Ranadi </w:t>
            </w:r>
            <w:r w:rsidR="00F5200E" w:rsidRPr="00CB40AA">
              <w:t>indicated</w:t>
            </w:r>
            <w:r w:rsidRPr="00CB40AA">
              <w:t xml:space="preserve">, ‘the exposure, knowledge sharing and discussions with researchers at this conference was truly rewarding. </w:t>
            </w:r>
            <w:r w:rsidR="00DC3559" w:rsidRPr="00CB40AA">
              <w:t>Referring to</w:t>
            </w:r>
            <w:r w:rsidRPr="00CB40AA">
              <w:t xml:space="preserve"> this international recognition, RBF Deputy Governor Mr Masitabua stated, ‘That’s something that in my 25 years here ha</w:t>
            </w:r>
            <w:r w:rsidR="00071A86" w:rsidRPr="00CB40AA">
              <w:t>d</w:t>
            </w:r>
            <w:r w:rsidRPr="00CB40AA">
              <w:t xml:space="preserve"> never been achieved’.</w:t>
            </w:r>
          </w:p>
        </w:tc>
      </w:tr>
    </w:tbl>
    <w:p w14:paraId="16488D1C" w14:textId="7A995B01" w:rsidR="3A5E8049" w:rsidRPr="00CB40AA" w:rsidRDefault="1B76EC6B" w:rsidP="005464BA">
      <w:pPr>
        <w:pStyle w:val="Heading3"/>
      </w:pPr>
      <w:r>
        <w:t>Meso/organisational impacts</w:t>
      </w:r>
    </w:p>
    <w:tbl>
      <w:tblPr>
        <w:tblStyle w:val="TableGrid"/>
        <w:tblW w:w="9360" w:type="dxa"/>
        <w:tblLayout w:type="fixed"/>
        <w:tblCellMar>
          <w:top w:w="108" w:type="dxa"/>
          <w:bottom w:w="108" w:type="dxa"/>
        </w:tblCellMar>
        <w:tblLook w:val="06A0" w:firstRow="1" w:lastRow="0" w:firstColumn="1" w:lastColumn="0" w:noHBand="1" w:noVBand="1"/>
      </w:tblPr>
      <w:tblGrid>
        <w:gridCol w:w="2122"/>
        <w:gridCol w:w="7238"/>
      </w:tblGrid>
      <w:tr w:rsidR="56238CD6" w:rsidRPr="00CB40AA" w14:paraId="7D90F00C" w14:textId="77777777" w:rsidTr="00191F17">
        <w:tc>
          <w:tcPr>
            <w:tcW w:w="2122" w:type="dxa"/>
            <w:shd w:val="clear" w:color="auto" w:fill="auto"/>
          </w:tcPr>
          <w:p w14:paraId="4137E89C" w14:textId="349D35FB" w:rsidR="699573E3" w:rsidRPr="00ED5B04" w:rsidRDefault="699573E3" w:rsidP="00ED5B04">
            <w:pPr>
              <w:pStyle w:val="Tabletext"/>
              <w:rPr>
                <w:b/>
                <w:bCs/>
              </w:rPr>
            </w:pPr>
            <w:r w:rsidRPr="00ED5B04">
              <w:rPr>
                <w:b/>
                <w:bCs/>
              </w:rPr>
              <w:t>Achieved outcome</w:t>
            </w:r>
          </w:p>
        </w:tc>
        <w:tc>
          <w:tcPr>
            <w:tcW w:w="7238" w:type="dxa"/>
            <w:shd w:val="clear" w:color="auto" w:fill="auto"/>
          </w:tcPr>
          <w:p w14:paraId="7393B020" w14:textId="5E042D2B" w:rsidR="699573E3" w:rsidRPr="00ED5B04" w:rsidRDefault="699573E3" w:rsidP="00ED5B04">
            <w:pPr>
              <w:pStyle w:val="Tabletext"/>
              <w:rPr>
                <w:b/>
                <w:bCs/>
              </w:rPr>
            </w:pPr>
            <w:r w:rsidRPr="00ED5B04">
              <w:rPr>
                <w:b/>
                <w:bCs/>
              </w:rPr>
              <w:t>Evidence of outcome</w:t>
            </w:r>
          </w:p>
        </w:tc>
      </w:tr>
      <w:tr w:rsidR="56238CD6" w:rsidRPr="00CB40AA" w14:paraId="4B126464" w14:textId="77777777" w:rsidTr="00191F17">
        <w:tc>
          <w:tcPr>
            <w:tcW w:w="2122" w:type="dxa"/>
            <w:shd w:val="clear" w:color="auto" w:fill="auto"/>
          </w:tcPr>
          <w:p w14:paraId="02D4038D" w14:textId="7EBDFE65" w:rsidR="00C99FCC" w:rsidRPr="00191F17" w:rsidRDefault="00C99FCC" w:rsidP="00191F17">
            <w:pPr>
              <w:pStyle w:val="Tabletext"/>
              <w:rPr>
                <w:b/>
                <w:bCs/>
              </w:rPr>
            </w:pPr>
            <w:r w:rsidRPr="00191F17">
              <w:rPr>
                <w:b/>
                <w:bCs/>
              </w:rPr>
              <w:t>Improved practices and institutional knowledge</w:t>
            </w:r>
          </w:p>
        </w:tc>
        <w:tc>
          <w:tcPr>
            <w:tcW w:w="7238" w:type="dxa"/>
            <w:shd w:val="clear" w:color="auto" w:fill="auto"/>
          </w:tcPr>
          <w:p w14:paraId="298B3943" w14:textId="11137580" w:rsidR="0D3FC60B" w:rsidRPr="00CB40AA" w:rsidRDefault="0D3FC60B" w:rsidP="00191F17">
            <w:pPr>
              <w:pStyle w:val="Tabletext0"/>
            </w:pPr>
            <w:r w:rsidRPr="00CB40AA">
              <w:t>The central bank researchers in this case study have shared examples of the ways in which their research has improved practices in their institutions, including providing ‘guidance for our policy and decisions making’ (Ms Rohoia, CBSI), and identifying data gaps in census surveys with a macroeconomic impact (Mr Tuisawau, RBF).</w:t>
            </w:r>
          </w:p>
          <w:p w14:paraId="0FF02C77" w14:textId="7CC1AE0B" w:rsidR="0D3FC60B" w:rsidRPr="00CB40AA" w:rsidRDefault="0D3FC60B" w:rsidP="00191F17">
            <w:pPr>
              <w:pStyle w:val="Tabletext0"/>
            </w:pPr>
            <w:r w:rsidRPr="00CB40AA">
              <w:lastRenderedPageBreak/>
              <w:t xml:space="preserve">Ms Rohoia </w:t>
            </w:r>
            <w:r w:rsidR="001D63CB" w:rsidRPr="00CB40AA">
              <w:t>hig</w:t>
            </w:r>
            <w:r w:rsidR="006225E0" w:rsidRPr="00CB40AA">
              <w:t>hlighted</w:t>
            </w:r>
            <w:r w:rsidRPr="00CB40AA">
              <w:t xml:space="preserve"> that an outcome of her SPCCB working paper, ‘It has provided guidance for our policy and decision making’:</w:t>
            </w:r>
          </w:p>
          <w:p w14:paraId="0C8B294C" w14:textId="2B7C8048" w:rsidR="0D3FC60B" w:rsidRPr="00CB40AA" w:rsidRDefault="0D3FC60B" w:rsidP="00191F17">
            <w:pPr>
              <w:pStyle w:val="Tableindent"/>
            </w:pPr>
            <w:r w:rsidRPr="00CB40AA">
              <w:t>We [the paper</w:t>
            </w:r>
            <w:r w:rsidR="006225E0" w:rsidRPr="00CB40AA">
              <w:t xml:space="preserve"> authors</w:t>
            </w:r>
            <w:r w:rsidRPr="00CB40AA">
              <w:t>] found that inflation expectations do matter, and so now our department, our real sector unit, they are sending out surveys to find out business expectations as part of data collecting. From that data collecting, our analysts are able to do forecasting for inflation. That’s a benefit from our research.</w:t>
            </w:r>
          </w:p>
          <w:p w14:paraId="373F1ABF" w14:textId="2C9EE963" w:rsidR="0D3FC60B" w:rsidRPr="00CB40AA" w:rsidRDefault="0D3FC60B" w:rsidP="00191F17">
            <w:pPr>
              <w:pStyle w:val="Tabletext"/>
            </w:pPr>
            <w:r w:rsidRPr="00CB40AA">
              <w:t xml:space="preserve">Another paper Ms Rohoia is working on, is examining the financial development of the Solomon Islands since the 1980s; a ‘first’ for CBSI. Ms Rohoia stated this paper ‘will be the basis for future research where we’re identifying how we’ve evolved and what are the gaps and what are the areas where we could further research so that we could inform our policies in the banking </w:t>
            </w:r>
            <w:r w:rsidRPr="633237F5">
              <w:t>secto</w:t>
            </w:r>
            <w:r w:rsidR="00AB2FE8">
              <w:t>r</w:t>
            </w:r>
            <w:r w:rsidRPr="633237F5">
              <w:t>’</w:t>
            </w:r>
            <w:r w:rsidRPr="00CB40AA">
              <w:t>.</w:t>
            </w:r>
          </w:p>
        </w:tc>
      </w:tr>
      <w:tr w:rsidR="5F014BCB" w:rsidRPr="00CB40AA" w14:paraId="7A60D07E" w14:textId="77777777" w:rsidTr="00191F17">
        <w:tc>
          <w:tcPr>
            <w:tcW w:w="2122" w:type="dxa"/>
            <w:shd w:val="clear" w:color="auto" w:fill="auto"/>
          </w:tcPr>
          <w:p w14:paraId="1654DDC7" w14:textId="7824FF6E" w:rsidR="00C99FCC" w:rsidRPr="00191F17" w:rsidRDefault="00C99FCC" w:rsidP="00191F17">
            <w:pPr>
              <w:pStyle w:val="Tabletext"/>
              <w:rPr>
                <w:b/>
                <w:bCs/>
              </w:rPr>
            </w:pPr>
            <w:r w:rsidRPr="00191F17">
              <w:rPr>
                <w:b/>
                <w:bCs/>
              </w:rPr>
              <w:lastRenderedPageBreak/>
              <w:t>International exposure and reputation</w:t>
            </w:r>
          </w:p>
        </w:tc>
        <w:tc>
          <w:tcPr>
            <w:tcW w:w="7238" w:type="dxa"/>
            <w:shd w:val="clear" w:color="auto" w:fill="auto"/>
          </w:tcPr>
          <w:p w14:paraId="7F34A247" w14:textId="234D245C" w:rsidR="61852DFB" w:rsidRPr="00CB40AA" w:rsidRDefault="57195E7F" w:rsidP="00191F17">
            <w:pPr>
              <w:pStyle w:val="Tabletext0"/>
            </w:pPr>
            <w:r w:rsidRPr="233E28C1">
              <w:t>The SPCCB network has helped the central banks gain exposure to wider opportunities. RB</w:t>
            </w:r>
            <w:r w:rsidR="007568F5">
              <w:t>F</w:t>
            </w:r>
            <w:r w:rsidRPr="233E28C1">
              <w:t xml:space="preserve"> Deputy</w:t>
            </w:r>
            <w:r w:rsidR="5BC3E59E" w:rsidRPr="233E28C1">
              <w:t xml:space="preserve"> Governor</w:t>
            </w:r>
            <w:r w:rsidRPr="233E28C1">
              <w:t>, Mr Masitabua stated that their bank has benefited from this exposure by achieving publication in peer-reviewed journals:</w:t>
            </w:r>
          </w:p>
          <w:p w14:paraId="54D799B3" w14:textId="7E8C91CA" w:rsidR="370763FE" w:rsidRPr="00CB40AA" w:rsidRDefault="4805444E" w:rsidP="00191F17">
            <w:pPr>
              <w:pStyle w:val="Tableindent"/>
            </w:pPr>
            <w:r w:rsidRPr="00CB40AA">
              <w:t>By involving with Griffith, as one of the premier universities globally, we are able to look at opportunities in terms of elevating some of our research and papers…we’ve had a few papers that have been published in recognised academic journals, and again, that’s been a first for the Reserve Bank. It’s not that we’ve never produced anything worthy, it’s just that we’ve leveraged off this partnership that has opened these pathways for us. Central Banks don’t like to beat their chest, but for us, it gives comfort to the people knowing that this is the calibre of people you have in your reserve bank. They are able to present papers, so likewise, the other policies and public discourse within this institution must be quite robust for them to churn out some of these pieces of research.</w:t>
            </w:r>
          </w:p>
          <w:p w14:paraId="323F654E" w14:textId="756AEF78" w:rsidR="370763FE" w:rsidRPr="00CB40AA" w:rsidRDefault="756CE8D5" w:rsidP="00191F17">
            <w:pPr>
              <w:pStyle w:val="Tabletext"/>
              <w:rPr>
                <w:color w:val="000000" w:themeColor="text1"/>
              </w:rPr>
            </w:pPr>
            <w:r w:rsidRPr="00CB40AA">
              <w:t xml:space="preserve">For Griffith University, the significant outputs of the working papers and research forums has jointly increased its exposure to other organisations in the region. </w:t>
            </w:r>
            <w:r w:rsidR="2BB1C9F4" w:rsidRPr="00CB40AA">
              <w:rPr>
                <w:color w:val="000000" w:themeColor="text1"/>
              </w:rPr>
              <w:t>“It also opens the door to significant opportunity for other institutions to work together in key partnerships,” stated Professor O’Connor. “We have a deep belief in this University that we have a shared future</w:t>
            </w:r>
            <w:r w:rsidR="08297110" w:rsidRPr="00CB40AA">
              <w:rPr>
                <w:color w:val="000000" w:themeColor="text1"/>
              </w:rPr>
              <w:t>” (</w:t>
            </w:r>
            <w:r w:rsidR="3307C1CB" w:rsidRPr="00CB40AA">
              <w:rPr>
                <w:color w:val="000000" w:themeColor="text1"/>
              </w:rPr>
              <w:t>Griffith News</w:t>
            </w:r>
            <w:r w:rsidR="08297110" w:rsidRPr="00CB40AA">
              <w:rPr>
                <w:color w:val="000000" w:themeColor="text1"/>
              </w:rPr>
              <w:t>, 2016).</w:t>
            </w:r>
          </w:p>
        </w:tc>
      </w:tr>
    </w:tbl>
    <w:p w14:paraId="2C698379" w14:textId="0C818FD2" w:rsidR="3A5E8049" w:rsidRPr="00CB40AA" w:rsidRDefault="1B76EC6B" w:rsidP="005464BA">
      <w:pPr>
        <w:pStyle w:val="Heading3"/>
      </w:pPr>
      <w:r>
        <w:t>Macro/national and regional impacts</w:t>
      </w:r>
    </w:p>
    <w:tbl>
      <w:tblPr>
        <w:tblStyle w:val="TableGrid"/>
        <w:tblW w:w="9360" w:type="dxa"/>
        <w:tblLayout w:type="fixed"/>
        <w:tblCellMar>
          <w:top w:w="108" w:type="dxa"/>
          <w:bottom w:w="108" w:type="dxa"/>
        </w:tblCellMar>
        <w:tblLook w:val="06A0" w:firstRow="1" w:lastRow="0" w:firstColumn="1" w:lastColumn="0" w:noHBand="1" w:noVBand="1"/>
      </w:tblPr>
      <w:tblGrid>
        <w:gridCol w:w="2122"/>
        <w:gridCol w:w="7238"/>
      </w:tblGrid>
      <w:tr w:rsidR="5F014BCB" w:rsidRPr="00CB40AA" w14:paraId="11895707" w14:textId="77777777" w:rsidTr="00191F17">
        <w:tc>
          <w:tcPr>
            <w:tcW w:w="2122" w:type="dxa"/>
            <w:shd w:val="clear" w:color="auto" w:fill="auto"/>
          </w:tcPr>
          <w:p w14:paraId="3F2EF51F" w14:textId="349D35FB" w:rsidR="37F0AB20" w:rsidRPr="00ED5B04" w:rsidRDefault="37F0AB20" w:rsidP="00191F17">
            <w:pPr>
              <w:pStyle w:val="Tabletext"/>
              <w:rPr>
                <w:b/>
                <w:bCs/>
              </w:rPr>
            </w:pPr>
            <w:r w:rsidRPr="00ED5B04">
              <w:rPr>
                <w:b/>
                <w:bCs/>
              </w:rPr>
              <w:t>Achieved outcome</w:t>
            </w:r>
          </w:p>
        </w:tc>
        <w:tc>
          <w:tcPr>
            <w:tcW w:w="7238" w:type="dxa"/>
            <w:shd w:val="clear" w:color="auto" w:fill="auto"/>
          </w:tcPr>
          <w:p w14:paraId="09FFF236" w14:textId="5E042D2B" w:rsidR="37F0AB20" w:rsidRPr="00ED5B04" w:rsidRDefault="37F0AB20" w:rsidP="00191F17">
            <w:pPr>
              <w:pStyle w:val="Tabletext"/>
              <w:rPr>
                <w:rFonts w:eastAsia="Calibri"/>
                <w:b/>
                <w:bCs/>
              </w:rPr>
            </w:pPr>
            <w:r w:rsidRPr="00ED5B04">
              <w:rPr>
                <w:rFonts w:eastAsia="Calibri"/>
                <w:b/>
                <w:bCs/>
              </w:rPr>
              <w:t>Evidence of outcome</w:t>
            </w:r>
          </w:p>
        </w:tc>
      </w:tr>
      <w:tr w:rsidR="5F014BCB" w:rsidRPr="00CB40AA" w14:paraId="3F2044E6" w14:textId="77777777" w:rsidTr="00191F17">
        <w:tc>
          <w:tcPr>
            <w:tcW w:w="2122" w:type="dxa"/>
            <w:shd w:val="clear" w:color="auto" w:fill="auto"/>
          </w:tcPr>
          <w:p w14:paraId="74A66BC8" w14:textId="44C815C8" w:rsidR="00C99FCC" w:rsidRPr="00ED5B04" w:rsidRDefault="0C7AD1A2" w:rsidP="00191F17">
            <w:pPr>
              <w:pStyle w:val="Tabletext"/>
              <w:rPr>
                <w:b/>
                <w:bCs/>
              </w:rPr>
            </w:pPr>
            <w:r w:rsidRPr="00ED5B04">
              <w:rPr>
                <w:b/>
                <w:bCs/>
              </w:rPr>
              <w:t>Regional cooperation of research and policy formulation</w:t>
            </w:r>
          </w:p>
        </w:tc>
        <w:tc>
          <w:tcPr>
            <w:tcW w:w="7238" w:type="dxa"/>
            <w:shd w:val="clear" w:color="auto" w:fill="auto"/>
          </w:tcPr>
          <w:p w14:paraId="691EFEEF" w14:textId="632CC0A1" w:rsidR="61852DFB" w:rsidRPr="00CB40AA" w:rsidRDefault="78CB1CC1" w:rsidP="00191F17">
            <w:pPr>
              <w:pStyle w:val="Tabletext0"/>
            </w:pPr>
            <w:r w:rsidRPr="78CB1CC1">
              <w:t xml:space="preserve">As a result of the research dissemination activities run by SPCCB, discussions and engagement amongst the central banks have evolved to begin exploring regional-level collaboration on research and policy formulation. </w:t>
            </w:r>
            <w:r w:rsidR="18490127" w:rsidRPr="78CB1CC1">
              <w:t xml:space="preserve">Dr Sharma shared insight from the last round table discussion of Governors and stakeholders held in 2021, noting: </w:t>
            </w:r>
          </w:p>
          <w:p w14:paraId="47FD2077" w14:textId="5BA4C5BF" w:rsidR="61852DFB" w:rsidRPr="00CB40AA" w:rsidRDefault="61852DFB" w:rsidP="00191F17">
            <w:pPr>
              <w:pStyle w:val="Tableindent"/>
            </w:pPr>
            <w:r w:rsidRPr="00CB40AA">
              <w:t>We have been thinking about forming a policy committee for the region comprising at least the Deputy Governors. So, what we have in mind is that those papers that have transparent clear implications for policy might go to this committee for concentration.</w:t>
            </w:r>
          </w:p>
          <w:p w14:paraId="5406F325" w14:textId="5251C85C" w:rsidR="61852DFB" w:rsidRPr="00CB40AA" w:rsidRDefault="0FF3773A" w:rsidP="00191F17">
            <w:pPr>
              <w:pStyle w:val="Tabletext"/>
            </w:pPr>
            <w:r w:rsidRPr="78CB1CC1">
              <w:t>At this discussion, two research papers were ‘identified that had clear policy outcomes, and so they were going to be taken up to the next level, and how to transform them from those papers’ recommendations into policies. Due to the impacts of COVID-19, progression in this regional cooperation has paused.</w:t>
            </w:r>
          </w:p>
        </w:tc>
      </w:tr>
    </w:tbl>
    <w:p w14:paraId="78B015DA" w14:textId="2A08C4F2" w:rsidR="36B08D87" w:rsidRPr="00CB40AA" w:rsidRDefault="36B08D87" w:rsidP="007C083C">
      <w:pPr>
        <w:pStyle w:val="BodyCopy"/>
      </w:pPr>
    </w:p>
    <w:p w14:paraId="13A7D5B5" w14:textId="2A08C4F2" w:rsidR="3A5E8049" w:rsidRPr="00CB40AA" w:rsidRDefault="51066B4E" w:rsidP="00EB7114">
      <w:pPr>
        <w:pStyle w:val="Heading2"/>
      </w:pPr>
      <w:bookmarkStart w:id="43" w:name="_Toc103348735"/>
      <w:r>
        <w:lastRenderedPageBreak/>
        <w:t>Contributions to bilateral cooperation</w:t>
      </w:r>
      <w:bookmarkEnd w:id="43"/>
      <w:r>
        <w:t xml:space="preserve"> </w:t>
      </w:r>
    </w:p>
    <w:p w14:paraId="2B91E659" w14:textId="764681DF" w:rsidR="235EC5BE" w:rsidRPr="005464BA" w:rsidRDefault="6F9AD9DD" w:rsidP="007C083C">
      <w:pPr>
        <w:pStyle w:val="BodyCopy"/>
        <w:rPr>
          <w:rFonts w:eastAsia="Calibri"/>
        </w:rPr>
      </w:pPr>
      <w:r w:rsidRPr="005464BA">
        <w:t xml:space="preserve">The contributions by the SPCCB network to bilateral cooperation range from extending the researchers’ professional networks to enhancing the visibility and reputation of the central banks and Australian expertise. </w:t>
      </w:r>
      <w:r w:rsidR="235EC5BE" w:rsidRPr="005464BA">
        <w:t>The partnerships developed through SPCCB also demonstr</w:t>
      </w:r>
      <w:r w:rsidR="6B52D6DF" w:rsidRPr="005464BA">
        <w:t>ate a ripple effect in the ways in which these cross-organisational collaborations can enable other development outcomes. The figure below by The Partnering Initiative (</w:t>
      </w:r>
      <w:r w:rsidR="2D9AC56A" w:rsidRPr="005464BA">
        <w:t>Stibbe and Prescott,</w:t>
      </w:r>
      <w:r w:rsidR="64F56D03" w:rsidRPr="005464BA">
        <w:t xml:space="preserve"> </w:t>
      </w:r>
      <w:r w:rsidR="6B52D6DF" w:rsidRPr="005464BA">
        <w:t>2020, p.10)</w:t>
      </w:r>
      <w:r w:rsidR="6B52D6DF" w:rsidRPr="005464BA">
        <w:rPr>
          <w:rFonts w:eastAsia="Calibri"/>
        </w:rPr>
        <w:t>, shows how the ‘SDGs are the result of – and a call for – a new collaborative way of working’, with partnerships flowing through each category layer of the other 16 goals. Bilateral cooperation undertaken with partnership principles can lead to impact with mutual benefit in the relationship objectives it achieves.</w:t>
      </w:r>
    </w:p>
    <w:p w14:paraId="7053B709" w14:textId="6E12B4DF" w:rsidR="00721220" w:rsidRDefault="00721220" w:rsidP="005464BA">
      <w:pPr>
        <w:pStyle w:val="Figure"/>
      </w:pPr>
      <w:r w:rsidRPr="00CB40AA">
        <w:t xml:space="preserve">Figure </w:t>
      </w:r>
      <w:r w:rsidR="00450AE6" w:rsidRPr="00CB40AA">
        <w:rPr>
          <w:color w:val="2B579A"/>
          <w:shd w:val="clear" w:color="auto" w:fill="E6E6E6"/>
        </w:rPr>
        <w:fldChar w:fldCharType="begin"/>
      </w:r>
      <w:r w:rsidR="00450AE6" w:rsidRPr="00CB40AA">
        <w:instrText xml:space="preserve"> SEQ Figure \* ARABIC </w:instrText>
      </w:r>
      <w:r w:rsidR="00450AE6" w:rsidRPr="00CB40AA">
        <w:rPr>
          <w:color w:val="2B579A"/>
          <w:shd w:val="clear" w:color="auto" w:fill="E6E6E6"/>
        </w:rPr>
        <w:fldChar w:fldCharType="separate"/>
      </w:r>
      <w:r w:rsidR="001D6B4B">
        <w:rPr>
          <w:noProof/>
        </w:rPr>
        <w:t>6</w:t>
      </w:r>
      <w:r w:rsidR="00450AE6" w:rsidRPr="00CB40AA">
        <w:rPr>
          <w:noProof/>
          <w:color w:val="2B579A"/>
          <w:shd w:val="clear" w:color="auto" w:fill="E6E6E6"/>
        </w:rPr>
        <w:fldChar w:fldCharType="end"/>
      </w:r>
      <w:r>
        <w:t xml:space="preserve">: The UN SDGs in an </w:t>
      </w:r>
      <w:r w:rsidRPr="005464BA">
        <w:t>interconnected</w:t>
      </w:r>
      <w:r>
        <w:t xml:space="preserve"> economy, society and environment (</w:t>
      </w:r>
      <w:r w:rsidR="2D9AC56A">
        <w:t xml:space="preserve">Stibbe and Prescott, </w:t>
      </w:r>
      <w:r w:rsidR="6B52D6DF" w:rsidRPr="46D8E27F">
        <w:t>2020, p.10</w:t>
      </w:r>
      <w:r w:rsidR="6B52D6DF" w:rsidRPr="1C076ED9">
        <w:t>)</w:t>
      </w:r>
    </w:p>
    <w:p w14:paraId="143B6603" w14:textId="485D8BEA" w:rsidR="00AE2B9D" w:rsidRPr="00CB40AA" w:rsidRDefault="00AE2B9D" w:rsidP="005464BA">
      <w:pPr>
        <w:pStyle w:val="Figure"/>
        <w:rPr>
          <w:i/>
        </w:rPr>
      </w:pPr>
      <w:r w:rsidRPr="00CB40AA">
        <w:rPr>
          <w:noProof/>
          <w:color w:val="2B579A"/>
          <w:shd w:val="clear" w:color="auto" w:fill="E6E6E6"/>
          <w:lang w:eastAsia="en-AU"/>
        </w:rPr>
        <w:drawing>
          <wp:inline distT="0" distB="0" distL="0" distR="0" wp14:anchorId="47CD6055" wp14:editId="5C9509C3">
            <wp:extent cx="5692866" cy="4542182"/>
            <wp:effectExtent l="0" t="0" r="0" b="4445"/>
            <wp:docPr id="1190095539" name="Picture 6" descr="The 2030 Agenda is based on an interconnected economy, society and environment. The 17 SDGs  and interlinked in the diagram through a properous economy, thriving society and healthy environment." title="Figure 6: The UN SDGs in an interconnected economy, society and environment (Stibbe and Prescott, 2020, 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778069" cy="4610163"/>
                    </a:xfrm>
                    <a:prstGeom prst="rect">
                      <a:avLst/>
                    </a:prstGeom>
                  </pic:spPr>
                </pic:pic>
              </a:graphicData>
            </a:graphic>
          </wp:inline>
        </w:drawing>
      </w:r>
    </w:p>
    <w:p w14:paraId="5EE6A724" w14:textId="77777777" w:rsidR="00AE2B9D" w:rsidRDefault="00AE2B9D">
      <w:pPr>
        <w:spacing w:before="0"/>
        <w:rPr>
          <w:rFonts w:eastAsiaTheme="majorEastAsia" w:cs="Arial"/>
          <w:b/>
          <w:bCs/>
          <w:color w:val="1F3763"/>
          <w:sz w:val="20"/>
          <w:szCs w:val="20"/>
        </w:rPr>
      </w:pPr>
      <w:r>
        <w:br w:type="page"/>
      </w:r>
    </w:p>
    <w:p w14:paraId="680850F9" w14:textId="3592E1A1" w:rsidR="3A5E8049" w:rsidRPr="00CB40AA" w:rsidRDefault="423F38D4" w:rsidP="005464BA">
      <w:pPr>
        <w:pStyle w:val="Heading3"/>
      </w:pPr>
      <w:r>
        <w:lastRenderedPageBreak/>
        <w:t>Micro/individual impacts</w:t>
      </w:r>
    </w:p>
    <w:tbl>
      <w:tblPr>
        <w:tblStyle w:val="TableGrid"/>
        <w:tblW w:w="9360" w:type="dxa"/>
        <w:tblLayout w:type="fixed"/>
        <w:tblCellMar>
          <w:top w:w="108" w:type="dxa"/>
          <w:bottom w:w="108" w:type="dxa"/>
        </w:tblCellMar>
        <w:tblLook w:val="06A0" w:firstRow="1" w:lastRow="0" w:firstColumn="1" w:lastColumn="0" w:noHBand="1" w:noVBand="1"/>
      </w:tblPr>
      <w:tblGrid>
        <w:gridCol w:w="1980"/>
        <w:gridCol w:w="7380"/>
      </w:tblGrid>
      <w:tr w:rsidR="108542AE" w:rsidRPr="00ED5B04" w14:paraId="4EA9EBD1" w14:textId="77777777" w:rsidTr="001C3F8F">
        <w:tc>
          <w:tcPr>
            <w:tcW w:w="1980" w:type="dxa"/>
            <w:shd w:val="clear" w:color="auto" w:fill="auto"/>
          </w:tcPr>
          <w:p w14:paraId="3B2BEFD8" w14:textId="349D35FB" w:rsidR="51D0C8EE" w:rsidRPr="00ED5B04" w:rsidRDefault="51D0C8EE" w:rsidP="00ED5B04">
            <w:pPr>
              <w:pStyle w:val="Tabletext"/>
              <w:rPr>
                <w:b/>
                <w:bCs/>
              </w:rPr>
            </w:pPr>
            <w:r w:rsidRPr="00ED5B04">
              <w:rPr>
                <w:b/>
                <w:bCs/>
              </w:rPr>
              <w:t>Achieved outcome</w:t>
            </w:r>
          </w:p>
        </w:tc>
        <w:tc>
          <w:tcPr>
            <w:tcW w:w="7380" w:type="dxa"/>
            <w:shd w:val="clear" w:color="auto" w:fill="auto"/>
          </w:tcPr>
          <w:p w14:paraId="2B9A79F5" w14:textId="5E042D2B" w:rsidR="51D0C8EE" w:rsidRPr="00ED5B04" w:rsidRDefault="51D0C8EE" w:rsidP="00ED5B04">
            <w:pPr>
              <w:pStyle w:val="Tabletext"/>
              <w:rPr>
                <w:rFonts w:eastAsia="Calibri"/>
                <w:b/>
                <w:bCs/>
              </w:rPr>
            </w:pPr>
            <w:r w:rsidRPr="00ED5B04">
              <w:rPr>
                <w:rFonts w:eastAsia="Calibri"/>
                <w:b/>
                <w:bCs/>
              </w:rPr>
              <w:t>Evidence of outcome</w:t>
            </w:r>
          </w:p>
        </w:tc>
      </w:tr>
      <w:tr w:rsidR="108542AE" w:rsidRPr="00ED5B04" w14:paraId="002A3F4A" w14:textId="77777777" w:rsidTr="001C3F8F">
        <w:tc>
          <w:tcPr>
            <w:tcW w:w="1980" w:type="dxa"/>
            <w:shd w:val="clear" w:color="auto" w:fill="auto"/>
          </w:tcPr>
          <w:p w14:paraId="58956301" w14:textId="6AA5595A" w:rsidR="15659F6A" w:rsidRPr="00ED5B04" w:rsidRDefault="15659F6A" w:rsidP="00ED5B04">
            <w:pPr>
              <w:pStyle w:val="Tabletext"/>
              <w:rPr>
                <w:b/>
                <w:bCs/>
              </w:rPr>
            </w:pPr>
            <w:r w:rsidRPr="00ED5B04">
              <w:rPr>
                <w:b/>
                <w:bCs/>
              </w:rPr>
              <w:t>Access to regional and international platforms</w:t>
            </w:r>
          </w:p>
        </w:tc>
        <w:tc>
          <w:tcPr>
            <w:tcW w:w="7380" w:type="dxa"/>
            <w:shd w:val="clear" w:color="auto" w:fill="auto"/>
          </w:tcPr>
          <w:p w14:paraId="1A8FA863" w14:textId="52E20122" w:rsidR="3AFCCECB" w:rsidRPr="00ED5B04" w:rsidRDefault="3AFCCECB" w:rsidP="00ED5B04">
            <w:pPr>
              <w:pStyle w:val="Tabletext0"/>
            </w:pPr>
            <w:r w:rsidRPr="00ED5B04">
              <w:t xml:space="preserve">The regional central banking research platform that SPCCB offers is a forum for the researchers to share their practices and knowledge as well as exposure to other international organisations. Mr </w:t>
            </w:r>
            <w:r w:rsidR="5701328D" w:rsidRPr="00ED5B04">
              <w:rPr>
                <w:color w:val="000000" w:themeColor="text1"/>
                <w:lang w:eastAsia="en-AU"/>
              </w:rPr>
              <w:t>Tuisawau,</w:t>
            </w:r>
            <w:r w:rsidRPr="00ED5B04">
              <w:t xml:space="preserve"> perceived their invitation to attend in broader seminars was a result of involvement in SPCCB by external stakeholders: </w:t>
            </w:r>
          </w:p>
          <w:p w14:paraId="3809941A" w14:textId="3C59CAAE" w:rsidR="3AFCCECB" w:rsidRPr="00ED5B04" w:rsidRDefault="3AFCCECB" w:rsidP="00ED5B04">
            <w:pPr>
              <w:pStyle w:val="Tableindent"/>
            </w:pPr>
            <w:r w:rsidRPr="00ED5B04">
              <w:t>[The World Bank] were there at the conference in 2018 or ’19. It was because of this particular conference, because there were presentations that we did, and because they knew the field that we were working in, we were able to be included as well in the other seminars... So, it’s not only the strengthening of strong collaboration with other central banks but also the international organisations and institutions.</w:t>
            </w:r>
          </w:p>
          <w:p w14:paraId="534B9CA6" w14:textId="4431C258" w:rsidR="00972C14" w:rsidRPr="00ED5B04" w:rsidRDefault="5CCE13F7" w:rsidP="00ED5B04">
            <w:pPr>
              <w:pStyle w:val="Tabletext"/>
            </w:pPr>
            <w:r w:rsidRPr="00ED5B04">
              <w:t xml:space="preserve">Another researcher, Ms Angeline Rohoia, </w:t>
            </w:r>
            <w:r w:rsidR="00CA1C30" w:rsidRPr="00ED5B04">
              <w:t>highlighted that</w:t>
            </w:r>
            <w:r w:rsidRPr="00ED5B04">
              <w:t xml:space="preserve"> ‘the most valuable outcome of participation in SPCCB is how we are able to pull together resources from the region and being able to come together to one platform where we can share knowledge and skills in research especially is a real boost for us.’</w:t>
            </w:r>
          </w:p>
        </w:tc>
      </w:tr>
    </w:tbl>
    <w:p w14:paraId="4B281CCE" w14:textId="46DDF2BB" w:rsidR="3A5E8049" w:rsidRPr="00CB40AA" w:rsidRDefault="1B76EC6B" w:rsidP="00AE2B9D">
      <w:pPr>
        <w:pStyle w:val="Heading3"/>
      </w:pPr>
      <w:r>
        <w:t>Meso/</w:t>
      </w:r>
      <w:r w:rsidRPr="00AE2B9D">
        <w:t>organisational impacts</w:t>
      </w:r>
    </w:p>
    <w:tbl>
      <w:tblPr>
        <w:tblStyle w:val="TableGrid"/>
        <w:tblW w:w="9360" w:type="dxa"/>
        <w:tblLayout w:type="fixed"/>
        <w:tblCellMar>
          <w:top w:w="108" w:type="dxa"/>
          <w:bottom w:w="108" w:type="dxa"/>
        </w:tblCellMar>
        <w:tblLook w:val="06A0" w:firstRow="1" w:lastRow="0" w:firstColumn="1" w:lastColumn="0" w:noHBand="1" w:noVBand="1"/>
      </w:tblPr>
      <w:tblGrid>
        <w:gridCol w:w="1980"/>
        <w:gridCol w:w="7380"/>
      </w:tblGrid>
      <w:tr w:rsidR="0EB90EA2" w:rsidRPr="00ED5B04" w14:paraId="11BE549F" w14:textId="77777777" w:rsidTr="00ED5B04">
        <w:tc>
          <w:tcPr>
            <w:tcW w:w="1980" w:type="dxa"/>
            <w:shd w:val="clear" w:color="auto" w:fill="auto"/>
          </w:tcPr>
          <w:p w14:paraId="304173D1" w14:textId="349D35FB" w:rsidR="0EB90EA2" w:rsidRPr="00ED5B04" w:rsidRDefault="0EB90EA2" w:rsidP="00ED5B04">
            <w:pPr>
              <w:pStyle w:val="Tabletext"/>
              <w:rPr>
                <w:b/>
                <w:bCs/>
              </w:rPr>
            </w:pPr>
            <w:r w:rsidRPr="00ED5B04">
              <w:rPr>
                <w:b/>
                <w:bCs/>
              </w:rPr>
              <w:t>Achieved outcome</w:t>
            </w:r>
          </w:p>
        </w:tc>
        <w:tc>
          <w:tcPr>
            <w:tcW w:w="7380" w:type="dxa"/>
            <w:shd w:val="clear" w:color="auto" w:fill="auto"/>
          </w:tcPr>
          <w:p w14:paraId="394BA6A1" w14:textId="5E042D2B" w:rsidR="0EB90EA2" w:rsidRPr="00ED5B04" w:rsidRDefault="0EB90EA2" w:rsidP="00ED5B04">
            <w:pPr>
              <w:pStyle w:val="Tabletext"/>
              <w:rPr>
                <w:rFonts w:eastAsia="Calibri"/>
                <w:b/>
                <w:bCs/>
              </w:rPr>
            </w:pPr>
            <w:r w:rsidRPr="00ED5B04">
              <w:rPr>
                <w:rFonts w:eastAsia="Calibri"/>
                <w:b/>
                <w:bCs/>
              </w:rPr>
              <w:t>Evidence of outcome</w:t>
            </w:r>
          </w:p>
        </w:tc>
      </w:tr>
      <w:tr w:rsidR="78518274" w:rsidRPr="00ED5B04" w14:paraId="7F283447" w14:textId="77777777" w:rsidTr="00ED5B04">
        <w:tc>
          <w:tcPr>
            <w:tcW w:w="1980" w:type="dxa"/>
            <w:shd w:val="clear" w:color="auto" w:fill="auto"/>
          </w:tcPr>
          <w:p w14:paraId="76F7F2A4" w14:textId="198A37D9" w:rsidR="5C667C1B" w:rsidRPr="00ED5B04" w:rsidRDefault="5C667C1B" w:rsidP="00ED5B04">
            <w:pPr>
              <w:pStyle w:val="Tabletext"/>
              <w:rPr>
                <w:b/>
                <w:bCs/>
              </w:rPr>
            </w:pPr>
            <w:r w:rsidRPr="00ED5B04">
              <w:rPr>
                <w:b/>
                <w:bCs/>
              </w:rPr>
              <w:t>Regional research platform for multilateral collaboration</w:t>
            </w:r>
          </w:p>
        </w:tc>
        <w:tc>
          <w:tcPr>
            <w:tcW w:w="7380" w:type="dxa"/>
            <w:shd w:val="clear" w:color="auto" w:fill="auto"/>
          </w:tcPr>
          <w:p w14:paraId="34E1A9B4" w14:textId="5D29388C" w:rsidR="3AFCCECB" w:rsidRPr="00ED5B04" w:rsidRDefault="1023BD58" w:rsidP="00035300">
            <w:pPr>
              <w:pStyle w:val="Tabletext0"/>
            </w:pPr>
            <w:r w:rsidRPr="00ED5B04">
              <w:t xml:space="preserve">All case study participants highlighted the benefit to their organisations to engage in central banking research and policy formulation with Griffith University and other central banks in the region. </w:t>
            </w:r>
            <w:r w:rsidR="11785715" w:rsidRPr="00ED5B04">
              <w:t xml:space="preserve">Ms Baragamu, a Chief Manager within the </w:t>
            </w:r>
            <w:r w:rsidR="3E66EE84" w:rsidRPr="00ED5B04">
              <w:rPr>
                <w:lang w:eastAsia="en-AU"/>
              </w:rPr>
              <w:t>Economics, Research and Statistics Department at CBSI,</w:t>
            </w:r>
            <w:r w:rsidR="11785715" w:rsidRPr="00ED5B04">
              <w:t xml:space="preserve"> stated the SPCCB platform increased the capacity of their one-person research unit</w:t>
            </w:r>
            <w:r w:rsidR="4677CACE" w:rsidRPr="00ED5B04">
              <w:t>:</w:t>
            </w:r>
            <w:r w:rsidR="11785715" w:rsidRPr="00ED5B04">
              <w:t xml:space="preserve"> </w:t>
            </w:r>
            <w:r w:rsidR="4677CACE" w:rsidRPr="00ED5B04">
              <w:t>‘</w:t>
            </w:r>
            <w:r w:rsidR="11785715" w:rsidRPr="00ED5B04">
              <w:t>collaboration with all central banks helps us push things forward in terms of help and the assistance in coordination...</w:t>
            </w:r>
            <w:r w:rsidR="78CB1CC1" w:rsidRPr="00ED5B04">
              <w:rPr>
                <w:rFonts w:eastAsia="Calibri"/>
              </w:rPr>
              <w:t>this platform really supports us in terms of the capacity we have</w:t>
            </w:r>
            <w:r w:rsidR="11785715" w:rsidRPr="00ED5B04">
              <w:t>'.</w:t>
            </w:r>
          </w:p>
          <w:p w14:paraId="1285A0B0" w14:textId="07AA2BC5" w:rsidR="3AFCCECB" w:rsidRPr="00ED5B04" w:rsidRDefault="3AFCCECB" w:rsidP="00035300">
            <w:pPr>
              <w:pStyle w:val="Tabletext0"/>
            </w:pPr>
            <w:r w:rsidRPr="00ED5B04">
              <w:t xml:space="preserve">Deputy-Governor of RBF, Mr Esala Masitabua, </w:t>
            </w:r>
            <w:r w:rsidR="7AABBC1A" w:rsidRPr="00ED5B04">
              <w:t xml:space="preserve">similarly </w:t>
            </w:r>
            <w:r w:rsidRPr="00ED5B04">
              <w:t>described SPCCB as a ‘collaborative platform’ that has strengthened the existing regional central bank networks:</w:t>
            </w:r>
          </w:p>
          <w:p w14:paraId="49FD3E4F" w14:textId="00DDDB1F" w:rsidR="3AFCCECB" w:rsidRPr="00ED5B04" w:rsidRDefault="3AFCCECB" w:rsidP="00035300">
            <w:pPr>
              <w:pStyle w:val="Tableindent"/>
            </w:pPr>
            <w:r w:rsidRPr="00ED5B04">
              <w:t>This platform that Griffith has created has enabled that collaboration on developing [research] skills. Like Australia’s RBA has come on board, RBNZ, so we are able to learn f</w:t>
            </w:r>
            <w:r w:rsidR="001A74B1" w:rsidRPr="00ED5B04">
              <w:t>rom</w:t>
            </w:r>
            <w:r w:rsidRPr="00ED5B04">
              <w:t xml:space="preserve"> them too.</w:t>
            </w:r>
          </w:p>
          <w:p w14:paraId="71C5B8A4" w14:textId="04C52FD3" w:rsidR="3AFCCECB" w:rsidRPr="00ED5B04" w:rsidRDefault="1023BD58" w:rsidP="00035300">
            <w:pPr>
              <w:pStyle w:val="Tabletext0"/>
            </w:pPr>
            <w:r w:rsidRPr="00ED5B04">
              <w:t>Professor Caitlin Byrne, Director of the Griffith Asia Institute, added, the SPCCB platform is ‘an opportunity for us to understand more about the central banking issues, the unique experiences of Pacific Island nations and to really build on that, not just in terms of our dialogue with each other but also more broadly as we’re working with others in the region.’</w:t>
            </w:r>
          </w:p>
          <w:p w14:paraId="78AA90F5" w14:textId="3ECDAAA5" w:rsidR="3AFCCECB" w:rsidRPr="00ED5B04" w:rsidRDefault="73C03752" w:rsidP="00035300">
            <w:pPr>
              <w:pStyle w:val="Tabletext0"/>
            </w:pPr>
            <w:r w:rsidRPr="00ED5B04">
              <w:t xml:space="preserve">The SPCCB platform also offers the central banks a unique opportunity to share the learning platform when engaging with other organisations. Mr Tuisawau </w:t>
            </w:r>
            <w:r w:rsidR="5E74558F" w:rsidRPr="00ED5B04">
              <w:t>noted</w:t>
            </w:r>
            <w:r w:rsidRPr="00ED5B04">
              <w:t xml:space="preserve"> their experience including their local Bureau of Statistics as a co-author on a paper, ‘I think when it’s Griffith co-authoring…it has the potential to strengthen partnerships with all the other government departments.’</w:t>
            </w:r>
          </w:p>
          <w:p w14:paraId="43C075F3" w14:textId="1E261E45" w:rsidR="3AFCCECB" w:rsidRPr="00ED5B04" w:rsidRDefault="67CA915F" w:rsidP="00035300">
            <w:pPr>
              <w:pStyle w:val="Tabletext0"/>
            </w:pPr>
            <w:r w:rsidRPr="00ED5B04">
              <w:t xml:space="preserve">Under SPCCB, Griffith University and the partner central banks have signed individual and regional </w:t>
            </w:r>
            <w:r w:rsidR="0009028C" w:rsidRPr="00ED5B04">
              <w:t>MO</w:t>
            </w:r>
            <w:r w:rsidRPr="00ED5B04">
              <w:t xml:space="preserve">Us, firming the commitment to collaborate on capacity development for research and policy formulation. These commitments include a regional </w:t>
            </w:r>
            <w:r w:rsidR="0009028C" w:rsidRPr="00ED5B04">
              <w:t>MO</w:t>
            </w:r>
            <w:r w:rsidRPr="00ED5B04">
              <w:t>U to provide ‘cost-sharing scholarships’ for South Pacific central bankers to undertake PhD-level studies, (Griffith News, 2020) this has been paused due to COVID-19 travel restrictions.</w:t>
            </w:r>
          </w:p>
        </w:tc>
      </w:tr>
    </w:tbl>
    <w:p w14:paraId="134A2EA7" w14:textId="58D42C43" w:rsidR="3A5E8049" w:rsidRPr="00CB40AA" w:rsidRDefault="45AD4835" w:rsidP="005464BA">
      <w:pPr>
        <w:pStyle w:val="Heading3"/>
      </w:pPr>
      <w:r>
        <w:lastRenderedPageBreak/>
        <w:t>Macro/national and regional impacts</w:t>
      </w:r>
    </w:p>
    <w:tbl>
      <w:tblPr>
        <w:tblStyle w:val="TableGrid"/>
        <w:tblW w:w="9360" w:type="dxa"/>
        <w:tblLayout w:type="fixed"/>
        <w:tblCellMar>
          <w:top w:w="108" w:type="dxa"/>
          <w:bottom w:w="108" w:type="dxa"/>
        </w:tblCellMar>
        <w:tblLook w:val="06A0" w:firstRow="1" w:lastRow="0" w:firstColumn="1" w:lastColumn="0" w:noHBand="1" w:noVBand="1"/>
      </w:tblPr>
      <w:tblGrid>
        <w:gridCol w:w="2122"/>
        <w:gridCol w:w="7238"/>
      </w:tblGrid>
      <w:tr w:rsidR="16D9BC14" w:rsidRPr="00035300" w14:paraId="6520A397" w14:textId="77777777" w:rsidTr="001C3F8F">
        <w:tc>
          <w:tcPr>
            <w:tcW w:w="2122" w:type="dxa"/>
            <w:shd w:val="clear" w:color="auto" w:fill="auto"/>
          </w:tcPr>
          <w:p w14:paraId="005EC225" w14:textId="349D35FB" w:rsidR="16D9BC14" w:rsidRPr="001C3F8F" w:rsidRDefault="16D9BC14" w:rsidP="001C3F8F">
            <w:pPr>
              <w:pStyle w:val="Tabletext"/>
              <w:rPr>
                <w:b/>
                <w:bCs/>
              </w:rPr>
            </w:pPr>
            <w:r w:rsidRPr="001C3F8F">
              <w:rPr>
                <w:b/>
                <w:bCs/>
              </w:rPr>
              <w:t>Achieved outcome</w:t>
            </w:r>
          </w:p>
        </w:tc>
        <w:tc>
          <w:tcPr>
            <w:tcW w:w="7238" w:type="dxa"/>
            <w:shd w:val="clear" w:color="auto" w:fill="auto"/>
          </w:tcPr>
          <w:p w14:paraId="4810779F" w14:textId="5E042D2B" w:rsidR="16D9BC14" w:rsidRPr="001C3F8F" w:rsidRDefault="16D9BC14" w:rsidP="001C3F8F">
            <w:pPr>
              <w:pStyle w:val="Tabletext"/>
              <w:rPr>
                <w:rFonts w:eastAsia="Calibri"/>
                <w:b/>
                <w:bCs/>
              </w:rPr>
            </w:pPr>
            <w:r w:rsidRPr="001C3F8F">
              <w:rPr>
                <w:rFonts w:eastAsia="Calibri"/>
                <w:b/>
                <w:bCs/>
              </w:rPr>
              <w:t>Evidence of outcome</w:t>
            </w:r>
          </w:p>
        </w:tc>
      </w:tr>
      <w:tr w:rsidR="78518274" w:rsidRPr="00035300" w14:paraId="3BF5E3A5" w14:textId="77777777" w:rsidTr="001C3F8F">
        <w:tc>
          <w:tcPr>
            <w:tcW w:w="2122" w:type="dxa"/>
            <w:shd w:val="clear" w:color="auto" w:fill="auto"/>
          </w:tcPr>
          <w:p w14:paraId="4BD94B24" w14:textId="48E5834F" w:rsidR="15659F6A" w:rsidRPr="001C3F8F" w:rsidRDefault="15659F6A" w:rsidP="001C3F8F">
            <w:pPr>
              <w:pStyle w:val="Tabletext"/>
              <w:rPr>
                <w:b/>
                <w:bCs/>
              </w:rPr>
            </w:pPr>
            <w:r w:rsidRPr="001C3F8F">
              <w:rPr>
                <w:b/>
                <w:bCs/>
              </w:rPr>
              <w:t>Visibility and reputation for central banks and Australian expertise</w:t>
            </w:r>
          </w:p>
        </w:tc>
        <w:tc>
          <w:tcPr>
            <w:tcW w:w="7238" w:type="dxa"/>
            <w:shd w:val="clear" w:color="auto" w:fill="auto"/>
          </w:tcPr>
          <w:p w14:paraId="3C233C28" w14:textId="4FA76426" w:rsidR="7664F028" w:rsidRPr="00035300" w:rsidRDefault="420C0D80" w:rsidP="00035300">
            <w:pPr>
              <w:pStyle w:val="Tabletext0"/>
            </w:pPr>
            <w:r w:rsidRPr="00035300">
              <w:t xml:space="preserve">The evolution of the SPCCB network and the </w:t>
            </w:r>
            <w:r w:rsidR="0009028C" w:rsidRPr="00035300">
              <w:t>MO</w:t>
            </w:r>
            <w:r w:rsidRPr="00035300">
              <w:t>Us</w:t>
            </w:r>
            <w:r w:rsidR="00AB2FE8" w:rsidRPr="00035300">
              <w:t xml:space="preserve"> </w:t>
            </w:r>
            <w:r w:rsidRPr="00035300">
              <w:t xml:space="preserve">developed between Griffith University and the central banks communicate the value of this engagement at a public level. Dr Parmendra Sharma stated the </w:t>
            </w:r>
            <w:r w:rsidR="0009028C" w:rsidRPr="00035300">
              <w:t>MO</w:t>
            </w:r>
            <w:r w:rsidRPr="00035300">
              <w:t>Us to conduct research and provide PhD scholarships demonstrates the ‘visibility’ of the relationships: ‘I think it’s important for the public or at least the government sector and the business sector to know, to be aware that Australia is in the [Pacific] region, not only for aid purposes.’</w:t>
            </w:r>
          </w:p>
          <w:p w14:paraId="0D087EB7" w14:textId="643DF00C" w:rsidR="7664F028" w:rsidRPr="00035300" w:rsidRDefault="1AC510CD" w:rsidP="00035300">
            <w:pPr>
              <w:pStyle w:val="Tabletext0"/>
              <w:rPr>
                <w:rFonts w:eastAsia="Calibri"/>
              </w:rPr>
            </w:pPr>
            <w:r w:rsidRPr="00035300">
              <w:rPr>
                <w:rFonts w:eastAsia="Calibri"/>
              </w:rPr>
              <w:t xml:space="preserve">The reputation and visibility of Griffith University and the participating central banks has grown over time, enhancing the profile of SPCCB as a respected research platform in the region, Dr Sharma </w:t>
            </w:r>
            <w:r w:rsidR="2B849E52" w:rsidRPr="00035300">
              <w:rPr>
                <w:rFonts w:eastAsia="Calibri"/>
              </w:rPr>
              <w:t>highlight</w:t>
            </w:r>
            <w:r w:rsidRPr="00035300">
              <w:rPr>
                <w:rFonts w:eastAsia="Calibri"/>
              </w:rPr>
              <w:t>ed:</w:t>
            </w:r>
          </w:p>
          <w:p w14:paraId="2E08A4CB" w14:textId="0768F843" w:rsidR="7664F028" w:rsidRPr="00035300" w:rsidRDefault="1AC510CD" w:rsidP="00035300">
            <w:pPr>
              <w:pStyle w:val="Tableindent"/>
            </w:pPr>
            <w:r w:rsidRPr="00035300">
              <w:t>When we have an event</w:t>
            </w:r>
            <w:r w:rsidR="2B849E52" w:rsidRPr="00035300">
              <w:t>,</w:t>
            </w:r>
            <w:r w:rsidRPr="00035300">
              <w:t xml:space="preserve"> there’s something in the news…we have these things captured by the newspapers and TVs as well and people talk about it. But also, because the Governors are involved and they’re so supportive of this, they ta</w:t>
            </w:r>
            <w:r w:rsidR="00190E43" w:rsidRPr="00035300">
              <w:t>lk to, as you can imagine, the Ministers and the Prime M</w:t>
            </w:r>
            <w:r w:rsidRPr="00035300">
              <w:t>inisters and their board…so the word is spreading.</w:t>
            </w:r>
          </w:p>
        </w:tc>
      </w:tr>
    </w:tbl>
    <w:p w14:paraId="4B3D0E93" w14:textId="77777777" w:rsidR="00AE2B9D" w:rsidRDefault="00AE2B9D">
      <w:pPr>
        <w:spacing w:before="0"/>
        <w:rPr>
          <w:rFonts w:ascii="Times New Roman" w:eastAsiaTheme="majorEastAsia" w:hAnsi="Times New Roman" w:cs="Times New Roman"/>
          <w:color w:val="1F3864" w:themeColor="accent1" w:themeShade="80"/>
          <w:sz w:val="48"/>
          <w:szCs w:val="48"/>
          <w:highlight w:val="lightGray"/>
        </w:rPr>
      </w:pPr>
      <w:bookmarkStart w:id="44" w:name="_Toc103348736"/>
      <w:r>
        <w:rPr>
          <w:highlight w:val="lightGray"/>
        </w:rPr>
        <w:br w:type="page"/>
      </w:r>
    </w:p>
    <w:p w14:paraId="0B762A0E" w14:textId="31C0C472" w:rsidR="00A948EF" w:rsidRPr="005464BA" w:rsidRDefault="652B3AFA" w:rsidP="00AE2B9D">
      <w:pPr>
        <w:pStyle w:val="Heading1"/>
      </w:pPr>
      <w:r w:rsidRPr="005464BA">
        <w:lastRenderedPageBreak/>
        <w:t>C</w:t>
      </w:r>
      <w:r w:rsidR="77D251ED" w:rsidRPr="005464BA">
        <w:t xml:space="preserve">onditions </w:t>
      </w:r>
      <w:r w:rsidR="00C4717B" w:rsidRPr="005464BA">
        <w:t>that have built</w:t>
      </w:r>
      <w:r w:rsidR="56185B0B" w:rsidRPr="005464BA">
        <w:t xml:space="preserve"> SPCCB partnership su</w:t>
      </w:r>
      <w:r w:rsidR="445A2B3E" w:rsidRPr="005464BA">
        <w:t>c</w:t>
      </w:r>
      <w:r w:rsidR="19466F31" w:rsidRPr="005464BA">
        <w:t>c</w:t>
      </w:r>
      <w:r w:rsidR="445A2B3E" w:rsidRPr="005464BA">
        <w:t>ess</w:t>
      </w:r>
      <w:bookmarkEnd w:id="44"/>
      <w:r w:rsidR="3C59BA2F" w:rsidRPr="005464BA">
        <w:t xml:space="preserve"> </w:t>
      </w:r>
    </w:p>
    <w:p w14:paraId="7DC04881" w14:textId="432D7FDC" w:rsidR="6FDA5E9F" w:rsidRPr="00CB40AA" w:rsidRDefault="27D8AA1E" w:rsidP="00EB7114">
      <w:pPr>
        <w:pStyle w:val="Heading2"/>
      </w:pPr>
      <w:bookmarkStart w:id="45" w:name="_Toc103348737"/>
      <w:r>
        <w:t>Introduction</w:t>
      </w:r>
      <w:bookmarkEnd w:id="45"/>
    </w:p>
    <w:p w14:paraId="40AB05DB" w14:textId="6041A59E" w:rsidR="007F155E" w:rsidRPr="005464BA" w:rsidRDefault="007F155E" w:rsidP="007C083C">
      <w:pPr>
        <w:pStyle w:val="BodyCopy"/>
      </w:pPr>
      <w:r w:rsidRPr="005464BA">
        <w:t>In order to create an exemplar, multi-stakeholder partnership such as the SPCCB, it is essential for institutions to have an outward looking ‘partnering culture’</w:t>
      </w:r>
      <w:r w:rsidR="00B86704" w:rsidRPr="005464BA">
        <w:t xml:space="preserve"> </w:t>
      </w:r>
      <w:r w:rsidR="00F75C66" w:rsidRPr="005464BA">
        <w:rPr>
          <w:color w:val="2B579A"/>
          <w:shd w:val="clear" w:color="auto" w:fill="E6E6E6"/>
        </w:rPr>
        <w:fldChar w:fldCharType="begin"/>
      </w:r>
      <w:r w:rsidR="00F75C66" w:rsidRPr="005464BA">
        <w:instrText xml:space="preserve"> ADDIN ZOTERO_ITEM CSL_CITATION {"citationID":"1oHVRfDB","properties":{"formattedCitation":"(Stibbe &amp; Prescott, 2022)","plainCitation":"(Stibbe &amp; Prescott, 2022)","noteIndex":0},"citationItems":[{"id":661,"uris":["http://zotero.org/groups/2364906/items/9NKUJFXM"],"uri":["http://zotero.org/groups/2364906/items/9NKUJFXM"],"itemData":{"id":661,"type":"report","page":"93","publisher":"The Partnering Initiative and UNDESA","title":"SDGs Partnership Guidebook: A practical guide to building high-impact multi-stakeholder partnerships for the Sustainable Development Goals","URL":"https://www.thepartneringinitiative.org/wp-content/uploads/2020/07/SDG-Partnership-Guidebook-1.0.pdf","author":[{"family":"Stibbe","given":"Darian"},{"family":"Prescott","given":"David"}],"issued":{"date-parts":[["2022"]]}}}],"schema":"https://github.com/citation-style-language/schema/raw/master/csl-citation.json"} </w:instrText>
      </w:r>
      <w:r w:rsidR="00F75C66" w:rsidRPr="005464BA">
        <w:rPr>
          <w:color w:val="2B579A"/>
          <w:shd w:val="clear" w:color="auto" w:fill="E6E6E6"/>
        </w:rPr>
        <w:fldChar w:fldCharType="separate"/>
      </w:r>
      <w:r w:rsidR="00F75C66" w:rsidRPr="005464BA">
        <w:t>(Stibbe &amp; Prescott, 2022)</w:t>
      </w:r>
      <w:r w:rsidR="00F75C66" w:rsidRPr="005464BA">
        <w:rPr>
          <w:color w:val="2B579A"/>
          <w:shd w:val="clear" w:color="auto" w:fill="E6E6E6"/>
        </w:rPr>
        <w:fldChar w:fldCharType="end"/>
      </w:r>
      <w:r w:rsidRPr="005464BA">
        <w:t>, alignment of shared strategic goals and values, leadership support</w:t>
      </w:r>
      <w:r w:rsidR="005D3149" w:rsidRPr="005464BA">
        <w:t>,</w:t>
      </w:r>
      <w:r w:rsidRPr="005464BA">
        <w:t xml:space="preserve"> champions to drive and sustain the relationship, and a suite of mutually beneficial, collaborative, engagement activities.</w:t>
      </w:r>
    </w:p>
    <w:p w14:paraId="17C57DEF" w14:textId="1E20FAEF" w:rsidR="4EA2EE63" w:rsidRPr="00CB40AA" w:rsidRDefault="6654CB94" w:rsidP="00EB7114">
      <w:pPr>
        <w:pStyle w:val="Heading2"/>
      </w:pPr>
      <w:bookmarkStart w:id="46" w:name="_Toc103348738"/>
      <w:r>
        <w:t xml:space="preserve">Factors </w:t>
      </w:r>
      <w:r w:rsidR="6A3A9A7A">
        <w:t>enabling</w:t>
      </w:r>
      <w:r w:rsidR="23D0A855">
        <w:t xml:space="preserve"> </w:t>
      </w:r>
      <w:r>
        <w:t>SPCCB partnership success</w:t>
      </w:r>
      <w:bookmarkEnd w:id="46"/>
    </w:p>
    <w:p w14:paraId="62ADC025" w14:textId="34DBD127" w:rsidR="00C4717B" w:rsidRDefault="621D66AD" w:rsidP="007C083C">
      <w:pPr>
        <w:pStyle w:val="BodyCopy"/>
      </w:pPr>
      <w:r w:rsidRPr="00CB40AA">
        <w:t xml:space="preserve">The strength, scope, and longevity of </w:t>
      </w:r>
      <w:r w:rsidR="006F7A8A" w:rsidRPr="00CB40AA">
        <w:t xml:space="preserve">the </w:t>
      </w:r>
      <w:r w:rsidRPr="00CB40AA">
        <w:t>SPCCB partnership has been based on the strategic alignment of both Griffith University’s vision to be a ‘university of influence’ in the Asia-Pacific region</w:t>
      </w:r>
      <w:r w:rsidR="7E48E7FA" w:rsidRPr="2F1F6A09">
        <w:t xml:space="preserve"> </w:t>
      </w:r>
      <w:r w:rsidR="7E48E7FA" w:rsidRPr="0033183C">
        <w:t>(Griffith University, 2018a),</w:t>
      </w:r>
      <w:r w:rsidRPr="00CB40AA">
        <w:t xml:space="preserve"> and the capacity development needs of the five central banks</w:t>
      </w:r>
      <w:r w:rsidR="0033183C">
        <w:t>.</w:t>
      </w:r>
      <w:r w:rsidRPr="00CB40AA">
        <w:t xml:space="preserve"> </w:t>
      </w:r>
      <w:r w:rsidR="00295757">
        <w:t xml:space="preserve">SPCCB </w:t>
      </w:r>
      <w:r w:rsidR="00C4717B">
        <w:t xml:space="preserve">is helping to </w:t>
      </w:r>
      <w:r w:rsidR="00295757">
        <w:t xml:space="preserve">strengthen institutional capacity to deal with ongoing development challenges through building </w:t>
      </w:r>
      <w:r w:rsidR="00F7040D">
        <w:t>a</w:t>
      </w:r>
      <w:r w:rsidR="00295757">
        <w:t xml:space="preserve"> strong collaborative</w:t>
      </w:r>
      <w:r w:rsidR="00C4717B">
        <w:t xml:space="preserve"> research culture</w:t>
      </w:r>
      <w:r w:rsidR="00295757">
        <w:t>.</w:t>
      </w:r>
    </w:p>
    <w:p w14:paraId="39CBCBCB" w14:textId="60CC164E" w:rsidR="00CE4FB2" w:rsidRPr="006B3436" w:rsidRDefault="0005389A" w:rsidP="007C083C">
      <w:pPr>
        <w:pStyle w:val="BodyCopy"/>
      </w:pPr>
      <w:r w:rsidRPr="4B0FE578">
        <w:t xml:space="preserve">Institutional support for partnership development has been </w:t>
      </w:r>
      <w:r w:rsidR="00266288" w:rsidRPr="4B0FE578">
        <w:t xml:space="preserve">essential </w:t>
      </w:r>
      <w:r w:rsidRPr="4B0FE578">
        <w:t>in the evolution of SPCCB. Griffith University’s Internationalisation Strategy</w:t>
      </w:r>
      <w:r w:rsidR="00295757" w:rsidRPr="4B0FE578">
        <w:t xml:space="preserve"> (2018-2020)</w:t>
      </w:r>
      <w:r w:rsidRPr="4B0FE578">
        <w:t xml:space="preserve"> and </w:t>
      </w:r>
      <w:r w:rsidR="00885EC7" w:rsidRPr="4B0FE578">
        <w:t>support from the International Development Unit</w:t>
      </w:r>
      <w:r w:rsidR="001F101E" w:rsidRPr="4B0FE578">
        <w:t xml:space="preserve"> (grant opportunities and administration support)</w:t>
      </w:r>
      <w:r w:rsidR="00885EC7" w:rsidRPr="4B0FE578">
        <w:t xml:space="preserve"> and the </w:t>
      </w:r>
      <w:r w:rsidR="00266288" w:rsidRPr="4B0FE578">
        <w:t>Griffith Asia Institute (</w:t>
      </w:r>
      <w:r w:rsidR="00885EC7" w:rsidRPr="4B0FE578">
        <w:t>GAI</w:t>
      </w:r>
      <w:r w:rsidR="00266288" w:rsidRPr="4B0FE578">
        <w:t>)</w:t>
      </w:r>
      <w:r w:rsidR="00885EC7" w:rsidRPr="4B0FE578">
        <w:t xml:space="preserve"> have enabled the </w:t>
      </w:r>
      <w:r w:rsidR="001F101E" w:rsidRPr="4B0FE578">
        <w:t xml:space="preserve">academic linkages between Dr Sharma and RBF to develop and evolve </w:t>
      </w:r>
      <w:r w:rsidR="005948CC" w:rsidRPr="4B0FE578">
        <w:t xml:space="preserve">into formal partnerships and the SPCCB platform. </w:t>
      </w:r>
      <w:r w:rsidR="00CE4FB2" w:rsidRPr="4B0FE578">
        <w:t xml:space="preserve">Among the central banks, the Governors played a critical role in leading their organisations towards formal engagement with Griffith </w:t>
      </w:r>
      <w:r w:rsidR="00EB36E0" w:rsidRPr="4B0FE578">
        <w:t xml:space="preserve">University </w:t>
      </w:r>
      <w:r w:rsidR="00CE4FB2" w:rsidRPr="4B0FE578">
        <w:t xml:space="preserve">under the banner of SPCCB. The Governors </w:t>
      </w:r>
      <w:r w:rsidR="00830C0B" w:rsidRPr="4B0FE578">
        <w:t xml:space="preserve">have </w:t>
      </w:r>
      <w:r w:rsidR="00CE4FB2" w:rsidRPr="4B0FE578">
        <w:t>worked closely with Dr Sharma and his team</w:t>
      </w:r>
      <w:r w:rsidR="00EB36E0" w:rsidRPr="4B0FE578">
        <w:t xml:space="preserve"> to</w:t>
      </w:r>
      <w:r w:rsidR="004367E1" w:rsidRPr="4B0FE578">
        <w:t xml:space="preserve"> formalise collaboration and participate </w:t>
      </w:r>
      <w:r w:rsidR="006B3436" w:rsidRPr="4B0FE578">
        <w:t>in knowledge</w:t>
      </w:r>
      <w:r w:rsidR="00EB36E0" w:rsidRPr="4B0FE578">
        <w:t xml:space="preserve"> sharing </w:t>
      </w:r>
      <w:r w:rsidR="004367E1" w:rsidRPr="4B0FE578">
        <w:t xml:space="preserve">and capacity building </w:t>
      </w:r>
      <w:r w:rsidR="006B3436" w:rsidRPr="4B0FE578">
        <w:t>activities based</w:t>
      </w:r>
      <w:r w:rsidR="00EB36E0" w:rsidRPr="4B0FE578">
        <w:t xml:space="preserve"> on trust, equity, and shared decision making.</w:t>
      </w:r>
    </w:p>
    <w:p w14:paraId="4F923431" w14:textId="19F3DA11" w:rsidR="008D17C4" w:rsidRDefault="00F7040D" w:rsidP="007C083C">
      <w:pPr>
        <w:pStyle w:val="BodyCopy"/>
      </w:pPr>
      <w:r>
        <w:t xml:space="preserve">To </w:t>
      </w:r>
      <w:r w:rsidR="00C22D4F">
        <w:t xml:space="preserve">explore </w:t>
      </w:r>
      <w:r>
        <w:t xml:space="preserve">the development of the partnership over time the GTF draws on </w:t>
      </w:r>
      <w:r w:rsidR="00C22D4F">
        <w:t xml:space="preserve">the </w:t>
      </w:r>
      <w:r w:rsidR="00C22D4F" w:rsidRPr="00CB40AA">
        <w:t>f</w:t>
      </w:r>
      <w:r w:rsidR="00E30E17">
        <w:t>our stage</w:t>
      </w:r>
      <w:r w:rsidR="00FD071D">
        <w:t>s</w:t>
      </w:r>
      <w:r w:rsidR="00E30E17">
        <w:t xml:space="preserve"> of</w:t>
      </w:r>
      <w:r w:rsidR="00C22D4F" w:rsidRPr="00CB40AA">
        <w:t xml:space="preserve"> the partnering lifecycle</w:t>
      </w:r>
      <w:r w:rsidR="00C22D4F">
        <w:t xml:space="preserve"> by The </w:t>
      </w:r>
      <w:r w:rsidR="00C4717B" w:rsidRPr="00CB40AA">
        <w:t>Partnering Initiative (2022)</w:t>
      </w:r>
      <w:r>
        <w:t>,</w:t>
      </w:r>
      <w:r w:rsidR="008D17C4">
        <w:t xml:space="preserve"> </w:t>
      </w:r>
      <w:r w:rsidR="00C22D4F">
        <w:t>to examine the factors which have enabled the success of SPCCB.</w:t>
      </w:r>
    </w:p>
    <w:p w14:paraId="18B68134" w14:textId="0E0EDD54" w:rsidR="004E4244" w:rsidRDefault="00941829" w:rsidP="005464BA">
      <w:pPr>
        <w:pStyle w:val="Figure"/>
      </w:pPr>
      <w:r>
        <w:lastRenderedPageBreak/>
        <w:t xml:space="preserve">Figure </w:t>
      </w:r>
      <w:r w:rsidR="004E4244" w:rsidRPr="67CA915F">
        <w:rPr>
          <w:color w:val="2B579A"/>
          <w:shd w:val="clear" w:color="auto" w:fill="E6E6E6"/>
        </w:rPr>
        <w:fldChar w:fldCharType="begin"/>
      </w:r>
      <w:r w:rsidR="004E4244">
        <w:instrText xml:space="preserve"> SEQ Figure \* ARABIC </w:instrText>
      </w:r>
      <w:r w:rsidR="004E4244" w:rsidRPr="67CA915F">
        <w:rPr>
          <w:color w:val="2B579A"/>
          <w:shd w:val="clear" w:color="auto" w:fill="E6E6E6"/>
        </w:rPr>
        <w:fldChar w:fldCharType="separate"/>
      </w:r>
      <w:r w:rsidR="001D6B4B">
        <w:rPr>
          <w:noProof/>
        </w:rPr>
        <w:t>7</w:t>
      </w:r>
      <w:r w:rsidR="004E4244" w:rsidRPr="67CA915F">
        <w:rPr>
          <w:noProof/>
          <w:color w:val="2B579A"/>
          <w:shd w:val="clear" w:color="auto" w:fill="E6E6E6"/>
        </w:rPr>
        <w:fldChar w:fldCharType="end"/>
      </w:r>
      <w:r>
        <w:t>: The partnering lifecycle (The Partnering Initiative, 2022, p. 38)</w:t>
      </w:r>
    </w:p>
    <w:p w14:paraId="472BA519" w14:textId="472A6D23" w:rsidR="00D25203" w:rsidRPr="004E4244" w:rsidRDefault="00D25203" w:rsidP="005464BA">
      <w:pPr>
        <w:pStyle w:val="Figure"/>
      </w:pPr>
      <w:r>
        <w:rPr>
          <w:noProof/>
          <w:lang w:eastAsia="en-AU"/>
        </w:rPr>
        <w:drawing>
          <wp:inline distT="0" distB="0" distL="0" distR="0" wp14:anchorId="41A9A8B6" wp14:editId="4BFA7868">
            <wp:extent cx="5943600" cy="3229610"/>
            <wp:effectExtent l="0" t="0" r="0" b="0"/>
            <wp:docPr id="6" name="Picture 6" descr="Figure 7: The Partnering lifecycleEntry point.Stage 1: Scoping and buildingStage 2: Managing and maintainingStage 3: Reviewing and revisingStage 4: Moving on, renegotiation, sustainingExi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7: The Partnering lifecycleEntry point.Stage 1: Scoping and buildingStage 2: Managing and maintainingStage 3: Reviewing and revisingStage 4: Moving on, renegotiation, sustainingExit point."/>
                    <pic:cNvPicPr/>
                  </pic:nvPicPr>
                  <pic:blipFill>
                    <a:blip r:embed="rId31">
                      <a:extLst>
                        <a:ext uri="{28A0092B-C50C-407E-A947-70E740481C1C}">
                          <a14:useLocalDpi xmlns:a14="http://schemas.microsoft.com/office/drawing/2010/main" val="0"/>
                        </a:ext>
                      </a:extLst>
                    </a:blip>
                    <a:stretch>
                      <a:fillRect/>
                    </a:stretch>
                  </pic:blipFill>
                  <pic:spPr>
                    <a:xfrm>
                      <a:off x="0" y="0"/>
                      <a:ext cx="5943600" cy="3229610"/>
                    </a:xfrm>
                    <a:prstGeom prst="rect">
                      <a:avLst/>
                    </a:prstGeom>
                  </pic:spPr>
                </pic:pic>
              </a:graphicData>
            </a:graphic>
          </wp:inline>
        </w:drawing>
      </w:r>
    </w:p>
    <w:p w14:paraId="39FCA9D0" w14:textId="14C25B18" w:rsidR="67CA915F" w:rsidRDefault="03608A2D" w:rsidP="0025623B">
      <w:pPr>
        <w:pStyle w:val="heading3no"/>
      </w:pPr>
      <w:r>
        <w:t xml:space="preserve">Stage 1 </w:t>
      </w:r>
      <w:r w:rsidR="009F2FEF">
        <w:t>E</w:t>
      </w:r>
      <w:r>
        <w:t>nabling factors: Partnership scoping and building</w:t>
      </w:r>
    </w:p>
    <w:tbl>
      <w:tblPr>
        <w:tblStyle w:val="TableGrid"/>
        <w:tblW w:w="9345" w:type="dxa"/>
        <w:tblLayout w:type="fixed"/>
        <w:tblCellMar>
          <w:top w:w="108" w:type="dxa"/>
          <w:bottom w:w="108" w:type="dxa"/>
        </w:tblCellMar>
        <w:tblLook w:val="06A0" w:firstRow="1" w:lastRow="0" w:firstColumn="1" w:lastColumn="0" w:noHBand="1" w:noVBand="1"/>
      </w:tblPr>
      <w:tblGrid>
        <w:gridCol w:w="2263"/>
        <w:gridCol w:w="7082"/>
      </w:tblGrid>
      <w:tr w:rsidR="00C22D4F" w:rsidRPr="00CB40AA" w14:paraId="2470A500" w14:textId="77777777" w:rsidTr="001C3F8F">
        <w:tc>
          <w:tcPr>
            <w:tcW w:w="2263" w:type="dxa"/>
            <w:shd w:val="clear" w:color="auto" w:fill="auto"/>
          </w:tcPr>
          <w:p w14:paraId="3C45102F" w14:textId="61369313" w:rsidR="00C22D4F" w:rsidRPr="007E1F82" w:rsidRDefault="3589CAF5" w:rsidP="00035300">
            <w:pPr>
              <w:pStyle w:val="Tabletext"/>
              <w:rPr>
                <w:rStyle w:val="IntenseEmphasis"/>
                <w:b/>
                <w:bCs/>
                <w:i w:val="0"/>
                <w:iCs w:val="0"/>
                <w:color w:val="auto"/>
              </w:rPr>
            </w:pPr>
            <w:r w:rsidRPr="007E1F82">
              <w:rPr>
                <w:rStyle w:val="IntenseEmphasis"/>
                <w:b/>
                <w:bCs/>
                <w:i w:val="0"/>
                <w:iCs w:val="0"/>
                <w:color w:val="auto"/>
              </w:rPr>
              <w:t>Enabling factor</w:t>
            </w:r>
          </w:p>
        </w:tc>
        <w:tc>
          <w:tcPr>
            <w:tcW w:w="7082" w:type="dxa"/>
            <w:shd w:val="clear" w:color="auto" w:fill="auto"/>
          </w:tcPr>
          <w:p w14:paraId="408AB5E3" w14:textId="0750AE46" w:rsidR="00C22D4F" w:rsidRPr="007E1F82" w:rsidRDefault="7DEFACB2" w:rsidP="00035300">
            <w:pPr>
              <w:pStyle w:val="Tabletext0"/>
              <w:rPr>
                <w:b/>
                <w:bCs/>
              </w:rPr>
            </w:pPr>
            <w:r w:rsidRPr="007E1F82">
              <w:rPr>
                <w:b/>
                <w:bCs/>
              </w:rPr>
              <w:t>Evidence of factor</w:t>
            </w:r>
          </w:p>
        </w:tc>
      </w:tr>
      <w:tr w:rsidR="63629820" w:rsidRPr="00CB40AA" w14:paraId="45F4B2B1" w14:textId="77777777" w:rsidTr="001C3F8F">
        <w:tc>
          <w:tcPr>
            <w:tcW w:w="2263" w:type="dxa"/>
            <w:shd w:val="clear" w:color="auto" w:fill="auto"/>
          </w:tcPr>
          <w:p w14:paraId="09095489" w14:textId="6E75866A" w:rsidR="08AC5EC4" w:rsidRPr="00035300" w:rsidRDefault="0117C384" w:rsidP="00035300">
            <w:pPr>
              <w:pStyle w:val="Tabletext"/>
              <w:rPr>
                <w:rStyle w:val="IntenseEmphasis"/>
                <w:b/>
                <w:bCs/>
                <w:i w:val="0"/>
                <w:iCs w:val="0"/>
                <w:color w:val="auto"/>
              </w:rPr>
            </w:pPr>
            <w:r w:rsidRPr="00035300">
              <w:rPr>
                <w:rStyle w:val="IntenseEmphasis"/>
                <w:b/>
                <w:bCs/>
                <w:i w:val="0"/>
                <w:iCs w:val="0"/>
                <w:color w:val="auto"/>
              </w:rPr>
              <w:t xml:space="preserve">Griffith’s </w:t>
            </w:r>
            <w:r w:rsidR="00BA5CA1" w:rsidRPr="00035300">
              <w:rPr>
                <w:rStyle w:val="IntenseEmphasis"/>
                <w:b/>
                <w:bCs/>
                <w:i w:val="0"/>
                <w:iCs w:val="0"/>
                <w:color w:val="auto"/>
              </w:rPr>
              <w:t>partnering culture</w:t>
            </w:r>
          </w:p>
        </w:tc>
        <w:tc>
          <w:tcPr>
            <w:tcW w:w="7082" w:type="dxa"/>
            <w:shd w:val="clear" w:color="auto" w:fill="auto"/>
          </w:tcPr>
          <w:p w14:paraId="4AB97EF8" w14:textId="2E06115B" w:rsidR="08AC5EC4" w:rsidRPr="001A0700" w:rsidRDefault="11CA3EC0" w:rsidP="00035300">
            <w:pPr>
              <w:pStyle w:val="Tabletext0"/>
            </w:pPr>
            <w:r w:rsidRPr="006B3436">
              <w:t xml:space="preserve">Griffith’s Internationalisation Strategy (2018-2020) </w:t>
            </w:r>
            <w:r w:rsidR="041DFFD3" w:rsidRPr="006B3436">
              <w:t xml:space="preserve">promotes a </w:t>
            </w:r>
            <w:r w:rsidR="001A4E61" w:rsidRPr="006B3436">
              <w:t>‘</w:t>
            </w:r>
            <w:r w:rsidR="041DFFD3" w:rsidRPr="006B3436">
              <w:t>partnering culture</w:t>
            </w:r>
            <w:r w:rsidR="001A4E61" w:rsidRPr="006B3436">
              <w:t>’</w:t>
            </w:r>
            <w:r w:rsidR="005634F5" w:rsidRPr="006B3436">
              <w:fldChar w:fldCharType="begin"/>
            </w:r>
            <w:r w:rsidR="005634F5" w:rsidRPr="006B3436">
              <w:instrText xml:space="preserve"> ADDIN ZOTERO_ITEM CSL_CITATION {"citationID":"eWMdXOjP","properties":{"formattedCitation":"(Stibbe &amp; Prescott, 2022)","plainCitation":"(Stibbe &amp; Prescott, 2022)","noteIndex":0},"citationItems":[{"id":661,"uris":["http://zotero.org/groups/2364906/items/9NKUJFXM"],"uri":["http://zotero.org/groups/2364906/items/9NKUJFXM"],"itemData":{"id":661,"type":"report","page":"93","publisher":"The Partnering Initiative and UNDESA","title":"SDGs Partnership Guidebook: A practical guide to building high-impact multi-stakeholder partnerships for the Sustainable Development Goals","URL":"https://www.thepartneringinitiative.org/wp-content/uploads/2020/07/SDG-Partnership-Guidebook-1.0.pdf","author":[{"family":"Stibbe","given":"Darian"},{"family":"Prescott","given":"David"}],"issued":{"date-parts":[["2022"]]}}}],"schema":"https://github.com/citation-style-language/schema/raw/master/csl-citation.json"} </w:instrText>
            </w:r>
            <w:r w:rsidR="005634F5" w:rsidRPr="006B3436">
              <w:fldChar w:fldCharType="separate"/>
            </w:r>
            <w:r w:rsidR="001A4E61" w:rsidRPr="006B3436">
              <w:t>(Stibbe &amp; Prescott, 2022)</w:t>
            </w:r>
            <w:r w:rsidR="005634F5" w:rsidRPr="006B3436">
              <w:fldChar w:fldCharType="end"/>
            </w:r>
            <w:r w:rsidR="041DFFD3" w:rsidRPr="006B3436">
              <w:t xml:space="preserve"> </w:t>
            </w:r>
            <w:r w:rsidR="2CC79F06" w:rsidRPr="006B3436">
              <w:t xml:space="preserve">throughout </w:t>
            </w:r>
            <w:r w:rsidR="041DFFD3" w:rsidRPr="006B3436">
              <w:t>the university</w:t>
            </w:r>
            <w:r w:rsidR="001A4E61" w:rsidRPr="006B3436">
              <w:t xml:space="preserve">. It is </w:t>
            </w:r>
            <w:r w:rsidR="0918410A" w:rsidRPr="006B3436">
              <w:t>strategic</w:t>
            </w:r>
            <w:r w:rsidR="001A4E61" w:rsidRPr="006B3436">
              <w:t xml:space="preserve"> and has a strong focus on</w:t>
            </w:r>
            <w:r w:rsidR="0918410A" w:rsidRPr="006B3436">
              <w:t xml:space="preserve"> the Asia-</w:t>
            </w:r>
            <w:r w:rsidR="43372E61" w:rsidRPr="006B3436">
              <w:t>Pacific region</w:t>
            </w:r>
            <w:r w:rsidR="6040B787" w:rsidRPr="006B3436">
              <w:t>.</w:t>
            </w:r>
            <w:r w:rsidR="43372E61" w:rsidRPr="006B3436">
              <w:t xml:space="preserve"> The policy encourages </w:t>
            </w:r>
            <w:r w:rsidR="2CC79F06" w:rsidRPr="006B3436">
              <w:t>a ‘multipronged approach</w:t>
            </w:r>
            <w:r w:rsidR="0918410A" w:rsidRPr="006B3436">
              <w:t>’</w:t>
            </w:r>
            <w:r w:rsidR="2CC79F06" w:rsidRPr="006B3436">
              <w:t xml:space="preserve"> to engagement through </w:t>
            </w:r>
            <w:r w:rsidRPr="006B3436">
              <w:t xml:space="preserve">collaboration </w:t>
            </w:r>
            <w:r w:rsidR="2CC79F06" w:rsidRPr="006B3436">
              <w:t xml:space="preserve">on </w:t>
            </w:r>
            <w:r w:rsidR="0918410A" w:rsidRPr="006B3436">
              <w:t xml:space="preserve">shared research expertise, </w:t>
            </w:r>
            <w:r w:rsidRPr="006B3436">
              <w:t>and capacity building activities</w:t>
            </w:r>
            <w:r w:rsidR="2CC79F06" w:rsidRPr="006B3436">
              <w:t xml:space="preserve">. It </w:t>
            </w:r>
            <w:r w:rsidR="5654A622" w:rsidRPr="006B3436">
              <w:t>is aligned with Griffith’s ‘vision to be a university of influence in the Asia-Pacific’</w:t>
            </w:r>
            <w:r w:rsidR="01D1488E" w:rsidRPr="006B3436">
              <w:t xml:space="preserve"> </w:t>
            </w:r>
            <w:r w:rsidR="0918410A" w:rsidRPr="006B3436">
              <w:t>(</w:t>
            </w:r>
            <w:r w:rsidR="00FC0032">
              <w:t xml:space="preserve">Griffith University, 2018a) and the </w:t>
            </w:r>
            <w:r w:rsidR="00FC0032" w:rsidRPr="006B3436">
              <w:t>Griffith Asia Institute’s (GAI)</w:t>
            </w:r>
            <w:r w:rsidR="00FC0032">
              <w:t xml:space="preserve"> </w:t>
            </w:r>
            <w:r w:rsidR="00FC0032" w:rsidRPr="00FC0032">
              <w:t>mission to ‘cultivate the knowledge, capabilities and connections that will inform and enrich Australia’s Asia-Pacific future’</w:t>
            </w:r>
            <w:r w:rsidR="00FC0032" w:rsidRPr="00CB40AA">
              <w:t xml:space="preserve"> </w:t>
            </w:r>
            <w:r w:rsidR="00FC0032">
              <w:t xml:space="preserve">(Griffith University, </w:t>
            </w:r>
            <w:r w:rsidR="00FC0032" w:rsidRPr="00FC0032">
              <w:t>2022a).</w:t>
            </w:r>
          </w:p>
        </w:tc>
      </w:tr>
      <w:tr w:rsidR="63629820" w:rsidRPr="00CB40AA" w14:paraId="37667458" w14:textId="77777777" w:rsidTr="001C3F8F">
        <w:tc>
          <w:tcPr>
            <w:tcW w:w="2263" w:type="dxa"/>
            <w:shd w:val="clear" w:color="auto" w:fill="auto"/>
          </w:tcPr>
          <w:p w14:paraId="461410C9" w14:textId="60EAB993" w:rsidR="63629820" w:rsidRPr="00035300" w:rsidRDefault="0117C384" w:rsidP="00035300">
            <w:pPr>
              <w:pStyle w:val="Tabletext"/>
              <w:rPr>
                <w:rStyle w:val="IntenseEmphasis"/>
                <w:b/>
                <w:bCs/>
                <w:i w:val="0"/>
                <w:iCs w:val="0"/>
                <w:color w:val="auto"/>
              </w:rPr>
            </w:pPr>
            <w:r w:rsidRPr="00035300">
              <w:rPr>
                <w:rStyle w:val="IntenseEmphasis"/>
                <w:b/>
                <w:bCs/>
                <w:i w:val="0"/>
                <w:iCs w:val="0"/>
                <w:color w:val="auto"/>
              </w:rPr>
              <w:t>Academic champion – driving engagement</w:t>
            </w:r>
          </w:p>
        </w:tc>
        <w:tc>
          <w:tcPr>
            <w:tcW w:w="7082" w:type="dxa"/>
            <w:shd w:val="clear" w:color="auto" w:fill="auto"/>
          </w:tcPr>
          <w:p w14:paraId="00E4CCFD" w14:textId="77777777" w:rsidR="00801558" w:rsidRPr="00CB40AA" w:rsidRDefault="00801558" w:rsidP="00035300">
            <w:pPr>
              <w:pStyle w:val="Tabletext0"/>
            </w:pPr>
            <w:r w:rsidRPr="00CB40AA">
              <w:t>Dr Sharma has been a passionate, academic champion, and the driving force behind the development of partnerships with the Pacific central banks. He has unique, contextual understanding of the organisational challenges and an affinity to the region which have enabled him to facilitate research activities which mentor and build research capacity and collaboration, while strengthening Griffith’s profile and research reputation in the region.</w:t>
            </w:r>
          </w:p>
          <w:p w14:paraId="07928CA7" w14:textId="77777777" w:rsidR="00035300" w:rsidRDefault="00801558" w:rsidP="00035300">
            <w:pPr>
              <w:pStyle w:val="Tableindent"/>
            </w:pPr>
            <w:r w:rsidRPr="00CB40AA">
              <w:t>Parmendra is a former staff member of the Reserve Bank. I think this is probably one of the reasons why, from my perspective, the success of this is due to that connection because he has had to persist and drive this, and because he came from Fiji and he worked for the Reserve Bank and he understood the needs here, that is what has fuelled his drive for this.’</w:t>
            </w:r>
            <w:r w:rsidRPr="00CB40AA">
              <w:rPr>
                <w:rStyle w:val="FootnoteReference"/>
                <w:sz w:val="20"/>
                <w:szCs w:val="20"/>
              </w:rPr>
              <w:t xml:space="preserve"> </w:t>
            </w:r>
          </w:p>
          <w:p w14:paraId="7FD8B0C7" w14:textId="444AE07A" w:rsidR="08AC5EC4" w:rsidRPr="00035300" w:rsidRDefault="00801558" w:rsidP="00035300">
            <w:pPr>
              <w:pStyle w:val="Tableindent"/>
              <w:rPr>
                <w:i w:val="0"/>
                <w:iCs w:val="0"/>
              </w:rPr>
            </w:pPr>
            <w:r w:rsidRPr="00035300">
              <w:rPr>
                <w:i w:val="0"/>
                <w:iCs w:val="0"/>
              </w:rPr>
              <w:t>Mr. Esala Masitabua,</w:t>
            </w:r>
            <w:r w:rsidRPr="00035300">
              <w:rPr>
                <w:rStyle w:val="normaltextrun"/>
                <w:i w:val="0"/>
                <w:iCs w:val="0"/>
              </w:rPr>
              <w:t xml:space="preserve"> Deputy Governor, Reserve Bank of Fiji</w:t>
            </w:r>
          </w:p>
        </w:tc>
      </w:tr>
      <w:tr w:rsidR="63629820" w:rsidRPr="00CB40AA" w14:paraId="61DCE850" w14:textId="77777777" w:rsidTr="001C3F8F">
        <w:tc>
          <w:tcPr>
            <w:tcW w:w="2263" w:type="dxa"/>
            <w:shd w:val="clear" w:color="auto" w:fill="auto"/>
          </w:tcPr>
          <w:p w14:paraId="378F5745" w14:textId="47E4089B" w:rsidR="63629820" w:rsidRPr="00035300" w:rsidRDefault="0976EDF8" w:rsidP="00035300">
            <w:pPr>
              <w:pStyle w:val="Tabletext"/>
              <w:rPr>
                <w:b/>
                <w:bCs/>
              </w:rPr>
            </w:pPr>
            <w:r w:rsidRPr="00035300">
              <w:rPr>
                <w:rStyle w:val="IntenseEmphasis"/>
                <w:b/>
                <w:bCs/>
                <w:i w:val="0"/>
                <w:iCs w:val="0"/>
                <w:color w:val="auto"/>
              </w:rPr>
              <w:lastRenderedPageBreak/>
              <w:t>Role of the central bank Governors</w:t>
            </w:r>
          </w:p>
        </w:tc>
        <w:tc>
          <w:tcPr>
            <w:tcW w:w="7082" w:type="dxa"/>
            <w:shd w:val="clear" w:color="auto" w:fill="auto"/>
          </w:tcPr>
          <w:p w14:paraId="72B66D5A" w14:textId="42167A0B" w:rsidR="00801558" w:rsidRPr="00CB40AA" w:rsidRDefault="00801558" w:rsidP="00035300">
            <w:pPr>
              <w:pStyle w:val="Tabletext0"/>
              <w:rPr>
                <w:color w:val="000000" w:themeColor="text1"/>
              </w:rPr>
            </w:pPr>
            <w:r w:rsidRPr="00CB40AA">
              <w:t xml:space="preserve">The support of the Governors has been </w:t>
            </w:r>
            <w:r w:rsidRPr="00CB40AA">
              <w:rPr>
                <w:color w:val="000000" w:themeColor="text1"/>
              </w:rPr>
              <w:t xml:space="preserve">‘critical’ in the development of SPCCB and is aligned to the </w:t>
            </w:r>
            <w:r w:rsidRPr="00CB40AA">
              <w:t xml:space="preserve">strategic goals and human resource needs of the central banks. </w:t>
            </w:r>
            <w:r w:rsidRPr="00CB40AA">
              <w:rPr>
                <w:color w:val="000000" w:themeColor="text1"/>
              </w:rPr>
              <w:t>Having access to the decision makers and leaders of the central banks has enabled Griffith University to be able to establish formal MOUs and collaborate on a range of research activities.</w:t>
            </w:r>
          </w:p>
          <w:p w14:paraId="014CC5CC" w14:textId="77777777" w:rsidR="00035300" w:rsidRPr="00035300" w:rsidRDefault="00801558" w:rsidP="00035300">
            <w:pPr>
              <w:pStyle w:val="Tableindent"/>
            </w:pPr>
            <w:r w:rsidRPr="00035300">
              <w:t>‘</w:t>
            </w:r>
            <w:r w:rsidRPr="00035300">
              <w:rPr>
                <w:rStyle w:val="normaltextrun"/>
              </w:rPr>
              <w:t xml:space="preserve">The role of governors has been very critical in all of this. Without the support of governors, of course, we wouldn’t have been able to even start these relationships, these partnerships’ </w:t>
            </w:r>
          </w:p>
          <w:p w14:paraId="131FCEF7" w14:textId="550979CE" w:rsidR="00801558" w:rsidRPr="00035300" w:rsidRDefault="00801558" w:rsidP="00035300">
            <w:pPr>
              <w:pStyle w:val="Tableindent"/>
              <w:rPr>
                <w:i w:val="0"/>
                <w:iCs w:val="0"/>
              </w:rPr>
            </w:pPr>
            <w:r w:rsidRPr="00035300">
              <w:rPr>
                <w:rStyle w:val="normaltextrun"/>
                <w:i w:val="0"/>
                <w:iCs w:val="0"/>
              </w:rPr>
              <w:t xml:space="preserve">Dr Parmendra Sharma, </w:t>
            </w:r>
            <w:r w:rsidRPr="00035300">
              <w:rPr>
                <w:i w:val="0"/>
                <w:iCs w:val="0"/>
              </w:rPr>
              <w:t>Program Convenor, SPCCB</w:t>
            </w:r>
          </w:p>
        </w:tc>
      </w:tr>
      <w:tr w:rsidR="67CA915F" w14:paraId="3CB4A134" w14:textId="77777777" w:rsidTr="001C3F8F">
        <w:tc>
          <w:tcPr>
            <w:tcW w:w="2263" w:type="dxa"/>
            <w:shd w:val="clear" w:color="auto" w:fill="auto"/>
          </w:tcPr>
          <w:p w14:paraId="0E10A6D5" w14:textId="5196129C" w:rsidR="67CA915F" w:rsidRPr="00035300" w:rsidRDefault="2E0CFFE5" w:rsidP="00035300">
            <w:pPr>
              <w:pStyle w:val="Tabletext"/>
              <w:rPr>
                <w:b/>
                <w:bCs/>
              </w:rPr>
            </w:pPr>
            <w:r w:rsidRPr="00035300">
              <w:rPr>
                <w:rStyle w:val="IntenseEmphasis"/>
                <w:b/>
                <w:bCs/>
                <w:color w:val="auto"/>
                <w:sz w:val="20"/>
                <w:szCs w:val="20"/>
              </w:rPr>
              <w:t>Se</w:t>
            </w:r>
            <w:r w:rsidRPr="00035300">
              <w:rPr>
                <w:b/>
                <w:bCs/>
              </w:rPr>
              <w:t>ed funding</w:t>
            </w:r>
          </w:p>
        </w:tc>
        <w:tc>
          <w:tcPr>
            <w:tcW w:w="7082" w:type="dxa"/>
            <w:shd w:val="clear" w:color="auto" w:fill="auto"/>
          </w:tcPr>
          <w:p w14:paraId="15169E82" w14:textId="7F1424C4" w:rsidR="67CA915F" w:rsidRDefault="78CB1CC1" w:rsidP="007E1F82">
            <w:pPr>
              <w:pStyle w:val="Tabletext0"/>
            </w:pPr>
            <w:r w:rsidRPr="78CB1CC1">
              <w:t>The use of the Australia Awards fellowship grants as a mechanism to strengthen and ‘cement’ engagement with the RBF and RBV through tailored capacity building has led to greater engagement in the region.</w:t>
            </w:r>
          </w:p>
          <w:p w14:paraId="0F2A54F4" w14:textId="77777777" w:rsidR="00035300" w:rsidRDefault="27D0D56B" w:rsidP="00035300">
            <w:pPr>
              <w:pStyle w:val="Tableindent"/>
            </w:pPr>
            <w:r w:rsidRPr="583D53EB">
              <w:t>‘Because we were just starting the relationships, the collaborations and the engagement, the timing of the fellowship was great because we were able to bring them over and give them an experience of research firsthand, and they got excited about everything. In some cases, in some of the central banks, the research was almost non-existent, so they had not published any working papers, just making policy through other means. So, the DFAT fellowship was great in terms of getting that interest back for the central bankers.’</w:t>
            </w:r>
          </w:p>
          <w:p w14:paraId="2BCEB7F9" w14:textId="5ABC9198" w:rsidR="67CA915F" w:rsidRPr="00035300" w:rsidRDefault="27D0D56B" w:rsidP="00035300">
            <w:pPr>
              <w:pStyle w:val="Tableindent"/>
              <w:rPr>
                <w:i w:val="0"/>
                <w:iCs w:val="0"/>
              </w:rPr>
            </w:pPr>
            <w:r w:rsidRPr="00035300">
              <w:rPr>
                <w:i w:val="0"/>
                <w:iCs w:val="0"/>
              </w:rPr>
              <w:t xml:space="preserve">Dr Parmendra </w:t>
            </w:r>
            <w:r w:rsidRPr="00035300">
              <w:rPr>
                <w:rStyle w:val="normaltextrun"/>
                <w:rFonts w:eastAsia="Calibri"/>
                <w:i w:val="0"/>
                <w:iCs w:val="0"/>
              </w:rPr>
              <w:t>Sharma, Program Convenor, SPCCB</w:t>
            </w:r>
          </w:p>
        </w:tc>
      </w:tr>
    </w:tbl>
    <w:p w14:paraId="64AB6CBF" w14:textId="2EC07760" w:rsidR="00C22D4F" w:rsidRPr="00CB40AA" w:rsidRDefault="03608A2D" w:rsidP="0025623B">
      <w:pPr>
        <w:pStyle w:val="heading3no"/>
        <w:spacing w:before="360"/>
      </w:pPr>
      <w:r>
        <w:t xml:space="preserve">Stage 2 </w:t>
      </w:r>
      <w:r w:rsidR="009F2FEF">
        <w:t>E</w:t>
      </w:r>
      <w:r>
        <w:t xml:space="preserve">nabling factors: </w:t>
      </w:r>
      <w:r w:rsidRPr="0025623B">
        <w:t>Managing</w:t>
      </w:r>
      <w:r>
        <w:t xml:space="preserve"> and maintaining the partnership</w:t>
      </w:r>
    </w:p>
    <w:tbl>
      <w:tblPr>
        <w:tblStyle w:val="TableGrid"/>
        <w:tblW w:w="9360" w:type="dxa"/>
        <w:tblLayout w:type="fixed"/>
        <w:tblCellMar>
          <w:top w:w="108" w:type="dxa"/>
          <w:bottom w:w="108" w:type="dxa"/>
        </w:tblCellMar>
        <w:tblLook w:val="06A0" w:firstRow="1" w:lastRow="0" w:firstColumn="1" w:lastColumn="0" w:noHBand="1" w:noVBand="1"/>
      </w:tblPr>
      <w:tblGrid>
        <w:gridCol w:w="2263"/>
        <w:gridCol w:w="7097"/>
      </w:tblGrid>
      <w:tr w:rsidR="00C22D4F" w:rsidRPr="007E1F82" w14:paraId="158BA360" w14:textId="77777777" w:rsidTr="001C3F8F">
        <w:tc>
          <w:tcPr>
            <w:tcW w:w="2263" w:type="dxa"/>
            <w:shd w:val="clear" w:color="auto" w:fill="auto"/>
          </w:tcPr>
          <w:p w14:paraId="52F90D67" w14:textId="61369313" w:rsidR="48AA00B1" w:rsidRPr="007E1F82" w:rsidRDefault="3589CAF5" w:rsidP="007E1F82">
            <w:pPr>
              <w:pStyle w:val="Tabletext"/>
              <w:rPr>
                <w:rStyle w:val="IntenseEmphasis"/>
                <w:b/>
                <w:bCs/>
                <w:i w:val="0"/>
                <w:iCs w:val="0"/>
                <w:color w:val="auto"/>
              </w:rPr>
            </w:pPr>
            <w:r w:rsidRPr="007E1F82">
              <w:rPr>
                <w:rStyle w:val="IntenseEmphasis"/>
                <w:b/>
                <w:bCs/>
                <w:i w:val="0"/>
                <w:iCs w:val="0"/>
                <w:color w:val="auto"/>
              </w:rPr>
              <w:t>Enabling factor</w:t>
            </w:r>
          </w:p>
        </w:tc>
        <w:tc>
          <w:tcPr>
            <w:tcW w:w="7097" w:type="dxa"/>
            <w:shd w:val="clear" w:color="auto" w:fill="auto"/>
          </w:tcPr>
          <w:p w14:paraId="75F19944" w14:textId="0750AE46" w:rsidR="5E30A3C5" w:rsidRPr="007E1F82" w:rsidRDefault="7DEFACB2" w:rsidP="007E1F82">
            <w:pPr>
              <w:pStyle w:val="Tabletext"/>
              <w:rPr>
                <w:b/>
                <w:bCs/>
              </w:rPr>
            </w:pPr>
            <w:r w:rsidRPr="007E1F82">
              <w:rPr>
                <w:b/>
                <w:bCs/>
              </w:rPr>
              <w:t>Evidence of factor</w:t>
            </w:r>
          </w:p>
        </w:tc>
      </w:tr>
      <w:tr w:rsidR="129E54B2" w:rsidRPr="007E1F82" w14:paraId="69B0A763" w14:textId="77777777" w:rsidTr="001C3F8F">
        <w:tc>
          <w:tcPr>
            <w:tcW w:w="2263" w:type="dxa"/>
            <w:shd w:val="clear" w:color="auto" w:fill="auto"/>
          </w:tcPr>
          <w:p w14:paraId="0C350981" w14:textId="58DCAAAA" w:rsidR="31F85560" w:rsidRPr="007E1F82" w:rsidRDefault="0AB8C1A7" w:rsidP="007E1F82">
            <w:pPr>
              <w:pStyle w:val="Tabletext"/>
              <w:rPr>
                <w:b/>
                <w:bCs/>
              </w:rPr>
            </w:pPr>
            <w:r w:rsidRPr="007E1F82">
              <w:rPr>
                <w:b/>
                <w:bCs/>
              </w:rPr>
              <w:t>Research activities</w:t>
            </w:r>
          </w:p>
        </w:tc>
        <w:tc>
          <w:tcPr>
            <w:tcW w:w="7097" w:type="dxa"/>
            <w:shd w:val="clear" w:color="auto" w:fill="auto"/>
          </w:tcPr>
          <w:p w14:paraId="425E8095" w14:textId="6EF59FF5" w:rsidR="31F85560" w:rsidRPr="007E1F82" w:rsidRDefault="31F85560" w:rsidP="007E1F82">
            <w:pPr>
              <w:pStyle w:val="Tabletext"/>
            </w:pPr>
            <w:r w:rsidRPr="007E1F82">
              <w:t>Working papers and journal articles have facilitated real collaboration and engagement among participants</w:t>
            </w:r>
            <w:r w:rsidR="00223D66" w:rsidRPr="007E1F82">
              <w:t>,</w:t>
            </w:r>
            <w:r w:rsidRPr="007E1F82">
              <w:t xml:space="preserve"> improving professional practices and research skills at the organisational level</w:t>
            </w:r>
            <w:r w:rsidR="00B81253" w:rsidRPr="007E1F82">
              <w:t xml:space="preserve">. They have also </w:t>
            </w:r>
            <w:r w:rsidRPr="007E1F82">
              <w:t>lesse</w:t>
            </w:r>
            <w:r w:rsidR="00690A53" w:rsidRPr="007E1F82">
              <w:t xml:space="preserve">ned </w:t>
            </w:r>
            <w:r w:rsidRPr="007E1F82">
              <w:t>the impact of ‘staff drift’ and retention by expanding the researcher pool</w:t>
            </w:r>
            <w:r w:rsidR="007B0B93" w:rsidRPr="007E1F82">
              <w:t xml:space="preserve"> within the central banks</w:t>
            </w:r>
            <w:r w:rsidRPr="007E1F82">
              <w:t>. Participation in industry-based conferences, seminars, and workshops with stakeholders such as the IMF, World Bank, ADB and the RBA and the RBNZ has strengthen the participating central banks</w:t>
            </w:r>
            <w:r w:rsidR="00F57173" w:rsidRPr="007E1F82">
              <w:t>’</w:t>
            </w:r>
            <w:r w:rsidRPr="007E1F82">
              <w:t xml:space="preserve"> academic rigour, contributing to region dialogue and networks. These activities have built positive views of Australian education and expertise.</w:t>
            </w:r>
          </w:p>
        </w:tc>
      </w:tr>
      <w:tr w:rsidR="129E54B2" w:rsidRPr="007E1F82" w14:paraId="4E133DD3" w14:textId="77777777" w:rsidTr="001C3F8F">
        <w:tc>
          <w:tcPr>
            <w:tcW w:w="2263" w:type="dxa"/>
            <w:shd w:val="clear" w:color="auto" w:fill="auto"/>
          </w:tcPr>
          <w:p w14:paraId="2B81B096" w14:textId="0D171F20" w:rsidR="129E54B2" w:rsidRPr="007E1F82" w:rsidRDefault="0AB8C1A7" w:rsidP="007E1F82">
            <w:pPr>
              <w:pStyle w:val="Tabletext"/>
              <w:rPr>
                <w:b/>
                <w:bCs/>
              </w:rPr>
            </w:pPr>
            <w:r w:rsidRPr="007E1F82">
              <w:rPr>
                <w:b/>
                <w:bCs/>
              </w:rPr>
              <w:t>Strategically investing in emerging leaders</w:t>
            </w:r>
          </w:p>
        </w:tc>
        <w:tc>
          <w:tcPr>
            <w:tcW w:w="7097" w:type="dxa"/>
            <w:shd w:val="clear" w:color="auto" w:fill="auto"/>
          </w:tcPr>
          <w:p w14:paraId="501A9985" w14:textId="77777777" w:rsidR="31F85560" w:rsidRPr="007E1F82" w:rsidRDefault="31F85560" w:rsidP="007E1F82">
            <w:pPr>
              <w:pStyle w:val="Tabletext0"/>
            </w:pPr>
            <w:r w:rsidRPr="007E1F82">
              <w:t>Working with researchers and emerging leaders from the central banks is helping to strengthen Australia’s research reputation, while also building strategic and long-lasting bilateral relations (soft power) with future leaders in the region.</w:t>
            </w:r>
          </w:p>
          <w:p w14:paraId="034C718A" w14:textId="77777777" w:rsidR="007E1F82" w:rsidRDefault="2C214CFD" w:rsidP="007E1F82">
            <w:pPr>
              <w:pStyle w:val="Tableindent"/>
            </w:pPr>
            <w:r w:rsidRPr="007E1F82">
              <w:t xml:space="preserve">‘If we can build up relationships with the junior colleagues, in 5 years, 10 years later, they may climb up to be the top policy maker, and because we have built up this relationship with them, then the government has more weight in the Pacific. I think it’s easier to communicate. I think supporting this kind of long-term, sustainable theme is a very important thing. And because the investment cannot be just random, cannot be shooting at too many targets, we need to be focused.’ </w:t>
            </w:r>
          </w:p>
          <w:p w14:paraId="59E4FC52" w14:textId="7C206EED" w:rsidR="31F85560" w:rsidRPr="007E1F82" w:rsidRDefault="2C214CFD" w:rsidP="007E1F82">
            <w:pPr>
              <w:pStyle w:val="Tableindent"/>
              <w:rPr>
                <w:i w:val="0"/>
                <w:iCs w:val="0"/>
              </w:rPr>
            </w:pPr>
            <w:r w:rsidRPr="007E1F82">
              <w:rPr>
                <w:i w:val="0"/>
                <w:iCs w:val="0"/>
              </w:rPr>
              <w:t>Dr Jen-Je Su, Leader – Research, SPCCB</w:t>
            </w:r>
          </w:p>
        </w:tc>
      </w:tr>
    </w:tbl>
    <w:p w14:paraId="233AC682" w14:textId="77777777" w:rsidR="00D25203" w:rsidRDefault="00D25203" w:rsidP="00863FA1">
      <w:pPr>
        <w:pStyle w:val="BodyCopy"/>
        <w:rPr>
          <w:highlight w:val="lightGray"/>
        </w:rPr>
      </w:pPr>
    </w:p>
    <w:p w14:paraId="066CDB22" w14:textId="77777777" w:rsidR="00D25203" w:rsidRDefault="00D25203">
      <w:pPr>
        <w:spacing w:before="0"/>
        <w:rPr>
          <w:rFonts w:eastAsiaTheme="majorEastAsia" w:cs="Arial"/>
          <w:b/>
          <w:bCs/>
          <w:color w:val="1F3763"/>
          <w:sz w:val="20"/>
          <w:szCs w:val="20"/>
          <w:highlight w:val="lightGray"/>
        </w:rPr>
      </w:pPr>
      <w:r>
        <w:rPr>
          <w:highlight w:val="lightGray"/>
        </w:rPr>
        <w:br w:type="page"/>
      </w:r>
    </w:p>
    <w:p w14:paraId="6B428228" w14:textId="2F742C0B" w:rsidR="008408B1" w:rsidRPr="008408B1" w:rsidRDefault="008408B1" w:rsidP="0025623B">
      <w:pPr>
        <w:pStyle w:val="heading3no"/>
      </w:pPr>
      <w:r>
        <w:lastRenderedPageBreak/>
        <w:t>S</w:t>
      </w:r>
      <w:r w:rsidR="03608A2D">
        <w:t xml:space="preserve">tage 3 </w:t>
      </w:r>
      <w:r w:rsidR="0025623B">
        <w:t>E</w:t>
      </w:r>
      <w:r w:rsidR="03608A2D">
        <w:t>nabling factors: Reviewing and revising the partnership</w:t>
      </w:r>
    </w:p>
    <w:tbl>
      <w:tblPr>
        <w:tblStyle w:val="TableGrid"/>
        <w:tblW w:w="9360" w:type="dxa"/>
        <w:tblLayout w:type="fixed"/>
        <w:tblCellMar>
          <w:top w:w="108" w:type="dxa"/>
          <w:bottom w:w="108" w:type="dxa"/>
        </w:tblCellMar>
        <w:tblLook w:val="06A0" w:firstRow="1" w:lastRow="0" w:firstColumn="1" w:lastColumn="0" w:noHBand="1" w:noVBand="1"/>
      </w:tblPr>
      <w:tblGrid>
        <w:gridCol w:w="2263"/>
        <w:gridCol w:w="7097"/>
      </w:tblGrid>
      <w:tr w:rsidR="00C22D4F" w:rsidRPr="007E1F82" w14:paraId="1B6DCF6D" w14:textId="77777777" w:rsidTr="001C3F8F">
        <w:tc>
          <w:tcPr>
            <w:tcW w:w="2263" w:type="dxa"/>
            <w:shd w:val="clear" w:color="auto" w:fill="auto"/>
          </w:tcPr>
          <w:p w14:paraId="169D33E8" w14:textId="61369313" w:rsidR="3589CAF5" w:rsidRPr="007E1F82" w:rsidRDefault="3589CAF5" w:rsidP="007E1F82">
            <w:pPr>
              <w:pStyle w:val="Tabletext"/>
              <w:rPr>
                <w:rStyle w:val="IntenseEmphasis"/>
                <w:b/>
                <w:bCs/>
                <w:i w:val="0"/>
                <w:iCs w:val="0"/>
                <w:color w:val="auto"/>
              </w:rPr>
            </w:pPr>
            <w:r w:rsidRPr="007E1F82">
              <w:rPr>
                <w:rStyle w:val="IntenseEmphasis"/>
                <w:b/>
                <w:bCs/>
                <w:i w:val="0"/>
                <w:iCs w:val="0"/>
                <w:color w:val="auto"/>
              </w:rPr>
              <w:t>Enabling factor</w:t>
            </w:r>
          </w:p>
        </w:tc>
        <w:tc>
          <w:tcPr>
            <w:tcW w:w="7097" w:type="dxa"/>
            <w:shd w:val="clear" w:color="auto" w:fill="auto"/>
          </w:tcPr>
          <w:p w14:paraId="531AF9A7" w14:textId="0750AE46" w:rsidR="7DEFACB2" w:rsidRPr="007E1F82" w:rsidRDefault="7DEFACB2" w:rsidP="007E1F82">
            <w:pPr>
              <w:pStyle w:val="Tabletext"/>
              <w:rPr>
                <w:b/>
                <w:bCs/>
              </w:rPr>
            </w:pPr>
            <w:r w:rsidRPr="007E1F82">
              <w:rPr>
                <w:b/>
                <w:bCs/>
              </w:rPr>
              <w:t>Evidence of factor</w:t>
            </w:r>
          </w:p>
        </w:tc>
      </w:tr>
      <w:tr w:rsidR="129E54B2" w:rsidRPr="007E1F82" w14:paraId="7FC4EE54" w14:textId="77777777" w:rsidTr="001C3F8F">
        <w:tc>
          <w:tcPr>
            <w:tcW w:w="2263" w:type="dxa"/>
            <w:shd w:val="clear" w:color="auto" w:fill="auto"/>
          </w:tcPr>
          <w:p w14:paraId="34D91852" w14:textId="45065079" w:rsidR="31F85560" w:rsidRPr="007E1F82" w:rsidRDefault="008408B1" w:rsidP="007E1F82">
            <w:pPr>
              <w:pStyle w:val="Tabletext"/>
              <w:rPr>
                <w:b/>
                <w:bCs/>
              </w:rPr>
            </w:pPr>
            <w:r w:rsidRPr="007E1F82">
              <w:rPr>
                <w:b/>
                <w:bCs/>
              </w:rPr>
              <w:t>H</w:t>
            </w:r>
            <w:r w:rsidR="0AB8C1A7" w:rsidRPr="007E1F82">
              <w:rPr>
                <w:b/>
                <w:bCs/>
              </w:rPr>
              <w:t>ybrid approach to engagement</w:t>
            </w:r>
          </w:p>
        </w:tc>
        <w:tc>
          <w:tcPr>
            <w:tcW w:w="7097" w:type="dxa"/>
            <w:shd w:val="clear" w:color="auto" w:fill="auto"/>
          </w:tcPr>
          <w:p w14:paraId="06CDCCA6" w14:textId="37D0AC65" w:rsidR="31F85560" w:rsidRPr="007E1F82" w:rsidRDefault="31F85560" w:rsidP="007E1F82">
            <w:pPr>
              <w:pStyle w:val="Tabletext0"/>
            </w:pPr>
            <w:r w:rsidRPr="007E1F82">
              <w:t>A mixture of face-to</w:t>
            </w:r>
            <w:r w:rsidR="00417D09" w:rsidRPr="007E1F82">
              <w:t>-</w:t>
            </w:r>
            <w:r w:rsidRPr="007E1F82">
              <w:t>face and online engagement activities have allowed for greater inclusion of central bank staff in-country, ensuring greater impact at the organisational level. This approach has also aided the pivot to online engagement activities due to COVID-19 disruptions (South Pacific Central Banks (SPCB) Virtual Governors Forum in 2020 and 2021, SPCB Regional Research Seminar 2021)</w:t>
            </w:r>
          </w:p>
          <w:p w14:paraId="42F24E21" w14:textId="77777777" w:rsidR="007E1F82" w:rsidRDefault="2C214CFD" w:rsidP="007E1F82">
            <w:pPr>
              <w:pStyle w:val="Tableindent"/>
            </w:pPr>
            <w:r w:rsidRPr="007E1F82">
              <w:t>‘Definitely agility, in thinking about [engagement]: it’s not just face-to-face, it’s not just blended or online. There is a blended component, there’s a hybridity to the kind of training and engagement we need to do [post COVID], and we really need to think about that. I think we’ve also got to think differently about the resourcing of big projects. We’re not so much in a position anymore to just fly in, fly out. We’ve got to think about the timing and the resourcing and who can be part of that.’</w:t>
            </w:r>
            <w:r w:rsidR="48F8277D" w:rsidRPr="007E1F82">
              <w:t xml:space="preserve"> </w:t>
            </w:r>
          </w:p>
          <w:p w14:paraId="54732FB9" w14:textId="11DF6A00" w:rsidR="31F85560" w:rsidRPr="007E1F82" w:rsidRDefault="2259B5A0" w:rsidP="007E1F82">
            <w:pPr>
              <w:pStyle w:val="Tableindent"/>
              <w:rPr>
                <w:i w:val="0"/>
                <w:iCs w:val="0"/>
              </w:rPr>
            </w:pPr>
            <w:r w:rsidRPr="007E1F82">
              <w:rPr>
                <w:i w:val="0"/>
                <w:iCs w:val="0"/>
              </w:rPr>
              <w:t>Professor Caitlyn Byrne</w:t>
            </w:r>
            <w:r w:rsidR="46B2FA8F" w:rsidRPr="007E1F82">
              <w:rPr>
                <w:i w:val="0"/>
                <w:iCs w:val="0"/>
              </w:rPr>
              <w:t>, Director, Griffith Asia Institute</w:t>
            </w:r>
          </w:p>
        </w:tc>
      </w:tr>
    </w:tbl>
    <w:p w14:paraId="74040A0B" w14:textId="6EE40A98" w:rsidR="000F59F6" w:rsidRPr="00AE685F" w:rsidRDefault="03608A2D" w:rsidP="0025623B">
      <w:pPr>
        <w:pStyle w:val="heading3no"/>
        <w:spacing w:before="360"/>
      </w:pPr>
      <w:r>
        <w:t xml:space="preserve">Stage 4 </w:t>
      </w:r>
      <w:r w:rsidR="0025623B">
        <w:t>E</w:t>
      </w:r>
      <w:r>
        <w:t>nabling factors: Moving on, renegotiating and sustaining the partnership over time</w:t>
      </w:r>
    </w:p>
    <w:tbl>
      <w:tblPr>
        <w:tblStyle w:val="TableGrid"/>
        <w:tblW w:w="9360" w:type="dxa"/>
        <w:tblLayout w:type="fixed"/>
        <w:tblCellMar>
          <w:top w:w="108" w:type="dxa"/>
          <w:bottom w:w="108" w:type="dxa"/>
        </w:tblCellMar>
        <w:tblLook w:val="06A0" w:firstRow="1" w:lastRow="0" w:firstColumn="1" w:lastColumn="0" w:noHBand="1" w:noVBand="1"/>
      </w:tblPr>
      <w:tblGrid>
        <w:gridCol w:w="2263"/>
        <w:gridCol w:w="7097"/>
      </w:tblGrid>
      <w:tr w:rsidR="00AE685F" w:rsidRPr="00AE685F" w14:paraId="6E5D69AC" w14:textId="77777777" w:rsidTr="001C3F8F">
        <w:tc>
          <w:tcPr>
            <w:tcW w:w="2263" w:type="dxa"/>
            <w:shd w:val="clear" w:color="auto" w:fill="auto"/>
          </w:tcPr>
          <w:p w14:paraId="7E5F8960" w14:textId="61369313" w:rsidR="3589CAF5" w:rsidRPr="007E1F82" w:rsidRDefault="3589CAF5" w:rsidP="007E1F82">
            <w:pPr>
              <w:pStyle w:val="Tabletext"/>
              <w:rPr>
                <w:rStyle w:val="IntenseEmphasis"/>
                <w:rFonts w:asciiTheme="minorHAnsi" w:hAnsiTheme="minorHAnsi" w:cstheme="minorBidi"/>
                <w:b/>
                <w:bCs/>
                <w:i w:val="0"/>
                <w:iCs w:val="0"/>
                <w:color w:val="auto"/>
                <w:sz w:val="20"/>
                <w:szCs w:val="20"/>
              </w:rPr>
            </w:pPr>
            <w:r w:rsidRPr="007E1F82">
              <w:rPr>
                <w:rStyle w:val="IntenseEmphasis"/>
                <w:rFonts w:asciiTheme="minorHAnsi" w:hAnsiTheme="minorHAnsi" w:cstheme="minorBidi"/>
                <w:b/>
                <w:bCs/>
                <w:i w:val="0"/>
                <w:iCs w:val="0"/>
                <w:color w:val="auto"/>
                <w:sz w:val="20"/>
                <w:szCs w:val="20"/>
              </w:rPr>
              <w:t>Enabling factor</w:t>
            </w:r>
          </w:p>
        </w:tc>
        <w:tc>
          <w:tcPr>
            <w:tcW w:w="7097" w:type="dxa"/>
            <w:shd w:val="clear" w:color="auto" w:fill="auto"/>
          </w:tcPr>
          <w:p w14:paraId="6B7B44A8" w14:textId="0750AE46" w:rsidR="7DEFACB2" w:rsidRPr="007E1F82" w:rsidRDefault="7DEFACB2" w:rsidP="007E1F82">
            <w:pPr>
              <w:pStyle w:val="Tabletext"/>
              <w:rPr>
                <w:b/>
                <w:bCs/>
              </w:rPr>
            </w:pPr>
            <w:r w:rsidRPr="007E1F82">
              <w:rPr>
                <w:b/>
                <w:bCs/>
              </w:rPr>
              <w:t>Evidence of factor</w:t>
            </w:r>
          </w:p>
        </w:tc>
      </w:tr>
      <w:tr w:rsidR="129E54B2" w:rsidRPr="00CB40AA" w14:paraId="451F0300" w14:textId="77777777" w:rsidTr="001C3F8F">
        <w:trPr>
          <w:trHeight w:val="1530"/>
        </w:trPr>
        <w:tc>
          <w:tcPr>
            <w:tcW w:w="2263" w:type="dxa"/>
            <w:shd w:val="clear" w:color="auto" w:fill="auto"/>
          </w:tcPr>
          <w:p w14:paraId="5DB8346D" w14:textId="77777777" w:rsidR="129E54B2" w:rsidRPr="007E1F82" w:rsidRDefault="110FF425" w:rsidP="007E1F82">
            <w:pPr>
              <w:pStyle w:val="Tabletext"/>
              <w:rPr>
                <w:b/>
                <w:bCs/>
              </w:rPr>
            </w:pPr>
            <w:r w:rsidRPr="007E1F82">
              <w:rPr>
                <w:b/>
                <w:bCs/>
              </w:rPr>
              <w:t>Continual engagement activities</w:t>
            </w:r>
          </w:p>
          <w:p w14:paraId="09737197" w14:textId="7C7F0EE8" w:rsidR="129E54B2" w:rsidRPr="007E1F82" w:rsidRDefault="129E54B2" w:rsidP="007E1F82">
            <w:pPr>
              <w:pStyle w:val="Tabletext"/>
              <w:rPr>
                <w:b/>
                <w:bCs/>
              </w:rPr>
            </w:pPr>
          </w:p>
        </w:tc>
        <w:tc>
          <w:tcPr>
            <w:tcW w:w="7097" w:type="dxa"/>
            <w:shd w:val="clear" w:color="auto" w:fill="auto"/>
          </w:tcPr>
          <w:p w14:paraId="1FE5B899" w14:textId="4495C559" w:rsidR="6D025B3C" w:rsidRPr="00CB40AA" w:rsidRDefault="3A0EBA77" w:rsidP="007E1F82">
            <w:pPr>
              <w:pStyle w:val="Tabletext0"/>
            </w:pPr>
            <w:r w:rsidRPr="3DCD22B6">
              <w:t>SPCCB have a calendar of annual events and knowledge sharing activities which sustain the relationships that hav</w:t>
            </w:r>
            <w:r w:rsidR="00FD071D">
              <w:t>e been fostered over the past eight</w:t>
            </w:r>
            <w:r w:rsidRPr="3DCD22B6">
              <w:t xml:space="preserve"> years. These include</w:t>
            </w:r>
            <w:r w:rsidR="27DA19B2" w:rsidRPr="3DCD22B6">
              <w:t xml:space="preserve"> </w:t>
            </w:r>
            <w:r w:rsidRPr="3DCD22B6">
              <w:t>regional research seminars, conferences and dialogue; Governor Forums; industry presentations; annual work schedule of joint research papers; and capacity building activities and workshops.</w:t>
            </w:r>
            <w:r w:rsidR="27DA19B2" w:rsidRPr="3DCD22B6">
              <w:t xml:space="preserve"> PhD opportunities for up to four suitable central bank staff members per year (yet to begin due to COVID-19).</w:t>
            </w:r>
          </w:p>
        </w:tc>
      </w:tr>
    </w:tbl>
    <w:p w14:paraId="1A2FC3BE" w14:textId="38157D05" w:rsidR="00D26307" w:rsidRPr="00CB40AA" w:rsidRDefault="6654CB94" w:rsidP="00EB7114">
      <w:pPr>
        <w:pStyle w:val="Heading2"/>
      </w:pPr>
      <w:bookmarkStart w:id="47" w:name="_Toc103348739"/>
      <w:r>
        <w:t>Challenges to partnering</w:t>
      </w:r>
      <w:bookmarkEnd w:id="47"/>
    </w:p>
    <w:p w14:paraId="7A0CE26D" w14:textId="65236E13" w:rsidR="00D26307" w:rsidRPr="000F59F6" w:rsidRDefault="4EA2EE63" w:rsidP="007C083C">
      <w:pPr>
        <w:pStyle w:val="BodyCopy"/>
        <w:rPr>
          <w:rStyle w:val="IntenseEmphasis"/>
          <w:i w:val="0"/>
          <w:iCs w:val="0"/>
          <w:color w:val="auto"/>
        </w:rPr>
      </w:pPr>
      <w:r w:rsidRPr="67CA915F">
        <w:t xml:space="preserve">The following challenges identified by the Australian host organisation, Griffith University, and the partner organisations, the Pacific region central banks, are factors which </w:t>
      </w:r>
      <w:r w:rsidR="00A20016" w:rsidRPr="67CA915F">
        <w:t>they have identified as</w:t>
      </w:r>
      <w:r w:rsidR="00755BEF" w:rsidRPr="67CA915F">
        <w:t xml:space="preserve"> barriers that need to be overcome </w:t>
      </w:r>
      <w:r w:rsidR="00D56E53" w:rsidRPr="67CA915F">
        <w:t>when developing partnerships such as the one detailed in this case study.</w:t>
      </w:r>
    </w:p>
    <w:p w14:paraId="5703DEC1" w14:textId="1287CBF5" w:rsidR="67CA915F" w:rsidRDefault="03608A2D" w:rsidP="0025623B">
      <w:pPr>
        <w:pStyle w:val="heading3no"/>
        <w:spacing w:before="360"/>
      </w:pPr>
      <w:r>
        <w:t xml:space="preserve">Stage 1 </w:t>
      </w:r>
      <w:r w:rsidR="0025623B">
        <w:t>C</w:t>
      </w:r>
      <w:r>
        <w:t>hallenging factors: Partnership scoping and building</w:t>
      </w:r>
    </w:p>
    <w:tbl>
      <w:tblPr>
        <w:tblStyle w:val="TableGrid"/>
        <w:tblW w:w="9493" w:type="dxa"/>
        <w:tblLayout w:type="fixed"/>
        <w:tblCellMar>
          <w:top w:w="108" w:type="dxa"/>
          <w:bottom w:w="108" w:type="dxa"/>
        </w:tblCellMar>
        <w:tblLook w:val="06A0" w:firstRow="1" w:lastRow="0" w:firstColumn="1" w:lastColumn="0" w:noHBand="1" w:noVBand="1"/>
      </w:tblPr>
      <w:tblGrid>
        <w:gridCol w:w="2263"/>
        <w:gridCol w:w="7230"/>
      </w:tblGrid>
      <w:tr w:rsidR="000F59F6" w:rsidRPr="00CB40AA" w14:paraId="04A037AF" w14:textId="77777777" w:rsidTr="00DE4510">
        <w:tc>
          <w:tcPr>
            <w:tcW w:w="2263" w:type="dxa"/>
            <w:shd w:val="clear" w:color="auto" w:fill="auto"/>
          </w:tcPr>
          <w:p w14:paraId="00071C96" w14:textId="17E3B5A1" w:rsidR="3589CAF5" w:rsidRPr="007C4FE6" w:rsidRDefault="3589CAF5" w:rsidP="007C4FE6">
            <w:pPr>
              <w:pStyle w:val="Tabletext"/>
              <w:rPr>
                <w:rStyle w:val="IntenseEmphasis"/>
                <w:b/>
                <w:bCs/>
                <w:i w:val="0"/>
                <w:iCs w:val="0"/>
                <w:color w:val="auto"/>
              </w:rPr>
            </w:pPr>
            <w:r w:rsidRPr="007C4FE6">
              <w:rPr>
                <w:rStyle w:val="IntenseEmphasis"/>
                <w:b/>
                <w:bCs/>
                <w:i w:val="0"/>
                <w:iCs w:val="0"/>
                <w:color w:val="auto"/>
              </w:rPr>
              <w:t>Challenging factor</w:t>
            </w:r>
          </w:p>
        </w:tc>
        <w:tc>
          <w:tcPr>
            <w:tcW w:w="7230" w:type="dxa"/>
            <w:shd w:val="clear" w:color="auto" w:fill="auto"/>
          </w:tcPr>
          <w:p w14:paraId="273F8BF2" w14:textId="0750AE46" w:rsidR="7DEFACB2" w:rsidRPr="007C4FE6" w:rsidRDefault="7DEFACB2" w:rsidP="007C4FE6">
            <w:pPr>
              <w:pStyle w:val="Tabletext"/>
              <w:rPr>
                <w:b/>
                <w:bCs/>
              </w:rPr>
            </w:pPr>
            <w:r w:rsidRPr="007C4FE6">
              <w:rPr>
                <w:b/>
                <w:bCs/>
              </w:rPr>
              <w:t>Evidence of factor</w:t>
            </w:r>
          </w:p>
        </w:tc>
      </w:tr>
      <w:tr w:rsidR="6B52D6DF" w:rsidRPr="00CB40AA" w14:paraId="68534EBB" w14:textId="77777777" w:rsidTr="00DE4510">
        <w:tc>
          <w:tcPr>
            <w:tcW w:w="2263" w:type="dxa"/>
            <w:shd w:val="clear" w:color="auto" w:fill="auto"/>
          </w:tcPr>
          <w:p w14:paraId="55295000" w14:textId="4DFB218F" w:rsidR="6B52D6DF" w:rsidRPr="00B748F5" w:rsidRDefault="4EA2EE63" w:rsidP="00C92E25">
            <w:pPr>
              <w:pStyle w:val="Tabletext"/>
            </w:pPr>
            <w:r w:rsidRPr="00B748F5">
              <w:t>Australia Awards application process</w:t>
            </w:r>
          </w:p>
        </w:tc>
        <w:tc>
          <w:tcPr>
            <w:tcW w:w="7230" w:type="dxa"/>
            <w:shd w:val="clear" w:color="auto" w:fill="auto"/>
          </w:tcPr>
          <w:p w14:paraId="2B64AED3" w14:textId="121946A3" w:rsidR="61D9273B" w:rsidRPr="00CB40AA" w:rsidRDefault="6101DE7A" w:rsidP="00C92E25">
            <w:pPr>
              <w:pStyle w:val="Tabletext0"/>
            </w:pPr>
            <w:r w:rsidRPr="00CB40AA">
              <w:t>The open-</w:t>
            </w:r>
            <w:r w:rsidRPr="00C92E25">
              <w:t>call nature of the Australia Awards fellowships allowed for a broader scope of development activities for DFAT to support. However, this also required a significant amount of resourcing of staff time to complete the fellowship applications for a selective number of grants. While manageable pre-COVID-19, the resourcing landscape has become more constrained. Building new partnerships and applying for supporting grants will require strategic selection.</w:t>
            </w:r>
          </w:p>
          <w:p w14:paraId="44C0CA27" w14:textId="77777777" w:rsidR="00C92E25" w:rsidRDefault="16AF657F" w:rsidP="00C92E25">
            <w:pPr>
              <w:pStyle w:val="Tableindent"/>
            </w:pPr>
            <w:r w:rsidRPr="00CB40AA">
              <w:t xml:space="preserve">[There is] a lot of burden of paperwork, because for each application we need CVs and applications from every single member; it’s a huge time-consuming drain of time...So, having that sort of open call is great, but you could probably merge it with what works for the country programs. If you’re successful at EOI stage, then </w:t>
            </w:r>
            <w:r w:rsidRPr="00CB40AA">
              <w:lastRenderedPageBreak/>
              <w:t xml:space="preserve">you may have more interaction with the </w:t>
            </w:r>
            <w:r w:rsidR="00975D09">
              <w:t>H</w:t>
            </w:r>
            <w:r w:rsidRPr="00CB40AA">
              <w:t xml:space="preserve">igh </w:t>
            </w:r>
            <w:r w:rsidR="00975D09">
              <w:t>C</w:t>
            </w:r>
            <w:r w:rsidRPr="00CB40AA">
              <w:t xml:space="preserve">ommissioner or the </w:t>
            </w:r>
            <w:r w:rsidR="003D2266">
              <w:t>E</w:t>
            </w:r>
            <w:r w:rsidRPr="00CB40AA">
              <w:t>mbassy, provided they have time, of course, to build out a proposal that would more likely hit everyone’s outcomes.’</w:t>
            </w:r>
          </w:p>
          <w:p w14:paraId="2CBE8038" w14:textId="48822B37" w:rsidR="16AF657F" w:rsidRPr="00C92E25" w:rsidRDefault="16AF657F" w:rsidP="00C92E25">
            <w:pPr>
              <w:pStyle w:val="Tableindent"/>
              <w:rPr>
                <w:i w:val="0"/>
                <w:iCs w:val="0"/>
              </w:rPr>
            </w:pPr>
            <w:r w:rsidRPr="00C92E25">
              <w:rPr>
                <w:i w:val="0"/>
                <w:iCs w:val="0"/>
              </w:rPr>
              <w:t>Ms Aboosally, Senior Commercial Projects Officer, Griffith Enterprise</w:t>
            </w:r>
          </w:p>
        </w:tc>
      </w:tr>
    </w:tbl>
    <w:p w14:paraId="5BCD02F1" w14:textId="29844104" w:rsidR="000F59F6" w:rsidRPr="00CB40AA" w:rsidRDefault="03608A2D" w:rsidP="00783894">
      <w:pPr>
        <w:pStyle w:val="heading3no"/>
        <w:spacing w:before="360"/>
      </w:pPr>
      <w:r>
        <w:lastRenderedPageBreak/>
        <w:t xml:space="preserve">Stage 2 </w:t>
      </w:r>
      <w:r w:rsidR="0025623B">
        <w:t>C</w:t>
      </w:r>
      <w:r>
        <w:t>hallenging factors: Managing and maintaining the partnership</w:t>
      </w:r>
    </w:p>
    <w:tbl>
      <w:tblPr>
        <w:tblStyle w:val="TableGrid"/>
        <w:tblW w:w="9493" w:type="dxa"/>
        <w:tblLayout w:type="fixed"/>
        <w:tblCellMar>
          <w:top w:w="108" w:type="dxa"/>
          <w:bottom w:w="108" w:type="dxa"/>
        </w:tblCellMar>
        <w:tblLook w:val="06A0" w:firstRow="1" w:lastRow="0" w:firstColumn="1" w:lastColumn="0" w:noHBand="1" w:noVBand="1"/>
      </w:tblPr>
      <w:tblGrid>
        <w:gridCol w:w="2263"/>
        <w:gridCol w:w="7230"/>
      </w:tblGrid>
      <w:tr w:rsidR="000F59F6" w:rsidRPr="00CB40AA" w14:paraId="47E8CBF1" w14:textId="77777777" w:rsidTr="001C3F8F">
        <w:tc>
          <w:tcPr>
            <w:tcW w:w="2263" w:type="dxa"/>
            <w:shd w:val="clear" w:color="auto" w:fill="auto"/>
          </w:tcPr>
          <w:p w14:paraId="08DD00E8" w14:textId="17E3B5A1" w:rsidR="3589CAF5" w:rsidRPr="007C4FE6" w:rsidRDefault="3589CAF5" w:rsidP="00C92E25">
            <w:pPr>
              <w:pStyle w:val="Tabletext"/>
              <w:rPr>
                <w:rStyle w:val="IntenseEmphasis"/>
                <w:rFonts w:asciiTheme="minorHAnsi" w:hAnsiTheme="minorHAnsi" w:cstheme="minorBidi"/>
                <w:b/>
                <w:bCs/>
                <w:i w:val="0"/>
                <w:iCs w:val="0"/>
                <w:color w:val="auto"/>
                <w:sz w:val="20"/>
                <w:szCs w:val="20"/>
              </w:rPr>
            </w:pPr>
            <w:r w:rsidRPr="007C4FE6">
              <w:rPr>
                <w:rStyle w:val="IntenseEmphasis"/>
                <w:rFonts w:asciiTheme="minorHAnsi" w:hAnsiTheme="minorHAnsi" w:cstheme="minorBidi"/>
                <w:b/>
                <w:bCs/>
                <w:i w:val="0"/>
                <w:iCs w:val="0"/>
                <w:color w:val="auto"/>
                <w:sz w:val="20"/>
                <w:szCs w:val="20"/>
              </w:rPr>
              <w:t>Challenging factor</w:t>
            </w:r>
          </w:p>
        </w:tc>
        <w:tc>
          <w:tcPr>
            <w:tcW w:w="7230" w:type="dxa"/>
            <w:shd w:val="clear" w:color="auto" w:fill="auto"/>
          </w:tcPr>
          <w:p w14:paraId="25632261" w14:textId="0750AE46" w:rsidR="7DEFACB2" w:rsidRPr="007C4FE6" w:rsidRDefault="7DEFACB2" w:rsidP="00C92E25">
            <w:pPr>
              <w:pStyle w:val="Tabletext"/>
              <w:rPr>
                <w:b/>
                <w:bCs/>
              </w:rPr>
            </w:pPr>
            <w:r w:rsidRPr="007C4FE6">
              <w:rPr>
                <w:b/>
                <w:bCs/>
              </w:rPr>
              <w:t>Evidence of factor</w:t>
            </w:r>
          </w:p>
        </w:tc>
      </w:tr>
      <w:tr w:rsidR="6B52D6DF" w:rsidRPr="00CB40AA" w14:paraId="473F9C12" w14:textId="77777777" w:rsidTr="001C3F8F">
        <w:tc>
          <w:tcPr>
            <w:tcW w:w="2263" w:type="dxa"/>
            <w:shd w:val="clear" w:color="auto" w:fill="auto"/>
          </w:tcPr>
          <w:p w14:paraId="63871C59" w14:textId="1B541C3E" w:rsidR="6B52D6DF" w:rsidRPr="007C4FE6" w:rsidRDefault="4EA2EE63" w:rsidP="00C92E25">
            <w:pPr>
              <w:pStyle w:val="Tabletext"/>
              <w:rPr>
                <w:b/>
                <w:bCs/>
              </w:rPr>
            </w:pPr>
            <w:r w:rsidRPr="007C4FE6">
              <w:rPr>
                <w:b/>
                <w:bCs/>
              </w:rPr>
              <w:t>Ongoing funding and resources</w:t>
            </w:r>
          </w:p>
        </w:tc>
        <w:tc>
          <w:tcPr>
            <w:tcW w:w="7230" w:type="dxa"/>
            <w:shd w:val="clear" w:color="auto" w:fill="auto"/>
          </w:tcPr>
          <w:p w14:paraId="10C27177" w14:textId="3E3DC924" w:rsidR="4805444E" w:rsidRPr="00CB40AA" w:rsidRDefault="4805444E" w:rsidP="00C92E25">
            <w:pPr>
              <w:pStyle w:val="Tabletext0"/>
              <w:rPr>
                <w:color w:val="000000" w:themeColor="text1"/>
              </w:rPr>
            </w:pPr>
            <w:r w:rsidRPr="00CB40AA">
              <w:t xml:space="preserve">Available funding and resources for the SPCCB partnership have been impacted by two distinct factors, the pausing of the Australia Awards fellowship program and COVID-19. The unexpected pausing of the Australia Awards fellowships has left a gap </w:t>
            </w:r>
            <w:r w:rsidR="00C869B0">
              <w:t xml:space="preserve">in </w:t>
            </w:r>
            <w:r w:rsidRPr="00CB40AA">
              <w:t xml:space="preserve">capacity development training funding in the donor landscape. </w:t>
            </w:r>
            <w:r w:rsidR="008561A2" w:rsidRPr="00CB40AA">
              <w:rPr>
                <w:color w:val="000000" w:themeColor="text1"/>
              </w:rPr>
              <w:t>Further,</w:t>
            </w:r>
            <w:r w:rsidRPr="00CB40AA">
              <w:rPr>
                <w:color w:val="000000" w:themeColor="text1"/>
              </w:rPr>
              <w:t xml:space="preserve"> COVID-19 has limited the resourcing </w:t>
            </w:r>
            <w:r w:rsidR="008561A2" w:rsidRPr="00CB40AA">
              <w:rPr>
                <w:color w:val="000000" w:themeColor="text1"/>
              </w:rPr>
              <w:t>for</w:t>
            </w:r>
            <w:r w:rsidRPr="00CB40AA">
              <w:rPr>
                <w:color w:val="000000" w:themeColor="text1"/>
              </w:rPr>
              <w:t xml:space="preserve"> time </w:t>
            </w:r>
            <w:r w:rsidR="008561A2" w:rsidRPr="00CB40AA">
              <w:rPr>
                <w:color w:val="000000" w:themeColor="text1"/>
              </w:rPr>
              <w:t>to commit</w:t>
            </w:r>
            <w:r w:rsidRPr="00CB40AA">
              <w:rPr>
                <w:color w:val="000000" w:themeColor="text1"/>
              </w:rPr>
              <w:t xml:space="preserve"> to the partnership</w:t>
            </w:r>
            <w:r w:rsidR="00E55558" w:rsidRPr="00CB40AA">
              <w:rPr>
                <w:color w:val="000000" w:themeColor="text1"/>
              </w:rPr>
              <w:t>’s</w:t>
            </w:r>
            <w:r w:rsidRPr="00CB40AA">
              <w:rPr>
                <w:color w:val="000000" w:themeColor="text1"/>
              </w:rPr>
              <w:t xml:space="preserve"> ongoing engagement and maintenance. Dr Sharma stated with adjusted time allocations, engagement time for external partnerships allocation is limited; ‘It’s mainly driven by our passion...But it has to be done within the constraints like time.’</w:t>
            </w:r>
          </w:p>
          <w:p w14:paraId="0F183A77" w14:textId="77777777" w:rsidR="00C92E25" w:rsidRDefault="4EA2EE63" w:rsidP="00C92E25">
            <w:pPr>
              <w:pStyle w:val="Tableindent"/>
            </w:pPr>
            <w:r w:rsidRPr="00CB40AA">
              <w:t>The region has benefited immensely from the program, from the research trainin</w:t>
            </w:r>
            <w:r w:rsidR="00A76CE4" w:rsidRPr="00CB40AA">
              <w:t>g</w:t>
            </w:r>
            <w:r w:rsidR="000F59F6">
              <w:t>…</w:t>
            </w:r>
            <w:r w:rsidR="00A76CE4" w:rsidRPr="00CB40AA">
              <w:t xml:space="preserve"> </w:t>
            </w:r>
            <w:r w:rsidRPr="00CB40AA">
              <w:t xml:space="preserve"> When they come here, they can feel </w:t>
            </w:r>
            <w:r w:rsidR="000F59F6">
              <w:t>…</w:t>
            </w:r>
            <w:r w:rsidRPr="00CB40AA">
              <w:t xml:space="preserve"> Australia really is behind this. They don’t look at it as Griffith doing all this. They say, “The Australian Government is behind this. They are giving us money to do all this.” And the in-person engagement is quite important, so there’s a risk of losing that. So, we would really want the program to restart. </w:t>
            </w:r>
          </w:p>
          <w:p w14:paraId="7DE8AB85" w14:textId="479A8CCC" w:rsidR="4EA2EE63" w:rsidRPr="00C92E25" w:rsidRDefault="4EA2EE63" w:rsidP="00C92E25">
            <w:pPr>
              <w:pStyle w:val="Tableindent"/>
              <w:rPr>
                <w:i w:val="0"/>
                <w:iCs w:val="0"/>
              </w:rPr>
            </w:pPr>
            <w:r w:rsidRPr="00C92E25">
              <w:rPr>
                <w:i w:val="0"/>
                <w:iCs w:val="0"/>
              </w:rPr>
              <w:t>Dr Sharma, Program Convenor, SPCCB</w:t>
            </w:r>
          </w:p>
        </w:tc>
      </w:tr>
      <w:tr w:rsidR="6B52D6DF" w:rsidRPr="00CB40AA" w14:paraId="110B07F6" w14:textId="77777777" w:rsidTr="001C3F8F">
        <w:tc>
          <w:tcPr>
            <w:tcW w:w="2263" w:type="dxa"/>
            <w:shd w:val="clear" w:color="auto" w:fill="auto"/>
          </w:tcPr>
          <w:p w14:paraId="1224C9B6" w14:textId="2F162A7A" w:rsidR="4EA2EE63" w:rsidRPr="007C4FE6" w:rsidRDefault="4EA2EE63" w:rsidP="00C92E25">
            <w:pPr>
              <w:pStyle w:val="Tabletext"/>
              <w:rPr>
                <w:b/>
                <w:bCs/>
              </w:rPr>
            </w:pPr>
            <w:r w:rsidRPr="007C4FE6">
              <w:rPr>
                <w:b/>
                <w:bCs/>
              </w:rPr>
              <w:t>Face-to-face interaction</w:t>
            </w:r>
          </w:p>
        </w:tc>
        <w:tc>
          <w:tcPr>
            <w:tcW w:w="7230" w:type="dxa"/>
            <w:shd w:val="clear" w:color="auto" w:fill="auto"/>
          </w:tcPr>
          <w:p w14:paraId="3D923825" w14:textId="5C12AA06" w:rsidR="6B52D6DF" w:rsidRPr="00CB40AA" w:rsidRDefault="6B52D6DF" w:rsidP="00C92E25">
            <w:pPr>
              <w:pStyle w:val="Tabletext"/>
            </w:pPr>
            <w:r w:rsidRPr="00CB40AA">
              <w:t xml:space="preserve">COVID-19 has impacted the growth and depth of the SPCCB network with travel restrictions ceasing face-to-face engagements. </w:t>
            </w:r>
            <w:r w:rsidR="0009028C">
              <w:t>MO</w:t>
            </w:r>
            <w:r w:rsidRPr="00CB40AA">
              <w:t xml:space="preserve">Us such as the jointly funded PhD scholarships have been unable to be activated. </w:t>
            </w:r>
          </w:p>
          <w:p w14:paraId="765E9B72" w14:textId="738904BE" w:rsidR="6B52D6DF" w:rsidRPr="00CB40AA" w:rsidRDefault="6B52D6DF" w:rsidP="00C92E25">
            <w:pPr>
              <w:pStyle w:val="Tabletext0"/>
            </w:pPr>
            <w:r w:rsidRPr="00CB40AA">
              <w:t>While the network has pivoted to online platforms, reliability of technology and limitation of impromptu interact</w:t>
            </w:r>
            <w:r w:rsidR="00EA4DF2" w:rsidRPr="00CB40AA">
              <w:t>ion</w:t>
            </w:r>
            <w:r w:rsidRPr="00CB40AA">
              <w:t xml:space="preserve">s affects the quality of engagements and relationship building. Associate Professor Tarlok Singh </w:t>
            </w:r>
            <w:r w:rsidR="00401E86" w:rsidRPr="00CB40AA">
              <w:t>highlighted</w:t>
            </w:r>
            <w:r w:rsidRPr="00CB40AA">
              <w:t xml:space="preserve"> that in-person connection builds deeper relationships which result in more effective communication and research outcomes.</w:t>
            </w:r>
          </w:p>
          <w:p w14:paraId="113447B3" w14:textId="77777777" w:rsidR="00C92E25" w:rsidRDefault="289C36ED" w:rsidP="00C92E25">
            <w:pPr>
              <w:pStyle w:val="Tableindent"/>
            </w:pPr>
            <w:r w:rsidRPr="583D53EB">
              <w:t xml:space="preserve">We could not do anything except the online communication, online workshops. It interrupted it, but because we went [online], we continued the activity to sustain that but there’s nothing like in-person...if one has the in-person and connection, that builds deeper relationships with the colleagues overseas and it also is more effective in terms of our communication and research. </w:t>
            </w:r>
          </w:p>
          <w:p w14:paraId="773E4B96" w14:textId="25002265" w:rsidR="4EA2EE63" w:rsidRPr="00C92E25" w:rsidRDefault="289C36ED" w:rsidP="00C92E25">
            <w:pPr>
              <w:pStyle w:val="Tableindent"/>
              <w:rPr>
                <w:i w:val="0"/>
                <w:iCs w:val="0"/>
              </w:rPr>
            </w:pPr>
            <w:r w:rsidRPr="00C92E25">
              <w:rPr>
                <w:i w:val="0"/>
                <w:iCs w:val="0"/>
              </w:rPr>
              <w:t>Associate Professor Singh, Leader – Policy, SPCCB</w:t>
            </w:r>
          </w:p>
        </w:tc>
      </w:tr>
    </w:tbl>
    <w:p w14:paraId="46D66A9F" w14:textId="29A169BA" w:rsidR="00FD743B" w:rsidRDefault="00FD743B" w:rsidP="00FD743B"/>
    <w:p w14:paraId="61B016E9" w14:textId="77777777" w:rsidR="00D25203" w:rsidRDefault="00D25203">
      <w:pPr>
        <w:spacing w:before="0"/>
        <w:rPr>
          <w:rFonts w:eastAsiaTheme="majorEastAsia" w:cs="Arial"/>
          <w:b/>
          <w:bCs/>
          <w:color w:val="1F3763"/>
          <w:sz w:val="20"/>
          <w:szCs w:val="20"/>
          <w:highlight w:val="lightGray"/>
        </w:rPr>
      </w:pPr>
      <w:r>
        <w:rPr>
          <w:highlight w:val="lightGray"/>
        </w:rPr>
        <w:br w:type="page"/>
      </w:r>
    </w:p>
    <w:p w14:paraId="689C5D3D" w14:textId="250FB667" w:rsidR="67CA915F" w:rsidRDefault="03608A2D" w:rsidP="0025623B">
      <w:pPr>
        <w:pStyle w:val="heading3no"/>
      </w:pPr>
      <w:r>
        <w:lastRenderedPageBreak/>
        <w:t xml:space="preserve">Stage 4 </w:t>
      </w:r>
      <w:r w:rsidR="0025623B">
        <w:t>C</w:t>
      </w:r>
      <w:r>
        <w:t xml:space="preserve">hallenging factors: Moving </w:t>
      </w:r>
      <w:r w:rsidRPr="00D25203">
        <w:t>on</w:t>
      </w:r>
      <w:r>
        <w:t>, renegotiating and sustaining the partnership over time</w:t>
      </w:r>
    </w:p>
    <w:tbl>
      <w:tblPr>
        <w:tblStyle w:val="TableGrid"/>
        <w:tblW w:w="9360" w:type="dxa"/>
        <w:tblLayout w:type="fixed"/>
        <w:tblCellMar>
          <w:top w:w="108" w:type="dxa"/>
          <w:bottom w:w="108" w:type="dxa"/>
        </w:tblCellMar>
        <w:tblLook w:val="06A0" w:firstRow="1" w:lastRow="0" w:firstColumn="1" w:lastColumn="0" w:noHBand="1" w:noVBand="1"/>
      </w:tblPr>
      <w:tblGrid>
        <w:gridCol w:w="2405"/>
        <w:gridCol w:w="6955"/>
      </w:tblGrid>
      <w:tr w:rsidR="000F59F6" w:rsidRPr="00CB40AA" w14:paraId="31D84605" w14:textId="77777777" w:rsidTr="001C3F8F">
        <w:tc>
          <w:tcPr>
            <w:tcW w:w="2405" w:type="dxa"/>
            <w:shd w:val="clear" w:color="auto" w:fill="auto"/>
            <w:tcMar>
              <w:top w:w="108" w:type="dxa"/>
            </w:tcMar>
          </w:tcPr>
          <w:p w14:paraId="1955821D" w14:textId="17E3B5A1" w:rsidR="3589CAF5" w:rsidRPr="00B36581" w:rsidRDefault="3589CAF5" w:rsidP="00B36581">
            <w:pPr>
              <w:pStyle w:val="Tabletext"/>
              <w:rPr>
                <w:rStyle w:val="IntenseEmphasis"/>
                <w:b/>
                <w:bCs/>
                <w:i w:val="0"/>
                <w:iCs w:val="0"/>
                <w:color w:val="auto"/>
              </w:rPr>
            </w:pPr>
            <w:r w:rsidRPr="00B36581">
              <w:rPr>
                <w:rStyle w:val="IntenseEmphasis"/>
                <w:b/>
                <w:bCs/>
                <w:i w:val="0"/>
                <w:iCs w:val="0"/>
                <w:color w:val="auto"/>
              </w:rPr>
              <w:t>Challenging factor</w:t>
            </w:r>
          </w:p>
        </w:tc>
        <w:tc>
          <w:tcPr>
            <w:tcW w:w="6955" w:type="dxa"/>
            <w:shd w:val="clear" w:color="auto" w:fill="auto"/>
            <w:tcMar>
              <w:top w:w="108" w:type="dxa"/>
            </w:tcMar>
          </w:tcPr>
          <w:p w14:paraId="2047C8F4" w14:textId="0750AE46" w:rsidR="7DEFACB2" w:rsidRPr="00B36581" w:rsidRDefault="7DEFACB2" w:rsidP="00B36581">
            <w:pPr>
              <w:pStyle w:val="Tabletext"/>
              <w:rPr>
                <w:b/>
                <w:bCs/>
              </w:rPr>
            </w:pPr>
            <w:r w:rsidRPr="00B36581">
              <w:rPr>
                <w:b/>
                <w:bCs/>
              </w:rPr>
              <w:t>Evidence of factor</w:t>
            </w:r>
          </w:p>
        </w:tc>
      </w:tr>
      <w:tr w:rsidR="6B52D6DF" w:rsidRPr="00CB40AA" w14:paraId="0761A632" w14:textId="77777777" w:rsidTr="001C3F8F">
        <w:tc>
          <w:tcPr>
            <w:tcW w:w="2405" w:type="dxa"/>
            <w:shd w:val="clear" w:color="auto" w:fill="auto"/>
            <w:tcMar>
              <w:top w:w="108" w:type="dxa"/>
            </w:tcMar>
          </w:tcPr>
          <w:p w14:paraId="7DA6CEF2" w14:textId="54574A20" w:rsidR="6B52D6DF" w:rsidRPr="00B36581" w:rsidRDefault="4EA2EE63" w:rsidP="00B36581">
            <w:pPr>
              <w:pStyle w:val="Tabletext"/>
              <w:rPr>
                <w:b/>
                <w:bCs/>
              </w:rPr>
            </w:pPr>
            <w:r w:rsidRPr="00B36581">
              <w:rPr>
                <w:b/>
                <w:bCs/>
              </w:rPr>
              <w:t>Long-term sustainability</w:t>
            </w:r>
          </w:p>
        </w:tc>
        <w:tc>
          <w:tcPr>
            <w:tcW w:w="6955" w:type="dxa"/>
            <w:shd w:val="clear" w:color="auto" w:fill="auto"/>
            <w:tcMar>
              <w:top w:w="108" w:type="dxa"/>
            </w:tcMar>
          </w:tcPr>
          <w:p w14:paraId="35E6AE94" w14:textId="769E7BEC" w:rsidR="4805444E" w:rsidRPr="00B36581" w:rsidRDefault="4805444E" w:rsidP="00B36581">
            <w:pPr>
              <w:pStyle w:val="Tabletext"/>
              <w:spacing w:after="60"/>
            </w:pPr>
            <w:r w:rsidRPr="00B36581">
              <w:t xml:space="preserve">There is an acknowledged challenge in building long-term sustainability into the future direction of SPCCB. With a strong foundation of committed partnership managers and stakeholders, the opportunity for growth beyond the current COVID-19 limitations is likely. However, the initial boost by the Australia Awards fellowship which elevated the platform of SPCCB to other central </w:t>
            </w:r>
            <w:r w:rsidR="00912809" w:rsidRPr="00B36581">
              <w:t>banks</w:t>
            </w:r>
            <w:r w:rsidRPr="00B36581">
              <w:t xml:space="preserve"> has left a gap in capacity development training funding options.</w:t>
            </w:r>
          </w:p>
          <w:p w14:paraId="1F00B535" w14:textId="77777777" w:rsidR="00B36581" w:rsidRDefault="289C36ED" w:rsidP="00B36581">
            <w:pPr>
              <w:pStyle w:val="Tabletext"/>
              <w:spacing w:after="60"/>
              <w:ind w:left="454"/>
              <w:rPr>
                <w:color w:val="000000" w:themeColor="text1"/>
              </w:rPr>
            </w:pPr>
            <w:r w:rsidRPr="00B36581">
              <w:rPr>
                <w:i/>
                <w:iCs/>
                <w:color w:val="000000" w:themeColor="text1"/>
              </w:rPr>
              <w:t>Our challenge is trying to build that sustainable system that’s there because the underlying reasons are solid. It should be able to just fund itself...but we understand that we really need to build the sustainable framework that will enable it to sustain itself and become a permanent fixture...it becomes a chicken and an egg. Do you run something, and they [development partners] will come in and help you or do you give us that boost and then we can run off on our own? So that’s the big challenge.</w:t>
            </w:r>
            <w:r w:rsidRPr="00B36581">
              <w:rPr>
                <w:color w:val="000000" w:themeColor="text1"/>
              </w:rPr>
              <w:t xml:space="preserve"> </w:t>
            </w:r>
          </w:p>
          <w:p w14:paraId="4515F6AC" w14:textId="6E67CBC2" w:rsidR="4EA2EE63" w:rsidRPr="00B36581" w:rsidRDefault="289C36ED" w:rsidP="00B36581">
            <w:pPr>
              <w:pStyle w:val="Tabletext"/>
              <w:ind w:left="453"/>
              <w:rPr>
                <w:color w:val="2F5496" w:themeColor="accent1" w:themeShade="BF"/>
              </w:rPr>
            </w:pPr>
            <w:r w:rsidRPr="00B36581">
              <w:rPr>
                <w:color w:val="000000" w:themeColor="text1"/>
              </w:rPr>
              <w:t>Mr Masitabua, Deputy Governor RBF</w:t>
            </w:r>
          </w:p>
        </w:tc>
      </w:tr>
      <w:tr w:rsidR="6B52D6DF" w:rsidRPr="00CB40AA" w14:paraId="1DD381D2" w14:textId="77777777" w:rsidTr="001C3F8F">
        <w:tc>
          <w:tcPr>
            <w:tcW w:w="2405" w:type="dxa"/>
            <w:shd w:val="clear" w:color="auto" w:fill="auto"/>
            <w:tcMar>
              <w:top w:w="108" w:type="dxa"/>
            </w:tcMar>
          </w:tcPr>
          <w:p w14:paraId="133D16FC" w14:textId="37C43769" w:rsidR="6B52D6DF" w:rsidRPr="00B36581" w:rsidRDefault="6B52D6DF" w:rsidP="00B36581">
            <w:pPr>
              <w:pStyle w:val="Tabletext"/>
              <w:rPr>
                <w:b/>
                <w:bCs/>
              </w:rPr>
            </w:pPr>
            <w:r w:rsidRPr="00B36581">
              <w:rPr>
                <w:b/>
                <w:bCs/>
              </w:rPr>
              <w:t>Maturing the collaboration</w:t>
            </w:r>
          </w:p>
        </w:tc>
        <w:tc>
          <w:tcPr>
            <w:tcW w:w="6955" w:type="dxa"/>
            <w:shd w:val="clear" w:color="auto" w:fill="auto"/>
            <w:tcMar>
              <w:top w:w="108" w:type="dxa"/>
            </w:tcMar>
          </w:tcPr>
          <w:p w14:paraId="4A4EB0B8" w14:textId="0602FADF" w:rsidR="6B52D6DF" w:rsidRPr="00B36581" w:rsidRDefault="009231FF" w:rsidP="00B36581">
            <w:pPr>
              <w:pStyle w:val="Tabletext"/>
              <w:spacing w:after="60"/>
              <w:rPr>
                <w:color w:val="222222"/>
              </w:rPr>
            </w:pPr>
            <w:r w:rsidRPr="00B36581">
              <w:rPr>
                <w:color w:val="222222"/>
              </w:rPr>
              <w:t>The</w:t>
            </w:r>
            <w:r w:rsidR="6C9E2C5E" w:rsidRPr="00B36581">
              <w:rPr>
                <w:color w:val="222222"/>
              </w:rPr>
              <w:t xml:space="preserve"> challenge </w:t>
            </w:r>
            <w:r w:rsidRPr="00B36581">
              <w:rPr>
                <w:color w:val="222222"/>
              </w:rPr>
              <w:t xml:space="preserve">for the SPCCB, over the </w:t>
            </w:r>
            <w:r w:rsidR="6C9E2C5E" w:rsidRPr="00B36581">
              <w:rPr>
                <w:color w:val="222222"/>
              </w:rPr>
              <w:t xml:space="preserve">long-term </w:t>
            </w:r>
            <w:r w:rsidRPr="00B36581">
              <w:rPr>
                <w:color w:val="222222"/>
              </w:rPr>
              <w:t>is</w:t>
            </w:r>
            <w:r w:rsidR="6C9E2C5E" w:rsidRPr="00B36581">
              <w:rPr>
                <w:color w:val="222222"/>
              </w:rPr>
              <w:t xml:space="preserve"> to </w:t>
            </w:r>
            <w:r w:rsidRPr="00B36581">
              <w:rPr>
                <w:color w:val="222222"/>
              </w:rPr>
              <w:t>take</w:t>
            </w:r>
            <w:r w:rsidR="6C9E2C5E" w:rsidRPr="00B36581">
              <w:rPr>
                <w:color w:val="222222"/>
              </w:rPr>
              <w:t xml:space="preserve"> the </w:t>
            </w:r>
            <w:r w:rsidRPr="00B36581">
              <w:rPr>
                <w:color w:val="222222"/>
              </w:rPr>
              <w:t>partnership</w:t>
            </w:r>
            <w:r w:rsidR="6C9E2C5E" w:rsidRPr="00B36581">
              <w:rPr>
                <w:color w:val="222222"/>
              </w:rPr>
              <w:t xml:space="preserve"> and engagement </w:t>
            </w:r>
            <w:r w:rsidR="00CB1138" w:rsidRPr="00B36581">
              <w:rPr>
                <w:color w:val="222222"/>
              </w:rPr>
              <w:t xml:space="preserve">activities </w:t>
            </w:r>
            <w:r w:rsidRPr="00B36581">
              <w:rPr>
                <w:color w:val="222222"/>
              </w:rPr>
              <w:t xml:space="preserve">to the next level </w:t>
            </w:r>
            <w:r w:rsidR="6C9E2C5E" w:rsidRPr="00B36581">
              <w:rPr>
                <w:color w:val="222222"/>
              </w:rPr>
              <w:t xml:space="preserve">and </w:t>
            </w:r>
            <w:r w:rsidRPr="00B36581">
              <w:rPr>
                <w:color w:val="222222"/>
              </w:rPr>
              <w:t>‘mature’ the collaboration among the group and invite additional stakeholders</w:t>
            </w:r>
            <w:r w:rsidR="00187E53" w:rsidRPr="00B36581">
              <w:rPr>
                <w:color w:val="222222"/>
              </w:rPr>
              <w:t xml:space="preserve"> to join so that the centre expands and evolves into a much larger capacity building hub</w:t>
            </w:r>
            <w:r w:rsidR="00CB1138" w:rsidRPr="00B36581">
              <w:rPr>
                <w:color w:val="222222"/>
              </w:rPr>
              <w:t xml:space="preserve"> in the Pacific region</w:t>
            </w:r>
            <w:r w:rsidR="00187E53" w:rsidRPr="00B36581">
              <w:rPr>
                <w:color w:val="222222"/>
              </w:rPr>
              <w:t>.</w:t>
            </w:r>
            <w:r w:rsidR="6C9E2C5E" w:rsidRPr="00B36581">
              <w:rPr>
                <w:color w:val="222222"/>
              </w:rPr>
              <w:t xml:space="preserve"> Mr Luke Forau, CBSI Governor, stated ‘SPCCB has the potential to become a “research and policy formulation” capacity building hub for the PIC central banks, much like Kenya School of Monetary Policy Studies (KSMPS)’ (Forau, 2020). </w:t>
            </w:r>
          </w:p>
          <w:p w14:paraId="2EF8D348" w14:textId="282FBCAB" w:rsidR="6B52D6DF" w:rsidRPr="00B36581" w:rsidRDefault="34F7E941" w:rsidP="00B36581">
            <w:pPr>
              <w:pStyle w:val="Tableindent"/>
            </w:pPr>
            <w:r w:rsidRPr="00B36581">
              <w:t>To accomplish that vision and goal, however, a much greater, multi-lateral effort and partnership would be required. SPCCB’s key stakeholders include Asian Development Bank, the World Bank Group/International Financial Cooperation, International Monetary Fund/Pacific Financial Technical Centre, Department of Foreign Affairs and Trade, and central banks of Australia and New Zealand. A collaborative approach among these stakeholders, the central banks and SPCCB would be required.</w:t>
            </w:r>
          </w:p>
          <w:p w14:paraId="62CF9CA8" w14:textId="30400703" w:rsidR="6B52D6DF" w:rsidRPr="00B36581" w:rsidRDefault="6C9E2C5E" w:rsidP="00B36581">
            <w:pPr>
              <w:pStyle w:val="Tabletext"/>
              <w:ind w:left="453"/>
              <w:rPr>
                <w:color w:val="2F5496" w:themeColor="accent1" w:themeShade="BF"/>
              </w:rPr>
            </w:pPr>
            <w:r w:rsidRPr="00B36581">
              <w:rPr>
                <w:color w:val="000000" w:themeColor="text1"/>
              </w:rPr>
              <w:t>Mr Luke Forau, Governor CBSI (Forau, 2020)</w:t>
            </w:r>
          </w:p>
        </w:tc>
      </w:tr>
    </w:tbl>
    <w:p w14:paraId="0A21C12A" w14:textId="4693413B" w:rsidR="00DA0BC0" w:rsidRPr="00CB40AA" w:rsidRDefault="4D30EB5D" w:rsidP="00EB7114">
      <w:pPr>
        <w:pStyle w:val="Heading2"/>
        <w:rPr>
          <w:sz w:val="32"/>
          <w:szCs w:val="32"/>
        </w:rPr>
      </w:pPr>
      <w:bookmarkStart w:id="48" w:name="_Toc103348740"/>
      <w:r>
        <w:t>High level perspective from the SPCCB Governors</w:t>
      </w:r>
      <w:bookmarkEnd w:id="48"/>
    </w:p>
    <w:p w14:paraId="65783408" w14:textId="08088C47" w:rsidR="00E657DE" w:rsidRPr="00E9010B" w:rsidRDefault="004A4D51" w:rsidP="00E9010B">
      <w:pPr>
        <w:pStyle w:val="BodyCopy"/>
      </w:pPr>
      <w:r>
        <w:t>Due to the impact of COVID-19 pandemic</w:t>
      </w:r>
      <w:r w:rsidR="00E657DE">
        <w:t xml:space="preserve"> during the writing of this report</w:t>
      </w:r>
      <w:r>
        <w:t>, the GTF were unable to interview a wide range of stakeholders</w:t>
      </w:r>
      <w:r w:rsidR="00E657DE">
        <w:t xml:space="preserve"> </w:t>
      </w:r>
      <w:r>
        <w:t>for this case study</w:t>
      </w:r>
      <w:r w:rsidR="00E657DE">
        <w:t xml:space="preserve"> (see Annex</w:t>
      </w:r>
      <w:r w:rsidR="00402CE1">
        <w:t xml:space="preserve"> 2: M</w:t>
      </w:r>
      <w:r w:rsidR="00E657DE">
        <w:t xml:space="preserve">ethodology section for further details). </w:t>
      </w:r>
      <w:r>
        <w:t xml:space="preserve"> Working closely with Dr Sharma, the GTF sort insight from th</w:t>
      </w:r>
      <w:r w:rsidR="00E657DE">
        <w:t xml:space="preserve">e central bank Governors on the impact of the SPCCB from their perspectives. The following quotes were provided to the GTF from the Governors from the </w:t>
      </w:r>
      <w:r w:rsidR="0050702A">
        <w:t>RBF, RBV and CBSI after reading the draft report.</w:t>
      </w:r>
    </w:p>
    <w:p w14:paraId="11FE6739" w14:textId="77777777" w:rsidR="00E9010B" w:rsidRPr="00911387" w:rsidRDefault="00E9010B" w:rsidP="00D716A8">
      <w:pPr>
        <w:shd w:val="clear" w:color="auto" w:fill="FFFFFF"/>
        <w:textAlignment w:val="baseline"/>
        <w:rPr>
          <w:rFonts w:eastAsia="Times New Roman" w:cstheme="minorHAnsi"/>
          <w:b/>
          <w:bCs/>
          <w:sz w:val="20"/>
          <w:szCs w:val="20"/>
          <w:lang w:eastAsia="en-AU"/>
        </w:rPr>
      </w:pPr>
      <w:r w:rsidRPr="00911387">
        <w:rPr>
          <w:rFonts w:eastAsia="Times New Roman" w:cstheme="minorHAnsi"/>
          <w:b/>
          <w:bCs/>
          <w:sz w:val="20"/>
          <w:szCs w:val="20"/>
          <w:bdr w:val="none" w:sz="0" w:space="0" w:color="auto" w:frame="1"/>
          <w:lang w:eastAsia="en-AU"/>
        </w:rPr>
        <w:t>Dr Luke Forau, Governor of the Central Bank of Solomon Islands:</w:t>
      </w:r>
    </w:p>
    <w:p w14:paraId="67CAB026" w14:textId="77777777" w:rsidR="00E9010B" w:rsidRPr="00B36581" w:rsidRDefault="00E9010B" w:rsidP="00B36581">
      <w:pPr>
        <w:pStyle w:val="BodyCopy"/>
      </w:pPr>
      <w:r w:rsidRPr="00B36581">
        <w:t xml:space="preserve">The engagement with Griffith Business School and SPCCB is having a tangible impact on the research environment and culture at CBSI.  There’s more conversation on research in the corridors and meetings, with the Bank providing incentives for the culture to keep evolving.  Research seminars and conferences are becoming more familiar and welcoming notions at the Bank.  Research-based policies too are finally becoming a real prospect.  Impact is also evolving in terms of greater regional collaborations and cooperation, including at the Governors level—a very welcoming feat indeed.  Again, SPCCB, Dr. </w:t>
      </w:r>
      <w:r w:rsidRPr="00B36581">
        <w:lastRenderedPageBreak/>
        <w:t>Sharma and his team are facilitating these significant accomplishments.  And, in the process, Griffith University is steadily becoming an Australasian university of influence in the region.</w:t>
      </w:r>
    </w:p>
    <w:p w14:paraId="65D495B7" w14:textId="77777777" w:rsidR="00E9010B" w:rsidRPr="00911387" w:rsidRDefault="00E9010B" w:rsidP="00D716A8">
      <w:pPr>
        <w:shd w:val="clear" w:color="auto" w:fill="FFFFFF"/>
        <w:textAlignment w:val="baseline"/>
        <w:rPr>
          <w:rFonts w:eastAsia="Times New Roman" w:cstheme="minorHAnsi"/>
          <w:b/>
          <w:bCs/>
          <w:sz w:val="20"/>
          <w:szCs w:val="20"/>
          <w:lang w:eastAsia="en-AU"/>
        </w:rPr>
      </w:pPr>
      <w:r w:rsidRPr="00911387">
        <w:rPr>
          <w:rFonts w:eastAsia="Times New Roman" w:cstheme="minorHAnsi"/>
          <w:b/>
          <w:bCs/>
          <w:sz w:val="20"/>
          <w:szCs w:val="20"/>
          <w:bdr w:val="none" w:sz="0" w:space="0" w:color="auto" w:frame="1"/>
          <w:shd w:val="clear" w:color="auto" w:fill="FFFFFF"/>
          <w:lang w:eastAsia="en-AU"/>
        </w:rPr>
        <w:t>Mr Ariff Ali, Governor, Reserve Bank of Fiji:</w:t>
      </w:r>
    </w:p>
    <w:p w14:paraId="27808D9C" w14:textId="77777777" w:rsidR="00E9010B" w:rsidRPr="00DD6EDC" w:rsidRDefault="00E9010B" w:rsidP="00B36581">
      <w:pPr>
        <w:pStyle w:val="BodyCopy"/>
        <w:rPr>
          <w:lang w:eastAsia="en-AU"/>
        </w:rPr>
      </w:pPr>
      <w:r w:rsidRPr="00E657DE">
        <w:rPr>
          <w:bdr w:val="none" w:sz="0" w:space="0" w:color="auto" w:frame="1"/>
          <w:shd w:val="clear" w:color="auto" w:fill="FFFFFF"/>
          <w:lang w:eastAsia="en-AU"/>
        </w:rPr>
        <w:t>The collaborative research-related program of the SPCCB go beyond capacity building for the region’s central banks.  It is also an effective apolitical means of engagement and partnership between the region and Australia, which I believe has never been more critical.  Moreover, the program provides a natural pathway for greater collaboration and cooperation among the region’s central banks, including at the Governors level.  The regional conference and prospects for regional projects are indeed most welcoming endeavours.</w:t>
      </w:r>
    </w:p>
    <w:p w14:paraId="09C56461" w14:textId="77777777" w:rsidR="00E9010B" w:rsidRPr="00911387" w:rsidRDefault="00E9010B" w:rsidP="00D716A8">
      <w:pPr>
        <w:shd w:val="clear" w:color="auto" w:fill="FFFFFF"/>
        <w:spacing w:line="257" w:lineRule="atLeast"/>
        <w:textAlignment w:val="baseline"/>
        <w:rPr>
          <w:rFonts w:eastAsia="Times New Roman" w:cstheme="minorHAnsi"/>
          <w:b/>
          <w:bCs/>
          <w:sz w:val="20"/>
          <w:szCs w:val="20"/>
          <w:bdr w:val="none" w:sz="0" w:space="0" w:color="auto" w:frame="1"/>
          <w:shd w:val="clear" w:color="auto" w:fill="FFFFFF"/>
          <w:lang w:eastAsia="en-AU"/>
        </w:rPr>
      </w:pPr>
      <w:r w:rsidRPr="00911387">
        <w:rPr>
          <w:rFonts w:eastAsia="Times New Roman" w:cstheme="minorHAnsi"/>
          <w:b/>
          <w:bCs/>
          <w:sz w:val="20"/>
          <w:szCs w:val="20"/>
          <w:bdr w:val="none" w:sz="0" w:space="0" w:color="auto" w:frame="1"/>
          <w:shd w:val="clear" w:color="auto" w:fill="FFFFFF"/>
          <w:lang w:eastAsia="en-AU"/>
        </w:rPr>
        <w:t>Mr Simeon Athy, Governor, Reserve Bank of Vanuatu:</w:t>
      </w:r>
    </w:p>
    <w:p w14:paraId="74A89462" w14:textId="77777777" w:rsidR="00E9010B" w:rsidRPr="00E657DE" w:rsidRDefault="00E9010B" w:rsidP="00B36581">
      <w:pPr>
        <w:pStyle w:val="BodyCopy"/>
        <w:rPr>
          <w:lang w:eastAsia="en-AU"/>
        </w:rPr>
      </w:pPr>
      <w:r w:rsidRPr="2852EC75">
        <w:rPr>
          <w:bdr w:val="none" w:sz="0" w:space="0" w:color="auto" w:frame="1"/>
          <w:shd w:val="clear" w:color="auto" w:fill="FFFFFF"/>
          <w:lang w:eastAsia="en-AU"/>
        </w:rPr>
        <w:t>The SPCCB activities are broad and wide, including joint working papers, journal articles, seminars, symposiums, conferences, scientific research training, etc. All of these activities are having a profound effect on RBV’s research environment and culture—which RBV has desired for a long time.</w:t>
      </w:r>
      <w:r>
        <w:rPr>
          <w:bdr w:val="none" w:sz="0" w:space="0" w:color="auto" w:frame="1"/>
          <w:shd w:val="clear" w:color="auto" w:fill="FFFFFF"/>
          <w:lang w:eastAsia="en-AU"/>
        </w:rPr>
        <w:t xml:space="preserve"> </w:t>
      </w:r>
      <w:r w:rsidRPr="2852EC75">
        <w:rPr>
          <w:bdr w:val="none" w:sz="0" w:space="0" w:color="auto" w:frame="1"/>
          <w:shd w:val="clear" w:color="auto" w:fill="FFFFFF"/>
          <w:lang w:eastAsia="en-AU"/>
        </w:rPr>
        <w:t xml:space="preserve">For the first time too, there’s very concrete and positive hope for the </w:t>
      </w:r>
      <w:r w:rsidRPr="00B36581">
        <w:t>Bank’s</w:t>
      </w:r>
      <w:r w:rsidRPr="2852EC75">
        <w:rPr>
          <w:bdr w:val="none" w:sz="0" w:space="0" w:color="auto" w:frame="1"/>
          <w:shd w:val="clear" w:color="auto" w:fill="FFFFFF"/>
          <w:lang w:eastAsia="en-AU"/>
        </w:rPr>
        <w:t xml:space="preserve"> policies relating to the financial and private sectors to be finally grounded in scientific research.  RBV is grateful to Dr. Sharma, his colleagues and Griffith Business School for initiating all of the foregoing joint research activities and for the profound transformation that is taking place at the Bank. </w:t>
      </w:r>
    </w:p>
    <w:p w14:paraId="025167D2" w14:textId="77777777" w:rsidR="00E9010B" w:rsidRDefault="00E9010B" w:rsidP="00E55564">
      <w:pPr>
        <w:jc w:val="both"/>
        <w:textAlignment w:val="baseline"/>
        <w:rPr>
          <w:rFonts w:eastAsia="Times New Roman" w:cstheme="minorHAnsi"/>
          <w:i/>
          <w:bdr w:val="none" w:sz="0" w:space="0" w:color="auto" w:frame="1"/>
          <w:lang w:eastAsia="en-AU"/>
        </w:rPr>
      </w:pPr>
    </w:p>
    <w:p w14:paraId="43062266" w14:textId="77777777" w:rsidR="004E48E1" w:rsidRDefault="004E48E1">
      <w:pPr>
        <w:spacing w:before="0"/>
        <w:rPr>
          <w:rFonts w:eastAsia="Times New Roman" w:cstheme="minorHAnsi"/>
          <w:i/>
          <w:bdr w:val="none" w:sz="0" w:space="0" w:color="auto" w:frame="1"/>
          <w:lang w:eastAsia="en-AU"/>
        </w:rPr>
      </w:pPr>
      <w:r>
        <w:rPr>
          <w:rFonts w:eastAsia="Times New Roman" w:cstheme="minorHAnsi"/>
          <w:i/>
          <w:bdr w:val="none" w:sz="0" w:space="0" w:color="auto" w:frame="1"/>
          <w:lang w:eastAsia="en-AU"/>
        </w:rPr>
        <w:br w:type="page"/>
      </w:r>
    </w:p>
    <w:p w14:paraId="3D5E0813" w14:textId="382A1F78" w:rsidR="7613F5CF" w:rsidRPr="00624F30" w:rsidRDefault="5080E4DC" w:rsidP="00624F30">
      <w:pPr>
        <w:pStyle w:val="Heading1"/>
      </w:pPr>
      <w:bookmarkStart w:id="49" w:name="_Toc103348741"/>
      <w:r w:rsidRPr="00624F30">
        <w:lastRenderedPageBreak/>
        <w:t>Conclusion</w:t>
      </w:r>
      <w:r w:rsidR="4FDF0D7A" w:rsidRPr="00624F30">
        <w:t xml:space="preserve"> and recommendations</w:t>
      </w:r>
      <w:r w:rsidR="3778B454" w:rsidRPr="00624F30">
        <w:t xml:space="preserve"> for partnerships</w:t>
      </w:r>
      <w:r w:rsidR="026B0F21" w:rsidRPr="00624F30">
        <w:t xml:space="preserve"> for development</w:t>
      </w:r>
      <w:bookmarkEnd w:id="49"/>
    </w:p>
    <w:p w14:paraId="1077D7CC" w14:textId="7132E701" w:rsidR="00E87E6F" w:rsidRPr="001C3F8F" w:rsidRDefault="03608A2D" w:rsidP="007C083C">
      <w:pPr>
        <w:pStyle w:val="BodyCopy"/>
        <w:rPr>
          <w:rFonts w:eastAsiaTheme="minorEastAsia"/>
          <w:b/>
          <w:bCs/>
        </w:rPr>
      </w:pPr>
      <w:r w:rsidRPr="001C3F8F">
        <w:rPr>
          <w:b/>
          <w:bCs/>
        </w:rPr>
        <w:t>This case study provides insight into the benefits of the Australia Awards fellowships in building partnerships for the Australian host and partner country organisations. This is an unexplored area of research in the outcomes of the Australia Awards and is the first time the GTF has examined the outcomes from the perspective of partner organisations (previously, the focus has been on alumni). In examining an exemplar partnership that has received Australia Awards fellowships, this study demonstrates how this funding has contributed to building a dynamic partnership with longevity that is addressing development challenges in partner countries.</w:t>
      </w:r>
    </w:p>
    <w:p w14:paraId="14DEDB8E" w14:textId="2E3B32F2" w:rsidR="00E87E6F" w:rsidRPr="00CB40AA" w:rsidRDefault="03608A2D" w:rsidP="007C083C">
      <w:pPr>
        <w:pStyle w:val="BodyCopy"/>
        <w:rPr>
          <w:rFonts w:eastAsiaTheme="minorEastAsia"/>
        </w:rPr>
      </w:pPr>
      <w:r w:rsidRPr="78CB1CC1">
        <w:t>The South Pacific Centre for Central Banking (SPCCB) demonstrates the significant potential of the Australia Awards fellowships in building organisational partnerships for capacity development. This case study has shown how the Australia Awards fellowships contributed to a ripple effect for organisational change by developing the required capabilities to equip partners with a common purpose to achieve their development goals. The impacts from SPCCB's capacity building activities are a model for future fellowship iterations where strong partnership principles are embedded and use direct organisation-to-organisation training approaches to achieve the intended long-term program outcomes of the Australia Awards.</w:t>
      </w:r>
      <w:r w:rsidR="3081CF4E" w:rsidRPr="78CB1CC1">
        <w:t xml:space="preserve"> </w:t>
      </w:r>
    </w:p>
    <w:p w14:paraId="30018EE6" w14:textId="5CCA70D8" w:rsidR="00A45A21" w:rsidRPr="00CB40AA" w:rsidRDefault="19F770D3" w:rsidP="00EB7114">
      <w:pPr>
        <w:pStyle w:val="Heading2"/>
      </w:pPr>
      <w:bookmarkStart w:id="50" w:name="_Toc98341013"/>
      <w:bookmarkStart w:id="51" w:name="_Toc103348742"/>
      <w:r>
        <w:t>Australia Awards Global Tracer Facility recommendations</w:t>
      </w:r>
      <w:bookmarkEnd w:id="50"/>
      <w:r>
        <w:t xml:space="preserve"> for future</w:t>
      </w:r>
      <w:r w:rsidR="00DE4510">
        <w:t xml:space="preserve"> </w:t>
      </w:r>
      <w:r>
        <w:t>Australia Awards fellowship iterations</w:t>
      </w:r>
      <w:bookmarkEnd w:id="51"/>
    </w:p>
    <w:p w14:paraId="2B4F0497" w14:textId="50F7FDC2" w:rsidR="6C9E2C5E" w:rsidRPr="00CB40AA" w:rsidRDefault="1A7A8FFA" w:rsidP="007C083C">
      <w:pPr>
        <w:pStyle w:val="BodyCopy"/>
      </w:pPr>
      <w:r w:rsidRPr="67CA915F">
        <w:t>Drawing on insights from the case study participants and analysis of the enabling and challenging factors to SPCCB’s partnership development, t</w:t>
      </w:r>
      <w:r w:rsidR="6C9E2C5E" w:rsidRPr="00965941">
        <w:t>he table below outlines the opportunities to strengthen organisational and alumni outcomes for future Australia Awards fellowship iterations.</w:t>
      </w:r>
    </w:p>
    <w:p w14:paraId="094B3C90" w14:textId="2409CADC" w:rsidR="00DA7B1C" w:rsidRDefault="00DA7B1C" w:rsidP="00624F30">
      <w:pPr>
        <w:pStyle w:val="Figure"/>
      </w:pPr>
      <w:r>
        <w:t xml:space="preserve">Table </w:t>
      </w:r>
      <w:r w:rsidRPr="0EC93286">
        <w:rPr>
          <w:color w:val="2B579A"/>
        </w:rPr>
        <w:fldChar w:fldCharType="begin"/>
      </w:r>
      <w:r>
        <w:instrText xml:space="preserve"> SEQ Table \* ARABIC </w:instrText>
      </w:r>
      <w:r w:rsidRPr="0EC93286">
        <w:rPr>
          <w:color w:val="2B579A"/>
        </w:rPr>
        <w:fldChar w:fldCharType="separate"/>
      </w:r>
      <w:r w:rsidR="001D6B4B">
        <w:rPr>
          <w:noProof/>
        </w:rPr>
        <w:t>3</w:t>
      </w:r>
      <w:r w:rsidRPr="0EC93286">
        <w:rPr>
          <w:color w:val="2B579A"/>
        </w:rPr>
        <w:fldChar w:fldCharType="end"/>
      </w:r>
      <w:r>
        <w:t>:</w:t>
      </w:r>
      <w:r w:rsidR="5303B07C">
        <w:t xml:space="preserve"> Australia Awards Global Tracer Facility Recommendations for future Australia Awards fellowship iterations</w:t>
      </w:r>
    </w:p>
    <w:tbl>
      <w:tblPr>
        <w:tblStyle w:val="TableGrid"/>
        <w:tblW w:w="9360" w:type="dxa"/>
        <w:tblLayout w:type="fixed"/>
        <w:tblCellMar>
          <w:top w:w="108" w:type="dxa"/>
          <w:bottom w:w="108" w:type="dxa"/>
        </w:tblCellMar>
        <w:tblLook w:val="06A0" w:firstRow="1" w:lastRow="0" w:firstColumn="1" w:lastColumn="0" w:noHBand="1" w:noVBand="1"/>
      </w:tblPr>
      <w:tblGrid>
        <w:gridCol w:w="2405"/>
        <w:gridCol w:w="6955"/>
      </w:tblGrid>
      <w:tr w:rsidR="67CA915F" w:rsidRPr="000D3B71" w14:paraId="40DF5011" w14:textId="77777777" w:rsidTr="000D3B71">
        <w:tc>
          <w:tcPr>
            <w:tcW w:w="2405" w:type="dxa"/>
            <w:shd w:val="clear" w:color="auto" w:fill="auto"/>
            <w:tcMar>
              <w:top w:w="108" w:type="dxa"/>
              <w:bottom w:w="108" w:type="dxa"/>
            </w:tcMar>
          </w:tcPr>
          <w:p w14:paraId="57DDA5B0" w14:textId="5EE351F1" w:rsidR="67CA915F" w:rsidRPr="000D3B71" w:rsidRDefault="67CA915F" w:rsidP="000D3B71">
            <w:pPr>
              <w:spacing w:before="0" w:line="240" w:lineRule="exact"/>
              <w:rPr>
                <w:rFonts w:cs="Arial"/>
                <w:b/>
                <w:bCs/>
                <w:sz w:val="18"/>
                <w:szCs w:val="18"/>
              </w:rPr>
            </w:pPr>
            <w:r w:rsidRPr="000D3B71">
              <w:rPr>
                <w:rFonts w:cs="Arial"/>
                <w:b/>
                <w:bCs/>
                <w:sz w:val="18"/>
                <w:szCs w:val="18"/>
              </w:rPr>
              <w:t>Australia Awards Phase</w:t>
            </w:r>
          </w:p>
        </w:tc>
        <w:tc>
          <w:tcPr>
            <w:tcW w:w="6955" w:type="dxa"/>
            <w:shd w:val="clear" w:color="auto" w:fill="auto"/>
            <w:tcMar>
              <w:top w:w="108" w:type="dxa"/>
              <w:bottom w:w="108" w:type="dxa"/>
            </w:tcMar>
          </w:tcPr>
          <w:p w14:paraId="78B82B46" w14:textId="332CBEAA" w:rsidR="67CA915F" w:rsidRPr="000D3B71" w:rsidRDefault="67CA915F" w:rsidP="000D3B71">
            <w:pPr>
              <w:spacing w:before="0" w:line="240" w:lineRule="exact"/>
              <w:rPr>
                <w:rFonts w:eastAsia="Times New Roman" w:cs="Arial"/>
                <w:b/>
                <w:bCs/>
                <w:sz w:val="18"/>
                <w:szCs w:val="18"/>
                <w:lang w:eastAsia="en-AU"/>
              </w:rPr>
            </w:pPr>
            <w:r w:rsidRPr="000D3B71">
              <w:rPr>
                <w:rFonts w:eastAsia="Times New Roman" w:cs="Arial"/>
                <w:b/>
                <w:bCs/>
                <w:sz w:val="18"/>
                <w:szCs w:val="18"/>
                <w:lang w:eastAsia="en-AU"/>
              </w:rPr>
              <w:t>Recommendation</w:t>
            </w:r>
          </w:p>
        </w:tc>
      </w:tr>
      <w:tr w:rsidR="67CA915F" w:rsidRPr="000D3B71" w14:paraId="1BF04F19" w14:textId="77777777" w:rsidTr="000D3B71">
        <w:tc>
          <w:tcPr>
            <w:tcW w:w="2405" w:type="dxa"/>
            <w:shd w:val="clear" w:color="auto" w:fill="auto"/>
            <w:tcMar>
              <w:top w:w="108" w:type="dxa"/>
              <w:bottom w:w="108" w:type="dxa"/>
            </w:tcMar>
          </w:tcPr>
          <w:p w14:paraId="34B27D3E" w14:textId="15CB6CC5" w:rsidR="67CA915F" w:rsidRPr="000D3B71" w:rsidRDefault="67CA915F" w:rsidP="000D3B71">
            <w:pPr>
              <w:spacing w:before="0" w:line="240" w:lineRule="exact"/>
              <w:rPr>
                <w:rFonts w:cs="Arial"/>
                <w:b/>
                <w:bCs/>
                <w:color w:val="000000" w:themeColor="text1"/>
                <w:sz w:val="18"/>
                <w:szCs w:val="18"/>
              </w:rPr>
            </w:pPr>
            <w:r w:rsidRPr="000D3B71">
              <w:rPr>
                <w:rFonts w:cs="Arial"/>
                <w:b/>
                <w:bCs/>
                <w:sz w:val="18"/>
                <w:szCs w:val="18"/>
              </w:rPr>
              <w:t>Application</w:t>
            </w:r>
          </w:p>
        </w:tc>
        <w:tc>
          <w:tcPr>
            <w:tcW w:w="6955" w:type="dxa"/>
            <w:shd w:val="clear" w:color="auto" w:fill="auto"/>
            <w:tcMar>
              <w:top w:w="108" w:type="dxa"/>
              <w:bottom w:w="108" w:type="dxa"/>
            </w:tcMar>
          </w:tcPr>
          <w:p w14:paraId="252EB472" w14:textId="78FC293F" w:rsidR="00BD5928" w:rsidRPr="000D3B71" w:rsidRDefault="00BD5928" w:rsidP="00657E60">
            <w:pPr>
              <w:pStyle w:val="ListParagraph"/>
              <w:numPr>
                <w:ilvl w:val="0"/>
                <w:numId w:val="5"/>
              </w:numPr>
              <w:spacing w:before="0" w:after="120"/>
              <w:ind w:left="272" w:hanging="272"/>
              <w:rPr>
                <w:rFonts w:eastAsia="Times New Roman" w:cs="Arial"/>
                <w:b/>
                <w:bCs/>
                <w:sz w:val="18"/>
                <w:szCs w:val="18"/>
                <w:lang w:eastAsia="en-AU"/>
              </w:rPr>
            </w:pPr>
            <w:r w:rsidRPr="000D3B71">
              <w:rPr>
                <w:rFonts w:eastAsia="Times New Roman" w:cs="Arial"/>
                <w:b/>
                <w:bCs/>
                <w:sz w:val="18"/>
                <w:szCs w:val="18"/>
                <w:lang w:eastAsia="en-AU"/>
              </w:rPr>
              <w:t xml:space="preserve">Embed long-term strategic partnering values in fellowship application criteria and program logic </w:t>
            </w:r>
            <w:r w:rsidRPr="000D3B71">
              <w:rPr>
                <w:rFonts w:eastAsia="Times New Roman" w:cs="Arial"/>
                <w:sz w:val="18"/>
                <w:szCs w:val="18"/>
                <w:lang w:eastAsia="en-AU"/>
              </w:rPr>
              <w:t>to strength</w:t>
            </w:r>
            <w:r w:rsidR="00F94493" w:rsidRPr="000D3B71">
              <w:rPr>
                <w:rFonts w:eastAsia="Times New Roman" w:cs="Arial"/>
                <w:sz w:val="18"/>
                <w:szCs w:val="18"/>
                <w:lang w:eastAsia="en-AU"/>
              </w:rPr>
              <w:t xml:space="preserve">en </w:t>
            </w:r>
            <w:r w:rsidRPr="000D3B71">
              <w:rPr>
                <w:rFonts w:eastAsia="Times New Roman" w:cs="Arial"/>
                <w:sz w:val="18"/>
                <w:szCs w:val="18"/>
                <w:lang w:eastAsia="en-AU"/>
              </w:rPr>
              <w:t>the Australia Awards intermediate and long-term development and cooperation outcomes.</w:t>
            </w:r>
          </w:p>
          <w:p w14:paraId="74DB3F9F" w14:textId="1863226A" w:rsidR="00BD5928" w:rsidRPr="000D3B71" w:rsidRDefault="00BD5928" w:rsidP="00657E60">
            <w:pPr>
              <w:pStyle w:val="ListParagraph"/>
              <w:numPr>
                <w:ilvl w:val="0"/>
                <w:numId w:val="5"/>
              </w:numPr>
              <w:spacing w:before="0" w:after="120"/>
              <w:ind w:left="270" w:hanging="270"/>
              <w:rPr>
                <w:rFonts w:eastAsia="Times New Roman" w:cs="Arial"/>
                <w:b/>
                <w:bCs/>
                <w:sz w:val="18"/>
                <w:szCs w:val="18"/>
                <w:lang w:eastAsia="en-AU"/>
              </w:rPr>
            </w:pPr>
            <w:r w:rsidRPr="000D3B71">
              <w:rPr>
                <w:rFonts w:eastAsia="Times New Roman" w:cs="Arial"/>
                <w:b/>
                <w:bCs/>
                <w:sz w:val="18"/>
                <w:szCs w:val="18"/>
                <w:lang w:eastAsia="en-AU"/>
              </w:rPr>
              <w:t>Create an Expression of Interest (EOI) stage in the application process</w:t>
            </w:r>
            <w:r w:rsidRPr="000D3B71">
              <w:rPr>
                <w:rFonts w:eastAsia="Times New Roman" w:cs="Arial"/>
                <w:sz w:val="18"/>
                <w:szCs w:val="18"/>
                <w:lang w:eastAsia="en-AU"/>
              </w:rPr>
              <w:t xml:space="preserve"> to reduce the burden of paperwork for applicants and DFAT. A pre-proposal stage will enable DFAT to shortlist host organisations that are able to demonstrate existing or developing relationships with a partnering organisation/s that has a strategic purpose aligning with three key pillars for enabling long-term development and cooperation outcomes:</w:t>
            </w:r>
          </w:p>
          <w:p w14:paraId="209EBFCC" w14:textId="0EA12722" w:rsidR="4D8EB5E1" w:rsidRPr="000D3B71" w:rsidRDefault="4D8EB5E1" w:rsidP="00657E60">
            <w:pPr>
              <w:pStyle w:val="ListParagraph"/>
              <w:numPr>
                <w:ilvl w:val="0"/>
                <w:numId w:val="3"/>
              </w:numPr>
              <w:spacing w:before="0" w:after="120"/>
              <w:ind w:left="881"/>
              <w:rPr>
                <w:rFonts w:cs="Arial"/>
                <w:sz w:val="18"/>
                <w:szCs w:val="18"/>
              </w:rPr>
            </w:pPr>
            <w:r w:rsidRPr="000D3B71">
              <w:rPr>
                <w:rFonts w:cs="Arial"/>
                <w:sz w:val="18"/>
                <w:szCs w:val="18"/>
              </w:rPr>
              <w:t xml:space="preserve">DFAT aid investment priorities or UN Sustainable Development Goals, </w:t>
            </w:r>
          </w:p>
          <w:p w14:paraId="1362F840" w14:textId="45365410" w:rsidR="4D8EB5E1" w:rsidRPr="000D3B71" w:rsidRDefault="4D8EB5E1" w:rsidP="00657E60">
            <w:pPr>
              <w:pStyle w:val="ListParagraph"/>
              <w:numPr>
                <w:ilvl w:val="0"/>
                <w:numId w:val="3"/>
              </w:numPr>
              <w:spacing w:before="0" w:after="120"/>
              <w:ind w:left="881"/>
              <w:rPr>
                <w:rFonts w:cs="Arial"/>
                <w:sz w:val="18"/>
                <w:szCs w:val="18"/>
              </w:rPr>
            </w:pPr>
            <w:r w:rsidRPr="000D3B71">
              <w:rPr>
                <w:rFonts w:cs="Arial"/>
                <w:sz w:val="18"/>
                <w:szCs w:val="18"/>
              </w:rPr>
              <w:t xml:space="preserve">the partner organisation’s capacity development needs, </w:t>
            </w:r>
          </w:p>
          <w:p w14:paraId="4AA1817C" w14:textId="4AD62E7B" w:rsidR="4D8EB5E1" w:rsidRPr="000D3B71" w:rsidRDefault="4D8EB5E1" w:rsidP="00657E60">
            <w:pPr>
              <w:pStyle w:val="ListParagraph"/>
              <w:numPr>
                <w:ilvl w:val="0"/>
                <w:numId w:val="3"/>
              </w:numPr>
              <w:spacing w:before="0" w:after="120"/>
              <w:ind w:left="879" w:hanging="357"/>
              <w:rPr>
                <w:rFonts w:cs="Arial"/>
                <w:sz w:val="18"/>
                <w:szCs w:val="18"/>
              </w:rPr>
            </w:pPr>
            <w:r w:rsidRPr="000D3B71">
              <w:rPr>
                <w:rFonts w:cs="Arial"/>
                <w:sz w:val="18"/>
                <w:szCs w:val="18"/>
              </w:rPr>
              <w:t>the host institution's internationalisation strategy.</w:t>
            </w:r>
          </w:p>
          <w:p w14:paraId="4AD97F12" w14:textId="19EF3A31" w:rsidR="00BD5928" w:rsidRPr="000D3B71" w:rsidRDefault="00BD5928" w:rsidP="00657E60">
            <w:pPr>
              <w:pStyle w:val="ListParagraph"/>
              <w:numPr>
                <w:ilvl w:val="0"/>
                <w:numId w:val="5"/>
              </w:numPr>
              <w:spacing w:before="0" w:after="120"/>
              <w:ind w:left="272" w:hanging="270"/>
              <w:rPr>
                <w:rFonts w:cs="Arial"/>
                <w:sz w:val="18"/>
                <w:szCs w:val="18"/>
              </w:rPr>
            </w:pPr>
            <w:r w:rsidRPr="000D3B71">
              <w:rPr>
                <w:rFonts w:eastAsia="Times New Roman" w:cs="Arial"/>
                <w:b/>
                <w:bCs/>
                <w:sz w:val="18"/>
                <w:szCs w:val="18"/>
                <w:lang w:eastAsia="en-AU"/>
              </w:rPr>
              <w:t xml:space="preserve">Demonstrate a strategic partnership alliance in the proposal. </w:t>
            </w:r>
            <w:r w:rsidR="4D8EB5E1" w:rsidRPr="000D3B71">
              <w:rPr>
                <w:rFonts w:cs="Arial"/>
                <w:sz w:val="18"/>
                <w:szCs w:val="18"/>
              </w:rPr>
              <w:t xml:space="preserve">With a shortlist of host organisation partnerships, greater focus can be placed on developing </w:t>
            </w:r>
            <w:r w:rsidR="4D8EB5E1" w:rsidRPr="000D3B71">
              <w:rPr>
                <w:rFonts w:cs="Arial"/>
                <w:sz w:val="18"/>
                <w:szCs w:val="18"/>
              </w:rPr>
              <w:lastRenderedPageBreak/>
              <w:t xml:space="preserve">detailed grant applications demonstrating how the fellowship will lead to program outcomes and enhance the partnership. </w:t>
            </w:r>
          </w:p>
          <w:p w14:paraId="6A065B53" w14:textId="030078D8" w:rsidR="4D8EB5E1" w:rsidRPr="000D3B71" w:rsidRDefault="4D8EB5E1" w:rsidP="000B2587">
            <w:pPr>
              <w:spacing w:before="0" w:after="120" w:line="240" w:lineRule="exact"/>
              <w:ind w:left="272"/>
              <w:rPr>
                <w:rFonts w:cs="Arial"/>
                <w:sz w:val="18"/>
                <w:szCs w:val="18"/>
              </w:rPr>
            </w:pPr>
            <w:r w:rsidRPr="000D3B71">
              <w:rPr>
                <w:rFonts w:cs="Arial"/>
                <w:sz w:val="18"/>
                <w:szCs w:val="18"/>
              </w:rPr>
              <w:t xml:space="preserve">Successful proposals should include post-award strategic engagement plan outlining alumni and institutional engagement activities over a set period (e.g., up to at least 3 years when Australia Awards long-term </w:t>
            </w:r>
            <w:r w:rsidR="6EC0756A" w:rsidRPr="000D3B71">
              <w:rPr>
                <w:rFonts w:cs="Arial"/>
                <w:sz w:val="18"/>
                <w:szCs w:val="18"/>
              </w:rPr>
              <w:t xml:space="preserve">program </w:t>
            </w:r>
            <w:r w:rsidRPr="000D3B71">
              <w:rPr>
                <w:rFonts w:cs="Arial"/>
                <w:sz w:val="18"/>
                <w:szCs w:val="18"/>
              </w:rPr>
              <w:t>outcomes are expected to be emerging, as per the</w:t>
            </w:r>
            <w:r w:rsidRPr="000D3B71">
              <w:rPr>
                <w:rFonts w:cs="Arial"/>
                <w:i/>
                <w:iCs/>
                <w:sz w:val="18"/>
                <w:szCs w:val="18"/>
              </w:rPr>
              <w:t xml:space="preserve"> Australia Awards Monitoring and Evaluation Framework</w:t>
            </w:r>
            <w:r w:rsidRPr="000D3B71">
              <w:rPr>
                <w:rFonts w:cs="Arial"/>
                <w:sz w:val="18"/>
                <w:szCs w:val="18"/>
              </w:rPr>
              <w:t xml:space="preserve">). </w:t>
            </w:r>
          </w:p>
          <w:p w14:paraId="1B3AA27B" w14:textId="23E7BA86" w:rsidR="4D8EB5E1" w:rsidRPr="000D3B71" w:rsidRDefault="4D8EB5E1" w:rsidP="000D3B71">
            <w:pPr>
              <w:spacing w:before="0" w:line="240" w:lineRule="exact"/>
              <w:ind w:left="270"/>
              <w:rPr>
                <w:rFonts w:cs="Arial"/>
                <w:sz w:val="18"/>
                <w:szCs w:val="18"/>
              </w:rPr>
            </w:pPr>
            <w:r w:rsidRPr="000D3B71">
              <w:rPr>
                <w:rFonts w:cs="Arial"/>
                <w:sz w:val="18"/>
                <w:szCs w:val="18"/>
              </w:rPr>
              <w:t>Support from Posts to review relevant shortlisted proposals should also be encouraged as this will assist in ensuring alignment or complimentary to aid program priorities.</w:t>
            </w:r>
          </w:p>
        </w:tc>
      </w:tr>
      <w:tr w:rsidR="67CA915F" w:rsidRPr="000D3B71" w14:paraId="28F087E8" w14:textId="77777777" w:rsidTr="000D3B71">
        <w:tc>
          <w:tcPr>
            <w:tcW w:w="2405" w:type="dxa"/>
            <w:shd w:val="clear" w:color="auto" w:fill="auto"/>
            <w:tcMar>
              <w:top w:w="108" w:type="dxa"/>
              <w:bottom w:w="108" w:type="dxa"/>
            </w:tcMar>
          </w:tcPr>
          <w:p w14:paraId="7E65A5A5" w14:textId="7196507A" w:rsidR="67CA915F" w:rsidRPr="000D3B71" w:rsidRDefault="67CA915F" w:rsidP="000D3B71">
            <w:pPr>
              <w:spacing w:before="0" w:line="240" w:lineRule="exact"/>
              <w:rPr>
                <w:rFonts w:eastAsia="Times New Roman" w:cs="Arial"/>
                <w:b/>
                <w:bCs/>
                <w:sz w:val="18"/>
                <w:szCs w:val="18"/>
                <w:lang w:eastAsia="en-AU"/>
              </w:rPr>
            </w:pPr>
            <w:r w:rsidRPr="000D3B71">
              <w:rPr>
                <w:rFonts w:eastAsia="Times New Roman" w:cs="Arial"/>
                <w:b/>
                <w:bCs/>
                <w:sz w:val="18"/>
                <w:szCs w:val="18"/>
                <w:lang w:eastAsia="en-AU"/>
              </w:rPr>
              <w:lastRenderedPageBreak/>
              <w:t>On-award engagement</w:t>
            </w:r>
          </w:p>
        </w:tc>
        <w:tc>
          <w:tcPr>
            <w:tcW w:w="6955" w:type="dxa"/>
            <w:shd w:val="clear" w:color="auto" w:fill="auto"/>
            <w:tcMar>
              <w:top w:w="108" w:type="dxa"/>
              <w:bottom w:w="108" w:type="dxa"/>
            </w:tcMar>
          </w:tcPr>
          <w:p w14:paraId="11678826" w14:textId="47EE488D" w:rsidR="00BD5928" w:rsidRPr="000D3B71" w:rsidRDefault="00BD5928" w:rsidP="00657E60">
            <w:pPr>
              <w:pStyle w:val="ListParagraph"/>
              <w:numPr>
                <w:ilvl w:val="0"/>
                <w:numId w:val="5"/>
              </w:numPr>
              <w:spacing w:before="0" w:after="120"/>
              <w:ind w:left="272" w:hanging="272"/>
              <w:rPr>
                <w:rFonts w:cs="Arial"/>
                <w:sz w:val="18"/>
                <w:szCs w:val="18"/>
              </w:rPr>
            </w:pPr>
            <w:r w:rsidRPr="000D3B71">
              <w:rPr>
                <w:rFonts w:eastAsia="Times New Roman" w:cs="Arial"/>
                <w:b/>
                <w:bCs/>
                <w:sz w:val="18"/>
                <w:szCs w:val="18"/>
                <w:lang w:eastAsia="en-AU"/>
              </w:rPr>
              <w:t xml:space="preserve">Employ </w:t>
            </w:r>
            <w:r w:rsidRPr="000D3B71">
              <w:rPr>
                <w:rFonts w:eastAsia="Times New Roman" w:cs="Arial"/>
                <w:sz w:val="18"/>
                <w:szCs w:val="18"/>
                <w:lang w:eastAsia="en-AU"/>
              </w:rPr>
              <w:t xml:space="preserve">a hybrid model of partnership engagement. </w:t>
            </w:r>
            <w:r w:rsidR="3347BEDE" w:rsidRPr="000D3B71">
              <w:rPr>
                <w:rFonts w:cs="Arial"/>
                <w:sz w:val="18"/>
                <w:szCs w:val="18"/>
              </w:rPr>
              <w:t>Programs should embed agile</w:t>
            </w:r>
            <w:r w:rsidR="58A6AB4B" w:rsidRPr="000D3B71">
              <w:rPr>
                <w:rFonts w:cs="Arial"/>
                <w:sz w:val="18"/>
                <w:szCs w:val="18"/>
              </w:rPr>
              <w:t>,</w:t>
            </w:r>
            <w:r w:rsidR="3347BEDE" w:rsidRPr="000D3B71">
              <w:rPr>
                <w:rFonts w:cs="Arial"/>
                <w:sz w:val="18"/>
                <w:szCs w:val="18"/>
              </w:rPr>
              <w:t xml:space="preserve"> hybrid model</w:t>
            </w:r>
            <w:r w:rsidR="42125E8F" w:rsidRPr="000D3B71">
              <w:rPr>
                <w:rFonts w:cs="Arial"/>
                <w:sz w:val="18"/>
                <w:szCs w:val="18"/>
              </w:rPr>
              <w:t>s</w:t>
            </w:r>
            <w:r w:rsidR="3347BEDE" w:rsidRPr="000D3B71">
              <w:rPr>
                <w:rFonts w:cs="Arial"/>
                <w:sz w:val="18"/>
                <w:szCs w:val="18"/>
              </w:rPr>
              <w:t xml:space="preserve"> of engagement</w:t>
            </w:r>
            <w:r w:rsidR="4D8EB5E1" w:rsidRPr="000D3B71">
              <w:rPr>
                <w:rFonts w:cs="Arial"/>
                <w:sz w:val="18"/>
                <w:szCs w:val="18"/>
              </w:rPr>
              <w:t xml:space="preserve">; </w:t>
            </w:r>
            <w:r w:rsidR="3347BEDE" w:rsidRPr="000D3B71">
              <w:rPr>
                <w:rFonts w:cs="Arial"/>
                <w:sz w:val="18"/>
                <w:szCs w:val="18"/>
              </w:rPr>
              <w:t>a mixture of face-to-face and online training and engagement activities</w:t>
            </w:r>
            <w:r w:rsidR="4D8EB5E1" w:rsidRPr="000D3B71">
              <w:rPr>
                <w:rFonts w:cs="Arial"/>
                <w:sz w:val="18"/>
                <w:szCs w:val="18"/>
              </w:rPr>
              <w:t xml:space="preserve"> to reduce costs while increasing the engagement period of the Australia Awards fellowship. </w:t>
            </w:r>
          </w:p>
          <w:p w14:paraId="5A98D933" w14:textId="436EDDF3" w:rsidR="4D8EB5E1" w:rsidRPr="000D3B71" w:rsidRDefault="4D8EB5E1" w:rsidP="000D3B71">
            <w:pPr>
              <w:spacing w:before="0" w:line="240" w:lineRule="exact"/>
              <w:ind w:left="270"/>
              <w:rPr>
                <w:rFonts w:cs="Arial"/>
                <w:sz w:val="18"/>
                <w:szCs w:val="18"/>
              </w:rPr>
            </w:pPr>
            <w:r w:rsidRPr="000D3B71">
              <w:rPr>
                <w:rFonts w:cs="Arial"/>
                <w:sz w:val="18"/>
                <w:szCs w:val="18"/>
              </w:rPr>
              <w:t>For example, following SPCCB’s 2015 fellowship</w:t>
            </w:r>
            <w:r w:rsidR="74B535AC" w:rsidRPr="000D3B71">
              <w:rPr>
                <w:rFonts w:cs="Arial"/>
                <w:sz w:val="18"/>
                <w:szCs w:val="18"/>
              </w:rPr>
              <w:t>,</w:t>
            </w:r>
            <w:r w:rsidRPr="000D3B71">
              <w:rPr>
                <w:rFonts w:cs="Arial"/>
                <w:sz w:val="18"/>
                <w:szCs w:val="18"/>
              </w:rPr>
              <w:t xml:space="preserve"> the research skills were directly applied by developing co-authored working papers. Embedding the previous post-fellowship activities such as Re-entry Action Plans (REAP) projects into the structure of the fellowship activities will allow for learning to be directly applied and supported on return to </w:t>
            </w:r>
            <w:r w:rsidR="00976684" w:rsidRPr="000D3B71">
              <w:rPr>
                <w:rFonts w:cs="Arial"/>
                <w:sz w:val="18"/>
                <w:szCs w:val="18"/>
              </w:rPr>
              <w:t xml:space="preserve">the </w:t>
            </w:r>
            <w:r w:rsidRPr="000D3B71">
              <w:rPr>
                <w:rFonts w:cs="Arial"/>
                <w:sz w:val="18"/>
                <w:szCs w:val="18"/>
              </w:rPr>
              <w:t>home country.</w:t>
            </w:r>
          </w:p>
        </w:tc>
      </w:tr>
      <w:tr w:rsidR="67CA915F" w:rsidRPr="000D3B71" w14:paraId="3B4FC011" w14:textId="77777777" w:rsidTr="000D3B71">
        <w:tc>
          <w:tcPr>
            <w:tcW w:w="2405" w:type="dxa"/>
            <w:shd w:val="clear" w:color="auto" w:fill="auto"/>
            <w:tcMar>
              <w:top w:w="108" w:type="dxa"/>
              <w:bottom w:w="108" w:type="dxa"/>
            </w:tcMar>
          </w:tcPr>
          <w:p w14:paraId="2DD02012" w14:textId="1AAE01F7" w:rsidR="67CA915F" w:rsidRPr="000D3B71" w:rsidRDefault="67CA915F" w:rsidP="000D3B71">
            <w:pPr>
              <w:pStyle w:val="BodyCopy"/>
              <w:spacing w:before="0" w:after="0" w:line="240" w:lineRule="exact"/>
              <w:rPr>
                <w:b/>
                <w:bCs/>
                <w:sz w:val="18"/>
                <w:szCs w:val="18"/>
              </w:rPr>
            </w:pPr>
            <w:r w:rsidRPr="000D3B71">
              <w:rPr>
                <w:b/>
                <w:bCs/>
                <w:sz w:val="18"/>
                <w:szCs w:val="18"/>
              </w:rPr>
              <w:t>Monitoring and Evaluation</w:t>
            </w:r>
          </w:p>
        </w:tc>
        <w:tc>
          <w:tcPr>
            <w:tcW w:w="6955" w:type="dxa"/>
            <w:shd w:val="clear" w:color="auto" w:fill="auto"/>
            <w:tcMar>
              <w:top w:w="108" w:type="dxa"/>
              <w:bottom w:w="108" w:type="dxa"/>
            </w:tcMar>
          </w:tcPr>
          <w:p w14:paraId="24098CA4" w14:textId="60854BE1" w:rsidR="00BD5928" w:rsidRPr="000D3B71" w:rsidRDefault="00BD5928" w:rsidP="00657E60">
            <w:pPr>
              <w:pStyle w:val="ListParagraph"/>
              <w:numPr>
                <w:ilvl w:val="0"/>
                <w:numId w:val="5"/>
              </w:numPr>
              <w:spacing w:before="0" w:after="120"/>
              <w:ind w:left="272" w:hanging="272"/>
              <w:rPr>
                <w:rFonts w:cs="Arial"/>
                <w:sz w:val="18"/>
                <w:szCs w:val="18"/>
              </w:rPr>
            </w:pPr>
            <w:r w:rsidRPr="000D3B71">
              <w:rPr>
                <w:rFonts w:eastAsia="Times New Roman" w:cs="Arial"/>
                <w:b/>
                <w:bCs/>
                <w:sz w:val="18"/>
                <w:szCs w:val="18"/>
                <w:lang w:eastAsia="en-AU"/>
              </w:rPr>
              <w:t xml:space="preserve">Incentivise strategic long-term partnering for further funding. </w:t>
            </w:r>
            <w:r w:rsidR="5D03DF2C" w:rsidRPr="000D3B71">
              <w:rPr>
                <w:rFonts w:cs="Arial"/>
                <w:sz w:val="18"/>
                <w:szCs w:val="18"/>
              </w:rPr>
              <w:t>A voluntary post-fellowship partnership and outcomes evaluation for eligibility for further Australia Awards fellowship funding could be introduced to incentivi</w:t>
            </w:r>
            <w:r w:rsidR="7562C3A6" w:rsidRPr="000D3B71">
              <w:rPr>
                <w:rFonts w:cs="Arial"/>
                <w:sz w:val="18"/>
                <w:szCs w:val="18"/>
              </w:rPr>
              <w:t>s</w:t>
            </w:r>
            <w:r w:rsidR="5D03DF2C" w:rsidRPr="000D3B71">
              <w:rPr>
                <w:rFonts w:cs="Arial"/>
                <w:sz w:val="18"/>
                <w:szCs w:val="18"/>
              </w:rPr>
              <w:t xml:space="preserve">e the strategic partnership building between host and partner organisations. </w:t>
            </w:r>
          </w:p>
          <w:p w14:paraId="7A4CAA10" w14:textId="08C61653" w:rsidR="5D03DF2C" w:rsidRPr="000D3B71" w:rsidRDefault="5D03DF2C" w:rsidP="000B2587">
            <w:pPr>
              <w:spacing w:before="0" w:after="120" w:line="240" w:lineRule="exact"/>
              <w:ind w:left="272"/>
              <w:rPr>
                <w:rFonts w:cs="Arial"/>
                <w:sz w:val="18"/>
                <w:szCs w:val="18"/>
              </w:rPr>
            </w:pPr>
            <w:r w:rsidRPr="000D3B71">
              <w:rPr>
                <w:rFonts w:cs="Arial"/>
                <w:sz w:val="18"/>
                <w:szCs w:val="18"/>
              </w:rPr>
              <w:t>This approach to be self-nominate</w:t>
            </w:r>
            <w:r w:rsidR="26058DB7" w:rsidRPr="000D3B71">
              <w:rPr>
                <w:rFonts w:cs="Arial"/>
                <w:sz w:val="18"/>
                <w:szCs w:val="18"/>
              </w:rPr>
              <w:t>d</w:t>
            </w:r>
            <w:r w:rsidRPr="000D3B71">
              <w:rPr>
                <w:rFonts w:cs="Arial"/>
                <w:sz w:val="18"/>
                <w:szCs w:val="18"/>
              </w:rPr>
              <w:t xml:space="preserve"> at 1 to 3 years post</w:t>
            </w:r>
            <w:r w:rsidR="00B62E47" w:rsidRPr="000D3B71">
              <w:rPr>
                <w:rFonts w:cs="Arial"/>
                <w:sz w:val="18"/>
                <w:szCs w:val="18"/>
              </w:rPr>
              <w:t xml:space="preserve"> </w:t>
            </w:r>
            <w:r w:rsidRPr="000D3B71">
              <w:rPr>
                <w:rFonts w:cs="Arial"/>
                <w:sz w:val="18"/>
                <w:szCs w:val="18"/>
              </w:rPr>
              <w:t>award for further funding</w:t>
            </w:r>
            <w:r w:rsidR="00E60CB0" w:rsidRPr="000D3B71">
              <w:rPr>
                <w:rFonts w:cs="Arial"/>
                <w:sz w:val="18"/>
                <w:szCs w:val="18"/>
              </w:rPr>
              <w:t xml:space="preserve"> which could</w:t>
            </w:r>
            <w:r w:rsidRPr="000D3B71">
              <w:rPr>
                <w:rFonts w:cs="Arial"/>
                <w:sz w:val="18"/>
                <w:szCs w:val="18"/>
              </w:rPr>
              <w:t xml:space="preserve"> enhance the longevity and impact of outcomes. A limit could be set for a maximum of three fellowship grants per partnership within 10 years to allow for time to demonstrate achievement of intermediate and long-term outcomes.</w:t>
            </w:r>
          </w:p>
          <w:p w14:paraId="607E192E" w14:textId="4942CDC4" w:rsidR="00BD5928" w:rsidRPr="000D3B71" w:rsidRDefault="00BD5928" w:rsidP="00657E60">
            <w:pPr>
              <w:pStyle w:val="ListParagraph"/>
              <w:numPr>
                <w:ilvl w:val="0"/>
                <w:numId w:val="5"/>
              </w:numPr>
              <w:spacing w:before="0"/>
              <w:ind w:left="270" w:hanging="270"/>
              <w:rPr>
                <w:rFonts w:cs="Arial"/>
                <w:sz w:val="18"/>
                <w:szCs w:val="18"/>
              </w:rPr>
            </w:pPr>
            <w:r w:rsidRPr="000D3B71">
              <w:rPr>
                <w:rFonts w:eastAsia="Times New Roman" w:cs="Arial"/>
                <w:b/>
                <w:bCs/>
                <w:sz w:val="18"/>
                <w:szCs w:val="18"/>
                <w:lang w:eastAsia="en-AU"/>
              </w:rPr>
              <w:t xml:space="preserve">Align fellowship outcomes to Global M&amp;E Framework. </w:t>
            </w:r>
            <w:r w:rsidR="5D03DF2C" w:rsidRPr="000D3B71">
              <w:rPr>
                <w:rFonts w:cs="Arial"/>
                <w:sz w:val="18"/>
                <w:szCs w:val="18"/>
              </w:rPr>
              <w:t xml:space="preserve">Monitoring and evaluation of Australia Awards fellowships should align with other Australia Awards short course awards in the </w:t>
            </w:r>
            <w:r w:rsidR="5D03DF2C" w:rsidRPr="000D3B71">
              <w:rPr>
                <w:rFonts w:cs="Arial"/>
                <w:i/>
                <w:iCs/>
                <w:sz w:val="18"/>
                <w:szCs w:val="18"/>
              </w:rPr>
              <w:t>Australia Awards Monitoring and Evaluation Framework</w:t>
            </w:r>
            <w:r w:rsidR="5D03DF2C" w:rsidRPr="000D3B71">
              <w:rPr>
                <w:rFonts w:cs="Arial"/>
                <w:sz w:val="18"/>
                <w:szCs w:val="18"/>
              </w:rPr>
              <w:t>. As outlined in the updated framework, a global system (like OASIS) bringing together data on short courses will also benefit the monitoring of fellowship partnerships. I</w:t>
            </w:r>
            <w:r w:rsidR="4D8EB5E1" w:rsidRPr="000D3B71">
              <w:rPr>
                <w:rFonts w:cs="Arial"/>
                <w:sz w:val="18"/>
                <w:szCs w:val="18"/>
              </w:rPr>
              <w:t xml:space="preserve">ndicators for outputs, intermediate and long-term outcomes should be developed and included in Global M&amp;E Framework. Tracking long-term outcomes (3 years +) of the program can be facilitated through the collection of GTF impact data – surveys, case studies, evaluations </w:t>
            </w:r>
            <w:r w:rsidR="59ECA7F6" w:rsidRPr="000D3B71">
              <w:rPr>
                <w:rFonts w:cs="Arial"/>
                <w:sz w:val="18"/>
                <w:szCs w:val="18"/>
              </w:rPr>
              <w:t>etc.</w:t>
            </w:r>
          </w:p>
        </w:tc>
      </w:tr>
      <w:tr w:rsidR="67CA915F" w:rsidRPr="000D3B71" w14:paraId="434315D0" w14:textId="77777777" w:rsidTr="000D3B71">
        <w:tc>
          <w:tcPr>
            <w:tcW w:w="2405" w:type="dxa"/>
            <w:shd w:val="clear" w:color="auto" w:fill="auto"/>
            <w:tcMar>
              <w:top w:w="108" w:type="dxa"/>
              <w:bottom w:w="108" w:type="dxa"/>
            </w:tcMar>
          </w:tcPr>
          <w:p w14:paraId="2D5AD2C0" w14:textId="691A4A36" w:rsidR="67CA915F" w:rsidRPr="000D3B71" w:rsidRDefault="67CA915F" w:rsidP="000D3B71">
            <w:pPr>
              <w:pStyle w:val="BodyCopy"/>
              <w:spacing w:before="0" w:after="0" w:line="240" w:lineRule="exact"/>
              <w:rPr>
                <w:b/>
                <w:bCs/>
                <w:sz w:val="18"/>
                <w:szCs w:val="18"/>
              </w:rPr>
            </w:pPr>
            <w:r w:rsidRPr="000D3B71">
              <w:rPr>
                <w:b/>
                <w:bCs/>
                <w:sz w:val="18"/>
                <w:szCs w:val="18"/>
              </w:rPr>
              <w:t>Alumni/ Partnership engagement</w:t>
            </w:r>
          </w:p>
        </w:tc>
        <w:tc>
          <w:tcPr>
            <w:tcW w:w="6955" w:type="dxa"/>
            <w:shd w:val="clear" w:color="auto" w:fill="auto"/>
            <w:tcMar>
              <w:top w:w="108" w:type="dxa"/>
              <w:bottom w:w="108" w:type="dxa"/>
            </w:tcMar>
          </w:tcPr>
          <w:p w14:paraId="6FD49C36" w14:textId="784373E6" w:rsidR="000971EF" w:rsidRPr="000D3B71" w:rsidRDefault="000971EF" w:rsidP="00657E60">
            <w:pPr>
              <w:pStyle w:val="ListParagraph"/>
              <w:numPr>
                <w:ilvl w:val="0"/>
                <w:numId w:val="5"/>
              </w:numPr>
              <w:spacing w:before="0" w:after="120"/>
              <w:ind w:left="270" w:hanging="270"/>
              <w:rPr>
                <w:rFonts w:cs="Arial"/>
                <w:sz w:val="18"/>
                <w:szCs w:val="18"/>
              </w:rPr>
            </w:pPr>
            <w:r w:rsidRPr="000D3B71">
              <w:rPr>
                <w:rFonts w:eastAsia="Times New Roman" w:cs="Arial"/>
                <w:b/>
                <w:bCs/>
                <w:sz w:val="18"/>
                <w:szCs w:val="18"/>
                <w:lang w:eastAsia="en-AU"/>
              </w:rPr>
              <w:t>E</w:t>
            </w:r>
            <w:r w:rsidR="00BD5928" w:rsidRPr="000D3B71">
              <w:rPr>
                <w:rFonts w:eastAsia="Times New Roman" w:cs="Arial"/>
                <w:b/>
                <w:bCs/>
                <w:sz w:val="18"/>
                <w:szCs w:val="18"/>
                <w:lang w:eastAsia="en-AU"/>
              </w:rPr>
              <w:t xml:space="preserve">ngage with host and partners post award. </w:t>
            </w:r>
            <w:r w:rsidR="5D03DF2C" w:rsidRPr="000D3B71">
              <w:rPr>
                <w:rFonts w:cs="Arial"/>
                <w:sz w:val="18"/>
                <w:szCs w:val="18"/>
              </w:rPr>
              <w:t>The focus of Australia Awards fellowships includes both alumni and partner organisations as key change</w:t>
            </w:r>
            <w:r w:rsidR="4BCD9317" w:rsidRPr="000D3B71">
              <w:rPr>
                <w:rFonts w:cs="Arial"/>
                <w:sz w:val="18"/>
                <w:szCs w:val="18"/>
              </w:rPr>
              <w:t xml:space="preserve"> </w:t>
            </w:r>
            <w:r w:rsidR="5D03DF2C" w:rsidRPr="000D3B71">
              <w:rPr>
                <w:rFonts w:cs="Arial"/>
                <w:sz w:val="18"/>
                <w:szCs w:val="18"/>
              </w:rPr>
              <w:t>makers to engage with post</w:t>
            </w:r>
            <w:r w:rsidR="00AB4E28" w:rsidRPr="000D3B71">
              <w:rPr>
                <w:rFonts w:cs="Arial"/>
                <w:sz w:val="18"/>
                <w:szCs w:val="18"/>
              </w:rPr>
              <w:t xml:space="preserve"> </w:t>
            </w:r>
            <w:r w:rsidR="5D03DF2C" w:rsidRPr="000D3B71">
              <w:rPr>
                <w:rFonts w:cs="Arial"/>
                <w:sz w:val="18"/>
                <w:szCs w:val="18"/>
              </w:rPr>
              <w:t>award to strengthen long-term outcomes and ongoing bilateral engagement. The partnerships themselves which have been invested in are visible demonstrations of linkages between Australia and partner countries supported by DFAT. As such, Australia Awards and DFAT post-award engagement should include both fellowship alumni and the liaising representatives from the partner organisations. Both DFAT, and host and partner organisations should include the following funding and engagement elements into the fellowship lifecycle:</w:t>
            </w:r>
          </w:p>
          <w:p w14:paraId="0861B707" w14:textId="39CE3B65" w:rsidR="3347BEDE" w:rsidRPr="000D3B71" w:rsidRDefault="3347BEDE" w:rsidP="000B2587">
            <w:pPr>
              <w:pStyle w:val="BodyCopy"/>
              <w:spacing w:before="0" w:line="240" w:lineRule="exact"/>
              <w:rPr>
                <w:b/>
                <w:bCs/>
                <w:sz w:val="18"/>
                <w:szCs w:val="18"/>
              </w:rPr>
            </w:pPr>
            <w:r w:rsidRPr="000D3B71">
              <w:rPr>
                <w:sz w:val="18"/>
                <w:szCs w:val="18"/>
              </w:rPr>
              <w:lastRenderedPageBreak/>
              <w:t>DFAT funding</w:t>
            </w:r>
            <w:r w:rsidR="48A8BC72" w:rsidRPr="000D3B71">
              <w:rPr>
                <w:sz w:val="18"/>
                <w:szCs w:val="18"/>
              </w:rPr>
              <w:t xml:space="preserve"> and engagement</w:t>
            </w:r>
            <w:r w:rsidRPr="000D3B71">
              <w:rPr>
                <w:sz w:val="18"/>
                <w:szCs w:val="18"/>
              </w:rPr>
              <w:t>:</w:t>
            </w:r>
          </w:p>
          <w:p w14:paraId="40E4609A" w14:textId="299C9130" w:rsidR="4D8EB5E1" w:rsidRPr="000D3B71" w:rsidRDefault="4D8EB5E1" w:rsidP="004A79CA">
            <w:pPr>
              <w:pStyle w:val="BodyCopy"/>
              <w:numPr>
                <w:ilvl w:val="0"/>
                <w:numId w:val="4"/>
              </w:numPr>
              <w:spacing w:before="0" w:line="240" w:lineRule="exact"/>
              <w:ind w:left="465"/>
              <w:rPr>
                <w:sz w:val="18"/>
                <w:szCs w:val="18"/>
              </w:rPr>
            </w:pPr>
            <w:r w:rsidRPr="000D3B71">
              <w:rPr>
                <w:sz w:val="18"/>
                <w:szCs w:val="18"/>
              </w:rPr>
              <w:t>Posts should include the partnership organisations where relevant into existing engagement activities and forums, and support developing linkages with other development partners working in the relevant field to support broadening the partnerships networks and cohesion across the aid program;</w:t>
            </w:r>
          </w:p>
          <w:p w14:paraId="08D197E4" w14:textId="06A13F12" w:rsidR="4D8EB5E1" w:rsidRPr="000D3B71" w:rsidRDefault="4D8EB5E1" w:rsidP="004A79CA">
            <w:pPr>
              <w:pStyle w:val="BodyCopy"/>
              <w:numPr>
                <w:ilvl w:val="0"/>
                <w:numId w:val="4"/>
              </w:numPr>
              <w:spacing w:before="0" w:line="240" w:lineRule="exact"/>
              <w:ind w:left="465"/>
              <w:rPr>
                <w:sz w:val="18"/>
                <w:szCs w:val="18"/>
              </w:rPr>
            </w:pPr>
            <w:r w:rsidRPr="000D3B71">
              <w:rPr>
                <w:sz w:val="18"/>
                <w:szCs w:val="18"/>
              </w:rPr>
              <w:t>co-funded grants (DFAT, host and partner organisations)</w:t>
            </w:r>
            <w:r w:rsidR="5D03DF2C" w:rsidRPr="000D3B71">
              <w:rPr>
                <w:sz w:val="18"/>
                <w:szCs w:val="18"/>
              </w:rPr>
              <w:t xml:space="preserve"> </w:t>
            </w:r>
            <w:r w:rsidRPr="000D3B71">
              <w:rPr>
                <w:sz w:val="18"/>
                <w:szCs w:val="18"/>
              </w:rPr>
              <w:t>for partnership extension activities, such as jointly hosted conferences or forums should be considered.</w:t>
            </w:r>
          </w:p>
          <w:p w14:paraId="08812BAD" w14:textId="5B04EA26" w:rsidR="3347BEDE" w:rsidRPr="000D3B71" w:rsidRDefault="3347BEDE" w:rsidP="000B2587">
            <w:pPr>
              <w:pStyle w:val="BodyCopy"/>
              <w:spacing w:before="0" w:line="240" w:lineRule="exact"/>
              <w:rPr>
                <w:b/>
                <w:bCs/>
                <w:sz w:val="18"/>
                <w:szCs w:val="18"/>
              </w:rPr>
            </w:pPr>
            <w:r w:rsidRPr="000D3B71">
              <w:rPr>
                <w:sz w:val="18"/>
                <w:szCs w:val="18"/>
              </w:rPr>
              <w:t xml:space="preserve">Host and </w:t>
            </w:r>
            <w:r w:rsidR="4D8EB5E1" w:rsidRPr="000D3B71">
              <w:rPr>
                <w:sz w:val="18"/>
                <w:szCs w:val="18"/>
              </w:rPr>
              <w:t>partner organisation/s</w:t>
            </w:r>
            <w:r w:rsidRPr="000D3B71">
              <w:rPr>
                <w:sz w:val="18"/>
                <w:szCs w:val="18"/>
              </w:rPr>
              <w:t xml:space="preserve"> funding</w:t>
            </w:r>
            <w:r w:rsidR="48A8BC72" w:rsidRPr="000D3B71">
              <w:rPr>
                <w:sz w:val="18"/>
                <w:szCs w:val="18"/>
              </w:rPr>
              <w:t xml:space="preserve"> and engagement</w:t>
            </w:r>
            <w:r w:rsidRPr="000D3B71">
              <w:rPr>
                <w:sz w:val="18"/>
                <w:szCs w:val="18"/>
              </w:rPr>
              <w:t>:</w:t>
            </w:r>
          </w:p>
          <w:p w14:paraId="263BFEBA" w14:textId="03CB7767" w:rsidR="4D8EB5E1" w:rsidRPr="000D3B71" w:rsidRDefault="4D8EB5E1" w:rsidP="004A79CA">
            <w:pPr>
              <w:pStyle w:val="BodyCopy"/>
              <w:numPr>
                <w:ilvl w:val="0"/>
                <w:numId w:val="4"/>
              </w:numPr>
              <w:spacing w:before="0" w:line="240" w:lineRule="exact"/>
              <w:ind w:left="465"/>
              <w:rPr>
                <w:b/>
                <w:bCs/>
                <w:sz w:val="18"/>
                <w:szCs w:val="18"/>
              </w:rPr>
            </w:pPr>
            <w:r w:rsidRPr="000D3B71">
              <w:rPr>
                <w:sz w:val="18"/>
                <w:szCs w:val="18"/>
              </w:rPr>
              <w:t>ensure sufficient time</w:t>
            </w:r>
            <w:r w:rsidR="3347BEDE" w:rsidRPr="000D3B71">
              <w:rPr>
                <w:sz w:val="18"/>
                <w:szCs w:val="18"/>
              </w:rPr>
              <w:t xml:space="preserve"> allocation and resources for staff to sustain relationships with </w:t>
            </w:r>
            <w:r w:rsidRPr="000D3B71">
              <w:rPr>
                <w:sz w:val="18"/>
                <w:szCs w:val="18"/>
              </w:rPr>
              <w:t>partners;</w:t>
            </w:r>
          </w:p>
          <w:p w14:paraId="79193B30" w14:textId="061FB931" w:rsidR="4D8EB5E1" w:rsidRPr="000D3B71" w:rsidRDefault="4D8EB5E1" w:rsidP="004A79CA">
            <w:pPr>
              <w:pStyle w:val="BodyCopy"/>
              <w:numPr>
                <w:ilvl w:val="0"/>
                <w:numId w:val="4"/>
              </w:numPr>
              <w:spacing w:before="0" w:line="240" w:lineRule="exact"/>
              <w:ind w:left="465"/>
              <w:rPr>
                <w:sz w:val="18"/>
                <w:szCs w:val="18"/>
              </w:rPr>
            </w:pPr>
            <w:r w:rsidRPr="000D3B71">
              <w:rPr>
                <w:sz w:val="18"/>
                <w:szCs w:val="18"/>
              </w:rPr>
              <w:t>encourage and support research</w:t>
            </w:r>
            <w:r w:rsidR="3347BEDE" w:rsidRPr="000D3B71">
              <w:rPr>
                <w:sz w:val="18"/>
                <w:szCs w:val="18"/>
              </w:rPr>
              <w:t xml:space="preserve"> collaboration</w:t>
            </w:r>
            <w:r w:rsidRPr="000D3B71">
              <w:rPr>
                <w:sz w:val="18"/>
                <w:szCs w:val="18"/>
              </w:rPr>
              <w:t xml:space="preserve">, </w:t>
            </w:r>
            <w:r w:rsidR="3347BEDE" w:rsidRPr="000D3B71">
              <w:rPr>
                <w:sz w:val="18"/>
                <w:szCs w:val="18"/>
              </w:rPr>
              <w:t>co-authored academic publications, conference participation</w:t>
            </w:r>
            <w:r w:rsidRPr="000D3B71">
              <w:rPr>
                <w:sz w:val="18"/>
                <w:szCs w:val="18"/>
              </w:rPr>
              <w:t>,</w:t>
            </w:r>
            <w:r w:rsidR="3347BEDE" w:rsidRPr="000D3B71">
              <w:rPr>
                <w:sz w:val="18"/>
                <w:szCs w:val="18"/>
              </w:rPr>
              <w:t xml:space="preserve"> cross</w:t>
            </w:r>
            <w:r w:rsidRPr="000D3B71">
              <w:rPr>
                <w:sz w:val="18"/>
                <w:szCs w:val="18"/>
              </w:rPr>
              <w:t>-</w:t>
            </w:r>
            <w:r w:rsidR="3347BEDE" w:rsidRPr="000D3B71">
              <w:rPr>
                <w:sz w:val="18"/>
                <w:szCs w:val="18"/>
              </w:rPr>
              <w:t xml:space="preserve">institutional staff </w:t>
            </w:r>
            <w:r w:rsidRPr="000D3B71">
              <w:rPr>
                <w:sz w:val="18"/>
                <w:szCs w:val="18"/>
              </w:rPr>
              <w:t>exchanges and workshops to ensure capacity development outcomes</w:t>
            </w:r>
            <w:r w:rsidR="3347BEDE" w:rsidRPr="000D3B71">
              <w:rPr>
                <w:sz w:val="18"/>
                <w:szCs w:val="18"/>
              </w:rPr>
              <w:t xml:space="preserve"> and </w:t>
            </w:r>
            <w:r w:rsidRPr="000D3B71">
              <w:rPr>
                <w:sz w:val="18"/>
                <w:szCs w:val="18"/>
              </w:rPr>
              <w:t>sharing of knowledge;</w:t>
            </w:r>
          </w:p>
          <w:p w14:paraId="1E80E90F" w14:textId="7BDAD7BC" w:rsidR="043BE682" w:rsidRPr="000D3B71" w:rsidRDefault="043BE682" w:rsidP="004A79CA">
            <w:pPr>
              <w:pStyle w:val="BodyCopy"/>
              <w:numPr>
                <w:ilvl w:val="0"/>
                <w:numId w:val="4"/>
              </w:numPr>
              <w:spacing w:before="0" w:line="240" w:lineRule="exact"/>
              <w:ind w:left="465"/>
              <w:rPr>
                <w:sz w:val="18"/>
                <w:szCs w:val="18"/>
              </w:rPr>
            </w:pPr>
            <w:r w:rsidRPr="000D3B71">
              <w:rPr>
                <w:sz w:val="18"/>
                <w:szCs w:val="18"/>
              </w:rPr>
              <w:t xml:space="preserve">embed partnerships into institutional frameworks through </w:t>
            </w:r>
            <w:r w:rsidR="0009028C" w:rsidRPr="000D3B71">
              <w:rPr>
                <w:sz w:val="18"/>
                <w:szCs w:val="18"/>
              </w:rPr>
              <w:t>MO</w:t>
            </w:r>
            <w:r w:rsidRPr="000D3B71">
              <w:rPr>
                <w:sz w:val="18"/>
                <w:szCs w:val="18"/>
              </w:rPr>
              <w:t>Us, including agreements for PhD and Masters opportunities at the host organisation for suitable candidates from the partner organisations (if applicable);</w:t>
            </w:r>
          </w:p>
          <w:p w14:paraId="7C94F3C2" w14:textId="3A003870" w:rsidR="4D8EB5E1" w:rsidRPr="000D3B71" w:rsidRDefault="4D8EB5E1" w:rsidP="004A79CA">
            <w:pPr>
              <w:pStyle w:val="BodyCopy"/>
              <w:numPr>
                <w:ilvl w:val="0"/>
                <w:numId w:val="4"/>
              </w:numPr>
              <w:spacing w:before="0" w:after="0" w:line="240" w:lineRule="exact"/>
              <w:ind w:left="465"/>
              <w:rPr>
                <w:sz w:val="18"/>
                <w:szCs w:val="18"/>
              </w:rPr>
            </w:pPr>
            <w:r w:rsidRPr="000D3B71">
              <w:rPr>
                <w:sz w:val="18"/>
                <w:szCs w:val="18"/>
              </w:rPr>
              <w:t xml:space="preserve">engage in </w:t>
            </w:r>
            <w:r w:rsidR="3347BEDE" w:rsidRPr="000D3B71">
              <w:rPr>
                <w:sz w:val="18"/>
                <w:szCs w:val="18"/>
              </w:rPr>
              <w:t xml:space="preserve">New Colombo Plan (NCP) placement opportunities </w:t>
            </w:r>
            <w:r w:rsidRPr="000D3B71">
              <w:rPr>
                <w:sz w:val="18"/>
                <w:szCs w:val="18"/>
              </w:rPr>
              <w:t>with partner</w:t>
            </w:r>
            <w:r w:rsidR="3347BEDE" w:rsidRPr="000D3B71">
              <w:rPr>
                <w:sz w:val="18"/>
                <w:szCs w:val="18"/>
              </w:rPr>
              <w:t xml:space="preserve"> organisation/s</w:t>
            </w:r>
            <w:r w:rsidRPr="000D3B71">
              <w:rPr>
                <w:sz w:val="18"/>
                <w:szCs w:val="18"/>
              </w:rPr>
              <w:t xml:space="preserve"> to deepen the two-way exchange of knowledge sharing.</w:t>
            </w:r>
          </w:p>
        </w:tc>
      </w:tr>
    </w:tbl>
    <w:p w14:paraId="034F404C" w14:textId="6C80957E" w:rsidR="4BCAB437" w:rsidRPr="00CB40AA" w:rsidRDefault="259CED9F">
      <w:r>
        <w:lastRenderedPageBreak/>
        <w:br w:type="page"/>
      </w:r>
    </w:p>
    <w:p w14:paraId="2ACD23AB" w14:textId="5D17A881" w:rsidR="00F34520" w:rsidRPr="00CB40AA" w:rsidRDefault="2A5749F1" w:rsidP="005464BA">
      <w:pPr>
        <w:pStyle w:val="Heading1"/>
      </w:pPr>
      <w:bookmarkStart w:id="52" w:name="_Toc103348743"/>
      <w:r>
        <w:lastRenderedPageBreak/>
        <w:t>References</w:t>
      </w:r>
      <w:bookmarkEnd w:id="52"/>
    </w:p>
    <w:p w14:paraId="4F65468C" w14:textId="20122897" w:rsidR="129E54B2" w:rsidRPr="00CB40AA" w:rsidRDefault="37301494" w:rsidP="007C083C">
      <w:pPr>
        <w:pStyle w:val="BodyCopy"/>
      </w:pPr>
      <w:r>
        <w:t>Allen, F., Demirguc-Kunt, A., Klapper, L., Peria, M.S.M. (2012). T</w:t>
      </w:r>
      <w:r w:rsidRPr="78CB1CC1">
        <w:rPr>
          <w:i/>
          <w:iCs/>
        </w:rPr>
        <w:t>he Foundations of Financial Inclusion: Understanding Ownership and Use of Formal Accounts</w:t>
      </w:r>
      <w:r>
        <w:t xml:space="preserve">. Policy Research Working Paper; No. 6290. World Bank, Washington, DC. </w:t>
      </w:r>
      <w:hyperlink r:id="rId32">
        <w:r w:rsidRPr="78CB1CC1">
          <w:rPr>
            <w:rStyle w:val="Hyperlink"/>
          </w:rPr>
          <w:t>https://openknowledge.worldbank.org/handle/10986/12203</w:t>
        </w:r>
      </w:hyperlink>
      <w:r>
        <w:t xml:space="preserve"> </w:t>
      </w:r>
    </w:p>
    <w:p w14:paraId="3B99658E" w14:textId="58180255" w:rsidR="005059B7" w:rsidRDefault="00B22123" w:rsidP="007C083C">
      <w:pPr>
        <w:pStyle w:val="BodyCopy"/>
      </w:pPr>
      <w:r>
        <w:t xml:space="preserve">Banco Central De Timor-Leste. (2022). </w:t>
      </w:r>
      <w:r w:rsidRPr="00B22123">
        <w:rPr>
          <w:i/>
        </w:rPr>
        <w:t>About BCTL Institution</w:t>
      </w:r>
      <w:r>
        <w:t>.</w:t>
      </w:r>
      <w:r w:rsidRPr="00B22123">
        <w:t xml:space="preserve"> </w:t>
      </w:r>
      <w:r>
        <w:t>[Webpage].</w:t>
      </w:r>
      <w:r w:rsidRPr="00B22123">
        <w:t xml:space="preserve"> </w:t>
      </w:r>
      <w:hyperlink r:id="rId33" w:history="1">
        <w:r w:rsidR="005059B7" w:rsidRPr="00501651">
          <w:rPr>
            <w:rStyle w:val="Hyperlink"/>
          </w:rPr>
          <w:t>https://www.bancocentral.tl/en/go/institution</w:t>
        </w:r>
      </w:hyperlink>
    </w:p>
    <w:p w14:paraId="61BC1CA6" w14:textId="7D0407B2" w:rsidR="00E60CB0" w:rsidRPr="006D4170" w:rsidRDefault="006D4170" w:rsidP="007C083C">
      <w:pPr>
        <w:pStyle w:val="BodyCopy"/>
      </w:pPr>
      <w:r>
        <w:t>Bank of Papua New Guinea. (2022</w:t>
      </w:r>
      <w:r w:rsidR="2D9AC56A" w:rsidRPr="00CB40AA">
        <w:t>).</w:t>
      </w:r>
      <w:r w:rsidR="129E54B2" w:rsidRPr="00CB40AA">
        <w:rPr>
          <w:i/>
          <w:iCs/>
        </w:rPr>
        <w:t xml:space="preserve"> </w:t>
      </w:r>
      <w:r>
        <w:rPr>
          <w:i/>
          <w:iCs/>
        </w:rPr>
        <w:t xml:space="preserve">Mission &amp; Vision. </w:t>
      </w:r>
      <w:r>
        <w:rPr>
          <w:iCs/>
        </w:rPr>
        <w:t xml:space="preserve">Bank of Papua New Guinea. </w:t>
      </w:r>
      <w:r>
        <w:t>[Webpage].</w:t>
      </w:r>
      <w:r w:rsidRPr="006D4170">
        <w:t xml:space="preserve"> https://www.bankpng.gov.pg/about-us/4897-2/</w:t>
      </w:r>
    </w:p>
    <w:p w14:paraId="0E56CD47" w14:textId="45C6F828" w:rsidR="00EF068A" w:rsidRPr="00CB40AA" w:rsidRDefault="47FAB55B" w:rsidP="007C083C">
      <w:pPr>
        <w:pStyle w:val="BodyCopy"/>
        <w:rPr>
          <w:rStyle w:val="Hyperlink"/>
        </w:rPr>
      </w:pPr>
      <w:r>
        <w:t xml:space="preserve">Central Bank of Solomon Islands. (2022). </w:t>
      </w:r>
      <w:r w:rsidRPr="78CB1CC1">
        <w:rPr>
          <w:i/>
          <w:iCs/>
        </w:rPr>
        <w:t>CBSI History—Central Bank of Solomon Islands</w:t>
      </w:r>
      <w:r>
        <w:t xml:space="preserve">. Central Bank of Solomon Islands. [Webpage]. </w:t>
      </w:r>
      <w:hyperlink r:id="rId34">
        <w:r w:rsidRPr="78CB1CC1">
          <w:rPr>
            <w:rStyle w:val="Hyperlink"/>
          </w:rPr>
          <w:t>https://www.cbsi.com.sb/about-us/cbsi-history/</w:t>
        </w:r>
      </w:hyperlink>
    </w:p>
    <w:p w14:paraId="330DC5EE" w14:textId="5204529D" w:rsidR="00EF068A" w:rsidRPr="00CB40AA" w:rsidRDefault="2D9AC56A" w:rsidP="007C083C">
      <w:pPr>
        <w:pStyle w:val="BodyCopy"/>
      </w:pPr>
      <w:r w:rsidRPr="00CB40AA">
        <w:t xml:space="preserve">Central Bank of Solomon Islands. (2021). </w:t>
      </w:r>
      <w:r w:rsidRPr="00CB40AA">
        <w:rPr>
          <w:i/>
          <w:iCs/>
        </w:rPr>
        <w:t>Solomon-Islands-National-Financial-Inclusion-Strategy3-1.pdf</w:t>
      </w:r>
      <w:r w:rsidRPr="00CB40AA">
        <w:t xml:space="preserve">. Central Bank of Solomon Islands. [Strategy]. </w:t>
      </w:r>
      <w:hyperlink r:id="rId35">
        <w:r w:rsidRPr="00CB40AA">
          <w:rPr>
            <w:rStyle w:val="Hyperlink"/>
          </w:rPr>
          <w:t>https://www.cbsi.com.sb/wp-content/uploads</w:t>
        </w:r>
        <w:r w:rsidR="00EF068A" w:rsidRPr="00CB40AA">
          <w:br/>
        </w:r>
        <w:r w:rsidRPr="00CB40AA">
          <w:rPr>
            <w:rStyle w:val="Hyperlink"/>
          </w:rPr>
          <w:t>/2021/04/Solomon-Islands-National-Financial-Inclusion-Strategy3-1.pdf</w:t>
        </w:r>
      </w:hyperlink>
    </w:p>
    <w:p w14:paraId="6C9B3F1B" w14:textId="2F234A4D" w:rsidR="2D9AC56A" w:rsidRPr="00CB40AA" w:rsidRDefault="47FAB55B" w:rsidP="007C083C">
      <w:pPr>
        <w:pStyle w:val="BodyCopy"/>
      </w:pPr>
      <w:r>
        <w:t xml:space="preserve">Central Bank of Solomon Islands. (n.d.). </w:t>
      </w:r>
      <w:r w:rsidRPr="78CB1CC1">
        <w:rPr>
          <w:i/>
          <w:iCs/>
        </w:rPr>
        <w:t xml:space="preserve">National Financial Inclusion Strategy 2021-2025. </w:t>
      </w:r>
      <w:r>
        <w:t>Central Bank of Solomon Islands. [Strategy].</w:t>
      </w:r>
      <w:r w:rsidRPr="78CB1CC1">
        <w:rPr>
          <w:i/>
          <w:iCs/>
        </w:rPr>
        <w:t xml:space="preserve"> </w:t>
      </w:r>
      <w:hyperlink r:id="rId36">
        <w:r w:rsidRPr="78CB1CC1">
          <w:rPr>
            <w:rStyle w:val="Hyperlink"/>
          </w:rPr>
          <w:t>https://www.cbsi.com.sb/financial-inclusion/financial-inclusion-vision-goal-roles/</w:t>
        </w:r>
      </w:hyperlink>
    </w:p>
    <w:p w14:paraId="68F5EF23" w14:textId="0958E13D" w:rsidR="00EF068A" w:rsidRDefault="2D9AC56A" w:rsidP="007C083C">
      <w:pPr>
        <w:pStyle w:val="BodyCopy"/>
        <w:rPr>
          <w:rStyle w:val="Hyperlink"/>
        </w:rPr>
      </w:pPr>
      <w:r w:rsidRPr="00CB40AA">
        <w:t xml:space="preserve">Demirguc-Kunt, A., &amp; Klapper, L. (2012). </w:t>
      </w:r>
      <w:r w:rsidRPr="00CB40AA">
        <w:rPr>
          <w:i/>
          <w:iCs/>
        </w:rPr>
        <w:t>Measuring Financial Inclusion: The Global Findex Database</w:t>
      </w:r>
      <w:r w:rsidRPr="00CB40AA">
        <w:t xml:space="preserve">. World Bank Group. </w:t>
      </w:r>
      <w:hyperlink r:id="rId37">
        <w:r w:rsidRPr="00CB40AA">
          <w:rPr>
            <w:rStyle w:val="Hyperlink"/>
          </w:rPr>
          <w:t>https://doi.org/10.1596/1813-9450-6025</w:t>
        </w:r>
      </w:hyperlink>
    </w:p>
    <w:p w14:paraId="6DD3011B" w14:textId="36ABED5D" w:rsidR="00EF068A" w:rsidRPr="00CB40AA" w:rsidRDefault="2DC9FE6F" w:rsidP="007C083C">
      <w:pPr>
        <w:pStyle w:val="BodyCopy"/>
        <w:rPr>
          <w:rStyle w:val="Hyperlink"/>
        </w:rPr>
      </w:pPr>
      <w:r>
        <w:t>D</w:t>
      </w:r>
      <w:r w:rsidR="00251C12">
        <w:t>FAT. (2021</w:t>
      </w:r>
      <w:r>
        <w:t xml:space="preserve">). </w:t>
      </w:r>
      <w:r w:rsidRPr="592691C4">
        <w:rPr>
          <w:i/>
          <w:iCs/>
        </w:rPr>
        <w:t>Australia Awards Global Strategy: Investing in the next generation of glo</w:t>
      </w:r>
      <w:r w:rsidR="742E5425" w:rsidRPr="592691C4">
        <w:rPr>
          <w:i/>
          <w:iCs/>
        </w:rPr>
        <w:t>bal leaders for development 2021–2024</w:t>
      </w:r>
      <w:r>
        <w:t>. Australian Department of Foreign Affairs and Trade</w:t>
      </w:r>
      <w:r w:rsidR="14742A51">
        <w:t xml:space="preserve">. </w:t>
      </w:r>
      <w:r w:rsidR="00273BB5">
        <w:t xml:space="preserve">[Webpage]. </w:t>
      </w:r>
      <w:hyperlink r:id="rId38" w:history="1">
        <w:r w:rsidR="00273BB5" w:rsidRPr="001F0CF1">
          <w:rPr>
            <w:rStyle w:val="Hyperlink"/>
          </w:rPr>
          <w:t>https://www.dfat.gov.au/about-us/publications/australia-awards-global-strategic-framework-and-monitoring-and-evaluation-framework</w:t>
        </w:r>
      </w:hyperlink>
    </w:p>
    <w:p w14:paraId="52DE5FCB" w14:textId="6540E85F" w:rsidR="00EF068A" w:rsidRPr="00CB40AA" w:rsidRDefault="00251C12" w:rsidP="007C083C">
      <w:pPr>
        <w:pStyle w:val="BodyCopy"/>
        <w:rPr>
          <w:rStyle w:val="Hyperlink"/>
        </w:rPr>
      </w:pPr>
      <w:r>
        <w:t>DFAT. (2022a</w:t>
      </w:r>
      <w:r w:rsidR="522DBC4C">
        <w:t xml:space="preserve">). </w:t>
      </w:r>
      <w:r w:rsidR="522DBC4C" w:rsidRPr="592691C4">
        <w:rPr>
          <w:i/>
          <w:iCs/>
        </w:rPr>
        <w:t>Australia Awards Global Monitoring and Evaluation Framework.</w:t>
      </w:r>
      <w:r w:rsidR="522DBC4C">
        <w:t xml:space="preserve"> Department of Foreign Affairs and Trade.</w:t>
      </w:r>
      <w:r w:rsidR="00273BB5">
        <w:t>[Webpage].</w:t>
      </w:r>
      <w:r w:rsidR="522DBC4C">
        <w:t xml:space="preserve"> </w:t>
      </w:r>
      <w:hyperlink r:id="rId39" w:history="1">
        <w:r w:rsidR="00273BB5" w:rsidRPr="001F0CF1">
          <w:rPr>
            <w:rStyle w:val="Hyperlink"/>
          </w:rPr>
          <w:t>https://www.dfat.gov.au/about-us/publications/australia-awards-global-strategic-framework-and-monitoring-and-evaluation-framework</w:t>
        </w:r>
      </w:hyperlink>
    </w:p>
    <w:p w14:paraId="380DD9AB" w14:textId="6675C366" w:rsidR="00EF068A" w:rsidRPr="00CB40AA" w:rsidRDefault="00251C12" w:rsidP="007C083C">
      <w:pPr>
        <w:pStyle w:val="BodyCopy"/>
      </w:pPr>
      <w:r>
        <w:t>DFAT. (2022b</w:t>
      </w:r>
      <w:r w:rsidR="522DBC4C">
        <w:t xml:space="preserve">). </w:t>
      </w:r>
      <w:r w:rsidR="522DBC4C" w:rsidRPr="592691C4">
        <w:rPr>
          <w:i/>
          <w:iCs/>
        </w:rPr>
        <w:t xml:space="preserve">Economic prosperity in the Pacific. </w:t>
      </w:r>
      <w:r w:rsidR="522DBC4C">
        <w:t xml:space="preserve">Australian Department of Foreign Affairs and Trade. [Webpage]. </w:t>
      </w:r>
      <w:hyperlink r:id="rId40">
        <w:r w:rsidR="522DBC4C" w:rsidRPr="592691C4">
          <w:rPr>
            <w:rStyle w:val="Hyperlink"/>
          </w:rPr>
          <w:t>https://www.dfat.gov.au/geo/pacific/economic-prosperity-in-the-pacific</w:t>
        </w:r>
      </w:hyperlink>
    </w:p>
    <w:p w14:paraId="066456AE" w14:textId="6D9BBFD7" w:rsidR="00EF068A" w:rsidRPr="00CB40AA" w:rsidRDefault="2D9AC56A" w:rsidP="007C083C">
      <w:pPr>
        <w:pStyle w:val="BodyCopy"/>
      </w:pPr>
      <w:r w:rsidRPr="00CB40AA">
        <w:t>Forau, L. (2020). Capacity building and central banking in the Pacific</w:t>
      </w:r>
      <w:r w:rsidRPr="00CB40AA">
        <w:rPr>
          <w:i/>
          <w:iCs/>
        </w:rPr>
        <w:t>.</w:t>
      </w:r>
      <w:r w:rsidRPr="00CB40AA">
        <w:t xml:space="preserve"> </w:t>
      </w:r>
      <w:r w:rsidRPr="00CB40AA">
        <w:rPr>
          <w:i/>
          <w:iCs/>
        </w:rPr>
        <w:t xml:space="preserve">Griffith Asia Insights. </w:t>
      </w:r>
      <w:r w:rsidRPr="00CB40AA">
        <w:t xml:space="preserve">29 May, 2020. Griffith University. [Blog]. </w:t>
      </w:r>
      <w:hyperlink r:id="rId41">
        <w:r w:rsidRPr="00CB40AA">
          <w:rPr>
            <w:rStyle w:val="Hyperlink"/>
          </w:rPr>
          <w:t>https://blogs.griffith.edu.au/asiainsights/capacity-building-and-central-banking-in-the-pacific</w:t>
        </w:r>
      </w:hyperlink>
    </w:p>
    <w:p w14:paraId="6C670E71" w14:textId="6A35FF5F" w:rsidR="2D9AC56A" w:rsidRPr="00CB40AA" w:rsidRDefault="2D9AC56A" w:rsidP="007C083C">
      <w:pPr>
        <w:pStyle w:val="BodyCopy"/>
      </w:pPr>
      <w:r w:rsidRPr="00CB40AA">
        <w:t xml:space="preserve">Griffith Asia Insights. (2015). ‘Griffith moves RBF relationship forward’. </w:t>
      </w:r>
      <w:r w:rsidRPr="00CB40AA">
        <w:rPr>
          <w:i/>
          <w:iCs/>
        </w:rPr>
        <w:t>Griffith Asia Insights</w:t>
      </w:r>
      <w:r w:rsidRPr="00CB40AA">
        <w:t xml:space="preserve">. 2 June, 2015. Griffith University. [Blog]. </w:t>
      </w:r>
      <w:hyperlink r:id="rId42">
        <w:r w:rsidRPr="00CB40AA">
          <w:rPr>
            <w:rStyle w:val="Hyperlink"/>
          </w:rPr>
          <w:t>https://blogs.griffith.edu.au/asiainsights/griffith-moves-rbf-relationship-forward/</w:t>
        </w:r>
      </w:hyperlink>
    </w:p>
    <w:p w14:paraId="24709E1F" w14:textId="7B6375FD" w:rsidR="129E54B2" w:rsidRPr="00CB40AA" w:rsidRDefault="129E54B2" w:rsidP="007C083C">
      <w:pPr>
        <w:pStyle w:val="BodyCopy"/>
      </w:pPr>
      <w:r w:rsidRPr="00CB40AA">
        <w:t>Griffith News. (2016a). ‘</w:t>
      </w:r>
      <w:r w:rsidR="2D9AC56A" w:rsidRPr="00CB40AA">
        <w:t xml:space="preserve">Central bank symposium a first for Griffith’. </w:t>
      </w:r>
      <w:r w:rsidR="2D9AC56A" w:rsidRPr="00CB40AA">
        <w:rPr>
          <w:i/>
          <w:iCs/>
        </w:rPr>
        <w:t>Griffith News</w:t>
      </w:r>
      <w:r w:rsidR="2D9AC56A" w:rsidRPr="00CB40AA">
        <w:t xml:space="preserve">. 23 May, 2016. Griffith University. [News] </w:t>
      </w:r>
      <w:hyperlink r:id="rId43">
        <w:r w:rsidR="2D9AC56A" w:rsidRPr="00CB40AA">
          <w:rPr>
            <w:rStyle w:val="Hyperlink"/>
          </w:rPr>
          <w:t>https://news.griffith.edu.au/2016/05/23/central-bank-symposium-a-first-for-griffith/</w:t>
        </w:r>
      </w:hyperlink>
    </w:p>
    <w:p w14:paraId="4C0E8A87" w14:textId="21859E58" w:rsidR="2D9AC56A" w:rsidRPr="00CB40AA" w:rsidRDefault="2D9AC56A" w:rsidP="007C083C">
      <w:pPr>
        <w:pStyle w:val="BodyCopy"/>
      </w:pPr>
      <w:r w:rsidRPr="00CB40AA">
        <w:t>Griffith News (2016b). ‘Griffith facilitates vital research capacity for South Pacific central banks’</w:t>
      </w:r>
      <w:r w:rsidRPr="00CB40AA">
        <w:rPr>
          <w:i/>
          <w:iCs/>
        </w:rPr>
        <w:t>. Griffith News</w:t>
      </w:r>
      <w:r w:rsidRPr="00CB40AA">
        <w:t xml:space="preserve">. 14 June, 2016. Griffith University. [News]. </w:t>
      </w:r>
      <w:hyperlink r:id="rId44">
        <w:r w:rsidRPr="00CB40AA">
          <w:rPr>
            <w:rStyle w:val="Hyperlink"/>
          </w:rPr>
          <w:t>https://news.griffith.edu.au/2016/06/14/griffith-facilitates-vital-research-capacity-for-south-pacific-central-banks/</w:t>
        </w:r>
      </w:hyperlink>
    </w:p>
    <w:p w14:paraId="3395E11C" w14:textId="36202081" w:rsidR="2D9AC56A" w:rsidRPr="00CB40AA" w:rsidRDefault="2D9AC56A" w:rsidP="007C083C">
      <w:pPr>
        <w:pStyle w:val="BodyCopy"/>
      </w:pPr>
      <w:r w:rsidRPr="00CB40AA">
        <w:t xml:space="preserve">Griffith News. (2018). ‘Australian foreign policy shift aligns with central banks capacity building program in the South Pacific’. </w:t>
      </w:r>
      <w:r w:rsidRPr="00CB40AA">
        <w:rPr>
          <w:i/>
          <w:iCs/>
        </w:rPr>
        <w:t>Griffith News</w:t>
      </w:r>
      <w:r w:rsidRPr="00CB40AA">
        <w:t xml:space="preserve">. 14 November, 2018. Griffith University. [News]. </w:t>
      </w:r>
      <w:hyperlink r:id="rId45">
        <w:r w:rsidRPr="00CB40AA">
          <w:rPr>
            <w:rStyle w:val="Hyperlink"/>
          </w:rPr>
          <w:t>https://news.</w:t>
        </w:r>
        <w:r w:rsidRPr="00CB40AA">
          <w:br/>
        </w:r>
        <w:r w:rsidRPr="00CB40AA">
          <w:rPr>
            <w:rStyle w:val="Hyperlink"/>
          </w:rPr>
          <w:lastRenderedPageBreak/>
          <w:t>griffith.edu.au/2018/11/14/australian-foreign-policy-shift-aligns-with-central-banks-capacity-building-program-in-the-south-pacific/</w:t>
        </w:r>
      </w:hyperlink>
    </w:p>
    <w:p w14:paraId="449F5C33" w14:textId="1BCB62E0" w:rsidR="2D9AC56A" w:rsidRPr="00CB40AA" w:rsidRDefault="2D9AC56A" w:rsidP="007C083C">
      <w:pPr>
        <w:pStyle w:val="BodyCopy"/>
      </w:pPr>
      <w:r>
        <w:t>Griffith News. (2019). ‘When research meets policy: Second South Pacific conference kicks off in Vila!’.</w:t>
      </w:r>
      <w:r w:rsidRPr="67CA915F">
        <w:rPr>
          <w:i/>
          <w:iCs/>
        </w:rPr>
        <w:t xml:space="preserve"> Griffith News</w:t>
      </w:r>
      <w:r>
        <w:t xml:space="preserve">. 14 November, 2019. Griffith University. [News].  </w:t>
      </w:r>
      <w:hyperlink r:id="rId46">
        <w:r w:rsidRPr="67CA915F">
          <w:rPr>
            <w:rStyle w:val="Hyperlink"/>
          </w:rPr>
          <w:t>https://news.griffith.edu.au/2019/11</w:t>
        </w:r>
        <w:r>
          <w:br/>
        </w:r>
        <w:r w:rsidRPr="67CA915F">
          <w:rPr>
            <w:rStyle w:val="Hyperlink"/>
          </w:rPr>
          <w:t>/14/when-research-meets-policy-second-south-pacific-conference-kicks-off-in-vila/</w:t>
        </w:r>
      </w:hyperlink>
    </w:p>
    <w:p w14:paraId="0624C2B4" w14:textId="73DAD7B6" w:rsidR="67CA915F" w:rsidRDefault="67CA915F" w:rsidP="007C083C">
      <w:pPr>
        <w:pStyle w:val="BodyCopy"/>
      </w:pPr>
      <w:r>
        <w:t xml:space="preserve">Griffith News. (2020). ‘Griffith signs PhD MoU with South Pacific central banks!’. </w:t>
      </w:r>
      <w:r w:rsidRPr="67CA915F">
        <w:rPr>
          <w:i/>
          <w:iCs/>
        </w:rPr>
        <w:t xml:space="preserve">Griffith News. </w:t>
      </w:r>
      <w:r w:rsidRPr="67CA915F">
        <w:t xml:space="preserve">21 January, 2020. Griffith University. [News]. </w:t>
      </w:r>
      <w:hyperlink r:id="rId47">
        <w:r w:rsidRPr="67CA915F">
          <w:rPr>
            <w:rStyle w:val="Hyperlink"/>
          </w:rPr>
          <w:t>https://news.griffith.edu.au/2020/01/21/griffith-signs-phd-mou-with-south-pacific-central-banks</w:t>
        </w:r>
      </w:hyperlink>
      <w:r w:rsidRPr="67CA915F">
        <w:t xml:space="preserve">. </w:t>
      </w:r>
    </w:p>
    <w:p w14:paraId="2D625019" w14:textId="387FDB75" w:rsidR="2D9AC56A" w:rsidRPr="00CB40AA" w:rsidRDefault="2D9AC56A" w:rsidP="007C083C">
      <w:pPr>
        <w:pStyle w:val="BodyCopy"/>
        <w:rPr>
          <w:rStyle w:val="Hyperlink"/>
        </w:rPr>
      </w:pPr>
      <w:r w:rsidRPr="00CB40AA">
        <w:t xml:space="preserve">Griffith University. (2018a). </w:t>
      </w:r>
      <w:r w:rsidRPr="00CB40AA">
        <w:rPr>
          <w:i/>
          <w:iCs/>
        </w:rPr>
        <w:t>Griffith University Internationalisation Strategy 2018-2020</w:t>
      </w:r>
      <w:r w:rsidRPr="00CB40AA">
        <w:t>.</w:t>
      </w:r>
      <w:r w:rsidR="129E54B2" w:rsidRPr="00CB40AA">
        <w:t xml:space="preserve"> </w:t>
      </w:r>
      <w:r w:rsidRPr="00CB40AA">
        <w:t xml:space="preserve">Griffith University. [Strategy].  </w:t>
      </w:r>
      <w:hyperlink r:id="rId48">
        <w:r w:rsidRPr="00CB40AA">
          <w:rPr>
            <w:rStyle w:val="Hyperlink"/>
          </w:rPr>
          <w:t>https://www.griffith.edu.au/__data/assets/pdf_file/0038/169877/gu-internationalisation-strategy.pdf</w:t>
        </w:r>
      </w:hyperlink>
    </w:p>
    <w:p w14:paraId="7FFBC260" w14:textId="17BD5A58" w:rsidR="2D9AC56A" w:rsidRPr="00CB40AA" w:rsidRDefault="2D9AC56A" w:rsidP="007C083C">
      <w:pPr>
        <w:pStyle w:val="BodyCopy"/>
      </w:pPr>
      <w:r w:rsidRPr="00CB40AA">
        <w:t xml:space="preserve">Griffith University. (2018b). </w:t>
      </w:r>
      <w:r w:rsidRPr="00CB40AA">
        <w:rPr>
          <w:i/>
          <w:iCs/>
        </w:rPr>
        <w:t>Griffith Asia Institute Strategy 2018-2021</w:t>
      </w:r>
      <w:r w:rsidRPr="00CB40AA">
        <w:t xml:space="preserve">. Griffith University. [Strategy]. </w:t>
      </w:r>
      <w:hyperlink r:id="rId49">
        <w:r w:rsidRPr="00CB40AA">
          <w:rPr>
            <w:rStyle w:val="Hyperlink"/>
          </w:rPr>
          <w:t>https://www.griffith.edu.au/__data/assets/pdf_file/0015/611331/GAI-Strategy-2018-2021-web.pdf</w:t>
        </w:r>
      </w:hyperlink>
    </w:p>
    <w:p w14:paraId="4D345811" w14:textId="3D2E83E1" w:rsidR="00EF068A" w:rsidRPr="00CB40AA" w:rsidRDefault="2D9AC56A" w:rsidP="007C083C">
      <w:pPr>
        <w:pStyle w:val="BodyCopy"/>
      </w:pPr>
      <w:r w:rsidRPr="00CB40AA">
        <w:t xml:space="preserve">Griffith University. (2019). </w:t>
      </w:r>
      <w:r w:rsidRPr="00CB40AA">
        <w:rPr>
          <w:i/>
          <w:iCs/>
        </w:rPr>
        <w:t>Creating a future for all Strategic Plan 2020-2025</w:t>
      </w:r>
      <w:r w:rsidRPr="00CB40AA">
        <w:t xml:space="preserve">. Griffith University. [Strategy]. </w:t>
      </w:r>
      <w:hyperlink r:id="rId50">
        <w:r w:rsidRPr="00CB40AA">
          <w:rPr>
            <w:rStyle w:val="Hyperlink"/>
          </w:rPr>
          <w:t>https://www.griffith.edu.au/__data/assets/pdf_file/0037/932698/Strategic-Plan-2020-2025.pdf</w:t>
        </w:r>
      </w:hyperlink>
    </w:p>
    <w:p w14:paraId="29C6F1AF" w14:textId="54121E93" w:rsidR="00FC0032" w:rsidRPr="00CB40AA" w:rsidRDefault="2D9AC56A" w:rsidP="007C083C">
      <w:pPr>
        <w:pStyle w:val="BodyCopy"/>
      </w:pPr>
      <w:r w:rsidRPr="00CB40AA">
        <w:t xml:space="preserve">Griffith University (2022a). </w:t>
      </w:r>
      <w:r w:rsidRPr="00CB40AA">
        <w:rPr>
          <w:i/>
          <w:iCs/>
        </w:rPr>
        <w:t>Griffith Asia Institute</w:t>
      </w:r>
      <w:r w:rsidRPr="00CB40AA">
        <w:t xml:space="preserve">. Griffith University. [Webpage].  </w:t>
      </w:r>
      <w:hyperlink r:id="rId51" w:history="1">
        <w:r w:rsidR="00FC0032" w:rsidRPr="00905E94">
          <w:rPr>
            <w:rStyle w:val="Hyperlink"/>
          </w:rPr>
          <w:t>https://www.griffith.edu.au/asia-institute/our-institute</w:t>
        </w:r>
      </w:hyperlink>
      <w:r w:rsidR="00FC0032">
        <w:t xml:space="preserve"> </w:t>
      </w:r>
    </w:p>
    <w:p w14:paraId="6EBE113B" w14:textId="63D689C8" w:rsidR="2F1F6A09" w:rsidRDefault="2F1F6A09" w:rsidP="007C083C">
      <w:pPr>
        <w:pStyle w:val="BodyCopy"/>
      </w:pPr>
      <w:r>
        <w:t xml:space="preserve">Griffith University (2022b). </w:t>
      </w:r>
      <w:r w:rsidRPr="2F1F6A09">
        <w:rPr>
          <w:i/>
          <w:iCs/>
        </w:rPr>
        <w:t xml:space="preserve">Griffith Asia institute: Our Research. </w:t>
      </w:r>
      <w:r w:rsidRPr="2F1F6A09">
        <w:t xml:space="preserve">Griffith University. [Webpage]. </w:t>
      </w:r>
      <w:hyperlink r:id="rId52">
        <w:r w:rsidRPr="2F1F6A09">
          <w:rPr>
            <w:rStyle w:val="Hyperlink"/>
          </w:rPr>
          <w:t>https://griffith.edu.au/asia-institute/our-research</w:t>
        </w:r>
      </w:hyperlink>
      <w:r w:rsidRPr="2F1F6A09">
        <w:t xml:space="preserve">. </w:t>
      </w:r>
    </w:p>
    <w:p w14:paraId="200610DB" w14:textId="2BF834CA" w:rsidR="2D9AC56A" w:rsidRDefault="2D9AC56A" w:rsidP="007C083C">
      <w:pPr>
        <w:pStyle w:val="BodyCopy"/>
        <w:rPr>
          <w:rStyle w:val="Hyperlink"/>
        </w:rPr>
      </w:pPr>
      <w:r w:rsidRPr="00CB40AA">
        <w:t xml:space="preserve">Griffith University. (2022c). </w:t>
      </w:r>
      <w:r w:rsidRPr="00CB40AA">
        <w:rPr>
          <w:i/>
          <w:iCs/>
        </w:rPr>
        <w:t>South Pacific Centre for Central Banking</w:t>
      </w:r>
      <w:r w:rsidRPr="00CB40AA">
        <w:t xml:space="preserve">. Griffith University. [Webpage]. </w:t>
      </w:r>
      <w:hyperlink r:id="rId53">
        <w:r w:rsidRPr="00CB40AA">
          <w:rPr>
            <w:rStyle w:val="Hyperlink"/>
          </w:rPr>
          <w:t>https://www.griffith.edu.au/asia-institute/our-research/south-pacific-centre-central-banking</w:t>
        </w:r>
      </w:hyperlink>
    </w:p>
    <w:p w14:paraId="2150FB2F" w14:textId="210CAB99" w:rsidR="003E5C49" w:rsidRPr="00CB40AA" w:rsidRDefault="003E5C49" w:rsidP="007C083C">
      <w:pPr>
        <w:pStyle w:val="BodyCopy"/>
      </w:pPr>
      <w:r>
        <w:t xml:space="preserve">Griffith University (2022d). </w:t>
      </w:r>
      <w:r w:rsidRPr="003E5C49">
        <w:rPr>
          <w:i/>
        </w:rPr>
        <w:t>SPCCB Research and Publications.</w:t>
      </w:r>
      <w:r>
        <w:t xml:space="preserve"> Griffith University. </w:t>
      </w:r>
      <w:r w:rsidRPr="00CB40AA">
        <w:t>[Webpage].</w:t>
      </w:r>
      <w:r w:rsidRPr="003E5C49">
        <w:t xml:space="preserve"> </w:t>
      </w:r>
      <w:hyperlink r:id="rId54" w:history="1">
        <w:r w:rsidRPr="00C018CC">
          <w:rPr>
            <w:rStyle w:val="Hyperlink"/>
          </w:rPr>
          <w:t>https://www.griffith.edu.au/asia-institute/our-research/south-pacific-centre-central-banking/working-papers</w:t>
        </w:r>
      </w:hyperlink>
      <w:r>
        <w:t xml:space="preserve"> </w:t>
      </w:r>
    </w:p>
    <w:p w14:paraId="5E8D56A1" w14:textId="77A8EA50" w:rsidR="00106017" w:rsidRPr="00106017" w:rsidRDefault="2D9AC56A" w:rsidP="007C083C">
      <w:pPr>
        <w:pStyle w:val="BodyCopy"/>
        <w:rPr>
          <w:color w:val="0563C1" w:themeColor="hyperlink"/>
          <w:u w:val="single"/>
        </w:rPr>
      </w:pPr>
      <w:r w:rsidRPr="00CB40AA">
        <w:t xml:space="preserve">Hill, C. (2020). ‘Griffith and ADB host forum on Pacific Island COVID-19 impacts’. </w:t>
      </w:r>
      <w:r w:rsidRPr="00CB40AA">
        <w:rPr>
          <w:i/>
          <w:iCs/>
        </w:rPr>
        <w:t>Griffith News</w:t>
      </w:r>
      <w:r w:rsidRPr="00CB40AA">
        <w:t xml:space="preserve">. November 5, 2020. Griffith University. [News] </w:t>
      </w:r>
      <w:hyperlink r:id="rId55">
        <w:r w:rsidRPr="00CB40AA">
          <w:rPr>
            <w:rStyle w:val="Hyperlink"/>
          </w:rPr>
          <w:t>https://news.griffith.edu.au/2020/11/05/griffith-and-adb-host-forum-on-pacific-island-covid-19-impacts/</w:t>
        </w:r>
      </w:hyperlink>
    </w:p>
    <w:p w14:paraId="33D22085" w14:textId="3BA764B5" w:rsidR="00106017" w:rsidRDefault="00553537" w:rsidP="007C083C">
      <w:pPr>
        <w:pStyle w:val="BodyCopy"/>
      </w:pPr>
      <w:r>
        <w:t>J</w:t>
      </w:r>
      <w:r w:rsidR="2D9AC56A" w:rsidRPr="00CB40AA">
        <w:t xml:space="preserve">ayawardena, N. S., Boe, J., Rohoia, A. B., &amp; Sharma, P. (2020). </w:t>
      </w:r>
      <w:r w:rsidR="2D9AC56A">
        <w:t>Effective marketing strategies for promoting SMEs in Pacific Island Countries: A systematic literature review (2000-2020)</w:t>
      </w:r>
      <w:r w:rsidR="2D9AC56A" w:rsidRPr="00CB40AA">
        <w:t xml:space="preserve">. 37. Griffith University. </w:t>
      </w:r>
      <w:hyperlink r:id="rId56">
        <w:r w:rsidR="2D9AC56A" w:rsidRPr="00CB40AA">
          <w:rPr>
            <w:rStyle w:val="Hyperlink"/>
          </w:rPr>
          <w:t>https://www.griffith.edu.au/__data/assets/pdf_file/0017/1215314/JPRWP18-web.pdf</w:t>
        </w:r>
      </w:hyperlink>
      <w:r w:rsidR="2D9AC56A">
        <w:t xml:space="preserve"> </w:t>
      </w:r>
    </w:p>
    <w:p w14:paraId="1A6EAD8D" w14:textId="50CCED29" w:rsidR="00EF068A" w:rsidRPr="00CB40AA" w:rsidRDefault="2D9AC56A" w:rsidP="007C083C">
      <w:pPr>
        <w:pStyle w:val="BodyCopy"/>
      </w:pPr>
      <w:r w:rsidRPr="00CB40AA">
        <w:t xml:space="preserve">Klingebiel, D., Herrero Montes, C. M., Ruiz, M., &amp; Seward, J. (2021). </w:t>
      </w:r>
      <w:r w:rsidRPr="00CB40AA">
        <w:rPr>
          <w:i/>
          <w:iCs/>
        </w:rPr>
        <w:t>Central Bank Governance and Reserve Portfolios Investment Policies: An Empirical Analysis</w:t>
      </w:r>
      <w:r w:rsidRPr="00CB40AA">
        <w:t xml:space="preserve">. </w:t>
      </w:r>
      <w:r w:rsidR="129E54B2" w:rsidRPr="00CB40AA">
        <w:t xml:space="preserve">Policy Research Working Paper. No. 9763. World Bank, Washington, DC. </w:t>
      </w:r>
      <w:hyperlink r:id="rId57">
        <w:r w:rsidRPr="00CB40AA">
          <w:rPr>
            <w:rStyle w:val="Hyperlink"/>
          </w:rPr>
          <w:t>https://openknowledge.worldbank.org/handle/10986/36228</w:t>
        </w:r>
      </w:hyperlink>
    </w:p>
    <w:p w14:paraId="2304B51E" w14:textId="0D02731D" w:rsidR="00EF068A" w:rsidRPr="00CB40AA" w:rsidRDefault="2D9AC56A" w:rsidP="007C083C">
      <w:pPr>
        <w:pStyle w:val="BodyCopy"/>
      </w:pPr>
      <w:r w:rsidRPr="00CB40AA">
        <w:t xml:space="preserve">Knox, M. (2017). ‘Griffith University teams up with South Pacific central banks in ongoing research agreement’. </w:t>
      </w:r>
      <w:r w:rsidRPr="00CB40AA">
        <w:rPr>
          <w:i/>
          <w:iCs/>
        </w:rPr>
        <w:t>Griffith News</w:t>
      </w:r>
      <w:r w:rsidRPr="00CB40AA">
        <w:t xml:space="preserve">. November 28, 2017. Griffith University. [News]. </w:t>
      </w:r>
      <w:hyperlink r:id="rId58">
        <w:r w:rsidRPr="00CB40AA">
          <w:rPr>
            <w:rStyle w:val="Hyperlink"/>
          </w:rPr>
          <w:t>https://news.griffith.</w:t>
        </w:r>
        <w:r w:rsidR="00EF068A" w:rsidRPr="00CB40AA">
          <w:br/>
        </w:r>
        <w:r w:rsidRPr="00CB40AA">
          <w:rPr>
            <w:rStyle w:val="Hyperlink"/>
          </w:rPr>
          <w:t>edu.au/2017/11/28/griffith-university-teams-up-with-south-pacific-central-banks-in-ongoing-research-agreement/</w:t>
        </w:r>
      </w:hyperlink>
    </w:p>
    <w:p w14:paraId="38F7C1F7" w14:textId="438178C8" w:rsidR="2F1F6A09" w:rsidRDefault="2F1F6A09" w:rsidP="007C083C">
      <w:pPr>
        <w:pStyle w:val="BodyCopy"/>
      </w:pPr>
      <w:r w:rsidRPr="2F1F6A09">
        <w:t xml:space="preserve">Mawer, M. (2018). Magnitudes of Impact: A Three-Level Review of Evidence from Scholarship Evaluation. DOI:10.1007/978-3-319-62734-2_13. </w:t>
      </w:r>
    </w:p>
    <w:p w14:paraId="05860899" w14:textId="3812B0A0" w:rsidR="00EF068A" w:rsidRPr="00CB40AA" w:rsidRDefault="2D9AC56A" w:rsidP="007C083C">
      <w:pPr>
        <w:pStyle w:val="BodyCopy"/>
      </w:pPr>
      <w:r w:rsidRPr="00CB40AA">
        <w:t xml:space="preserve">Miller, T. (2018). ‘Building Capacity with Central Banks – Research based policy formulation program—Business School Research’. </w:t>
      </w:r>
      <w:r w:rsidRPr="00CB40AA">
        <w:rPr>
          <w:i/>
          <w:iCs/>
        </w:rPr>
        <w:t>Griffith Business School Research</w:t>
      </w:r>
      <w:r w:rsidRPr="00CB40AA">
        <w:t xml:space="preserve">. 29 June, 2018. Griffith University. [Blog]. </w:t>
      </w:r>
      <w:hyperlink r:id="rId59">
        <w:r w:rsidRPr="00CB40AA">
          <w:rPr>
            <w:rStyle w:val="Hyperlink"/>
          </w:rPr>
          <w:t>https://blogs.griffith.edu.au/business-school-research/department/accounting-finance-economics</w:t>
        </w:r>
        <w:r w:rsidR="00EF068A" w:rsidRPr="00CB40AA">
          <w:br/>
        </w:r>
        <w:r w:rsidRPr="00CB40AA">
          <w:rPr>
            <w:rStyle w:val="Hyperlink"/>
          </w:rPr>
          <w:t>/2018/06/29/building-capacity-with-central-banks-research-based-policy-formulation-program/</w:t>
        </w:r>
      </w:hyperlink>
    </w:p>
    <w:p w14:paraId="185E4E3B" w14:textId="0E67BD05" w:rsidR="2D9AC56A" w:rsidRPr="00CB40AA" w:rsidRDefault="2D9AC56A" w:rsidP="007C083C">
      <w:pPr>
        <w:pStyle w:val="BodyCopy"/>
      </w:pPr>
      <w:r w:rsidRPr="00CB40AA">
        <w:lastRenderedPageBreak/>
        <w:t xml:space="preserve">Moli, C. A., Siri, G., &amp; Samsul, A., Sharma, P. (2020). </w:t>
      </w:r>
      <w:r w:rsidR="129E54B2" w:rsidRPr="00CB40AA">
        <w:t>‘Outreach, depth, efficiency and stability: Vanuatu on a global scale’. G</w:t>
      </w:r>
      <w:r w:rsidR="129E54B2" w:rsidRPr="00CB40AA">
        <w:rPr>
          <w:i/>
          <w:iCs/>
        </w:rPr>
        <w:t xml:space="preserve">riffith University–South Pacific Central Banks Joint Policy Research Working Paper Series. </w:t>
      </w:r>
      <w:r w:rsidR="129E54B2" w:rsidRPr="00CB40AA">
        <w:t xml:space="preserve">No. 13, 2020. Griffith University. </w:t>
      </w:r>
      <w:hyperlink r:id="rId60">
        <w:r w:rsidRPr="00CB40AA">
          <w:rPr>
            <w:rStyle w:val="Hyperlink"/>
          </w:rPr>
          <w:t>https://www.griffith.edu.au/__data/assets/pdf_file/0010/1023301/</w:t>
        </w:r>
        <w:r w:rsidRPr="00CB40AA">
          <w:br/>
        </w:r>
        <w:r w:rsidRPr="00CB40AA">
          <w:rPr>
            <w:rStyle w:val="Hyperlink"/>
          </w:rPr>
          <w:t>JPRWP13-web.pdf</w:t>
        </w:r>
      </w:hyperlink>
    </w:p>
    <w:p w14:paraId="02047C2D" w14:textId="14861FA3" w:rsidR="00EF068A" w:rsidRPr="00CB40AA" w:rsidRDefault="2D9AC56A" w:rsidP="007C083C">
      <w:pPr>
        <w:pStyle w:val="BodyCopy"/>
      </w:pPr>
      <w:r w:rsidRPr="00CB40AA">
        <w:t>Moriarty, J. (2018). ‘Joint Griffith University – Reserve Bank of Fiji research seminar</w:t>
      </w:r>
      <w:r w:rsidRPr="00CB40AA">
        <w:rPr>
          <w:i/>
          <w:iCs/>
        </w:rPr>
        <w:t>’</w:t>
      </w:r>
      <w:r w:rsidRPr="00CB40AA">
        <w:t xml:space="preserve">. </w:t>
      </w:r>
      <w:r w:rsidRPr="00CB40AA">
        <w:rPr>
          <w:i/>
          <w:iCs/>
        </w:rPr>
        <w:t xml:space="preserve">Griffith Asia Insights. </w:t>
      </w:r>
      <w:r w:rsidRPr="00CB40AA">
        <w:t xml:space="preserve">June 27, 2018. Griffith University. [Blog]. </w:t>
      </w:r>
      <w:hyperlink r:id="rId61">
        <w:r w:rsidRPr="00CB40AA">
          <w:rPr>
            <w:rStyle w:val="Hyperlink"/>
          </w:rPr>
          <w:t>https://blogs.griffith.edu.au/asiainsights/joint-griffith-university-reserve-bank-of-fiji-research-seminar/</w:t>
        </w:r>
      </w:hyperlink>
    </w:p>
    <w:p w14:paraId="3A761776" w14:textId="597DAA3B" w:rsidR="00EF068A" w:rsidRPr="00CB40AA" w:rsidRDefault="2D9AC56A" w:rsidP="007C083C">
      <w:pPr>
        <w:pStyle w:val="BodyCopy"/>
      </w:pPr>
      <w:r w:rsidRPr="00CB40AA">
        <w:t xml:space="preserve">Orr, A. (2021,). </w:t>
      </w:r>
      <w:r w:rsidRPr="00CB40AA">
        <w:rPr>
          <w:i/>
          <w:iCs/>
        </w:rPr>
        <w:t>Keeping the bank door open for Pacific peoples—Reserve Bank of New Zealand</w:t>
      </w:r>
      <w:r w:rsidRPr="00CB40AA">
        <w:t xml:space="preserve">. Reserve Bank of New Zealand. April 27, 2021. [News]. </w:t>
      </w:r>
      <w:hyperlink r:id="rId62">
        <w:r w:rsidRPr="00CB40AA">
          <w:rPr>
            <w:rStyle w:val="Hyperlink"/>
          </w:rPr>
          <w:t>https://www.rbnz.govt.nz/news/2021/04/keeping-the-bank-door-open-for-pacific-peoples</w:t>
        </w:r>
      </w:hyperlink>
    </w:p>
    <w:p w14:paraId="6D4A4181" w14:textId="2681D8F5" w:rsidR="0005389A" w:rsidRDefault="009569D6" w:rsidP="007C083C">
      <w:pPr>
        <w:pStyle w:val="BodyCopy"/>
      </w:pPr>
      <w:r>
        <w:t xml:space="preserve">Pacific Island Forum Secretariat. (2020). </w:t>
      </w:r>
      <w:r w:rsidRPr="009569D6">
        <w:rPr>
          <w:i/>
        </w:rPr>
        <w:t>The 2020 Biennial Pacific Sustainable Development Repo</w:t>
      </w:r>
      <w:r w:rsidR="0005389A">
        <w:rPr>
          <w:i/>
        </w:rPr>
        <w:t>r</w:t>
      </w:r>
      <w:r w:rsidRPr="009569D6">
        <w:rPr>
          <w:i/>
        </w:rPr>
        <w:t>t</w:t>
      </w:r>
      <w:r>
        <w:t>.</w:t>
      </w:r>
      <w:r w:rsidR="0005389A">
        <w:t xml:space="preserve"> [Report]. </w:t>
      </w:r>
      <w:r w:rsidR="0005389A" w:rsidRPr="0005389A">
        <w:t>https://www.forumsec.org/wp-content/uploads/2020/12/2020-Biennial-Pacific-Sustainable-Development-Report.pdf</w:t>
      </w:r>
    </w:p>
    <w:p w14:paraId="03DE4F28" w14:textId="2B27FC63" w:rsidR="2D9AC56A" w:rsidRPr="00CB40AA" w:rsidRDefault="2D9AC56A" w:rsidP="007C083C">
      <w:pPr>
        <w:pStyle w:val="BodyCopy"/>
      </w:pPr>
      <w:r w:rsidRPr="00CB40AA">
        <w:t xml:space="preserve">Reserve Bank of Fiji. (2018). </w:t>
      </w:r>
      <w:r w:rsidRPr="00CB40AA">
        <w:rPr>
          <w:i/>
          <w:iCs/>
        </w:rPr>
        <w:t xml:space="preserve">Press Release No 11—RBF Griffith Joint Seminar Series. </w:t>
      </w:r>
      <w:r w:rsidRPr="00CB40AA">
        <w:t>Reserve Bank of Fiji. [Press release].</w:t>
      </w:r>
      <w:r w:rsidRPr="00CB40AA">
        <w:rPr>
          <w:i/>
          <w:iCs/>
        </w:rPr>
        <w:t xml:space="preserve"> </w:t>
      </w:r>
      <w:hyperlink r:id="rId63">
        <w:r w:rsidRPr="00CB40AA">
          <w:rPr>
            <w:rStyle w:val="Hyperlink"/>
          </w:rPr>
          <w:t>https://www.rbf.gov.fj/rbf-griffith-university-seminar-series/</w:t>
        </w:r>
      </w:hyperlink>
    </w:p>
    <w:p w14:paraId="51382B9E" w14:textId="10A5BFC0" w:rsidR="2D9AC56A" w:rsidRPr="00CB40AA" w:rsidRDefault="2D9AC56A" w:rsidP="007C083C">
      <w:pPr>
        <w:pStyle w:val="BodyCopy"/>
      </w:pPr>
      <w:r w:rsidRPr="00CB40AA">
        <w:t>Reserve Bank of Fiji.</w:t>
      </w:r>
      <w:r w:rsidR="129E54B2" w:rsidRPr="00CB40AA">
        <w:rPr>
          <w:i/>
          <w:iCs/>
        </w:rPr>
        <w:t xml:space="preserve"> </w:t>
      </w:r>
      <w:r w:rsidR="129E54B2" w:rsidRPr="00CB40AA">
        <w:t xml:space="preserve">(2019). </w:t>
      </w:r>
      <w:r w:rsidRPr="00CB40AA">
        <w:rPr>
          <w:i/>
          <w:iCs/>
        </w:rPr>
        <w:t>Reserve Bank of Fiji Strategic Plan: August 2019–July 2024, Rising Above the Bar of Expectations</w:t>
      </w:r>
      <w:r w:rsidRPr="00CB40AA">
        <w:t xml:space="preserve">.  Reserve Bank of Fiji. [Strategy]. </w:t>
      </w:r>
      <w:hyperlink r:id="rId64">
        <w:r w:rsidRPr="00CB40AA">
          <w:rPr>
            <w:rStyle w:val="Hyperlink"/>
          </w:rPr>
          <w:t>https://www.rbf.gov.fj/about-us/rbf-strategic-plan-2019-to-2024/</w:t>
        </w:r>
      </w:hyperlink>
    </w:p>
    <w:p w14:paraId="5F6ED503" w14:textId="5C57FEE1" w:rsidR="00EF068A" w:rsidRDefault="2D9AC56A" w:rsidP="007C083C">
      <w:pPr>
        <w:pStyle w:val="BodyCopy"/>
        <w:rPr>
          <w:rStyle w:val="Hyperlink"/>
        </w:rPr>
      </w:pPr>
      <w:r w:rsidRPr="00CB40AA">
        <w:t xml:space="preserve">Reserve Bank of Fiji. (2020). </w:t>
      </w:r>
      <w:r w:rsidRPr="00CB40AA">
        <w:rPr>
          <w:i/>
          <w:iCs/>
        </w:rPr>
        <w:t xml:space="preserve">Our History. </w:t>
      </w:r>
      <w:r w:rsidR="00207063">
        <w:t>Reserve Bank of</w:t>
      </w:r>
      <w:r w:rsidRPr="00CB40AA">
        <w:t xml:space="preserve"> Fiji. [Webpage]. </w:t>
      </w:r>
      <w:hyperlink r:id="rId65">
        <w:r w:rsidRPr="00CB40AA">
          <w:rPr>
            <w:rStyle w:val="Hyperlink"/>
          </w:rPr>
          <w:t>https://www.rbf.gov.fj/our-history/</w:t>
        </w:r>
      </w:hyperlink>
    </w:p>
    <w:p w14:paraId="57A97EDD" w14:textId="5F1D875A" w:rsidR="00B22123" w:rsidRDefault="00EE2DA1" w:rsidP="007C083C">
      <w:pPr>
        <w:pStyle w:val="BodyCopy"/>
      </w:pPr>
      <w:r>
        <w:t>Reserve Bank of Vanuatu. (2019)</w:t>
      </w:r>
      <w:r w:rsidR="00B22123">
        <w:t xml:space="preserve">. </w:t>
      </w:r>
      <w:r w:rsidR="00B22123" w:rsidRPr="00B22123">
        <w:rPr>
          <w:i/>
        </w:rPr>
        <w:t>Vision and Mission Statements.</w:t>
      </w:r>
      <w:r w:rsidR="00B22123" w:rsidRPr="00B22123">
        <w:t xml:space="preserve"> </w:t>
      </w:r>
      <w:r w:rsidR="00B22123" w:rsidRPr="00CB40AA">
        <w:t>[Webpage].</w:t>
      </w:r>
      <w:r w:rsidR="00B22123" w:rsidRPr="00B22123">
        <w:t xml:space="preserve"> </w:t>
      </w:r>
      <w:hyperlink r:id="rId66" w:history="1">
        <w:r w:rsidR="00FC48C2" w:rsidRPr="00501651">
          <w:rPr>
            <w:rStyle w:val="Hyperlink"/>
          </w:rPr>
          <w:t>https://www.rbv.gov.vu/index.php/en/about/vision-and-mission</w:t>
        </w:r>
      </w:hyperlink>
    </w:p>
    <w:p w14:paraId="14076C42" w14:textId="2539577D" w:rsidR="00EF068A" w:rsidRPr="00CB40AA" w:rsidRDefault="2D9AC56A" w:rsidP="007C083C">
      <w:pPr>
        <w:pStyle w:val="BodyCopy"/>
      </w:pPr>
      <w:r w:rsidRPr="00CB40AA">
        <w:t xml:space="preserve">Sharma, P. (2016). ‘SPSG engages with regional central banks’. </w:t>
      </w:r>
      <w:r w:rsidRPr="00CB40AA">
        <w:rPr>
          <w:i/>
          <w:iCs/>
        </w:rPr>
        <w:t>Griffith Asia Insights</w:t>
      </w:r>
      <w:r w:rsidRPr="00CB40AA">
        <w:t xml:space="preserve">. April 12, 2016. Griffith University. [Blog]. </w:t>
      </w:r>
      <w:hyperlink r:id="rId67">
        <w:r w:rsidRPr="00CB40AA">
          <w:rPr>
            <w:rStyle w:val="Hyperlink"/>
          </w:rPr>
          <w:t>https://blogs.griffith.edu.au/asiainsights/spsg-engages-with-regional-central-banks/</w:t>
        </w:r>
      </w:hyperlink>
    </w:p>
    <w:p w14:paraId="02A47ABB" w14:textId="7530D9D8" w:rsidR="00EF068A" w:rsidRPr="00CB40AA" w:rsidRDefault="2D9AC56A" w:rsidP="007C083C">
      <w:pPr>
        <w:pStyle w:val="BodyCopy"/>
      </w:pPr>
      <w:r w:rsidRPr="00CB40AA">
        <w:t>Stibbe, D., &amp; Prescott, D. (</w:t>
      </w:r>
      <w:r>
        <w:t>2020</w:t>
      </w:r>
      <w:r w:rsidRPr="00CB40AA">
        <w:t xml:space="preserve">). SDGs Partnership Guidebook: A practical guide to building high-impact multi-stakeholder partnerships for the Sustainable Development Goals. The Partnering Initiative and UNDESA. </w:t>
      </w:r>
      <w:hyperlink r:id="rId68">
        <w:r w:rsidRPr="00CB40AA">
          <w:rPr>
            <w:rStyle w:val="Hyperlink"/>
          </w:rPr>
          <w:t>https://www.thepartneringinitiative.org/wp-content/uploads/2020/07/SDG-Partnership-Guidebook-1.0.pdf</w:t>
        </w:r>
      </w:hyperlink>
    </w:p>
    <w:p w14:paraId="7B0512E6" w14:textId="246A6975" w:rsidR="00EF068A" w:rsidRPr="00CB40AA" w:rsidRDefault="2D9AC56A" w:rsidP="007C083C">
      <w:pPr>
        <w:pStyle w:val="BodyCopy"/>
      </w:pPr>
      <w:r w:rsidRPr="00CB40AA">
        <w:t xml:space="preserve">Talebula, K. (2018). ‘Narrowing knowledge gap’. </w:t>
      </w:r>
      <w:r w:rsidRPr="00CB40AA">
        <w:rPr>
          <w:i/>
          <w:iCs/>
        </w:rPr>
        <w:t>The Fiji Times</w:t>
      </w:r>
      <w:r w:rsidRPr="00CB40AA">
        <w:t xml:space="preserve">. December 13, 2018. [News]. </w:t>
      </w:r>
      <w:hyperlink r:id="rId69">
        <w:r w:rsidRPr="00CB40AA">
          <w:rPr>
            <w:rStyle w:val="Hyperlink"/>
          </w:rPr>
          <w:t>https://www.</w:t>
        </w:r>
        <w:r w:rsidR="00EF068A" w:rsidRPr="00CB40AA">
          <w:br/>
        </w:r>
        <w:r w:rsidRPr="00CB40AA">
          <w:rPr>
            <w:rStyle w:val="Hyperlink"/>
          </w:rPr>
          <w:t>fijitimes.com/narrowing-knowledge-gap-focus-of-central-banking-conference/</w:t>
        </w:r>
      </w:hyperlink>
    </w:p>
    <w:p w14:paraId="6DE2025D" w14:textId="02B9EF30" w:rsidR="00C703C0" w:rsidRPr="00CB40AA" w:rsidRDefault="00C703C0" w:rsidP="00733A4B">
      <w:pPr>
        <w:ind w:left="480"/>
      </w:pPr>
      <w:r w:rsidRPr="00CB40AA">
        <w:br w:type="page"/>
      </w:r>
    </w:p>
    <w:p w14:paraId="5A2F2265" w14:textId="77B45DAC" w:rsidR="008919A4" w:rsidRPr="00624F30" w:rsidRDefault="00317D95" w:rsidP="00624F30">
      <w:pPr>
        <w:pStyle w:val="Heading2NoNumbering"/>
      </w:pPr>
      <w:bookmarkStart w:id="53" w:name="_Toc103348744"/>
      <w:r w:rsidRPr="00624F30">
        <w:lastRenderedPageBreak/>
        <w:t>Annex</w:t>
      </w:r>
      <w:r w:rsidR="005D49BD" w:rsidRPr="00624F30">
        <w:t xml:space="preserve"> 1: </w:t>
      </w:r>
      <w:r w:rsidR="008919A4" w:rsidRPr="00624F30">
        <w:t>Organisational Profiles</w:t>
      </w:r>
      <w:bookmarkEnd w:id="53"/>
    </w:p>
    <w:p w14:paraId="452B2920" w14:textId="5D476E22" w:rsidR="00AE685F" w:rsidRPr="00624F30" w:rsidRDefault="00AE685F" w:rsidP="00624F30">
      <w:pPr>
        <w:pStyle w:val="Heading3Nonumbering"/>
      </w:pPr>
      <w:bookmarkStart w:id="54" w:name="_Toc98408106"/>
      <w:bookmarkStart w:id="55" w:name="_Toc100666112"/>
      <w:bookmarkStart w:id="56" w:name="_Toc103348745"/>
      <w:r w:rsidRPr="00624F30">
        <w:t>Griffith University</w:t>
      </w:r>
      <w:bookmarkEnd w:id="54"/>
      <w:bookmarkEnd w:id="55"/>
      <w:bookmarkEnd w:id="56"/>
    </w:p>
    <w:p w14:paraId="23D57B68" w14:textId="77777777" w:rsidR="00AE685F" w:rsidRPr="00CB40AA" w:rsidRDefault="00AE685F" w:rsidP="007C083C">
      <w:pPr>
        <w:pStyle w:val="BodyCopy"/>
      </w:pPr>
      <w:r w:rsidRPr="00CB40AA">
        <w:t xml:space="preserve">Griffith University was founded in 1971 and began operations in 1975. Located in South-eastern Queensland, it has four campuses across the Greater Brisbane area (Nathan, South Bank, Logan, and Mt Gravatt), one in the Gold Coast, and a digital campus online. Since its inception, Griffith University has cultivated engagement with the Asia-Pacific region through its research and academic programs and was the first Australian university to offer degrees in Asian studies. </w:t>
      </w:r>
    </w:p>
    <w:p w14:paraId="4FEC02E5" w14:textId="7FF9B238" w:rsidR="00AE685F" w:rsidRPr="00CB40AA" w:rsidRDefault="00AE685F" w:rsidP="00624F30">
      <w:pPr>
        <w:pStyle w:val="Heading3Nonumbering"/>
      </w:pPr>
      <w:bookmarkStart w:id="57" w:name="_Toc103348746"/>
      <w:r w:rsidRPr="00CB40AA">
        <w:t>The Griffith Asia Institute</w:t>
      </w:r>
      <w:bookmarkEnd w:id="57"/>
    </w:p>
    <w:p w14:paraId="2C37FB49" w14:textId="1E254A06" w:rsidR="00AE685F" w:rsidRPr="00CB40AA" w:rsidRDefault="00AE685F" w:rsidP="007C083C">
      <w:pPr>
        <w:pStyle w:val="BodyCopy"/>
      </w:pPr>
      <w:r w:rsidRPr="00CB40AA">
        <w:t>The Griffith Asia Institute (GAI) is an ‘internationally recognised research centre within the Griffith Business School,’ specialising in Asia-Pacific focused research to ‘inform and enrich Australia’s future' in the region (Griffith Asia Institute, n.d.). GAI has three strategic research hubs: the Pacific Hub, the Collaborative Australia-Indonesia Program for Sustainable Development and Climate Change, and the Asia-Pacific Economic Cooperation (APEC) Study Centre. GAI’s research focuses on contributing to regional cooperation and development through tackling key challenges such as regional security, governance, business and trade, economic development, and growth. It has a strong commitment using research to advance United Nation’s Sustainable Development Goals (SDGs) in the region with particular focus on SDGs 5, 8, 10, 13, 16 and 17 (Griffith Asia Institute, n.d</w:t>
      </w:r>
      <w:r w:rsidRPr="05E39A75">
        <w:t>.).</w:t>
      </w:r>
    </w:p>
    <w:p w14:paraId="7AAFEF2A" w14:textId="77777777" w:rsidR="00AE685F" w:rsidRPr="00CB40AA" w:rsidRDefault="00AE685F" w:rsidP="00AE685F">
      <w:pPr>
        <w:spacing w:line="257" w:lineRule="auto"/>
      </w:pPr>
      <w:r w:rsidRPr="00CB40AA">
        <w:rPr>
          <w:noProof/>
          <w:color w:val="2B579A"/>
          <w:shd w:val="clear" w:color="auto" w:fill="E6E6E6"/>
          <w:lang w:eastAsia="en-AU"/>
        </w:rPr>
        <w:drawing>
          <wp:inline distT="0" distB="0" distL="0" distR="0" wp14:anchorId="15E2B8FA" wp14:editId="07D54023">
            <wp:extent cx="5584995" cy="1104338"/>
            <wp:effectExtent l="0" t="0" r="0" b="635"/>
            <wp:docPr id="3" name="Picture 1" descr="SPCCB's research is aimed to advance United Nation’s Sustainable Development Goals (SDGs) in the region with particular focus on SDGs Gender Equaility (SDG5), Decent Work and Economic Growth (SDG 8), Reduced inequalitis (SDG10), Climate change (SDG13), Peace, Justice and Strong Institutions (SDG16),  and Partnerships for the Goals (SDG17)" title="Images of the six Sustainable Development Goals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584995" cy="1104338"/>
                    </a:xfrm>
                    <a:prstGeom prst="rect">
                      <a:avLst/>
                    </a:prstGeom>
                  </pic:spPr>
                </pic:pic>
              </a:graphicData>
            </a:graphic>
          </wp:inline>
        </w:drawing>
      </w:r>
    </w:p>
    <w:p w14:paraId="4A7721AF" w14:textId="29371B6F" w:rsidR="00AE685F" w:rsidRPr="00CB40AA" w:rsidRDefault="13E60755" w:rsidP="00624F30">
      <w:pPr>
        <w:pStyle w:val="Heading3Nonumbering"/>
      </w:pPr>
      <w:bookmarkStart w:id="58" w:name="_Toc103348747"/>
      <w:r>
        <w:t>The South Pacific Centre for Central Banking</w:t>
      </w:r>
      <w:bookmarkEnd w:id="58"/>
    </w:p>
    <w:p w14:paraId="57540120" w14:textId="77777777" w:rsidR="00AE685F" w:rsidRPr="00CB40AA" w:rsidRDefault="00AE685F" w:rsidP="007C083C">
      <w:pPr>
        <w:pStyle w:val="BodyCopy"/>
      </w:pPr>
      <w:r w:rsidRPr="00CB40AA">
        <w:t xml:space="preserve">A key part of GAI’s Pacific Research program is the South Pacific Centre for Central Banking (SPCCB) which aims to build capacity for independent research and policy formation among the South Pacific Central Banks. SPCCB was founded in 2016, following the inaugural Central Banking Symposium hosted by Griffith University, to build a platform for research and collaboration in the region. Key partners include the Reserve Bank of Fiji (RBF), Reserve bank of Vanuatu (RBV), Central Bank of Solomon Islands (CBSI), The Bank of Papua New Guinea (BPNG) and the Central Bank of Timor-Leste (BCTL). </w:t>
      </w:r>
    </w:p>
    <w:p w14:paraId="4CBC1E90" w14:textId="71AE7AEE" w:rsidR="00AE685F" w:rsidRDefault="00AE685F" w:rsidP="000D3B71">
      <w:pPr>
        <w:pStyle w:val="bodyindent"/>
      </w:pPr>
      <w:r w:rsidRPr="000D3B71">
        <w:t>The SPCCB was formed to bring together world class economic and finance experts, with a clear aim to help build capacity for research and policy formulation and is committed to developing capacity for research and policy formulation at the South Pacific Central Bank.</w:t>
      </w:r>
    </w:p>
    <w:p w14:paraId="4DAEE2BD" w14:textId="1D2CFF46" w:rsidR="00B64104" w:rsidRPr="00B64104" w:rsidRDefault="00B64104" w:rsidP="000D3B71">
      <w:pPr>
        <w:pStyle w:val="bodyindent"/>
        <w:rPr>
          <w:i w:val="0"/>
          <w:iCs w:val="0"/>
        </w:rPr>
      </w:pPr>
      <w:r w:rsidRPr="00B64104">
        <w:rPr>
          <w:i w:val="0"/>
          <w:iCs w:val="0"/>
        </w:rPr>
        <w:t>(South Pacific Centre for Central Banking, n.d.)</w:t>
      </w:r>
    </w:p>
    <w:p w14:paraId="1632744F" w14:textId="77777777" w:rsidR="00AE685F" w:rsidRPr="00CB40AA" w:rsidRDefault="00AE685F" w:rsidP="00624F30">
      <w:pPr>
        <w:pStyle w:val="Heading3Nonumbering"/>
      </w:pPr>
      <w:bookmarkStart w:id="59" w:name="_Toc98408107"/>
      <w:bookmarkStart w:id="60" w:name="_Toc100666113"/>
      <w:bookmarkStart w:id="61" w:name="_Toc103348748"/>
      <w:r w:rsidRPr="00CB40AA">
        <w:t>The Reserve Bank of Fiji</w:t>
      </w:r>
      <w:bookmarkEnd w:id="59"/>
      <w:bookmarkEnd w:id="60"/>
      <w:bookmarkEnd w:id="61"/>
    </w:p>
    <w:p w14:paraId="52CBAE39" w14:textId="4097C4AC" w:rsidR="00AE685F" w:rsidRPr="00CB40AA" w:rsidRDefault="00AE685F" w:rsidP="007C083C">
      <w:pPr>
        <w:pStyle w:val="BodyCopy"/>
      </w:pPr>
      <w:r w:rsidRPr="00CB40AA">
        <w:t xml:space="preserve">The Republic of Fiji achieved independence from United Kingdom in 1970. As part of the transition towards self-government, the Central Monetary Authority (CMA) was established in 1973 to act as a </w:t>
      </w:r>
      <w:r w:rsidRPr="00CB40AA">
        <w:lastRenderedPageBreak/>
        <w:t xml:space="preserve">fledging central bank. The role of the CMA was to regulate and issue currency, control monetary supply, international monetary exchange, and provide fiscal advice to the Fijian Government to foster economic development. In 1983, the Reserve Bank of Fiji Act was passed, and the CMA transformed into the Reserve Bank of Fiji (RBF). The RBF’s core mandate is to </w:t>
      </w:r>
      <w:r w:rsidR="00EE2DA1">
        <w:t>‘conduct monetary policy to foster sustainable and inclusive economic growth’ to support and enhance the ‘</w:t>
      </w:r>
      <w:r w:rsidRPr="00CB40AA">
        <w:t>economic and financial welfare of Fijians</w:t>
      </w:r>
      <w:r w:rsidR="00EE2DA1">
        <w:t>’</w:t>
      </w:r>
      <w:r w:rsidR="00481EB4">
        <w:t xml:space="preserve"> (RBF</w:t>
      </w:r>
      <w:r w:rsidR="00EE2DA1">
        <w:t>, 2020</w:t>
      </w:r>
      <w:r w:rsidR="00481EB4">
        <w:t>)</w:t>
      </w:r>
      <w:r w:rsidRPr="00CB40AA">
        <w:t>. The recruitment and training of talented staff is a key priority of the</w:t>
      </w:r>
      <w:r w:rsidR="00481EB4">
        <w:t xml:space="preserve"> RBF’s Strat</w:t>
      </w:r>
      <w:r w:rsidR="00EE2DA1">
        <w:t>egic Plan 2019-2024 (RBF, 2019). The</w:t>
      </w:r>
      <w:r w:rsidRPr="00CB40AA">
        <w:t xml:space="preserve"> RBF is currently collaborating with Griffith University through the SPCCB, International Monetary Fund (IMF), and the Pacific Financial Technical Assistant Centre (PFTAC) to improve its research capacity and has published a series of RBF working papers and journal articles as part of the capacity building activities.</w:t>
      </w:r>
    </w:p>
    <w:p w14:paraId="6AE7A316" w14:textId="77777777" w:rsidR="00AE685F" w:rsidRPr="00CB40AA" w:rsidRDefault="00AE685F" w:rsidP="00624F30">
      <w:pPr>
        <w:pStyle w:val="Heading3Nonumbering"/>
      </w:pPr>
      <w:bookmarkStart w:id="62" w:name="_Toc98408108"/>
      <w:bookmarkStart w:id="63" w:name="_Toc100666114"/>
      <w:bookmarkStart w:id="64" w:name="_Toc103348749"/>
      <w:r w:rsidRPr="00CB40AA">
        <w:t>The Reserve Bank of Vanuatu</w:t>
      </w:r>
      <w:bookmarkEnd w:id="62"/>
      <w:bookmarkEnd w:id="63"/>
      <w:bookmarkEnd w:id="64"/>
    </w:p>
    <w:p w14:paraId="53686FCA" w14:textId="77777777" w:rsidR="00AE685F" w:rsidRPr="00CB40AA" w:rsidRDefault="00AE685F" w:rsidP="007C083C">
      <w:pPr>
        <w:pStyle w:val="BodyCopy"/>
      </w:pPr>
      <w:r w:rsidRPr="00CB40AA">
        <w:t>After gaining independence from France and the United Kingdom, the Republic of Vanuatu was established on the 30 July 1980. In October 1980, the Central Bank of Vanuatu Act was passed by the new Parliament of Vanuatu, and the bank began a process of monetary reform including the transition to Vatu currency in 1983. In 1989, the Central Bank of Vanuatu Act was amended to give the bank greater powers over the growing banking system and strengthen its advisory role to Government. It changed its name to the Reserve Bank of Vanuatu (RBV). The RBV key functions include the regulation and issue of currency, international exchange of money, regulation of the banking system, formulation and implementation of monetary policy, and advice to the Vanuatu Government to promote financial stability and economic development. The RBV’s vision is to provide the ‘conditions for Vanuatu to build a strong economy by ensuring confidence and stability’ in the financial system (RBV, 2019). RBV has a strong commitment to recruitment, training, and development of professional staff to best meet the needs of bank.</w:t>
      </w:r>
    </w:p>
    <w:p w14:paraId="68956854" w14:textId="77777777" w:rsidR="00AE685F" w:rsidRPr="00CB40AA" w:rsidRDefault="00AE685F" w:rsidP="00624F30">
      <w:pPr>
        <w:pStyle w:val="Heading3Nonumbering"/>
      </w:pPr>
      <w:bookmarkStart w:id="65" w:name="_Toc98408109"/>
      <w:bookmarkStart w:id="66" w:name="_Toc100666115"/>
      <w:bookmarkStart w:id="67" w:name="_Toc103348750"/>
      <w:r w:rsidRPr="00CB40AA">
        <w:t>The Central Bank of the Solomon Islands</w:t>
      </w:r>
      <w:bookmarkEnd w:id="65"/>
      <w:bookmarkEnd w:id="66"/>
      <w:bookmarkEnd w:id="67"/>
    </w:p>
    <w:p w14:paraId="7E6BDC4F" w14:textId="4FE11016" w:rsidR="00481EB4" w:rsidRDefault="1D887DB0" w:rsidP="007C083C">
      <w:pPr>
        <w:pStyle w:val="BodyCopy"/>
      </w:pPr>
      <w:r w:rsidRPr="00CB40AA">
        <w:t>Established during the transition to self-government in 1976, the Solomon Island Monetary Authority (SIMA) was responsible for currency and exchange regulations and for the introduction of the Solomon Islands dollar in 1977. After independence from the United Kingdom in 1978, the SIMA’s role and powers evolved, and the authority officially became a Central Bank of the Solomon Islands (CBSI) in 1983. The new powers included monetary policy, setting interest rates, financial regulations and issuing currency, and providing economic support to the Government</w:t>
      </w:r>
      <w:r w:rsidR="00E830B7">
        <w:t xml:space="preserve"> (CBSI, 2022).</w:t>
      </w:r>
      <w:r w:rsidRPr="00CB40AA">
        <w:t xml:space="preserve"> A key role of CBSI is to improve financial inclusion across the Solomon Islands with a strong focus on increasing access to women and young people. The current Financial Inclusion Strategy 3 (2021-2025) is helping to improve access to quality, affordable financial services across the Solomon Islands and promote financial literacy and consumer protection among the community (</w:t>
      </w:r>
      <w:r w:rsidR="00B22123">
        <w:t>Ce</w:t>
      </w:r>
      <w:r w:rsidR="00937A32">
        <w:t xml:space="preserve">ntral Bank of Solomon Islands, </w:t>
      </w:r>
      <w:r w:rsidR="00B22123">
        <w:t>n.d.).</w:t>
      </w:r>
    </w:p>
    <w:p w14:paraId="5ACFB9AD" w14:textId="77777777" w:rsidR="000D3B71" w:rsidRDefault="000D3B71">
      <w:pPr>
        <w:spacing w:before="0"/>
        <w:rPr>
          <w:rFonts w:ascii="Times New Roman" w:eastAsiaTheme="majorEastAsia" w:hAnsi="Times New Roman" w:cs="Times New Roman"/>
          <w:color w:val="1F3864" w:themeColor="accent1" w:themeShade="80"/>
          <w:sz w:val="28"/>
          <w:szCs w:val="28"/>
        </w:rPr>
      </w:pPr>
      <w:r>
        <w:br w:type="page"/>
      </w:r>
    </w:p>
    <w:p w14:paraId="41B7B70F" w14:textId="23B1106C" w:rsidR="00AE685F" w:rsidRPr="00CB40AA" w:rsidRDefault="00481EB4" w:rsidP="00624F30">
      <w:pPr>
        <w:pStyle w:val="Heading3Nonumbering"/>
      </w:pPr>
      <w:bookmarkStart w:id="68" w:name="_Toc103348751"/>
      <w:r w:rsidRPr="00481EB4">
        <w:lastRenderedPageBreak/>
        <w:t>T</w:t>
      </w:r>
      <w:r w:rsidR="00AE685F" w:rsidRPr="00481EB4">
        <w:t>he Bank of Papua New Guinea</w:t>
      </w:r>
      <w:bookmarkEnd w:id="68"/>
    </w:p>
    <w:p w14:paraId="3FF6A3F3" w14:textId="09516D2A" w:rsidR="00AE685F" w:rsidRPr="00CB40AA" w:rsidRDefault="1D887DB0" w:rsidP="007C083C">
      <w:pPr>
        <w:pStyle w:val="BodyCopy"/>
      </w:pPr>
      <w:r w:rsidRPr="00CB40AA">
        <w:t>Papua New Guinea gained independence from Australia in 1975. Prior to 1973, the central bank of Papua New Guinea (PNG) was a branch of the Reserve Bank of Australia and was involved in currency exchange. As part of the transition to self-government, The Bank of Papua New Guinea was first established as part of the Central Banking Act Chapter 138 in 1973. Over the years the Act has been amended as the Bank’s role developed. In 2000, the Act was replaced by the Central Banking Act to ensure the bank remained independent and to take on additional responsibilities. The BNPG mission is to ‘promote macro-economic stability</w:t>
      </w:r>
      <w:r w:rsidR="00E830B7">
        <w:t>’</w:t>
      </w:r>
      <w:r w:rsidRPr="00CB40AA">
        <w:t xml:space="preserve"> and </w:t>
      </w:r>
      <w:r w:rsidR="00E830B7">
        <w:t>‘</w:t>
      </w:r>
      <w:r w:rsidRPr="00CB40AA">
        <w:t>help foster economic growth</w:t>
      </w:r>
      <w:r w:rsidR="00E830B7">
        <w:t xml:space="preserve">’ (BPNG, 2022). </w:t>
      </w:r>
      <w:r w:rsidRPr="00CB40AA">
        <w:t>Recruitment, retention, and training of professional staff is seen as a key to the ability of the BNPNG to strengthen its professional standards, manage risk, and to respond to both domestic and international economic and political challenges.</w:t>
      </w:r>
    </w:p>
    <w:p w14:paraId="73FC7186" w14:textId="77777777" w:rsidR="00AE685F" w:rsidRPr="00CB40AA" w:rsidRDefault="00AE685F" w:rsidP="00624F30">
      <w:pPr>
        <w:pStyle w:val="Heading3Nonumbering"/>
        <w:rPr>
          <w:sz w:val="32"/>
          <w:szCs w:val="32"/>
        </w:rPr>
      </w:pPr>
      <w:bookmarkStart w:id="69" w:name="_Toc98408110"/>
      <w:bookmarkStart w:id="70" w:name="_Toc100666116"/>
      <w:bookmarkStart w:id="71" w:name="_Toc103348752"/>
      <w:r w:rsidRPr="00CB40AA">
        <w:t>Banco Central De Timor-Leste</w:t>
      </w:r>
      <w:bookmarkEnd w:id="69"/>
      <w:bookmarkEnd w:id="70"/>
      <w:bookmarkEnd w:id="71"/>
    </w:p>
    <w:p w14:paraId="369C1020" w14:textId="07B77157" w:rsidR="00AE685F" w:rsidRPr="00CB40AA" w:rsidRDefault="1D887DB0" w:rsidP="007C083C">
      <w:pPr>
        <w:pStyle w:val="BodyCopy"/>
      </w:pPr>
      <w:r w:rsidRPr="00CB40AA">
        <w:t>The Democratic Republic of Timor-Leste gained its independence on the 20th of May 2002. During the transition to self-government as part of the United Nations Transitional Administration of East Timor (UNTAET), central bank activities were run by the Timor-Leste’s Banking and Payments Authority (BPA) (2001-2011), and the Central Payments Office (CPO) (2000-2001). The Central Bank of Timor-Leste (BCTL) was established in September 2011 and now overse</w:t>
      </w:r>
      <w:r w:rsidR="0088367C">
        <w:t>e</w:t>
      </w:r>
      <w:r w:rsidRPr="00CB40AA">
        <w:t>s all monetary policies, and the regulation of the financial sector under the ‘Organic Law of the Central Bank’.</w:t>
      </w:r>
      <w:r w:rsidRPr="00CB40AA">
        <w:rPr>
          <w:b/>
          <w:bCs/>
        </w:rPr>
        <w:t xml:space="preserve"> </w:t>
      </w:r>
      <w:r w:rsidRPr="00CB40AA">
        <w:t>It has a government advisory role and administers Timor-Leste’s sovereign wealth – known as the Petroleum Fun</w:t>
      </w:r>
      <w:r w:rsidR="005059B7">
        <w:t>d</w:t>
      </w:r>
      <w:r w:rsidR="0009028C">
        <w:t xml:space="preserve">. </w:t>
      </w:r>
      <w:r w:rsidR="005059B7" w:rsidRPr="00CB40AA">
        <w:t>In</w:t>
      </w:r>
      <w:r w:rsidR="00676824">
        <w:t xml:space="preserve"> late 2013</w:t>
      </w:r>
      <w:r w:rsidRPr="00CB40AA">
        <w:t>, the BCTL released the Master Plan for Financial Sector Development 2014-2025 to aid the fledgling development of the financial sector in Timor-Leste in line with the country’s larger Strategic Development Plan 2011-2030</w:t>
      </w:r>
      <w:r w:rsidR="0009028C">
        <w:t xml:space="preserve"> (BCTL, 2022). </w:t>
      </w:r>
      <w:r w:rsidRPr="00CB40AA">
        <w:t xml:space="preserve"> </w:t>
      </w:r>
    </w:p>
    <w:p w14:paraId="1C7DC5B2" w14:textId="4E79889F" w:rsidR="00AE685F" w:rsidRDefault="00AE685F" w:rsidP="00900906">
      <w:r w:rsidRPr="00CB40AA">
        <w:br w:type="page"/>
      </w:r>
    </w:p>
    <w:p w14:paraId="1C211B93" w14:textId="78903FB1" w:rsidR="005D49BD" w:rsidRPr="00CB40AA" w:rsidRDefault="008919A4" w:rsidP="00624F30">
      <w:pPr>
        <w:pStyle w:val="Heading2NoNumbering"/>
      </w:pPr>
      <w:bookmarkStart w:id="72" w:name="_Toc103348753"/>
      <w:r>
        <w:lastRenderedPageBreak/>
        <w:t xml:space="preserve">Annex 2: </w:t>
      </w:r>
      <w:r w:rsidR="00DA0BC0" w:rsidRPr="00CB40AA">
        <w:t>Methodology</w:t>
      </w:r>
      <w:bookmarkEnd w:id="72"/>
    </w:p>
    <w:p w14:paraId="63961928" w14:textId="39A7ECA9" w:rsidR="3930F953" w:rsidRPr="00B64104" w:rsidRDefault="75807B5C" w:rsidP="007C083C">
      <w:pPr>
        <w:pStyle w:val="BodyCopy"/>
        <w:rPr>
          <w:b/>
          <w:bCs/>
        </w:rPr>
      </w:pPr>
      <w:r w:rsidRPr="00B64104">
        <w:rPr>
          <w:b/>
          <w:bCs/>
        </w:rPr>
        <w:t xml:space="preserve">This </w:t>
      </w:r>
      <w:r w:rsidR="28C847EB" w:rsidRPr="00B64104">
        <w:rPr>
          <w:b/>
          <w:bCs/>
        </w:rPr>
        <w:t xml:space="preserve">is the 26th </w:t>
      </w:r>
      <w:r w:rsidRPr="00B64104">
        <w:rPr>
          <w:b/>
          <w:bCs/>
        </w:rPr>
        <w:t xml:space="preserve">case study undertaken by the GTF. It </w:t>
      </w:r>
      <w:r w:rsidR="28C847EB" w:rsidRPr="00B64104">
        <w:rPr>
          <w:b/>
          <w:bCs/>
        </w:rPr>
        <w:t>examined</w:t>
      </w:r>
      <w:r w:rsidRPr="00B64104">
        <w:rPr>
          <w:b/>
          <w:bCs/>
        </w:rPr>
        <w:t xml:space="preserve"> an exemplar partnership</w:t>
      </w:r>
      <w:r w:rsidR="28C847EB" w:rsidRPr="00B64104">
        <w:rPr>
          <w:b/>
          <w:bCs/>
        </w:rPr>
        <w:t xml:space="preserve"> between an Australian host and partner country organisations</w:t>
      </w:r>
      <w:r w:rsidRPr="00B64104">
        <w:rPr>
          <w:b/>
          <w:bCs/>
        </w:rPr>
        <w:t xml:space="preserve">, how it was developed and sustained, and the role Australia Awards played in </w:t>
      </w:r>
      <w:r w:rsidR="28C847EB" w:rsidRPr="00B64104">
        <w:rPr>
          <w:b/>
          <w:bCs/>
        </w:rPr>
        <w:t>cultivating</w:t>
      </w:r>
      <w:r w:rsidRPr="00B64104">
        <w:rPr>
          <w:b/>
          <w:bCs/>
        </w:rPr>
        <w:t xml:space="preserve"> long-term outcomes through </w:t>
      </w:r>
      <w:r w:rsidR="28C847EB" w:rsidRPr="00B64104">
        <w:rPr>
          <w:b/>
          <w:bCs/>
        </w:rPr>
        <w:t xml:space="preserve">supporting </w:t>
      </w:r>
      <w:r w:rsidRPr="00B64104">
        <w:rPr>
          <w:b/>
          <w:bCs/>
        </w:rPr>
        <w:t>institutional connections and people-to-people links</w:t>
      </w:r>
      <w:r w:rsidR="28C847EB" w:rsidRPr="00B64104">
        <w:rPr>
          <w:b/>
          <w:bCs/>
        </w:rPr>
        <w:t xml:space="preserve"> for capacity development.</w:t>
      </w:r>
    </w:p>
    <w:p w14:paraId="735E82C8" w14:textId="779E18B0" w:rsidR="3930F953" w:rsidRPr="00CB40AA" w:rsidRDefault="75807B5C" w:rsidP="007C083C">
      <w:pPr>
        <w:pStyle w:val="BodyCopy"/>
      </w:pPr>
      <w:r w:rsidRPr="00CB40AA">
        <w:t xml:space="preserve">This is a new approach for the GTF in its data collection and exploration of the long-term outcomes of the Australia Awards because its ‘unit of analysis’ </w:t>
      </w:r>
      <w:r w:rsidR="28C847EB" w:rsidRPr="00CB40AA">
        <w:t>is</w:t>
      </w:r>
      <w:r w:rsidRPr="00CB40AA">
        <w:t xml:space="preserve"> organisations (those in Australia and in other countries) rather than individual alumni. </w:t>
      </w:r>
    </w:p>
    <w:p w14:paraId="12CC7238" w14:textId="001A3D47" w:rsidR="3930F953" w:rsidRPr="00CB40AA" w:rsidRDefault="75807B5C" w:rsidP="007C083C">
      <w:pPr>
        <w:pStyle w:val="BodyCopy"/>
      </w:pPr>
      <w:r w:rsidRPr="00CB40AA">
        <w:t>The research was conducted by the Australia Awards Global Tracer Facility (GTF). This research facility commenced in 2016 and is funded by the Australian Department of Foreign Affairs and Trade (DFAT). Research by the GTF helps DFAT to assess the development contributions and public and economic diplomacy outcomes of Australia’s investment in the Australia Awards. This case study forms one of the key research outputs of the sixth year of the GTF.</w:t>
      </w:r>
    </w:p>
    <w:p w14:paraId="2033EE17" w14:textId="3D29E532" w:rsidR="3930F953" w:rsidRPr="00CB40AA" w:rsidRDefault="75807B5C" w:rsidP="00624F30">
      <w:pPr>
        <w:pStyle w:val="Heading3Nonumbering"/>
      </w:pPr>
      <w:bookmarkStart w:id="73" w:name="_Toc98408112"/>
      <w:bookmarkStart w:id="74" w:name="_Toc100666118"/>
      <w:bookmarkStart w:id="75" w:name="_Toc103348754"/>
      <w:r w:rsidRPr="00CB40AA">
        <w:t>Objectives</w:t>
      </w:r>
      <w:bookmarkEnd w:id="73"/>
      <w:bookmarkEnd w:id="74"/>
      <w:bookmarkEnd w:id="75"/>
    </w:p>
    <w:p w14:paraId="520B3E6F" w14:textId="3D7689C8" w:rsidR="3930F953" w:rsidRPr="00CB40AA" w:rsidRDefault="75807B5C" w:rsidP="007C083C">
      <w:pPr>
        <w:pStyle w:val="BodyCopy"/>
      </w:pPr>
      <w:r w:rsidRPr="00CB40AA">
        <w:t xml:space="preserve">As discussed in the introduction of this report, this study has been undertaken to increase the evidence and knowledge around the development of a successful partnerships between an </w:t>
      </w:r>
      <w:r w:rsidR="00E80B46" w:rsidRPr="00CB40AA">
        <w:t>Australian host organisation</w:t>
      </w:r>
      <w:r w:rsidR="00F34C58">
        <w:t xml:space="preserve"> </w:t>
      </w:r>
      <w:r w:rsidR="00F34C58" w:rsidRPr="00CB40AA">
        <w:t>–</w:t>
      </w:r>
      <w:r w:rsidR="00E80B46" w:rsidRPr="00CB40AA">
        <w:t xml:space="preserve"> Griffith University</w:t>
      </w:r>
      <w:r w:rsidR="29DFF2CB" w:rsidRPr="00CB40AA">
        <w:t>,</w:t>
      </w:r>
      <w:r w:rsidR="00E80B46" w:rsidRPr="00CB40AA">
        <w:t xml:space="preserve"> and five central banks as part of the South Pacific Centre for Central Banking</w:t>
      </w:r>
      <w:r w:rsidR="29DFF2CB" w:rsidRPr="00CB40AA">
        <w:t xml:space="preserve"> (SPCCB)</w:t>
      </w:r>
      <w:r w:rsidR="28C847EB" w:rsidRPr="00CB40AA">
        <w:t>.</w:t>
      </w:r>
      <w:r w:rsidR="38F9E6AA" w:rsidRPr="00CB40AA">
        <w:t xml:space="preserve"> Following a pausing of the Australia Awards fellowships in 2018, the monitoring and evaluation of the long-term impact of the award in building institutional linkages is unknown. However, this pause provides an opportunity to reflect on an exemplar partnership to identify the factors which enabled its ongoing engagement and contributions to development.</w:t>
      </w:r>
    </w:p>
    <w:p w14:paraId="2F441210" w14:textId="267C91D5" w:rsidR="3930F953" w:rsidRPr="00CB40AA" w:rsidRDefault="112BCAC6" w:rsidP="007C083C">
      <w:pPr>
        <w:pStyle w:val="BodyCopy"/>
      </w:pPr>
      <w:r w:rsidRPr="00CB40AA">
        <w:t>SPCCB was identified for its ongoing engagement following two</w:t>
      </w:r>
      <w:r w:rsidR="38F9E6AA" w:rsidRPr="00CB40AA">
        <w:t xml:space="preserve"> Australia Awards fellowships</w:t>
      </w:r>
      <w:r w:rsidRPr="00CB40AA">
        <w:t>. The partnership is focussed on collaborating to enhance research skills for evidenced-based policy formulation in the central banks.</w:t>
      </w:r>
    </w:p>
    <w:p w14:paraId="2FBC52A9" w14:textId="00A535E5" w:rsidR="3930F953" w:rsidRPr="00CB40AA" w:rsidRDefault="0A71E6AA" w:rsidP="007C083C">
      <w:pPr>
        <w:pStyle w:val="BodyCopy"/>
      </w:pPr>
      <w:r w:rsidRPr="00CB40AA">
        <w:t>This case study examines the role of Australia Awards fellowships on the development of SPCCB. It aims to understand the development and sustainability of the SPCCB partnership to inform Australia Awards Section on the conditions of success when building long-lasting and meaningful partnerships through short course modalities.</w:t>
      </w:r>
    </w:p>
    <w:p w14:paraId="70BE4525" w14:textId="3222FD51" w:rsidR="3930F953" w:rsidRPr="00CB40AA" w:rsidRDefault="112BCAC6" w:rsidP="007C083C">
      <w:pPr>
        <w:pStyle w:val="BodyCopy"/>
      </w:pPr>
      <w:r w:rsidRPr="00CB40AA">
        <w:t>This case study seeks to answer three overarching research questions:</w:t>
      </w:r>
    </w:p>
    <w:p w14:paraId="21F5DCEA" w14:textId="2C2C046F" w:rsidR="3930F953" w:rsidRPr="00CB40AA" w:rsidRDefault="0A71E6AA" w:rsidP="00657E60">
      <w:pPr>
        <w:pStyle w:val="ListNumber"/>
        <w:numPr>
          <w:ilvl w:val="0"/>
          <w:numId w:val="8"/>
        </w:numPr>
      </w:pPr>
      <w:r w:rsidRPr="00CB40AA">
        <w:t>What were the key factors in the development of the SPCCB partnership?</w:t>
      </w:r>
    </w:p>
    <w:p w14:paraId="51B00959" w14:textId="2C929A48" w:rsidR="3930F953" w:rsidRPr="00CB40AA" w:rsidRDefault="0A71E6AA" w:rsidP="00624F30">
      <w:pPr>
        <w:pStyle w:val="ListNumber"/>
      </w:pPr>
      <w:r w:rsidRPr="00CB40AA">
        <w:t>What has been the impact of SPCCB on capacity development and cooperation for Australia and partner countries?</w:t>
      </w:r>
    </w:p>
    <w:p w14:paraId="16E94567" w14:textId="49501299" w:rsidR="3930F953" w:rsidRPr="00CB40AA" w:rsidRDefault="0A71E6AA" w:rsidP="00624F30">
      <w:pPr>
        <w:pStyle w:val="ListNumber"/>
      </w:pPr>
      <w:r w:rsidRPr="00CB40AA">
        <w:t>What recommendations based on the SPCCB partnership experience can help to inform future Australia Awards short course programming?</w:t>
      </w:r>
    </w:p>
    <w:p w14:paraId="0859CC8F" w14:textId="77777777" w:rsidR="0058494B" w:rsidRDefault="0058494B">
      <w:pPr>
        <w:spacing w:before="0"/>
        <w:rPr>
          <w:rFonts w:ascii="Times New Roman" w:eastAsiaTheme="majorEastAsia" w:hAnsi="Times New Roman" w:cs="Times New Roman"/>
          <w:color w:val="1F3864" w:themeColor="accent1" w:themeShade="80"/>
          <w:sz w:val="28"/>
          <w:szCs w:val="28"/>
        </w:rPr>
      </w:pPr>
      <w:bookmarkStart w:id="76" w:name="_Toc98408113"/>
      <w:bookmarkStart w:id="77" w:name="_Toc100666119"/>
      <w:r>
        <w:br w:type="page"/>
      </w:r>
    </w:p>
    <w:p w14:paraId="06308217" w14:textId="0F609C53" w:rsidR="3930F953" w:rsidRPr="00CB40AA" w:rsidRDefault="75807B5C" w:rsidP="00624F30">
      <w:pPr>
        <w:pStyle w:val="Heading3Nonumbering"/>
      </w:pPr>
      <w:bookmarkStart w:id="78" w:name="_Toc103348755"/>
      <w:r w:rsidRPr="00CB40AA">
        <w:lastRenderedPageBreak/>
        <w:t>Approach</w:t>
      </w:r>
      <w:bookmarkEnd w:id="76"/>
      <w:bookmarkEnd w:id="77"/>
      <w:bookmarkEnd w:id="78"/>
    </w:p>
    <w:p w14:paraId="7515D6D5" w14:textId="3FC53AB1" w:rsidR="3930F953" w:rsidRPr="00CB40AA" w:rsidRDefault="75807B5C" w:rsidP="007C083C">
      <w:pPr>
        <w:pStyle w:val="BodyCopy"/>
      </w:pPr>
      <w:r w:rsidRPr="00CB40AA">
        <w:t xml:space="preserve">The data collection method used for the interviews in this case study was a mixture of individual interviews, and small focus groups. These were conducted online using the Microsoft Teams online video-conferencing platform. A set of questions were developed for the various groups which included </w:t>
      </w:r>
      <w:r w:rsidR="28C847EB" w:rsidRPr="00CB40AA">
        <w:t>representatives</w:t>
      </w:r>
      <w:r w:rsidR="00DD3F47" w:rsidRPr="00CB40AA">
        <w:t xml:space="preserve"> from the host o</w:t>
      </w:r>
      <w:r w:rsidRPr="00CB40AA">
        <w:t>rganisation</w:t>
      </w:r>
      <w:r w:rsidR="28C847EB" w:rsidRPr="00CB40AA">
        <w:t xml:space="preserve"> </w:t>
      </w:r>
      <w:r w:rsidR="00800EBC" w:rsidRPr="00CB40AA">
        <w:t>–</w:t>
      </w:r>
      <w:r w:rsidRPr="00CB40AA">
        <w:t xml:space="preserve"> Griffith University, senior </w:t>
      </w:r>
      <w:r w:rsidR="28C847EB" w:rsidRPr="00CB40AA">
        <w:t>leaders</w:t>
      </w:r>
      <w:r w:rsidRPr="00CB40AA">
        <w:t xml:space="preserve"> of the central banks </w:t>
      </w:r>
      <w:r w:rsidR="00800EBC" w:rsidRPr="00CB40AA">
        <w:t>–</w:t>
      </w:r>
      <w:r w:rsidR="28C847EB" w:rsidRPr="00CB40AA">
        <w:t xml:space="preserve"> </w:t>
      </w:r>
      <w:r w:rsidRPr="00CB40AA">
        <w:t xml:space="preserve">the Deputy-Governor of the Reserve Bank of Fiji and focal point for SPCCB, and </w:t>
      </w:r>
      <w:r w:rsidR="28C847EB" w:rsidRPr="00CB40AA">
        <w:t xml:space="preserve">central banking </w:t>
      </w:r>
      <w:r w:rsidRPr="00CB40AA">
        <w:t xml:space="preserve">researchers </w:t>
      </w:r>
      <w:r w:rsidR="28C847EB" w:rsidRPr="00CB40AA">
        <w:t xml:space="preserve">and economists </w:t>
      </w:r>
      <w:r w:rsidRPr="00CB40AA">
        <w:t>involved in the research outputs.</w:t>
      </w:r>
    </w:p>
    <w:p w14:paraId="0E4B2CB5" w14:textId="06CBC63A" w:rsidR="3930F953" w:rsidRPr="00CB40AA" w:rsidRDefault="002D19A0" w:rsidP="007C083C">
      <w:pPr>
        <w:pStyle w:val="BodyCopy"/>
      </w:pPr>
      <w:r w:rsidRPr="00CB40AA">
        <w:t>Questions in the interview were</w:t>
      </w:r>
      <w:r w:rsidR="75807B5C" w:rsidRPr="00CB40AA">
        <w:t xml:space="preserve"> </w:t>
      </w:r>
      <w:r w:rsidR="53705A49" w:rsidRPr="00CB40AA">
        <w:t xml:space="preserve">tailored to </w:t>
      </w:r>
      <w:r w:rsidR="75807B5C" w:rsidRPr="00CB40AA">
        <w:t xml:space="preserve">each </w:t>
      </w:r>
      <w:r w:rsidR="53705A49" w:rsidRPr="00CB40AA">
        <w:t>stakeholder’s level of participation in SPCCB</w:t>
      </w:r>
      <w:r w:rsidR="75807B5C" w:rsidRPr="00CB40AA">
        <w:t xml:space="preserve"> and align with the research propositions (located at Annex 2) and long-term </w:t>
      </w:r>
      <w:r w:rsidR="75807B5C" w:rsidRPr="4FA276A5">
        <w:t xml:space="preserve">program </w:t>
      </w:r>
      <w:r w:rsidR="75807B5C" w:rsidRPr="00CB40AA">
        <w:t>outcomes of the Australia Awards. This ensures that data collected relates to the key questions the case studies are seeking to answer and that there is consistency across each case study.</w:t>
      </w:r>
    </w:p>
    <w:p w14:paraId="559F6AE6" w14:textId="7C649898" w:rsidR="3930F953" w:rsidRPr="00CB40AA" w:rsidRDefault="75807B5C" w:rsidP="00624F30">
      <w:pPr>
        <w:pStyle w:val="Heading3Nonumbering"/>
      </w:pPr>
      <w:bookmarkStart w:id="79" w:name="_Toc98408114"/>
      <w:bookmarkStart w:id="80" w:name="_Toc100666120"/>
      <w:bookmarkStart w:id="81" w:name="_Toc103348756"/>
      <w:r w:rsidRPr="00CB40AA">
        <w:t>Sample definition and selection</w:t>
      </w:r>
      <w:bookmarkEnd w:id="79"/>
      <w:bookmarkEnd w:id="80"/>
      <w:bookmarkEnd w:id="81"/>
    </w:p>
    <w:p w14:paraId="56BD8D8E" w14:textId="1DC61CDE" w:rsidR="3930F953" w:rsidRPr="00CB40AA" w:rsidRDefault="75807B5C" w:rsidP="007C083C">
      <w:pPr>
        <w:pStyle w:val="BodyCopy"/>
      </w:pPr>
      <w:r w:rsidRPr="00CB40AA">
        <w:t xml:space="preserve">The research of the GTF focuses on alumni of DFAT’s Australia Awards and previous Australian Government-funded scholarships and awards (these include programs dating back to the Colombo Plan, which commence in the 1950s). For each case study undertaken by the GTF, this focus is further refined </w:t>
      </w:r>
      <w:r w:rsidR="002D19A0" w:rsidRPr="00CB40AA">
        <w:t>to a specific cohort of alumni, or theme.</w:t>
      </w:r>
    </w:p>
    <w:p w14:paraId="56C89ADA" w14:textId="6E040F06" w:rsidR="3930F953" w:rsidRPr="00CB40AA" w:rsidRDefault="75807B5C" w:rsidP="007C083C">
      <w:pPr>
        <w:pStyle w:val="BodyCopy"/>
      </w:pPr>
      <w:r w:rsidRPr="00CB40AA">
        <w:t xml:space="preserve">This case study focuses the development of an exemplar partnership from the connections made with the </w:t>
      </w:r>
      <w:r w:rsidR="28C847EB" w:rsidRPr="00CB40AA">
        <w:t>Reserve Bank of Fiji (</w:t>
      </w:r>
      <w:r w:rsidRPr="00CB40AA">
        <w:t>RBF</w:t>
      </w:r>
      <w:r w:rsidR="28C847EB" w:rsidRPr="00CB40AA">
        <w:t>)</w:t>
      </w:r>
      <w:r w:rsidRPr="00CB40AA">
        <w:t xml:space="preserve"> during the 2015 Australia Awards fellowship, ‘</w:t>
      </w:r>
      <w:r w:rsidRPr="00CB40AA">
        <w:rPr>
          <w:i/>
        </w:rPr>
        <w:t>Developing capacity for research and policy formulation at the Reserve Bank (Fiji)</w:t>
      </w:r>
      <w:r w:rsidRPr="00CB40AA">
        <w:t>’</w:t>
      </w:r>
      <w:r w:rsidR="00452376">
        <w:t xml:space="preserve"> </w:t>
      </w:r>
      <w:r w:rsidRPr="00CB40AA">
        <w:t xml:space="preserve">hosted by Griffith University from </w:t>
      </w:r>
      <w:r w:rsidR="28C847EB" w:rsidRPr="00CB40AA">
        <w:t xml:space="preserve">the </w:t>
      </w:r>
      <w:r w:rsidRPr="00CB40AA">
        <w:t xml:space="preserve">29th </w:t>
      </w:r>
      <w:r w:rsidR="28C847EB" w:rsidRPr="00CB40AA">
        <w:t xml:space="preserve">of </w:t>
      </w:r>
      <w:r w:rsidRPr="00CB40AA">
        <w:t xml:space="preserve">June </w:t>
      </w:r>
      <w:r w:rsidR="28C847EB" w:rsidRPr="00CB40AA">
        <w:t>to the 10th of</w:t>
      </w:r>
      <w:r w:rsidRPr="00CB40AA">
        <w:t xml:space="preserve"> July 2015. The partnership led to broader engagement in the South Pacific Region and the creation of the South Pacific Centre for Central Banks in 2016, which now sits within the Pacific Hub of the Griffith Asia Institute. The partnership also led to formal MOUs with RBF</w:t>
      </w:r>
      <w:r w:rsidR="28C847EB" w:rsidRPr="00CB40AA">
        <w:t>,</w:t>
      </w:r>
      <w:r w:rsidRPr="00CB40AA">
        <w:t xml:space="preserve"> Reserve </w:t>
      </w:r>
      <w:r w:rsidR="28C847EB" w:rsidRPr="00CB40AA">
        <w:t>Bank</w:t>
      </w:r>
      <w:r w:rsidRPr="00CB40AA">
        <w:t xml:space="preserve"> of Vanuatu (RBV), Central Bank of Solomon Islands (CBSI), Bank of Papua New Guinea (BPNG) and Central Bank of Timor-Leste (BCTL), </w:t>
      </w:r>
      <w:r w:rsidR="28C847EB" w:rsidRPr="00CB40AA">
        <w:t xml:space="preserve">and </w:t>
      </w:r>
      <w:r w:rsidRPr="00CB40AA">
        <w:t xml:space="preserve">numerous research </w:t>
      </w:r>
      <w:r w:rsidR="002D19A0" w:rsidRPr="00CB40AA">
        <w:t xml:space="preserve">publications </w:t>
      </w:r>
      <w:r w:rsidRPr="00CB40AA">
        <w:t>and engagement activities. In 2018, Griffith University also hosted a second capacity building Australia Awards fellowship, ‘</w:t>
      </w:r>
      <w:r w:rsidRPr="00CB40AA">
        <w:rPr>
          <w:i/>
        </w:rPr>
        <w:t>Developing Research and Policy Formulation Capacity at the Central Banks (RBF &amp; RBV)</w:t>
      </w:r>
      <w:r w:rsidR="00624493">
        <w:rPr>
          <w:i/>
        </w:rPr>
        <w:t>’</w:t>
      </w:r>
      <w:r w:rsidRPr="00CB40AA">
        <w:rPr>
          <w:i/>
        </w:rPr>
        <w:t xml:space="preserve"> </w:t>
      </w:r>
      <w:r w:rsidRPr="00CB40AA">
        <w:t xml:space="preserve">from </w:t>
      </w:r>
      <w:r w:rsidR="28C847EB" w:rsidRPr="00CB40AA">
        <w:t>the 8th to 26th of</w:t>
      </w:r>
      <w:r w:rsidRPr="00CB40AA">
        <w:t xml:space="preserve"> January 2018</w:t>
      </w:r>
      <w:r w:rsidR="28C847EB" w:rsidRPr="00CB40AA">
        <w:t>.</w:t>
      </w:r>
    </w:p>
    <w:p w14:paraId="32EAD7B1" w14:textId="46C16E2C" w:rsidR="3930F953" w:rsidRPr="00CB40AA" w:rsidRDefault="75807B5C" w:rsidP="007C083C">
      <w:pPr>
        <w:pStyle w:val="BodyCopy"/>
      </w:pPr>
      <w:r w:rsidRPr="00CB40AA">
        <w:t>The focus of the interview sample was to interview stakeholders from the three main stakeholder groups involved with SPCCB. These in</w:t>
      </w:r>
      <w:r w:rsidR="00744A15" w:rsidRPr="00CB40AA">
        <w:t>clude representatives from the host u</w:t>
      </w:r>
      <w:r w:rsidRPr="00CB40AA">
        <w:t xml:space="preserve">niversity involved in the development of the partnership and delivery of the two fellowships, representatives from the senior leadership team involved in SPCCB, and </w:t>
      </w:r>
      <w:r w:rsidR="28C847EB" w:rsidRPr="00CB40AA">
        <w:t>the researchers and economists</w:t>
      </w:r>
      <w:r w:rsidRPr="00CB40AA">
        <w:t xml:space="preserve"> involved in the production of working papers. Initial contact with external stakeholders from the cent</w:t>
      </w:r>
      <w:r w:rsidR="00744A15" w:rsidRPr="00CB40AA">
        <w:t>ral banks was conducted by the h</w:t>
      </w:r>
      <w:r w:rsidRPr="00CB40AA">
        <w:t>ost, with follow up emails by the GTF.</w:t>
      </w:r>
    </w:p>
    <w:p w14:paraId="6E0C7018" w14:textId="0D22B830" w:rsidR="3930F953" w:rsidRPr="00CB40AA" w:rsidRDefault="75807B5C" w:rsidP="007C083C">
      <w:pPr>
        <w:pStyle w:val="BodyCopy"/>
      </w:pPr>
      <w:r w:rsidRPr="00CB40AA">
        <w:t>Details relating to the interview participants are included in the table below.</w:t>
      </w:r>
    </w:p>
    <w:p w14:paraId="0CC761D7" w14:textId="4D0597FE" w:rsidR="3930F953" w:rsidRPr="00CB40AA" w:rsidRDefault="75807B5C" w:rsidP="00624F30">
      <w:pPr>
        <w:pStyle w:val="Figure"/>
      </w:pPr>
      <w:r>
        <w:lastRenderedPageBreak/>
        <w:t xml:space="preserve">Table </w:t>
      </w:r>
      <w:r w:rsidRPr="67CA915F">
        <w:rPr>
          <w:color w:val="2B579A"/>
          <w:shd w:val="clear" w:color="auto" w:fill="E6E6E6"/>
        </w:rPr>
        <w:fldChar w:fldCharType="begin"/>
      </w:r>
      <w:r>
        <w:instrText xml:space="preserve"> SEQ Table \* ARABIC </w:instrText>
      </w:r>
      <w:r w:rsidRPr="67CA915F">
        <w:rPr>
          <w:color w:val="2B579A"/>
          <w:shd w:val="clear" w:color="auto" w:fill="E6E6E6"/>
        </w:rPr>
        <w:fldChar w:fldCharType="separate"/>
      </w:r>
      <w:r w:rsidR="001D6B4B">
        <w:rPr>
          <w:noProof/>
        </w:rPr>
        <w:t>4</w:t>
      </w:r>
      <w:r w:rsidRPr="67CA915F">
        <w:rPr>
          <w:noProof/>
          <w:color w:val="2B579A"/>
          <w:shd w:val="clear" w:color="auto" w:fill="E6E6E6"/>
        </w:rPr>
        <w:fldChar w:fldCharType="end"/>
      </w:r>
      <w:r w:rsidR="00377AAB">
        <w:t xml:space="preserve">: </w:t>
      </w:r>
      <w:r>
        <w:t xml:space="preserve">SPCCB stakeholders from Griffith University, </w:t>
      </w:r>
      <w:r w:rsidR="28C847EB">
        <w:t>the</w:t>
      </w:r>
      <w:r>
        <w:t xml:space="preserve"> Reserve Bank of Fiji, and the Central Bank of the Solomon Islands</w:t>
      </w:r>
    </w:p>
    <w:tbl>
      <w:tblPr>
        <w:tblStyle w:val="TableGrid"/>
        <w:tblW w:w="9913" w:type="dxa"/>
        <w:tblLayout w:type="fixed"/>
        <w:tblCellMar>
          <w:top w:w="108" w:type="dxa"/>
          <w:bottom w:w="108" w:type="dxa"/>
        </w:tblCellMar>
        <w:tblLook w:val="04A0" w:firstRow="1" w:lastRow="0" w:firstColumn="1" w:lastColumn="0" w:noHBand="0" w:noVBand="1"/>
      </w:tblPr>
      <w:tblGrid>
        <w:gridCol w:w="1350"/>
        <w:gridCol w:w="2655"/>
        <w:gridCol w:w="3356"/>
        <w:gridCol w:w="2552"/>
      </w:tblGrid>
      <w:tr w:rsidR="75807B5C" w:rsidRPr="00DC2AE2" w14:paraId="0C5E7EE8" w14:textId="44D6FC10" w:rsidTr="009911AC">
        <w:trPr>
          <w:tblHeader/>
        </w:trPr>
        <w:tc>
          <w:tcPr>
            <w:tcW w:w="1350" w:type="dxa"/>
            <w:shd w:val="clear" w:color="auto" w:fill="auto"/>
            <w:tcMar>
              <w:top w:w="57" w:type="dxa"/>
              <w:left w:w="57" w:type="dxa"/>
              <w:bottom w:w="57" w:type="dxa"/>
              <w:right w:w="57" w:type="dxa"/>
            </w:tcMar>
          </w:tcPr>
          <w:p w14:paraId="6CF55177" w14:textId="508D8A2D" w:rsidR="75807B5C" w:rsidRPr="00DC2AE2" w:rsidRDefault="75807B5C" w:rsidP="00DC2AE2">
            <w:pPr>
              <w:spacing w:before="0" w:line="240" w:lineRule="exact"/>
              <w:rPr>
                <w:rFonts w:cs="Arial"/>
                <w:sz w:val="18"/>
                <w:szCs w:val="18"/>
              </w:rPr>
            </w:pPr>
            <w:r w:rsidRPr="00DC2AE2">
              <w:rPr>
                <w:rFonts w:eastAsia="Calibri" w:cs="Arial"/>
                <w:b/>
                <w:bCs/>
                <w:sz w:val="18"/>
                <w:szCs w:val="18"/>
              </w:rPr>
              <w:t>Gender</w:t>
            </w:r>
          </w:p>
        </w:tc>
        <w:tc>
          <w:tcPr>
            <w:tcW w:w="2655" w:type="dxa"/>
            <w:shd w:val="clear" w:color="auto" w:fill="auto"/>
            <w:tcMar>
              <w:top w:w="57" w:type="dxa"/>
              <w:left w:w="57" w:type="dxa"/>
              <w:bottom w:w="57" w:type="dxa"/>
              <w:right w:w="57" w:type="dxa"/>
            </w:tcMar>
          </w:tcPr>
          <w:p w14:paraId="74F0B3DE" w14:textId="6C1D7D14" w:rsidR="75807B5C" w:rsidRPr="00DC2AE2" w:rsidRDefault="75807B5C" w:rsidP="00DC2AE2">
            <w:pPr>
              <w:spacing w:before="0" w:line="240" w:lineRule="exact"/>
              <w:rPr>
                <w:rFonts w:cs="Arial"/>
                <w:sz w:val="18"/>
                <w:szCs w:val="18"/>
              </w:rPr>
            </w:pPr>
            <w:r w:rsidRPr="00DC2AE2">
              <w:rPr>
                <w:rFonts w:eastAsia="Calibri" w:cs="Arial"/>
                <w:b/>
                <w:bCs/>
                <w:sz w:val="18"/>
                <w:szCs w:val="18"/>
              </w:rPr>
              <w:t>Name</w:t>
            </w:r>
          </w:p>
        </w:tc>
        <w:tc>
          <w:tcPr>
            <w:tcW w:w="3356" w:type="dxa"/>
            <w:shd w:val="clear" w:color="auto" w:fill="auto"/>
            <w:tcMar>
              <w:top w:w="57" w:type="dxa"/>
              <w:left w:w="57" w:type="dxa"/>
              <w:bottom w:w="57" w:type="dxa"/>
              <w:right w:w="57" w:type="dxa"/>
            </w:tcMar>
          </w:tcPr>
          <w:p w14:paraId="3669677D" w14:textId="1CF8C5DB" w:rsidR="75807B5C" w:rsidRPr="00DC2AE2" w:rsidRDefault="75807B5C" w:rsidP="00DC2AE2">
            <w:pPr>
              <w:spacing w:before="0" w:line="240" w:lineRule="exact"/>
              <w:rPr>
                <w:rFonts w:cs="Arial"/>
                <w:sz w:val="18"/>
                <w:szCs w:val="18"/>
              </w:rPr>
            </w:pPr>
            <w:r w:rsidRPr="00DC2AE2">
              <w:rPr>
                <w:rFonts w:eastAsia="Calibri" w:cs="Arial"/>
                <w:b/>
                <w:bCs/>
                <w:sz w:val="18"/>
                <w:szCs w:val="18"/>
              </w:rPr>
              <w:t>Current Position</w:t>
            </w:r>
          </w:p>
        </w:tc>
        <w:tc>
          <w:tcPr>
            <w:tcW w:w="2552" w:type="dxa"/>
            <w:shd w:val="clear" w:color="auto" w:fill="auto"/>
            <w:tcMar>
              <w:top w:w="57" w:type="dxa"/>
              <w:left w:w="57" w:type="dxa"/>
              <w:bottom w:w="57" w:type="dxa"/>
              <w:right w:w="57" w:type="dxa"/>
            </w:tcMar>
          </w:tcPr>
          <w:p w14:paraId="2F137933" w14:textId="492533B5" w:rsidR="00900906" w:rsidRPr="00DC2AE2" w:rsidRDefault="00900906" w:rsidP="00DC2AE2">
            <w:pPr>
              <w:spacing w:before="0" w:line="240" w:lineRule="exact"/>
              <w:rPr>
                <w:rFonts w:eastAsia="Calibri" w:cs="Arial"/>
                <w:b/>
                <w:bCs/>
                <w:sz w:val="18"/>
                <w:szCs w:val="18"/>
              </w:rPr>
            </w:pPr>
            <w:r w:rsidRPr="00DC2AE2">
              <w:rPr>
                <w:rFonts w:eastAsia="Calibri" w:cs="Arial"/>
                <w:b/>
                <w:bCs/>
                <w:sz w:val="18"/>
                <w:szCs w:val="18"/>
              </w:rPr>
              <w:t>Date</w:t>
            </w:r>
          </w:p>
        </w:tc>
      </w:tr>
      <w:tr w:rsidR="75807B5C" w:rsidRPr="00DC2AE2" w14:paraId="3D5592E8" w14:textId="75C461BB" w:rsidTr="009911AC">
        <w:trPr>
          <w:tblHeader/>
        </w:trPr>
        <w:tc>
          <w:tcPr>
            <w:tcW w:w="1350" w:type="dxa"/>
            <w:shd w:val="clear" w:color="auto" w:fill="auto"/>
            <w:tcMar>
              <w:top w:w="57" w:type="dxa"/>
              <w:left w:w="57" w:type="dxa"/>
              <w:bottom w:w="57" w:type="dxa"/>
              <w:right w:w="57" w:type="dxa"/>
            </w:tcMar>
          </w:tcPr>
          <w:p w14:paraId="75EFB6DD" w14:textId="30958024" w:rsidR="75807B5C" w:rsidRPr="00DC2AE2" w:rsidRDefault="75807B5C" w:rsidP="00DC2AE2">
            <w:pPr>
              <w:spacing w:before="0" w:line="240" w:lineRule="exact"/>
              <w:rPr>
                <w:rFonts w:cs="Arial"/>
                <w:sz w:val="18"/>
                <w:szCs w:val="18"/>
              </w:rPr>
            </w:pPr>
            <w:r w:rsidRPr="00DC2AE2">
              <w:rPr>
                <w:rFonts w:eastAsia="Calibri" w:cs="Arial"/>
                <w:sz w:val="18"/>
                <w:szCs w:val="18"/>
              </w:rPr>
              <w:t>M</w:t>
            </w:r>
          </w:p>
        </w:tc>
        <w:tc>
          <w:tcPr>
            <w:tcW w:w="2655" w:type="dxa"/>
            <w:shd w:val="clear" w:color="auto" w:fill="auto"/>
            <w:tcMar>
              <w:top w:w="57" w:type="dxa"/>
              <w:left w:w="57" w:type="dxa"/>
              <w:bottom w:w="57" w:type="dxa"/>
              <w:right w:w="57" w:type="dxa"/>
            </w:tcMar>
          </w:tcPr>
          <w:p w14:paraId="3D0C4D80" w14:textId="1EE9E94D" w:rsidR="75807B5C" w:rsidRPr="00DC2AE2" w:rsidRDefault="75807B5C" w:rsidP="00DC2AE2">
            <w:pPr>
              <w:spacing w:before="0" w:line="240" w:lineRule="exact"/>
              <w:rPr>
                <w:rFonts w:cs="Arial"/>
                <w:sz w:val="18"/>
                <w:szCs w:val="18"/>
              </w:rPr>
            </w:pPr>
            <w:r w:rsidRPr="00DC2AE2">
              <w:rPr>
                <w:rFonts w:eastAsia="Calibri" w:cs="Arial"/>
                <w:sz w:val="18"/>
                <w:szCs w:val="18"/>
              </w:rPr>
              <w:t>Dr Parmendra Sharma</w:t>
            </w:r>
          </w:p>
        </w:tc>
        <w:tc>
          <w:tcPr>
            <w:tcW w:w="3356" w:type="dxa"/>
            <w:shd w:val="clear" w:color="auto" w:fill="auto"/>
            <w:tcMar>
              <w:top w:w="57" w:type="dxa"/>
              <w:left w:w="57" w:type="dxa"/>
              <w:bottom w:w="57" w:type="dxa"/>
              <w:right w:w="57" w:type="dxa"/>
            </w:tcMar>
          </w:tcPr>
          <w:p w14:paraId="01558257" w14:textId="17A6C2DC" w:rsidR="75807B5C" w:rsidRPr="00DC2AE2" w:rsidRDefault="48E821F4" w:rsidP="00DC2AE2">
            <w:pPr>
              <w:spacing w:before="0" w:line="240" w:lineRule="exact"/>
              <w:rPr>
                <w:rFonts w:cs="Arial"/>
                <w:sz w:val="18"/>
                <w:szCs w:val="18"/>
              </w:rPr>
            </w:pPr>
            <w:r w:rsidRPr="00DC2AE2">
              <w:rPr>
                <w:rFonts w:eastAsia="Calibri" w:cs="Arial"/>
                <w:color w:val="000000" w:themeColor="text1"/>
                <w:sz w:val="18"/>
                <w:szCs w:val="18"/>
              </w:rPr>
              <w:t>Program Convenor, South Pacific Centre for Central Banking (SPCCB), and Senior Lecturer, Department of Accounting, Finance and Economics, Griffith University</w:t>
            </w:r>
          </w:p>
        </w:tc>
        <w:tc>
          <w:tcPr>
            <w:tcW w:w="2552" w:type="dxa"/>
            <w:shd w:val="clear" w:color="auto" w:fill="auto"/>
            <w:tcMar>
              <w:top w:w="57" w:type="dxa"/>
              <w:left w:w="57" w:type="dxa"/>
              <w:bottom w:w="57" w:type="dxa"/>
              <w:right w:w="57" w:type="dxa"/>
            </w:tcMar>
          </w:tcPr>
          <w:p w14:paraId="796ECF3C" w14:textId="200F57E1" w:rsidR="00900906" w:rsidRPr="00DC2AE2" w:rsidRDefault="00900906"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Interview</w:t>
            </w:r>
            <w:r w:rsidR="00A55F0A" w:rsidRPr="00DC2AE2">
              <w:rPr>
                <w:rFonts w:eastAsia="Calibri" w:cs="Arial"/>
                <w:color w:val="000000" w:themeColor="text1"/>
                <w:sz w:val="18"/>
                <w:szCs w:val="18"/>
              </w:rPr>
              <w:t>: 15/11/2021</w:t>
            </w:r>
          </w:p>
        </w:tc>
      </w:tr>
      <w:tr w:rsidR="75807B5C" w:rsidRPr="00DC2AE2" w14:paraId="08E30374" w14:textId="1CFDD505" w:rsidTr="009911AC">
        <w:trPr>
          <w:tblHeader/>
        </w:trPr>
        <w:tc>
          <w:tcPr>
            <w:tcW w:w="1350" w:type="dxa"/>
            <w:shd w:val="clear" w:color="auto" w:fill="auto"/>
            <w:tcMar>
              <w:top w:w="57" w:type="dxa"/>
              <w:left w:w="57" w:type="dxa"/>
              <w:bottom w:w="57" w:type="dxa"/>
              <w:right w:w="57" w:type="dxa"/>
            </w:tcMar>
          </w:tcPr>
          <w:p w14:paraId="29A4C328" w14:textId="28E00F68" w:rsidR="75807B5C" w:rsidRPr="00DC2AE2" w:rsidRDefault="75807B5C" w:rsidP="00DC2AE2">
            <w:pPr>
              <w:spacing w:before="0" w:line="240" w:lineRule="exact"/>
              <w:rPr>
                <w:rFonts w:cs="Arial"/>
                <w:sz w:val="18"/>
                <w:szCs w:val="18"/>
              </w:rPr>
            </w:pPr>
            <w:r w:rsidRPr="00DC2AE2">
              <w:rPr>
                <w:rFonts w:eastAsia="Calibri" w:cs="Arial"/>
                <w:sz w:val="18"/>
                <w:szCs w:val="18"/>
              </w:rPr>
              <w:t>M</w:t>
            </w:r>
          </w:p>
        </w:tc>
        <w:tc>
          <w:tcPr>
            <w:tcW w:w="2655" w:type="dxa"/>
            <w:shd w:val="clear" w:color="auto" w:fill="auto"/>
            <w:tcMar>
              <w:top w:w="57" w:type="dxa"/>
              <w:left w:w="57" w:type="dxa"/>
              <w:bottom w:w="57" w:type="dxa"/>
              <w:right w:w="57" w:type="dxa"/>
            </w:tcMar>
          </w:tcPr>
          <w:p w14:paraId="173477B5" w14:textId="176C7C3C" w:rsidR="75807B5C" w:rsidRPr="00DC2AE2" w:rsidRDefault="48E821F4" w:rsidP="00DC2AE2">
            <w:pPr>
              <w:spacing w:before="0" w:line="240" w:lineRule="exact"/>
              <w:rPr>
                <w:rFonts w:eastAsia="Calibri" w:cs="Arial"/>
                <w:sz w:val="18"/>
                <w:szCs w:val="18"/>
              </w:rPr>
            </w:pPr>
            <w:r w:rsidRPr="00DC2AE2">
              <w:rPr>
                <w:rFonts w:eastAsia="Calibri" w:cs="Arial"/>
                <w:sz w:val="18"/>
                <w:szCs w:val="18"/>
              </w:rPr>
              <w:t>Dr Jen-Je Su</w:t>
            </w:r>
          </w:p>
        </w:tc>
        <w:tc>
          <w:tcPr>
            <w:tcW w:w="3356" w:type="dxa"/>
            <w:shd w:val="clear" w:color="auto" w:fill="auto"/>
            <w:tcMar>
              <w:top w:w="57" w:type="dxa"/>
              <w:left w:w="57" w:type="dxa"/>
              <w:bottom w:w="57" w:type="dxa"/>
              <w:right w:w="57" w:type="dxa"/>
            </w:tcMar>
          </w:tcPr>
          <w:p w14:paraId="18D5F417" w14:textId="321C2B6B"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Leader – Research, SPCCB, and Senior Lecturer, Department of Accounting, Finance and Economics, Griffith University</w:t>
            </w:r>
          </w:p>
        </w:tc>
        <w:tc>
          <w:tcPr>
            <w:tcW w:w="2552" w:type="dxa"/>
            <w:shd w:val="clear" w:color="auto" w:fill="auto"/>
            <w:tcMar>
              <w:top w:w="57" w:type="dxa"/>
              <w:left w:w="57" w:type="dxa"/>
              <w:bottom w:w="57" w:type="dxa"/>
              <w:right w:w="57" w:type="dxa"/>
            </w:tcMar>
          </w:tcPr>
          <w:p w14:paraId="7269CB14" w14:textId="2D3CDA80"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w:t>
            </w:r>
            <w:r w:rsidR="00A55F0A" w:rsidRPr="00DC2AE2">
              <w:rPr>
                <w:rFonts w:eastAsia="Calibri" w:cs="Arial"/>
                <w:color w:val="000000" w:themeColor="text1"/>
                <w:sz w:val="18"/>
                <w:szCs w:val="18"/>
              </w:rPr>
              <w:t>Griffith University 9/11/2021</w:t>
            </w:r>
          </w:p>
        </w:tc>
      </w:tr>
      <w:tr w:rsidR="75807B5C" w:rsidRPr="00DC2AE2" w14:paraId="168EE447" w14:textId="42C1DE6E" w:rsidTr="009911AC">
        <w:trPr>
          <w:tblHeader/>
        </w:trPr>
        <w:tc>
          <w:tcPr>
            <w:tcW w:w="1350" w:type="dxa"/>
            <w:shd w:val="clear" w:color="auto" w:fill="auto"/>
            <w:tcMar>
              <w:top w:w="57" w:type="dxa"/>
              <w:left w:w="57" w:type="dxa"/>
              <w:bottom w:w="57" w:type="dxa"/>
              <w:right w:w="57" w:type="dxa"/>
            </w:tcMar>
          </w:tcPr>
          <w:p w14:paraId="4CFF4992" w14:textId="11E1896D" w:rsidR="75807B5C" w:rsidRPr="00DC2AE2" w:rsidRDefault="75807B5C" w:rsidP="00DC2AE2">
            <w:pPr>
              <w:spacing w:before="0" w:line="240" w:lineRule="exact"/>
              <w:rPr>
                <w:rFonts w:cs="Arial"/>
                <w:sz w:val="18"/>
                <w:szCs w:val="18"/>
              </w:rPr>
            </w:pPr>
            <w:r w:rsidRPr="00DC2AE2">
              <w:rPr>
                <w:rFonts w:eastAsia="Calibri" w:cs="Arial"/>
                <w:sz w:val="18"/>
                <w:szCs w:val="18"/>
              </w:rPr>
              <w:t>M</w:t>
            </w:r>
          </w:p>
        </w:tc>
        <w:tc>
          <w:tcPr>
            <w:tcW w:w="2655" w:type="dxa"/>
            <w:shd w:val="clear" w:color="auto" w:fill="auto"/>
            <w:tcMar>
              <w:top w:w="57" w:type="dxa"/>
              <w:left w:w="57" w:type="dxa"/>
              <w:bottom w:w="57" w:type="dxa"/>
              <w:right w:w="57" w:type="dxa"/>
            </w:tcMar>
          </w:tcPr>
          <w:p w14:paraId="096A2E92" w14:textId="1E5263E6"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Associate Professor Tarlok Singh</w:t>
            </w:r>
          </w:p>
        </w:tc>
        <w:tc>
          <w:tcPr>
            <w:tcW w:w="3356" w:type="dxa"/>
            <w:shd w:val="clear" w:color="auto" w:fill="auto"/>
            <w:tcMar>
              <w:top w:w="57" w:type="dxa"/>
              <w:left w:w="57" w:type="dxa"/>
              <w:bottom w:w="57" w:type="dxa"/>
              <w:right w:w="57" w:type="dxa"/>
            </w:tcMar>
          </w:tcPr>
          <w:p w14:paraId="766435E8" w14:textId="2FCCFA71"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Leader – Policy, SPCCB, Associate Professor of Economics, Department of Accounting, Finance and Economics, Griffith University</w:t>
            </w:r>
          </w:p>
        </w:tc>
        <w:tc>
          <w:tcPr>
            <w:tcW w:w="2552" w:type="dxa"/>
            <w:shd w:val="clear" w:color="auto" w:fill="auto"/>
            <w:tcMar>
              <w:top w:w="57" w:type="dxa"/>
              <w:left w:w="57" w:type="dxa"/>
              <w:bottom w:w="57" w:type="dxa"/>
              <w:right w:w="57" w:type="dxa"/>
            </w:tcMar>
          </w:tcPr>
          <w:p w14:paraId="62E59C67" w14:textId="379AC84F"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w:t>
            </w:r>
            <w:r w:rsidR="00A55F0A" w:rsidRPr="00DC2AE2">
              <w:rPr>
                <w:rFonts w:eastAsia="Calibri" w:cs="Arial"/>
                <w:color w:val="000000" w:themeColor="text1"/>
                <w:sz w:val="18"/>
                <w:szCs w:val="18"/>
              </w:rPr>
              <w:t>Griffith University</w:t>
            </w:r>
            <w:r w:rsidRPr="00DC2AE2">
              <w:rPr>
                <w:rFonts w:eastAsia="Calibri" w:cs="Arial"/>
                <w:color w:val="000000" w:themeColor="text1"/>
                <w:sz w:val="18"/>
                <w:szCs w:val="18"/>
              </w:rPr>
              <w:t>:</w:t>
            </w:r>
            <w:r w:rsidR="00A55F0A" w:rsidRPr="00DC2AE2">
              <w:rPr>
                <w:rFonts w:eastAsia="Calibri" w:cs="Arial"/>
                <w:color w:val="000000" w:themeColor="text1"/>
                <w:sz w:val="18"/>
                <w:szCs w:val="18"/>
              </w:rPr>
              <w:t xml:space="preserve"> 9/11/2021</w:t>
            </w:r>
          </w:p>
        </w:tc>
      </w:tr>
      <w:tr w:rsidR="75807B5C" w:rsidRPr="00DC2AE2" w14:paraId="7E972DC1" w14:textId="46411D56" w:rsidTr="009911AC">
        <w:trPr>
          <w:tblHeader/>
        </w:trPr>
        <w:tc>
          <w:tcPr>
            <w:tcW w:w="1350" w:type="dxa"/>
            <w:shd w:val="clear" w:color="auto" w:fill="auto"/>
            <w:tcMar>
              <w:top w:w="57" w:type="dxa"/>
              <w:left w:w="57" w:type="dxa"/>
              <w:bottom w:w="57" w:type="dxa"/>
              <w:right w:w="57" w:type="dxa"/>
            </w:tcMar>
          </w:tcPr>
          <w:p w14:paraId="625985A0" w14:textId="7310071B" w:rsidR="75807B5C" w:rsidRPr="00DC2AE2" w:rsidRDefault="75807B5C" w:rsidP="00DC2AE2">
            <w:pPr>
              <w:spacing w:before="0" w:line="240" w:lineRule="exact"/>
              <w:rPr>
                <w:rFonts w:cs="Arial"/>
                <w:sz w:val="18"/>
                <w:szCs w:val="18"/>
              </w:rPr>
            </w:pPr>
            <w:r w:rsidRPr="00DC2AE2">
              <w:rPr>
                <w:rFonts w:eastAsia="Calibri" w:cs="Arial"/>
                <w:sz w:val="18"/>
                <w:szCs w:val="18"/>
              </w:rPr>
              <w:t>F</w:t>
            </w:r>
          </w:p>
        </w:tc>
        <w:tc>
          <w:tcPr>
            <w:tcW w:w="2655" w:type="dxa"/>
            <w:shd w:val="clear" w:color="auto" w:fill="auto"/>
            <w:tcMar>
              <w:top w:w="57" w:type="dxa"/>
              <w:left w:w="57" w:type="dxa"/>
              <w:bottom w:w="57" w:type="dxa"/>
              <w:right w:w="57" w:type="dxa"/>
            </w:tcMar>
          </w:tcPr>
          <w:p w14:paraId="70CEA9C9" w14:textId="2908A483" w:rsidR="75807B5C" w:rsidRPr="00DC2AE2" w:rsidRDefault="75807B5C" w:rsidP="00DC2AE2">
            <w:pPr>
              <w:spacing w:before="0" w:line="240" w:lineRule="exact"/>
              <w:rPr>
                <w:rFonts w:cs="Arial"/>
                <w:sz w:val="18"/>
                <w:szCs w:val="18"/>
              </w:rPr>
            </w:pPr>
            <w:r w:rsidRPr="00DC2AE2">
              <w:rPr>
                <w:rFonts w:eastAsia="Calibri" w:cs="Arial"/>
                <w:sz w:val="18"/>
                <w:szCs w:val="18"/>
              </w:rPr>
              <w:t>Professor Caitlin Byrne</w:t>
            </w:r>
          </w:p>
        </w:tc>
        <w:tc>
          <w:tcPr>
            <w:tcW w:w="3356" w:type="dxa"/>
            <w:shd w:val="clear" w:color="auto" w:fill="auto"/>
            <w:tcMar>
              <w:top w:w="57" w:type="dxa"/>
              <w:left w:w="57" w:type="dxa"/>
              <w:bottom w:w="57" w:type="dxa"/>
              <w:right w:w="57" w:type="dxa"/>
            </w:tcMar>
          </w:tcPr>
          <w:p w14:paraId="3D9B9F5E" w14:textId="3366FC79" w:rsidR="75807B5C" w:rsidRPr="00DC2AE2" w:rsidRDefault="75807B5C"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Director, Griffith Asia Institute</w:t>
            </w:r>
          </w:p>
        </w:tc>
        <w:tc>
          <w:tcPr>
            <w:tcW w:w="2552" w:type="dxa"/>
            <w:shd w:val="clear" w:color="auto" w:fill="auto"/>
            <w:tcMar>
              <w:top w:w="57" w:type="dxa"/>
              <w:left w:w="57" w:type="dxa"/>
              <w:bottom w:w="57" w:type="dxa"/>
              <w:right w:w="57" w:type="dxa"/>
            </w:tcMar>
          </w:tcPr>
          <w:p w14:paraId="13F61D3F" w14:textId="15BCF0E3"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w:t>
            </w:r>
            <w:r w:rsidR="00A55F0A" w:rsidRPr="00DC2AE2">
              <w:rPr>
                <w:rFonts w:eastAsia="Calibri" w:cs="Arial"/>
                <w:color w:val="000000" w:themeColor="text1"/>
                <w:sz w:val="18"/>
                <w:szCs w:val="18"/>
              </w:rPr>
              <w:t>Griffith University</w:t>
            </w:r>
            <w:r w:rsidRPr="00DC2AE2">
              <w:rPr>
                <w:rFonts w:eastAsia="Calibri" w:cs="Arial"/>
                <w:color w:val="000000" w:themeColor="text1"/>
                <w:sz w:val="18"/>
                <w:szCs w:val="18"/>
              </w:rPr>
              <w:t>:</w:t>
            </w:r>
            <w:r w:rsidR="00A55F0A" w:rsidRPr="00DC2AE2">
              <w:rPr>
                <w:rFonts w:eastAsia="Calibri" w:cs="Arial"/>
                <w:color w:val="000000" w:themeColor="text1"/>
                <w:sz w:val="18"/>
                <w:szCs w:val="18"/>
              </w:rPr>
              <w:t xml:space="preserve"> 9/11/2021</w:t>
            </w:r>
          </w:p>
        </w:tc>
      </w:tr>
      <w:tr w:rsidR="75807B5C" w:rsidRPr="00DC2AE2" w14:paraId="03F3D7D8" w14:textId="19630C80" w:rsidTr="009911AC">
        <w:trPr>
          <w:tblHeader/>
        </w:trPr>
        <w:tc>
          <w:tcPr>
            <w:tcW w:w="1350" w:type="dxa"/>
            <w:shd w:val="clear" w:color="auto" w:fill="auto"/>
            <w:tcMar>
              <w:top w:w="57" w:type="dxa"/>
              <w:left w:w="57" w:type="dxa"/>
              <w:bottom w:w="57" w:type="dxa"/>
              <w:right w:w="57" w:type="dxa"/>
            </w:tcMar>
          </w:tcPr>
          <w:p w14:paraId="79FBEBDF" w14:textId="5DE9B1FB" w:rsidR="75807B5C" w:rsidRPr="00DC2AE2" w:rsidRDefault="75807B5C" w:rsidP="00DC2AE2">
            <w:pPr>
              <w:spacing w:before="0" w:line="240" w:lineRule="exact"/>
              <w:rPr>
                <w:rFonts w:cs="Arial"/>
                <w:sz w:val="18"/>
                <w:szCs w:val="18"/>
              </w:rPr>
            </w:pPr>
            <w:r w:rsidRPr="00DC2AE2">
              <w:rPr>
                <w:rFonts w:eastAsia="Calibri" w:cs="Arial"/>
                <w:sz w:val="18"/>
                <w:szCs w:val="18"/>
              </w:rPr>
              <w:t>F</w:t>
            </w:r>
          </w:p>
        </w:tc>
        <w:tc>
          <w:tcPr>
            <w:tcW w:w="2655" w:type="dxa"/>
            <w:shd w:val="clear" w:color="auto" w:fill="auto"/>
            <w:tcMar>
              <w:top w:w="57" w:type="dxa"/>
              <w:left w:w="57" w:type="dxa"/>
              <w:bottom w:w="57" w:type="dxa"/>
              <w:right w:w="57" w:type="dxa"/>
            </w:tcMar>
          </w:tcPr>
          <w:p w14:paraId="5E0F888E" w14:textId="4296DBB4" w:rsidR="75807B5C" w:rsidRPr="00DC2AE2" w:rsidRDefault="75807B5C" w:rsidP="00DC2AE2">
            <w:pPr>
              <w:spacing w:before="0" w:line="240" w:lineRule="exact"/>
              <w:rPr>
                <w:rFonts w:cs="Arial"/>
                <w:sz w:val="18"/>
                <w:szCs w:val="18"/>
              </w:rPr>
            </w:pPr>
            <w:r w:rsidRPr="00DC2AE2">
              <w:rPr>
                <w:rFonts w:eastAsia="Calibri" w:cs="Arial"/>
                <w:sz w:val="18"/>
                <w:szCs w:val="18"/>
              </w:rPr>
              <w:t>Ms Sharm Aboosally</w:t>
            </w:r>
          </w:p>
        </w:tc>
        <w:tc>
          <w:tcPr>
            <w:tcW w:w="3356" w:type="dxa"/>
            <w:shd w:val="clear" w:color="auto" w:fill="auto"/>
            <w:tcMar>
              <w:top w:w="57" w:type="dxa"/>
              <w:left w:w="57" w:type="dxa"/>
              <w:bottom w:w="57" w:type="dxa"/>
              <w:right w:w="57" w:type="dxa"/>
            </w:tcMar>
          </w:tcPr>
          <w:p w14:paraId="6CBF03ED" w14:textId="05FB42C0"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Senior Commercial Projects Officer, Griffith Enterprise, former International Projects Officer/Projects Coordinator International Development</w:t>
            </w:r>
          </w:p>
        </w:tc>
        <w:tc>
          <w:tcPr>
            <w:tcW w:w="2552" w:type="dxa"/>
            <w:shd w:val="clear" w:color="auto" w:fill="auto"/>
            <w:tcMar>
              <w:top w:w="57" w:type="dxa"/>
              <w:left w:w="57" w:type="dxa"/>
              <w:bottom w:w="57" w:type="dxa"/>
              <w:right w:w="57" w:type="dxa"/>
            </w:tcMar>
          </w:tcPr>
          <w:p w14:paraId="39E86208" w14:textId="4CA65E24"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w:t>
            </w:r>
            <w:r w:rsidR="00A55F0A" w:rsidRPr="00DC2AE2">
              <w:rPr>
                <w:rFonts w:eastAsia="Calibri" w:cs="Arial"/>
                <w:color w:val="000000" w:themeColor="text1"/>
                <w:sz w:val="18"/>
                <w:szCs w:val="18"/>
              </w:rPr>
              <w:t>Griffith University</w:t>
            </w:r>
            <w:r w:rsidRPr="00DC2AE2">
              <w:rPr>
                <w:rFonts w:eastAsia="Calibri" w:cs="Arial"/>
                <w:color w:val="000000" w:themeColor="text1"/>
                <w:sz w:val="18"/>
                <w:szCs w:val="18"/>
              </w:rPr>
              <w:t>:</w:t>
            </w:r>
            <w:r w:rsidR="00A55F0A" w:rsidRPr="00DC2AE2">
              <w:rPr>
                <w:rFonts w:eastAsia="Calibri" w:cs="Arial"/>
                <w:color w:val="000000" w:themeColor="text1"/>
                <w:sz w:val="18"/>
                <w:szCs w:val="18"/>
              </w:rPr>
              <w:t xml:space="preserve"> 9/11/2021</w:t>
            </w:r>
            <w:r w:rsidR="00C92D61" w:rsidRPr="00DC2AE2">
              <w:rPr>
                <w:rFonts w:eastAsia="Calibri" w:cs="Arial"/>
                <w:color w:val="000000" w:themeColor="text1"/>
                <w:sz w:val="18"/>
                <w:szCs w:val="18"/>
              </w:rPr>
              <w:t xml:space="preserve"> &amp; </w:t>
            </w:r>
            <w:r w:rsidR="00A55F0A" w:rsidRPr="00DC2AE2">
              <w:rPr>
                <w:rFonts w:eastAsia="Calibri" w:cs="Arial"/>
                <w:color w:val="000000" w:themeColor="text1"/>
                <w:sz w:val="18"/>
                <w:szCs w:val="18"/>
              </w:rPr>
              <w:t>Interview:</w:t>
            </w:r>
            <w:r w:rsidRPr="00DC2AE2">
              <w:rPr>
                <w:rFonts w:eastAsia="Calibri" w:cs="Arial"/>
                <w:color w:val="000000" w:themeColor="text1"/>
                <w:sz w:val="18"/>
                <w:szCs w:val="18"/>
              </w:rPr>
              <w:t xml:space="preserve"> </w:t>
            </w:r>
            <w:r w:rsidR="00A55F0A" w:rsidRPr="00DC2AE2">
              <w:rPr>
                <w:rFonts w:eastAsia="Calibri" w:cs="Arial"/>
                <w:color w:val="000000" w:themeColor="text1"/>
                <w:sz w:val="18"/>
                <w:szCs w:val="18"/>
              </w:rPr>
              <w:t>16/11/2021</w:t>
            </w:r>
          </w:p>
        </w:tc>
      </w:tr>
      <w:tr w:rsidR="75807B5C" w:rsidRPr="00DC2AE2" w14:paraId="07ADB8F6" w14:textId="61FD715A" w:rsidTr="009911AC">
        <w:trPr>
          <w:tblHeader/>
        </w:trPr>
        <w:tc>
          <w:tcPr>
            <w:tcW w:w="1350" w:type="dxa"/>
            <w:shd w:val="clear" w:color="auto" w:fill="auto"/>
            <w:tcMar>
              <w:top w:w="57" w:type="dxa"/>
              <w:left w:w="57" w:type="dxa"/>
              <w:bottom w:w="57" w:type="dxa"/>
              <w:right w:w="57" w:type="dxa"/>
            </w:tcMar>
          </w:tcPr>
          <w:p w14:paraId="0353508F" w14:textId="72929320"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M</w:t>
            </w:r>
          </w:p>
        </w:tc>
        <w:tc>
          <w:tcPr>
            <w:tcW w:w="2655" w:type="dxa"/>
            <w:shd w:val="clear" w:color="auto" w:fill="auto"/>
            <w:tcMar>
              <w:top w:w="57" w:type="dxa"/>
              <w:left w:w="57" w:type="dxa"/>
              <w:bottom w:w="57" w:type="dxa"/>
              <w:right w:w="57" w:type="dxa"/>
            </w:tcMar>
          </w:tcPr>
          <w:p w14:paraId="4505CA40" w14:textId="6612CE03"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 xml:space="preserve">Mr Esala Masitabua </w:t>
            </w:r>
          </w:p>
        </w:tc>
        <w:tc>
          <w:tcPr>
            <w:tcW w:w="3356" w:type="dxa"/>
            <w:shd w:val="clear" w:color="auto" w:fill="auto"/>
            <w:tcMar>
              <w:top w:w="57" w:type="dxa"/>
              <w:left w:w="57" w:type="dxa"/>
              <w:bottom w:w="57" w:type="dxa"/>
              <w:right w:w="57" w:type="dxa"/>
            </w:tcMar>
          </w:tcPr>
          <w:p w14:paraId="785F452B" w14:textId="2E31F3AF"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 xml:space="preserve">Deputy Governor, Reserve Bank of Fiji, and SPCCB focal point </w:t>
            </w:r>
          </w:p>
        </w:tc>
        <w:tc>
          <w:tcPr>
            <w:tcW w:w="2552" w:type="dxa"/>
            <w:shd w:val="clear" w:color="auto" w:fill="auto"/>
            <w:tcMar>
              <w:top w:w="57" w:type="dxa"/>
              <w:left w:w="57" w:type="dxa"/>
              <w:bottom w:w="57" w:type="dxa"/>
              <w:right w:w="57" w:type="dxa"/>
            </w:tcMar>
          </w:tcPr>
          <w:p w14:paraId="7ABAB06D" w14:textId="0A53976C"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w:t>
            </w:r>
            <w:r w:rsidR="00A55F0A" w:rsidRPr="00DC2AE2">
              <w:rPr>
                <w:rFonts w:eastAsia="Calibri" w:cs="Arial"/>
                <w:color w:val="000000" w:themeColor="text1"/>
                <w:sz w:val="18"/>
                <w:szCs w:val="18"/>
              </w:rPr>
              <w:t>Senior L</w:t>
            </w:r>
            <w:r w:rsidRPr="00DC2AE2">
              <w:rPr>
                <w:rFonts w:eastAsia="Calibri" w:cs="Arial"/>
                <w:color w:val="000000" w:themeColor="text1"/>
                <w:sz w:val="18"/>
                <w:szCs w:val="18"/>
              </w:rPr>
              <w:t xml:space="preserve">eaders: </w:t>
            </w:r>
            <w:r w:rsidR="00A55F0A" w:rsidRPr="00DC2AE2">
              <w:rPr>
                <w:rFonts w:eastAsia="Calibri" w:cs="Arial"/>
                <w:color w:val="000000" w:themeColor="text1"/>
                <w:sz w:val="18"/>
                <w:szCs w:val="18"/>
              </w:rPr>
              <w:t>1/02/2022</w:t>
            </w:r>
          </w:p>
        </w:tc>
      </w:tr>
      <w:tr w:rsidR="75807B5C" w:rsidRPr="00DC2AE2" w14:paraId="1731AF27" w14:textId="02FE2FB2" w:rsidTr="009911AC">
        <w:trPr>
          <w:tblHeader/>
        </w:trPr>
        <w:tc>
          <w:tcPr>
            <w:tcW w:w="1350" w:type="dxa"/>
            <w:shd w:val="clear" w:color="auto" w:fill="auto"/>
            <w:tcMar>
              <w:top w:w="57" w:type="dxa"/>
              <w:left w:w="57" w:type="dxa"/>
              <w:bottom w:w="57" w:type="dxa"/>
              <w:right w:w="57" w:type="dxa"/>
            </w:tcMar>
          </w:tcPr>
          <w:p w14:paraId="20D794D5" w14:textId="6653EBD8"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F</w:t>
            </w:r>
          </w:p>
        </w:tc>
        <w:tc>
          <w:tcPr>
            <w:tcW w:w="2655" w:type="dxa"/>
            <w:shd w:val="clear" w:color="auto" w:fill="auto"/>
            <w:tcMar>
              <w:top w:w="57" w:type="dxa"/>
              <w:left w:w="57" w:type="dxa"/>
              <w:bottom w:w="57" w:type="dxa"/>
              <w:right w:w="57" w:type="dxa"/>
            </w:tcMar>
          </w:tcPr>
          <w:p w14:paraId="3117C612" w14:textId="214893B1"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 xml:space="preserve">Ms Louisa Baragamu </w:t>
            </w:r>
          </w:p>
        </w:tc>
        <w:tc>
          <w:tcPr>
            <w:tcW w:w="3356" w:type="dxa"/>
            <w:shd w:val="clear" w:color="auto" w:fill="auto"/>
            <w:tcMar>
              <w:top w:w="57" w:type="dxa"/>
              <w:left w:w="57" w:type="dxa"/>
              <w:bottom w:w="57" w:type="dxa"/>
              <w:right w:w="57" w:type="dxa"/>
            </w:tcMar>
          </w:tcPr>
          <w:p w14:paraId="50E0580E" w14:textId="6BA2BB7B"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Chief Manager Economics, Research and Statistics Department, Central Bank of Solomon Islands (CBSI)</w:t>
            </w:r>
          </w:p>
        </w:tc>
        <w:tc>
          <w:tcPr>
            <w:tcW w:w="2552" w:type="dxa"/>
            <w:shd w:val="clear" w:color="auto" w:fill="auto"/>
            <w:tcMar>
              <w:top w:w="57" w:type="dxa"/>
              <w:left w:w="57" w:type="dxa"/>
              <w:bottom w:w="57" w:type="dxa"/>
              <w:right w:w="57" w:type="dxa"/>
            </w:tcMar>
          </w:tcPr>
          <w:p w14:paraId="7F7D45F5" w14:textId="158C316A"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Group-Researchers &amp; Economists: 2/02/22</w:t>
            </w:r>
          </w:p>
        </w:tc>
      </w:tr>
      <w:tr w:rsidR="75807B5C" w:rsidRPr="00DC2AE2" w14:paraId="02D95225" w14:textId="4C442DCB" w:rsidTr="009911AC">
        <w:trPr>
          <w:tblHeader/>
        </w:trPr>
        <w:tc>
          <w:tcPr>
            <w:tcW w:w="1350" w:type="dxa"/>
            <w:shd w:val="clear" w:color="auto" w:fill="auto"/>
            <w:tcMar>
              <w:top w:w="57" w:type="dxa"/>
              <w:left w:w="57" w:type="dxa"/>
              <w:bottom w:w="57" w:type="dxa"/>
              <w:right w:w="57" w:type="dxa"/>
            </w:tcMar>
          </w:tcPr>
          <w:p w14:paraId="2FCB16A2" w14:textId="4F448B96"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F</w:t>
            </w:r>
          </w:p>
        </w:tc>
        <w:tc>
          <w:tcPr>
            <w:tcW w:w="2655" w:type="dxa"/>
            <w:shd w:val="clear" w:color="auto" w:fill="auto"/>
            <w:tcMar>
              <w:top w:w="57" w:type="dxa"/>
              <w:left w:w="57" w:type="dxa"/>
              <w:bottom w:w="57" w:type="dxa"/>
              <w:right w:w="57" w:type="dxa"/>
            </w:tcMar>
          </w:tcPr>
          <w:p w14:paraId="230656EF" w14:textId="503BBC8F" w:rsidR="75807B5C" w:rsidRPr="00DC2AE2" w:rsidRDefault="75807B5C" w:rsidP="00DC2AE2">
            <w:pPr>
              <w:spacing w:before="0" w:line="240" w:lineRule="exact"/>
              <w:rPr>
                <w:rFonts w:cs="Arial"/>
                <w:sz w:val="18"/>
                <w:szCs w:val="18"/>
              </w:rPr>
            </w:pPr>
            <w:r w:rsidRPr="00DC2AE2">
              <w:rPr>
                <w:rFonts w:eastAsia="Calibri" w:cs="Arial"/>
                <w:sz w:val="18"/>
                <w:szCs w:val="18"/>
              </w:rPr>
              <w:t>Ms Kalolaini Ranadi</w:t>
            </w:r>
          </w:p>
        </w:tc>
        <w:tc>
          <w:tcPr>
            <w:tcW w:w="3356" w:type="dxa"/>
            <w:shd w:val="clear" w:color="auto" w:fill="auto"/>
            <w:tcMar>
              <w:top w:w="57" w:type="dxa"/>
              <w:left w:w="57" w:type="dxa"/>
              <w:bottom w:w="57" w:type="dxa"/>
              <w:right w:w="57" w:type="dxa"/>
            </w:tcMar>
          </w:tcPr>
          <w:p w14:paraId="1A1DE73E" w14:textId="467C56AE" w:rsidR="75807B5C" w:rsidRPr="00DC2AE2" w:rsidRDefault="48E821F4"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Senior Economist, Reserve Bank of Fiji (RBF), and 2018 Australia Awards fellowship ‘Developing Research and Policy Formulation Capacity at the Central Banks (RBF &amp; RBV)’ alumni</w:t>
            </w:r>
          </w:p>
        </w:tc>
        <w:tc>
          <w:tcPr>
            <w:tcW w:w="2552" w:type="dxa"/>
            <w:shd w:val="clear" w:color="auto" w:fill="auto"/>
            <w:tcMar>
              <w:top w:w="57" w:type="dxa"/>
              <w:left w:w="57" w:type="dxa"/>
              <w:bottom w:w="57" w:type="dxa"/>
              <w:right w:w="57" w:type="dxa"/>
            </w:tcMar>
          </w:tcPr>
          <w:p w14:paraId="5CC53097" w14:textId="039698E4"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Group-Researchers &amp; Economists: 2/02/22</w:t>
            </w:r>
          </w:p>
        </w:tc>
      </w:tr>
      <w:tr w:rsidR="75807B5C" w:rsidRPr="00DC2AE2" w14:paraId="54DA4F82" w14:textId="26B11070" w:rsidTr="009911AC">
        <w:trPr>
          <w:tblHeader/>
        </w:trPr>
        <w:tc>
          <w:tcPr>
            <w:tcW w:w="1350" w:type="dxa"/>
            <w:shd w:val="clear" w:color="auto" w:fill="auto"/>
            <w:tcMar>
              <w:top w:w="57" w:type="dxa"/>
              <w:left w:w="57" w:type="dxa"/>
              <w:bottom w:w="57" w:type="dxa"/>
              <w:right w:w="57" w:type="dxa"/>
            </w:tcMar>
          </w:tcPr>
          <w:p w14:paraId="1754C4BB" w14:textId="5F973879"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M</w:t>
            </w:r>
          </w:p>
        </w:tc>
        <w:tc>
          <w:tcPr>
            <w:tcW w:w="2655" w:type="dxa"/>
            <w:shd w:val="clear" w:color="auto" w:fill="auto"/>
            <w:tcMar>
              <w:top w:w="57" w:type="dxa"/>
              <w:left w:w="57" w:type="dxa"/>
              <w:bottom w:w="57" w:type="dxa"/>
              <w:right w:w="57" w:type="dxa"/>
            </w:tcMar>
          </w:tcPr>
          <w:p w14:paraId="2D8F49D9" w14:textId="6CB461C3"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Mr Matia Tuisawau</w:t>
            </w:r>
          </w:p>
        </w:tc>
        <w:tc>
          <w:tcPr>
            <w:tcW w:w="3356" w:type="dxa"/>
            <w:shd w:val="clear" w:color="auto" w:fill="auto"/>
            <w:tcMar>
              <w:top w:w="57" w:type="dxa"/>
              <w:left w:w="57" w:type="dxa"/>
              <w:bottom w:w="57" w:type="dxa"/>
              <w:right w:w="57" w:type="dxa"/>
            </w:tcMar>
          </w:tcPr>
          <w:p w14:paraId="13A6DD5B" w14:textId="2C9FC3CC" w:rsidR="75807B5C" w:rsidRPr="00DC2AE2" w:rsidRDefault="48E821F4" w:rsidP="00DC2AE2">
            <w:pPr>
              <w:spacing w:before="0" w:line="240" w:lineRule="exact"/>
              <w:rPr>
                <w:rFonts w:cs="Arial"/>
                <w:sz w:val="18"/>
                <w:szCs w:val="18"/>
              </w:rPr>
            </w:pPr>
            <w:r w:rsidRPr="00DC2AE2">
              <w:rPr>
                <w:rFonts w:eastAsia="Calibri" w:cs="Arial"/>
                <w:sz w:val="18"/>
                <w:szCs w:val="18"/>
              </w:rPr>
              <w:t>Senior Economist, Reserve Bank of Fiji (RBF)</w:t>
            </w:r>
          </w:p>
        </w:tc>
        <w:tc>
          <w:tcPr>
            <w:tcW w:w="2552" w:type="dxa"/>
            <w:shd w:val="clear" w:color="auto" w:fill="auto"/>
            <w:tcMar>
              <w:top w:w="57" w:type="dxa"/>
              <w:left w:w="57" w:type="dxa"/>
              <w:bottom w:w="57" w:type="dxa"/>
              <w:right w:w="57" w:type="dxa"/>
            </w:tcMar>
          </w:tcPr>
          <w:p w14:paraId="43F772FF" w14:textId="1A92B9DC"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Group-Researchers &amp; Economists: 2/02/22</w:t>
            </w:r>
          </w:p>
        </w:tc>
      </w:tr>
      <w:tr w:rsidR="75807B5C" w:rsidRPr="00DC2AE2" w14:paraId="5B3C861A" w14:textId="0A4786EA" w:rsidTr="009911AC">
        <w:trPr>
          <w:tblHeader/>
        </w:trPr>
        <w:tc>
          <w:tcPr>
            <w:tcW w:w="1350" w:type="dxa"/>
            <w:shd w:val="clear" w:color="auto" w:fill="auto"/>
            <w:tcMar>
              <w:top w:w="57" w:type="dxa"/>
              <w:left w:w="57" w:type="dxa"/>
              <w:bottom w:w="57" w:type="dxa"/>
              <w:right w:w="57" w:type="dxa"/>
            </w:tcMar>
          </w:tcPr>
          <w:p w14:paraId="54251345" w14:textId="2E4BC69D"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F</w:t>
            </w:r>
          </w:p>
        </w:tc>
        <w:tc>
          <w:tcPr>
            <w:tcW w:w="2655" w:type="dxa"/>
            <w:shd w:val="clear" w:color="auto" w:fill="auto"/>
            <w:tcMar>
              <w:top w:w="57" w:type="dxa"/>
              <w:left w:w="57" w:type="dxa"/>
              <w:bottom w:w="57" w:type="dxa"/>
              <w:right w:w="57" w:type="dxa"/>
            </w:tcMar>
          </w:tcPr>
          <w:p w14:paraId="169415A5" w14:textId="3D0B30BB" w:rsidR="75807B5C" w:rsidRPr="00DC2AE2" w:rsidRDefault="75807B5C" w:rsidP="00DC2AE2">
            <w:pPr>
              <w:spacing w:before="0" w:line="240" w:lineRule="exact"/>
              <w:rPr>
                <w:rFonts w:cs="Arial"/>
                <w:sz w:val="18"/>
                <w:szCs w:val="18"/>
              </w:rPr>
            </w:pPr>
            <w:r w:rsidRPr="00DC2AE2">
              <w:rPr>
                <w:rFonts w:eastAsia="Calibri" w:cs="Arial"/>
                <w:color w:val="000000" w:themeColor="text1"/>
                <w:sz w:val="18"/>
                <w:szCs w:val="18"/>
              </w:rPr>
              <w:t xml:space="preserve">Ms Angeline Rohoia </w:t>
            </w:r>
          </w:p>
        </w:tc>
        <w:tc>
          <w:tcPr>
            <w:tcW w:w="3356" w:type="dxa"/>
            <w:shd w:val="clear" w:color="auto" w:fill="auto"/>
            <w:tcMar>
              <w:top w:w="57" w:type="dxa"/>
              <w:left w:w="57" w:type="dxa"/>
              <w:bottom w:w="57" w:type="dxa"/>
              <w:right w:w="57" w:type="dxa"/>
            </w:tcMar>
          </w:tcPr>
          <w:p w14:paraId="1BF486F6" w14:textId="2E6DF146" w:rsidR="75807B5C" w:rsidRPr="00DC2AE2" w:rsidRDefault="48E821F4" w:rsidP="00DC2AE2">
            <w:pPr>
              <w:spacing w:before="0" w:line="240" w:lineRule="exact"/>
              <w:rPr>
                <w:rFonts w:cs="Arial"/>
                <w:sz w:val="18"/>
                <w:szCs w:val="18"/>
              </w:rPr>
            </w:pPr>
            <w:r w:rsidRPr="00DC2AE2">
              <w:rPr>
                <w:rFonts w:eastAsia="Calibri" w:cs="Arial"/>
                <w:sz w:val="18"/>
                <w:szCs w:val="18"/>
              </w:rPr>
              <w:t>Senior Research Analyst, Research Unit Monetary Policy &amp; Research Division, Economics Research and Statistics Department, Central Bank of Solomon Islands (CBSI)</w:t>
            </w:r>
          </w:p>
        </w:tc>
        <w:tc>
          <w:tcPr>
            <w:tcW w:w="2552" w:type="dxa"/>
            <w:shd w:val="clear" w:color="auto" w:fill="auto"/>
            <w:tcMar>
              <w:top w:w="57" w:type="dxa"/>
              <w:left w:w="57" w:type="dxa"/>
              <w:bottom w:w="57" w:type="dxa"/>
              <w:right w:w="57" w:type="dxa"/>
            </w:tcMar>
          </w:tcPr>
          <w:p w14:paraId="1E3DA49D" w14:textId="41EF8897" w:rsidR="002A6662" w:rsidRPr="00DC2AE2" w:rsidRDefault="002A6662" w:rsidP="00DC2AE2">
            <w:pPr>
              <w:spacing w:before="0" w:line="240" w:lineRule="exact"/>
              <w:rPr>
                <w:rFonts w:eastAsia="Calibri" w:cs="Arial"/>
                <w:color w:val="000000" w:themeColor="text1"/>
                <w:sz w:val="18"/>
                <w:szCs w:val="18"/>
              </w:rPr>
            </w:pPr>
            <w:r w:rsidRPr="00DC2AE2">
              <w:rPr>
                <w:rFonts w:eastAsia="Calibri" w:cs="Arial"/>
                <w:color w:val="000000" w:themeColor="text1"/>
                <w:sz w:val="18"/>
                <w:szCs w:val="18"/>
              </w:rPr>
              <w:t>Focus Group-Researchers &amp; Economists: 2/02/22</w:t>
            </w:r>
          </w:p>
        </w:tc>
      </w:tr>
    </w:tbl>
    <w:p w14:paraId="177A79C5" w14:textId="77777777" w:rsidR="0058494B" w:rsidRDefault="0058494B" w:rsidP="00624F30">
      <w:pPr>
        <w:pStyle w:val="Heading3Nonumbering"/>
      </w:pPr>
      <w:bookmarkStart w:id="82" w:name="_Toc98408115"/>
      <w:bookmarkStart w:id="83" w:name="_Toc100666121"/>
    </w:p>
    <w:p w14:paraId="610E1A02" w14:textId="77777777" w:rsidR="0058494B" w:rsidRDefault="0058494B">
      <w:pPr>
        <w:spacing w:before="0"/>
        <w:rPr>
          <w:rFonts w:ascii="Times New Roman" w:eastAsiaTheme="majorEastAsia" w:hAnsi="Times New Roman" w:cs="Times New Roman"/>
          <w:color w:val="1F3864" w:themeColor="accent1" w:themeShade="80"/>
          <w:sz w:val="28"/>
          <w:szCs w:val="28"/>
        </w:rPr>
      </w:pPr>
      <w:r>
        <w:br w:type="page"/>
      </w:r>
    </w:p>
    <w:p w14:paraId="6EAF374A" w14:textId="509E396E" w:rsidR="3930F953" w:rsidRPr="00CB40AA" w:rsidRDefault="75807B5C" w:rsidP="00624F30">
      <w:pPr>
        <w:pStyle w:val="Heading3Nonumbering"/>
      </w:pPr>
      <w:bookmarkStart w:id="84" w:name="_Toc103348757"/>
      <w:r w:rsidRPr="00CB40AA">
        <w:lastRenderedPageBreak/>
        <w:t>Data management and reporting</w:t>
      </w:r>
      <w:bookmarkEnd w:id="82"/>
      <w:bookmarkEnd w:id="83"/>
      <w:bookmarkEnd w:id="84"/>
    </w:p>
    <w:p w14:paraId="2E5249C4" w14:textId="6C9C0C72" w:rsidR="3930F953" w:rsidRPr="00CB40AA" w:rsidRDefault="75807B5C" w:rsidP="007C083C">
      <w:pPr>
        <w:pStyle w:val="BodyCopy"/>
      </w:pPr>
      <w:r w:rsidRPr="00CB40AA">
        <w:t>Interviews were voice recorded (with approval granted to do so). In addition, the researchers annotated responses during the interview. A transcription specialist transcribed all interview recordings. After the completion of the interview and transcription process, the researchers consolidated the written and oral recordings into a single near-verbatim transcript (with restarting of sentences and fillers excluded).</w:t>
      </w:r>
    </w:p>
    <w:p w14:paraId="3E1702DC" w14:textId="1F4C14C8" w:rsidR="3930F953" w:rsidRPr="00CB40AA" w:rsidRDefault="75807B5C" w:rsidP="00624F30">
      <w:pPr>
        <w:pStyle w:val="Heading3Nonumbering"/>
      </w:pPr>
      <w:bookmarkStart w:id="85" w:name="_Toc98408116"/>
      <w:bookmarkStart w:id="86" w:name="_Toc100666122"/>
      <w:bookmarkStart w:id="87" w:name="_Toc103348758"/>
      <w:r w:rsidRPr="00CB40AA">
        <w:t>Coding and review</w:t>
      </w:r>
      <w:bookmarkEnd w:id="85"/>
      <w:bookmarkEnd w:id="86"/>
      <w:bookmarkEnd w:id="87"/>
    </w:p>
    <w:p w14:paraId="6DA44D48" w14:textId="0C95B5C9" w:rsidR="3930F953" w:rsidRPr="00CB40AA" w:rsidRDefault="75807B5C" w:rsidP="007C083C">
      <w:pPr>
        <w:pStyle w:val="BodyCopy"/>
      </w:pPr>
      <w:r w:rsidRPr="00CB40AA">
        <w:t xml:space="preserve">Interview scripts were subsequently coded using computer-assisted qualitative data analysis software, NVivo. This enabled emerging themes to be identified and links to be made between participants that supported or refuted the research propositions, as aligned with the long-term </w:t>
      </w:r>
      <w:r w:rsidRPr="41B275C1">
        <w:t xml:space="preserve">program </w:t>
      </w:r>
      <w:r w:rsidRPr="00CB40AA">
        <w:t>outcomes of the Australia Awards.</w:t>
      </w:r>
    </w:p>
    <w:p w14:paraId="4A909685" w14:textId="0586184D" w:rsidR="3930F953" w:rsidRPr="00CB40AA" w:rsidRDefault="75807B5C" w:rsidP="007C083C">
      <w:pPr>
        <w:pStyle w:val="BodyCopy"/>
      </w:pPr>
      <w:r w:rsidRPr="00CB40AA">
        <w:t>Analysis of the case study data involved a strategy that was guided by the theoretical proposition developed under the conceptual framework for the case study and by the techniques identified in the GTF’s Case Study Approach document.</w:t>
      </w:r>
    </w:p>
    <w:p w14:paraId="1CC66C6B" w14:textId="56A355AC" w:rsidR="3930F953" w:rsidRPr="00CB40AA" w:rsidRDefault="75807B5C" w:rsidP="007C083C">
      <w:pPr>
        <w:pStyle w:val="BodyCopy"/>
      </w:pPr>
      <w:r w:rsidRPr="00CB40AA">
        <w:t>Where requested case study participants were sent segments of the report where clarification or review and approval were necessary.</w:t>
      </w:r>
    </w:p>
    <w:p w14:paraId="751620D1" w14:textId="4D7C8756" w:rsidR="3930F953" w:rsidRPr="00CB40AA" w:rsidRDefault="75807B5C" w:rsidP="00624F30">
      <w:pPr>
        <w:pStyle w:val="Heading3Nonumbering"/>
      </w:pPr>
      <w:bookmarkStart w:id="88" w:name="_Toc98408117"/>
      <w:bookmarkStart w:id="89" w:name="_Toc100666123"/>
      <w:bookmarkStart w:id="90" w:name="_Toc103348759"/>
      <w:r w:rsidRPr="00CB40AA">
        <w:t>Limitations</w:t>
      </w:r>
      <w:bookmarkEnd w:id="88"/>
      <w:bookmarkEnd w:id="89"/>
      <w:bookmarkEnd w:id="90"/>
    </w:p>
    <w:p w14:paraId="480CDC76" w14:textId="6FB8C596" w:rsidR="3930F953" w:rsidRPr="00CB40AA" w:rsidRDefault="75807B5C" w:rsidP="007C083C">
      <w:pPr>
        <w:pStyle w:val="BodyCopy"/>
      </w:pPr>
      <w:r w:rsidRPr="00CB40AA">
        <w:t>There are several limitations of this research that were inherent to both the nature of the research and the research process, as discussed below.</w:t>
      </w:r>
    </w:p>
    <w:p w14:paraId="6786691A" w14:textId="6630BC5E" w:rsidR="3930F953" w:rsidRPr="00624F30" w:rsidRDefault="75807B5C" w:rsidP="00624F30">
      <w:pPr>
        <w:pStyle w:val="Heading41"/>
      </w:pPr>
      <w:r w:rsidRPr="00624F30">
        <w:t xml:space="preserve">Recruitment of a range of central bank participants </w:t>
      </w:r>
    </w:p>
    <w:p w14:paraId="28AE4D4B" w14:textId="5EA0AB4C" w:rsidR="3930F953" w:rsidRPr="00CB40AA" w:rsidRDefault="75807B5C" w:rsidP="007C083C">
      <w:pPr>
        <w:pStyle w:val="BodyCopy"/>
      </w:pPr>
      <w:r w:rsidRPr="00CB40AA">
        <w:t xml:space="preserve">A key limitation </w:t>
      </w:r>
      <w:r w:rsidR="28C847EB" w:rsidRPr="00CB40AA">
        <w:t>of this</w:t>
      </w:r>
      <w:r w:rsidRPr="00CB40AA">
        <w:t xml:space="preserve"> case study was a lack of representation from across the five central banks in SPCCB</w:t>
      </w:r>
      <w:r w:rsidR="28C847EB" w:rsidRPr="00CB40AA">
        <w:t>, reflecting a difficulty of an online-based case study in engaging with participants in locations with COVID-19 restrictions (limited internet connectivity and immediate priorities to address).</w:t>
      </w:r>
      <w:r w:rsidRPr="00CB40AA">
        <w:t xml:space="preserve"> The GTF worked closely with the </w:t>
      </w:r>
      <w:r w:rsidR="28C847EB" w:rsidRPr="00CB40AA">
        <w:t>Program Convenor</w:t>
      </w:r>
      <w:r w:rsidRPr="00CB40AA">
        <w:t xml:space="preserve"> of the SPCCB, Dr </w:t>
      </w:r>
      <w:r w:rsidR="28C847EB" w:rsidRPr="00CB40AA">
        <w:t xml:space="preserve">Parmendra </w:t>
      </w:r>
      <w:r w:rsidRPr="00CB40AA">
        <w:t>Sharma</w:t>
      </w:r>
      <w:r w:rsidR="28C847EB" w:rsidRPr="00CB40AA">
        <w:t>,</w:t>
      </w:r>
      <w:r w:rsidRPr="00CB40AA">
        <w:t xml:space="preserve"> to recruit both senior leaders and researchers for the two focus group sessions held on the 1st </w:t>
      </w:r>
      <w:r w:rsidR="28C847EB" w:rsidRPr="00CB40AA">
        <w:t>of February (</w:t>
      </w:r>
      <w:r w:rsidR="4DFA49C0" w:rsidRPr="00CB40AA">
        <w:t>central bank senior managers</w:t>
      </w:r>
      <w:r w:rsidR="008E0BF8" w:rsidRPr="00CB40AA">
        <w:t>)</w:t>
      </w:r>
      <w:r w:rsidRPr="00CB40AA">
        <w:t xml:space="preserve"> and 2nd</w:t>
      </w:r>
      <w:r w:rsidR="008E0BF8" w:rsidRPr="00CB40AA">
        <w:t xml:space="preserve"> </w:t>
      </w:r>
      <w:r w:rsidR="28C847EB" w:rsidRPr="00CB40AA">
        <w:t xml:space="preserve">of February </w:t>
      </w:r>
      <w:r w:rsidR="008E0BF8" w:rsidRPr="00CB40AA">
        <w:t>(SPCCB researchers</w:t>
      </w:r>
      <w:r w:rsidR="4DFA49C0" w:rsidRPr="00CB40AA">
        <w:t xml:space="preserve"> and economists)</w:t>
      </w:r>
      <w:r w:rsidR="28C847EB" w:rsidRPr="00CB40AA">
        <w:t>.</w:t>
      </w:r>
      <w:r w:rsidRPr="00CB40AA">
        <w:t xml:space="preserve"> Invitations went out in late November 2021, however</w:t>
      </w:r>
      <w:r w:rsidR="28C847EB" w:rsidRPr="00CB40AA">
        <w:t>,</w:t>
      </w:r>
      <w:r w:rsidRPr="00CB40AA">
        <w:t xml:space="preserve"> due to a range of factors including </w:t>
      </w:r>
      <w:r w:rsidR="002D19A0" w:rsidRPr="00CB40AA">
        <w:t>the impact of COVID-19 on the availability</w:t>
      </w:r>
      <w:r w:rsidR="00E43A0E" w:rsidRPr="00CB40AA">
        <w:t xml:space="preserve"> of members</w:t>
      </w:r>
      <w:r w:rsidR="0716FCBE" w:rsidRPr="00CB40AA">
        <w:t>,</w:t>
      </w:r>
      <w:r w:rsidR="00BA4CAC" w:rsidRPr="00CB40AA">
        <w:t xml:space="preserve"> staff away on </w:t>
      </w:r>
      <w:r w:rsidR="00E43A0E" w:rsidRPr="00CB40AA">
        <w:t xml:space="preserve">summer holiday break, </w:t>
      </w:r>
      <w:r w:rsidRPr="00CB40AA">
        <w:t>three staff from RBF</w:t>
      </w:r>
      <w:r w:rsidR="28C847EB" w:rsidRPr="00CB40AA">
        <w:t>,</w:t>
      </w:r>
      <w:r w:rsidRPr="00CB40AA">
        <w:t xml:space="preserve"> and two staff from the </w:t>
      </w:r>
      <w:r w:rsidR="28C847EB" w:rsidRPr="00CB40AA">
        <w:t>CBSI</w:t>
      </w:r>
      <w:r w:rsidRPr="00CB40AA">
        <w:t xml:space="preserve"> were able to participate</w:t>
      </w:r>
      <w:r w:rsidR="28C847EB" w:rsidRPr="00CB40AA">
        <w:t xml:space="preserve">. To balance representation from the key central bank partners, </w:t>
      </w:r>
      <w:r w:rsidR="00402CE1">
        <w:t xml:space="preserve">the GTF used secondary data collected </w:t>
      </w:r>
      <w:r w:rsidR="00C851E5">
        <w:t xml:space="preserve">from media articles and promotional materials from key stakeholders involved in the SPCCB partnership (websites, press releases, news articles and reports) </w:t>
      </w:r>
      <w:r w:rsidR="28C847EB" w:rsidRPr="00CB40AA">
        <w:t>in the analysis of the partnership outcomes</w:t>
      </w:r>
      <w:r w:rsidRPr="00CB40AA">
        <w:t>.</w:t>
      </w:r>
    </w:p>
    <w:p w14:paraId="6014AEC7" w14:textId="4CB2DE5D" w:rsidR="3930F953" w:rsidRPr="00402CE1" w:rsidRDefault="00402CE1" w:rsidP="007C083C">
      <w:pPr>
        <w:pStyle w:val="BodyCopy"/>
        <w:rPr>
          <w:sz w:val="32"/>
          <w:szCs w:val="32"/>
        </w:rPr>
      </w:pPr>
      <w:r>
        <w:t xml:space="preserve">The GTF shared the first draft of the report with Dr </w:t>
      </w:r>
      <w:r w:rsidR="75807B5C" w:rsidRPr="00CB40AA">
        <w:t>Sharma</w:t>
      </w:r>
      <w:r>
        <w:t xml:space="preserve"> for comment from Griffith University</w:t>
      </w:r>
      <w:r w:rsidR="00C851E5">
        <w:t xml:space="preserve">. He approached the </w:t>
      </w:r>
      <w:r>
        <w:t>five central bank Governors</w:t>
      </w:r>
      <w:r w:rsidR="00C851E5">
        <w:t xml:space="preserve"> for comment</w:t>
      </w:r>
      <w:r>
        <w:t>. Three Governors provided statement</w:t>
      </w:r>
      <w:r w:rsidR="00AF045F">
        <w:t>s</w:t>
      </w:r>
      <w:r>
        <w:t xml:space="preserve"> which </w:t>
      </w:r>
      <w:r w:rsidR="00AF045F">
        <w:t xml:space="preserve">are </w:t>
      </w:r>
      <w:r>
        <w:t>included in a break out section in the report. Please see section 4.4 High level perspective from the SPCCB Governors.</w:t>
      </w:r>
    </w:p>
    <w:p w14:paraId="699D58A2" w14:textId="77777777" w:rsidR="0058494B" w:rsidRDefault="0058494B">
      <w:pPr>
        <w:spacing w:before="0"/>
        <w:rPr>
          <w:b/>
          <w:bCs/>
        </w:rPr>
      </w:pPr>
      <w:r>
        <w:br w:type="page"/>
      </w:r>
    </w:p>
    <w:p w14:paraId="3ECD736B" w14:textId="7508B1E3" w:rsidR="3930F953" w:rsidRPr="00CB40AA" w:rsidRDefault="75807B5C" w:rsidP="00624F30">
      <w:pPr>
        <w:pStyle w:val="Heading41"/>
      </w:pPr>
      <w:r w:rsidRPr="00CB40AA">
        <w:lastRenderedPageBreak/>
        <w:t>Positive response bias</w:t>
      </w:r>
    </w:p>
    <w:p w14:paraId="6D405E6E" w14:textId="2EF679CB" w:rsidR="00DA0BC0" w:rsidRPr="00664178" w:rsidRDefault="00E80B46" w:rsidP="007C083C">
      <w:pPr>
        <w:pStyle w:val="BodyCopy"/>
      </w:pPr>
      <w:r w:rsidRPr="00CB40AA">
        <w:t>I</w:t>
      </w:r>
      <w:r w:rsidR="75807B5C" w:rsidRPr="00CB40AA">
        <w:t>t is likely that the stakeholders from the central banks in this case study had a positive bias towards their experience, outcomes</w:t>
      </w:r>
      <w:r w:rsidR="082DFC02" w:rsidRPr="00CB40AA">
        <w:t>,</w:t>
      </w:r>
      <w:r w:rsidR="75807B5C" w:rsidRPr="00CB40AA">
        <w:t xml:space="preserve"> and views of Australia. The GTF has developed interview questions and analyses approaches to reduce the impact of this bias—these are applied consistently across all case studies. Through this approach, leading questions are avoided, and </w:t>
      </w:r>
      <w:r w:rsidR="00776372">
        <w:t>participants</w:t>
      </w:r>
      <w:r w:rsidR="75807B5C" w:rsidRPr="00CB40AA">
        <w:t xml:space="preserve"> are offered opportunities to reflect on their outcomes at the beginning and at the end of the interview without specific questions to guide their answers.</w:t>
      </w:r>
      <w:r w:rsidR="28C847EB" w:rsidRPr="00CB40AA">
        <w:t xml:space="preserve"> Participants were also made aware of the strict research capacity of the GTF and its role in providing evidence of outcomes to DFAT.</w:t>
      </w:r>
      <w:r w:rsidR="00DA0BC0" w:rsidRPr="00CB40AA">
        <w:br w:type="page"/>
      </w:r>
    </w:p>
    <w:p w14:paraId="42384CFD" w14:textId="51DC6239" w:rsidR="00DA0BC0" w:rsidRPr="00CB40AA" w:rsidRDefault="00DA0BC0" w:rsidP="00624F30">
      <w:pPr>
        <w:pStyle w:val="Heading2NoNumbering"/>
      </w:pPr>
      <w:bookmarkStart w:id="91" w:name="_Toc103348760"/>
      <w:r w:rsidRPr="00CB40AA">
        <w:lastRenderedPageBreak/>
        <w:t xml:space="preserve">Annex </w:t>
      </w:r>
      <w:r w:rsidR="002A6662">
        <w:t>3</w:t>
      </w:r>
      <w:r w:rsidRPr="00CB40AA">
        <w:t>: Interview Guides</w:t>
      </w:r>
      <w:bookmarkEnd w:id="91"/>
    </w:p>
    <w:p w14:paraId="507D64E2" w14:textId="20EFC7C5" w:rsidR="00E43A0E" w:rsidRPr="00CB40AA" w:rsidRDefault="00E43A0E" w:rsidP="00624F30">
      <w:pPr>
        <w:pStyle w:val="Heading3Nonumbering"/>
      </w:pPr>
      <w:bookmarkStart w:id="92" w:name="_Toc98408119"/>
      <w:bookmarkStart w:id="93" w:name="_Toc100666125"/>
      <w:bookmarkStart w:id="94" w:name="_Toc103348761"/>
      <w:r w:rsidRPr="00CB40AA">
        <w:t>Host/</w:t>
      </w:r>
      <w:r w:rsidR="3209FA88">
        <w:t>Program Convenor</w:t>
      </w:r>
      <w:r w:rsidRPr="00CB40AA">
        <w:t xml:space="preserve"> </w:t>
      </w:r>
      <w:r w:rsidR="3209FA88">
        <w:t>– In-depth Interview</w:t>
      </w:r>
      <w:bookmarkEnd w:id="92"/>
      <w:bookmarkEnd w:id="93"/>
      <w:bookmarkEnd w:id="94"/>
    </w:p>
    <w:p w14:paraId="3D1BA0E8" w14:textId="77777777" w:rsidR="00E43A0E" w:rsidRPr="00A01512" w:rsidRDefault="00E43A0E" w:rsidP="00A01512">
      <w:pPr>
        <w:pStyle w:val="BodyCopy"/>
        <w:rPr>
          <w:b/>
          <w:bCs/>
        </w:rPr>
      </w:pPr>
      <w:r w:rsidRPr="00A01512">
        <w:rPr>
          <w:b/>
          <w:bCs/>
        </w:rPr>
        <w:t xml:space="preserve">Thinking back to the beginning when the group was referred to as the South Pacific Studies Group, we’re interested to hear how the network began and the role of the 2015 Australia Awards fellowship. </w:t>
      </w:r>
    </w:p>
    <w:p w14:paraId="67F8A611" w14:textId="77777777" w:rsidR="00E43A0E" w:rsidRPr="00A64242" w:rsidRDefault="00E43A0E" w:rsidP="00657E60">
      <w:pPr>
        <w:pStyle w:val="ListNumber"/>
        <w:numPr>
          <w:ilvl w:val="0"/>
          <w:numId w:val="10"/>
        </w:numPr>
        <w:rPr>
          <w:rFonts w:eastAsiaTheme="minorEastAsia"/>
        </w:rPr>
      </w:pPr>
      <w:r w:rsidRPr="00CB40AA">
        <w:t>How did SPSG begin and who was involved?</w:t>
      </w:r>
    </w:p>
    <w:p w14:paraId="4907C672" w14:textId="77777777" w:rsidR="00E43A0E" w:rsidRPr="00CB40AA" w:rsidRDefault="00E43A0E" w:rsidP="00A64242">
      <w:pPr>
        <w:pStyle w:val="ListNumber"/>
        <w:rPr>
          <w:rFonts w:eastAsiaTheme="minorEastAsia"/>
        </w:rPr>
      </w:pPr>
      <w:r w:rsidRPr="00CB40AA">
        <w:t>What was the motivation behind applying to host an Australia Awards fellowship in 2015?</w:t>
      </w:r>
    </w:p>
    <w:p w14:paraId="4A54EF4F" w14:textId="77777777" w:rsidR="00E43A0E" w:rsidRPr="00A64242" w:rsidRDefault="00E43A0E" w:rsidP="00A64242">
      <w:pPr>
        <w:pStyle w:val="Listletters"/>
      </w:pPr>
      <w:r w:rsidRPr="00A64242">
        <w:t>Who initiated applying for the fellowship?</w:t>
      </w:r>
    </w:p>
    <w:p w14:paraId="376D991E" w14:textId="77777777" w:rsidR="00E43A0E" w:rsidRPr="00A64242" w:rsidRDefault="00E43A0E" w:rsidP="00A64242">
      <w:pPr>
        <w:pStyle w:val="Listletters"/>
      </w:pPr>
      <w:r w:rsidRPr="00A64242">
        <w:t>Were there any intended outcomes for the SPSG as a group in undertaking the Australia Awards fellowship and were these realised?</w:t>
      </w:r>
    </w:p>
    <w:p w14:paraId="0297F190" w14:textId="77777777" w:rsidR="00E43A0E" w:rsidRPr="00A64242" w:rsidRDefault="00E43A0E" w:rsidP="00A64242">
      <w:pPr>
        <w:pStyle w:val="Listletters"/>
      </w:pPr>
      <w:r w:rsidRPr="00A64242">
        <w:t>Were there any unexpected outcomes or challenges for SPSG from the fellowship?</w:t>
      </w:r>
    </w:p>
    <w:p w14:paraId="1A1AD6BD" w14:textId="77777777" w:rsidR="00E43A0E" w:rsidRPr="00CB40AA" w:rsidRDefault="00E43A0E" w:rsidP="00A64242">
      <w:pPr>
        <w:pStyle w:val="ListNumber"/>
        <w:rPr>
          <w:rFonts w:eastAsiaTheme="minorEastAsia"/>
        </w:rPr>
      </w:pPr>
      <w:r w:rsidRPr="00CB40AA">
        <w:t>To what extent did the 2015 Australia Awards fellowship contribute to the partnership development of the SPSG network?</w:t>
      </w:r>
    </w:p>
    <w:p w14:paraId="12ACD7B3" w14:textId="77777777" w:rsidR="00E43A0E" w:rsidRPr="00A01512" w:rsidRDefault="00E43A0E" w:rsidP="00A01512">
      <w:pPr>
        <w:pStyle w:val="BodyCopy"/>
        <w:rPr>
          <w:b/>
          <w:bCs/>
        </w:rPr>
      </w:pPr>
      <w:r w:rsidRPr="00A01512">
        <w:rPr>
          <w:b/>
          <w:bCs/>
        </w:rPr>
        <w:t>These next questions are about the evolution of SPSG into the South Pacific Centre for Central Banking and the role of the 2018 Australia Awards fellowship.</w:t>
      </w:r>
    </w:p>
    <w:p w14:paraId="0BDB99A4" w14:textId="77777777" w:rsidR="00E43A0E" w:rsidRPr="00A64242" w:rsidRDefault="00E43A0E" w:rsidP="00DE622F">
      <w:pPr>
        <w:pStyle w:val="ListNumber"/>
      </w:pPr>
      <w:r w:rsidRPr="00CB40AA">
        <w:t xml:space="preserve">How did the South </w:t>
      </w:r>
      <w:r w:rsidRPr="00A64242">
        <w:t>Pacific Centre for Central Banking come to fruition?</w:t>
      </w:r>
    </w:p>
    <w:p w14:paraId="02A1D11E" w14:textId="77777777" w:rsidR="00E43A0E" w:rsidRPr="00CB40AA" w:rsidRDefault="00E43A0E" w:rsidP="00A64242">
      <w:pPr>
        <w:pStyle w:val="ListNumber"/>
        <w:rPr>
          <w:rFonts w:eastAsiaTheme="minorEastAsia"/>
        </w:rPr>
      </w:pPr>
      <w:r w:rsidRPr="00A64242">
        <w:t>What was the purpos</w:t>
      </w:r>
      <w:r w:rsidRPr="00CB40AA">
        <w:t>e or motivation for applying to host another Australia Awards fellowship in 2017?</w:t>
      </w:r>
    </w:p>
    <w:p w14:paraId="14E029A4" w14:textId="77777777" w:rsidR="00E43A0E" w:rsidRPr="00A64242" w:rsidRDefault="00E43A0E" w:rsidP="00657E60">
      <w:pPr>
        <w:pStyle w:val="Listletters"/>
        <w:numPr>
          <w:ilvl w:val="0"/>
          <w:numId w:val="12"/>
        </w:numPr>
        <w:rPr>
          <w:rFonts w:eastAsiaTheme="minorEastAsia"/>
        </w:rPr>
      </w:pPr>
      <w:r w:rsidRPr="00CB40AA">
        <w:t>To what extent did the 2018 Australia Awards fellowship with the Fiji and Vanuatu Central Banks contribute to the goals of SPCCB?</w:t>
      </w:r>
    </w:p>
    <w:p w14:paraId="76AA45D4" w14:textId="77777777" w:rsidR="00E43A0E" w:rsidRPr="00CB40AA" w:rsidRDefault="00E43A0E" w:rsidP="00A64242">
      <w:pPr>
        <w:pStyle w:val="ListNumber"/>
        <w:rPr>
          <w:rFonts w:eastAsiaTheme="minorEastAsia"/>
        </w:rPr>
      </w:pPr>
      <w:r w:rsidRPr="00CB40AA">
        <w:t>To what extent did the 2018 Australia Awards fellowship contribute to the partnership development of the SPCCB network?</w:t>
      </w:r>
    </w:p>
    <w:p w14:paraId="7D45D145" w14:textId="77777777" w:rsidR="00E43A0E" w:rsidRPr="00CB40AA" w:rsidRDefault="00E43A0E" w:rsidP="00A64242">
      <w:pPr>
        <w:pStyle w:val="ListNumber"/>
        <w:rPr>
          <w:rFonts w:eastAsiaTheme="minorEastAsia"/>
        </w:rPr>
      </w:pPr>
      <w:r w:rsidRPr="00CB40AA">
        <w:t>Was there any impact to SPCCB when the Australia Awards fellowships ended?</w:t>
      </w:r>
    </w:p>
    <w:p w14:paraId="7A7A3C9F" w14:textId="77777777" w:rsidR="00E43A0E" w:rsidRPr="00A64242" w:rsidRDefault="00E43A0E" w:rsidP="00657E60">
      <w:pPr>
        <w:pStyle w:val="Listletters"/>
        <w:numPr>
          <w:ilvl w:val="0"/>
          <w:numId w:val="13"/>
        </w:numPr>
        <w:rPr>
          <w:rFonts w:eastAsiaTheme="minorEastAsia"/>
        </w:rPr>
      </w:pPr>
      <w:r w:rsidRPr="00CB40AA">
        <w:t>If there were challenges or negatives – was the network able to find a solution to this/these impacts?</w:t>
      </w:r>
    </w:p>
    <w:p w14:paraId="3E74AA01" w14:textId="77777777" w:rsidR="00E43A0E" w:rsidRPr="00A01512" w:rsidRDefault="00E43A0E" w:rsidP="00A01512">
      <w:pPr>
        <w:pStyle w:val="BodyCopy"/>
        <w:rPr>
          <w:b/>
          <w:bCs/>
        </w:rPr>
      </w:pPr>
      <w:r w:rsidRPr="00A01512">
        <w:rPr>
          <w:b/>
          <w:bCs/>
        </w:rPr>
        <w:t>In these next questions, we’d like to understand more about the organisations contributing to SPCCB.</w:t>
      </w:r>
    </w:p>
    <w:p w14:paraId="1CAAC726" w14:textId="77777777" w:rsidR="00E43A0E" w:rsidRPr="00A64242" w:rsidRDefault="00E43A0E" w:rsidP="00DE622F">
      <w:pPr>
        <w:pStyle w:val="ListNumber"/>
        <w:rPr>
          <w:rFonts w:eastAsiaTheme="minorEastAsia"/>
        </w:rPr>
      </w:pPr>
      <w:r w:rsidRPr="00CB40AA">
        <w:t>What has been the process in identifying a partner central bank and building a relationship?</w:t>
      </w:r>
    </w:p>
    <w:p w14:paraId="5EA6CE07" w14:textId="77777777" w:rsidR="00E43A0E" w:rsidRPr="00CB40AA" w:rsidRDefault="00E43A0E" w:rsidP="00A64242">
      <w:pPr>
        <w:pStyle w:val="ListNumber"/>
        <w:rPr>
          <w:rFonts w:eastAsiaTheme="minorEastAsia"/>
        </w:rPr>
      </w:pPr>
      <w:r w:rsidRPr="00CB40AA">
        <w:t>Are there any factors that have challenged developing partnerships with these or other central banks?</w:t>
      </w:r>
    </w:p>
    <w:p w14:paraId="403AB87C" w14:textId="77777777" w:rsidR="00E43A0E" w:rsidRPr="00CB40AA" w:rsidRDefault="00E43A0E" w:rsidP="00A64242">
      <w:pPr>
        <w:pStyle w:val="ListNumber"/>
        <w:rPr>
          <w:rFonts w:eastAsiaTheme="minorEastAsia"/>
        </w:rPr>
      </w:pPr>
      <w:r w:rsidRPr="00CB40AA">
        <w:t xml:space="preserve">How have the other key stakeholders joined and supported the network? (e.g. the Reserve Banks of Australia and NZ, WB, ADB) </w:t>
      </w:r>
    </w:p>
    <w:p w14:paraId="27C45400" w14:textId="77777777" w:rsidR="00E43A0E" w:rsidRPr="00A64242" w:rsidRDefault="00E43A0E" w:rsidP="00657E60">
      <w:pPr>
        <w:pStyle w:val="Listletters"/>
        <w:numPr>
          <w:ilvl w:val="0"/>
          <w:numId w:val="14"/>
        </w:numPr>
      </w:pPr>
      <w:r w:rsidRPr="00A64242">
        <w:t>What is the role of these organisations as key stakeholders in SPCCB?</w:t>
      </w:r>
    </w:p>
    <w:p w14:paraId="31D74D81" w14:textId="77777777" w:rsidR="00E43A0E" w:rsidRPr="00A64242" w:rsidRDefault="00E43A0E" w:rsidP="00657E60">
      <w:pPr>
        <w:pStyle w:val="Listletters"/>
        <w:numPr>
          <w:ilvl w:val="0"/>
          <w:numId w:val="14"/>
        </w:numPr>
      </w:pPr>
      <w:r w:rsidRPr="00A64242">
        <w:t xml:space="preserve">Are there other capacity development/training programs provided by other stakeholders? </w:t>
      </w:r>
    </w:p>
    <w:p w14:paraId="2BC52EF9" w14:textId="77777777" w:rsidR="00E43A0E" w:rsidRPr="00A64242" w:rsidRDefault="00E43A0E" w:rsidP="00657E60">
      <w:pPr>
        <w:pStyle w:val="Listletters"/>
        <w:numPr>
          <w:ilvl w:val="0"/>
          <w:numId w:val="14"/>
        </w:numPr>
      </w:pPr>
      <w:r w:rsidRPr="00A64242">
        <w:t>If yes; have these other programs filled the gap left by the ending of Australia Awards fellowships?)</w:t>
      </w:r>
    </w:p>
    <w:p w14:paraId="46A7C985" w14:textId="77777777" w:rsidR="00E43A0E" w:rsidRPr="00A64242" w:rsidRDefault="00E43A0E" w:rsidP="00A64242">
      <w:pPr>
        <w:pStyle w:val="ListNumber"/>
      </w:pPr>
      <w:r w:rsidRPr="00A64242">
        <w:t>What factors have enabled the ongoing sustainability of SPCCB? (e.g. funding sources, policy)</w:t>
      </w:r>
    </w:p>
    <w:p w14:paraId="2DEABC99" w14:textId="77777777" w:rsidR="00E43A0E" w:rsidRPr="00CB40AA" w:rsidRDefault="00E43A0E" w:rsidP="00A64242">
      <w:pPr>
        <w:pStyle w:val="ListNumber"/>
        <w:rPr>
          <w:rFonts w:eastAsiaTheme="minorEastAsia"/>
        </w:rPr>
      </w:pPr>
      <w:r w:rsidRPr="00A64242">
        <w:t>What are the risks and challenges to being able to maintain</w:t>
      </w:r>
      <w:r w:rsidRPr="00CB40AA">
        <w:t xml:space="preserve"> the SPCCB network?</w:t>
      </w:r>
    </w:p>
    <w:p w14:paraId="215205C9" w14:textId="77777777" w:rsidR="00E43A0E" w:rsidRPr="00A01512" w:rsidRDefault="00E43A0E" w:rsidP="00A01512">
      <w:pPr>
        <w:pStyle w:val="BodyCopy"/>
        <w:rPr>
          <w:b/>
          <w:bCs/>
        </w:rPr>
      </w:pPr>
      <w:r w:rsidRPr="00A01512">
        <w:rPr>
          <w:b/>
          <w:bCs/>
        </w:rPr>
        <w:lastRenderedPageBreak/>
        <w:t>In this last set of questions, we’d like to explore the impact of the SPCCB network to development and building links with Australia</w:t>
      </w:r>
    </w:p>
    <w:p w14:paraId="62B4BF71" w14:textId="77777777" w:rsidR="00E43A0E" w:rsidRPr="00CB40AA" w:rsidRDefault="00E43A0E" w:rsidP="00DE622F">
      <w:pPr>
        <w:pStyle w:val="ListNumber"/>
        <w:rPr>
          <w:rFonts w:eastAsiaTheme="minorEastAsia"/>
        </w:rPr>
      </w:pPr>
      <w:r w:rsidRPr="00CB40AA">
        <w:t>How is the SPCCB network contributing to sustainable development in the region?</w:t>
      </w:r>
    </w:p>
    <w:p w14:paraId="4B214092" w14:textId="77777777" w:rsidR="00E43A0E" w:rsidRPr="00A64242" w:rsidRDefault="00E43A0E" w:rsidP="00657E60">
      <w:pPr>
        <w:pStyle w:val="Listletters"/>
        <w:numPr>
          <w:ilvl w:val="0"/>
          <w:numId w:val="15"/>
        </w:numPr>
        <w:rPr>
          <w:rFonts w:eastAsiaTheme="minorEastAsia"/>
        </w:rPr>
      </w:pPr>
      <w:r w:rsidRPr="00CB40AA">
        <w:t>Can you provide examples?</w:t>
      </w:r>
    </w:p>
    <w:p w14:paraId="55B6F7CE" w14:textId="77777777" w:rsidR="00E43A0E" w:rsidRPr="00CB40AA" w:rsidRDefault="00E43A0E" w:rsidP="00A64242">
      <w:pPr>
        <w:pStyle w:val="ListNumber"/>
        <w:rPr>
          <w:rFonts w:eastAsiaTheme="minorEastAsia"/>
        </w:rPr>
      </w:pPr>
      <w:r w:rsidRPr="00CB40AA">
        <w:t xml:space="preserve">How has the SPCCB network contributed to Australia’s bilateral relationships across the South Pacific? </w:t>
      </w:r>
    </w:p>
    <w:p w14:paraId="674D80B6" w14:textId="77777777" w:rsidR="00E43A0E" w:rsidRPr="00A64242" w:rsidRDefault="00E43A0E" w:rsidP="00657E60">
      <w:pPr>
        <w:pStyle w:val="Listletters"/>
        <w:numPr>
          <w:ilvl w:val="0"/>
          <w:numId w:val="16"/>
        </w:numPr>
        <w:rPr>
          <w:rFonts w:eastAsiaTheme="minorEastAsia"/>
        </w:rPr>
      </w:pPr>
      <w:r w:rsidRPr="00CB40AA">
        <w:t>Can you provide examples?</w:t>
      </w:r>
    </w:p>
    <w:p w14:paraId="4D5F8E3D" w14:textId="33C04AA8" w:rsidR="00E43A0E" w:rsidRPr="00CB40AA" w:rsidRDefault="00E43A0E" w:rsidP="00A64242">
      <w:pPr>
        <w:pStyle w:val="ListNumber"/>
        <w:rPr>
          <w:rFonts w:eastAsiaTheme="minorEastAsia"/>
        </w:rPr>
      </w:pPr>
      <w:r w:rsidRPr="00CB40AA">
        <w:t>What recommendations would you make to DFAT, and the Australia Awards Section in particular, to help host organisations develop and sustain successful partnerships with institutions in developing countries?</w:t>
      </w:r>
    </w:p>
    <w:p w14:paraId="71EB6911" w14:textId="2865BEF1" w:rsidR="00E43A0E" w:rsidRPr="00CB40AA" w:rsidRDefault="00E43A0E" w:rsidP="00174F0D">
      <w:pPr>
        <w:pStyle w:val="Heading3Nonumbering"/>
      </w:pPr>
      <w:bookmarkStart w:id="95" w:name="_Toc98408120"/>
      <w:bookmarkStart w:id="96" w:name="_Toc100666126"/>
      <w:bookmarkStart w:id="97" w:name="_Toc103348762"/>
      <w:r w:rsidRPr="00CB40AA">
        <w:t xml:space="preserve">Griffith </w:t>
      </w:r>
      <w:r w:rsidRPr="00624F30">
        <w:t>International</w:t>
      </w:r>
      <w:r w:rsidRPr="00CB40AA">
        <w:t xml:space="preserve"> </w:t>
      </w:r>
      <w:r w:rsidR="3209FA88">
        <w:t>– In-depth Interview</w:t>
      </w:r>
      <w:bookmarkEnd w:id="95"/>
      <w:bookmarkEnd w:id="96"/>
      <w:bookmarkEnd w:id="97"/>
    </w:p>
    <w:p w14:paraId="6F2AB546" w14:textId="01AF456B" w:rsidR="00E43A0E" w:rsidRPr="00CB40AA" w:rsidRDefault="00E43A0E" w:rsidP="00174F0D">
      <w:pPr>
        <w:pStyle w:val="Heading41"/>
      </w:pPr>
      <w:r w:rsidRPr="00CB40AA">
        <w:t>Topic 1: Australia Awards fellowships and SPCCB</w:t>
      </w:r>
    </w:p>
    <w:p w14:paraId="54792142" w14:textId="77777777" w:rsidR="00E43A0E" w:rsidRPr="004F1910" w:rsidRDefault="00E43A0E" w:rsidP="00657E60">
      <w:pPr>
        <w:pStyle w:val="ListNumber"/>
        <w:numPr>
          <w:ilvl w:val="0"/>
          <w:numId w:val="9"/>
        </w:numPr>
      </w:pPr>
      <w:r w:rsidRPr="00CB40AA">
        <w:t xml:space="preserve">Could </w:t>
      </w:r>
      <w:r w:rsidRPr="004F1910">
        <w:t>you provide any background information on Griffith University’s strategy behind the application of the 2015 Australia Awards fellowship with the fledging connection with the Reserve Bank of Fiji?</w:t>
      </w:r>
    </w:p>
    <w:p w14:paraId="45FDD14B" w14:textId="77777777" w:rsidR="00E43A0E" w:rsidRPr="00CB40AA" w:rsidRDefault="00E43A0E" w:rsidP="004F1910">
      <w:pPr>
        <w:pStyle w:val="ListNumber"/>
      </w:pPr>
      <w:r w:rsidRPr="004F1910">
        <w:t>What was</w:t>
      </w:r>
      <w:r w:rsidRPr="00CB40AA">
        <w:t xml:space="preserve"> the impetus behind the 2018 Australia Awards fellowship application with the three separate central banks in the SPCCB network?</w:t>
      </w:r>
    </w:p>
    <w:p w14:paraId="35530ECD" w14:textId="77777777" w:rsidR="00E43A0E" w:rsidRPr="00CB40AA" w:rsidRDefault="00E43A0E" w:rsidP="00174F0D">
      <w:pPr>
        <w:pStyle w:val="Heading41"/>
      </w:pPr>
      <w:r w:rsidRPr="00CB40AA">
        <w:t>Topic 2: Australia Awards fellowships and Griffith International</w:t>
      </w:r>
    </w:p>
    <w:p w14:paraId="4E6B9F2B" w14:textId="77777777" w:rsidR="00E43A0E" w:rsidRPr="00404522" w:rsidRDefault="00E43A0E" w:rsidP="004F1910">
      <w:pPr>
        <w:pStyle w:val="ListNumber"/>
        <w:rPr>
          <w:rFonts w:eastAsiaTheme="minorEastAsia"/>
        </w:rPr>
      </w:pPr>
      <w:r w:rsidRPr="00CB40AA">
        <w:t xml:space="preserve">Broadly, what was the impact of the Australia Award fellowship modality on the development and strengthening of partnerships in the Asia Pacific region for Griffith International? </w:t>
      </w:r>
    </w:p>
    <w:p w14:paraId="11C62684" w14:textId="77777777" w:rsidR="00E43A0E" w:rsidRPr="00CB40AA" w:rsidRDefault="00E43A0E" w:rsidP="00404522">
      <w:pPr>
        <w:pStyle w:val="ListNumber"/>
      </w:pPr>
      <w:r w:rsidRPr="00CB40AA">
        <w:t xml:space="preserve">In general, have partnerships awarded an Australia Awards fellowship been sustainable in the long-term post award? </w:t>
      </w:r>
    </w:p>
    <w:p w14:paraId="79C04D06" w14:textId="77777777" w:rsidR="00E43A0E" w:rsidRPr="00404522" w:rsidRDefault="00E43A0E" w:rsidP="00657E60">
      <w:pPr>
        <w:pStyle w:val="Listletters"/>
        <w:numPr>
          <w:ilvl w:val="0"/>
          <w:numId w:val="17"/>
        </w:numPr>
      </w:pPr>
      <w:r w:rsidRPr="00404522">
        <w:t>From your observations, what is needed in a partnership to be sustainable after an Australia Awards fellowship?</w:t>
      </w:r>
    </w:p>
    <w:p w14:paraId="75E97FFC" w14:textId="21AE45EA" w:rsidR="00E43A0E" w:rsidRPr="00CB40AA" w:rsidRDefault="00E43A0E" w:rsidP="00404522">
      <w:pPr>
        <w:pStyle w:val="ListNumber"/>
        <w:rPr>
          <w:rFonts w:eastAsiaTheme="minorEastAsia"/>
        </w:rPr>
      </w:pPr>
      <w:r w:rsidRPr="00CB40AA">
        <w:t>How did the cessation of the Australia Award fellowships impact Griffith International’s strategy?</w:t>
      </w:r>
    </w:p>
    <w:p w14:paraId="3C4B6439" w14:textId="0FCD248D" w:rsidR="00E43A0E" w:rsidRPr="00CB40AA" w:rsidRDefault="00E43A0E" w:rsidP="00404522">
      <w:pPr>
        <w:pStyle w:val="ListNumber"/>
        <w:rPr>
          <w:rFonts w:eastAsiaTheme="minorEastAsia"/>
        </w:rPr>
      </w:pPr>
      <w:r w:rsidRPr="00CB40AA">
        <w:t>What resources does Griffith use to build sustainable partnerships with organisations in developing regions? How does the funding mechanism of the Australia Awards fellowships sit in the Griffith’s international strategy?</w:t>
      </w:r>
    </w:p>
    <w:p w14:paraId="3AD5F224" w14:textId="0175619C" w:rsidR="00E43A0E" w:rsidRPr="00CB40AA" w:rsidRDefault="00E43A0E" w:rsidP="00404522">
      <w:pPr>
        <w:pStyle w:val="ListNumber"/>
        <w:rPr>
          <w:rFonts w:eastAsiaTheme="minorEastAsia"/>
        </w:rPr>
      </w:pPr>
      <w:r w:rsidRPr="00CB40AA">
        <w:t>In the current COVID-19 recovery climate, would the Australia Awards fellowships have been enough to develop and maintain partnerships?</w:t>
      </w:r>
    </w:p>
    <w:p w14:paraId="3CB7314F" w14:textId="77777777" w:rsidR="00E43A0E" w:rsidRPr="00CB40AA" w:rsidRDefault="00E43A0E" w:rsidP="00174F0D">
      <w:pPr>
        <w:pStyle w:val="Heading41"/>
      </w:pPr>
      <w:r w:rsidRPr="00CB40AA">
        <w:t>Topic 3: Recommendations for future Australia Awards fellowships</w:t>
      </w:r>
    </w:p>
    <w:p w14:paraId="17FC8025" w14:textId="79061E85" w:rsidR="00E43A0E" w:rsidRPr="00404522" w:rsidRDefault="00E43A0E" w:rsidP="004F1910">
      <w:pPr>
        <w:pStyle w:val="ListNumber"/>
        <w:rPr>
          <w:rFonts w:eastAsiaTheme="minorEastAsia"/>
        </w:rPr>
      </w:pPr>
      <w:r w:rsidRPr="00CB40AA">
        <w:t>In order to improve the resourcing burden for universities and DFAT, what recommendations would you make if the Australia Awards fellowships were re-started?</w:t>
      </w:r>
    </w:p>
    <w:p w14:paraId="64917CE1" w14:textId="77777777" w:rsidR="00E43A0E" w:rsidRPr="00CB40AA" w:rsidRDefault="00E43A0E" w:rsidP="00E43A0E">
      <w:pPr>
        <w:spacing w:before="120" w:after="0"/>
      </w:pPr>
      <w:r w:rsidRPr="00CB40AA">
        <w:br w:type="page"/>
      </w:r>
    </w:p>
    <w:p w14:paraId="0C876D95" w14:textId="5C88D465" w:rsidR="65794A32" w:rsidRPr="00CB40AA" w:rsidRDefault="65794A32" w:rsidP="00174F0D">
      <w:pPr>
        <w:pStyle w:val="Heading3Nonumbering"/>
      </w:pPr>
      <w:bookmarkStart w:id="98" w:name="_Toc98408121"/>
      <w:bookmarkStart w:id="99" w:name="_Toc100666127"/>
      <w:bookmarkStart w:id="100" w:name="_Toc103348763"/>
      <w:r w:rsidRPr="00CB40AA">
        <w:lastRenderedPageBreak/>
        <w:t>Griffith, Host Organisation – Focus Group Discussion</w:t>
      </w:r>
      <w:bookmarkEnd w:id="98"/>
      <w:bookmarkEnd w:id="99"/>
      <w:bookmarkEnd w:id="100"/>
    </w:p>
    <w:p w14:paraId="7AB87277" w14:textId="77777777" w:rsidR="65794A32" w:rsidRPr="00CB40AA" w:rsidRDefault="65794A32" w:rsidP="00174F0D">
      <w:pPr>
        <w:pStyle w:val="Heading41"/>
      </w:pPr>
      <w:r w:rsidRPr="00CB40AA">
        <w:t>Topic 1: Griffith’s approach to international engagement</w:t>
      </w:r>
    </w:p>
    <w:p w14:paraId="02D903B8" w14:textId="77777777" w:rsidR="4F6A6DF2" w:rsidRPr="00A01512" w:rsidRDefault="4F6A6DF2" w:rsidP="00657E60">
      <w:pPr>
        <w:pStyle w:val="ListNumber"/>
        <w:numPr>
          <w:ilvl w:val="0"/>
          <w:numId w:val="18"/>
        </w:numPr>
        <w:rPr>
          <w:rFonts w:eastAsiaTheme="minorEastAsia"/>
        </w:rPr>
      </w:pPr>
      <w:r w:rsidRPr="00CB40AA">
        <w:t xml:space="preserve">Broadly describing, can you explain Griffith University’s international strategy in the Asia Pacific region? </w:t>
      </w:r>
    </w:p>
    <w:p w14:paraId="6E326E76" w14:textId="2FF4D910" w:rsidR="4F6A6DF2" w:rsidRPr="00CB40AA" w:rsidRDefault="4F6A6DF2" w:rsidP="00A01512">
      <w:pPr>
        <w:pStyle w:val="ListNumber"/>
        <w:rPr>
          <w:rFonts w:eastAsiaTheme="minorEastAsia"/>
        </w:rPr>
      </w:pPr>
      <w:r w:rsidRPr="00CB40AA">
        <w:t>In what ways do awards like the Australia Awards fellowships contribute to Griffith University’s international strategy?</w:t>
      </w:r>
    </w:p>
    <w:p w14:paraId="2BE1EB0B" w14:textId="77777777" w:rsidR="65794A32" w:rsidRPr="00CB40AA" w:rsidRDefault="65794A32" w:rsidP="00174F0D">
      <w:pPr>
        <w:pStyle w:val="Heading41"/>
      </w:pPr>
      <w:r w:rsidRPr="00CB40AA">
        <w:t xml:space="preserve">Topic 2: SPCCB and Griffith </w:t>
      </w:r>
      <w:r w:rsidRPr="00174F0D">
        <w:t>University</w:t>
      </w:r>
    </w:p>
    <w:p w14:paraId="68D85675" w14:textId="77777777" w:rsidR="4F6A6DF2" w:rsidRPr="00A01512" w:rsidRDefault="4F6A6DF2" w:rsidP="00A01512">
      <w:pPr>
        <w:pStyle w:val="ListNumber"/>
      </w:pPr>
      <w:r w:rsidRPr="00A01512">
        <w:t>How does SPCCB support achieving Griffith Asia Institute’s objectives?</w:t>
      </w:r>
    </w:p>
    <w:p w14:paraId="65B5BCB9" w14:textId="77777777" w:rsidR="4F6A6DF2" w:rsidRPr="00A01512" w:rsidRDefault="4F6A6DF2" w:rsidP="00A01512">
      <w:pPr>
        <w:pStyle w:val="ListNumber"/>
      </w:pPr>
      <w:r w:rsidRPr="00A01512">
        <w:t>In what ways has COVID-19 impacted on Griffith University and Griffith Asia Institute’s role in the SPCCB network?</w:t>
      </w:r>
    </w:p>
    <w:p w14:paraId="7736B834" w14:textId="74B04C33" w:rsidR="4F6A6DF2" w:rsidRPr="00A01512" w:rsidRDefault="4F6A6DF2" w:rsidP="00A01512">
      <w:pPr>
        <w:pStyle w:val="ListNumber"/>
      </w:pPr>
      <w:r w:rsidRPr="00A01512">
        <w:t>What types of supports are needed now for the long-term sustainability of partnerships like SPCCB?</w:t>
      </w:r>
    </w:p>
    <w:p w14:paraId="6160716A" w14:textId="77777777" w:rsidR="65794A32" w:rsidRPr="00CB40AA" w:rsidRDefault="65794A32" w:rsidP="00174F0D">
      <w:pPr>
        <w:pStyle w:val="Heading41"/>
      </w:pPr>
      <w:r w:rsidRPr="00CB40AA">
        <w:t>Topic 3: Recommendations</w:t>
      </w:r>
    </w:p>
    <w:p w14:paraId="60ACF4A3" w14:textId="2D1D9D60" w:rsidR="0A71E6AA" w:rsidRPr="00174F0D" w:rsidRDefault="4F6A6DF2" w:rsidP="00174F0D">
      <w:pPr>
        <w:pStyle w:val="ListNumber"/>
        <w:rPr>
          <w:rFonts w:eastAsiaTheme="minorEastAsia"/>
        </w:rPr>
      </w:pPr>
      <w:r w:rsidRPr="00CB40AA">
        <w:t>If DFAT was to re-start a program like the Australia Awards fellowships, what recommendations would you make to ensure this modality supports building meaningful partnerships for capacity development?</w:t>
      </w:r>
    </w:p>
    <w:p w14:paraId="0F2E41DE" w14:textId="0FA80C36" w:rsidR="00E43A0E" w:rsidRPr="00CB40AA" w:rsidRDefault="00E43A0E" w:rsidP="00174F0D">
      <w:pPr>
        <w:pStyle w:val="Heading3Nonumbering"/>
      </w:pPr>
      <w:bookmarkStart w:id="101" w:name="_Toc98408122"/>
      <w:bookmarkStart w:id="102" w:name="_Toc100666128"/>
      <w:bookmarkStart w:id="103" w:name="_Toc103348764"/>
      <w:r w:rsidRPr="00CB40AA">
        <w:t>Central Bank Partners, Senior Management – Focus Group Discussion</w:t>
      </w:r>
      <w:bookmarkEnd w:id="101"/>
      <w:bookmarkEnd w:id="102"/>
      <w:bookmarkEnd w:id="103"/>
      <w:r w:rsidRPr="00CB40AA">
        <w:t xml:space="preserve"> </w:t>
      </w:r>
    </w:p>
    <w:p w14:paraId="567A7255" w14:textId="77777777" w:rsidR="00E43A0E" w:rsidRPr="00CB40AA" w:rsidRDefault="00E43A0E" w:rsidP="00174F0D">
      <w:pPr>
        <w:pStyle w:val="Heading41"/>
      </w:pPr>
      <w:r w:rsidRPr="00CB40AA">
        <w:t>Introductory question:</w:t>
      </w:r>
    </w:p>
    <w:p w14:paraId="328116F9" w14:textId="77777777" w:rsidR="00E43A0E" w:rsidRPr="00CB40AA" w:rsidRDefault="00E43A0E" w:rsidP="00A01512">
      <w:pPr>
        <w:pStyle w:val="BodyCopy"/>
      </w:pPr>
      <w:r w:rsidRPr="00CB40AA">
        <w:t>Please state your name and role in your bank?</w:t>
      </w:r>
    </w:p>
    <w:p w14:paraId="1D5B1E1C" w14:textId="77777777" w:rsidR="00E43A0E" w:rsidRPr="00CB40AA" w:rsidRDefault="00E43A0E" w:rsidP="00174F0D">
      <w:pPr>
        <w:pStyle w:val="Heading41"/>
      </w:pPr>
      <w:r w:rsidRPr="00CB40AA">
        <w:t>Topic 1: The central banks’ approaches to international engagement</w:t>
      </w:r>
    </w:p>
    <w:p w14:paraId="4B9ECEDF" w14:textId="77777777" w:rsidR="00E43A0E" w:rsidRPr="00CB40AA" w:rsidRDefault="00E43A0E" w:rsidP="00657E60">
      <w:pPr>
        <w:pStyle w:val="ListNumber"/>
        <w:numPr>
          <w:ilvl w:val="0"/>
          <w:numId w:val="19"/>
        </w:numPr>
      </w:pPr>
      <w:r w:rsidRPr="00CB40AA">
        <w:t xml:space="preserve">How does participation in SPCCB fit into your central bank’s strategic plan or mission? </w:t>
      </w:r>
    </w:p>
    <w:p w14:paraId="26730B6B" w14:textId="77777777" w:rsidR="00E43A0E" w:rsidRPr="00CB40AA" w:rsidRDefault="00E43A0E" w:rsidP="00174F0D">
      <w:pPr>
        <w:pStyle w:val="Heading41"/>
      </w:pPr>
      <w:r w:rsidRPr="00CB40AA">
        <w:t>Topic 2: Technical skills needs of the central banks</w:t>
      </w:r>
    </w:p>
    <w:p w14:paraId="2689C983" w14:textId="0C0CEEA4" w:rsidR="00E43A0E" w:rsidRPr="00A01512" w:rsidRDefault="00E43A0E" w:rsidP="00A01512">
      <w:pPr>
        <w:pStyle w:val="ListNumber"/>
      </w:pPr>
      <w:r w:rsidRPr="00A01512">
        <w:t>Across your central bank, what are the gaps in skills or expertise, and to what extent are these needs met through participating in SPCCB?</w:t>
      </w:r>
    </w:p>
    <w:p w14:paraId="0F045E91" w14:textId="77777777" w:rsidR="00E43A0E" w:rsidRPr="00CB40AA" w:rsidRDefault="00E43A0E" w:rsidP="00174F0D">
      <w:pPr>
        <w:pStyle w:val="Heading41"/>
      </w:pPr>
      <w:r w:rsidRPr="00CB40AA">
        <w:t xml:space="preserve">Topic 3: Partnership with Griffith University through SPCCB </w:t>
      </w:r>
    </w:p>
    <w:p w14:paraId="35AC8817" w14:textId="77777777" w:rsidR="00E43A0E" w:rsidRPr="00CB40AA" w:rsidRDefault="00E43A0E" w:rsidP="00A01512">
      <w:pPr>
        <w:pStyle w:val="ListNumber"/>
        <w:rPr>
          <w:rFonts w:eastAsiaTheme="minorEastAsia"/>
        </w:rPr>
      </w:pPr>
      <w:r w:rsidRPr="00CB40AA">
        <w:t>In addition to capacity development of research skills, what other benefits are there to your bank’s participation in SPCCB?</w:t>
      </w:r>
    </w:p>
    <w:p w14:paraId="36EDA2AA" w14:textId="77777777" w:rsidR="00E43A0E" w:rsidRPr="00CB40AA" w:rsidRDefault="00E43A0E" w:rsidP="00A01512">
      <w:pPr>
        <w:pStyle w:val="ListNumber"/>
      </w:pPr>
      <w:r w:rsidRPr="00CB40AA">
        <w:rPr>
          <w:rFonts w:eastAsiaTheme="minorEastAsia"/>
        </w:rPr>
        <w:t>In what ways has participation in SPCCB impacted your regional networks?</w:t>
      </w:r>
    </w:p>
    <w:p w14:paraId="55861219" w14:textId="77777777" w:rsidR="00E43A0E" w:rsidRPr="00CB40AA" w:rsidRDefault="00E43A0E" w:rsidP="00A01512">
      <w:pPr>
        <w:pStyle w:val="ListNumber"/>
      </w:pPr>
      <w:r w:rsidRPr="00CB40AA">
        <w:rPr>
          <w:rFonts w:eastAsiaTheme="minorEastAsia"/>
        </w:rPr>
        <w:t>What do you see is the most valuable outcome of your bank’s participation in SPCCB?</w:t>
      </w:r>
    </w:p>
    <w:p w14:paraId="3CCE62F8" w14:textId="77777777" w:rsidR="0058494B" w:rsidRDefault="0058494B">
      <w:pPr>
        <w:spacing w:before="0"/>
        <w:rPr>
          <w:rFonts w:ascii="Times New Roman" w:eastAsiaTheme="majorEastAsia" w:hAnsi="Times New Roman" w:cs="Times New Roman"/>
          <w:color w:val="1F3864" w:themeColor="accent1" w:themeShade="80"/>
          <w:sz w:val="28"/>
          <w:szCs w:val="28"/>
        </w:rPr>
      </w:pPr>
      <w:bookmarkStart w:id="104" w:name="_Toc98408123"/>
      <w:bookmarkStart w:id="105" w:name="_Toc100666129"/>
      <w:r>
        <w:br w:type="page"/>
      </w:r>
    </w:p>
    <w:p w14:paraId="7CA18ADB" w14:textId="545E32C4" w:rsidR="00E43A0E" w:rsidRPr="00CB40AA" w:rsidRDefault="00E43A0E" w:rsidP="00174F0D">
      <w:pPr>
        <w:pStyle w:val="Heading3Nonumbering"/>
        <w:spacing w:line="360" w:lineRule="exact"/>
      </w:pPr>
      <w:bookmarkStart w:id="106" w:name="_Toc103348765"/>
      <w:r w:rsidRPr="00CB40AA">
        <w:lastRenderedPageBreak/>
        <w:t xml:space="preserve">Central Bank Partners, Fellowship </w:t>
      </w:r>
      <w:r w:rsidR="3209FA88">
        <w:t>Alumni</w:t>
      </w:r>
      <w:r w:rsidRPr="00CB40AA">
        <w:t xml:space="preserve"> and </w:t>
      </w:r>
      <w:r w:rsidR="3209FA88">
        <w:t>Researchers</w:t>
      </w:r>
      <w:r w:rsidRPr="00CB40AA">
        <w:t xml:space="preserve"> – </w:t>
      </w:r>
      <w:r w:rsidR="00174F0D">
        <w:br/>
      </w:r>
      <w:r w:rsidRPr="00CB40AA">
        <w:t>Focus Group Discussion</w:t>
      </w:r>
      <w:bookmarkEnd w:id="104"/>
      <w:bookmarkEnd w:id="105"/>
      <w:bookmarkEnd w:id="106"/>
    </w:p>
    <w:p w14:paraId="355490E4" w14:textId="77777777" w:rsidR="00E43A0E" w:rsidRPr="00CB40AA" w:rsidRDefault="00E43A0E" w:rsidP="00174F0D">
      <w:pPr>
        <w:pStyle w:val="Heading41"/>
      </w:pPr>
      <w:r w:rsidRPr="00CB40AA">
        <w:t>Introductory question:</w:t>
      </w:r>
    </w:p>
    <w:p w14:paraId="0847405E" w14:textId="77777777" w:rsidR="00E43A0E" w:rsidRPr="00CB40AA" w:rsidRDefault="00E43A0E" w:rsidP="00A01512">
      <w:pPr>
        <w:pStyle w:val="BodyCopy"/>
      </w:pPr>
      <w:r w:rsidRPr="00CB40AA">
        <w:t>Please state your name, role and how you became involved in the SPCCB?</w:t>
      </w:r>
    </w:p>
    <w:p w14:paraId="307CF8D7" w14:textId="77777777" w:rsidR="00E43A0E" w:rsidRPr="00CB40AA" w:rsidRDefault="00E43A0E" w:rsidP="00174F0D">
      <w:pPr>
        <w:pStyle w:val="Heading41"/>
      </w:pPr>
      <w:r w:rsidRPr="00CB40AA">
        <w:t xml:space="preserve">Topic 1: Research </w:t>
      </w:r>
      <w:r w:rsidRPr="00174F0D">
        <w:t>outcomes</w:t>
      </w:r>
    </w:p>
    <w:p w14:paraId="45632DC4" w14:textId="77777777" w:rsidR="00E43A0E" w:rsidRPr="00A01512" w:rsidRDefault="00E43A0E" w:rsidP="00657E60">
      <w:pPr>
        <w:pStyle w:val="ListNumber"/>
        <w:numPr>
          <w:ilvl w:val="0"/>
          <w:numId w:val="20"/>
        </w:numPr>
        <w:rPr>
          <w:rFonts w:eastAsiaTheme="minorEastAsia"/>
        </w:rPr>
      </w:pPr>
      <w:r w:rsidRPr="00CB40AA">
        <w:t>How has your participation in SPCCB impacted your work or role in your organisation?</w:t>
      </w:r>
    </w:p>
    <w:p w14:paraId="08DF93FE" w14:textId="382CC58D" w:rsidR="00E43A0E" w:rsidRPr="00CB40AA" w:rsidRDefault="00E43A0E" w:rsidP="00A01512">
      <w:pPr>
        <w:pStyle w:val="ListNumber"/>
        <w:rPr>
          <w:rFonts w:eastAsiaTheme="minorEastAsia"/>
        </w:rPr>
      </w:pPr>
      <w:r w:rsidRPr="00CB40AA">
        <w:t xml:space="preserve">What has been the impact of the research papers you have been involved in?  Please provide examples </w:t>
      </w:r>
      <w:r w:rsidRPr="00CB40AA">
        <w:rPr>
          <w:i/>
          <w:iCs/>
        </w:rPr>
        <w:t>(</w:t>
      </w:r>
      <w:r w:rsidR="004D078D">
        <w:rPr>
          <w:i/>
          <w:iCs/>
        </w:rPr>
        <w:t>i</w:t>
      </w:r>
      <w:r w:rsidR="53E0963B" w:rsidRPr="00CB40AA">
        <w:rPr>
          <w:i/>
          <w:iCs/>
        </w:rPr>
        <w:t>.e.</w:t>
      </w:r>
      <w:r w:rsidRPr="00CB40AA">
        <w:rPr>
          <w:i/>
          <w:iCs/>
        </w:rPr>
        <w:t xml:space="preserve"> policy formation, economic growth or stability, inclusion, and gender empowerment)</w:t>
      </w:r>
    </w:p>
    <w:p w14:paraId="043D3E4F" w14:textId="77777777" w:rsidR="00E43A0E" w:rsidRPr="00CB40AA" w:rsidRDefault="00E43A0E" w:rsidP="00A01512">
      <w:pPr>
        <w:pStyle w:val="ListNumber"/>
      </w:pPr>
      <w:r w:rsidRPr="00CB40AA">
        <w:rPr>
          <w:rFonts w:eastAsiaTheme="minorEastAsia"/>
        </w:rPr>
        <w:t>In what ways has participation in SPCCB impacted your professional networks in the region?</w:t>
      </w:r>
    </w:p>
    <w:p w14:paraId="3C8C17AB" w14:textId="77777777" w:rsidR="00E43A0E" w:rsidRPr="00CB40AA" w:rsidRDefault="00E43A0E" w:rsidP="00A01512">
      <w:pPr>
        <w:pStyle w:val="ListNumber"/>
      </w:pPr>
      <w:r w:rsidRPr="00CB40AA">
        <w:rPr>
          <w:rFonts w:eastAsiaTheme="minorEastAsia"/>
        </w:rPr>
        <w:t>What do you see is the most valuable outcome of your bank’s participation in SPCCB?</w:t>
      </w:r>
    </w:p>
    <w:p w14:paraId="75177619" w14:textId="77777777" w:rsidR="00E43A0E" w:rsidRPr="00CB40AA" w:rsidRDefault="00E43A0E" w:rsidP="007C083C">
      <w:pPr>
        <w:pStyle w:val="BodyCopy"/>
      </w:pPr>
    </w:p>
    <w:sectPr w:rsidR="00E43A0E" w:rsidRPr="00CB40AA" w:rsidSect="00AE2B9D">
      <w:pgSz w:w="12240" w:h="15840"/>
      <w:pgMar w:top="1440" w:right="1440" w:bottom="124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97796" w14:textId="77777777" w:rsidR="00752519" w:rsidRDefault="00752519" w:rsidP="00E26E08">
      <w:r>
        <w:separator/>
      </w:r>
    </w:p>
  </w:endnote>
  <w:endnote w:type="continuationSeparator" w:id="0">
    <w:p w14:paraId="66A2EB31" w14:textId="77777777" w:rsidR="00752519" w:rsidRDefault="00752519" w:rsidP="00E26E08">
      <w:r>
        <w:continuationSeparator/>
      </w:r>
    </w:p>
  </w:endnote>
  <w:endnote w:type="continuationNotice" w:id="1">
    <w:p w14:paraId="267D8EF9" w14:textId="77777777" w:rsidR="00752519" w:rsidRDefault="00752519" w:rsidP="00E26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imbusSanNov">
    <w:altName w:val="Arial"/>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8CCF1" w14:textId="77777777" w:rsidR="00863FA1" w:rsidRDefault="00863F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92130424"/>
      <w:docPartObj>
        <w:docPartGallery w:val="Page Numbers (Bottom of Page)"/>
        <w:docPartUnique/>
      </w:docPartObj>
    </w:sdtPr>
    <w:sdtEndPr>
      <w:rPr>
        <w:rStyle w:val="PageNumber"/>
      </w:rPr>
    </w:sdtEndPr>
    <w:sdtContent>
      <w:p w14:paraId="6A186B80" w14:textId="28167D21" w:rsidR="00D40E11" w:rsidRDefault="00BD25A4" w:rsidP="00FD53C0">
        <w:pPr>
          <w:pStyle w:val="BodyCopy"/>
          <w:tabs>
            <w:tab w:val="left" w:pos="9072"/>
          </w:tabs>
          <w:ind w:right="384"/>
        </w:pPr>
        <w:r>
          <w:rPr>
            <w:sz w:val="16"/>
            <w:szCs w:val="16"/>
          </w:rPr>
          <w:t>Australia Awards Exemplary Partnerships</w:t>
        </w:r>
        <w:r w:rsidRPr="0055738F">
          <w:rPr>
            <w:b/>
            <w:bCs/>
            <w:sz w:val="16"/>
            <w:szCs w:val="16"/>
          </w:rPr>
          <w:tab/>
        </w:r>
        <w:r w:rsidR="00FD53C0">
          <w:rPr>
            <w:b/>
            <w:bCs/>
            <w:sz w:val="16"/>
            <w:szCs w:val="16"/>
          </w:rPr>
          <w:t xml:space="preserve">  </w:t>
        </w:r>
        <w:r w:rsidRPr="0055738F">
          <w:rPr>
            <w:rStyle w:val="PageNumber"/>
            <w:sz w:val="16"/>
            <w:szCs w:val="16"/>
          </w:rPr>
          <w:fldChar w:fldCharType="begin"/>
        </w:r>
        <w:r w:rsidRPr="0055738F">
          <w:rPr>
            <w:rStyle w:val="PageNumber"/>
            <w:sz w:val="16"/>
            <w:szCs w:val="16"/>
          </w:rPr>
          <w:instrText xml:space="preserve"> PAGE </w:instrText>
        </w:r>
        <w:r w:rsidRPr="0055738F">
          <w:rPr>
            <w:rStyle w:val="PageNumber"/>
            <w:sz w:val="16"/>
            <w:szCs w:val="16"/>
          </w:rPr>
          <w:fldChar w:fldCharType="separate"/>
        </w:r>
        <w:r w:rsidR="00C9321C">
          <w:rPr>
            <w:rStyle w:val="PageNumber"/>
            <w:noProof/>
            <w:sz w:val="16"/>
            <w:szCs w:val="16"/>
          </w:rPr>
          <w:t>21</w:t>
        </w:r>
        <w:r w:rsidRPr="0055738F">
          <w:rPr>
            <w:rStyle w:val="PageNumber"/>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14BA2" w14:textId="77777777" w:rsidR="00863FA1" w:rsidRDefault="00863F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39E38" w14:textId="77777777" w:rsidR="00752519" w:rsidRDefault="00752519" w:rsidP="00E26E08">
      <w:r>
        <w:separator/>
      </w:r>
    </w:p>
  </w:footnote>
  <w:footnote w:type="continuationSeparator" w:id="0">
    <w:p w14:paraId="46904339" w14:textId="77777777" w:rsidR="00752519" w:rsidRDefault="00752519" w:rsidP="00E26E08">
      <w:r>
        <w:continuationSeparator/>
      </w:r>
    </w:p>
  </w:footnote>
  <w:footnote w:type="continuationNotice" w:id="1">
    <w:p w14:paraId="057D6FE5" w14:textId="77777777" w:rsidR="00752519" w:rsidRDefault="00752519" w:rsidP="00E26E08"/>
  </w:footnote>
  <w:footnote w:id="2">
    <w:p w14:paraId="2CC05F1F" w14:textId="18E8505B" w:rsidR="00D40E11" w:rsidRPr="00C670C2" w:rsidRDefault="00D40E11" w:rsidP="005464BA">
      <w:pPr>
        <w:pStyle w:val="FootnoteText"/>
      </w:pPr>
      <w:r w:rsidRPr="00C670C2">
        <w:rPr>
          <w:rStyle w:val="FootnoteReference"/>
          <w:vertAlign w:val="baseline"/>
        </w:rPr>
        <w:footnoteRef/>
      </w:r>
      <w:r w:rsidRPr="00C670C2">
        <w:t xml:space="preserve"> For more information on SPCCB’s mission: https://www.griffith.edu.au/asia-institute/our-research/south-pacific-centre-central-banking.</w:t>
      </w:r>
    </w:p>
  </w:footnote>
  <w:footnote w:id="3">
    <w:p w14:paraId="7DA0A676" w14:textId="26B1D255" w:rsidR="00D40E11" w:rsidRPr="005464BA" w:rsidRDefault="00D40E11" w:rsidP="005464BA">
      <w:pPr>
        <w:pStyle w:val="FootnoteText"/>
      </w:pPr>
      <w:r w:rsidRPr="005464BA">
        <w:rPr>
          <w:rStyle w:val="FootnoteReference"/>
          <w:vertAlign w:val="baseline"/>
        </w:rPr>
        <w:footnoteRef/>
      </w:r>
      <w:r w:rsidRPr="005464BA">
        <w:t xml:space="preserve"> Thematic research for capacity building. Griffith University (2022d).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B6AFD" w14:textId="77777777" w:rsidR="00863FA1" w:rsidRDefault="00863F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A6E51" w14:textId="77777777" w:rsidR="00863FA1" w:rsidRDefault="00863F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1D40A" w14:textId="77777777" w:rsidR="00863FA1" w:rsidRDefault="00863FA1">
    <w:pPr>
      <w:pStyle w:val="Header"/>
    </w:pPr>
  </w:p>
</w:hdr>
</file>

<file path=word/intelligence.xml><?xml version="1.0" encoding="utf-8"?>
<int:Intelligence xmlns:int="http://schemas.microsoft.com/office/intelligence/2019/intelligence">
  <int:IntelligenceSettings/>
  <int:Manifest>
    <int:ParagraphRange paragraphId="180972734" textId="512654033" start="8" length="7" invalidationStart="8" invalidationLength="7" id="VEnOhdOg"/>
    <int:WordHash hashCode="kv4UVae7TQCfC0" id="w0rYD19F"/>
    <int:WordHash hashCode="d6vvkjI26POa0b" id="hItyHnpq"/>
    <int:WordHash hashCode="hN6B5b8f/AaH/i" id="SkkkRNJW"/>
    <int:WordHash hashCode="K9X7Xd4L2h5wl4" id="Qh36Ysu6"/>
  </int:Manifest>
  <int:Observations>
    <int:Content id="VEnOhdOg">
      <int:Rejection type="LegacyProofing"/>
    </int:Content>
    <int:Content id="w0rYD19F">
      <int:Rejection type="LegacyProofing"/>
    </int:Content>
    <int:Content id="hItyHnpq">
      <int:Rejection type="LegacyProofing"/>
    </int:Content>
    <int:Content id="SkkkRNJW">
      <int:Rejection type="LegacyProofing"/>
    </int:Content>
    <int:Content id="Qh36Ysu6">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C98B7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C273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04A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3693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16A0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26E5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8616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527C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12DC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02AF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134DFA"/>
    <w:multiLevelType w:val="hybridMultilevel"/>
    <w:tmpl w:val="793C732A"/>
    <w:lvl w:ilvl="0" w:tplc="79984450">
      <w:start w:val="1"/>
      <w:numFmt w:val="lowerRoman"/>
      <w:lvlText w:val="%1."/>
      <w:lvlJc w:val="right"/>
      <w:pPr>
        <w:ind w:left="720" w:hanging="360"/>
      </w:pPr>
    </w:lvl>
    <w:lvl w:ilvl="1" w:tplc="110A2D88">
      <w:start w:val="1"/>
      <w:numFmt w:val="lowerLetter"/>
      <w:lvlText w:val="%2."/>
      <w:lvlJc w:val="left"/>
      <w:pPr>
        <w:ind w:left="1440" w:hanging="360"/>
      </w:pPr>
    </w:lvl>
    <w:lvl w:ilvl="2" w:tplc="0B006BC6">
      <w:start w:val="1"/>
      <w:numFmt w:val="lowerRoman"/>
      <w:lvlText w:val="%3."/>
      <w:lvlJc w:val="right"/>
      <w:pPr>
        <w:ind w:left="2160" w:hanging="180"/>
      </w:pPr>
    </w:lvl>
    <w:lvl w:ilvl="3" w:tplc="10445892">
      <w:start w:val="1"/>
      <w:numFmt w:val="decimal"/>
      <w:lvlText w:val="%4."/>
      <w:lvlJc w:val="left"/>
      <w:pPr>
        <w:ind w:left="2880" w:hanging="360"/>
      </w:pPr>
    </w:lvl>
    <w:lvl w:ilvl="4" w:tplc="605C2542">
      <w:start w:val="1"/>
      <w:numFmt w:val="lowerLetter"/>
      <w:lvlText w:val="%5."/>
      <w:lvlJc w:val="left"/>
      <w:pPr>
        <w:ind w:left="3600" w:hanging="360"/>
      </w:pPr>
    </w:lvl>
    <w:lvl w:ilvl="5" w:tplc="B8DC50BA">
      <w:start w:val="1"/>
      <w:numFmt w:val="lowerRoman"/>
      <w:lvlText w:val="%6."/>
      <w:lvlJc w:val="right"/>
      <w:pPr>
        <w:ind w:left="4320" w:hanging="180"/>
      </w:pPr>
    </w:lvl>
    <w:lvl w:ilvl="6" w:tplc="40821150">
      <w:start w:val="1"/>
      <w:numFmt w:val="decimal"/>
      <w:lvlText w:val="%7."/>
      <w:lvlJc w:val="left"/>
      <w:pPr>
        <w:ind w:left="5040" w:hanging="360"/>
      </w:pPr>
    </w:lvl>
    <w:lvl w:ilvl="7" w:tplc="8E24A29E">
      <w:start w:val="1"/>
      <w:numFmt w:val="lowerLetter"/>
      <w:lvlText w:val="%8."/>
      <w:lvlJc w:val="left"/>
      <w:pPr>
        <w:ind w:left="5760" w:hanging="360"/>
      </w:pPr>
    </w:lvl>
    <w:lvl w:ilvl="8" w:tplc="FD0EB366">
      <w:start w:val="1"/>
      <w:numFmt w:val="lowerRoman"/>
      <w:lvlText w:val="%9."/>
      <w:lvlJc w:val="right"/>
      <w:pPr>
        <w:ind w:left="6480" w:hanging="180"/>
      </w:pPr>
    </w:lvl>
  </w:abstractNum>
  <w:abstractNum w:abstractNumId="11" w15:restartNumberingAfterBreak="0">
    <w:nsid w:val="27291B9C"/>
    <w:multiLevelType w:val="multilevel"/>
    <w:tmpl w:val="6C5C9C88"/>
    <w:lvl w:ilvl="0">
      <w:start w:val="1"/>
      <w:numFmt w:val="decimal"/>
      <w:pStyle w:val="Heading1"/>
      <w:lvlText w:val="%1."/>
      <w:lvlJc w:val="left"/>
      <w:pPr>
        <w:ind w:left="360" w:hanging="360"/>
      </w:pPr>
    </w:lvl>
    <w:lvl w:ilvl="1">
      <w:start w:val="1"/>
      <w:numFmt w:val="decimal"/>
      <w:pStyle w:val="Heading2"/>
      <w:lvlText w:val="%1.%2"/>
      <w:lvlJc w:val="left"/>
      <w:pPr>
        <w:ind w:left="720" w:hanging="720"/>
      </w:pPr>
    </w:lvl>
    <w:lvl w:ilvl="2">
      <w:start w:val="1"/>
      <w:numFmt w:val="decimal"/>
      <w:pStyle w:val="Heading3"/>
      <w:lvlText w:val="%1.%2.%3"/>
      <w:lvlJc w:val="left"/>
      <w:pPr>
        <w:ind w:left="862"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E9195C"/>
    <w:multiLevelType w:val="hybridMultilevel"/>
    <w:tmpl w:val="1234D316"/>
    <w:lvl w:ilvl="0" w:tplc="AFFE3E10">
      <w:start w:val="1"/>
      <w:numFmt w:val="lowerLetter"/>
      <w:pStyle w:val="Listletters"/>
      <w:lvlText w:val="(%1)"/>
      <w:lvlJc w:val="left"/>
      <w:pPr>
        <w:ind w:left="7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0D1276"/>
    <w:multiLevelType w:val="hybridMultilevel"/>
    <w:tmpl w:val="209095C2"/>
    <w:lvl w:ilvl="0" w:tplc="FFFFFFFF">
      <w:start w:val="1"/>
      <w:numFmt w:val="bullet"/>
      <w:pStyle w:val="bullet"/>
      <w:lvlText w:val="·"/>
      <w:lvlJc w:val="left"/>
      <w:pPr>
        <w:ind w:left="720" w:hanging="360"/>
      </w:pPr>
      <w:rPr>
        <w:rFonts w:ascii="Symbol" w:hAnsi="Symbol" w:hint="default"/>
      </w:rPr>
    </w:lvl>
    <w:lvl w:ilvl="1" w:tplc="2C760462">
      <w:start w:val="1"/>
      <w:numFmt w:val="bullet"/>
      <w:lvlText w:val="o"/>
      <w:lvlJc w:val="left"/>
      <w:pPr>
        <w:ind w:left="1440" w:hanging="360"/>
      </w:pPr>
      <w:rPr>
        <w:rFonts w:ascii="Courier New" w:hAnsi="Courier New" w:hint="default"/>
      </w:rPr>
    </w:lvl>
    <w:lvl w:ilvl="2" w:tplc="A07C47E0">
      <w:start w:val="1"/>
      <w:numFmt w:val="bullet"/>
      <w:lvlText w:val=""/>
      <w:lvlJc w:val="left"/>
      <w:pPr>
        <w:ind w:left="2160" w:hanging="360"/>
      </w:pPr>
      <w:rPr>
        <w:rFonts w:ascii="Wingdings" w:hAnsi="Wingdings" w:hint="default"/>
      </w:rPr>
    </w:lvl>
    <w:lvl w:ilvl="3" w:tplc="F314F482">
      <w:start w:val="1"/>
      <w:numFmt w:val="bullet"/>
      <w:lvlText w:val=""/>
      <w:lvlJc w:val="left"/>
      <w:pPr>
        <w:ind w:left="2880" w:hanging="360"/>
      </w:pPr>
      <w:rPr>
        <w:rFonts w:ascii="Symbol" w:hAnsi="Symbol" w:hint="default"/>
      </w:rPr>
    </w:lvl>
    <w:lvl w:ilvl="4" w:tplc="D04ED59C">
      <w:start w:val="1"/>
      <w:numFmt w:val="bullet"/>
      <w:lvlText w:val="o"/>
      <w:lvlJc w:val="left"/>
      <w:pPr>
        <w:ind w:left="3600" w:hanging="360"/>
      </w:pPr>
      <w:rPr>
        <w:rFonts w:ascii="Courier New" w:hAnsi="Courier New" w:hint="default"/>
      </w:rPr>
    </w:lvl>
    <w:lvl w:ilvl="5" w:tplc="8426329A">
      <w:start w:val="1"/>
      <w:numFmt w:val="bullet"/>
      <w:lvlText w:val=""/>
      <w:lvlJc w:val="left"/>
      <w:pPr>
        <w:ind w:left="4320" w:hanging="360"/>
      </w:pPr>
      <w:rPr>
        <w:rFonts w:ascii="Wingdings" w:hAnsi="Wingdings" w:hint="default"/>
      </w:rPr>
    </w:lvl>
    <w:lvl w:ilvl="6" w:tplc="8F2E64B0">
      <w:start w:val="1"/>
      <w:numFmt w:val="bullet"/>
      <w:lvlText w:val=""/>
      <w:lvlJc w:val="left"/>
      <w:pPr>
        <w:ind w:left="5040" w:hanging="360"/>
      </w:pPr>
      <w:rPr>
        <w:rFonts w:ascii="Symbol" w:hAnsi="Symbol" w:hint="default"/>
      </w:rPr>
    </w:lvl>
    <w:lvl w:ilvl="7" w:tplc="08DE6A88">
      <w:start w:val="1"/>
      <w:numFmt w:val="bullet"/>
      <w:lvlText w:val="o"/>
      <w:lvlJc w:val="left"/>
      <w:pPr>
        <w:ind w:left="5760" w:hanging="360"/>
      </w:pPr>
      <w:rPr>
        <w:rFonts w:ascii="Courier New" w:hAnsi="Courier New" w:hint="default"/>
      </w:rPr>
    </w:lvl>
    <w:lvl w:ilvl="8" w:tplc="42923F00">
      <w:start w:val="1"/>
      <w:numFmt w:val="bullet"/>
      <w:lvlText w:val=""/>
      <w:lvlJc w:val="left"/>
      <w:pPr>
        <w:ind w:left="6480" w:hanging="360"/>
      </w:pPr>
      <w:rPr>
        <w:rFonts w:ascii="Wingdings" w:hAnsi="Wingdings" w:hint="default"/>
      </w:rPr>
    </w:lvl>
  </w:abstractNum>
  <w:abstractNum w:abstractNumId="14" w15:restartNumberingAfterBreak="0">
    <w:nsid w:val="55393475"/>
    <w:multiLevelType w:val="hybridMultilevel"/>
    <w:tmpl w:val="34F88E5E"/>
    <w:lvl w:ilvl="0" w:tplc="56EE5922">
      <w:start w:val="1"/>
      <w:numFmt w:val="decimal"/>
      <w:lvlText w:val="%1."/>
      <w:lvlJc w:val="left"/>
      <w:pPr>
        <w:ind w:left="720" w:hanging="360"/>
      </w:pPr>
    </w:lvl>
    <w:lvl w:ilvl="1" w:tplc="F46679D8">
      <w:start w:val="1"/>
      <w:numFmt w:val="lowerLetter"/>
      <w:lvlText w:val="%2."/>
      <w:lvlJc w:val="left"/>
      <w:pPr>
        <w:ind w:left="1440" w:hanging="360"/>
      </w:pPr>
    </w:lvl>
    <w:lvl w:ilvl="2" w:tplc="CCB6FE82">
      <w:start w:val="1"/>
      <w:numFmt w:val="lowerRoman"/>
      <w:lvlText w:val="%3."/>
      <w:lvlJc w:val="right"/>
      <w:pPr>
        <w:ind w:left="2160" w:hanging="180"/>
      </w:pPr>
    </w:lvl>
    <w:lvl w:ilvl="3" w:tplc="4C54AB48">
      <w:start w:val="1"/>
      <w:numFmt w:val="decimal"/>
      <w:lvlText w:val="%4."/>
      <w:lvlJc w:val="left"/>
      <w:pPr>
        <w:ind w:left="2880" w:hanging="360"/>
      </w:pPr>
    </w:lvl>
    <w:lvl w:ilvl="4" w:tplc="6E9CE5BC">
      <w:start w:val="1"/>
      <w:numFmt w:val="lowerLetter"/>
      <w:lvlText w:val="%5."/>
      <w:lvlJc w:val="left"/>
      <w:pPr>
        <w:ind w:left="3600" w:hanging="360"/>
      </w:pPr>
    </w:lvl>
    <w:lvl w:ilvl="5" w:tplc="0A782260">
      <w:start w:val="1"/>
      <w:numFmt w:val="lowerRoman"/>
      <w:lvlText w:val="%6."/>
      <w:lvlJc w:val="right"/>
      <w:pPr>
        <w:ind w:left="4320" w:hanging="180"/>
      </w:pPr>
    </w:lvl>
    <w:lvl w:ilvl="6" w:tplc="1F00A8F2">
      <w:start w:val="1"/>
      <w:numFmt w:val="decimal"/>
      <w:lvlText w:val="%7."/>
      <w:lvlJc w:val="left"/>
      <w:pPr>
        <w:ind w:left="5040" w:hanging="360"/>
      </w:pPr>
    </w:lvl>
    <w:lvl w:ilvl="7" w:tplc="B6046FCA">
      <w:start w:val="1"/>
      <w:numFmt w:val="lowerLetter"/>
      <w:lvlText w:val="%8."/>
      <w:lvlJc w:val="left"/>
      <w:pPr>
        <w:ind w:left="5760" w:hanging="360"/>
      </w:pPr>
    </w:lvl>
    <w:lvl w:ilvl="8" w:tplc="34C4C3B8">
      <w:start w:val="1"/>
      <w:numFmt w:val="lowerRoman"/>
      <w:lvlText w:val="%9."/>
      <w:lvlJc w:val="right"/>
      <w:pPr>
        <w:ind w:left="6480" w:hanging="180"/>
      </w:pPr>
    </w:lvl>
  </w:abstractNum>
  <w:abstractNum w:abstractNumId="15" w15:restartNumberingAfterBreak="0">
    <w:nsid w:val="6FF43ED9"/>
    <w:multiLevelType w:val="hybridMultilevel"/>
    <w:tmpl w:val="2A625570"/>
    <w:lvl w:ilvl="0" w:tplc="35A44A5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2A323BC"/>
    <w:multiLevelType w:val="hybridMultilevel"/>
    <w:tmpl w:val="3A1C954A"/>
    <w:lvl w:ilvl="0" w:tplc="B7500248">
      <w:start w:val="1"/>
      <w:numFmt w:val="bullet"/>
      <w:lvlText w:val=""/>
      <w:lvlJc w:val="left"/>
      <w:pPr>
        <w:ind w:left="720" w:hanging="360"/>
      </w:pPr>
      <w:rPr>
        <w:rFonts w:ascii="Symbol" w:hAnsi="Symbol" w:hint="default"/>
      </w:rPr>
    </w:lvl>
    <w:lvl w:ilvl="1" w:tplc="CF9E9A1E">
      <w:start w:val="1"/>
      <w:numFmt w:val="bullet"/>
      <w:lvlText w:val="o"/>
      <w:lvlJc w:val="left"/>
      <w:pPr>
        <w:ind w:left="1440" w:hanging="360"/>
      </w:pPr>
      <w:rPr>
        <w:rFonts w:ascii="Courier New" w:hAnsi="Courier New" w:hint="default"/>
      </w:rPr>
    </w:lvl>
    <w:lvl w:ilvl="2" w:tplc="09429704">
      <w:start w:val="1"/>
      <w:numFmt w:val="bullet"/>
      <w:lvlText w:val=""/>
      <w:lvlJc w:val="left"/>
      <w:pPr>
        <w:ind w:left="2160" w:hanging="360"/>
      </w:pPr>
      <w:rPr>
        <w:rFonts w:ascii="Wingdings" w:hAnsi="Wingdings" w:hint="default"/>
      </w:rPr>
    </w:lvl>
    <w:lvl w:ilvl="3" w:tplc="DB5E58EE">
      <w:start w:val="1"/>
      <w:numFmt w:val="bullet"/>
      <w:lvlText w:val=""/>
      <w:lvlJc w:val="left"/>
      <w:pPr>
        <w:ind w:left="2880" w:hanging="360"/>
      </w:pPr>
      <w:rPr>
        <w:rFonts w:ascii="Symbol" w:hAnsi="Symbol" w:hint="default"/>
      </w:rPr>
    </w:lvl>
    <w:lvl w:ilvl="4" w:tplc="09CE7A0E">
      <w:start w:val="1"/>
      <w:numFmt w:val="bullet"/>
      <w:lvlText w:val="o"/>
      <w:lvlJc w:val="left"/>
      <w:pPr>
        <w:ind w:left="3600" w:hanging="360"/>
      </w:pPr>
      <w:rPr>
        <w:rFonts w:ascii="Courier New" w:hAnsi="Courier New" w:hint="default"/>
      </w:rPr>
    </w:lvl>
    <w:lvl w:ilvl="5" w:tplc="0FCC6F98">
      <w:start w:val="1"/>
      <w:numFmt w:val="bullet"/>
      <w:lvlText w:val=""/>
      <w:lvlJc w:val="left"/>
      <w:pPr>
        <w:ind w:left="4320" w:hanging="360"/>
      </w:pPr>
      <w:rPr>
        <w:rFonts w:ascii="Wingdings" w:hAnsi="Wingdings" w:hint="default"/>
      </w:rPr>
    </w:lvl>
    <w:lvl w:ilvl="6" w:tplc="A050976C">
      <w:start w:val="1"/>
      <w:numFmt w:val="bullet"/>
      <w:lvlText w:val=""/>
      <w:lvlJc w:val="left"/>
      <w:pPr>
        <w:ind w:left="5040" w:hanging="360"/>
      </w:pPr>
      <w:rPr>
        <w:rFonts w:ascii="Symbol" w:hAnsi="Symbol" w:hint="default"/>
      </w:rPr>
    </w:lvl>
    <w:lvl w:ilvl="7" w:tplc="6F3A934E">
      <w:start w:val="1"/>
      <w:numFmt w:val="bullet"/>
      <w:lvlText w:val="o"/>
      <w:lvlJc w:val="left"/>
      <w:pPr>
        <w:ind w:left="5760" w:hanging="360"/>
      </w:pPr>
      <w:rPr>
        <w:rFonts w:ascii="Courier New" w:hAnsi="Courier New" w:hint="default"/>
      </w:rPr>
    </w:lvl>
    <w:lvl w:ilvl="8" w:tplc="95127C64">
      <w:start w:val="1"/>
      <w:numFmt w:val="bullet"/>
      <w:lvlText w:val=""/>
      <w:lvlJc w:val="left"/>
      <w:pPr>
        <w:ind w:left="6480" w:hanging="360"/>
      </w:pPr>
      <w:rPr>
        <w:rFonts w:ascii="Wingdings" w:hAnsi="Wingdings" w:hint="default"/>
      </w:rPr>
    </w:lvl>
  </w:abstractNum>
  <w:abstractNum w:abstractNumId="17" w15:restartNumberingAfterBreak="0">
    <w:nsid w:val="753C4140"/>
    <w:multiLevelType w:val="multilevel"/>
    <w:tmpl w:val="6C5C9C8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1"/>
  </w:num>
  <w:num w:numId="3">
    <w:abstractNumId w:val="10"/>
  </w:num>
  <w:num w:numId="4">
    <w:abstractNumId w:val="16"/>
  </w:num>
  <w:num w:numId="5">
    <w:abstractNumId w:val="14"/>
  </w:num>
  <w:num w:numId="6">
    <w:abstractNumId w:val="15"/>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12"/>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17"/>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A4C51A"/>
    <w:rsid w:val="00002DC8"/>
    <w:rsid w:val="0000449C"/>
    <w:rsid w:val="00004A15"/>
    <w:rsid w:val="000054FE"/>
    <w:rsid w:val="00006390"/>
    <w:rsid w:val="0000749B"/>
    <w:rsid w:val="00012DCE"/>
    <w:rsid w:val="00013E6C"/>
    <w:rsid w:val="00014146"/>
    <w:rsid w:val="00014B81"/>
    <w:rsid w:val="00015CD3"/>
    <w:rsid w:val="000202F0"/>
    <w:rsid w:val="00020A38"/>
    <w:rsid w:val="000230A0"/>
    <w:rsid w:val="00023219"/>
    <w:rsid w:val="00024BB9"/>
    <w:rsid w:val="00025484"/>
    <w:rsid w:val="00025B75"/>
    <w:rsid w:val="00030131"/>
    <w:rsid w:val="000327CE"/>
    <w:rsid w:val="00032AAA"/>
    <w:rsid w:val="00032E84"/>
    <w:rsid w:val="00032F22"/>
    <w:rsid w:val="00033247"/>
    <w:rsid w:val="00034605"/>
    <w:rsid w:val="00034790"/>
    <w:rsid w:val="000350CE"/>
    <w:rsid w:val="00035300"/>
    <w:rsid w:val="00042E5F"/>
    <w:rsid w:val="00043808"/>
    <w:rsid w:val="000461BA"/>
    <w:rsid w:val="000466FD"/>
    <w:rsid w:val="0004683C"/>
    <w:rsid w:val="00047AF8"/>
    <w:rsid w:val="000530F8"/>
    <w:rsid w:val="0005365F"/>
    <w:rsid w:val="0005389A"/>
    <w:rsid w:val="00054472"/>
    <w:rsid w:val="00054546"/>
    <w:rsid w:val="00054EBB"/>
    <w:rsid w:val="0005525F"/>
    <w:rsid w:val="00056111"/>
    <w:rsid w:val="00056B1A"/>
    <w:rsid w:val="00057E90"/>
    <w:rsid w:val="00060815"/>
    <w:rsid w:val="0006106A"/>
    <w:rsid w:val="0006197E"/>
    <w:rsid w:val="000625C8"/>
    <w:rsid w:val="000625E0"/>
    <w:rsid w:val="0006382F"/>
    <w:rsid w:val="00063AA9"/>
    <w:rsid w:val="000640AC"/>
    <w:rsid w:val="000649EE"/>
    <w:rsid w:val="0006578A"/>
    <w:rsid w:val="00066276"/>
    <w:rsid w:val="0006639C"/>
    <w:rsid w:val="000668C5"/>
    <w:rsid w:val="0007081B"/>
    <w:rsid w:val="00070A2C"/>
    <w:rsid w:val="00071A86"/>
    <w:rsid w:val="000731A9"/>
    <w:rsid w:val="000731CE"/>
    <w:rsid w:val="000765EB"/>
    <w:rsid w:val="00076B83"/>
    <w:rsid w:val="000803DD"/>
    <w:rsid w:val="00080E96"/>
    <w:rsid w:val="00082047"/>
    <w:rsid w:val="00082129"/>
    <w:rsid w:val="00082EF1"/>
    <w:rsid w:val="00083485"/>
    <w:rsid w:val="00083A1D"/>
    <w:rsid w:val="00084E69"/>
    <w:rsid w:val="0008617D"/>
    <w:rsid w:val="00086AF9"/>
    <w:rsid w:val="0009028C"/>
    <w:rsid w:val="00090D9E"/>
    <w:rsid w:val="00091D35"/>
    <w:rsid w:val="0009482F"/>
    <w:rsid w:val="00094B68"/>
    <w:rsid w:val="00094FAA"/>
    <w:rsid w:val="000965BE"/>
    <w:rsid w:val="000971EF"/>
    <w:rsid w:val="000975E0"/>
    <w:rsid w:val="000A13CA"/>
    <w:rsid w:val="000A2183"/>
    <w:rsid w:val="000A2F8D"/>
    <w:rsid w:val="000A3682"/>
    <w:rsid w:val="000A4412"/>
    <w:rsid w:val="000A534E"/>
    <w:rsid w:val="000A76F7"/>
    <w:rsid w:val="000B0242"/>
    <w:rsid w:val="000B1E95"/>
    <w:rsid w:val="000B2587"/>
    <w:rsid w:val="000B32B4"/>
    <w:rsid w:val="000B48DC"/>
    <w:rsid w:val="000B494D"/>
    <w:rsid w:val="000B49B7"/>
    <w:rsid w:val="000B4C9E"/>
    <w:rsid w:val="000B5891"/>
    <w:rsid w:val="000B6935"/>
    <w:rsid w:val="000B6FBD"/>
    <w:rsid w:val="000B7A65"/>
    <w:rsid w:val="000C05A1"/>
    <w:rsid w:val="000C0DA8"/>
    <w:rsid w:val="000C21CE"/>
    <w:rsid w:val="000C4936"/>
    <w:rsid w:val="000C52D4"/>
    <w:rsid w:val="000C7DD8"/>
    <w:rsid w:val="000D05F4"/>
    <w:rsid w:val="000D0C20"/>
    <w:rsid w:val="000D0C6D"/>
    <w:rsid w:val="000D1939"/>
    <w:rsid w:val="000D3B71"/>
    <w:rsid w:val="000D539F"/>
    <w:rsid w:val="000D5C1C"/>
    <w:rsid w:val="000D6456"/>
    <w:rsid w:val="000D6F18"/>
    <w:rsid w:val="000D726C"/>
    <w:rsid w:val="000E0967"/>
    <w:rsid w:val="000E10F6"/>
    <w:rsid w:val="000E2F22"/>
    <w:rsid w:val="000E37DC"/>
    <w:rsid w:val="000E41FC"/>
    <w:rsid w:val="000E4743"/>
    <w:rsid w:val="000E5760"/>
    <w:rsid w:val="000E67A5"/>
    <w:rsid w:val="000E680B"/>
    <w:rsid w:val="000F0906"/>
    <w:rsid w:val="000F4704"/>
    <w:rsid w:val="000F57D1"/>
    <w:rsid w:val="000F59F6"/>
    <w:rsid w:val="000F65E7"/>
    <w:rsid w:val="000F6F3C"/>
    <w:rsid w:val="000F7096"/>
    <w:rsid w:val="000F7140"/>
    <w:rsid w:val="00102B42"/>
    <w:rsid w:val="00102B91"/>
    <w:rsid w:val="00102E19"/>
    <w:rsid w:val="00104512"/>
    <w:rsid w:val="0010488A"/>
    <w:rsid w:val="00106017"/>
    <w:rsid w:val="001062AE"/>
    <w:rsid w:val="00107176"/>
    <w:rsid w:val="001102B9"/>
    <w:rsid w:val="00110623"/>
    <w:rsid w:val="001106BB"/>
    <w:rsid w:val="001118C5"/>
    <w:rsid w:val="00112C88"/>
    <w:rsid w:val="00114686"/>
    <w:rsid w:val="00117F0E"/>
    <w:rsid w:val="00121ECF"/>
    <w:rsid w:val="001235C6"/>
    <w:rsid w:val="00123F86"/>
    <w:rsid w:val="0012463F"/>
    <w:rsid w:val="00124662"/>
    <w:rsid w:val="001257A9"/>
    <w:rsid w:val="00125805"/>
    <w:rsid w:val="001258EF"/>
    <w:rsid w:val="00125A73"/>
    <w:rsid w:val="00126AA5"/>
    <w:rsid w:val="00127340"/>
    <w:rsid w:val="00130138"/>
    <w:rsid w:val="001335B3"/>
    <w:rsid w:val="0013555E"/>
    <w:rsid w:val="00137337"/>
    <w:rsid w:val="00137F87"/>
    <w:rsid w:val="00140168"/>
    <w:rsid w:val="00141C51"/>
    <w:rsid w:val="0014492B"/>
    <w:rsid w:val="00146225"/>
    <w:rsid w:val="001468B5"/>
    <w:rsid w:val="00147104"/>
    <w:rsid w:val="0014716E"/>
    <w:rsid w:val="00150A05"/>
    <w:rsid w:val="0015238C"/>
    <w:rsid w:val="0015548D"/>
    <w:rsid w:val="00155541"/>
    <w:rsid w:val="00156948"/>
    <w:rsid w:val="0015757D"/>
    <w:rsid w:val="0015778A"/>
    <w:rsid w:val="001606F1"/>
    <w:rsid w:val="00160E05"/>
    <w:rsid w:val="00163FA0"/>
    <w:rsid w:val="00165984"/>
    <w:rsid w:val="00166C55"/>
    <w:rsid w:val="00167703"/>
    <w:rsid w:val="001713C5"/>
    <w:rsid w:val="001724FA"/>
    <w:rsid w:val="0017474B"/>
    <w:rsid w:val="00174E3A"/>
    <w:rsid w:val="00174F0D"/>
    <w:rsid w:val="001779C6"/>
    <w:rsid w:val="001801E4"/>
    <w:rsid w:val="00180956"/>
    <w:rsid w:val="001827A7"/>
    <w:rsid w:val="001840BA"/>
    <w:rsid w:val="00184F3A"/>
    <w:rsid w:val="0018636B"/>
    <w:rsid w:val="0018654B"/>
    <w:rsid w:val="001872F7"/>
    <w:rsid w:val="00187AEF"/>
    <w:rsid w:val="00187C50"/>
    <w:rsid w:val="00187E53"/>
    <w:rsid w:val="00190E43"/>
    <w:rsid w:val="00191F17"/>
    <w:rsid w:val="001920C7"/>
    <w:rsid w:val="001927E0"/>
    <w:rsid w:val="00192B42"/>
    <w:rsid w:val="00192CDA"/>
    <w:rsid w:val="00194D7B"/>
    <w:rsid w:val="001A0700"/>
    <w:rsid w:val="001A1240"/>
    <w:rsid w:val="001A13C1"/>
    <w:rsid w:val="001A3D09"/>
    <w:rsid w:val="001A47B0"/>
    <w:rsid w:val="001A4E61"/>
    <w:rsid w:val="001A5377"/>
    <w:rsid w:val="001A68B2"/>
    <w:rsid w:val="001A74B1"/>
    <w:rsid w:val="001B280F"/>
    <w:rsid w:val="001B3BBB"/>
    <w:rsid w:val="001B4288"/>
    <w:rsid w:val="001B44E2"/>
    <w:rsid w:val="001B5A19"/>
    <w:rsid w:val="001B70F8"/>
    <w:rsid w:val="001C0409"/>
    <w:rsid w:val="001C0A9B"/>
    <w:rsid w:val="001C217D"/>
    <w:rsid w:val="001C2431"/>
    <w:rsid w:val="001C2688"/>
    <w:rsid w:val="001C32BC"/>
    <w:rsid w:val="001C3F8F"/>
    <w:rsid w:val="001C4629"/>
    <w:rsid w:val="001C4645"/>
    <w:rsid w:val="001C5BBF"/>
    <w:rsid w:val="001C62BD"/>
    <w:rsid w:val="001C6D9B"/>
    <w:rsid w:val="001C7B71"/>
    <w:rsid w:val="001D0147"/>
    <w:rsid w:val="001D16CB"/>
    <w:rsid w:val="001D2CAF"/>
    <w:rsid w:val="001D31D5"/>
    <w:rsid w:val="001D321B"/>
    <w:rsid w:val="001D3980"/>
    <w:rsid w:val="001D566F"/>
    <w:rsid w:val="001D63CB"/>
    <w:rsid w:val="001D6B4B"/>
    <w:rsid w:val="001D7CD9"/>
    <w:rsid w:val="001E0610"/>
    <w:rsid w:val="001E0784"/>
    <w:rsid w:val="001E0D09"/>
    <w:rsid w:val="001E11EC"/>
    <w:rsid w:val="001E279C"/>
    <w:rsid w:val="001E2812"/>
    <w:rsid w:val="001E30A8"/>
    <w:rsid w:val="001E361D"/>
    <w:rsid w:val="001E5453"/>
    <w:rsid w:val="001E73AD"/>
    <w:rsid w:val="001E7839"/>
    <w:rsid w:val="001F101E"/>
    <w:rsid w:val="001F17FC"/>
    <w:rsid w:val="001F5887"/>
    <w:rsid w:val="001F60EA"/>
    <w:rsid w:val="00201D49"/>
    <w:rsid w:val="00201FA4"/>
    <w:rsid w:val="002025CE"/>
    <w:rsid w:val="00202FBA"/>
    <w:rsid w:val="00203683"/>
    <w:rsid w:val="00203EA9"/>
    <w:rsid w:val="00205AEE"/>
    <w:rsid w:val="00207063"/>
    <w:rsid w:val="002140A8"/>
    <w:rsid w:val="002141C9"/>
    <w:rsid w:val="0021481B"/>
    <w:rsid w:val="002150D5"/>
    <w:rsid w:val="00215BBE"/>
    <w:rsid w:val="00216816"/>
    <w:rsid w:val="0021774A"/>
    <w:rsid w:val="002177B8"/>
    <w:rsid w:val="002177CD"/>
    <w:rsid w:val="00222F23"/>
    <w:rsid w:val="0022337E"/>
    <w:rsid w:val="00223D66"/>
    <w:rsid w:val="002240E0"/>
    <w:rsid w:val="002267F1"/>
    <w:rsid w:val="002269A5"/>
    <w:rsid w:val="0022858F"/>
    <w:rsid w:val="0022F6F6"/>
    <w:rsid w:val="002317EB"/>
    <w:rsid w:val="002330F6"/>
    <w:rsid w:val="00233503"/>
    <w:rsid w:val="00233813"/>
    <w:rsid w:val="00235A15"/>
    <w:rsid w:val="00240CE2"/>
    <w:rsid w:val="00240FEA"/>
    <w:rsid w:val="0024428A"/>
    <w:rsid w:val="0024491D"/>
    <w:rsid w:val="0024723A"/>
    <w:rsid w:val="0024796B"/>
    <w:rsid w:val="002516A8"/>
    <w:rsid w:val="00251B61"/>
    <w:rsid w:val="00251C12"/>
    <w:rsid w:val="002520DF"/>
    <w:rsid w:val="002525F4"/>
    <w:rsid w:val="00252C31"/>
    <w:rsid w:val="00253E3B"/>
    <w:rsid w:val="00254227"/>
    <w:rsid w:val="0025445D"/>
    <w:rsid w:val="00254C8A"/>
    <w:rsid w:val="0025623B"/>
    <w:rsid w:val="0025688F"/>
    <w:rsid w:val="0025BD2D"/>
    <w:rsid w:val="0026070E"/>
    <w:rsid w:val="00260B33"/>
    <w:rsid w:val="002623DC"/>
    <w:rsid w:val="00262CC6"/>
    <w:rsid w:val="00264687"/>
    <w:rsid w:val="002646D4"/>
    <w:rsid w:val="00265279"/>
    <w:rsid w:val="00266288"/>
    <w:rsid w:val="002665A4"/>
    <w:rsid w:val="002673FF"/>
    <w:rsid w:val="0026D6AF"/>
    <w:rsid w:val="00271AF2"/>
    <w:rsid w:val="00271B2D"/>
    <w:rsid w:val="00273419"/>
    <w:rsid w:val="00273BB5"/>
    <w:rsid w:val="00273C51"/>
    <w:rsid w:val="002753BE"/>
    <w:rsid w:val="00276ABC"/>
    <w:rsid w:val="00280BD4"/>
    <w:rsid w:val="00281657"/>
    <w:rsid w:val="0028428B"/>
    <w:rsid w:val="0028717C"/>
    <w:rsid w:val="0028DCFE"/>
    <w:rsid w:val="0029098F"/>
    <w:rsid w:val="00290E20"/>
    <w:rsid w:val="00291021"/>
    <w:rsid w:val="00292F25"/>
    <w:rsid w:val="002949D9"/>
    <w:rsid w:val="00295757"/>
    <w:rsid w:val="00297222"/>
    <w:rsid w:val="002A0592"/>
    <w:rsid w:val="002A19D5"/>
    <w:rsid w:val="002A1DA4"/>
    <w:rsid w:val="002A30B1"/>
    <w:rsid w:val="002A4EE2"/>
    <w:rsid w:val="002A6662"/>
    <w:rsid w:val="002A6711"/>
    <w:rsid w:val="002A7E3B"/>
    <w:rsid w:val="002B001D"/>
    <w:rsid w:val="002B0846"/>
    <w:rsid w:val="002B085E"/>
    <w:rsid w:val="002B51E3"/>
    <w:rsid w:val="002B527A"/>
    <w:rsid w:val="002B5E6A"/>
    <w:rsid w:val="002B5F8F"/>
    <w:rsid w:val="002B6D50"/>
    <w:rsid w:val="002B7777"/>
    <w:rsid w:val="002BAB3C"/>
    <w:rsid w:val="002C0232"/>
    <w:rsid w:val="002C16EA"/>
    <w:rsid w:val="002C261C"/>
    <w:rsid w:val="002C3D41"/>
    <w:rsid w:val="002C5B1A"/>
    <w:rsid w:val="002C64CC"/>
    <w:rsid w:val="002C6CE2"/>
    <w:rsid w:val="002D059D"/>
    <w:rsid w:val="002D0FD5"/>
    <w:rsid w:val="002D19A0"/>
    <w:rsid w:val="002D4166"/>
    <w:rsid w:val="002D5B8D"/>
    <w:rsid w:val="002D7CD4"/>
    <w:rsid w:val="002E15E3"/>
    <w:rsid w:val="002E287A"/>
    <w:rsid w:val="002E2E74"/>
    <w:rsid w:val="002E2EB1"/>
    <w:rsid w:val="002E3655"/>
    <w:rsid w:val="002E5598"/>
    <w:rsid w:val="002E66E1"/>
    <w:rsid w:val="002E7134"/>
    <w:rsid w:val="002E7661"/>
    <w:rsid w:val="002F03E0"/>
    <w:rsid w:val="002F0C08"/>
    <w:rsid w:val="002F1CD3"/>
    <w:rsid w:val="002F1F0F"/>
    <w:rsid w:val="002F3538"/>
    <w:rsid w:val="002F5FE6"/>
    <w:rsid w:val="002F617C"/>
    <w:rsid w:val="002F6493"/>
    <w:rsid w:val="002F6F47"/>
    <w:rsid w:val="002F7304"/>
    <w:rsid w:val="0030114E"/>
    <w:rsid w:val="00302923"/>
    <w:rsid w:val="003031AB"/>
    <w:rsid w:val="003059DB"/>
    <w:rsid w:val="00305E39"/>
    <w:rsid w:val="0030655A"/>
    <w:rsid w:val="003076B7"/>
    <w:rsid w:val="0031093B"/>
    <w:rsid w:val="003115AB"/>
    <w:rsid w:val="003137FE"/>
    <w:rsid w:val="00315936"/>
    <w:rsid w:val="00316C54"/>
    <w:rsid w:val="00317D95"/>
    <w:rsid w:val="0031E5D1"/>
    <w:rsid w:val="00322B4F"/>
    <w:rsid w:val="003232E0"/>
    <w:rsid w:val="003237C6"/>
    <w:rsid w:val="00325C6B"/>
    <w:rsid w:val="00325FAF"/>
    <w:rsid w:val="0032698F"/>
    <w:rsid w:val="0033183C"/>
    <w:rsid w:val="0033289E"/>
    <w:rsid w:val="00336E3C"/>
    <w:rsid w:val="00337FDD"/>
    <w:rsid w:val="00340AA8"/>
    <w:rsid w:val="0034108F"/>
    <w:rsid w:val="00341578"/>
    <w:rsid w:val="00341831"/>
    <w:rsid w:val="00341FB1"/>
    <w:rsid w:val="003422BD"/>
    <w:rsid w:val="003503BD"/>
    <w:rsid w:val="00350609"/>
    <w:rsid w:val="00351796"/>
    <w:rsid w:val="00352879"/>
    <w:rsid w:val="00352A97"/>
    <w:rsid w:val="00354A4A"/>
    <w:rsid w:val="00354A6E"/>
    <w:rsid w:val="0035555E"/>
    <w:rsid w:val="0035570D"/>
    <w:rsid w:val="003558F7"/>
    <w:rsid w:val="00356B65"/>
    <w:rsid w:val="00357742"/>
    <w:rsid w:val="00361C2B"/>
    <w:rsid w:val="003624D3"/>
    <w:rsid w:val="003632AC"/>
    <w:rsid w:val="0036415D"/>
    <w:rsid w:val="00364559"/>
    <w:rsid w:val="00364836"/>
    <w:rsid w:val="0036657D"/>
    <w:rsid w:val="003672FF"/>
    <w:rsid w:val="003675D9"/>
    <w:rsid w:val="00367F56"/>
    <w:rsid w:val="003700FC"/>
    <w:rsid w:val="00370BBC"/>
    <w:rsid w:val="00371C8C"/>
    <w:rsid w:val="00372AD3"/>
    <w:rsid w:val="00372BCD"/>
    <w:rsid w:val="00372EF4"/>
    <w:rsid w:val="003747D3"/>
    <w:rsid w:val="00374A94"/>
    <w:rsid w:val="00374AC0"/>
    <w:rsid w:val="00374CE7"/>
    <w:rsid w:val="00374E64"/>
    <w:rsid w:val="00375263"/>
    <w:rsid w:val="00377AAB"/>
    <w:rsid w:val="00381837"/>
    <w:rsid w:val="00382E7C"/>
    <w:rsid w:val="0038327B"/>
    <w:rsid w:val="003834E8"/>
    <w:rsid w:val="00384195"/>
    <w:rsid w:val="00384610"/>
    <w:rsid w:val="00385CAC"/>
    <w:rsid w:val="00390E52"/>
    <w:rsid w:val="00391256"/>
    <w:rsid w:val="0039160F"/>
    <w:rsid w:val="003918A7"/>
    <w:rsid w:val="003930F5"/>
    <w:rsid w:val="00394335"/>
    <w:rsid w:val="00396FFD"/>
    <w:rsid w:val="00397713"/>
    <w:rsid w:val="003A041D"/>
    <w:rsid w:val="003A1055"/>
    <w:rsid w:val="003A12D8"/>
    <w:rsid w:val="003A2C45"/>
    <w:rsid w:val="003A57BC"/>
    <w:rsid w:val="003A589D"/>
    <w:rsid w:val="003A5F34"/>
    <w:rsid w:val="003A5FF5"/>
    <w:rsid w:val="003A66D8"/>
    <w:rsid w:val="003A7725"/>
    <w:rsid w:val="003B164F"/>
    <w:rsid w:val="003B331F"/>
    <w:rsid w:val="003B3372"/>
    <w:rsid w:val="003B4EFD"/>
    <w:rsid w:val="003B55C5"/>
    <w:rsid w:val="003B55CE"/>
    <w:rsid w:val="003B6673"/>
    <w:rsid w:val="003B6C20"/>
    <w:rsid w:val="003B7481"/>
    <w:rsid w:val="003B7A2E"/>
    <w:rsid w:val="003B7AB1"/>
    <w:rsid w:val="003C0966"/>
    <w:rsid w:val="003C2644"/>
    <w:rsid w:val="003C36F5"/>
    <w:rsid w:val="003C50DD"/>
    <w:rsid w:val="003C56E0"/>
    <w:rsid w:val="003C5E31"/>
    <w:rsid w:val="003C5EE4"/>
    <w:rsid w:val="003C6674"/>
    <w:rsid w:val="003D1D6F"/>
    <w:rsid w:val="003D2011"/>
    <w:rsid w:val="003D2250"/>
    <w:rsid w:val="003D2266"/>
    <w:rsid w:val="003D2996"/>
    <w:rsid w:val="003D2B91"/>
    <w:rsid w:val="003D2BB5"/>
    <w:rsid w:val="003D314B"/>
    <w:rsid w:val="003D33C2"/>
    <w:rsid w:val="003D4395"/>
    <w:rsid w:val="003D5631"/>
    <w:rsid w:val="003D5984"/>
    <w:rsid w:val="003D6281"/>
    <w:rsid w:val="003D739F"/>
    <w:rsid w:val="003D7583"/>
    <w:rsid w:val="003D86EE"/>
    <w:rsid w:val="003E117D"/>
    <w:rsid w:val="003E1325"/>
    <w:rsid w:val="003E24EF"/>
    <w:rsid w:val="003E39D4"/>
    <w:rsid w:val="003E47F3"/>
    <w:rsid w:val="003E5C49"/>
    <w:rsid w:val="003E6796"/>
    <w:rsid w:val="003F00E5"/>
    <w:rsid w:val="003F0406"/>
    <w:rsid w:val="003F36DE"/>
    <w:rsid w:val="003F3957"/>
    <w:rsid w:val="003F754C"/>
    <w:rsid w:val="003F7A84"/>
    <w:rsid w:val="004002B3"/>
    <w:rsid w:val="00400CD0"/>
    <w:rsid w:val="00401120"/>
    <w:rsid w:val="00401E5A"/>
    <w:rsid w:val="00401E86"/>
    <w:rsid w:val="00402CE1"/>
    <w:rsid w:val="004039B4"/>
    <w:rsid w:val="00403B91"/>
    <w:rsid w:val="00403EAB"/>
    <w:rsid w:val="00404522"/>
    <w:rsid w:val="00406120"/>
    <w:rsid w:val="00411A76"/>
    <w:rsid w:val="00413D3F"/>
    <w:rsid w:val="0041687D"/>
    <w:rsid w:val="00416970"/>
    <w:rsid w:val="00416A5C"/>
    <w:rsid w:val="00417D09"/>
    <w:rsid w:val="0041BBAF"/>
    <w:rsid w:val="00420B89"/>
    <w:rsid w:val="00420E0A"/>
    <w:rsid w:val="00421855"/>
    <w:rsid w:val="00421CC8"/>
    <w:rsid w:val="0042432E"/>
    <w:rsid w:val="0042497F"/>
    <w:rsid w:val="004252B9"/>
    <w:rsid w:val="00425E74"/>
    <w:rsid w:val="0042732A"/>
    <w:rsid w:val="00427B5D"/>
    <w:rsid w:val="00431E01"/>
    <w:rsid w:val="00432513"/>
    <w:rsid w:val="004335D4"/>
    <w:rsid w:val="00433FB8"/>
    <w:rsid w:val="00434762"/>
    <w:rsid w:val="00434FE7"/>
    <w:rsid w:val="00435267"/>
    <w:rsid w:val="004355B1"/>
    <w:rsid w:val="00435B3E"/>
    <w:rsid w:val="004367E1"/>
    <w:rsid w:val="00440BC5"/>
    <w:rsid w:val="004419CA"/>
    <w:rsid w:val="0044272B"/>
    <w:rsid w:val="00443751"/>
    <w:rsid w:val="00443BE2"/>
    <w:rsid w:val="00447ACE"/>
    <w:rsid w:val="004508A7"/>
    <w:rsid w:val="00450AE6"/>
    <w:rsid w:val="00452376"/>
    <w:rsid w:val="004532C9"/>
    <w:rsid w:val="00453D5B"/>
    <w:rsid w:val="0045461E"/>
    <w:rsid w:val="00454E32"/>
    <w:rsid w:val="00457BF2"/>
    <w:rsid w:val="00461E7C"/>
    <w:rsid w:val="004621FF"/>
    <w:rsid w:val="00463376"/>
    <w:rsid w:val="00463EAD"/>
    <w:rsid w:val="00464B47"/>
    <w:rsid w:val="00465721"/>
    <w:rsid w:val="00465C19"/>
    <w:rsid w:val="00466966"/>
    <w:rsid w:val="0046771B"/>
    <w:rsid w:val="0047094E"/>
    <w:rsid w:val="00475285"/>
    <w:rsid w:val="00477248"/>
    <w:rsid w:val="0047761C"/>
    <w:rsid w:val="0047D4DC"/>
    <w:rsid w:val="00481EB4"/>
    <w:rsid w:val="00484331"/>
    <w:rsid w:val="00485BF1"/>
    <w:rsid w:val="00485D31"/>
    <w:rsid w:val="00486DAE"/>
    <w:rsid w:val="00487926"/>
    <w:rsid w:val="0049058F"/>
    <w:rsid w:val="00490F14"/>
    <w:rsid w:val="004911C4"/>
    <w:rsid w:val="00491445"/>
    <w:rsid w:val="00492D67"/>
    <w:rsid w:val="00493547"/>
    <w:rsid w:val="00493ECC"/>
    <w:rsid w:val="00495381"/>
    <w:rsid w:val="00495839"/>
    <w:rsid w:val="00496253"/>
    <w:rsid w:val="00497E45"/>
    <w:rsid w:val="004A13B3"/>
    <w:rsid w:val="004A3542"/>
    <w:rsid w:val="004A364F"/>
    <w:rsid w:val="004A4473"/>
    <w:rsid w:val="004A4D51"/>
    <w:rsid w:val="004A64E3"/>
    <w:rsid w:val="004A6A77"/>
    <w:rsid w:val="004A79CA"/>
    <w:rsid w:val="004B41CB"/>
    <w:rsid w:val="004B55A9"/>
    <w:rsid w:val="004B5608"/>
    <w:rsid w:val="004C035C"/>
    <w:rsid w:val="004C23B1"/>
    <w:rsid w:val="004C28F8"/>
    <w:rsid w:val="004C3139"/>
    <w:rsid w:val="004C3A97"/>
    <w:rsid w:val="004C3C4C"/>
    <w:rsid w:val="004C5179"/>
    <w:rsid w:val="004C6051"/>
    <w:rsid w:val="004C63B2"/>
    <w:rsid w:val="004C6611"/>
    <w:rsid w:val="004D078D"/>
    <w:rsid w:val="004D0C98"/>
    <w:rsid w:val="004D288F"/>
    <w:rsid w:val="004D2A77"/>
    <w:rsid w:val="004D354C"/>
    <w:rsid w:val="004D47F0"/>
    <w:rsid w:val="004D7563"/>
    <w:rsid w:val="004E05FD"/>
    <w:rsid w:val="004E2199"/>
    <w:rsid w:val="004E4244"/>
    <w:rsid w:val="004E48E1"/>
    <w:rsid w:val="004E5C49"/>
    <w:rsid w:val="004E7238"/>
    <w:rsid w:val="004E7458"/>
    <w:rsid w:val="004E7DCC"/>
    <w:rsid w:val="004F0662"/>
    <w:rsid w:val="004F15E5"/>
    <w:rsid w:val="004F1910"/>
    <w:rsid w:val="004F1AE3"/>
    <w:rsid w:val="004F1B75"/>
    <w:rsid w:val="004F31EA"/>
    <w:rsid w:val="004F3488"/>
    <w:rsid w:val="004F3A0C"/>
    <w:rsid w:val="004F4003"/>
    <w:rsid w:val="004F5130"/>
    <w:rsid w:val="004F5FAF"/>
    <w:rsid w:val="00500FD4"/>
    <w:rsid w:val="0050205D"/>
    <w:rsid w:val="005024D4"/>
    <w:rsid w:val="005029C8"/>
    <w:rsid w:val="00502C11"/>
    <w:rsid w:val="005059B7"/>
    <w:rsid w:val="00505DD2"/>
    <w:rsid w:val="0050622C"/>
    <w:rsid w:val="0050702A"/>
    <w:rsid w:val="005071BE"/>
    <w:rsid w:val="005079F0"/>
    <w:rsid w:val="00510733"/>
    <w:rsid w:val="00510BD3"/>
    <w:rsid w:val="00510DE2"/>
    <w:rsid w:val="00513956"/>
    <w:rsid w:val="00514C0F"/>
    <w:rsid w:val="005150FE"/>
    <w:rsid w:val="005153C8"/>
    <w:rsid w:val="00517B0C"/>
    <w:rsid w:val="0052041C"/>
    <w:rsid w:val="00522187"/>
    <w:rsid w:val="00522711"/>
    <w:rsid w:val="00526E12"/>
    <w:rsid w:val="00530002"/>
    <w:rsid w:val="00530BA2"/>
    <w:rsid w:val="005336B4"/>
    <w:rsid w:val="00535459"/>
    <w:rsid w:val="00537DC7"/>
    <w:rsid w:val="0053D665"/>
    <w:rsid w:val="005419E0"/>
    <w:rsid w:val="00545A9B"/>
    <w:rsid w:val="005464BA"/>
    <w:rsid w:val="00547176"/>
    <w:rsid w:val="00550496"/>
    <w:rsid w:val="005520CE"/>
    <w:rsid w:val="00553537"/>
    <w:rsid w:val="005552A5"/>
    <w:rsid w:val="00557160"/>
    <w:rsid w:val="00557FB4"/>
    <w:rsid w:val="005610F0"/>
    <w:rsid w:val="005616B5"/>
    <w:rsid w:val="005620A4"/>
    <w:rsid w:val="005627B2"/>
    <w:rsid w:val="005634F5"/>
    <w:rsid w:val="005653FD"/>
    <w:rsid w:val="00565C8E"/>
    <w:rsid w:val="005663C9"/>
    <w:rsid w:val="00570AF2"/>
    <w:rsid w:val="0057154C"/>
    <w:rsid w:val="00572E70"/>
    <w:rsid w:val="00572E75"/>
    <w:rsid w:val="0057328B"/>
    <w:rsid w:val="00574318"/>
    <w:rsid w:val="00577907"/>
    <w:rsid w:val="00577939"/>
    <w:rsid w:val="005820BA"/>
    <w:rsid w:val="00582EFE"/>
    <w:rsid w:val="005834CA"/>
    <w:rsid w:val="00584037"/>
    <w:rsid w:val="0058494B"/>
    <w:rsid w:val="00585740"/>
    <w:rsid w:val="0058631F"/>
    <w:rsid w:val="005878D8"/>
    <w:rsid w:val="00591A3F"/>
    <w:rsid w:val="00594858"/>
    <w:rsid w:val="005948CC"/>
    <w:rsid w:val="00594FF9"/>
    <w:rsid w:val="00596DFB"/>
    <w:rsid w:val="005A02FF"/>
    <w:rsid w:val="005A0CD2"/>
    <w:rsid w:val="005A1955"/>
    <w:rsid w:val="005A2BEC"/>
    <w:rsid w:val="005A370B"/>
    <w:rsid w:val="005A3CBD"/>
    <w:rsid w:val="005A4417"/>
    <w:rsid w:val="005A44DC"/>
    <w:rsid w:val="005A4E51"/>
    <w:rsid w:val="005A59F6"/>
    <w:rsid w:val="005A6022"/>
    <w:rsid w:val="005A6192"/>
    <w:rsid w:val="005A61FE"/>
    <w:rsid w:val="005A6526"/>
    <w:rsid w:val="005A66D9"/>
    <w:rsid w:val="005A6E2F"/>
    <w:rsid w:val="005A719E"/>
    <w:rsid w:val="005A7312"/>
    <w:rsid w:val="005B2BFF"/>
    <w:rsid w:val="005B365D"/>
    <w:rsid w:val="005B55D5"/>
    <w:rsid w:val="005B5954"/>
    <w:rsid w:val="005B601C"/>
    <w:rsid w:val="005B6331"/>
    <w:rsid w:val="005B6604"/>
    <w:rsid w:val="005B713A"/>
    <w:rsid w:val="005B7757"/>
    <w:rsid w:val="005D08CF"/>
    <w:rsid w:val="005D0F72"/>
    <w:rsid w:val="005D123E"/>
    <w:rsid w:val="005D2DF1"/>
    <w:rsid w:val="005D3149"/>
    <w:rsid w:val="005D49BD"/>
    <w:rsid w:val="005D6D11"/>
    <w:rsid w:val="005D7674"/>
    <w:rsid w:val="005E02C0"/>
    <w:rsid w:val="005E343F"/>
    <w:rsid w:val="005E3954"/>
    <w:rsid w:val="005E518F"/>
    <w:rsid w:val="005E6D60"/>
    <w:rsid w:val="005F1502"/>
    <w:rsid w:val="005F179A"/>
    <w:rsid w:val="005F2CBC"/>
    <w:rsid w:val="005F4862"/>
    <w:rsid w:val="005F4B5F"/>
    <w:rsid w:val="005F4E4C"/>
    <w:rsid w:val="005F55D5"/>
    <w:rsid w:val="005F59E3"/>
    <w:rsid w:val="006000F9"/>
    <w:rsid w:val="0060151B"/>
    <w:rsid w:val="0060241E"/>
    <w:rsid w:val="00603B9E"/>
    <w:rsid w:val="0060423A"/>
    <w:rsid w:val="006052BA"/>
    <w:rsid w:val="00605467"/>
    <w:rsid w:val="0060660C"/>
    <w:rsid w:val="00606809"/>
    <w:rsid w:val="006075FD"/>
    <w:rsid w:val="0060FD39"/>
    <w:rsid w:val="00612663"/>
    <w:rsid w:val="006132FC"/>
    <w:rsid w:val="006136E0"/>
    <w:rsid w:val="00613F1B"/>
    <w:rsid w:val="00613F7D"/>
    <w:rsid w:val="006151DA"/>
    <w:rsid w:val="0061567E"/>
    <w:rsid w:val="00616C9B"/>
    <w:rsid w:val="00617030"/>
    <w:rsid w:val="006170F7"/>
    <w:rsid w:val="00620146"/>
    <w:rsid w:val="006207D1"/>
    <w:rsid w:val="0062250D"/>
    <w:rsid w:val="006225E0"/>
    <w:rsid w:val="006236E2"/>
    <w:rsid w:val="00624493"/>
    <w:rsid w:val="00624F30"/>
    <w:rsid w:val="00625E30"/>
    <w:rsid w:val="00627E8F"/>
    <w:rsid w:val="00631E69"/>
    <w:rsid w:val="00633F77"/>
    <w:rsid w:val="006343DD"/>
    <w:rsid w:val="00635253"/>
    <w:rsid w:val="0063619B"/>
    <w:rsid w:val="0063757D"/>
    <w:rsid w:val="00637982"/>
    <w:rsid w:val="0064042C"/>
    <w:rsid w:val="00641BC5"/>
    <w:rsid w:val="006420FB"/>
    <w:rsid w:val="00643C56"/>
    <w:rsid w:val="00646444"/>
    <w:rsid w:val="00646A59"/>
    <w:rsid w:val="00647A18"/>
    <w:rsid w:val="00647CD2"/>
    <w:rsid w:val="00650A75"/>
    <w:rsid w:val="0065181A"/>
    <w:rsid w:val="00652280"/>
    <w:rsid w:val="00652FED"/>
    <w:rsid w:val="00654096"/>
    <w:rsid w:val="00654581"/>
    <w:rsid w:val="00656354"/>
    <w:rsid w:val="00656B0E"/>
    <w:rsid w:val="00657002"/>
    <w:rsid w:val="00657E60"/>
    <w:rsid w:val="00661BA1"/>
    <w:rsid w:val="00662AD1"/>
    <w:rsid w:val="006634BB"/>
    <w:rsid w:val="00664178"/>
    <w:rsid w:val="00664AE5"/>
    <w:rsid w:val="006655B3"/>
    <w:rsid w:val="006729D4"/>
    <w:rsid w:val="00672BAC"/>
    <w:rsid w:val="00672FAF"/>
    <w:rsid w:val="00673DF9"/>
    <w:rsid w:val="00673F09"/>
    <w:rsid w:val="00674ECA"/>
    <w:rsid w:val="00675BE0"/>
    <w:rsid w:val="00676824"/>
    <w:rsid w:val="006769C0"/>
    <w:rsid w:val="006770C1"/>
    <w:rsid w:val="006772F9"/>
    <w:rsid w:val="00677CB8"/>
    <w:rsid w:val="00677F34"/>
    <w:rsid w:val="00680127"/>
    <w:rsid w:val="006803DF"/>
    <w:rsid w:val="006820E2"/>
    <w:rsid w:val="00684F8C"/>
    <w:rsid w:val="00685485"/>
    <w:rsid w:val="00690082"/>
    <w:rsid w:val="00690A53"/>
    <w:rsid w:val="0069174C"/>
    <w:rsid w:val="00691CD7"/>
    <w:rsid w:val="00692123"/>
    <w:rsid w:val="0069286D"/>
    <w:rsid w:val="00692FCB"/>
    <w:rsid w:val="006940DD"/>
    <w:rsid w:val="00694A23"/>
    <w:rsid w:val="006961F6"/>
    <w:rsid w:val="006965DB"/>
    <w:rsid w:val="006A1B1D"/>
    <w:rsid w:val="006A1F2F"/>
    <w:rsid w:val="006A298F"/>
    <w:rsid w:val="006A312E"/>
    <w:rsid w:val="006A3329"/>
    <w:rsid w:val="006A37AE"/>
    <w:rsid w:val="006A42D7"/>
    <w:rsid w:val="006A7C44"/>
    <w:rsid w:val="006B1097"/>
    <w:rsid w:val="006B14A2"/>
    <w:rsid w:val="006B1E28"/>
    <w:rsid w:val="006B231D"/>
    <w:rsid w:val="006B2B00"/>
    <w:rsid w:val="006B2C42"/>
    <w:rsid w:val="006B2F64"/>
    <w:rsid w:val="006B3436"/>
    <w:rsid w:val="006B3AA6"/>
    <w:rsid w:val="006B5ADD"/>
    <w:rsid w:val="006B5F20"/>
    <w:rsid w:val="006B7789"/>
    <w:rsid w:val="006C05FA"/>
    <w:rsid w:val="006C0BF9"/>
    <w:rsid w:val="006C0E3F"/>
    <w:rsid w:val="006C1AA9"/>
    <w:rsid w:val="006C1C2B"/>
    <w:rsid w:val="006C2834"/>
    <w:rsid w:val="006C4F65"/>
    <w:rsid w:val="006C51A6"/>
    <w:rsid w:val="006C5B5C"/>
    <w:rsid w:val="006D1B6E"/>
    <w:rsid w:val="006D2A06"/>
    <w:rsid w:val="006D3FCD"/>
    <w:rsid w:val="006D4170"/>
    <w:rsid w:val="006D51E1"/>
    <w:rsid w:val="006D5A9D"/>
    <w:rsid w:val="006D7C5C"/>
    <w:rsid w:val="006E0665"/>
    <w:rsid w:val="006E1C19"/>
    <w:rsid w:val="006E2B54"/>
    <w:rsid w:val="006E6AB2"/>
    <w:rsid w:val="006F022E"/>
    <w:rsid w:val="006F0CAA"/>
    <w:rsid w:val="006F1252"/>
    <w:rsid w:val="006F2166"/>
    <w:rsid w:val="006F25A1"/>
    <w:rsid w:val="006F45A2"/>
    <w:rsid w:val="006F7A8A"/>
    <w:rsid w:val="006F7AEF"/>
    <w:rsid w:val="00700101"/>
    <w:rsid w:val="00700FCB"/>
    <w:rsid w:val="00701A1F"/>
    <w:rsid w:val="007023AB"/>
    <w:rsid w:val="00705302"/>
    <w:rsid w:val="007054DD"/>
    <w:rsid w:val="00712875"/>
    <w:rsid w:val="0071339D"/>
    <w:rsid w:val="00715EC5"/>
    <w:rsid w:val="00721220"/>
    <w:rsid w:val="00723668"/>
    <w:rsid w:val="0072454E"/>
    <w:rsid w:val="007245F8"/>
    <w:rsid w:val="00724AFB"/>
    <w:rsid w:val="00725FAE"/>
    <w:rsid w:val="00726507"/>
    <w:rsid w:val="00727E1C"/>
    <w:rsid w:val="00730C59"/>
    <w:rsid w:val="00733093"/>
    <w:rsid w:val="00733A4B"/>
    <w:rsid w:val="00741ABB"/>
    <w:rsid w:val="00742766"/>
    <w:rsid w:val="00743CF1"/>
    <w:rsid w:val="00744A15"/>
    <w:rsid w:val="007455F7"/>
    <w:rsid w:val="0074670B"/>
    <w:rsid w:val="007503CD"/>
    <w:rsid w:val="007513E6"/>
    <w:rsid w:val="00752011"/>
    <w:rsid w:val="00752519"/>
    <w:rsid w:val="00752D0E"/>
    <w:rsid w:val="00753296"/>
    <w:rsid w:val="007550D9"/>
    <w:rsid w:val="00755BEF"/>
    <w:rsid w:val="007568F5"/>
    <w:rsid w:val="00756B91"/>
    <w:rsid w:val="00756D3B"/>
    <w:rsid w:val="0075746B"/>
    <w:rsid w:val="00757B04"/>
    <w:rsid w:val="00760186"/>
    <w:rsid w:val="00761E47"/>
    <w:rsid w:val="00763C09"/>
    <w:rsid w:val="0076480D"/>
    <w:rsid w:val="00764CA4"/>
    <w:rsid w:val="007658AD"/>
    <w:rsid w:val="00765C21"/>
    <w:rsid w:val="007673CB"/>
    <w:rsid w:val="00767A44"/>
    <w:rsid w:val="00770C36"/>
    <w:rsid w:val="00770E86"/>
    <w:rsid w:val="00771B1E"/>
    <w:rsid w:val="00773505"/>
    <w:rsid w:val="00774AF2"/>
    <w:rsid w:val="0077612D"/>
    <w:rsid w:val="00776277"/>
    <w:rsid w:val="00776372"/>
    <w:rsid w:val="0077E152"/>
    <w:rsid w:val="007813BD"/>
    <w:rsid w:val="00782B76"/>
    <w:rsid w:val="00783894"/>
    <w:rsid w:val="00783AB4"/>
    <w:rsid w:val="00784392"/>
    <w:rsid w:val="00785986"/>
    <w:rsid w:val="0078634B"/>
    <w:rsid w:val="00786AA9"/>
    <w:rsid w:val="0078757E"/>
    <w:rsid w:val="00790C4E"/>
    <w:rsid w:val="007921EF"/>
    <w:rsid w:val="00792A6D"/>
    <w:rsid w:val="007945AC"/>
    <w:rsid w:val="0079501E"/>
    <w:rsid w:val="00795E44"/>
    <w:rsid w:val="00796212"/>
    <w:rsid w:val="007970E2"/>
    <w:rsid w:val="0079741C"/>
    <w:rsid w:val="00797C74"/>
    <w:rsid w:val="007A23FD"/>
    <w:rsid w:val="007A263E"/>
    <w:rsid w:val="007A5D4B"/>
    <w:rsid w:val="007A7289"/>
    <w:rsid w:val="007A78DA"/>
    <w:rsid w:val="007B0B93"/>
    <w:rsid w:val="007B0DCC"/>
    <w:rsid w:val="007B2B48"/>
    <w:rsid w:val="007B3223"/>
    <w:rsid w:val="007B4F5C"/>
    <w:rsid w:val="007B7B31"/>
    <w:rsid w:val="007C01A5"/>
    <w:rsid w:val="007C083C"/>
    <w:rsid w:val="007C1AF5"/>
    <w:rsid w:val="007C1FD8"/>
    <w:rsid w:val="007C44A1"/>
    <w:rsid w:val="007C4FE6"/>
    <w:rsid w:val="007C5B78"/>
    <w:rsid w:val="007D2349"/>
    <w:rsid w:val="007D337F"/>
    <w:rsid w:val="007D33CC"/>
    <w:rsid w:val="007D3B45"/>
    <w:rsid w:val="007D4B9C"/>
    <w:rsid w:val="007D5147"/>
    <w:rsid w:val="007D5766"/>
    <w:rsid w:val="007D65AC"/>
    <w:rsid w:val="007D7BBD"/>
    <w:rsid w:val="007D7C20"/>
    <w:rsid w:val="007E00E0"/>
    <w:rsid w:val="007E0429"/>
    <w:rsid w:val="007E1F82"/>
    <w:rsid w:val="007E246C"/>
    <w:rsid w:val="007E2E24"/>
    <w:rsid w:val="007E3617"/>
    <w:rsid w:val="007E47F8"/>
    <w:rsid w:val="007E48DD"/>
    <w:rsid w:val="007E590F"/>
    <w:rsid w:val="007E6CBA"/>
    <w:rsid w:val="007E76F6"/>
    <w:rsid w:val="007F1407"/>
    <w:rsid w:val="007F155E"/>
    <w:rsid w:val="007F1AD0"/>
    <w:rsid w:val="007F1F29"/>
    <w:rsid w:val="007F27CA"/>
    <w:rsid w:val="007F41C9"/>
    <w:rsid w:val="007F4C84"/>
    <w:rsid w:val="007F5D2D"/>
    <w:rsid w:val="007F64B6"/>
    <w:rsid w:val="00800EBC"/>
    <w:rsid w:val="00801558"/>
    <w:rsid w:val="00804A4A"/>
    <w:rsid w:val="00805D51"/>
    <w:rsid w:val="00806983"/>
    <w:rsid w:val="008111BD"/>
    <w:rsid w:val="00812DEB"/>
    <w:rsid w:val="00815DF7"/>
    <w:rsid w:val="008203FB"/>
    <w:rsid w:val="00823215"/>
    <w:rsid w:val="008246FB"/>
    <w:rsid w:val="0082553F"/>
    <w:rsid w:val="00830C0B"/>
    <w:rsid w:val="00831138"/>
    <w:rsid w:val="008311AB"/>
    <w:rsid w:val="00831C64"/>
    <w:rsid w:val="00831CF2"/>
    <w:rsid w:val="00833D09"/>
    <w:rsid w:val="0083421F"/>
    <w:rsid w:val="008342CA"/>
    <w:rsid w:val="0083527F"/>
    <w:rsid w:val="0083603C"/>
    <w:rsid w:val="0084031A"/>
    <w:rsid w:val="008408B1"/>
    <w:rsid w:val="00840E46"/>
    <w:rsid w:val="00842F81"/>
    <w:rsid w:val="00843C16"/>
    <w:rsid w:val="008440AF"/>
    <w:rsid w:val="008444C8"/>
    <w:rsid w:val="0084476A"/>
    <w:rsid w:val="008505D1"/>
    <w:rsid w:val="00851228"/>
    <w:rsid w:val="00851733"/>
    <w:rsid w:val="00851C3C"/>
    <w:rsid w:val="00851DFD"/>
    <w:rsid w:val="00851E36"/>
    <w:rsid w:val="0085486C"/>
    <w:rsid w:val="008561A2"/>
    <w:rsid w:val="00857A98"/>
    <w:rsid w:val="00857AAA"/>
    <w:rsid w:val="008606B7"/>
    <w:rsid w:val="00862557"/>
    <w:rsid w:val="00863907"/>
    <w:rsid w:val="00863FA1"/>
    <w:rsid w:val="008706F7"/>
    <w:rsid w:val="00872378"/>
    <w:rsid w:val="00872F90"/>
    <w:rsid w:val="0087464F"/>
    <w:rsid w:val="0087475D"/>
    <w:rsid w:val="00874FBB"/>
    <w:rsid w:val="00875054"/>
    <w:rsid w:val="0087539B"/>
    <w:rsid w:val="00876E3F"/>
    <w:rsid w:val="00877FCB"/>
    <w:rsid w:val="00879225"/>
    <w:rsid w:val="00880559"/>
    <w:rsid w:val="00880E2A"/>
    <w:rsid w:val="0088159B"/>
    <w:rsid w:val="008823A3"/>
    <w:rsid w:val="0088367C"/>
    <w:rsid w:val="00884F6A"/>
    <w:rsid w:val="00885C37"/>
    <w:rsid w:val="00885EC7"/>
    <w:rsid w:val="00886002"/>
    <w:rsid w:val="00890095"/>
    <w:rsid w:val="00890713"/>
    <w:rsid w:val="008919A4"/>
    <w:rsid w:val="008921D8"/>
    <w:rsid w:val="008925E8"/>
    <w:rsid w:val="00892FE5"/>
    <w:rsid w:val="008948F3"/>
    <w:rsid w:val="00894E53"/>
    <w:rsid w:val="008A009B"/>
    <w:rsid w:val="008A06C1"/>
    <w:rsid w:val="008A0B75"/>
    <w:rsid w:val="008A1B06"/>
    <w:rsid w:val="008A1C7A"/>
    <w:rsid w:val="008A2991"/>
    <w:rsid w:val="008A3052"/>
    <w:rsid w:val="008A3AF2"/>
    <w:rsid w:val="008A3EC1"/>
    <w:rsid w:val="008A3F55"/>
    <w:rsid w:val="008A4F94"/>
    <w:rsid w:val="008A5F16"/>
    <w:rsid w:val="008A61CD"/>
    <w:rsid w:val="008A64D9"/>
    <w:rsid w:val="008B0B16"/>
    <w:rsid w:val="008B0BEA"/>
    <w:rsid w:val="008B1364"/>
    <w:rsid w:val="008B234E"/>
    <w:rsid w:val="008B39DF"/>
    <w:rsid w:val="008B3DC6"/>
    <w:rsid w:val="008B6CC7"/>
    <w:rsid w:val="008B6D3D"/>
    <w:rsid w:val="008B78CD"/>
    <w:rsid w:val="008B7A70"/>
    <w:rsid w:val="008C0B0D"/>
    <w:rsid w:val="008C3343"/>
    <w:rsid w:val="008C3A39"/>
    <w:rsid w:val="008C46F9"/>
    <w:rsid w:val="008C575A"/>
    <w:rsid w:val="008C582E"/>
    <w:rsid w:val="008C65AE"/>
    <w:rsid w:val="008C772F"/>
    <w:rsid w:val="008C77FC"/>
    <w:rsid w:val="008D017D"/>
    <w:rsid w:val="008D17C4"/>
    <w:rsid w:val="008D184D"/>
    <w:rsid w:val="008D2904"/>
    <w:rsid w:val="008D3ED2"/>
    <w:rsid w:val="008D48F7"/>
    <w:rsid w:val="008D5580"/>
    <w:rsid w:val="008D60D5"/>
    <w:rsid w:val="008D63C6"/>
    <w:rsid w:val="008D7468"/>
    <w:rsid w:val="008E06DB"/>
    <w:rsid w:val="008E0BF8"/>
    <w:rsid w:val="008E2F78"/>
    <w:rsid w:val="008E3821"/>
    <w:rsid w:val="008E3FFC"/>
    <w:rsid w:val="008E581E"/>
    <w:rsid w:val="008E5C1A"/>
    <w:rsid w:val="008E6C91"/>
    <w:rsid w:val="008E7EDE"/>
    <w:rsid w:val="008F0C3D"/>
    <w:rsid w:val="008F14E6"/>
    <w:rsid w:val="008F2967"/>
    <w:rsid w:val="008F3F4A"/>
    <w:rsid w:val="00900152"/>
    <w:rsid w:val="00900906"/>
    <w:rsid w:val="0090150C"/>
    <w:rsid w:val="0090197E"/>
    <w:rsid w:val="00903497"/>
    <w:rsid w:val="00903C7C"/>
    <w:rsid w:val="0090429C"/>
    <w:rsid w:val="00905FA7"/>
    <w:rsid w:val="00906E07"/>
    <w:rsid w:val="00906E77"/>
    <w:rsid w:val="009101AD"/>
    <w:rsid w:val="00910C3C"/>
    <w:rsid w:val="00911387"/>
    <w:rsid w:val="00911B42"/>
    <w:rsid w:val="00912809"/>
    <w:rsid w:val="00912F98"/>
    <w:rsid w:val="00913C4A"/>
    <w:rsid w:val="009166D7"/>
    <w:rsid w:val="00920945"/>
    <w:rsid w:val="009231FF"/>
    <w:rsid w:val="00925B6A"/>
    <w:rsid w:val="00926049"/>
    <w:rsid w:val="0092640B"/>
    <w:rsid w:val="009305C6"/>
    <w:rsid w:val="009317CF"/>
    <w:rsid w:val="009319A3"/>
    <w:rsid w:val="00931FC0"/>
    <w:rsid w:val="00932258"/>
    <w:rsid w:val="00932600"/>
    <w:rsid w:val="00933C76"/>
    <w:rsid w:val="00933D56"/>
    <w:rsid w:val="009357D7"/>
    <w:rsid w:val="009360D1"/>
    <w:rsid w:val="009374D5"/>
    <w:rsid w:val="0093756D"/>
    <w:rsid w:val="00937A32"/>
    <w:rsid w:val="00941528"/>
    <w:rsid w:val="00941829"/>
    <w:rsid w:val="00941984"/>
    <w:rsid w:val="0094218C"/>
    <w:rsid w:val="00943030"/>
    <w:rsid w:val="00944122"/>
    <w:rsid w:val="00944EFA"/>
    <w:rsid w:val="00946219"/>
    <w:rsid w:val="009476C3"/>
    <w:rsid w:val="00951028"/>
    <w:rsid w:val="00952530"/>
    <w:rsid w:val="0095300C"/>
    <w:rsid w:val="00953BA5"/>
    <w:rsid w:val="00954757"/>
    <w:rsid w:val="00954DB3"/>
    <w:rsid w:val="009569D6"/>
    <w:rsid w:val="00961282"/>
    <w:rsid w:val="009628CA"/>
    <w:rsid w:val="00962FA7"/>
    <w:rsid w:val="009633B4"/>
    <w:rsid w:val="00964413"/>
    <w:rsid w:val="00964518"/>
    <w:rsid w:val="00965941"/>
    <w:rsid w:val="00965A5C"/>
    <w:rsid w:val="00970A7D"/>
    <w:rsid w:val="009714BE"/>
    <w:rsid w:val="00972C14"/>
    <w:rsid w:val="0097470C"/>
    <w:rsid w:val="00975D09"/>
    <w:rsid w:val="00976684"/>
    <w:rsid w:val="009774C7"/>
    <w:rsid w:val="00977A0C"/>
    <w:rsid w:val="00980610"/>
    <w:rsid w:val="0098099C"/>
    <w:rsid w:val="0098132A"/>
    <w:rsid w:val="00985BFB"/>
    <w:rsid w:val="009911AC"/>
    <w:rsid w:val="009931CC"/>
    <w:rsid w:val="00994D5B"/>
    <w:rsid w:val="009967A8"/>
    <w:rsid w:val="00996E03"/>
    <w:rsid w:val="009A216E"/>
    <w:rsid w:val="009A23E4"/>
    <w:rsid w:val="009A28F6"/>
    <w:rsid w:val="009A305D"/>
    <w:rsid w:val="009A3236"/>
    <w:rsid w:val="009A733F"/>
    <w:rsid w:val="009AFBC5"/>
    <w:rsid w:val="009B2609"/>
    <w:rsid w:val="009B2A75"/>
    <w:rsid w:val="009B49A5"/>
    <w:rsid w:val="009B4C27"/>
    <w:rsid w:val="009B50D0"/>
    <w:rsid w:val="009B58FB"/>
    <w:rsid w:val="009C05D0"/>
    <w:rsid w:val="009C2B9A"/>
    <w:rsid w:val="009C4B12"/>
    <w:rsid w:val="009C58D7"/>
    <w:rsid w:val="009C7179"/>
    <w:rsid w:val="009D00F4"/>
    <w:rsid w:val="009D0B8A"/>
    <w:rsid w:val="009D188A"/>
    <w:rsid w:val="009D1E2D"/>
    <w:rsid w:val="009D46A2"/>
    <w:rsid w:val="009D5933"/>
    <w:rsid w:val="009D65B1"/>
    <w:rsid w:val="009D6DF5"/>
    <w:rsid w:val="009E027E"/>
    <w:rsid w:val="009E3914"/>
    <w:rsid w:val="009F0B61"/>
    <w:rsid w:val="009F0C99"/>
    <w:rsid w:val="009F2FEF"/>
    <w:rsid w:val="009F3CEC"/>
    <w:rsid w:val="009F4677"/>
    <w:rsid w:val="009F5001"/>
    <w:rsid w:val="009F57B7"/>
    <w:rsid w:val="00A013CE"/>
    <w:rsid w:val="00A0143B"/>
    <w:rsid w:val="00A01512"/>
    <w:rsid w:val="00A02582"/>
    <w:rsid w:val="00A0258C"/>
    <w:rsid w:val="00A04898"/>
    <w:rsid w:val="00A06265"/>
    <w:rsid w:val="00A067D0"/>
    <w:rsid w:val="00A07C42"/>
    <w:rsid w:val="00A10C91"/>
    <w:rsid w:val="00A11619"/>
    <w:rsid w:val="00A116E7"/>
    <w:rsid w:val="00A12150"/>
    <w:rsid w:val="00A161B3"/>
    <w:rsid w:val="00A16457"/>
    <w:rsid w:val="00A1748C"/>
    <w:rsid w:val="00A17DF1"/>
    <w:rsid w:val="00A20016"/>
    <w:rsid w:val="00A21219"/>
    <w:rsid w:val="00A2122B"/>
    <w:rsid w:val="00A226C5"/>
    <w:rsid w:val="00A23F83"/>
    <w:rsid w:val="00A24218"/>
    <w:rsid w:val="00A254ED"/>
    <w:rsid w:val="00A271F2"/>
    <w:rsid w:val="00A27528"/>
    <w:rsid w:val="00A2757B"/>
    <w:rsid w:val="00A27AF4"/>
    <w:rsid w:val="00A30728"/>
    <w:rsid w:val="00A30CF7"/>
    <w:rsid w:val="00A3506D"/>
    <w:rsid w:val="00A35554"/>
    <w:rsid w:val="00A366E2"/>
    <w:rsid w:val="00A36E10"/>
    <w:rsid w:val="00A36F0D"/>
    <w:rsid w:val="00A40120"/>
    <w:rsid w:val="00A41C36"/>
    <w:rsid w:val="00A42E49"/>
    <w:rsid w:val="00A43238"/>
    <w:rsid w:val="00A43A01"/>
    <w:rsid w:val="00A45A21"/>
    <w:rsid w:val="00A45A50"/>
    <w:rsid w:val="00A469DA"/>
    <w:rsid w:val="00A46DC3"/>
    <w:rsid w:val="00A47E16"/>
    <w:rsid w:val="00A55F0A"/>
    <w:rsid w:val="00A60632"/>
    <w:rsid w:val="00A60C69"/>
    <w:rsid w:val="00A61435"/>
    <w:rsid w:val="00A61702"/>
    <w:rsid w:val="00A6240E"/>
    <w:rsid w:val="00A62CE1"/>
    <w:rsid w:val="00A630EE"/>
    <w:rsid w:val="00A6356A"/>
    <w:rsid w:val="00A63C86"/>
    <w:rsid w:val="00A64242"/>
    <w:rsid w:val="00A64273"/>
    <w:rsid w:val="00A6656A"/>
    <w:rsid w:val="00A6752D"/>
    <w:rsid w:val="00A70632"/>
    <w:rsid w:val="00A7405E"/>
    <w:rsid w:val="00A744F8"/>
    <w:rsid w:val="00A76677"/>
    <w:rsid w:val="00A76CE4"/>
    <w:rsid w:val="00A84366"/>
    <w:rsid w:val="00A84B90"/>
    <w:rsid w:val="00A85884"/>
    <w:rsid w:val="00A85943"/>
    <w:rsid w:val="00A869EF"/>
    <w:rsid w:val="00A90A20"/>
    <w:rsid w:val="00A91B7C"/>
    <w:rsid w:val="00A93602"/>
    <w:rsid w:val="00A948EF"/>
    <w:rsid w:val="00A9492F"/>
    <w:rsid w:val="00A949AF"/>
    <w:rsid w:val="00A96D25"/>
    <w:rsid w:val="00AA1ED1"/>
    <w:rsid w:val="00AA6BAC"/>
    <w:rsid w:val="00AA7557"/>
    <w:rsid w:val="00AB073D"/>
    <w:rsid w:val="00AB1332"/>
    <w:rsid w:val="00AB27E1"/>
    <w:rsid w:val="00AB2A98"/>
    <w:rsid w:val="00AB2DC4"/>
    <w:rsid w:val="00AB2FE8"/>
    <w:rsid w:val="00AB4E28"/>
    <w:rsid w:val="00AB564A"/>
    <w:rsid w:val="00AC0464"/>
    <w:rsid w:val="00AC049A"/>
    <w:rsid w:val="00AC3384"/>
    <w:rsid w:val="00AC339F"/>
    <w:rsid w:val="00AC4FA3"/>
    <w:rsid w:val="00AC6B29"/>
    <w:rsid w:val="00AD1102"/>
    <w:rsid w:val="00AD14D5"/>
    <w:rsid w:val="00AD18B8"/>
    <w:rsid w:val="00AD30BA"/>
    <w:rsid w:val="00AD3E93"/>
    <w:rsid w:val="00AD589B"/>
    <w:rsid w:val="00AD6D11"/>
    <w:rsid w:val="00AD6D9F"/>
    <w:rsid w:val="00AD6FF2"/>
    <w:rsid w:val="00AD8902"/>
    <w:rsid w:val="00AD9068"/>
    <w:rsid w:val="00AE0354"/>
    <w:rsid w:val="00AE08EF"/>
    <w:rsid w:val="00AE233E"/>
    <w:rsid w:val="00AE2B9D"/>
    <w:rsid w:val="00AE685F"/>
    <w:rsid w:val="00AF045F"/>
    <w:rsid w:val="00AF124E"/>
    <w:rsid w:val="00AF1845"/>
    <w:rsid w:val="00AF1B62"/>
    <w:rsid w:val="00AF1E33"/>
    <w:rsid w:val="00AF33D8"/>
    <w:rsid w:val="00AF3F42"/>
    <w:rsid w:val="00AF5C8A"/>
    <w:rsid w:val="00AF6E79"/>
    <w:rsid w:val="00AF7939"/>
    <w:rsid w:val="00B016A6"/>
    <w:rsid w:val="00B01DC8"/>
    <w:rsid w:val="00B02C27"/>
    <w:rsid w:val="00B02FE5"/>
    <w:rsid w:val="00B04053"/>
    <w:rsid w:val="00B11F4B"/>
    <w:rsid w:val="00B135A6"/>
    <w:rsid w:val="00B142D1"/>
    <w:rsid w:val="00B1525E"/>
    <w:rsid w:val="00B206D4"/>
    <w:rsid w:val="00B21A66"/>
    <w:rsid w:val="00B22047"/>
    <w:rsid w:val="00B22123"/>
    <w:rsid w:val="00B22C03"/>
    <w:rsid w:val="00B22CB5"/>
    <w:rsid w:val="00B255F1"/>
    <w:rsid w:val="00B25E0F"/>
    <w:rsid w:val="00B27AAF"/>
    <w:rsid w:val="00B30217"/>
    <w:rsid w:val="00B30D97"/>
    <w:rsid w:val="00B315C3"/>
    <w:rsid w:val="00B31708"/>
    <w:rsid w:val="00B3546F"/>
    <w:rsid w:val="00B359C6"/>
    <w:rsid w:val="00B35B55"/>
    <w:rsid w:val="00B36581"/>
    <w:rsid w:val="00B36880"/>
    <w:rsid w:val="00B37170"/>
    <w:rsid w:val="00B410BE"/>
    <w:rsid w:val="00B42428"/>
    <w:rsid w:val="00B44464"/>
    <w:rsid w:val="00B44B43"/>
    <w:rsid w:val="00B4707C"/>
    <w:rsid w:val="00B4C9AE"/>
    <w:rsid w:val="00B50ADB"/>
    <w:rsid w:val="00B50D0A"/>
    <w:rsid w:val="00B53C65"/>
    <w:rsid w:val="00B53CE8"/>
    <w:rsid w:val="00B55C5A"/>
    <w:rsid w:val="00B55CA3"/>
    <w:rsid w:val="00B566B7"/>
    <w:rsid w:val="00B56920"/>
    <w:rsid w:val="00B56C51"/>
    <w:rsid w:val="00B5AECD"/>
    <w:rsid w:val="00B60042"/>
    <w:rsid w:val="00B60A0C"/>
    <w:rsid w:val="00B620C2"/>
    <w:rsid w:val="00B62A46"/>
    <w:rsid w:val="00B62CD3"/>
    <w:rsid w:val="00B62E47"/>
    <w:rsid w:val="00B63F1A"/>
    <w:rsid w:val="00B64104"/>
    <w:rsid w:val="00B64B77"/>
    <w:rsid w:val="00B65AEF"/>
    <w:rsid w:val="00B6602B"/>
    <w:rsid w:val="00B66392"/>
    <w:rsid w:val="00B66A7C"/>
    <w:rsid w:val="00B714FF"/>
    <w:rsid w:val="00B748F5"/>
    <w:rsid w:val="00B751F5"/>
    <w:rsid w:val="00B81253"/>
    <w:rsid w:val="00B81360"/>
    <w:rsid w:val="00B81C68"/>
    <w:rsid w:val="00B833DC"/>
    <w:rsid w:val="00B85809"/>
    <w:rsid w:val="00B86704"/>
    <w:rsid w:val="00B86C22"/>
    <w:rsid w:val="00B8747C"/>
    <w:rsid w:val="00B92504"/>
    <w:rsid w:val="00B92D4F"/>
    <w:rsid w:val="00B935D1"/>
    <w:rsid w:val="00B93DD0"/>
    <w:rsid w:val="00B97621"/>
    <w:rsid w:val="00BA205C"/>
    <w:rsid w:val="00BA381A"/>
    <w:rsid w:val="00BA4CAC"/>
    <w:rsid w:val="00BA4F9B"/>
    <w:rsid w:val="00BA5CA1"/>
    <w:rsid w:val="00BB3746"/>
    <w:rsid w:val="00BB4445"/>
    <w:rsid w:val="00BB4751"/>
    <w:rsid w:val="00BB48C1"/>
    <w:rsid w:val="00BB5F29"/>
    <w:rsid w:val="00BB5FD8"/>
    <w:rsid w:val="00BB6587"/>
    <w:rsid w:val="00BB6D1B"/>
    <w:rsid w:val="00BB734A"/>
    <w:rsid w:val="00BB75C4"/>
    <w:rsid w:val="00BC0EC9"/>
    <w:rsid w:val="00BC44D4"/>
    <w:rsid w:val="00BC4742"/>
    <w:rsid w:val="00BC47D5"/>
    <w:rsid w:val="00BC6328"/>
    <w:rsid w:val="00BC6419"/>
    <w:rsid w:val="00BC649B"/>
    <w:rsid w:val="00BC766E"/>
    <w:rsid w:val="00BD0129"/>
    <w:rsid w:val="00BD1E9F"/>
    <w:rsid w:val="00BD25A4"/>
    <w:rsid w:val="00BD30BF"/>
    <w:rsid w:val="00BD36DA"/>
    <w:rsid w:val="00BD54AD"/>
    <w:rsid w:val="00BD554D"/>
    <w:rsid w:val="00BD5928"/>
    <w:rsid w:val="00BD5E23"/>
    <w:rsid w:val="00BD6C7B"/>
    <w:rsid w:val="00BD7966"/>
    <w:rsid w:val="00BE0AC1"/>
    <w:rsid w:val="00BE178D"/>
    <w:rsid w:val="00BE1E9E"/>
    <w:rsid w:val="00BE2DC7"/>
    <w:rsid w:val="00BE2E78"/>
    <w:rsid w:val="00BE3A81"/>
    <w:rsid w:val="00BF0442"/>
    <w:rsid w:val="00BF12CF"/>
    <w:rsid w:val="00BF131E"/>
    <w:rsid w:val="00BF1D13"/>
    <w:rsid w:val="00BF3CC4"/>
    <w:rsid w:val="00BF3E00"/>
    <w:rsid w:val="00BF640E"/>
    <w:rsid w:val="00BF7365"/>
    <w:rsid w:val="00C00274"/>
    <w:rsid w:val="00C00CDE"/>
    <w:rsid w:val="00C028EE"/>
    <w:rsid w:val="00C046DB"/>
    <w:rsid w:val="00C06228"/>
    <w:rsid w:val="00C0639E"/>
    <w:rsid w:val="00C07672"/>
    <w:rsid w:val="00C11B6C"/>
    <w:rsid w:val="00C1247A"/>
    <w:rsid w:val="00C1422D"/>
    <w:rsid w:val="00C17637"/>
    <w:rsid w:val="00C22D4F"/>
    <w:rsid w:val="00C238D3"/>
    <w:rsid w:val="00C23A45"/>
    <w:rsid w:val="00C244CA"/>
    <w:rsid w:val="00C24BCE"/>
    <w:rsid w:val="00C25C84"/>
    <w:rsid w:val="00C25DBB"/>
    <w:rsid w:val="00C262C7"/>
    <w:rsid w:val="00C269AD"/>
    <w:rsid w:val="00C3170D"/>
    <w:rsid w:val="00C32958"/>
    <w:rsid w:val="00C36F6A"/>
    <w:rsid w:val="00C41E00"/>
    <w:rsid w:val="00C42547"/>
    <w:rsid w:val="00C42A35"/>
    <w:rsid w:val="00C448DE"/>
    <w:rsid w:val="00C45217"/>
    <w:rsid w:val="00C45845"/>
    <w:rsid w:val="00C4717B"/>
    <w:rsid w:val="00C5234D"/>
    <w:rsid w:val="00C52357"/>
    <w:rsid w:val="00C53DC1"/>
    <w:rsid w:val="00C546F5"/>
    <w:rsid w:val="00C55E45"/>
    <w:rsid w:val="00C56B7F"/>
    <w:rsid w:val="00C57D5D"/>
    <w:rsid w:val="00C60F5E"/>
    <w:rsid w:val="00C6162F"/>
    <w:rsid w:val="00C6180B"/>
    <w:rsid w:val="00C61EB3"/>
    <w:rsid w:val="00C62508"/>
    <w:rsid w:val="00C62E3C"/>
    <w:rsid w:val="00C64A6F"/>
    <w:rsid w:val="00C65674"/>
    <w:rsid w:val="00C66150"/>
    <w:rsid w:val="00C670C2"/>
    <w:rsid w:val="00C67DC6"/>
    <w:rsid w:val="00C703C0"/>
    <w:rsid w:val="00C717EE"/>
    <w:rsid w:val="00C741AF"/>
    <w:rsid w:val="00C74EB4"/>
    <w:rsid w:val="00C75608"/>
    <w:rsid w:val="00C77729"/>
    <w:rsid w:val="00C80DF5"/>
    <w:rsid w:val="00C823D9"/>
    <w:rsid w:val="00C82B05"/>
    <w:rsid w:val="00C82B6C"/>
    <w:rsid w:val="00C82DED"/>
    <w:rsid w:val="00C83585"/>
    <w:rsid w:val="00C83DA6"/>
    <w:rsid w:val="00C8428F"/>
    <w:rsid w:val="00C851E5"/>
    <w:rsid w:val="00C85F32"/>
    <w:rsid w:val="00C86260"/>
    <w:rsid w:val="00C869B0"/>
    <w:rsid w:val="00C87022"/>
    <w:rsid w:val="00C9074A"/>
    <w:rsid w:val="00C922A5"/>
    <w:rsid w:val="00C92C7E"/>
    <w:rsid w:val="00C92D61"/>
    <w:rsid w:val="00C92DDC"/>
    <w:rsid w:val="00C92E25"/>
    <w:rsid w:val="00C9321C"/>
    <w:rsid w:val="00C932A0"/>
    <w:rsid w:val="00C94A0E"/>
    <w:rsid w:val="00C94DA8"/>
    <w:rsid w:val="00C970B2"/>
    <w:rsid w:val="00C97200"/>
    <w:rsid w:val="00C99FCC"/>
    <w:rsid w:val="00C9B4CA"/>
    <w:rsid w:val="00CA0DC7"/>
    <w:rsid w:val="00CA1289"/>
    <w:rsid w:val="00CA1B2C"/>
    <w:rsid w:val="00CA1C30"/>
    <w:rsid w:val="00CA1C76"/>
    <w:rsid w:val="00CA3A1F"/>
    <w:rsid w:val="00CA468E"/>
    <w:rsid w:val="00CA56F5"/>
    <w:rsid w:val="00CA58E7"/>
    <w:rsid w:val="00CB1038"/>
    <w:rsid w:val="00CB1138"/>
    <w:rsid w:val="00CB1992"/>
    <w:rsid w:val="00CB1C3F"/>
    <w:rsid w:val="00CB37FE"/>
    <w:rsid w:val="00CB4079"/>
    <w:rsid w:val="00CB40AA"/>
    <w:rsid w:val="00CB5403"/>
    <w:rsid w:val="00CB59B2"/>
    <w:rsid w:val="00CB7CDF"/>
    <w:rsid w:val="00CC02D5"/>
    <w:rsid w:val="00CC2F3E"/>
    <w:rsid w:val="00CC350B"/>
    <w:rsid w:val="00CC64BA"/>
    <w:rsid w:val="00CC6715"/>
    <w:rsid w:val="00CC6CDC"/>
    <w:rsid w:val="00CD5CF1"/>
    <w:rsid w:val="00CD64B4"/>
    <w:rsid w:val="00CD7695"/>
    <w:rsid w:val="00CD76CB"/>
    <w:rsid w:val="00CD7B23"/>
    <w:rsid w:val="00CE0545"/>
    <w:rsid w:val="00CE2251"/>
    <w:rsid w:val="00CE3A4C"/>
    <w:rsid w:val="00CE4FB2"/>
    <w:rsid w:val="00CE5799"/>
    <w:rsid w:val="00CE6367"/>
    <w:rsid w:val="00CE7A41"/>
    <w:rsid w:val="00CF03F0"/>
    <w:rsid w:val="00CF1091"/>
    <w:rsid w:val="00CF189F"/>
    <w:rsid w:val="00CF2F8C"/>
    <w:rsid w:val="00CF4175"/>
    <w:rsid w:val="00CF6433"/>
    <w:rsid w:val="00D010E8"/>
    <w:rsid w:val="00D0222E"/>
    <w:rsid w:val="00D04CF0"/>
    <w:rsid w:val="00D05152"/>
    <w:rsid w:val="00D066EB"/>
    <w:rsid w:val="00D06998"/>
    <w:rsid w:val="00D07596"/>
    <w:rsid w:val="00D07DCF"/>
    <w:rsid w:val="00D10BA7"/>
    <w:rsid w:val="00D10F20"/>
    <w:rsid w:val="00D11D1D"/>
    <w:rsid w:val="00D11E3D"/>
    <w:rsid w:val="00D124E8"/>
    <w:rsid w:val="00D127C1"/>
    <w:rsid w:val="00D13111"/>
    <w:rsid w:val="00D1399F"/>
    <w:rsid w:val="00D15723"/>
    <w:rsid w:val="00D16995"/>
    <w:rsid w:val="00D18131"/>
    <w:rsid w:val="00D217A5"/>
    <w:rsid w:val="00D2182A"/>
    <w:rsid w:val="00D21D7E"/>
    <w:rsid w:val="00D22EB2"/>
    <w:rsid w:val="00D22EFB"/>
    <w:rsid w:val="00D23BA2"/>
    <w:rsid w:val="00D24CF7"/>
    <w:rsid w:val="00D2519A"/>
    <w:rsid w:val="00D25203"/>
    <w:rsid w:val="00D2555C"/>
    <w:rsid w:val="00D25C1D"/>
    <w:rsid w:val="00D26307"/>
    <w:rsid w:val="00D271D9"/>
    <w:rsid w:val="00D27C07"/>
    <w:rsid w:val="00D3073D"/>
    <w:rsid w:val="00D3576B"/>
    <w:rsid w:val="00D3672F"/>
    <w:rsid w:val="00D3745E"/>
    <w:rsid w:val="00D407E8"/>
    <w:rsid w:val="00D40C67"/>
    <w:rsid w:val="00D40E11"/>
    <w:rsid w:val="00D41E20"/>
    <w:rsid w:val="00D422B2"/>
    <w:rsid w:val="00D42705"/>
    <w:rsid w:val="00D44129"/>
    <w:rsid w:val="00D4430B"/>
    <w:rsid w:val="00D44D64"/>
    <w:rsid w:val="00D45FF6"/>
    <w:rsid w:val="00D47298"/>
    <w:rsid w:val="00D472EC"/>
    <w:rsid w:val="00D50B67"/>
    <w:rsid w:val="00D51C62"/>
    <w:rsid w:val="00D52612"/>
    <w:rsid w:val="00D535FC"/>
    <w:rsid w:val="00D548D8"/>
    <w:rsid w:val="00D550AA"/>
    <w:rsid w:val="00D558FE"/>
    <w:rsid w:val="00D56E53"/>
    <w:rsid w:val="00D60B32"/>
    <w:rsid w:val="00D63C58"/>
    <w:rsid w:val="00D63C63"/>
    <w:rsid w:val="00D64726"/>
    <w:rsid w:val="00D64A9E"/>
    <w:rsid w:val="00D65707"/>
    <w:rsid w:val="00D66BE4"/>
    <w:rsid w:val="00D716A8"/>
    <w:rsid w:val="00D725A6"/>
    <w:rsid w:val="00D73506"/>
    <w:rsid w:val="00D74631"/>
    <w:rsid w:val="00D7735D"/>
    <w:rsid w:val="00D773BE"/>
    <w:rsid w:val="00D77BC6"/>
    <w:rsid w:val="00D80DF4"/>
    <w:rsid w:val="00D81CE1"/>
    <w:rsid w:val="00D825D6"/>
    <w:rsid w:val="00D828ED"/>
    <w:rsid w:val="00D82AF4"/>
    <w:rsid w:val="00D83590"/>
    <w:rsid w:val="00D83C71"/>
    <w:rsid w:val="00D83E79"/>
    <w:rsid w:val="00D84129"/>
    <w:rsid w:val="00D845A6"/>
    <w:rsid w:val="00D84ABA"/>
    <w:rsid w:val="00D84FEB"/>
    <w:rsid w:val="00D92684"/>
    <w:rsid w:val="00D94A9E"/>
    <w:rsid w:val="00D94AA6"/>
    <w:rsid w:val="00D94FB6"/>
    <w:rsid w:val="00D9585D"/>
    <w:rsid w:val="00D96147"/>
    <w:rsid w:val="00D96176"/>
    <w:rsid w:val="00D97707"/>
    <w:rsid w:val="00DA0BC0"/>
    <w:rsid w:val="00DA49AB"/>
    <w:rsid w:val="00DA5BB5"/>
    <w:rsid w:val="00DA6056"/>
    <w:rsid w:val="00DA69F0"/>
    <w:rsid w:val="00DA69FD"/>
    <w:rsid w:val="00DA7208"/>
    <w:rsid w:val="00DA7584"/>
    <w:rsid w:val="00DA7B1C"/>
    <w:rsid w:val="00DB1910"/>
    <w:rsid w:val="00DB464C"/>
    <w:rsid w:val="00DB49A9"/>
    <w:rsid w:val="00DB4C6B"/>
    <w:rsid w:val="00DC0255"/>
    <w:rsid w:val="00DC0B53"/>
    <w:rsid w:val="00DC1498"/>
    <w:rsid w:val="00DC2AE2"/>
    <w:rsid w:val="00DC34A0"/>
    <w:rsid w:val="00DC3559"/>
    <w:rsid w:val="00DC3EFB"/>
    <w:rsid w:val="00DC78E5"/>
    <w:rsid w:val="00DC7CC7"/>
    <w:rsid w:val="00DD041D"/>
    <w:rsid w:val="00DD1090"/>
    <w:rsid w:val="00DD1551"/>
    <w:rsid w:val="00DD1F11"/>
    <w:rsid w:val="00DD21DC"/>
    <w:rsid w:val="00DD2BB4"/>
    <w:rsid w:val="00DD37FC"/>
    <w:rsid w:val="00DD3A9A"/>
    <w:rsid w:val="00DD3F47"/>
    <w:rsid w:val="00DD5F8A"/>
    <w:rsid w:val="00DD6912"/>
    <w:rsid w:val="00DD6EDC"/>
    <w:rsid w:val="00DE0451"/>
    <w:rsid w:val="00DE0C29"/>
    <w:rsid w:val="00DE31AC"/>
    <w:rsid w:val="00DE3E7A"/>
    <w:rsid w:val="00DE4510"/>
    <w:rsid w:val="00DE622F"/>
    <w:rsid w:val="00DE65C9"/>
    <w:rsid w:val="00DF07BB"/>
    <w:rsid w:val="00DF260C"/>
    <w:rsid w:val="00DF3252"/>
    <w:rsid w:val="00DF475B"/>
    <w:rsid w:val="00DF5475"/>
    <w:rsid w:val="00DF7473"/>
    <w:rsid w:val="00DF75F8"/>
    <w:rsid w:val="00E022B2"/>
    <w:rsid w:val="00E024B7"/>
    <w:rsid w:val="00E027B2"/>
    <w:rsid w:val="00E02865"/>
    <w:rsid w:val="00E02CDE"/>
    <w:rsid w:val="00E04A52"/>
    <w:rsid w:val="00E069DB"/>
    <w:rsid w:val="00E07020"/>
    <w:rsid w:val="00E07044"/>
    <w:rsid w:val="00E10AA0"/>
    <w:rsid w:val="00E10C7E"/>
    <w:rsid w:val="00E116CA"/>
    <w:rsid w:val="00E128FB"/>
    <w:rsid w:val="00E13177"/>
    <w:rsid w:val="00E13F3B"/>
    <w:rsid w:val="00E157F4"/>
    <w:rsid w:val="00E209AD"/>
    <w:rsid w:val="00E20B95"/>
    <w:rsid w:val="00E210F2"/>
    <w:rsid w:val="00E245B7"/>
    <w:rsid w:val="00E26D90"/>
    <w:rsid w:val="00E26E08"/>
    <w:rsid w:val="00E30E17"/>
    <w:rsid w:val="00E33504"/>
    <w:rsid w:val="00E342B1"/>
    <w:rsid w:val="00E372F1"/>
    <w:rsid w:val="00E43574"/>
    <w:rsid w:val="00E43A0E"/>
    <w:rsid w:val="00E44AFA"/>
    <w:rsid w:val="00E44B0E"/>
    <w:rsid w:val="00E470BB"/>
    <w:rsid w:val="00E47427"/>
    <w:rsid w:val="00E543EF"/>
    <w:rsid w:val="00E55558"/>
    <w:rsid w:val="00E55564"/>
    <w:rsid w:val="00E6085E"/>
    <w:rsid w:val="00E60A0A"/>
    <w:rsid w:val="00E60CB0"/>
    <w:rsid w:val="00E61262"/>
    <w:rsid w:val="00E6164E"/>
    <w:rsid w:val="00E61CB5"/>
    <w:rsid w:val="00E657DE"/>
    <w:rsid w:val="00E670A9"/>
    <w:rsid w:val="00E67840"/>
    <w:rsid w:val="00E720B1"/>
    <w:rsid w:val="00E74CEB"/>
    <w:rsid w:val="00E755BA"/>
    <w:rsid w:val="00E7676F"/>
    <w:rsid w:val="00E80B46"/>
    <w:rsid w:val="00E80C2D"/>
    <w:rsid w:val="00E830B7"/>
    <w:rsid w:val="00E863DE"/>
    <w:rsid w:val="00E87E6F"/>
    <w:rsid w:val="00E9010B"/>
    <w:rsid w:val="00E906EE"/>
    <w:rsid w:val="00E90D8C"/>
    <w:rsid w:val="00E91BEE"/>
    <w:rsid w:val="00E9268A"/>
    <w:rsid w:val="00E95245"/>
    <w:rsid w:val="00E975E8"/>
    <w:rsid w:val="00EA048D"/>
    <w:rsid w:val="00EA0E36"/>
    <w:rsid w:val="00EA1290"/>
    <w:rsid w:val="00EA2094"/>
    <w:rsid w:val="00EA43C3"/>
    <w:rsid w:val="00EA4DF2"/>
    <w:rsid w:val="00EA55DF"/>
    <w:rsid w:val="00EA7440"/>
    <w:rsid w:val="00EA7F7F"/>
    <w:rsid w:val="00EB0005"/>
    <w:rsid w:val="00EB00DD"/>
    <w:rsid w:val="00EB09A4"/>
    <w:rsid w:val="00EB0F22"/>
    <w:rsid w:val="00EB1C50"/>
    <w:rsid w:val="00EB364E"/>
    <w:rsid w:val="00EB36E0"/>
    <w:rsid w:val="00EB3FE0"/>
    <w:rsid w:val="00EB64DF"/>
    <w:rsid w:val="00EB7114"/>
    <w:rsid w:val="00EC00F5"/>
    <w:rsid w:val="00EC0134"/>
    <w:rsid w:val="00EC20CA"/>
    <w:rsid w:val="00EC21B8"/>
    <w:rsid w:val="00EC5246"/>
    <w:rsid w:val="00ED1598"/>
    <w:rsid w:val="00ED2406"/>
    <w:rsid w:val="00ED2BCC"/>
    <w:rsid w:val="00ED5B04"/>
    <w:rsid w:val="00ED6525"/>
    <w:rsid w:val="00EE0491"/>
    <w:rsid w:val="00EE0B33"/>
    <w:rsid w:val="00EE15D1"/>
    <w:rsid w:val="00EE15F1"/>
    <w:rsid w:val="00EE2DA1"/>
    <w:rsid w:val="00EE6D68"/>
    <w:rsid w:val="00EE7240"/>
    <w:rsid w:val="00EE7F83"/>
    <w:rsid w:val="00EF068A"/>
    <w:rsid w:val="00EF12D4"/>
    <w:rsid w:val="00EF2A29"/>
    <w:rsid w:val="00EF4B60"/>
    <w:rsid w:val="00EF524D"/>
    <w:rsid w:val="00EF6188"/>
    <w:rsid w:val="00EF64D8"/>
    <w:rsid w:val="00EF6691"/>
    <w:rsid w:val="00F0005F"/>
    <w:rsid w:val="00F0008C"/>
    <w:rsid w:val="00F00589"/>
    <w:rsid w:val="00F00C1E"/>
    <w:rsid w:val="00F046A9"/>
    <w:rsid w:val="00F072D5"/>
    <w:rsid w:val="00F073C5"/>
    <w:rsid w:val="00F107D9"/>
    <w:rsid w:val="00F10BE7"/>
    <w:rsid w:val="00F1262E"/>
    <w:rsid w:val="00F14210"/>
    <w:rsid w:val="00F14DD3"/>
    <w:rsid w:val="00F15454"/>
    <w:rsid w:val="00F167FF"/>
    <w:rsid w:val="00F16A40"/>
    <w:rsid w:val="00F20A9A"/>
    <w:rsid w:val="00F21A8A"/>
    <w:rsid w:val="00F22C35"/>
    <w:rsid w:val="00F230F7"/>
    <w:rsid w:val="00F24095"/>
    <w:rsid w:val="00F24277"/>
    <w:rsid w:val="00F2441C"/>
    <w:rsid w:val="00F244A3"/>
    <w:rsid w:val="00F2636C"/>
    <w:rsid w:val="00F27540"/>
    <w:rsid w:val="00F27D53"/>
    <w:rsid w:val="00F31105"/>
    <w:rsid w:val="00F31362"/>
    <w:rsid w:val="00F344C8"/>
    <w:rsid w:val="00F34520"/>
    <w:rsid w:val="00F34C58"/>
    <w:rsid w:val="00F34DC3"/>
    <w:rsid w:val="00F369F1"/>
    <w:rsid w:val="00F36A8C"/>
    <w:rsid w:val="00F37CD2"/>
    <w:rsid w:val="00F405FD"/>
    <w:rsid w:val="00F40768"/>
    <w:rsid w:val="00F44104"/>
    <w:rsid w:val="00F442E0"/>
    <w:rsid w:val="00F445AB"/>
    <w:rsid w:val="00F455E8"/>
    <w:rsid w:val="00F45D8F"/>
    <w:rsid w:val="00F46867"/>
    <w:rsid w:val="00F4701A"/>
    <w:rsid w:val="00F50337"/>
    <w:rsid w:val="00F5100E"/>
    <w:rsid w:val="00F5200E"/>
    <w:rsid w:val="00F522A2"/>
    <w:rsid w:val="00F53357"/>
    <w:rsid w:val="00F53D3A"/>
    <w:rsid w:val="00F5434B"/>
    <w:rsid w:val="00F544BB"/>
    <w:rsid w:val="00F549E9"/>
    <w:rsid w:val="00F57173"/>
    <w:rsid w:val="00F60868"/>
    <w:rsid w:val="00F609A9"/>
    <w:rsid w:val="00F60CEC"/>
    <w:rsid w:val="00F62311"/>
    <w:rsid w:val="00F64244"/>
    <w:rsid w:val="00F64DA5"/>
    <w:rsid w:val="00F654E5"/>
    <w:rsid w:val="00F65E7C"/>
    <w:rsid w:val="00F66243"/>
    <w:rsid w:val="00F667B3"/>
    <w:rsid w:val="00F66D91"/>
    <w:rsid w:val="00F67016"/>
    <w:rsid w:val="00F703DC"/>
    <w:rsid w:val="00F7040D"/>
    <w:rsid w:val="00F715C7"/>
    <w:rsid w:val="00F72A39"/>
    <w:rsid w:val="00F72D8C"/>
    <w:rsid w:val="00F72ECC"/>
    <w:rsid w:val="00F75C66"/>
    <w:rsid w:val="00F76DDD"/>
    <w:rsid w:val="00F80115"/>
    <w:rsid w:val="00F81811"/>
    <w:rsid w:val="00F82B65"/>
    <w:rsid w:val="00F86BE4"/>
    <w:rsid w:val="00F8F79A"/>
    <w:rsid w:val="00F903A0"/>
    <w:rsid w:val="00F905B4"/>
    <w:rsid w:val="00F9153A"/>
    <w:rsid w:val="00F92510"/>
    <w:rsid w:val="00F92F34"/>
    <w:rsid w:val="00F94432"/>
    <w:rsid w:val="00F94493"/>
    <w:rsid w:val="00F946ED"/>
    <w:rsid w:val="00F95D83"/>
    <w:rsid w:val="00F96631"/>
    <w:rsid w:val="00FA083E"/>
    <w:rsid w:val="00FA124C"/>
    <w:rsid w:val="00FA2666"/>
    <w:rsid w:val="00FA47ED"/>
    <w:rsid w:val="00FA4D6D"/>
    <w:rsid w:val="00FA63B0"/>
    <w:rsid w:val="00FB11F4"/>
    <w:rsid w:val="00FB1CE5"/>
    <w:rsid w:val="00FB2CE3"/>
    <w:rsid w:val="00FB3AB1"/>
    <w:rsid w:val="00FB6DD3"/>
    <w:rsid w:val="00FC0032"/>
    <w:rsid w:val="00FC3871"/>
    <w:rsid w:val="00FC48C2"/>
    <w:rsid w:val="00FC69A8"/>
    <w:rsid w:val="00FC704B"/>
    <w:rsid w:val="00FC730E"/>
    <w:rsid w:val="00FC7A9B"/>
    <w:rsid w:val="00FD071D"/>
    <w:rsid w:val="00FD0AE3"/>
    <w:rsid w:val="00FD53C0"/>
    <w:rsid w:val="00FD743B"/>
    <w:rsid w:val="00FE09C0"/>
    <w:rsid w:val="00FE4309"/>
    <w:rsid w:val="00FE4AA4"/>
    <w:rsid w:val="00FE5C45"/>
    <w:rsid w:val="00FE606F"/>
    <w:rsid w:val="00FE62B6"/>
    <w:rsid w:val="00FE6F9B"/>
    <w:rsid w:val="00FF006F"/>
    <w:rsid w:val="00FF257B"/>
    <w:rsid w:val="00FF30A9"/>
    <w:rsid w:val="00FF5251"/>
    <w:rsid w:val="00FF57D6"/>
    <w:rsid w:val="00FF7A6E"/>
    <w:rsid w:val="01132EEF"/>
    <w:rsid w:val="01172C52"/>
    <w:rsid w:val="0117C384"/>
    <w:rsid w:val="01188164"/>
    <w:rsid w:val="01234564"/>
    <w:rsid w:val="0127C2A7"/>
    <w:rsid w:val="01324CED"/>
    <w:rsid w:val="013C0C4B"/>
    <w:rsid w:val="01516226"/>
    <w:rsid w:val="01551563"/>
    <w:rsid w:val="015CC542"/>
    <w:rsid w:val="0165042B"/>
    <w:rsid w:val="01664054"/>
    <w:rsid w:val="0169A630"/>
    <w:rsid w:val="016F3FBE"/>
    <w:rsid w:val="01701DAE"/>
    <w:rsid w:val="0171A1B8"/>
    <w:rsid w:val="0174C0F4"/>
    <w:rsid w:val="017EF182"/>
    <w:rsid w:val="01833334"/>
    <w:rsid w:val="01849EEE"/>
    <w:rsid w:val="018916FD"/>
    <w:rsid w:val="018F64A2"/>
    <w:rsid w:val="0194012A"/>
    <w:rsid w:val="01A145CE"/>
    <w:rsid w:val="01A438F6"/>
    <w:rsid w:val="01A5C326"/>
    <w:rsid w:val="01AEB38A"/>
    <w:rsid w:val="01AFE907"/>
    <w:rsid w:val="01B5E4A5"/>
    <w:rsid w:val="01C958CA"/>
    <w:rsid w:val="01CB5B39"/>
    <w:rsid w:val="01CC22FF"/>
    <w:rsid w:val="01D1488E"/>
    <w:rsid w:val="01EDB0C3"/>
    <w:rsid w:val="01EFC51A"/>
    <w:rsid w:val="01FB7710"/>
    <w:rsid w:val="020176F0"/>
    <w:rsid w:val="020F8C55"/>
    <w:rsid w:val="0212D8A2"/>
    <w:rsid w:val="0235FBD0"/>
    <w:rsid w:val="02459D55"/>
    <w:rsid w:val="02469CE4"/>
    <w:rsid w:val="0253F94B"/>
    <w:rsid w:val="02551805"/>
    <w:rsid w:val="0257AEA8"/>
    <w:rsid w:val="025811D3"/>
    <w:rsid w:val="025FEC3F"/>
    <w:rsid w:val="0262ADCB"/>
    <w:rsid w:val="0263A3A1"/>
    <w:rsid w:val="0267055A"/>
    <w:rsid w:val="02699AFC"/>
    <w:rsid w:val="026B0F21"/>
    <w:rsid w:val="026EB110"/>
    <w:rsid w:val="026F3AE3"/>
    <w:rsid w:val="02754564"/>
    <w:rsid w:val="02778CE9"/>
    <w:rsid w:val="0283269C"/>
    <w:rsid w:val="02945A87"/>
    <w:rsid w:val="029AEEFB"/>
    <w:rsid w:val="029C5D7D"/>
    <w:rsid w:val="029D981F"/>
    <w:rsid w:val="029E68CE"/>
    <w:rsid w:val="029EBDFA"/>
    <w:rsid w:val="02A18AA8"/>
    <w:rsid w:val="02A85FAF"/>
    <w:rsid w:val="02A8781C"/>
    <w:rsid w:val="02AA417C"/>
    <w:rsid w:val="02B5FC76"/>
    <w:rsid w:val="02B7F7A0"/>
    <w:rsid w:val="02BDF908"/>
    <w:rsid w:val="02CEB15C"/>
    <w:rsid w:val="02D0025B"/>
    <w:rsid w:val="02D0F546"/>
    <w:rsid w:val="02D248E7"/>
    <w:rsid w:val="02D2E12F"/>
    <w:rsid w:val="02E48218"/>
    <w:rsid w:val="02E65A43"/>
    <w:rsid w:val="02EC2566"/>
    <w:rsid w:val="02F047A7"/>
    <w:rsid w:val="02F18D39"/>
    <w:rsid w:val="02F2F9E2"/>
    <w:rsid w:val="02FF785C"/>
    <w:rsid w:val="0312A9BD"/>
    <w:rsid w:val="0314D1E0"/>
    <w:rsid w:val="0318F52D"/>
    <w:rsid w:val="0322CE99"/>
    <w:rsid w:val="0324D5C7"/>
    <w:rsid w:val="032F4DF4"/>
    <w:rsid w:val="032FBBD4"/>
    <w:rsid w:val="03308B9F"/>
    <w:rsid w:val="0334C3A7"/>
    <w:rsid w:val="03350BAF"/>
    <w:rsid w:val="034C783C"/>
    <w:rsid w:val="03505E36"/>
    <w:rsid w:val="03534C04"/>
    <w:rsid w:val="0357B65F"/>
    <w:rsid w:val="035BEFA5"/>
    <w:rsid w:val="035C7A27"/>
    <w:rsid w:val="035E5B92"/>
    <w:rsid w:val="035EAD19"/>
    <w:rsid w:val="035F4C48"/>
    <w:rsid w:val="03608A2D"/>
    <w:rsid w:val="0368764B"/>
    <w:rsid w:val="036A7092"/>
    <w:rsid w:val="036E98C6"/>
    <w:rsid w:val="037058C7"/>
    <w:rsid w:val="0375E359"/>
    <w:rsid w:val="03799A60"/>
    <w:rsid w:val="038102FD"/>
    <w:rsid w:val="038A7FAA"/>
    <w:rsid w:val="038C243E"/>
    <w:rsid w:val="039258A2"/>
    <w:rsid w:val="03A4BF12"/>
    <w:rsid w:val="03B0E2D5"/>
    <w:rsid w:val="03B90D0A"/>
    <w:rsid w:val="03BDA779"/>
    <w:rsid w:val="03BF88AF"/>
    <w:rsid w:val="03C0009D"/>
    <w:rsid w:val="03C0AE27"/>
    <w:rsid w:val="03C425C7"/>
    <w:rsid w:val="03CCE198"/>
    <w:rsid w:val="03CF271E"/>
    <w:rsid w:val="03D16ABC"/>
    <w:rsid w:val="03DC8C4E"/>
    <w:rsid w:val="03E224A8"/>
    <w:rsid w:val="03E367FF"/>
    <w:rsid w:val="03EE8503"/>
    <w:rsid w:val="03EF75EB"/>
    <w:rsid w:val="03EFB6F6"/>
    <w:rsid w:val="03F894A5"/>
    <w:rsid w:val="040476BB"/>
    <w:rsid w:val="040539CE"/>
    <w:rsid w:val="0405BB64"/>
    <w:rsid w:val="040BA768"/>
    <w:rsid w:val="040C3751"/>
    <w:rsid w:val="041C75F1"/>
    <w:rsid w:val="041DFFD3"/>
    <w:rsid w:val="0430634F"/>
    <w:rsid w:val="04371EBB"/>
    <w:rsid w:val="04382DDE"/>
    <w:rsid w:val="04394862"/>
    <w:rsid w:val="043BE682"/>
    <w:rsid w:val="043C03C4"/>
    <w:rsid w:val="044755F4"/>
    <w:rsid w:val="044C532D"/>
    <w:rsid w:val="04526F3B"/>
    <w:rsid w:val="0452D573"/>
    <w:rsid w:val="04548E7F"/>
    <w:rsid w:val="0459C969"/>
    <w:rsid w:val="04628E5A"/>
    <w:rsid w:val="0466B667"/>
    <w:rsid w:val="0466F291"/>
    <w:rsid w:val="046B1F54"/>
    <w:rsid w:val="04741795"/>
    <w:rsid w:val="049299D5"/>
    <w:rsid w:val="04A6B60D"/>
    <w:rsid w:val="04A7B88D"/>
    <w:rsid w:val="04A8C0BD"/>
    <w:rsid w:val="04AB79F0"/>
    <w:rsid w:val="04AD059C"/>
    <w:rsid w:val="04B011FC"/>
    <w:rsid w:val="04B2455B"/>
    <w:rsid w:val="04B28128"/>
    <w:rsid w:val="04B4711A"/>
    <w:rsid w:val="04B4C6EC"/>
    <w:rsid w:val="04B6287C"/>
    <w:rsid w:val="04B8CE88"/>
    <w:rsid w:val="04B9CD06"/>
    <w:rsid w:val="04BB642F"/>
    <w:rsid w:val="04C0E654"/>
    <w:rsid w:val="04C74A26"/>
    <w:rsid w:val="04C7EAB2"/>
    <w:rsid w:val="04DDA853"/>
    <w:rsid w:val="04E06313"/>
    <w:rsid w:val="04E52D42"/>
    <w:rsid w:val="04EC6D95"/>
    <w:rsid w:val="04F0986C"/>
    <w:rsid w:val="0504EECA"/>
    <w:rsid w:val="05053211"/>
    <w:rsid w:val="05116176"/>
    <w:rsid w:val="0512E950"/>
    <w:rsid w:val="0515135B"/>
    <w:rsid w:val="0521F690"/>
    <w:rsid w:val="0537D89F"/>
    <w:rsid w:val="054385BD"/>
    <w:rsid w:val="05484381"/>
    <w:rsid w:val="05494DDE"/>
    <w:rsid w:val="054B9046"/>
    <w:rsid w:val="05501435"/>
    <w:rsid w:val="055105A8"/>
    <w:rsid w:val="05593D6E"/>
    <w:rsid w:val="0562E1FB"/>
    <w:rsid w:val="056551BB"/>
    <w:rsid w:val="0565B249"/>
    <w:rsid w:val="0566B29E"/>
    <w:rsid w:val="05747686"/>
    <w:rsid w:val="0578FEAB"/>
    <w:rsid w:val="058DE92F"/>
    <w:rsid w:val="05B1B161"/>
    <w:rsid w:val="05B66836"/>
    <w:rsid w:val="05CAC1A8"/>
    <w:rsid w:val="05CCB829"/>
    <w:rsid w:val="05D47F30"/>
    <w:rsid w:val="05D9ED00"/>
    <w:rsid w:val="05DAC86A"/>
    <w:rsid w:val="05DE0929"/>
    <w:rsid w:val="05DFE60D"/>
    <w:rsid w:val="05E39A75"/>
    <w:rsid w:val="05EE40C4"/>
    <w:rsid w:val="05F138A4"/>
    <w:rsid w:val="05F36925"/>
    <w:rsid w:val="05FD2A42"/>
    <w:rsid w:val="060555FF"/>
    <w:rsid w:val="0608DB29"/>
    <w:rsid w:val="060B2D22"/>
    <w:rsid w:val="060BC779"/>
    <w:rsid w:val="060D3832"/>
    <w:rsid w:val="060E4848"/>
    <w:rsid w:val="0614399D"/>
    <w:rsid w:val="0622BC88"/>
    <w:rsid w:val="06266B9B"/>
    <w:rsid w:val="06287947"/>
    <w:rsid w:val="062A99F1"/>
    <w:rsid w:val="062EFAE7"/>
    <w:rsid w:val="06382DAD"/>
    <w:rsid w:val="0647D2F2"/>
    <w:rsid w:val="064D20E1"/>
    <w:rsid w:val="064F6E5C"/>
    <w:rsid w:val="065961A4"/>
    <w:rsid w:val="06617B19"/>
    <w:rsid w:val="0667AC12"/>
    <w:rsid w:val="06686643"/>
    <w:rsid w:val="0680FDA3"/>
    <w:rsid w:val="0687924D"/>
    <w:rsid w:val="068EE18E"/>
    <w:rsid w:val="0692387A"/>
    <w:rsid w:val="06A24DC0"/>
    <w:rsid w:val="06B8A3BF"/>
    <w:rsid w:val="06BEAAC1"/>
    <w:rsid w:val="06CE3932"/>
    <w:rsid w:val="06D7A531"/>
    <w:rsid w:val="06E42CAB"/>
    <w:rsid w:val="06F1F9B8"/>
    <w:rsid w:val="070872D7"/>
    <w:rsid w:val="070CB051"/>
    <w:rsid w:val="07110FA4"/>
    <w:rsid w:val="0711AA92"/>
    <w:rsid w:val="0716FCBE"/>
    <w:rsid w:val="071CFBD6"/>
    <w:rsid w:val="072690D1"/>
    <w:rsid w:val="072B6FDC"/>
    <w:rsid w:val="073A45E8"/>
    <w:rsid w:val="073AF5A9"/>
    <w:rsid w:val="074924A0"/>
    <w:rsid w:val="0759484A"/>
    <w:rsid w:val="075A4F01"/>
    <w:rsid w:val="0762B525"/>
    <w:rsid w:val="0766601A"/>
    <w:rsid w:val="077946EA"/>
    <w:rsid w:val="0784DFE2"/>
    <w:rsid w:val="07890559"/>
    <w:rsid w:val="07916A2B"/>
    <w:rsid w:val="0796E1B3"/>
    <w:rsid w:val="07975910"/>
    <w:rsid w:val="07996561"/>
    <w:rsid w:val="079F11FD"/>
    <w:rsid w:val="07A1A3AF"/>
    <w:rsid w:val="07B57FCC"/>
    <w:rsid w:val="07C0AD5D"/>
    <w:rsid w:val="07C3C51A"/>
    <w:rsid w:val="07C79C37"/>
    <w:rsid w:val="07C79CAF"/>
    <w:rsid w:val="07C8B42C"/>
    <w:rsid w:val="07CFC8E5"/>
    <w:rsid w:val="07D7C045"/>
    <w:rsid w:val="07D82AA4"/>
    <w:rsid w:val="07DDD534"/>
    <w:rsid w:val="07E0617F"/>
    <w:rsid w:val="07E5FBAB"/>
    <w:rsid w:val="07EC0397"/>
    <w:rsid w:val="07EE9443"/>
    <w:rsid w:val="07F098C1"/>
    <w:rsid w:val="07FD32B1"/>
    <w:rsid w:val="0800E85C"/>
    <w:rsid w:val="08016B60"/>
    <w:rsid w:val="08058EAD"/>
    <w:rsid w:val="080D3539"/>
    <w:rsid w:val="080DF930"/>
    <w:rsid w:val="081A172B"/>
    <w:rsid w:val="081C698A"/>
    <w:rsid w:val="081EE493"/>
    <w:rsid w:val="082429F1"/>
    <w:rsid w:val="082915A5"/>
    <w:rsid w:val="08297110"/>
    <w:rsid w:val="082DFC02"/>
    <w:rsid w:val="08328A4B"/>
    <w:rsid w:val="0833EEE3"/>
    <w:rsid w:val="08409E43"/>
    <w:rsid w:val="084982E3"/>
    <w:rsid w:val="0849A22D"/>
    <w:rsid w:val="08599752"/>
    <w:rsid w:val="085B6EC6"/>
    <w:rsid w:val="085BDFDD"/>
    <w:rsid w:val="08624865"/>
    <w:rsid w:val="08639193"/>
    <w:rsid w:val="08744EE1"/>
    <w:rsid w:val="08745CB9"/>
    <w:rsid w:val="087C6142"/>
    <w:rsid w:val="087D4D46"/>
    <w:rsid w:val="087DF1B1"/>
    <w:rsid w:val="087E064A"/>
    <w:rsid w:val="08964074"/>
    <w:rsid w:val="089ED4C3"/>
    <w:rsid w:val="089F728A"/>
    <w:rsid w:val="08A1EBB2"/>
    <w:rsid w:val="08AC5EC4"/>
    <w:rsid w:val="08BC00CD"/>
    <w:rsid w:val="08BD6FF4"/>
    <w:rsid w:val="08C2E8A0"/>
    <w:rsid w:val="08C55A1E"/>
    <w:rsid w:val="08C77F38"/>
    <w:rsid w:val="08CA7A45"/>
    <w:rsid w:val="08CDB505"/>
    <w:rsid w:val="08DBF04E"/>
    <w:rsid w:val="08ED9F52"/>
    <w:rsid w:val="08F52C8A"/>
    <w:rsid w:val="08F9D1C5"/>
    <w:rsid w:val="08FDE80F"/>
    <w:rsid w:val="09035B8A"/>
    <w:rsid w:val="09140D78"/>
    <w:rsid w:val="09175022"/>
    <w:rsid w:val="0918410A"/>
    <w:rsid w:val="091F7AA4"/>
    <w:rsid w:val="0921B8E8"/>
    <w:rsid w:val="0927AE6C"/>
    <w:rsid w:val="092D3A8C"/>
    <w:rsid w:val="093076FB"/>
    <w:rsid w:val="09391922"/>
    <w:rsid w:val="093CFAEA"/>
    <w:rsid w:val="0940498D"/>
    <w:rsid w:val="09433C65"/>
    <w:rsid w:val="09443AB3"/>
    <w:rsid w:val="0950311A"/>
    <w:rsid w:val="09507050"/>
    <w:rsid w:val="09553B89"/>
    <w:rsid w:val="095A5D4A"/>
    <w:rsid w:val="095CDD12"/>
    <w:rsid w:val="09636C98"/>
    <w:rsid w:val="09681C54"/>
    <w:rsid w:val="09687050"/>
    <w:rsid w:val="096EAB9B"/>
    <w:rsid w:val="0976EDF8"/>
    <w:rsid w:val="0976FBDA"/>
    <w:rsid w:val="09823E94"/>
    <w:rsid w:val="09859049"/>
    <w:rsid w:val="0985D9CC"/>
    <w:rsid w:val="09899BCB"/>
    <w:rsid w:val="09985810"/>
    <w:rsid w:val="09A7D63A"/>
    <w:rsid w:val="09A93815"/>
    <w:rsid w:val="09B688DE"/>
    <w:rsid w:val="09B9C95D"/>
    <w:rsid w:val="09BCB479"/>
    <w:rsid w:val="09BE00A6"/>
    <w:rsid w:val="09BE9F48"/>
    <w:rsid w:val="09CBDC2B"/>
    <w:rsid w:val="09D989DB"/>
    <w:rsid w:val="09E20C6F"/>
    <w:rsid w:val="09E89DF5"/>
    <w:rsid w:val="09E8DBE4"/>
    <w:rsid w:val="09EC3EC2"/>
    <w:rsid w:val="0A11A460"/>
    <w:rsid w:val="0A1432CB"/>
    <w:rsid w:val="0A19D6AB"/>
    <w:rsid w:val="0A200755"/>
    <w:rsid w:val="0A23365B"/>
    <w:rsid w:val="0A2BFF59"/>
    <w:rsid w:val="0A2C4F59"/>
    <w:rsid w:val="0A37DD31"/>
    <w:rsid w:val="0A3BC9D9"/>
    <w:rsid w:val="0A3CD156"/>
    <w:rsid w:val="0A456652"/>
    <w:rsid w:val="0A464F0F"/>
    <w:rsid w:val="0A484F57"/>
    <w:rsid w:val="0A5323CF"/>
    <w:rsid w:val="0A55FB88"/>
    <w:rsid w:val="0A56C0C8"/>
    <w:rsid w:val="0A5BD3CB"/>
    <w:rsid w:val="0A5D3729"/>
    <w:rsid w:val="0A5D94C9"/>
    <w:rsid w:val="0A5DC687"/>
    <w:rsid w:val="0A5E2215"/>
    <w:rsid w:val="0A5EBA4E"/>
    <w:rsid w:val="0A5F5C39"/>
    <w:rsid w:val="0A618FF1"/>
    <w:rsid w:val="0A71E6AA"/>
    <w:rsid w:val="0A75AD36"/>
    <w:rsid w:val="0A79505E"/>
    <w:rsid w:val="0A7AA19B"/>
    <w:rsid w:val="0A7B6BE7"/>
    <w:rsid w:val="0A830C55"/>
    <w:rsid w:val="0A865489"/>
    <w:rsid w:val="0A890609"/>
    <w:rsid w:val="0A981026"/>
    <w:rsid w:val="0AAAA7A6"/>
    <w:rsid w:val="0AB03855"/>
    <w:rsid w:val="0AB1B7B2"/>
    <w:rsid w:val="0AB8C1A7"/>
    <w:rsid w:val="0ABB94B1"/>
    <w:rsid w:val="0ADD293D"/>
    <w:rsid w:val="0ADF8824"/>
    <w:rsid w:val="0AE1C3A9"/>
    <w:rsid w:val="0AE5AC9B"/>
    <w:rsid w:val="0AF402B0"/>
    <w:rsid w:val="0AFC1389"/>
    <w:rsid w:val="0B024EE5"/>
    <w:rsid w:val="0B07B165"/>
    <w:rsid w:val="0B0CAB6B"/>
    <w:rsid w:val="0B0DF810"/>
    <w:rsid w:val="0B1BBC42"/>
    <w:rsid w:val="0B217A95"/>
    <w:rsid w:val="0B233D03"/>
    <w:rsid w:val="0B3BFA45"/>
    <w:rsid w:val="0B3E687C"/>
    <w:rsid w:val="0B423DA6"/>
    <w:rsid w:val="0B53A11A"/>
    <w:rsid w:val="0B5426E0"/>
    <w:rsid w:val="0B54A9B5"/>
    <w:rsid w:val="0B5E55B3"/>
    <w:rsid w:val="0B62DFCB"/>
    <w:rsid w:val="0B65E9D9"/>
    <w:rsid w:val="0B666E8B"/>
    <w:rsid w:val="0B758723"/>
    <w:rsid w:val="0B7903C6"/>
    <w:rsid w:val="0B7F80C0"/>
    <w:rsid w:val="0B8254F9"/>
    <w:rsid w:val="0B842DCD"/>
    <w:rsid w:val="0B867734"/>
    <w:rsid w:val="0B8E2454"/>
    <w:rsid w:val="0B91C3CF"/>
    <w:rsid w:val="0B97B429"/>
    <w:rsid w:val="0BA05B66"/>
    <w:rsid w:val="0BA69043"/>
    <w:rsid w:val="0BA92B01"/>
    <w:rsid w:val="0BC7B152"/>
    <w:rsid w:val="0BF1D00A"/>
    <w:rsid w:val="0BF1F467"/>
    <w:rsid w:val="0BF4D0EF"/>
    <w:rsid w:val="0BF50705"/>
    <w:rsid w:val="0C02C917"/>
    <w:rsid w:val="0C0E66CC"/>
    <w:rsid w:val="0C1671FC"/>
    <w:rsid w:val="0C20A8E0"/>
    <w:rsid w:val="0C243296"/>
    <w:rsid w:val="0C259D8B"/>
    <w:rsid w:val="0C342616"/>
    <w:rsid w:val="0C358F07"/>
    <w:rsid w:val="0C3FC91E"/>
    <w:rsid w:val="0C418960"/>
    <w:rsid w:val="0C422246"/>
    <w:rsid w:val="0C4A4EA5"/>
    <w:rsid w:val="0C50BCEE"/>
    <w:rsid w:val="0C5603D5"/>
    <w:rsid w:val="0C5A5893"/>
    <w:rsid w:val="0C5FB952"/>
    <w:rsid w:val="0C635909"/>
    <w:rsid w:val="0C65A200"/>
    <w:rsid w:val="0C6840F1"/>
    <w:rsid w:val="0C709770"/>
    <w:rsid w:val="0C72893E"/>
    <w:rsid w:val="0C73ECDA"/>
    <w:rsid w:val="0C77D32E"/>
    <w:rsid w:val="0C7AD1A2"/>
    <w:rsid w:val="0C85F1D8"/>
    <w:rsid w:val="0C868675"/>
    <w:rsid w:val="0C899D70"/>
    <w:rsid w:val="0C91FE0C"/>
    <w:rsid w:val="0CA6A562"/>
    <w:rsid w:val="0CB210EF"/>
    <w:rsid w:val="0CB7855A"/>
    <w:rsid w:val="0CBB75F1"/>
    <w:rsid w:val="0CC33344"/>
    <w:rsid w:val="0CCC4860"/>
    <w:rsid w:val="0CCDE4FA"/>
    <w:rsid w:val="0CCF8DAD"/>
    <w:rsid w:val="0CD172EA"/>
    <w:rsid w:val="0CED6C9B"/>
    <w:rsid w:val="0CEFDAAD"/>
    <w:rsid w:val="0CF0D024"/>
    <w:rsid w:val="0D05FFB0"/>
    <w:rsid w:val="0D14B5EF"/>
    <w:rsid w:val="0D14D427"/>
    <w:rsid w:val="0D314128"/>
    <w:rsid w:val="0D38EBE3"/>
    <w:rsid w:val="0D3CBC59"/>
    <w:rsid w:val="0D3FC60B"/>
    <w:rsid w:val="0D4BB9E3"/>
    <w:rsid w:val="0D540F54"/>
    <w:rsid w:val="0D565596"/>
    <w:rsid w:val="0D5677EB"/>
    <w:rsid w:val="0D56FDF7"/>
    <w:rsid w:val="0D636D69"/>
    <w:rsid w:val="0D63A13A"/>
    <w:rsid w:val="0D69B86E"/>
    <w:rsid w:val="0D6F7DF3"/>
    <w:rsid w:val="0D6FCEDA"/>
    <w:rsid w:val="0D758903"/>
    <w:rsid w:val="0D7EA313"/>
    <w:rsid w:val="0D8C8707"/>
    <w:rsid w:val="0D93BA38"/>
    <w:rsid w:val="0D98DC2C"/>
    <w:rsid w:val="0D9C41E6"/>
    <w:rsid w:val="0DA55237"/>
    <w:rsid w:val="0DAD4DF8"/>
    <w:rsid w:val="0DB30EDA"/>
    <w:rsid w:val="0DCB4C15"/>
    <w:rsid w:val="0DCB8D9B"/>
    <w:rsid w:val="0DCD0E44"/>
    <w:rsid w:val="0DD17E0B"/>
    <w:rsid w:val="0DD40086"/>
    <w:rsid w:val="0DD85F66"/>
    <w:rsid w:val="0DDA31BB"/>
    <w:rsid w:val="0DE1B367"/>
    <w:rsid w:val="0DE9DB83"/>
    <w:rsid w:val="0DEE93EA"/>
    <w:rsid w:val="0DEEBA8B"/>
    <w:rsid w:val="0DF7B652"/>
    <w:rsid w:val="0DF8E72E"/>
    <w:rsid w:val="0E041152"/>
    <w:rsid w:val="0E0A98A7"/>
    <w:rsid w:val="0E0BFC50"/>
    <w:rsid w:val="0E13BAB0"/>
    <w:rsid w:val="0E16D95E"/>
    <w:rsid w:val="0E19EF20"/>
    <w:rsid w:val="0E1AADBD"/>
    <w:rsid w:val="0E1E55F3"/>
    <w:rsid w:val="0E26FB77"/>
    <w:rsid w:val="0E2EE5A2"/>
    <w:rsid w:val="0E36DDBB"/>
    <w:rsid w:val="0E419754"/>
    <w:rsid w:val="0E444C2D"/>
    <w:rsid w:val="0E4C25D0"/>
    <w:rsid w:val="0E55ED85"/>
    <w:rsid w:val="0E584197"/>
    <w:rsid w:val="0E5B9A14"/>
    <w:rsid w:val="0E5C3CD7"/>
    <w:rsid w:val="0E5D748A"/>
    <w:rsid w:val="0E62FB14"/>
    <w:rsid w:val="0E6E353F"/>
    <w:rsid w:val="0E7CAF96"/>
    <w:rsid w:val="0E874089"/>
    <w:rsid w:val="0E8D5821"/>
    <w:rsid w:val="0E96E460"/>
    <w:rsid w:val="0E99FA33"/>
    <w:rsid w:val="0EA96624"/>
    <w:rsid w:val="0EB08650"/>
    <w:rsid w:val="0EB4DC06"/>
    <w:rsid w:val="0EB4EE39"/>
    <w:rsid w:val="0EB90EA2"/>
    <w:rsid w:val="0EBFB04F"/>
    <w:rsid w:val="0EC3B5A4"/>
    <w:rsid w:val="0EC93286"/>
    <w:rsid w:val="0EE4709E"/>
    <w:rsid w:val="0EE4CA46"/>
    <w:rsid w:val="0EE5BC11"/>
    <w:rsid w:val="0EECFD91"/>
    <w:rsid w:val="0EF37878"/>
    <w:rsid w:val="0EF82C52"/>
    <w:rsid w:val="0EFCDC51"/>
    <w:rsid w:val="0F0C105B"/>
    <w:rsid w:val="0F0CB16F"/>
    <w:rsid w:val="0F12E116"/>
    <w:rsid w:val="0F1B05F7"/>
    <w:rsid w:val="0F206DEA"/>
    <w:rsid w:val="0F240929"/>
    <w:rsid w:val="0F25384C"/>
    <w:rsid w:val="0F2D0020"/>
    <w:rsid w:val="0F2FAEB4"/>
    <w:rsid w:val="0F2FFC68"/>
    <w:rsid w:val="0F31D26B"/>
    <w:rsid w:val="0F35B7D3"/>
    <w:rsid w:val="0F384D78"/>
    <w:rsid w:val="0F3CF5EE"/>
    <w:rsid w:val="0F3F02EF"/>
    <w:rsid w:val="0F4B31D2"/>
    <w:rsid w:val="0F4C5293"/>
    <w:rsid w:val="0F4E4334"/>
    <w:rsid w:val="0F51BB0F"/>
    <w:rsid w:val="0F689324"/>
    <w:rsid w:val="0F6B8149"/>
    <w:rsid w:val="0F6E2645"/>
    <w:rsid w:val="0F7AAE56"/>
    <w:rsid w:val="0F88739B"/>
    <w:rsid w:val="0F894B4B"/>
    <w:rsid w:val="0F8B7C32"/>
    <w:rsid w:val="0F8F159D"/>
    <w:rsid w:val="0F968B49"/>
    <w:rsid w:val="0F973A68"/>
    <w:rsid w:val="0F97F396"/>
    <w:rsid w:val="0F9C7C10"/>
    <w:rsid w:val="0FAF56DA"/>
    <w:rsid w:val="0FAF60E1"/>
    <w:rsid w:val="0FAF9D06"/>
    <w:rsid w:val="0FB3B683"/>
    <w:rsid w:val="0FB41A78"/>
    <w:rsid w:val="0FBCB641"/>
    <w:rsid w:val="0FC54BAD"/>
    <w:rsid w:val="0FC62B36"/>
    <w:rsid w:val="0FC76699"/>
    <w:rsid w:val="0FCE2F8A"/>
    <w:rsid w:val="0FE3100E"/>
    <w:rsid w:val="0FE80A14"/>
    <w:rsid w:val="0FE85FFA"/>
    <w:rsid w:val="0FEA9F8D"/>
    <w:rsid w:val="0FEAD440"/>
    <w:rsid w:val="0FF3773A"/>
    <w:rsid w:val="0FF4E412"/>
    <w:rsid w:val="0FF4E4CC"/>
    <w:rsid w:val="0FF6256E"/>
    <w:rsid w:val="0FF95068"/>
    <w:rsid w:val="0FFA21DC"/>
    <w:rsid w:val="0FFE5CCD"/>
    <w:rsid w:val="10078517"/>
    <w:rsid w:val="1023BD58"/>
    <w:rsid w:val="1024B45B"/>
    <w:rsid w:val="10275D4D"/>
    <w:rsid w:val="102870E6"/>
    <w:rsid w:val="102E9BD8"/>
    <w:rsid w:val="102EDA4D"/>
    <w:rsid w:val="10365483"/>
    <w:rsid w:val="1040CD14"/>
    <w:rsid w:val="10412FCE"/>
    <w:rsid w:val="10447F64"/>
    <w:rsid w:val="104B6745"/>
    <w:rsid w:val="10620A5A"/>
    <w:rsid w:val="1062F680"/>
    <w:rsid w:val="10659D46"/>
    <w:rsid w:val="1066D48E"/>
    <w:rsid w:val="106AF5E8"/>
    <w:rsid w:val="106DD211"/>
    <w:rsid w:val="106F8754"/>
    <w:rsid w:val="1073782C"/>
    <w:rsid w:val="107AB028"/>
    <w:rsid w:val="10812DF4"/>
    <w:rsid w:val="1084710A"/>
    <w:rsid w:val="108542AE"/>
    <w:rsid w:val="1090DB37"/>
    <w:rsid w:val="10958D3E"/>
    <w:rsid w:val="109C2A81"/>
    <w:rsid w:val="109CEEEB"/>
    <w:rsid w:val="109E65AD"/>
    <w:rsid w:val="10A030BB"/>
    <w:rsid w:val="10A0DD4F"/>
    <w:rsid w:val="10A20310"/>
    <w:rsid w:val="10AB64A0"/>
    <w:rsid w:val="10BD61C1"/>
    <w:rsid w:val="10C507B6"/>
    <w:rsid w:val="10C815A8"/>
    <w:rsid w:val="10CF5365"/>
    <w:rsid w:val="10CFC6CC"/>
    <w:rsid w:val="10D2A13D"/>
    <w:rsid w:val="10D2B38E"/>
    <w:rsid w:val="10D81A7F"/>
    <w:rsid w:val="10D9660B"/>
    <w:rsid w:val="10DB248D"/>
    <w:rsid w:val="10DE1989"/>
    <w:rsid w:val="10E6E6F8"/>
    <w:rsid w:val="10EC4641"/>
    <w:rsid w:val="10F9E4C1"/>
    <w:rsid w:val="10FED6C3"/>
    <w:rsid w:val="10FEE24A"/>
    <w:rsid w:val="11032E5D"/>
    <w:rsid w:val="110ADAB1"/>
    <w:rsid w:val="110DF7DF"/>
    <w:rsid w:val="110FF425"/>
    <w:rsid w:val="1113A863"/>
    <w:rsid w:val="111755A6"/>
    <w:rsid w:val="1118B3BC"/>
    <w:rsid w:val="1124F87D"/>
    <w:rsid w:val="1127B664"/>
    <w:rsid w:val="112A1E19"/>
    <w:rsid w:val="112BCAC6"/>
    <w:rsid w:val="112BFF49"/>
    <w:rsid w:val="1142EF4B"/>
    <w:rsid w:val="114B033A"/>
    <w:rsid w:val="114C2901"/>
    <w:rsid w:val="114F91A8"/>
    <w:rsid w:val="11553CAC"/>
    <w:rsid w:val="1169B071"/>
    <w:rsid w:val="116C1949"/>
    <w:rsid w:val="116D0699"/>
    <w:rsid w:val="116DDBBD"/>
    <w:rsid w:val="117081D2"/>
    <w:rsid w:val="1170CEE1"/>
    <w:rsid w:val="11785715"/>
    <w:rsid w:val="117EE06F"/>
    <w:rsid w:val="1190690A"/>
    <w:rsid w:val="11949FD3"/>
    <w:rsid w:val="1196FD27"/>
    <w:rsid w:val="119E0937"/>
    <w:rsid w:val="11A322A7"/>
    <w:rsid w:val="11A475AB"/>
    <w:rsid w:val="11AA6B07"/>
    <w:rsid w:val="11AD0599"/>
    <w:rsid w:val="11AE6759"/>
    <w:rsid w:val="11BE5B02"/>
    <w:rsid w:val="11CA3EC0"/>
    <w:rsid w:val="11D49C09"/>
    <w:rsid w:val="11D4EB21"/>
    <w:rsid w:val="11EB948C"/>
    <w:rsid w:val="11F4AD90"/>
    <w:rsid w:val="11F8A69D"/>
    <w:rsid w:val="1200A1EE"/>
    <w:rsid w:val="1205961D"/>
    <w:rsid w:val="1207C4C3"/>
    <w:rsid w:val="1208F266"/>
    <w:rsid w:val="121077A5"/>
    <w:rsid w:val="121C6B08"/>
    <w:rsid w:val="1222F244"/>
    <w:rsid w:val="12283973"/>
    <w:rsid w:val="122CFA29"/>
    <w:rsid w:val="122D8870"/>
    <w:rsid w:val="12325434"/>
    <w:rsid w:val="123878B5"/>
    <w:rsid w:val="123D0035"/>
    <w:rsid w:val="123FD66D"/>
    <w:rsid w:val="1242EF16"/>
    <w:rsid w:val="12438900"/>
    <w:rsid w:val="12473501"/>
    <w:rsid w:val="124A144A"/>
    <w:rsid w:val="1259338D"/>
    <w:rsid w:val="125C6BE7"/>
    <w:rsid w:val="125CE7AC"/>
    <w:rsid w:val="12634464"/>
    <w:rsid w:val="126796BE"/>
    <w:rsid w:val="126D8EB8"/>
    <w:rsid w:val="126FB309"/>
    <w:rsid w:val="12720A9B"/>
    <w:rsid w:val="1273A5A3"/>
    <w:rsid w:val="1289A431"/>
    <w:rsid w:val="1289E7BB"/>
    <w:rsid w:val="1289F9AE"/>
    <w:rsid w:val="1292C249"/>
    <w:rsid w:val="129399A1"/>
    <w:rsid w:val="12998B15"/>
    <w:rsid w:val="129ABF91"/>
    <w:rsid w:val="129E54B2"/>
    <w:rsid w:val="12A87E5A"/>
    <w:rsid w:val="12A90622"/>
    <w:rsid w:val="12B824BA"/>
    <w:rsid w:val="12BAEFBE"/>
    <w:rsid w:val="12C26F62"/>
    <w:rsid w:val="12CB08B7"/>
    <w:rsid w:val="12CBFF73"/>
    <w:rsid w:val="12D00F42"/>
    <w:rsid w:val="12D541F6"/>
    <w:rsid w:val="12D92C84"/>
    <w:rsid w:val="12E1DC2A"/>
    <w:rsid w:val="12E9FE31"/>
    <w:rsid w:val="12EBC14C"/>
    <w:rsid w:val="13041430"/>
    <w:rsid w:val="1304E648"/>
    <w:rsid w:val="13055DCD"/>
    <w:rsid w:val="130A4258"/>
    <w:rsid w:val="130C1C4F"/>
    <w:rsid w:val="130D1104"/>
    <w:rsid w:val="130F3AAA"/>
    <w:rsid w:val="131909F5"/>
    <w:rsid w:val="13192EEE"/>
    <w:rsid w:val="1323B663"/>
    <w:rsid w:val="1326F0A4"/>
    <w:rsid w:val="13273627"/>
    <w:rsid w:val="13276118"/>
    <w:rsid w:val="132AA160"/>
    <w:rsid w:val="132F3E06"/>
    <w:rsid w:val="13360017"/>
    <w:rsid w:val="133B0B1D"/>
    <w:rsid w:val="1356A606"/>
    <w:rsid w:val="135C9B5F"/>
    <w:rsid w:val="135DF1DF"/>
    <w:rsid w:val="135FACA6"/>
    <w:rsid w:val="136102B8"/>
    <w:rsid w:val="13610BD9"/>
    <w:rsid w:val="1366B5C8"/>
    <w:rsid w:val="137B6F70"/>
    <w:rsid w:val="13804E42"/>
    <w:rsid w:val="138417C6"/>
    <w:rsid w:val="138A72AB"/>
    <w:rsid w:val="138AD1CA"/>
    <w:rsid w:val="139494A6"/>
    <w:rsid w:val="13A269BD"/>
    <w:rsid w:val="13B47B05"/>
    <w:rsid w:val="13B9A38A"/>
    <w:rsid w:val="13CF7E6B"/>
    <w:rsid w:val="13D3C20E"/>
    <w:rsid w:val="13DF5961"/>
    <w:rsid w:val="13E10320"/>
    <w:rsid w:val="13E2C290"/>
    <w:rsid w:val="13E60755"/>
    <w:rsid w:val="13F4B29F"/>
    <w:rsid w:val="1403671F"/>
    <w:rsid w:val="140925D0"/>
    <w:rsid w:val="140D873B"/>
    <w:rsid w:val="141F51F0"/>
    <w:rsid w:val="14212575"/>
    <w:rsid w:val="142904C0"/>
    <w:rsid w:val="142A0648"/>
    <w:rsid w:val="143A8D99"/>
    <w:rsid w:val="143BEF4C"/>
    <w:rsid w:val="143EB1A4"/>
    <w:rsid w:val="14420B9E"/>
    <w:rsid w:val="14433D8E"/>
    <w:rsid w:val="1443CCB4"/>
    <w:rsid w:val="1450547E"/>
    <w:rsid w:val="1454FD8B"/>
    <w:rsid w:val="1456C01F"/>
    <w:rsid w:val="14576E55"/>
    <w:rsid w:val="146543EC"/>
    <w:rsid w:val="14742A51"/>
    <w:rsid w:val="1477673C"/>
    <w:rsid w:val="147790F9"/>
    <w:rsid w:val="147801FD"/>
    <w:rsid w:val="148C4310"/>
    <w:rsid w:val="1497F789"/>
    <w:rsid w:val="149E950F"/>
    <w:rsid w:val="14A64C2B"/>
    <w:rsid w:val="14B22296"/>
    <w:rsid w:val="14B3ED05"/>
    <w:rsid w:val="14C35828"/>
    <w:rsid w:val="14CEB391"/>
    <w:rsid w:val="14D2854F"/>
    <w:rsid w:val="14D2CE7A"/>
    <w:rsid w:val="14E0CDE1"/>
    <w:rsid w:val="14E4A094"/>
    <w:rsid w:val="14F9F5B2"/>
    <w:rsid w:val="14FBD583"/>
    <w:rsid w:val="14FFD473"/>
    <w:rsid w:val="15013A26"/>
    <w:rsid w:val="151670F0"/>
    <w:rsid w:val="1517AAF8"/>
    <w:rsid w:val="151977CF"/>
    <w:rsid w:val="152121AF"/>
    <w:rsid w:val="152F10E5"/>
    <w:rsid w:val="15320D26"/>
    <w:rsid w:val="1543A40B"/>
    <w:rsid w:val="155C2B27"/>
    <w:rsid w:val="155F3BBC"/>
    <w:rsid w:val="15608534"/>
    <w:rsid w:val="15659F6A"/>
    <w:rsid w:val="15700269"/>
    <w:rsid w:val="1579DDD5"/>
    <w:rsid w:val="158F0D0D"/>
    <w:rsid w:val="158F983E"/>
    <w:rsid w:val="158FA670"/>
    <w:rsid w:val="15940CA9"/>
    <w:rsid w:val="1594886E"/>
    <w:rsid w:val="159F4617"/>
    <w:rsid w:val="15A4F5D9"/>
    <w:rsid w:val="15AADD68"/>
    <w:rsid w:val="15AB25D7"/>
    <w:rsid w:val="15AE5481"/>
    <w:rsid w:val="15AF7063"/>
    <w:rsid w:val="15BD256C"/>
    <w:rsid w:val="15C69B68"/>
    <w:rsid w:val="15E1FF2A"/>
    <w:rsid w:val="15E638C0"/>
    <w:rsid w:val="1601CE87"/>
    <w:rsid w:val="16020616"/>
    <w:rsid w:val="16023145"/>
    <w:rsid w:val="160472D6"/>
    <w:rsid w:val="16057001"/>
    <w:rsid w:val="160AB915"/>
    <w:rsid w:val="160BA564"/>
    <w:rsid w:val="160EF385"/>
    <w:rsid w:val="16209775"/>
    <w:rsid w:val="1630A93A"/>
    <w:rsid w:val="163120F2"/>
    <w:rsid w:val="16343314"/>
    <w:rsid w:val="16367EA6"/>
    <w:rsid w:val="16371277"/>
    <w:rsid w:val="16382955"/>
    <w:rsid w:val="164486CD"/>
    <w:rsid w:val="16472CB9"/>
    <w:rsid w:val="164959D6"/>
    <w:rsid w:val="164F5E12"/>
    <w:rsid w:val="16519347"/>
    <w:rsid w:val="16543C0E"/>
    <w:rsid w:val="16551C29"/>
    <w:rsid w:val="16557EE2"/>
    <w:rsid w:val="1658AE22"/>
    <w:rsid w:val="165C64F6"/>
    <w:rsid w:val="16608136"/>
    <w:rsid w:val="166A83F2"/>
    <w:rsid w:val="16709631"/>
    <w:rsid w:val="16721D2C"/>
    <w:rsid w:val="167B13C4"/>
    <w:rsid w:val="167E8A0D"/>
    <w:rsid w:val="1683897B"/>
    <w:rsid w:val="16867793"/>
    <w:rsid w:val="1695B0B4"/>
    <w:rsid w:val="16A300D4"/>
    <w:rsid w:val="16AF657F"/>
    <w:rsid w:val="16B0350E"/>
    <w:rsid w:val="16B8D50F"/>
    <w:rsid w:val="16BBB66D"/>
    <w:rsid w:val="16CEC789"/>
    <w:rsid w:val="16D0374C"/>
    <w:rsid w:val="16D4DECA"/>
    <w:rsid w:val="16D6B3CE"/>
    <w:rsid w:val="16D9BC14"/>
    <w:rsid w:val="16E11D40"/>
    <w:rsid w:val="16E1C117"/>
    <w:rsid w:val="16E2B9B0"/>
    <w:rsid w:val="16E60F7B"/>
    <w:rsid w:val="16EACFD7"/>
    <w:rsid w:val="16EEC029"/>
    <w:rsid w:val="16F20A4B"/>
    <w:rsid w:val="16F89E18"/>
    <w:rsid w:val="16FA0251"/>
    <w:rsid w:val="16FD8D8B"/>
    <w:rsid w:val="170BD2CA"/>
    <w:rsid w:val="1713C119"/>
    <w:rsid w:val="1718BFDD"/>
    <w:rsid w:val="172423A5"/>
    <w:rsid w:val="1724747F"/>
    <w:rsid w:val="172E12AF"/>
    <w:rsid w:val="173CC670"/>
    <w:rsid w:val="17439E4B"/>
    <w:rsid w:val="1743FAA9"/>
    <w:rsid w:val="1745D7B6"/>
    <w:rsid w:val="1749812C"/>
    <w:rsid w:val="1751369B"/>
    <w:rsid w:val="1758B77F"/>
    <w:rsid w:val="176B9329"/>
    <w:rsid w:val="176D97A3"/>
    <w:rsid w:val="1777DE40"/>
    <w:rsid w:val="177C509B"/>
    <w:rsid w:val="177D8AB4"/>
    <w:rsid w:val="1781A827"/>
    <w:rsid w:val="1782F9C8"/>
    <w:rsid w:val="17855BA5"/>
    <w:rsid w:val="1786A57C"/>
    <w:rsid w:val="178B8EE1"/>
    <w:rsid w:val="178F0442"/>
    <w:rsid w:val="179D87C7"/>
    <w:rsid w:val="17A2FFF3"/>
    <w:rsid w:val="17B172E2"/>
    <w:rsid w:val="17C430CB"/>
    <w:rsid w:val="17C51530"/>
    <w:rsid w:val="17C6F517"/>
    <w:rsid w:val="17CD3A71"/>
    <w:rsid w:val="17E356ED"/>
    <w:rsid w:val="17E4C45E"/>
    <w:rsid w:val="17F14F43"/>
    <w:rsid w:val="17F1A19A"/>
    <w:rsid w:val="17FE30BE"/>
    <w:rsid w:val="18020E28"/>
    <w:rsid w:val="1805889D"/>
    <w:rsid w:val="1805FF8D"/>
    <w:rsid w:val="1806A68B"/>
    <w:rsid w:val="18125DF3"/>
    <w:rsid w:val="1819746C"/>
    <w:rsid w:val="18269C67"/>
    <w:rsid w:val="18392932"/>
    <w:rsid w:val="183A1B33"/>
    <w:rsid w:val="1845C2B5"/>
    <w:rsid w:val="18490127"/>
    <w:rsid w:val="1853BF65"/>
    <w:rsid w:val="185638D6"/>
    <w:rsid w:val="1859D191"/>
    <w:rsid w:val="185EBBB6"/>
    <w:rsid w:val="18696398"/>
    <w:rsid w:val="18767F2F"/>
    <w:rsid w:val="188FD6E8"/>
    <w:rsid w:val="1892E0DF"/>
    <w:rsid w:val="1895B938"/>
    <w:rsid w:val="18B17BB6"/>
    <w:rsid w:val="18B3D960"/>
    <w:rsid w:val="18B51547"/>
    <w:rsid w:val="18C530A8"/>
    <w:rsid w:val="18E1A817"/>
    <w:rsid w:val="18E5518D"/>
    <w:rsid w:val="18E79F0C"/>
    <w:rsid w:val="18EAC4E4"/>
    <w:rsid w:val="18EC2ADB"/>
    <w:rsid w:val="18F763FE"/>
    <w:rsid w:val="18F93B32"/>
    <w:rsid w:val="18FE30AE"/>
    <w:rsid w:val="18FF825D"/>
    <w:rsid w:val="190AB59B"/>
    <w:rsid w:val="190FA0C0"/>
    <w:rsid w:val="1911CA41"/>
    <w:rsid w:val="191430B2"/>
    <w:rsid w:val="19238A54"/>
    <w:rsid w:val="1937FB18"/>
    <w:rsid w:val="19466F31"/>
    <w:rsid w:val="19484E77"/>
    <w:rsid w:val="194B8433"/>
    <w:rsid w:val="194C5F5F"/>
    <w:rsid w:val="194EBC8E"/>
    <w:rsid w:val="1950D1C7"/>
    <w:rsid w:val="19604625"/>
    <w:rsid w:val="19632037"/>
    <w:rsid w:val="19632964"/>
    <w:rsid w:val="1967EFDB"/>
    <w:rsid w:val="19706042"/>
    <w:rsid w:val="1977F5AA"/>
    <w:rsid w:val="1978ADD9"/>
    <w:rsid w:val="1979A108"/>
    <w:rsid w:val="197C86A1"/>
    <w:rsid w:val="197D012D"/>
    <w:rsid w:val="1984DDAA"/>
    <w:rsid w:val="198C7D71"/>
    <w:rsid w:val="198CA284"/>
    <w:rsid w:val="198CBCEB"/>
    <w:rsid w:val="19A2DDE2"/>
    <w:rsid w:val="19A4EFF8"/>
    <w:rsid w:val="19A64801"/>
    <w:rsid w:val="19A74815"/>
    <w:rsid w:val="19AB1CDE"/>
    <w:rsid w:val="19ACB694"/>
    <w:rsid w:val="19BB8D29"/>
    <w:rsid w:val="19C6C47B"/>
    <w:rsid w:val="19C7991C"/>
    <w:rsid w:val="19CEC22F"/>
    <w:rsid w:val="19DFF49D"/>
    <w:rsid w:val="19EE8721"/>
    <w:rsid w:val="19F522ED"/>
    <w:rsid w:val="19F770D3"/>
    <w:rsid w:val="1A00CCBB"/>
    <w:rsid w:val="1A072CA7"/>
    <w:rsid w:val="1A167F7F"/>
    <w:rsid w:val="1A1D76A7"/>
    <w:rsid w:val="1A1EAA49"/>
    <w:rsid w:val="1A1EBAFD"/>
    <w:rsid w:val="1A220A5A"/>
    <w:rsid w:val="1A228E64"/>
    <w:rsid w:val="1A2359AE"/>
    <w:rsid w:val="1A2399E8"/>
    <w:rsid w:val="1A2A43D7"/>
    <w:rsid w:val="1A3AF052"/>
    <w:rsid w:val="1A454A6A"/>
    <w:rsid w:val="1A52073A"/>
    <w:rsid w:val="1A5396ED"/>
    <w:rsid w:val="1A5E8C70"/>
    <w:rsid w:val="1A5F1D46"/>
    <w:rsid w:val="1A5FF0E6"/>
    <w:rsid w:val="1A72A8A3"/>
    <w:rsid w:val="1A7A8FFA"/>
    <w:rsid w:val="1A7CFCB3"/>
    <w:rsid w:val="1A7EB788"/>
    <w:rsid w:val="1A8121EE"/>
    <w:rsid w:val="1A835C8A"/>
    <w:rsid w:val="1A86B262"/>
    <w:rsid w:val="1A87FB3C"/>
    <w:rsid w:val="1A8FF7FA"/>
    <w:rsid w:val="1A954D77"/>
    <w:rsid w:val="1AA95CC5"/>
    <w:rsid w:val="1AB3B376"/>
    <w:rsid w:val="1AC2B206"/>
    <w:rsid w:val="1AC2FBD5"/>
    <w:rsid w:val="1AC510CD"/>
    <w:rsid w:val="1AC5F6A0"/>
    <w:rsid w:val="1AC61596"/>
    <w:rsid w:val="1ACA3A0F"/>
    <w:rsid w:val="1AD8526D"/>
    <w:rsid w:val="1AD99A44"/>
    <w:rsid w:val="1ADA3D13"/>
    <w:rsid w:val="1ADA3E6F"/>
    <w:rsid w:val="1AE102E1"/>
    <w:rsid w:val="1AE2F9AB"/>
    <w:rsid w:val="1AE427B0"/>
    <w:rsid w:val="1AEAAC48"/>
    <w:rsid w:val="1AEDD8A2"/>
    <w:rsid w:val="1AFBF065"/>
    <w:rsid w:val="1B00439F"/>
    <w:rsid w:val="1B0128FC"/>
    <w:rsid w:val="1B019047"/>
    <w:rsid w:val="1B05ECF6"/>
    <w:rsid w:val="1B0CD18C"/>
    <w:rsid w:val="1B157169"/>
    <w:rsid w:val="1B200081"/>
    <w:rsid w:val="1B288D4C"/>
    <w:rsid w:val="1B3B647C"/>
    <w:rsid w:val="1B3C3A27"/>
    <w:rsid w:val="1B471E8F"/>
    <w:rsid w:val="1B49F572"/>
    <w:rsid w:val="1B4FF97A"/>
    <w:rsid w:val="1B65801A"/>
    <w:rsid w:val="1B76EC6B"/>
    <w:rsid w:val="1B7B9002"/>
    <w:rsid w:val="1B827642"/>
    <w:rsid w:val="1B952539"/>
    <w:rsid w:val="1B9BD680"/>
    <w:rsid w:val="1B9F8304"/>
    <w:rsid w:val="1BA92098"/>
    <w:rsid w:val="1BB24FE0"/>
    <w:rsid w:val="1BB34C45"/>
    <w:rsid w:val="1BBD496A"/>
    <w:rsid w:val="1BC2CD93"/>
    <w:rsid w:val="1BE9D15C"/>
    <w:rsid w:val="1BEE467C"/>
    <w:rsid w:val="1BF5116D"/>
    <w:rsid w:val="1C0112B9"/>
    <w:rsid w:val="1C076ED9"/>
    <w:rsid w:val="1C0A436E"/>
    <w:rsid w:val="1C12DC2E"/>
    <w:rsid w:val="1C24DFAA"/>
    <w:rsid w:val="1C3B1305"/>
    <w:rsid w:val="1C4C2595"/>
    <w:rsid w:val="1C5461E3"/>
    <w:rsid w:val="1C5B58A4"/>
    <w:rsid w:val="1C5E62FE"/>
    <w:rsid w:val="1C71AD45"/>
    <w:rsid w:val="1C74303D"/>
    <w:rsid w:val="1C74C637"/>
    <w:rsid w:val="1C810C70"/>
    <w:rsid w:val="1C8B2560"/>
    <w:rsid w:val="1C8DB051"/>
    <w:rsid w:val="1C934BD6"/>
    <w:rsid w:val="1C97C0C6"/>
    <w:rsid w:val="1C991796"/>
    <w:rsid w:val="1C9C1400"/>
    <w:rsid w:val="1CA0E123"/>
    <w:rsid w:val="1CA8173B"/>
    <w:rsid w:val="1CA84A0C"/>
    <w:rsid w:val="1CBE6D98"/>
    <w:rsid w:val="1CBE9F96"/>
    <w:rsid w:val="1CC3DECD"/>
    <w:rsid w:val="1CCA98A9"/>
    <w:rsid w:val="1CD2A01B"/>
    <w:rsid w:val="1CD510E9"/>
    <w:rsid w:val="1CD67976"/>
    <w:rsid w:val="1CE3C93B"/>
    <w:rsid w:val="1CE5CF16"/>
    <w:rsid w:val="1CF7BA65"/>
    <w:rsid w:val="1D01507B"/>
    <w:rsid w:val="1D0662F1"/>
    <w:rsid w:val="1D09CC8A"/>
    <w:rsid w:val="1D09E051"/>
    <w:rsid w:val="1D0F140E"/>
    <w:rsid w:val="1D15F0E9"/>
    <w:rsid w:val="1D18AF76"/>
    <w:rsid w:val="1D2406E9"/>
    <w:rsid w:val="1D249EE7"/>
    <w:rsid w:val="1D2ABDD4"/>
    <w:rsid w:val="1D2AF03C"/>
    <w:rsid w:val="1D3255D6"/>
    <w:rsid w:val="1D419466"/>
    <w:rsid w:val="1D41EF99"/>
    <w:rsid w:val="1D460623"/>
    <w:rsid w:val="1D4A048F"/>
    <w:rsid w:val="1D5264F0"/>
    <w:rsid w:val="1D532483"/>
    <w:rsid w:val="1D660300"/>
    <w:rsid w:val="1D6637FA"/>
    <w:rsid w:val="1D6A0DE2"/>
    <w:rsid w:val="1D6EB04B"/>
    <w:rsid w:val="1D73E53D"/>
    <w:rsid w:val="1D7B6EE0"/>
    <w:rsid w:val="1D822BAB"/>
    <w:rsid w:val="1D887DB0"/>
    <w:rsid w:val="1D9A481F"/>
    <w:rsid w:val="1DA11556"/>
    <w:rsid w:val="1DAF0A4B"/>
    <w:rsid w:val="1DB00816"/>
    <w:rsid w:val="1DBF9BFE"/>
    <w:rsid w:val="1DC4AD85"/>
    <w:rsid w:val="1DC77231"/>
    <w:rsid w:val="1DD39AA8"/>
    <w:rsid w:val="1DD85A9D"/>
    <w:rsid w:val="1DF22545"/>
    <w:rsid w:val="1DF41ACD"/>
    <w:rsid w:val="1DF4912D"/>
    <w:rsid w:val="1E049E78"/>
    <w:rsid w:val="1E05BE13"/>
    <w:rsid w:val="1E1590C2"/>
    <w:rsid w:val="1E179ACE"/>
    <w:rsid w:val="1E182D14"/>
    <w:rsid w:val="1E216879"/>
    <w:rsid w:val="1E2B69D4"/>
    <w:rsid w:val="1E315E32"/>
    <w:rsid w:val="1E339127"/>
    <w:rsid w:val="1E379745"/>
    <w:rsid w:val="1E37E461"/>
    <w:rsid w:val="1E4ABC47"/>
    <w:rsid w:val="1E4C4DC2"/>
    <w:rsid w:val="1E4E1179"/>
    <w:rsid w:val="1E5EF925"/>
    <w:rsid w:val="1E62CE27"/>
    <w:rsid w:val="1E852E3C"/>
    <w:rsid w:val="1E865C3E"/>
    <w:rsid w:val="1E880488"/>
    <w:rsid w:val="1E91B87A"/>
    <w:rsid w:val="1E953635"/>
    <w:rsid w:val="1E9A9118"/>
    <w:rsid w:val="1EA184C8"/>
    <w:rsid w:val="1EA3BE80"/>
    <w:rsid w:val="1EAA1B3D"/>
    <w:rsid w:val="1EC60D3A"/>
    <w:rsid w:val="1ED306C8"/>
    <w:rsid w:val="1ED55177"/>
    <w:rsid w:val="1ED5E108"/>
    <w:rsid w:val="1ED6C340"/>
    <w:rsid w:val="1ED9A537"/>
    <w:rsid w:val="1EE274E8"/>
    <w:rsid w:val="1EE4AEC0"/>
    <w:rsid w:val="1EF4E72A"/>
    <w:rsid w:val="1EF7EAB9"/>
    <w:rsid w:val="1F057D9B"/>
    <w:rsid w:val="1F0C36AA"/>
    <w:rsid w:val="1F1297F8"/>
    <w:rsid w:val="1F1D0E12"/>
    <w:rsid w:val="1F23D5DD"/>
    <w:rsid w:val="1F2BDD60"/>
    <w:rsid w:val="1F32C346"/>
    <w:rsid w:val="1F336209"/>
    <w:rsid w:val="1F33BCE1"/>
    <w:rsid w:val="1F40436D"/>
    <w:rsid w:val="1F501AC5"/>
    <w:rsid w:val="1F52ACF2"/>
    <w:rsid w:val="1F658E91"/>
    <w:rsid w:val="1F69AC82"/>
    <w:rsid w:val="1F72AB43"/>
    <w:rsid w:val="1F73B2DB"/>
    <w:rsid w:val="1F740E7E"/>
    <w:rsid w:val="1F7511D8"/>
    <w:rsid w:val="1F765AF2"/>
    <w:rsid w:val="1F78645A"/>
    <w:rsid w:val="1F8C4361"/>
    <w:rsid w:val="1F93A51B"/>
    <w:rsid w:val="1F97332D"/>
    <w:rsid w:val="1F9DAB32"/>
    <w:rsid w:val="1FA06ED9"/>
    <w:rsid w:val="1FA2B839"/>
    <w:rsid w:val="1FA9CD02"/>
    <w:rsid w:val="1FAAB41B"/>
    <w:rsid w:val="1FAAD4D4"/>
    <w:rsid w:val="1FAD0B67"/>
    <w:rsid w:val="1FAF085A"/>
    <w:rsid w:val="1FB2E6A5"/>
    <w:rsid w:val="1FBCFAA8"/>
    <w:rsid w:val="1FCAB3E8"/>
    <w:rsid w:val="1FCD9C61"/>
    <w:rsid w:val="1FD566ED"/>
    <w:rsid w:val="1FD6854E"/>
    <w:rsid w:val="1FDCA560"/>
    <w:rsid w:val="1FDFC3BD"/>
    <w:rsid w:val="1FF0BD3D"/>
    <w:rsid w:val="1FF0BF6C"/>
    <w:rsid w:val="1FF11FF9"/>
    <w:rsid w:val="1FF7B83A"/>
    <w:rsid w:val="1FFC0CB4"/>
    <w:rsid w:val="20044EAE"/>
    <w:rsid w:val="2012CEC8"/>
    <w:rsid w:val="2022E6F2"/>
    <w:rsid w:val="20262D94"/>
    <w:rsid w:val="2029221E"/>
    <w:rsid w:val="20294544"/>
    <w:rsid w:val="20381CDF"/>
    <w:rsid w:val="203B8C54"/>
    <w:rsid w:val="2058B106"/>
    <w:rsid w:val="205930CB"/>
    <w:rsid w:val="205AEEE7"/>
    <w:rsid w:val="205BC682"/>
    <w:rsid w:val="205C8538"/>
    <w:rsid w:val="205E2520"/>
    <w:rsid w:val="205E7D65"/>
    <w:rsid w:val="2064A4BE"/>
    <w:rsid w:val="206D871E"/>
    <w:rsid w:val="206DFA20"/>
    <w:rsid w:val="207144B9"/>
    <w:rsid w:val="207A0B2B"/>
    <w:rsid w:val="207E4549"/>
    <w:rsid w:val="208DFBF9"/>
    <w:rsid w:val="20A516A0"/>
    <w:rsid w:val="20A5ED30"/>
    <w:rsid w:val="20B0AFC3"/>
    <w:rsid w:val="20B6EDBC"/>
    <w:rsid w:val="20BC7A95"/>
    <w:rsid w:val="20BCDCF6"/>
    <w:rsid w:val="20C05B58"/>
    <w:rsid w:val="20C52B8D"/>
    <w:rsid w:val="20C9F5FF"/>
    <w:rsid w:val="20CF3448"/>
    <w:rsid w:val="20D14C0D"/>
    <w:rsid w:val="20D3DF97"/>
    <w:rsid w:val="20D46F73"/>
    <w:rsid w:val="20D73B15"/>
    <w:rsid w:val="20F348E6"/>
    <w:rsid w:val="20FAB47C"/>
    <w:rsid w:val="21039F72"/>
    <w:rsid w:val="21115C5F"/>
    <w:rsid w:val="211E53EA"/>
    <w:rsid w:val="2122F4FA"/>
    <w:rsid w:val="212E8DB0"/>
    <w:rsid w:val="212ED786"/>
    <w:rsid w:val="212F9FFB"/>
    <w:rsid w:val="2132F0C4"/>
    <w:rsid w:val="213417E0"/>
    <w:rsid w:val="213C37F6"/>
    <w:rsid w:val="21434DF7"/>
    <w:rsid w:val="21464ED2"/>
    <w:rsid w:val="2148D87C"/>
    <w:rsid w:val="214FBDE1"/>
    <w:rsid w:val="215FE2C9"/>
    <w:rsid w:val="2174B404"/>
    <w:rsid w:val="21753B08"/>
    <w:rsid w:val="21916138"/>
    <w:rsid w:val="219B930F"/>
    <w:rsid w:val="21A231F2"/>
    <w:rsid w:val="21A6D672"/>
    <w:rsid w:val="21B11C98"/>
    <w:rsid w:val="21BDA5AB"/>
    <w:rsid w:val="21BE1E02"/>
    <w:rsid w:val="21BF04F2"/>
    <w:rsid w:val="21C56808"/>
    <w:rsid w:val="21CAFE08"/>
    <w:rsid w:val="21CD412E"/>
    <w:rsid w:val="21D12FC3"/>
    <w:rsid w:val="21D4319A"/>
    <w:rsid w:val="21E2CCD0"/>
    <w:rsid w:val="21E3725F"/>
    <w:rsid w:val="21EF38EF"/>
    <w:rsid w:val="21F2B643"/>
    <w:rsid w:val="21F2E555"/>
    <w:rsid w:val="21F8E272"/>
    <w:rsid w:val="21F9A54C"/>
    <w:rsid w:val="21FEB1FA"/>
    <w:rsid w:val="2205E67D"/>
    <w:rsid w:val="22185913"/>
    <w:rsid w:val="221C0900"/>
    <w:rsid w:val="221E9F98"/>
    <w:rsid w:val="2224B67A"/>
    <w:rsid w:val="222BB5F9"/>
    <w:rsid w:val="22381C5D"/>
    <w:rsid w:val="2239C325"/>
    <w:rsid w:val="223A476F"/>
    <w:rsid w:val="223F05DF"/>
    <w:rsid w:val="22401963"/>
    <w:rsid w:val="224262E1"/>
    <w:rsid w:val="224C67CC"/>
    <w:rsid w:val="224C7E58"/>
    <w:rsid w:val="2259B5A0"/>
    <w:rsid w:val="225E431C"/>
    <w:rsid w:val="225F883A"/>
    <w:rsid w:val="2260B4C9"/>
    <w:rsid w:val="2265E9D5"/>
    <w:rsid w:val="227C4704"/>
    <w:rsid w:val="227CECE7"/>
    <w:rsid w:val="2290CF7F"/>
    <w:rsid w:val="22992FCC"/>
    <w:rsid w:val="22A59CFE"/>
    <w:rsid w:val="22AD032C"/>
    <w:rsid w:val="22B2CE07"/>
    <w:rsid w:val="22B3E115"/>
    <w:rsid w:val="22B40A30"/>
    <w:rsid w:val="22B4FFA7"/>
    <w:rsid w:val="22C7805D"/>
    <w:rsid w:val="22C92C80"/>
    <w:rsid w:val="22CC8F2B"/>
    <w:rsid w:val="22CE447F"/>
    <w:rsid w:val="22D1132C"/>
    <w:rsid w:val="22DBC985"/>
    <w:rsid w:val="22E92A0B"/>
    <w:rsid w:val="22F565B3"/>
    <w:rsid w:val="22F98C33"/>
    <w:rsid w:val="23172C89"/>
    <w:rsid w:val="231F4D05"/>
    <w:rsid w:val="232961D2"/>
    <w:rsid w:val="23326B42"/>
    <w:rsid w:val="23339F31"/>
    <w:rsid w:val="233B504B"/>
    <w:rsid w:val="233E28C1"/>
    <w:rsid w:val="2346B3DE"/>
    <w:rsid w:val="234AC62C"/>
    <w:rsid w:val="234DA021"/>
    <w:rsid w:val="235EC5BE"/>
    <w:rsid w:val="2361BDB3"/>
    <w:rsid w:val="2362C8FB"/>
    <w:rsid w:val="236389DD"/>
    <w:rsid w:val="2364FC3E"/>
    <w:rsid w:val="23684928"/>
    <w:rsid w:val="23697F12"/>
    <w:rsid w:val="236E0F06"/>
    <w:rsid w:val="236FE931"/>
    <w:rsid w:val="2373DCBD"/>
    <w:rsid w:val="2377822B"/>
    <w:rsid w:val="238061F6"/>
    <w:rsid w:val="2384E2BE"/>
    <w:rsid w:val="238B80C3"/>
    <w:rsid w:val="2391BC42"/>
    <w:rsid w:val="239EB476"/>
    <w:rsid w:val="23A4305B"/>
    <w:rsid w:val="23A541C9"/>
    <w:rsid w:val="23B1CEC1"/>
    <w:rsid w:val="23B9FD71"/>
    <w:rsid w:val="23BF527C"/>
    <w:rsid w:val="23C0FDB7"/>
    <w:rsid w:val="23C2E836"/>
    <w:rsid w:val="23C4A3AA"/>
    <w:rsid w:val="23C9F1A1"/>
    <w:rsid w:val="23CD36D7"/>
    <w:rsid w:val="23D0A855"/>
    <w:rsid w:val="23D9011E"/>
    <w:rsid w:val="23D982E5"/>
    <w:rsid w:val="23E0CE61"/>
    <w:rsid w:val="23E5F115"/>
    <w:rsid w:val="23E68659"/>
    <w:rsid w:val="23F4E341"/>
    <w:rsid w:val="2415A0AF"/>
    <w:rsid w:val="241D7A72"/>
    <w:rsid w:val="24245ABE"/>
    <w:rsid w:val="2424BBD2"/>
    <w:rsid w:val="24272A97"/>
    <w:rsid w:val="242EDD82"/>
    <w:rsid w:val="24378F47"/>
    <w:rsid w:val="243F6ED3"/>
    <w:rsid w:val="24460951"/>
    <w:rsid w:val="2458B1F6"/>
    <w:rsid w:val="245AEC64"/>
    <w:rsid w:val="2466BC88"/>
    <w:rsid w:val="246CE38D"/>
    <w:rsid w:val="246E65CE"/>
    <w:rsid w:val="2475E278"/>
    <w:rsid w:val="2481FE84"/>
    <w:rsid w:val="248A34FF"/>
    <w:rsid w:val="249664CB"/>
    <w:rsid w:val="24989BB6"/>
    <w:rsid w:val="249BCFA9"/>
    <w:rsid w:val="24A988AB"/>
    <w:rsid w:val="24AE2F44"/>
    <w:rsid w:val="24B230F5"/>
    <w:rsid w:val="24BAD610"/>
    <w:rsid w:val="24BD05C2"/>
    <w:rsid w:val="24BD721C"/>
    <w:rsid w:val="24C4B775"/>
    <w:rsid w:val="24C6A1E6"/>
    <w:rsid w:val="24C8799B"/>
    <w:rsid w:val="24CC196D"/>
    <w:rsid w:val="24CEC91D"/>
    <w:rsid w:val="24D39231"/>
    <w:rsid w:val="24DFFB93"/>
    <w:rsid w:val="24E7A71E"/>
    <w:rsid w:val="2500CAFC"/>
    <w:rsid w:val="25092910"/>
    <w:rsid w:val="250D3B12"/>
    <w:rsid w:val="250D4591"/>
    <w:rsid w:val="250D4DDC"/>
    <w:rsid w:val="2515893C"/>
    <w:rsid w:val="2518EFAA"/>
    <w:rsid w:val="2519B2E4"/>
    <w:rsid w:val="251FE830"/>
    <w:rsid w:val="2526A8AE"/>
    <w:rsid w:val="25317DEF"/>
    <w:rsid w:val="253B6C5B"/>
    <w:rsid w:val="25418DC9"/>
    <w:rsid w:val="2542A44C"/>
    <w:rsid w:val="2548E6BB"/>
    <w:rsid w:val="2555894F"/>
    <w:rsid w:val="25584758"/>
    <w:rsid w:val="255C1405"/>
    <w:rsid w:val="255DB017"/>
    <w:rsid w:val="25605874"/>
    <w:rsid w:val="256E0C46"/>
    <w:rsid w:val="257D2368"/>
    <w:rsid w:val="2582C324"/>
    <w:rsid w:val="25830CAF"/>
    <w:rsid w:val="2597B312"/>
    <w:rsid w:val="2597EC6E"/>
    <w:rsid w:val="25980A7D"/>
    <w:rsid w:val="259CED9F"/>
    <w:rsid w:val="259D4A98"/>
    <w:rsid w:val="259F0A4D"/>
    <w:rsid w:val="25A08663"/>
    <w:rsid w:val="25A6F6AE"/>
    <w:rsid w:val="25AAB3ED"/>
    <w:rsid w:val="25B372E6"/>
    <w:rsid w:val="25C88FB7"/>
    <w:rsid w:val="25C9F480"/>
    <w:rsid w:val="25CBFB1F"/>
    <w:rsid w:val="25D3780C"/>
    <w:rsid w:val="25D4FCD2"/>
    <w:rsid w:val="25DB8BD3"/>
    <w:rsid w:val="25E58CF7"/>
    <w:rsid w:val="25E5C748"/>
    <w:rsid w:val="25E87E82"/>
    <w:rsid w:val="25EB7FDA"/>
    <w:rsid w:val="25EC0C36"/>
    <w:rsid w:val="25FD96BD"/>
    <w:rsid w:val="260388DB"/>
    <w:rsid w:val="26058DB7"/>
    <w:rsid w:val="26163B2F"/>
    <w:rsid w:val="261BA87D"/>
    <w:rsid w:val="262FB045"/>
    <w:rsid w:val="26325387"/>
    <w:rsid w:val="2632EAE9"/>
    <w:rsid w:val="26369799"/>
    <w:rsid w:val="263DFA41"/>
    <w:rsid w:val="263E30E9"/>
    <w:rsid w:val="2642A958"/>
    <w:rsid w:val="2642A9F5"/>
    <w:rsid w:val="26450D18"/>
    <w:rsid w:val="264D47B2"/>
    <w:rsid w:val="26543533"/>
    <w:rsid w:val="265DF3AA"/>
    <w:rsid w:val="26691AA5"/>
    <w:rsid w:val="266CDF9B"/>
    <w:rsid w:val="267CCFC1"/>
    <w:rsid w:val="268B3A6D"/>
    <w:rsid w:val="2699E087"/>
    <w:rsid w:val="269F04B8"/>
    <w:rsid w:val="26B34E01"/>
    <w:rsid w:val="26C29AF9"/>
    <w:rsid w:val="26CAF6EF"/>
    <w:rsid w:val="26D0CD2F"/>
    <w:rsid w:val="26D895CA"/>
    <w:rsid w:val="26D9C7BD"/>
    <w:rsid w:val="26DE1DCA"/>
    <w:rsid w:val="26E712B2"/>
    <w:rsid w:val="26EBE5E7"/>
    <w:rsid w:val="2700C1AD"/>
    <w:rsid w:val="270F1161"/>
    <w:rsid w:val="271CE71B"/>
    <w:rsid w:val="27287F1B"/>
    <w:rsid w:val="272BF6B7"/>
    <w:rsid w:val="272E2F6E"/>
    <w:rsid w:val="272E4925"/>
    <w:rsid w:val="27301B95"/>
    <w:rsid w:val="27322E64"/>
    <w:rsid w:val="273B05D7"/>
    <w:rsid w:val="273B8A4C"/>
    <w:rsid w:val="273E4ED0"/>
    <w:rsid w:val="2740E93A"/>
    <w:rsid w:val="27418E10"/>
    <w:rsid w:val="274D77A7"/>
    <w:rsid w:val="274EE728"/>
    <w:rsid w:val="2750FC47"/>
    <w:rsid w:val="27525E8E"/>
    <w:rsid w:val="2754616F"/>
    <w:rsid w:val="27551B34"/>
    <w:rsid w:val="275AEBAA"/>
    <w:rsid w:val="276F486D"/>
    <w:rsid w:val="27738FBB"/>
    <w:rsid w:val="27815763"/>
    <w:rsid w:val="2782B87E"/>
    <w:rsid w:val="2784FA81"/>
    <w:rsid w:val="27858B31"/>
    <w:rsid w:val="2787503B"/>
    <w:rsid w:val="278A9EE1"/>
    <w:rsid w:val="278C3A5A"/>
    <w:rsid w:val="2792025E"/>
    <w:rsid w:val="2799671E"/>
    <w:rsid w:val="2799A9EC"/>
    <w:rsid w:val="279F991A"/>
    <w:rsid w:val="27A73BFE"/>
    <w:rsid w:val="27A971FE"/>
    <w:rsid w:val="27AF2A28"/>
    <w:rsid w:val="27B5CB67"/>
    <w:rsid w:val="27BBECAA"/>
    <w:rsid w:val="27C054B3"/>
    <w:rsid w:val="27C59D2A"/>
    <w:rsid w:val="27C6D8CD"/>
    <w:rsid w:val="27CF5EC1"/>
    <w:rsid w:val="27D0D56B"/>
    <w:rsid w:val="27D8AA1E"/>
    <w:rsid w:val="27DA19B2"/>
    <w:rsid w:val="27E1D08D"/>
    <w:rsid w:val="27E3DF22"/>
    <w:rsid w:val="27E6B42D"/>
    <w:rsid w:val="27E91813"/>
    <w:rsid w:val="27EB30E9"/>
    <w:rsid w:val="27EB51AE"/>
    <w:rsid w:val="27EC5B16"/>
    <w:rsid w:val="27EDF63C"/>
    <w:rsid w:val="27FF0A34"/>
    <w:rsid w:val="2803BCA4"/>
    <w:rsid w:val="282370D9"/>
    <w:rsid w:val="2835668C"/>
    <w:rsid w:val="283A0035"/>
    <w:rsid w:val="284B7E92"/>
    <w:rsid w:val="2850BAD2"/>
    <w:rsid w:val="2852EC75"/>
    <w:rsid w:val="2854705C"/>
    <w:rsid w:val="285E5ADA"/>
    <w:rsid w:val="2863A87B"/>
    <w:rsid w:val="286A3A84"/>
    <w:rsid w:val="286E5785"/>
    <w:rsid w:val="2875C1B0"/>
    <w:rsid w:val="28910548"/>
    <w:rsid w:val="289C36ED"/>
    <w:rsid w:val="289F7FB7"/>
    <w:rsid w:val="28A0167F"/>
    <w:rsid w:val="28AE7A04"/>
    <w:rsid w:val="28B18FC6"/>
    <w:rsid w:val="28B35FC5"/>
    <w:rsid w:val="28B4D112"/>
    <w:rsid w:val="28C56478"/>
    <w:rsid w:val="28C832D2"/>
    <w:rsid w:val="28C847EB"/>
    <w:rsid w:val="28C99ED5"/>
    <w:rsid w:val="28D01CB9"/>
    <w:rsid w:val="28D3CA3C"/>
    <w:rsid w:val="28DD3978"/>
    <w:rsid w:val="28DD5E71"/>
    <w:rsid w:val="28DE9895"/>
    <w:rsid w:val="28E5D4B9"/>
    <w:rsid w:val="28E7E5E6"/>
    <w:rsid w:val="28F25523"/>
    <w:rsid w:val="28F76DA1"/>
    <w:rsid w:val="28FB3600"/>
    <w:rsid w:val="28FF89A7"/>
    <w:rsid w:val="28FFB967"/>
    <w:rsid w:val="29036878"/>
    <w:rsid w:val="290A176D"/>
    <w:rsid w:val="29176EB2"/>
    <w:rsid w:val="29234BB4"/>
    <w:rsid w:val="292C7FD1"/>
    <w:rsid w:val="292DF8F6"/>
    <w:rsid w:val="292E475A"/>
    <w:rsid w:val="293336E6"/>
    <w:rsid w:val="293A20E2"/>
    <w:rsid w:val="29417EE7"/>
    <w:rsid w:val="2969F270"/>
    <w:rsid w:val="296C52EF"/>
    <w:rsid w:val="296D6B84"/>
    <w:rsid w:val="296D6FF3"/>
    <w:rsid w:val="2971EDB2"/>
    <w:rsid w:val="2975D1AA"/>
    <w:rsid w:val="297B1807"/>
    <w:rsid w:val="2984B642"/>
    <w:rsid w:val="2989D353"/>
    <w:rsid w:val="298DA11C"/>
    <w:rsid w:val="29A6A802"/>
    <w:rsid w:val="29B8487E"/>
    <w:rsid w:val="29BE7816"/>
    <w:rsid w:val="29CBBD9C"/>
    <w:rsid w:val="29D04FEA"/>
    <w:rsid w:val="29D07F94"/>
    <w:rsid w:val="29D13B93"/>
    <w:rsid w:val="29D3AB22"/>
    <w:rsid w:val="29DFF2CB"/>
    <w:rsid w:val="29ECCDE4"/>
    <w:rsid w:val="29F29573"/>
    <w:rsid w:val="29F2C32A"/>
    <w:rsid w:val="29F30AA4"/>
    <w:rsid w:val="29FD22AE"/>
    <w:rsid w:val="29FEBD1C"/>
    <w:rsid w:val="2A04B731"/>
    <w:rsid w:val="2A070330"/>
    <w:rsid w:val="2A0B2C6F"/>
    <w:rsid w:val="2A0E2DEE"/>
    <w:rsid w:val="2A147751"/>
    <w:rsid w:val="2A15246E"/>
    <w:rsid w:val="2A1AEFA2"/>
    <w:rsid w:val="2A2B7B76"/>
    <w:rsid w:val="2A2D2394"/>
    <w:rsid w:val="2A2E2986"/>
    <w:rsid w:val="2A2E8C08"/>
    <w:rsid w:val="2A32BAB7"/>
    <w:rsid w:val="2A32E949"/>
    <w:rsid w:val="2A37E1AA"/>
    <w:rsid w:val="2A399B6A"/>
    <w:rsid w:val="2A3E94D5"/>
    <w:rsid w:val="2A44E8D5"/>
    <w:rsid w:val="2A5749F1"/>
    <w:rsid w:val="2A59790B"/>
    <w:rsid w:val="2A5C270C"/>
    <w:rsid w:val="2A720547"/>
    <w:rsid w:val="2A819D89"/>
    <w:rsid w:val="2A82616B"/>
    <w:rsid w:val="2A83B647"/>
    <w:rsid w:val="2A899646"/>
    <w:rsid w:val="2A8CCCDC"/>
    <w:rsid w:val="2A94BA62"/>
    <w:rsid w:val="2A9514D8"/>
    <w:rsid w:val="2A9B7D82"/>
    <w:rsid w:val="2A9DC42E"/>
    <w:rsid w:val="2A9F25BD"/>
    <w:rsid w:val="2AA3679E"/>
    <w:rsid w:val="2AB1F46B"/>
    <w:rsid w:val="2ABC69F5"/>
    <w:rsid w:val="2AC00506"/>
    <w:rsid w:val="2AC46749"/>
    <w:rsid w:val="2AC8BF03"/>
    <w:rsid w:val="2AC9A320"/>
    <w:rsid w:val="2AD73A38"/>
    <w:rsid w:val="2AD79738"/>
    <w:rsid w:val="2AD8F566"/>
    <w:rsid w:val="2AE557AC"/>
    <w:rsid w:val="2AE8D744"/>
    <w:rsid w:val="2AF343D5"/>
    <w:rsid w:val="2AF711CC"/>
    <w:rsid w:val="2AFD3DEC"/>
    <w:rsid w:val="2AFE7F47"/>
    <w:rsid w:val="2B0042FC"/>
    <w:rsid w:val="2B0232F0"/>
    <w:rsid w:val="2B0B18D2"/>
    <w:rsid w:val="2B0E539D"/>
    <w:rsid w:val="2B1A5DB0"/>
    <w:rsid w:val="2B1A823D"/>
    <w:rsid w:val="2B1CE354"/>
    <w:rsid w:val="2B254A5D"/>
    <w:rsid w:val="2B2E2CE5"/>
    <w:rsid w:val="2B309852"/>
    <w:rsid w:val="2B362B19"/>
    <w:rsid w:val="2B384E9C"/>
    <w:rsid w:val="2B3E0D58"/>
    <w:rsid w:val="2B479972"/>
    <w:rsid w:val="2B522FB2"/>
    <w:rsid w:val="2B523A3F"/>
    <w:rsid w:val="2B54B283"/>
    <w:rsid w:val="2B578BD8"/>
    <w:rsid w:val="2B58EB66"/>
    <w:rsid w:val="2B62EBAF"/>
    <w:rsid w:val="2B68E00E"/>
    <w:rsid w:val="2B6D5EED"/>
    <w:rsid w:val="2B776240"/>
    <w:rsid w:val="2B7ADE4F"/>
    <w:rsid w:val="2B7DB758"/>
    <w:rsid w:val="2B81DEBF"/>
    <w:rsid w:val="2B849E52"/>
    <w:rsid w:val="2B931F02"/>
    <w:rsid w:val="2B9C988F"/>
    <w:rsid w:val="2B9E7AA2"/>
    <w:rsid w:val="2BA61DFB"/>
    <w:rsid w:val="2BAC3832"/>
    <w:rsid w:val="2BAD3A00"/>
    <w:rsid w:val="2BB1C9F4"/>
    <w:rsid w:val="2BB36E9A"/>
    <w:rsid w:val="2BB38FFC"/>
    <w:rsid w:val="2BB91CEB"/>
    <w:rsid w:val="2BBFB7B7"/>
    <w:rsid w:val="2BC46936"/>
    <w:rsid w:val="2BD0CA6A"/>
    <w:rsid w:val="2BD0EE38"/>
    <w:rsid w:val="2BD36633"/>
    <w:rsid w:val="2BDE2A7F"/>
    <w:rsid w:val="2BE99E8E"/>
    <w:rsid w:val="2C021A28"/>
    <w:rsid w:val="2C040C9D"/>
    <w:rsid w:val="2C161135"/>
    <w:rsid w:val="2C170E35"/>
    <w:rsid w:val="2C1A0252"/>
    <w:rsid w:val="2C1BEBC5"/>
    <w:rsid w:val="2C214CFD"/>
    <w:rsid w:val="2C2AE65C"/>
    <w:rsid w:val="2C2F6CA3"/>
    <w:rsid w:val="2C2FDFCD"/>
    <w:rsid w:val="2C3013D8"/>
    <w:rsid w:val="2C310446"/>
    <w:rsid w:val="2C392BF9"/>
    <w:rsid w:val="2C407CBD"/>
    <w:rsid w:val="2C4D0A9B"/>
    <w:rsid w:val="2C4EED44"/>
    <w:rsid w:val="2C537941"/>
    <w:rsid w:val="2C5FBADE"/>
    <w:rsid w:val="2C6A3FCB"/>
    <w:rsid w:val="2C6E3F5B"/>
    <w:rsid w:val="2C6F66D7"/>
    <w:rsid w:val="2C700EC6"/>
    <w:rsid w:val="2C76F754"/>
    <w:rsid w:val="2C7977B3"/>
    <w:rsid w:val="2C7D3936"/>
    <w:rsid w:val="2C868C7B"/>
    <w:rsid w:val="2C981FD7"/>
    <w:rsid w:val="2C99B275"/>
    <w:rsid w:val="2CA2147F"/>
    <w:rsid w:val="2CB8414C"/>
    <w:rsid w:val="2CC04A8B"/>
    <w:rsid w:val="2CC79F06"/>
    <w:rsid w:val="2CC8E5E2"/>
    <w:rsid w:val="2CD07677"/>
    <w:rsid w:val="2CD8A06B"/>
    <w:rsid w:val="2CDCB0E6"/>
    <w:rsid w:val="2CDECB9B"/>
    <w:rsid w:val="2CED800C"/>
    <w:rsid w:val="2CFDD570"/>
    <w:rsid w:val="2D07C132"/>
    <w:rsid w:val="2D0DB0AF"/>
    <w:rsid w:val="2D21212D"/>
    <w:rsid w:val="2D247F54"/>
    <w:rsid w:val="2D26A61F"/>
    <w:rsid w:val="2D2EF813"/>
    <w:rsid w:val="2D330E99"/>
    <w:rsid w:val="2D38E716"/>
    <w:rsid w:val="2D393217"/>
    <w:rsid w:val="2D3D9856"/>
    <w:rsid w:val="2D420B2F"/>
    <w:rsid w:val="2D490941"/>
    <w:rsid w:val="2D4AAEAF"/>
    <w:rsid w:val="2D4B4DA8"/>
    <w:rsid w:val="2D4E9147"/>
    <w:rsid w:val="2D4F6408"/>
    <w:rsid w:val="2D67723D"/>
    <w:rsid w:val="2D6AF858"/>
    <w:rsid w:val="2D70A9C4"/>
    <w:rsid w:val="2D73A8E3"/>
    <w:rsid w:val="2D7C5EA1"/>
    <w:rsid w:val="2D80B5D5"/>
    <w:rsid w:val="2D82526F"/>
    <w:rsid w:val="2D84C080"/>
    <w:rsid w:val="2D859731"/>
    <w:rsid w:val="2D89D5F6"/>
    <w:rsid w:val="2D91B66A"/>
    <w:rsid w:val="2D944F05"/>
    <w:rsid w:val="2D97C09F"/>
    <w:rsid w:val="2D9AC56A"/>
    <w:rsid w:val="2DA13560"/>
    <w:rsid w:val="2DA53D13"/>
    <w:rsid w:val="2DA7FF84"/>
    <w:rsid w:val="2DB74B7C"/>
    <w:rsid w:val="2DB8820F"/>
    <w:rsid w:val="2DC63F0B"/>
    <w:rsid w:val="2DC9FE6F"/>
    <w:rsid w:val="2DCD7F90"/>
    <w:rsid w:val="2DD04728"/>
    <w:rsid w:val="2DD27939"/>
    <w:rsid w:val="2DE2F8EA"/>
    <w:rsid w:val="2DE9D31F"/>
    <w:rsid w:val="2DEA49C0"/>
    <w:rsid w:val="2DF06682"/>
    <w:rsid w:val="2DF6D1B4"/>
    <w:rsid w:val="2DF8FC95"/>
    <w:rsid w:val="2DF9CA84"/>
    <w:rsid w:val="2DF9E788"/>
    <w:rsid w:val="2DFE61E4"/>
    <w:rsid w:val="2E0035E1"/>
    <w:rsid w:val="2E005F6A"/>
    <w:rsid w:val="2E0A1EE3"/>
    <w:rsid w:val="2E0CFFE5"/>
    <w:rsid w:val="2E0D288B"/>
    <w:rsid w:val="2E1197A0"/>
    <w:rsid w:val="2E124E1C"/>
    <w:rsid w:val="2E216421"/>
    <w:rsid w:val="2E292BDD"/>
    <w:rsid w:val="2E29B674"/>
    <w:rsid w:val="2E2FB614"/>
    <w:rsid w:val="2E308149"/>
    <w:rsid w:val="2E3356D4"/>
    <w:rsid w:val="2E368B40"/>
    <w:rsid w:val="2E38AE69"/>
    <w:rsid w:val="2E429E3D"/>
    <w:rsid w:val="2E42B994"/>
    <w:rsid w:val="2E448809"/>
    <w:rsid w:val="2E4FDC0F"/>
    <w:rsid w:val="2E51A277"/>
    <w:rsid w:val="2E53D019"/>
    <w:rsid w:val="2E60D3B0"/>
    <w:rsid w:val="2E6EDFF6"/>
    <w:rsid w:val="2E76B491"/>
    <w:rsid w:val="2E77847D"/>
    <w:rsid w:val="2E7A50A0"/>
    <w:rsid w:val="2E847A5A"/>
    <w:rsid w:val="2E937E27"/>
    <w:rsid w:val="2E97F0FA"/>
    <w:rsid w:val="2E9B80DD"/>
    <w:rsid w:val="2E9FE4C6"/>
    <w:rsid w:val="2EA099DF"/>
    <w:rsid w:val="2EA4ACB6"/>
    <w:rsid w:val="2EA527E1"/>
    <w:rsid w:val="2EA57BA2"/>
    <w:rsid w:val="2EA58E1A"/>
    <w:rsid w:val="2EA5A8BB"/>
    <w:rsid w:val="2EB7DE83"/>
    <w:rsid w:val="2EB829AE"/>
    <w:rsid w:val="2EB989B7"/>
    <w:rsid w:val="2EC61C46"/>
    <w:rsid w:val="2EE1A724"/>
    <w:rsid w:val="2EE224DA"/>
    <w:rsid w:val="2EE349B3"/>
    <w:rsid w:val="2EEAE444"/>
    <w:rsid w:val="2EEB0F5C"/>
    <w:rsid w:val="2EEC0C09"/>
    <w:rsid w:val="2EEE60C5"/>
    <w:rsid w:val="2EF9EF00"/>
    <w:rsid w:val="2EFD7708"/>
    <w:rsid w:val="2F036B1C"/>
    <w:rsid w:val="2F0C49F4"/>
    <w:rsid w:val="2F13BB8C"/>
    <w:rsid w:val="2F17FB5B"/>
    <w:rsid w:val="2F182369"/>
    <w:rsid w:val="2F1F6A09"/>
    <w:rsid w:val="2F1FA3D1"/>
    <w:rsid w:val="2F25A6D2"/>
    <w:rsid w:val="2F27068A"/>
    <w:rsid w:val="2F2CCB10"/>
    <w:rsid w:val="2F2E5FDE"/>
    <w:rsid w:val="2F518E7E"/>
    <w:rsid w:val="2F538C87"/>
    <w:rsid w:val="2F683170"/>
    <w:rsid w:val="2F6B028C"/>
    <w:rsid w:val="2F6EFAEB"/>
    <w:rsid w:val="2F712FA9"/>
    <w:rsid w:val="2F76AF74"/>
    <w:rsid w:val="2F831864"/>
    <w:rsid w:val="2F8FC489"/>
    <w:rsid w:val="2FA21F8B"/>
    <w:rsid w:val="2FA5F766"/>
    <w:rsid w:val="2FAD55B5"/>
    <w:rsid w:val="2FB54207"/>
    <w:rsid w:val="2FB7B4C5"/>
    <w:rsid w:val="2FB88812"/>
    <w:rsid w:val="2FBE8029"/>
    <w:rsid w:val="2FC9530F"/>
    <w:rsid w:val="2FCA2938"/>
    <w:rsid w:val="2FCA9B94"/>
    <w:rsid w:val="2FCC2328"/>
    <w:rsid w:val="2FCC7E2F"/>
    <w:rsid w:val="2FCCE7A6"/>
    <w:rsid w:val="2FD1EAB2"/>
    <w:rsid w:val="2FDB0723"/>
    <w:rsid w:val="2FF429F8"/>
    <w:rsid w:val="2FF67D7E"/>
    <w:rsid w:val="3000F3F7"/>
    <w:rsid w:val="3003432A"/>
    <w:rsid w:val="30038CA4"/>
    <w:rsid w:val="3005E141"/>
    <w:rsid w:val="300F29D0"/>
    <w:rsid w:val="30112CA2"/>
    <w:rsid w:val="3017303A"/>
    <w:rsid w:val="30222BBF"/>
    <w:rsid w:val="3027495F"/>
    <w:rsid w:val="30313400"/>
    <w:rsid w:val="303BB533"/>
    <w:rsid w:val="304228C4"/>
    <w:rsid w:val="30464459"/>
    <w:rsid w:val="304DE418"/>
    <w:rsid w:val="304E064D"/>
    <w:rsid w:val="3054BC14"/>
    <w:rsid w:val="3056291A"/>
    <w:rsid w:val="305A0182"/>
    <w:rsid w:val="305C0F68"/>
    <w:rsid w:val="305D29BF"/>
    <w:rsid w:val="30741DD8"/>
    <w:rsid w:val="30760ACB"/>
    <w:rsid w:val="3081CF4E"/>
    <w:rsid w:val="30884D1C"/>
    <w:rsid w:val="308D3037"/>
    <w:rsid w:val="3096A174"/>
    <w:rsid w:val="30979104"/>
    <w:rsid w:val="30999255"/>
    <w:rsid w:val="309A16B4"/>
    <w:rsid w:val="309C8AAC"/>
    <w:rsid w:val="309F2103"/>
    <w:rsid w:val="30A36001"/>
    <w:rsid w:val="30AC5F43"/>
    <w:rsid w:val="30B51EAA"/>
    <w:rsid w:val="30BDC210"/>
    <w:rsid w:val="30C68004"/>
    <w:rsid w:val="30D244B8"/>
    <w:rsid w:val="30D8ED86"/>
    <w:rsid w:val="30DFFE45"/>
    <w:rsid w:val="30E03CB0"/>
    <w:rsid w:val="30E78CEB"/>
    <w:rsid w:val="30ED1E74"/>
    <w:rsid w:val="30EE5A29"/>
    <w:rsid w:val="30F196DB"/>
    <w:rsid w:val="30F59F7A"/>
    <w:rsid w:val="310021BC"/>
    <w:rsid w:val="31172572"/>
    <w:rsid w:val="311E0724"/>
    <w:rsid w:val="311EA5B0"/>
    <w:rsid w:val="3131825A"/>
    <w:rsid w:val="3134671E"/>
    <w:rsid w:val="3135FD99"/>
    <w:rsid w:val="3136DAB1"/>
    <w:rsid w:val="313C11DA"/>
    <w:rsid w:val="31405839"/>
    <w:rsid w:val="314B2595"/>
    <w:rsid w:val="31526304"/>
    <w:rsid w:val="31536620"/>
    <w:rsid w:val="315B2EA2"/>
    <w:rsid w:val="315C5D45"/>
    <w:rsid w:val="31626ABA"/>
    <w:rsid w:val="31652A2B"/>
    <w:rsid w:val="3167F389"/>
    <w:rsid w:val="3173B840"/>
    <w:rsid w:val="31877CD1"/>
    <w:rsid w:val="318A956A"/>
    <w:rsid w:val="318DEBFA"/>
    <w:rsid w:val="31913066"/>
    <w:rsid w:val="319651F4"/>
    <w:rsid w:val="31A201FD"/>
    <w:rsid w:val="31A7934F"/>
    <w:rsid w:val="31B544E2"/>
    <w:rsid w:val="31B86107"/>
    <w:rsid w:val="31BD0F6E"/>
    <w:rsid w:val="31C3F407"/>
    <w:rsid w:val="31C7F975"/>
    <w:rsid w:val="31D57EDA"/>
    <w:rsid w:val="31D81A5A"/>
    <w:rsid w:val="31D995B8"/>
    <w:rsid w:val="31E15ED7"/>
    <w:rsid w:val="31E29486"/>
    <w:rsid w:val="31ED7D04"/>
    <w:rsid w:val="31F554B7"/>
    <w:rsid w:val="31F85560"/>
    <w:rsid w:val="3203D2B2"/>
    <w:rsid w:val="3209FA88"/>
    <w:rsid w:val="32152B5A"/>
    <w:rsid w:val="3222026A"/>
    <w:rsid w:val="3224C45C"/>
    <w:rsid w:val="32260187"/>
    <w:rsid w:val="3228EEF2"/>
    <w:rsid w:val="322C905D"/>
    <w:rsid w:val="323833CB"/>
    <w:rsid w:val="323F3062"/>
    <w:rsid w:val="3248E291"/>
    <w:rsid w:val="324980EC"/>
    <w:rsid w:val="324B117F"/>
    <w:rsid w:val="3253BD3B"/>
    <w:rsid w:val="32560E4D"/>
    <w:rsid w:val="3258DBF2"/>
    <w:rsid w:val="32728D93"/>
    <w:rsid w:val="3272C024"/>
    <w:rsid w:val="327421F0"/>
    <w:rsid w:val="32743EDF"/>
    <w:rsid w:val="327A2C49"/>
    <w:rsid w:val="32857ADB"/>
    <w:rsid w:val="3285BC00"/>
    <w:rsid w:val="32B1FB14"/>
    <w:rsid w:val="32B56E6A"/>
    <w:rsid w:val="32C63948"/>
    <w:rsid w:val="32CD58AB"/>
    <w:rsid w:val="32DC77DA"/>
    <w:rsid w:val="32E33A5A"/>
    <w:rsid w:val="32E512BE"/>
    <w:rsid w:val="32E8B937"/>
    <w:rsid w:val="32ECEDA6"/>
    <w:rsid w:val="3307C1CB"/>
    <w:rsid w:val="33148E47"/>
    <w:rsid w:val="331524CB"/>
    <w:rsid w:val="331733E5"/>
    <w:rsid w:val="331A425D"/>
    <w:rsid w:val="331AEFEA"/>
    <w:rsid w:val="3320D1F6"/>
    <w:rsid w:val="33236020"/>
    <w:rsid w:val="332AE35E"/>
    <w:rsid w:val="332C3C2A"/>
    <w:rsid w:val="332E41C3"/>
    <w:rsid w:val="3333D91A"/>
    <w:rsid w:val="33394638"/>
    <w:rsid w:val="33458B4C"/>
    <w:rsid w:val="3347BEDE"/>
    <w:rsid w:val="3349D140"/>
    <w:rsid w:val="334C8183"/>
    <w:rsid w:val="33637512"/>
    <w:rsid w:val="3363C9D6"/>
    <w:rsid w:val="33642394"/>
    <w:rsid w:val="336B621D"/>
    <w:rsid w:val="33756619"/>
    <w:rsid w:val="33806B8A"/>
    <w:rsid w:val="33819DA4"/>
    <w:rsid w:val="33826A9F"/>
    <w:rsid w:val="3385AAD9"/>
    <w:rsid w:val="338AB5F5"/>
    <w:rsid w:val="339E50B8"/>
    <w:rsid w:val="339F2268"/>
    <w:rsid w:val="33A4AD13"/>
    <w:rsid w:val="33B1D95F"/>
    <w:rsid w:val="33B3CC1A"/>
    <w:rsid w:val="33BB0900"/>
    <w:rsid w:val="33BD78E9"/>
    <w:rsid w:val="33BDA367"/>
    <w:rsid w:val="33C510E9"/>
    <w:rsid w:val="33CB7E74"/>
    <w:rsid w:val="33D1AF50"/>
    <w:rsid w:val="33D48A04"/>
    <w:rsid w:val="33E2EC82"/>
    <w:rsid w:val="33EABA38"/>
    <w:rsid w:val="33F3A4D6"/>
    <w:rsid w:val="33F765EB"/>
    <w:rsid w:val="33FE44D4"/>
    <w:rsid w:val="33FEB23B"/>
    <w:rsid w:val="34087521"/>
    <w:rsid w:val="340EF2E7"/>
    <w:rsid w:val="3412A7CE"/>
    <w:rsid w:val="3413BA89"/>
    <w:rsid w:val="341A0E27"/>
    <w:rsid w:val="3429FF23"/>
    <w:rsid w:val="343C909E"/>
    <w:rsid w:val="343D5AEA"/>
    <w:rsid w:val="343E302B"/>
    <w:rsid w:val="3440BACB"/>
    <w:rsid w:val="3440E34D"/>
    <w:rsid w:val="34414692"/>
    <w:rsid w:val="34651536"/>
    <w:rsid w:val="3466F3D2"/>
    <w:rsid w:val="34680837"/>
    <w:rsid w:val="346AEC19"/>
    <w:rsid w:val="346CBB89"/>
    <w:rsid w:val="347590AE"/>
    <w:rsid w:val="3478CAFD"/>
    <w:rsid w:val="34813C5E"/>
    <w:rsid w:val="34818DC8"/>
    <w:rsid w:val="3489ADC3"/>
    <w:rsid w:val="3494527C"/>
    <w:rsid w:val="34986D61"/>
    <w:rsid w:val="349A304D"/>
    <w:rsid w:val="349E08F1"/>
    <w:rsid w:val="349F254D"/>
    <w:rsid w:val="34A4A673"/>
    <w:rsid w:val="34BBE6CE"/>
    <w:rsid w:val="34BE464F"/>
    <w:rsid w:val="34CF88A1"/>
    <w:rsid w:val="34D18DEE"/>
    <w:rsid w:val="34D50F2B"/>
    <w:rsid w:val="34D58D57"/>
    <w:rsid w:val="34DC634A"/>
    <w:rsid w:val="34EE0B07"/>
    <w:rsid w:val="34F7E941"/>
    <w:rsid w:val="34FB4117"/>
    <w:rsid w:val="34FF3D92"/>
    <w:rsid w:val="34FF9A37"/>
    <w:rsid w:val="3513787D"/>
    <w:rsid w:val="3518833D"/>
    <w:rsid w:val="352314F6"/>
    <w:rsid w:val="352371A6"/>
    <w:rsid w:val="3523B413"/>
    <w:rsid w:val="35330066"/>
    <w:rsid w:val="3538A0CB"/>
    <w:rsid w:val="3541AEE8"/>
    <w:rsid w:val="3544244B"/>
    <w:rsid w:val="354F5790"/>
    <w:rsid w:val="355D6F94"/>
    <w:rsid w:val="35761910"/>
    <w:rsid w:val="3589CAF5"/>
    <w:rsid w:val="3594FC25"/>
    <w:rsid w:val="359A84A3"/>
    <w:rsid w:val="359C04E1"/>
    <w:rsid w:val="35A5ADE8"/>
    <w:rsid w:val="35A7CF97"/>
    <w:rsid w:val="35ABF744"/>
    <w:rsid w:val="35B95406"/>
    <w:rsid w:val="35C2CAB4"/>
    <w:rsid w:val="35C6A8FB"/>
    <w:rsid w:val="35D055CF"/>
    <w:rsid w:val="35D0EC2A"/>
    <w:rsid w:val="35D64EE9"/>
    <w:rsid w:val="35D75C23"/>
    <w:rsid w:val="35D97FFC"/>
    <w:rsid w:val="35DBC804"/>
    <w:rsid w:val="35E297E3"/>
    <w:rsid w:val="35E2D5A2"/>
    <w:rsid w:val="35F748D1"/>
    <w:rsid w:val="35F8726E"/>
    <w:rsid w:val="3600C30B"/>
    <w:rsid w:val="3603738E"/>
    <w:rsid w:val="36094D9D"/>
    <w:rsid w:val="361B067A"/>
    <w:rsid w:val="361BA80D"/>
    <w:rsid w:val="361F2A3D"/>
    <w:rsid w:val="3620F7EF"/>
    <w:rsid w:val="3631B795"/>
    <w:rsid w:val="363532B6"/>
    <w:rsid w:val="364E4278"/>
    <w:rsid w:val="364F3002"/>
    <w:rsid w:val="36597125"/>
    <w:rsid w:val="365BDA95"/>
    <w:rsid w:val="365F106E"/>
    <w:rsid w:val="36636B7C"/>
    <w:rsid w:val="3672A5DF"/>
    <w:rsid w:val="3676699E"/>
    <w:rsid w:val="367804BC"/>
    <w:rsid w:val="3678F180"/>
    <w:rsid w:val="3683250C"/>
    <w:rsid w:val="36844D95"/>
    <w:rsid w:val="368B6E8B"/>
    <w:rsid w:val="368C7329"/>
    <w:rsid w:val="368F8C3F"/>
    <w:rsid w:val="369C8F06"/>
    <w:rsid w:val="369E56EC"/>
    <w:rsid w:val="36A2B9DC"/>
    <w:rsid w:val="36AA82E5"/>
    <w:rsid w:val="36AD06DB"/>
    <w:rsid w:val="36ADF7A3"/>
    <w:rsid w:val="36B08D87"/>
    <w:rsid w:val="36C75B2B"/>
    <w:rsid w:val="36CA11DC"/>
    <w:rsid w:val="36CE5F67"/>
    <w:rsid w:val="36D85104"/>
    <w:rsid w:val="36DC1BCC"/>
    <w:rsid w:val="36EDED96"/>
    <w:rsid w:val="36F14B62"/>
    <w:rsid w:val="36F3EEAB"/>
    <w:rsid w:val="37007FD1"/>
    <w:rsid w:val="370763FE"/>
    <w:rsid w:val="370E1C24"/>
    <w:rsid w:val="370ED337"/>
    <w:rsid w:val="37170D90"/>
    <w:rsid w:val="3729B96F"/>
    <w:rsid w:val="372B1CF8"/>
    <w:rsid w:val="372EEF49"/>
    <w:rsid w:val="372F06AD"/>
    <w:rsid w:val="37301494"/>
    <w:rsid w:val="37322BAC"/>
    <w:rsid w:val="37383FF6"/>
    <w:rsid w:val="3739074D"/>
    <w:rsid w:val="3758532C"/>
    <w:rsid w:val="375E2DC2"/>
    <w:rsid w:val="376D3E99"/>
    <w:rsid w:val="37721F4A"/>
    <w:rsid w:val="37750790"/>
    <w:rsid w:val="3778B454"/>
    <w:rsid w:val="377A36DE"/>
    <w:rsid w:val="377BFD71"/>
    <w:rsid w:val="377C5BD1"/>
    <w:rsid w:val="377D8686"/>
    <w:rsid w:val="378879A0"/>
    <w:rsid w:val="3799C090"/>
    <w:rsid w:val="37A274A8"/>
    <w:rsid w:val="37A51DFE"/>
    <w:rsid w:val="37A87ACE"/>
    <w:rsid w:val="37B2F5FD"/>
    <w:rsid w:val="37B51D6A"/>
    <w:rsid w:val="37B72BF4"/>
    <w:rsid w:val="37B8E051"/>
    <w:rsid w:val="37BC9154"/>
    <w:rsid w:val="37BD11FC"/>
    <w:rsid w:val="37BF5A70"/>
    <w:rsid w:val="37C5C80D"/>
    <w:rsid w:val="37C9920E"/>
    <w:rsid w:val="37CD4701"/>
    <w:rsid w:val="37D2E0F4"/>
    <w:rsid w:val="37DCFE3B"/>
    <w:rsid w:val="37DE7061"/>
    <w:rsid w:val="37E1F9C7"/>
    <w:rsid w:val="37E8C5EA"/>
    <w:rsid w:val="37EA3F2F"/>
    <w:rsid w:val="37ED321D"/>
    <w:rsid w:val="37F0AB20"/>
    <w:rsid w:val="37F38790"/>
    <w:rsid w:val="380B192C"/>
    <w:rsid w:val="3813C1B7"/>
    <w:rsid w:val="38173512"/>
    <w:rsid w:val="382B677D"/>
    <w:rsid w:val="38322777"/>
    <w:rsid w:val="38449E90"/>
    <w:rsid w:val="38537C82"/>
    <w:rsid w:val="385ADE95"/>
    <w:rsid w:val="385BC57A"/>
    <w:rsid w:val="3868D98A"/>
    <w:rsid w:val="38719F38"/>
    <w:rsid w:val="3874D311"/>
    <w:rsid w:val="387B8635"/>
    <w:rsid w:val="38806E71"/>
    <w:rsid w:val="3880A819"/>
    <w:rsid w:val="388E1A88"/>
    <w:rsid w:val="38914B75"/>
    <w:rsid w:val="389684FF"/>
    <w:rsid w:val="389C8AC7"/>
    <w:rsid w:val="38A1F1B3"/>
    <w:rsid w:val="38A62728"/>
    <w:rsid w:val="38A8DB66"/>
    <w:rsid w:val="38BF61BC"/>
    <w:rsid w:val="38C54A92"/>
    <w:rsid w:val="38C69A42"/>
    <w:rsid w:val="38CAD70E"/>
    <w:rsid w:val="38D4902E"/>
    <w:rsid w:val="38D67A75"/>
    <w:rsid w:val="38D9FE50"/>
    <w:rsid w:val="38DB9F52"/>
    <w:rsid w:val="38DCC40C"/>
    <w:rsid w:val="38DD4EAA"/>
    <w:rsid w:val="38E38063"/>
    <w:rsid w:val="38E46CA8"/>
    <w:rsid w:val="38EC5500"/>
    <w:rsid w:val="38ECF292"/>
    <w:rsid w:val="38F12CEB"/>
    <w:rsid w:val="38F9E6AA"/>
    <w:rsid w:val="38FA6ECD"/>
    <w:rsid w:val="38FC6983"/>
    <w:rsid w:val="38FF00E9"/>
    <w:rsid w:val="3903C63D"/>
    <w:rsid w:val="390B7F38"/>
    <w:rsid w:val="39132EA7"/>
    <w:rsid w:val="392DAAB5"/>
    <w:rsid w:val="3930F953"/>
    <w:rsid w:val="3933D8C0"/>
    <w:rsid w:val="3934C182"/>
    <w:rsid w:val="393A61CB"/>
    <w:rsid w:val="39415D04"/>
    <w:rsid w:val="3941C17E"/>
    <w:rsid w:val="3943AE2E"/>
    <w:rsid w:val="39457199"/>
    <w:rsid w:val="394DD506"/>
    <w:rsid w:val="395CE0F4"/>
    <w:rsid w:val="39613699"/>
    <w:rsid w:val="39654CFD"/>
    <w:rsid w:val="39676F2A"/>
    <w:rsid w:val="39695857"/>
    <w:rsid w:val="396CF21D"/>
    <w:rsid w:val="39774B80"/>
    <w:rsid w:val="39806558"/>
    <w:rsid w:val="3988854F"/>
    <w:rsid w:val="398BE49A"/>
    <w:rsid w:val="398ED30E"/>
    <w:rsid w:val="399BC77D"/>
    <w:rsid w:val="399D240B"/>
    <w:rsid w:val="39A0BC78"/>
    <w:rsid w:val="39A0F193"/>
    <w:rsid w:val="39A2F9C4"/>
    <w:rsid w:val="39AB9F9B"/>
    <w:rsid w:val="39BAEC4F"/>
    <w:rsid w:val="39BFEB58"/>
    <w:rsid w:val="39D08A1A"/>
    <w:rsid w:val="39D46188"/>
    <w:rsid w:val="39D81900"/>
    <w:rsid w:val="39DA9BCF"/>
    <w:rsid w:val="39E365C5"/>
    <w:rsid w:val="39E6E9A0"/>
    <w:rsid w:val="39E98F28"/>
    <w:rsid w:val="39F6FDFE"/>
    <w:rsid w:val="3A062C86"/>
    <w:rsid w:val="3A06CD5E"/>
    <w:rsid w:val="3A0EBA77"/>
    <w:rsid w:val="3A14FF8B"/>
    <w:rsid w:val="3A150911"/>
    <w:rsid w:val="3A1FD895"/>
    <w:rsid w:val="3A24B663"/>
    <w:rsid w:val="3A313E7F"/>
    <w:rsid w:val="3A3288A1"/>
    <w:rsid w:val="3A3E3D15"/>
    <w:rsid w:val="3A44D73B"/>
    <w:rsid w:val="3A480B56"/>
    <w:rsid w:val="3A5D1B4A"/>
    <w:rsid w:val="3A5DC555"/>
    <w:rsid w:val="3A5E8049"/>
    <w:rsid w:val="3A5F7014"/>
    <w:rsid w:val="3A615A31"/>
    <w:rsid w:val="3A6F087C"/>
    <w:rsid w:val="3A707CD0"/>
    <w:rsid w:val="3A75613D"/>
    <w:rsid w:val="3A759440"/>
    <w:rsid w:val="3A8651A9"/>
    <w:rsid w:val="3A8694DA"/>
    <w:rsid w:val="3A87CF9E"/>
    <w:rsid w:val="3A913D2E"/>
    <w:rsid w:val="3A91E88A"/>
    <w:rsid w:val="3A952729"/>
    <w:rsid w:val="3A9BEF54"/>
    <w:rsid w:val="3A9E449B"/>
    <w:rsid w:val="3AA2D568"/>
    <w:rsid w:val="3AA4DF5B"/>
    <w:rsid w:val="3AA74BF0"/>
    <w:rsid w:val="3AAF581E"/>
    <w:rsid w:val="3AB182A8"/>
    <w:rsid w:val="3AB1AD92"/>
    <w:rsid w:val="3ABF4233"/>
    <w:rsid w:val="3ABF6FBA"/>
    <w:rsid w:val="3ACA5CD9"/>
    <w:rsid w:val="3AD4D275"/>
    <w:rsid w:val="3AD76E71"/>
    <w:rsid w:val="3AD7820F"/>
    <w:rsid w:val="3AD786C8"/>
    <w:rsid w:val="3AFCCECB"/>
    <w:rsid w:val="3AFFF7EB"/>
    <w:rsid w:val="3B0828EB"/>
    <w:rsid w:val="3B0D4A75"/>
    <w:rsid w:val="3B10A256"/>
    <w:rsid w:val="3B1AA90A"/>
    <w:rsid w:val="3B2029B5"/>
    <w:rsid w:val="3B3325FB"/>
    <w:rsid w:val="3B364C9D"/>
    <w:rsid w:val="3B38E1EC"/>
    <w:rsid w:val="3B48A0B1"/>
    <w:rsid w:val="3B4922C8"/>
    <w:rsid w:val="3B51DC77"/>
    <w:rsid w:val="3B632A3C"/>
    <w:rsid w:val="3B6A8F27"/>
    <w:rsid w:val="3B73C4CF"/>
    <w:rsid w:val="3B7BD439"/>
    <w:rsid w:val="3B7F7482"/>
    <w:rsid w:val="3B817853"/>
    <w:rsid w:val="3BA0D040"/>
    <w:rsid w:val="3BA1E30B"/>
    <w:rsid w:val="3BA5316E"/>
    <w:rsid w:val="3BAA72FB"/>
    <w:rsid w:val="3BAB6FF0"/>
    <w:rsid w:val="3BAC1BA5"/>
    <w:rsid w:val="3BB1142F"/>
    <w:rsid w:val="3BB1E2C6"/>
    <w:rsid w:val="3BB31DF2"/>
    <w:rsid w:val="3BBE86FA"/>
    <w:rsid w:val="3BC670BB"/>
    <w:rsid w:val="3BCCFBFA"/>
    <w:rsid w:val="3BCE65B2"/>
    <w:rsid w:val="3BCE7CEC"/>
    <w:rsid w:val="3BDA323C"/>
    <w:rsid w:val="3BE2DC23"/>
    <w:rsid w:val="3BEB16C8"/>
    <w:rsid w:val="3BFAFA73"/>
    <w:rsid w:val="3BFD114F"/>
    <w:rsid w:val="3BFFB6D0"/>
    <w:rsid w:val="3C01D76B"/>
    <w:rsid w:val="3C09E2E4"/>
    <w:rsid w:val="3C166781"/>
    <w:rsid w:val="3C1E360A"/>
    <w:rsid w:val="3C266EF6"/>
    <w:rsid w:val="3C286E87"/>
    <w:rsid w:val="3C291D69"/>
    <w:rsid w:val="3C2C5D21"/>
    <w:rsid w:val="3C2F1760"/>
    <w:rsid w:val="3C3D4C0A"/>
    <w:rsid w:val="3C3EA5C9"/>
    <w:rsid w:val="3C40F07F"/>
    <w:rsid w:val="3C4A38E8"/>
    <w:rsid w:val="3C59BA2F"/>
    <w:rsid w:val="3C59C6ED"/>
    <w:rsid w:val="3C620B77"/>
    <w:rsid w:val="3C6A9094"/>
    <w:rsid w:val="3C7168C4"/>
    <w:rsid w:val="3C74D818"/>
    <w:rsid w:val="3C79C6A7"/>
    <w:rsid w:val="3C7A18DC"/>
    <w:rsid w:val="3C8BA93A"/>
    <w:rsid w:val="3C8C8E0B"/>
    <w:rsid w:val="3C8E2016"/>
    <w:rsid w:val="3CA44E5C"/>
    <w:rsid w:val="3CA77E63"/>
    <w:rsid w:val="3CA8E69F"/>
    <w:rsid w:val="3CB74B81"/>
    <w:rsid w:val="3CB80D02"/>
    <w:rsid w:val="3CBB11B6"/>
    <w:rsid w:val="3CC1AD10"/>
    <w:rsid w:val="3CC30FF8"/>
    <w:rsid w:val="3CC35E13"/>
    <w:rsid w:val="3CC5ABD8"/>
    <w:rsid w:val="3CC6F8B3"/>
    <w:rsid w:val="3CD3D612"/>
    <w:rsid w:val="3CE1887E"/>
    <w:rsid w:val="3CEA1307"/>
    <w:rsid w:val="3CFB907A"/>
    <w:rsid w:val="3D006032"/>
    <w:rsid w:val="3D116933"/>
    <w:rsid w:val="3D18B044"/>
    <w:rsid w:val="3D22C1BF"/>
    <w:rsid w:val="3D2416C7"/>
    <w:rsid w:val="3D244305"/>
    <w:rsid w:val="3D307053"/>
    <w:rsid w:val="3D37DEAC"/>
    <w:rsid w:val="3D432C85"/>
    <w:rsid w:val="3D435743"/>
    <w:rsid w:val="3D469D68"/>
    <w:rsid w:val="3D546FB1"/>
    <w:rsid w:val="3D6B3166"/>
    <w:rsid w:val="3D6BFBAF"/>
    <w:rsid w:val="3D80C64E"/>
    <w:rsid w:val="3D82DA76"/>
    <w:rsid w:val="3D839A96"/>
    <w:rsid w:val="3D86F5B9"/>
    <w:rsid w:val="3D8E22C8"/>
    <w:rsid w:val="3DA32A0B"/>
    <w:rsid w:val="3DA6B989"/>
    <w:rsid w:val="3DB7FE64"/>
    <w:rsid w:val="3DBCB80C"/>
    <w:rsid w:val="3DBD7643"/>
    <w:rsid w:val="3DBFF75F"/>
    <w:rsid w:val="3DCB3FD7"/>
    <w:rsid w:val="3DCD22B6"/>
    <w:rsid w:val="3DCD4521"/>
    <w:rsid w:val="3DCD6F46"/>
    <w:rsid w:val="3DCFF726"/>
    <w:rsid w:val="3DD7C059"/>
    <w:rsid w:val="3DE6D738"/>
    <w:rsid w:val="3DEB4219"/>
    <w:rsid w:val="3DF2B9BC"/>
    <w:rsid w:val="3DF6FD96"/>
    <w:rsid w:val="3E03DD5F"/>
    <w:rsid w:val="3E0D729A"/>
    <w:rsid w:val="3E137231"/>
    <w:rsid w:val="3E18E545"/>
    <w:rsid w:val="3E1AEA60"/>
    <w:rsid w:val="3E1F3194"/>
    <w:rsid w:val="3E214629"/>
    <w:rsid w:val="3E2AC0DF"/>
    <w:rsid w:val="3E2D5EB0"/>
    <w:rsid w:val="3E339A3D"/>
    <w:rsid w:val="3E33B060"/>
    <w:rsid w:val="3E38E56D"/>
    <w:rsid w:val="3E397AE7"/>
    <w:rsid w:val="3E406340"/>
    <w:rsid w:val="3E42CDD3"/>
    <w:rsid w:val="3E6237BC"/>
    <w:rsid w:val="3E6630D2"/>
    <w:rsid w:val="3E66EE84"/>
    <w:rsid w:val="3E75BF49"/>
    <w:rsid w:val="3E7A9456"/>
    <w:rsid w:val="3E8C83E7"/>
    <w:rsid w:val="3E8E0ED2"/>
    <w:rsid w:val="3E93431A"/>
    <w:rsid w:val="3E98AD67"/>
    <w:rsid w:val="3E9B076E"/>
    <w:rsid w:val="3EB44AAD"/>
    <w:rsid w:val="3EB594CA"/>
    <w:rsid w:val="3EB625E5"/>
    <w:rsid w:val="3EB88316"/>
    <w:rsid w:val="3EB91915"/>
    <w:rsid w:val="3EC13560"/>
    <w:rsid w:val="3EC3C151"/>
    <w:rsid w:val="3EC64F8D"/>
    <w:rsid w:val="3ED1F58D"/>
    <w:rsid w:val="3EDEA6A3"/>
    <w:rsid w:val="3EDF58EC"/>
    <w:rsid w:val="3EE65D43"/>
    <w:rsid w:val="3EEF7434"/>
    <w:rsid w:val="3EF4EA1B"/>
    <w:rsid w:val="3EF7A46C"/>
    <w:rsid w:val="3F02B968"/>
    <w:rsid w:val="3F1A4F5A"/>
    <w:rsid w:val="3F1C53C0"/>
    <w:rsid w:val="3F1F2ED1"/>
    <w:rsid w:val="3F31A43F"/>
    <w:rsid w:val="3F37E53A"/>
    <w:rsid w:val="3F3EC56B"/>
    <w:rsid w:val="3F419717"/>
    <w:rsid w:val="3F446CFE"/>
    <w:rsid w:val="3F472CDA"/>
    <w:rsid w:val="3F561443"/>
    <w:rsid w:val="3F5F514E"/>
    <w:rsid w:val="3F68F9B6"/>
    <w:rsid w:val="3F693FA7"/>
    <w:rsid w:val="3F6E4C12"/>
    <w:rsid w:val="3F6F6077"/>
    <w:rsid w:val="3F87127A"/>
    <w:rsid w:val="3F8EA1E8"/>
    <w:rsid w:val="3F924FEC"/>
    <w:rsid w:val="3F928214"/>
    <w:rsid w:val="3F984C27"/>
    <w:rsid w:val="3F9A528A"/>
    <w:rsid w:val="3F9C8327"/>
    <w:rsid w:val="3FA3AFFB"/>
    <w:rsid w:val="3FC40AA8"/>
    <w:rsid w:val="3FC9697D"/>
    <w:rsid w:val="3FCA75CF"/>
    <w:rsid w:val="3FCB1B08"/>
    <w:rsid w:val="3FCED1BB"/>
    <w:rsid w:val="3FD378C0"/>
    <w:rsid w:val="3FDC362B"/>
    <w:rsid w:val="3FEF5B82"/>
    <w:rsid w:val="3FF2EDA8"/>
    <w:rsid w:val="3FFA6B90"/>
    <w:rsid w:val="4006F2B5"/>
    <w:rsid w:val="4007D256"/>
    <w:rsid w:val="40098394"/>
    <w:rsid w:val="400B2585"/>
    <w:rsid w:val="400C751D"/>
    <w:rsid w:val="4011609C"/>
    <w:rsid w:val="40123B48"/>
    <w:rsid w:val="40214B55"/>
    <w:rsid w:val="4031D278"/>
    <w:rsid w:val="404680BA"/>
    <w:rsid w:val="4051652B"/>
    <w:rsid w:val="405E196E"/>
    <w:rsid w:val="40658141"/>
    <w:rsid w:val="4065975E"/>
    <w:rsid w:val="40674EEC"/>
    <w:rsid w:val="4087C626"/>
    <w:rsid w:val="409604A9"/>
    <w:rsid w:val="40A3814A"/>
    <w:rsid w:val="40A5576A"/>
    <w:rsid w:val="40B1B01A"/>
    <w:rsid w:val="40B96DC7"/>
    <w:rsid w:val="40BE7955"/>
    <w:rsid w:val="40CB1E39"/>
    <w:rsid w:val="40D79D39"/>
    <w:rsid w:val="40DD4754"/>
    <w:rsid w:val="40DDF60B"/>
    <w:rsid w:val="40DFC3A5"/>
    <w:rsid w:val="40F4B68A"/>
    <w:rsid w:val="40F5DCC0"/>
    <w:rsid w:val="40FB8360"/>
    <w:rsid w:val="41016AB4"/>
    <w:rsid w:val="4108D678"/>
    <w:rsid w:val="41108599"/>
    <w:rsid w:val="4119B822"/>
    <w:rsid w:val="411B8C8D"/>
    <w:rsid w:val="411E77FA"/>
    <w:rsid w:val="412F2550"/>
    <w:rsid w:val="4132F906"/>
    <w:rsid w:val="41378A72"/>
    <w:rsid w:val="413AAC5B"/>
    <w:rsid w:val="413C8BBA"/>
    <w:rsid w:val="4140E715"/>
    <w:rsid w:val="4149804F"/>
    <w:rsid w:val="41552527"/>
    <w:rsid w:val="41584006"/>
    <w:rsid w:val="415BE1B5"/>
    <w:rsid w:val="41636762"/>
    <w:rsid w:val="4163AA96"/>
    <w:rsid w:val="4163F442"/>
    <w:rsid w:val="4172810F"/>
    <w:rsid w:val="418E93E4"/>
    <w:rsid w:val="419018C6"/>
    <w:rsid w:val="4191BDAA"/>
    <w:rsid w:val="4192BA9B"/>
    <w:rsid w:val="41943ABA"/>
    <w:rsid w:val="4195F05E"/>
    <w:rsid w:val="41A82370"/>
    <w:rsid w:val="41A8BE5A"/>
    <w:rsid w:val="41AE0BA9"/>
    <w:rsid w:val="41B275C1"/>
    <w:rsid w:val="41B5C7C1"/>
    <w:rsid w:val="41B96BD3"/>
    <w:rsid w:val="41BCB5E5"/>
    <w:rsid w:val="41C27D2E"/>
    <w:rsid w:val="41C424A9"/>
    <w:rsid w:val="41C6F24E"/>
    <w:rsid w:val="41D8D328"/>
    <w:rsid w:val="41DD93B8"/>
    <w:rsid w:val="41DD95C8"/>
    <w:rsid w:val="41DE1D3F"/>
    <w:rsid w:val="41E365E3"/>
    <w:rsid w:val="41E8CC51"/>
    <w:rsid w:val="41E8F276"/>
    <w:rsid w:val="41EF4D54"/>
    <w:rsid w:val="41F2CD96"/>
    <w:rsid w:val="41FCC8BC"/>
    <w:rsid w:val="420C0D80"/>
    <w:rsid w:val="42108D24"/>
    <w:rsid w:val="42125E8F"/>
    <w:rsid w:val="42140791"/>
    <w:rsid w:val="421F8557"/>
    <w:rsid w:val="4229A304"/>
    <w:rsid w:val="422B637C"/>
    <w:rsid w:val="423C69D4"/>
    <w:rsid w:val="423F38D4"/>
    <w:rsid w:val="424F1984"/>
    <w:rsid w:val="42571585"/>
    <w:rsid w:val="425A453D"/>
    <w:rsid w:val="4264251E"/>
    <w:rsid w:val="42736D9A"/>
    <w:rsid w:val="4276AF80"/>
    <w:rsid w:val="428A62A9"/>
    <w:rsid w:val="429329F6"/>
    <w:rsid w:val="4293B11F"/>
    <w:rsid w:val="4295CF29"/>
    <w:rsid w:val="4296B106"/>
    <w:rsid w:val="429B7E25"/>
    <w:rsid w:val="429FACBC"/>
    <w:rsid w:val="42A0E069"/>
    <w:rsid w:val="42A68D20"/>
    <w:rsid w:val="42A70139"/>
    <w:rsid w:val="42B6F80B"/>
    <w:rsid w:val="42BD9105"/>
    <w:rsid w:val="42BE7258"/>
    <w:rsid w:val="42BF2330"/>
    <w:rsid w:val="42C15B22"/>
    <w:rsid w:val="42C93343"/>
    <w:rsid w:val="42CDBAF7"/>
    <w:rsid w:val="42CE4B81"/>
    <w:rsid w:val="42CF6F3C"/>
    <w:rsid w:val="42D0611B"/>
    <w:rsid w:val="42D51BF6"/>
    <w:rsid w:val="42D67CBC"/>
    <w:rsid w:val="42DB468E"/>
    <w:rsid w:val="42E23B34"/>
    <w:rsid w:val="42E245FE"/>
    <w:rsid w:val="42E392B3"/>
    <w:rsid w:val="42E550B0"/>
    <w:rsid w:val="42E6529A"/>
    <w:rsid w:val="42EA2EF2"/>
    <w:rsid w:val="42FFF586"/>
    <w:rsid w:val="43031B8E"/>
    <w:rsid w:val="43059424"/>
    <w:rsid w:val="430A837E"/>
    <w:rsid w:val="430E1F41"/>
    <w:rsid w:val="430E3077"/>
    <w:rsid w:val="43107984"/>
    <w:rsid w:val="431223A3"/>
    <w:rsid w:val="4314CC60"/>
    <w:rsid w:val="43182823"/>
    <w:rsid w:val="431E90DE"/>
    <w:rsid w:val="432C004A"/>
    <w:rsid w:val="432F05D1"/>
    <w:rsid w:val="43329F97"/>
    <w:rsid w:val="433719E8"/>
    <w:rsid w:val="43372E61"/>
    <w:rsid w:val="433B4A21"/>
    <w:rsid w:val="434C9DBE"/>
    <w:rsid w:val="43513C9A"/>
    <w:rsid w:val="43570897"/>
    <w:rsid w:val="435AA3B8"/>
    <w:rsid w:val="43670E47"/>
    <w:rsid w:val="436AF890"/>
    <w:rsid w:val="436FDD90"/>
    <w:rsid w:val="437959D5"/>
    <w:rsid w:val="4381D0E5"/>
    <w:rsid w:val="43857344"/>
    <w:rsid w:val="4386E612"/>
    <w:rsid w:val="438A1834"/>
    <w:rsid w:val="438EA9B4"/>
    <w:rsid w:val="4394F3F8"/>
    <w:rsid w:val="43975A0D"/>
    <w:rsid w:val="43999839"/>
    <w:rsid w:val="439C3892"/>
    <w:rsid w:val="439C57C3"/>
    <w:rsid w:val="439C6E2E"/>
    <w:rsid w:val="43A6D444"/>
    <w:rsid w:val="43A7C60E"/>
    <w:rsid w:val="43A928FE"/>
    <w:rsid w:val="43BB50D4"/>
    <w:rsid w:val="43BB864C"/>
    <w:rsid w:val="43BF776A"/>
    <w:rsid w:val="43C5630F"/>
    <w:rsid w:val="43DAAD05"/>
    <w:rsid w:val="43DCE1D0"/>
    <w:rsid w:val="43F77253"/>
    <w:rsid w:val="4408B78C"/>
    <w:rsid w:val="44091188"/>
    <w:rsid w:val="440D3BA9"/>
    <w:rsid w:val="44144EC3"/>
    <w:rsid w:val="44234E70"/>
    <w:rsid w:val="4424F97F"/>
    <w:rsid w:val="4426330A"/>
    <w:rsid w:val="4437FE3F"/>
    <w:rsid w:val="44383277"/>
    <w:rsid w:val="444350A2"/>
    <w:rsid w:val="4449D457"/>
    <w:rsid w:val="4459F48C"/>
    <w:rsid w:val="445A2B3E"/>
    <w:rsid w:val="4464A966"/>
    <w:rsid w:val="4468203A"/>
    <w:rsid w:val="446A99C8"/>
    <w:rsid w:val="446ABC36"/>
    <w:rsid w:val="4479E848"/>
    <w:rsid w:val="447F5779"/>
    <w:rsid w:val="4480099E"/>
    <w:rsid w:val="44847425"/>
    <w:rsid w:val="448646E8"/>
    <w:rsid w:val="44892524"/>
    <w:rsid w:val="44A9535D"/>
    <w:rsid w:val="44B51940"/>
    <w:rsid w:val="44BA976C"/>
    <w:rsid w:val="44C08DB5"/>
    <w:rsid w:val="44C463FF"/>
    <w:rsid w:val="44DA2134"/>
    <w:rsid w:val="44DD2EE3"/>
    <w:rsid w:val="44E7B1B8"/>
    <w:rsid w:val="44E89A54"/>
    <w:rsid w:val="44ECB411"/>
    <w:rsid w:val="44F4CD1C"/>
    <w:rsid w:val="4506979E"/>
    <w:rsid w:val="450E9942"/>
    <w:rsid w:val="451D6B09"/>
    <w:rsid w:val="45265D9F"/>
    <w:rsid w:val="453426CD"/>
    <w:rsid w:val="4534697E"/>
    <w:rsid w:val="4536E9A4"/>
    <w:rsid w:val="45383E8F"/>
    <w:rsid w:val="453D4160"/>
    <w:rsid w:val="453EE0AE"/>
    <w:rsid w:val="454090AF"/>
    <w:rsid w:val="4545E76E"/>
    <w:rsid w:val="4557B232"/>
    <w:rsid w:val="455C13BA"/>
    <w:rsid w:val="455CC008"/>
    <w:rsid w:val="45609725"/>
    <w:rsid w:val="45635F4C"/>
    <w:rsid w:val="4563DA94"/>
    <w:rsid w:val="45762F9A"/>
    <w:rsid w:val="457A5651"/>
    <w:rsid w:val="4591E5FF"/>
    <w:rsid w:val="459356B8"/>
    <w:rsid w:val="4594DE92"/>
    <w:rsid w:val="45955CB2"/>
    <w:rsid w:val="45A15A22"/>
    <w:rsid w:val="45A3E53C"/>
    <w:rsid w:val="45A54FE8"/>
    <w:rsid w:val="45AA2F39"/>
    <w:rsid w:val="45AD4835"/>
    <w:rsid w:val="45AE8E04"/>
    <w:rsid w:val="45C3E129"/>
    <w:rsid w:val="45C755A5"/>
    <w:rsid w:val="45D6CF3A"/>
    <w:rsid w:val="45DE4E68"/>
    <w:rsid w:val="45DF617F"/>
    <w:rsid w:val="45E5A4B8"/>
    <w:rsid w:val="45EDF2AC"/>
    <w:rsid w:val="45F45312"/>
    <w:rsid w:val="45F46039"/>
    <w:rsid w:val="46057CF3"/>
    <w:rsid w:val="460BD9C8"/>
    <w:rsid w:val="4617C5EF"/>
    <w:rsid w:val="461DF35C"/>
    <w:rsid w:val="461ED3CD"/>
    <w:rsid w:val="462622A8"/>
    <w:rsid w:val="46269D3A"/>
    <w:rsid w:val="4629BE37"/>
    <w:rsid w:val="462E0808"/>
    <w:rsid w:val="46461529"/>
    <w:rsid w:val="4648EB14"/>
    <w:rsid w:val="464AE911"/>
    <w:rsid w:val="465E863E"/>
    <w:rsid w:val="46692877"/>
    <w:rsid w:val="46693957"/>
    <w:rsid w:val="4671BBE9"/>
    <w:rsid w:val="46729680"/>
    <w:rsid w:val="467421CB"/>
    <w:rsid w:val="4677CACE"/>
    <w:rsid w:val="4678CC63"/>
    <w:rsid w:val="467E45F1"/>
    <w:rsid w:val="468158F0"/>
    <w:rsid w:val="468296A0"/>
    <w:rsid w:val="468AA0E0"/>
    <w:rsid w:val="468EAAEE"/>
    <w:rsid w:val="469228A8"/>
    <w:rsid w:val="469B8196"/>
    <w:rsid w:val="46A77E52"/>
    <w:rsid w:val="46B18E62"/>
    <w:rsid w:val="46B2FA8F"/>
    <w:rsid w:val="46B3B52A"/>
    <w:rsid w:val="46B84FFC"/>
    <w:rsid w:val="46B93C91"/>
    <w:rsid w:val="46BC6FA4"/>
    <w:rsid w:val="46C9E9AB"/>
    <w:rsid w:val="46CA14AF"/>
    <w:rsid w:val="46CED2F5"/>
    <w:rsid w:val="46D3E5E7"/>
    <w:rsid w:val="46D7D0B6"/>
    <w:rsid w:val="46D8571D"/>
    <w:rsid w:val="46D8E27F"/>
    <w:rsid w:val="46DE1460"/>
    <w:rsid w:val="46EA16F1"/>
    <w:rsid w:val="46EB8618"/>
    <w:rsid w:val="47018B32"/>
    <w:rsid w:val="47074167"/>
    <w:rsid w:val="4708A22C"/>
    <w:rsid w:val="470E1C89"/>
    <w:rsid w:val="4712195E"/>
    <w:rsid w:val="4719CDAA"/>
    <w:rsid w:val="4719E74F"/>
    <w:rsid w:val="4733C96C"/>
    <w:rsid w:val="47379EAC"/>
    <w:rsid w:val="47453E41"/>
    <w:rsid w:val="47491206"/>
    <w:rsid w:val="4757C006"/>
    <w:rsid w:val="4758BB64"/>
    <w:rsid w:val="476337D8"/>
    <w:rsid w:val="4763AD7A"/>
    <w:rsid w:val="4775AD63"/>
    <w:rsid w:val="477A725C"/>
    <w:rsid w:val="477B6423"/>
    <w:rsid w:val="4791E349"/>
    <w:rsid w:val="47984482"/>
    <w:rsid w:val="479ADFEC"/>
    <w:rsid w:val="47A029B0"/>
    <w:rsid w:val="47AFF6C7"/>
    <w:rsid w:val="47B00067"/>
    <w:rsid w:val="47B8C1D3"/>
    <w:rsid w:val="47CB1BD6"/>
    <w:rsid w:val="47D12194"/>
    <w:rsid w:val="47D5EC5E"/>
    <w:rsid w:val="47D94376"/>
    <w:rsid w:val="47DC7EDB"/>
    <w:rsid w:val="47E3DB2C"/>
    <w:rsid w:val="47F3BB03"/>
    <w:rsid w:val="47F5BBBB"/>
    <w:rsid w:val="47FAB55B"/>
    <w:rsid w:val="47FF12E3"/>
    <w:rsid w:val="47FFDCE6"/>
    <w:rsid w:val="4805444E"/>
    <w:rsid w:val="4805B120"/>
    <w:rsid w:val="4806F3C4"/>
    <w:rsid w:val="480E0F64"/>
    <w:rsid w:val="481195B6"/>
    <w:rsid w:val="48192A3D"/>
    <w:rsid w:val="481D4D2D"/>
    <w:rsid w:val="48222B56"/>
    <w:rsid w:val="482383E0"/>
    <w:rsid w:val="4833E655"/>
    <w:rsid w:val="4835E5DE"/>
    <w:rsid w:val="483C23EC"/>
    <w:rsid w:val="484B2C89"/>
    <w:rsid w:val="484B7529"/>
    <w:rsid w:val="484C9F5A"/>
    <w:rsid w:val="4850A8BB"/>
    <w:rsid w:val="4853FFF8"/>
    <w:rsid w:val="48551C89"/>
    <w:rsid w:val="48580CA6"/>
    <w:rsid w:val="48627236"/>
    <w:rsid w:val="4865E510"/>
    <w:rsid w:val="48673990"/>
    <w:rsid w:val="487327F0"/>
    <w:rsid w:val="4873D466"/>
    <w:rsid w:val="48766EDA"/>
    <w:rsid w:val="4879E8BC"/>
    <w:rsid w:val="487FE4D4"/>
    <w:rsid w:val="48810600"/>
    <w:rsid w:val="4884C5E9"/>
    <w:rsid w:val="4887CBA8"/>
    <w:rsid w:val="488FE69D"/>
    <w:rsid w:val="489383EF"/>
    <w:rsid w:val="4898E488"/>
    <w:rsid w:val="489A4548"/>
    <w:rsid w:val="489EE6DB"/>
    <w:rsid w:val="48A464DF"/>
    <w:rsid w:val="48A8BC72"/>
    <w:rsid w:val="48AA00B1"/>
    <w:rsid w:val="48ACE8BA"/>
    <w:rsid w:val="48AF5F0C"/>
    <w:rsid w:val="48C1FBFC"/>
    <w:rsid w:val="48C5F6F5"/>
    <w:rsid w:val="48DAFFEA"/>
    <w:rsid w:val="48DC57C6"/>
    <w:rsid w:val="48E821F4"/>
    <w:rsid w:val="48E8D0FA"/>
    <w:rsid w:val="48EF631C"/>
    <w:rsid w:val="48F3834D"/>
    <w:rsid w:val="48F48BC5"/>
    <w:rsid w:val="48F8277D"/>
    <w:rsid w:val="49006E3D"/>
    <w:rsid w:val="49040074"/>
    <w:rsid w:val="490E00C3"/>
    <w:rsid w:val="49173484"/>
    <w:rsid w:val="4919C7F5"/>
    <w:rsid w:val="4919E824"/>
    <w:rsid w:val="491CF16D"/>
    <w:rsid w:val="49258BB8"/>
    <w:rsid w:val="492B2324"/>
    <w:rsid w:val="4930C383"/>
    <w:rsid w:val="493849F5"/>
    <w:rsid w:val="4939C36A"/>
    <w:rsid w:val="493CC887"/>
    <w:rsid w:val="493EBCEB"/>
    <w:rsid w:val="494509CE"/>
    <w:rsid w:val="494694AD"/>
    <w:rsid w:val="494FF7C2"/>
    <w:rsid w:val="495DC36A"/>
    <w:rsid w:val="4960B993"/>
    <w:rsid w:val="49781630"/>
    <w:rsid w:val="497B1887"/>
    <w:rsid w:val="4981C17B"/>
    <w:rsid w:val="4982895C"/>
    <w:rsid w:val="4982D164"/>
    <w:rsid w:val="4991ED03"/>
    <w:rsid w:val="49940C3B"/>
    <w:rsid w:val="49A1E11B"/>
    <w:rsid w:val="49A2343D"/>
    <w:rsid w:val="49A5CFD8"/>
    <w:rsid w:val="49B05221"/>
    <w:rsid w:val="49B635BE"/>
    <w:rsid w:val="49B78E81"/>
    <w:rsid w:val="49BB5957"/>
    <w:rsid w:val="49BB7E0A"/>
    <w:rsid w:val="49BB8199"/>
    <w:rsid w:val="49BC75DF"/>
    <w:rsid w:val="49DCB82B"/>
    <w:rsid w:val="49E2DBFB"/>
    <w:rsid w:val="49E51A9D"/>
    <w:rsid w:val="49EBD4A8"/>
    <w:rsid w:val="49EC4FDA"/>
    <w:rsid w:val="49F0DD53"/>
    <w:rsid w:val="4A069B91"/>
    <w:rsid w:val="4A1217D0"/>
    <w:rsid w:val="4A133609"/>
    <w:rsid w:val="4A170484"/>
    <w:rsid w:val="4A1AABDE"/>
    <w:rsid w:val="4A1CC76B"/>
    <w:rsid w:val="4A1FFBCF"/>
    <w:rsid w:val="4A381C73"/>
    <w:rsid w:val="4A3AB1F3"/>
    <w:rsid w:val="4A3B9F5A"/>
    <w:rsid w:val="4A5B3598"/>
    <w:rsid w:val="4A5C9CE4"/>
    <w:rsid w:val="4A5F92C3"/>
    <w:rsid w:val="4A8473B5"/>
    <w:rsid w:val="4A8C17D3"/>
    <w:rsid w:val="4A90266D"/>
    <w:rsid w:val="4A9C3E9E"/>
    <w:rsid w:val="4AC2CC1C"/>
    <w:rsid w:val="4AC5C726"/>
    <w:rsid w:val="4AC7FEBA"/>
    <w:rsid w:val="4AD8ECA9"/>
    <w:rsid w:val="4AE72FFC"/>
    <w:rsid w:val="4AEBA198"/>
    <w:rsid w:val="4AED8ADE"/>
    <w:rsid w:val="4AF4C757"/>
    <w:rsid w:val="4AF59818"/>
    <w:rsid w:val="4AF66434"/>
    <w:rsid w:val="4AF8B40F"/>
    <w:rsid w:val="4AFB70CB"/>
    <w:rsid w:val="4B05A3AF"/>
    <w:rsid w:val="4B0FE578"/>
    <w:rsid w:val="4B1D2CC2"/>
    <w:rsid w:val="4B1D3CE5"/>
    <w:rsid w:val="4B20E70F"/>
    <w:rsid w:val="4B239D17"/>
    <w:rsid w:val="4B2BA7B7"/>
    <w:rsid w:val="4B31B41A"/>
    <w:rsid w:val="4B333986"/>
    <w:rsid w:val="4B3B9360"/>
    <w:rsid w:val="4B4F3EA9"/>
    <w:rsid w:val="4B57DCC7"/>
    <w:rsid w:val="4B58C19D"/>
    <w:rsid w:val="4B5A6F95"/>
    <w:rsid w:val="4B5C1197"/>
    <w:rsid w:val="4B68FE7E"/>
    <w:rsid w:val="4B73DC66"/>
    <w:rsid w:val="4B756CCA"/>
    <w:rsid w:val="4B842A7A"/>
    <w:rsid w:val="4B8C136E"/>
    <w:rsid w:val="4B8CADB4"/>
    <w:rsid w:val="4B99C53E"/>
    <w:rsid w:val="4B9D4E02"/>
    <w:rsid w:val="4BA19D1C"/>
    <w:rsid w:val="4BA3AB02"/>
    <w:rsid w:val="4BAC3C13"/>
    <w:rsid w:val="4BAD04C9"/>
    <w:rsid w:val="4BB0E30C"/>
    <w:rsid w:val="4BB6B657"/>
    <w:rsid w:val="4BBBCC30"/>
    <w:rsid w:val="4BBF0F3E"/>
    <w:rsid w:val="4BC15043"/>
    <w:rsid w:val="4BC2BC5A"/>
    <w:rsid w:val="4BC6EAF9"/>
    <w:rsid w:val="4BC8AC5F"/>
    <w:rsid w:val="4BCA580A"/>
    <w:rsid w:val="4BCAB437"/>
    <w:rsid w:val="4BCD9317"/>
    <w:rsid w:val="4BD99491"/>
    <w:rsid w:val="4BDC02B5"/>
    <w:rsid w:val="4BE78918"/>
    <w:rsid w:val="4BED7255"/>
    <w:rsid w:val="4BF74C16"/>
    <w:rsid w:val="4BFBF728"/>
    <w:rsid w:val="4BFFBD19"/>
    <w:rsid w:val="4C0323F7"/>
    <w:rsid w:val="4C0D7484"/>
    <w:rsid w:val="4C29380E"/>
    <w:rsid w:val="4C360B2E"/>
    <w:rsid w:val="4C3BA136"/>
    <w:rsid w:val="4C53BBC2"/>
    <w:rsid w:val="4C54F3CE"/>
    <w:rsid w:val="4C599E30"/>
    <w:rsid w:val="4C60663F"/>
    <w:rsid w:val="4C6EF22F"/>
    <w:rsid w:val="4C6FEAB7"/>
    <w:rsid w:val="4C70C2A1"/>
    <w:rsid w:val="4C7D872B"/>
    <w:rsid w:val="4C881A11"/>
    <w:rsid w:val="4C8D7289"/>
    <w:rsid w:val="4CA3F7D3"/>
    <w:rsid w:val="4CA58612"/>
    <w:rsid w:val="4CB7BF5A"/>
    <w:rsid w:val="4CB892FA"/>
    <w:rsid w:val="4CC0A13E"/>
    <w:rsid w:val="4CD330A1"/>
    <w:rsid w:val="4CE2B839"/>
    <w:rsid w:val="4CEA858A"/>
    <w:rsid w:val="4CF020A3"/>
    <w:rsid w:val="4CF6F6F8"/>
    <w:rsid w:val="4CF842A2"/>
    <w:rsid w:val="4CF907EB"/>
    <w:rsid w:val="4D04CEDF"/>
    <w:rsid w:val="4D0CBB94"/>
    <w:rsid w:val="4D1325C3"/>
    <w:rsid w:val="4D13A811"/>
    <w:rsid w:val="4D143E54"/>
    <w:rsid w:val="4D1BFBD5"/>
    <w:rsid w:val="4D1D1B81"/>
    <w:rsid w:val="4D26BD08"/>
    <w:rsid w:val="4D30EB5D"/>
    <w:rsid w:val="4D3210DD"/>
    <w:rsid w:val="4D3F7B63"/>
    <w:rsid w:val="4D3FAE51"/>
    <w:rsid w:val="4D4A9F4F"/>
    <w:rsid w:val="4D53E539"/>
    <w:rsid w:val="4D545A73"/>
    <w:rsid w:val="4D641589"/>
    <w:rsid w:val="4D6A4BB8"/>
    <w:rsid w:val="4D7BA7F1"/>
    <w:rsid w:val="4D8BD930"/>
    <w:rsid w:val="4D8EB5E1"/>
    <w:rsid w:val="4D946288"/>
    <w:rsid w:val="4D98CD72"/>
    <w:rsid w:val="4D9EF458"/>
    <w:rsid w:val="4DA1E9A0"/>
    <w:rsid w:val="4DA6D059"/>
    <w:rsid w:val="4DA7AD47"/>
    <w:rsid w:val="4DA98837"/>
    <w:rsid w:val="4DAAE2BA"/>
    <w:rsid w:val="4DC1077A"/>
    <w:rsid w:val="4DC5DEDE"/>
    <w:rsid w:val="4DCF48AF"/>
    <w:rsid w:val="4DD0370F"/>
    <w:rsid w:val="4DEAA5A7"/>
    <w:rsid w:val="4DF7E3AC"/>
    <w:rsid w:val="4DFA49C0"/>
    <w:rsid w:val="4E10BD55"/>
    <w:rsid w:val="4E12217A"/>
    <w:rsid w:val="4E12BF0B"/>
    <w:rsid w:val="4E14D1D4"/>
    <w:rsid w:val="4E21C0E8"/>
    <w:rsid w:val="4E2942EA"/>
    <w:rsid w:val="4E2CEE22"/>
    <w:rsid w:val="4E2D31C3"/>
    <w:rsid w:val="4E2DBA59"/>
    <w:rsid w:val="4E32FBA5"/>
    <w:rsid w:val="4E33A948"/>
    <w:rsid w:val="4E361349"/>
    <w:rsid w:val="4E36C30E"/>
    <w:rsid w:val="4E4C6391"/>
    <w:rsid w:val="4E53B3E9"/>
    <w:rsid w:val="4E559193"/>
    <w:rsid w:val="4E5633CC"/>
    <w:rsid w:val="4E564287"/>
    <w:rsid w:val="4E568155"/>
    <w:rsid w:val="4E6BC335"/>
    <w:rsid w:val="4E6CCD40"/>
    <w:rsid w:val="4E7A3F83"/>
    <w:rsid w:val="4E8EEF2D"/>
    <w:rsid w:val="4E8F7D89"/>
    <w:rsid w:val="4E99BAA9"/>
    <w:rsid w:val="4EA2EE63"/>
    <w:rsid w:val="4EB225FA"/>
    <w:rsid w:val="4EB37A1A"/>
    <w:rsid w:val="4EC1BF89"/>
    <w:rsid w:val="4EC44E76"/>
    <w:rsid w:val="4EC49739"/>
    <w:rsid w:val="4ECA0639"/>
    <w:rsid w:val="4ECD3E7D"/>
    <w:rsid w:val="4ED4945F"/>
    <w:rsid w:val="4ED93DDE"/>
    <w:rsid w:val="4EDCDC8D"/>
    <w:rsid w:val="4EDDDF8E"/>
    <w:rsid w:val="4EDEBE9D"/>
    <w:rsid w:val="4EE93B96"/>
    <w:rsid w:val="4EEA138E"/>
    <w:rsid w:val="4EEC48C2"/>
    <w:rsid w:val="4EED59A1"/>
    <w:rsid w:val="4EEFB566"/>
    <w:rsid w:val="4EF36CF2"/>
    <w:rsid w:val="4EF520C9"/>
    <w:rsid w:val="4F028B45"/>
    <w:rsid w:val="4F02C573"/>
    <w:rsid w:val="4F08103A"/>
    <w:rsid w:val="4F17054D"/>
    <w:rsid w:val="4F1928E4"/>
    <w:rsid w:val="4F38ACC2"/>
    <w:rsid w:val="4F4C3985"/>
    <w:rsid w:val="4F53ED16"/>
    <w:rsid w:val="4F5829E2"/>
    <w:rsid w:val="4F5884A1"/>
    <w:rsid w:val="4F590A42"/>
    <w:rsid w:val="4F5AFDD4"/>
    <w:rsid w:val="4F6A6DF2"/>
    <w:rsid w:val="4F7878D2"/>
    <w:rsid w:val="4F7AD6BC"/>
    <w:rsid w:val="4F847B13"/>
    <w:rsid w:val="4F8561BC"/>
    <w:rsid w:val="4F8687A0"/>
    <w:rsid w:val="4F974DF7"/>
    <w:rsid w:val="4F9D66BA"/>
    <w:rsid w:val="4F9F552C"/>
    <w:rsid w:val="4FA276A5"/>
    <w:rsid w:val="4FA9D775"/>
    <w:rsid w:val="4FAA0A2A"/>
    <w:rsid w:val="4FAC0A0B"/>
    <w:rsid w:val="4FB90750"/>
    <w:rsid w:val="4FBC3201"/>
    <w:rsid w:val="4FBFE907"/>
    <w:rsid w:val="4FC4D5A2"/>
    <w:rsid w:val="4FC726CC"/>
    <w:rsid w:val="4FC87EB9"/>
    <w:rsid w:val="4FD1B221"/>
    <w:rsid w:val="4FD98046"/>
    <w:rsid w:val="4FDF0D7A"/>
    <w:rsid w:val="4FE0707C"/>
    <w:rsid w:val="4FF212E8"/>
    <w:rsid w:val="4FF3A063"/>
    <w:rsid w:val="4FF656E7"/>
    <w:rsid w:val="4FFD1ABE"/>
    <w:rsid w:val="50079396"/>
    <w:rsid w:val="500F54ED"/>
    <w:rsid w:val="501452B4"/>
    <w:rsid w:val="501E9D65"/>
    <w:rsid w:val="502276D9"/>
    <w:rsid w:val="50254FB5"/>
    <w:rsid w:val="503C9872"/>
    <w:rsid w:val="50751170"/>
    <w:rsid w:val="507BA0FE"/>
    <w:rsid w:val="5080E4DC"/>
    <w:rsid w:val="50829147"/>
    <w:rsid w:val="5086C93B"/>
    <w:rsid w:val="509BC87D"/>
    <w:rsid w:val="50A007B0"/>
    <w:rsid w:val="50A14C38"/>
    <w:rsid w:val="50A26640"/>
    <w:rsid w:val="50A3AFFE"/>
    <w:rsid w:val="50A53DE3"/>
    <w:rsid w:val="50AA0C6B"/>
    <w:rsid w:val="50ADD4EA"/>
    <w:rsid w:val="50B0A47D"/>
    <w:rsid w:val="50B461B9"/>
    <w:rsid w:val="50BAA173"/>
    <w:rsid w:val="50BF4BF8"/>
    <w:rsid w:val="50CBDE68"/>
    <w:rsid w:val="50D15ACA"/>
    <w:rsid w:val="50DEC145"/>
    <w:rsid w:val="50E0AAF6"/>
    <w:rsid w:val="50E0CD63"/>
    <w:rsid w:val="50E1E875"/>
    <w:rsid w:val="50E4E497"/>
    <w:rsid w:val="50E5332F"/>
    <w:rsid w:val="50E9429A"/>
    <w:rsid w:val="50ECCFEF"/>
    <w:rsid w:val="50F32C62"/>
    <w:rsid w:val="50F9BFF6"/>
    <w:rsid w:val="50FAC5B8"/>
    <w:rsid w:val="50FCA931"/>
    <w:rsid w:val="51066B4E"/>
    <w:rsid w:val="5109EC05"/>
    <w:rsid w:val="511D9BC4"/>
    <w:rsid w:val="512D7AE5"/>
    <w:rsid w:val="51331E58"/>
    <w:rsid w:val="513D25AD"/>
    <w:rsid w:val="5142B68A"/>
    <w:rsid w:val="51465AE8"/>
    <w:rsid w:val="514DC0FA"/>
    <w:rsid w:val="515E7D0A"/>
    <w:rsid w:val="5160A603"/>
    <w:rsid w:val="5161AB23"/>
    <w:rsid w:val="51670B93"/>
    <w:rsid w:val="51803C2E"/>
    <w:rsid w:val="5182FB16"/>
    <w:rsid w:val="518AF4B6"/>
    <w:rsid w:val="518BD1FF"/>
    <w:rsid w:val="518DE349"/>
    <w:rsid w:val="5198D7AC"/>
    <w:rsid w:val="519C1586"/>
    <w:rsid w:val="519C85AA"/>
    <w:rsid w:val="519CC33D"/>
    <w:rsid w:val="519F1E20"/>
    <w:rsid w:val="519F6C39"/>
    <w:rsid w:val="519F7BDF"/>
    <w:rsid w:val="519FA6E6"/>
    <w:rsid w:val="51A363F7"/>
    <w:rsid w:val="51B22DEA"/>
    <w:rsid w:val="51C38E78"/>
    <w:rsid w:val="51C3D2E4"/>
    <w:rsid w:val="51C79BDF"/>
    <w:rsid w:val="51C85B99"/>
    <w:rsid w:val="51CD5387"/>
    <w:rsid w:val="51D0C8EE"/>
    <w:rsid w:val="51EBBF7A"/>
    <w:rsid w:val="51F06D38"/>
    <w:rsid w:val="51F08CA4"/>
    <w:rsid w:val="51F9C429"/>
    <w:rsid w:val="5201A6FB"/>
    <w:rsid w:val="52020F39"/>
    <w:rsid w:val="520D3E9D"/>
    <w:rsid w:val="521BC10D"/>
    <w:rsid w:val="521D4CBB"/>
    <w:rsid w:val="521DCA89"/>
    <w:rsid w:val="522DBC4C"/>
    <w:rsid w:val="523E4340"/>
    <w:rsid w:val="5241E5CF"/>
    <w:rsid w:val="5244AC97"/>
    <w:rsid w:val="52502487"/>
    <w:rsid w:val="5252B41E"/>
    <w:rsid w:val="525CBE15"/>
    <w:rsid w:val="525FFA80"/>
    <w:rsid w:val="52651E66"/>
    <w:rsid w:val="5288826B"/>
    <w:rsid w:val="528B519A"/>
    <w:rsid w:val="5296881F"/>
    <w:rsid w:val="529A334B"/>
    <w:rsid w:val="529C9ECB"/>
    <w:rsid w:val="52AE44EA"/>
    <w:rsid w:val="52BA3691"/>
    <w:rsid w:val="52BF52F6"/>
    <w:rsid w:val="52C37514"/>
    <w:rsid w:val="52C8A90B"/>
    <w:rsid w:val="52CBA4B0"/>
    <w:rsid w:val="52D437F0"/>
    <w:rsid w:val="52D5C777"/>
    <w:rsid w:val="52DE33B3"/>
    <w:rsid w:val="52E29925"/>
    <w:rsid w:val="52EB1D28"/>
    <w:rsid w:val="52F6661B"/>
    <w:rsid w:val="52F9A03F"/>
    <w:rsid w:val="5300CA24"/>
    <w:rsid w:val="5303B07C"/>
    <w:rsid w:val="5308855B"/>
    <w:rsid w:val="53093ECB"/>
    <w:rsid w:val="5315DC6A"/>
    <w:rsid w:val="5316E321"/>
    <w:rsid w:val="531BCBFB"/>
    <w:rsid w:val="531BEDE6"/>
    <w:rsid w:val="531D1116"/>
    <w:rsid w:val="531F9525"/>
    <w:rsid w:val="53218606"/>
    <w:rsid w:val="5327D78F"/>
    <w:rsid w:val="5329B3AA"/>
    <w:rsid w:val="5329D0F2"/>
    <w:rsid w:val="532C62C0"/>
    <w:rsid w:val="5338E206"/>
    <w:rsid w:val="533B4C40"/>
    <w:rsid w:val="533CDD0B"/>
    <w:rsid w:val="53458E42"/>
    <w:rsid w:val="5347C508"/>
    <w:rsid w:val="53494835"/>
    <w:rsid w:val="5349ACE8"/>
    <w:rsid w:val="534A6535"/>
    <w:rsid w:val="53632604"/>
    <w:rsid w:val="536E046F"/>
    <w:rsid w:val="53705A49"/>
    <w:rsid w:val="537213EC"/>
    <w:rsid w:val="538BBC79"/>
    <w:rsid w:val="538F7D9F"/>
    <w:rsid w:val="53905C52"/>
    <w:rsid w:val="53A2AE02"/>
    <w:rsid w:val="53B3FA8A"/>
    <w:rsid w:val="53C63515"/>
    <w:rsid w:val="53C7ED79"/>
    <w:rsid w:val="53CA5CE5"/>
    <w:rsid w:val="53D94EDD"/>
    <w:rsid w:val="53DA0734"/>
    <w:rsid w:val="53DE74DD"/>
    <w:rsid w:val="53E0963B"/>
    <w:rsid w:val="53E42884"/>
    <w:rsid w:val="53E429AE"/>
    <w:rsid w:val="53E575AC"/>
    <w:rsid w:val="53E9B200"/>
    <w:rsid w:val="53F08303"/>
    <w:rsid w:val="53FD0315"/>
    <w:rsid w:val="540310CE"/>
    <w:rsid w:val="5406F73C"/>
    <w:rsid w:val="5408A64D"/>
    <w:rsid w:val="54100860"/>
    <w:rsid w:val="5415850B"/>
    <w:rsid w:val="541B5534"/>
    <w:rsid w:val="541D769D"/>
    <w:rsid w:val="54209302"/>
    <w:rsid w:val="5424E940"/>
    <w:rsid w:val="54259639"/>
    <w:rsid w:val="5426F897"/>
    <w:rsid w:val="543449F3"/>
    <w:rsid w:val="5436F7FD"/>
    <w:rsid w:val="5437E6B1"/>
    <w:rsid w:val="543C9FB7"/>
    <w:rsid w:val="5444F974"/>
    <w:rsid w:val="5449DCB0"/>
    <w:rsid w:val="545035F7"/>
    <w:rsid w:val="5451CD5B"/>
    <w:rsid w:val="5458F564"/>
    <w:rsid w:val="545B2357"/>
    <w:rsid w:val="545C06AA"/>
    <w:rsid w:val="545DEE5B"/>
    <w:rsid w:val="5460F78E"/>
    <w:rsid w:val="54648A63"/>
    <w:rsid w:val="546561E9"/>
    <w:rsid w:val="546F6921"/>
    <w:rsid w:val="54740BB8"/>
    <w:rsid w:val="547AD2A4"/>
    <w:rsid w:val="548098AB"/>
    <w:rsid w:val="54819C1E"/>
    <w:rsid w:val="54826C17"/>
    <w:rsid w:val="5489D74F"/>
    <w:rsid w:val="549EAC55"/>
    <w:rsid w:val="54A30ADD"/>
    <w:rsid w:val="54AA7A64"/>
    <w:rsid w:val="54AAD869"/>
    <w:rsid w:val="54B465FC"/>
    <w:rsid w:val="54B48DB7"/>
    <w:rsid w:val="54B6A68C"/>
    <w:rsid w:val="54B766CD"/>
    <w:rsid w:val="54C01042"/>
    <w:rsid w:val="54CA3157"/>
    <w:rsid w:val="54CCC45D"/>
    <w:rsid w:val="54CD7191"/>
    <w:rsid w:val="54D6BEE2"/>
    <w:rsid w:val="54DDAEF7"/>
    <w:rsid w:val="54E427DF"/>
    <w:rsid w:val="54E493C2"/>
    <w:rsid w:val="54E9CEAC"/>
    <w:rsid w:val="54ED2B8F"/>
    <w:rsid w:val="54FCACB4"/>
    <w:rsid w:val="550AE394"/>
    <w:rsid w:val="55144243"/>
    <w:rsid w:val="551551EB"/>
    <w:rsid w:val="5520DFDA"/>
    <w:rsid w:val="55286781"/>
    <w:rsid w:val="552925CC"/>
    <w:rsid w:val="55381361"/>
    <w:rsid w:val="553B3933"/>
    <w:rsid w:val="55427ED2"/>
    <w:rsid w:val="55456A4B"/>
    <w:rsid w:val="556F3AC9"/>
    <w:rsid w:val="557E6752"/>
    <w:rsid w:val="55807E3F"/>
    <w:rsid w:val="558A111F"/>
    <w:rsid w:val="5592BA5D"/>
    <w:rsid w:val="5599C2EF"/>
    <w:rsid w:val="5599C785"/>
    <w:rsid w:val="55A08605"/>
    <w:rsid w:val="55A4EB1B"/>
    <w:rsid w:val="55B4538F"/>
    <w:rsid w:val="55B9A92D"/>
    <w:rsid w:val="55BB5F4E"/>
    <w:rsid w:val="55BBECF1"/>
    <w:rsid w:val="55C0CAC8"/>
    <w:rsid w:val="55C63121"/>
    <w:rsid w:val="55C643E2"/>
    <w:rsid w:val="55CDB85A"/>
    <w:rsid w:val="55D01A54"/>
    <w:rsid w:val="55D87018"/>
    <w:rsid w:val="55DDDAC8"/>
    <w:rsid w:val="55E2CA6A"/>
    <w:rsid w:val="55E9AAEF"/>
    <w:rsid w:val="55ECF930"/>
    <w:rsid w:val="55ED8357"/>
    <w:rsid w:val="55F1A277"/>
    <w:rsid w:val="55F28200"/>
    <w:rsid w:val="55F5032E"/>
    <w:rsid w:val="56066C9D"/>
    <w:rsid w:val="56088184"/>
    <w:rsid w:val="560C379C"/>
    <w:rsid w:val="56185B0B"/>
    <w:rsid w:val="561918F9"/>
    <w:rsid w:val="56238CD6"/>
    <w:rsid w:val="562AFFD3"/>
    <w:rsid w:val="562D12F5"/>
    <w:rsid w:val="562E76F3"/>
    <w:rsid w:val="5636AAF1"/>
    <w:rsid w:val="5638749E"/>
    <w:rsid w:val="563D490C"/>
    <w:rsid w:val="5646488A"/>
    <w:rsid w:val="5649CB57"/>
    <w:rsid w:val="5654646B"/>
    <w:rsid w:val="5654A622"/>
    <w:rsid w:val="5655C673"/>
    <w:rsid w:val="56567169"/>
    <w:rsid w:val="56692090"/>
    <w:rsid w:val="56699554"/>
    <w:rsid w:val="5669F2AC"/>
    <w:rsid w:val="566E380B"/>
    <w:rsid w:val="567939B3"/>
    <w:rsid w:val="567A7CC9"/>
    <w:rsid w:val="567C15DA"/>
    <w:rsid w:val="567F3E9B"/>
    <w:rsid w:val="56841518"/>
    <w:rsid w:val="56841E77"/>
    <w:rsid w:val="5686B618"/>
    <w:rsid w:val="56987D15"/>
    <w:rsid w:val="56A1838A"/>
    <w:rsid w:val="56ADCA66"/>
    <w:rsid w:val="56AEEDB2"/>
    <w:rsid w:val="56B36F42"/>
    <w:rsid w:val="56BCA836"/>
    <w:rsid w:val="56C3DD47"/>
    <w:rsid w:val="56CD7C6F"/>
    <w:rsid w:val="56CF605B"/>
    <w:rsid w:val="56D3E3C2"/>
    <w:rsid w:val="56D56C65"/>
    <w:rsid w:val="56DF8227"/>
    <w:rsid w:val="56E89784"/>
    <w:rsid w:val="56F4AEFB"/>
    <w:rsid w:val="56F88475"/>
    <w:rsid w:val="56FB2AE3"/>
    <w:rsid w:val="56FBB9F5"/>
    <w:rsid w:val="5701328D"/>
    <w:rsid w:val="57195E7F"/>
    <w:rsid w:val="571A3DA4"/>
    <w:rsid w:val="5725C0BC"/>
    <w:rsid w:val="572CFE5D"/>
    <w:rsid w:val="5732D892"/>
    <w:rsid w:val="573597E6"/>
    <w:rsid w:val="573873EE"/>
    <w:rsid w:val="5744135D"/>
    <w:rsid w:val="5749822A"/>
    <w:rsid w:val="5753A426"/>
    <w:rsid w:val="575ED2BE"/>
    <w:rsid w:val="5765B18D"/>
    <w:rsid w:val="576AAB1D"/>
    <w:rsid w:val="57792646"/>
    <w:rsid w:val="5788D537"/>
    <w:rsid w:val="578B2E5A"/>
    <w:rsid w:val="57AD33EA"/>
    <w:rsid w:val="57B84F17"/>
    <w:rsid w:val="57C4824B"/>
    <w:rsid w:val="57CC7F99"/>
    <w:rsid w:val="57D3648E"/>
    <w:rsid w:val="57D50B3C"/>
    <w:rsid w:val="57DE0EBF"/>
    <w:rsid w:val="57ECE4C3"/>
    <w:rsid w:val="57F13C1E"/>
    <w:rsid w:val="57F1E3AC"/>
    <w:rsid w:val="57F41C32"/>
    <w:rsid w:val="57FC7273"/>
    <w:rsid w:val="57FC984A"/>
    <w:rsid w:val="57FD24CD"/>
    <w:rsid w:val="5800CDA4"/>
    <w:rsid w:val="581402D7"/>
    <w:rsid w:val="58272987"/>
    <w:rsid w:val="582C54FA"/>
    <w:rsid w:val="5831DF5B"/>
    <w:rsid w:val="5832E476"/>
    <w:rsid w:val="58348235"/>
    <w:rsid w:val="583A123C"/>
    <w:rsid w:val="583BD153"/>
    <w:rsid w:val="583D53EB"/>
    <w:rsid w:val="584E4E0C"/>
    <w:rsid w:val="584E922C"/>
    <w:rsid w:val="584F3AA6"/>
    <w:rsid w:val="584F5BE9"/>
    <w:rsid w:val="5865E9A0"/>
    <w:rsid w:val="586B7013"/>
    <w:rsid w:val="58702BD5"/>
    <w:rsid w:val="5877359C"/>
    <w:rsid w:val="587EDAE2"/>
    <w:rsid w:val="58806E5B"/>
    <w:rsid w:val="588863D9"/>
    <w:rsid w:val="588CBEFA"/>
    <w:rsid w:val="588FA885"/>
    <w:rsid w:val="58907F5C"/>
    <w:rsid w:val="58917093"/>
    <w:rsid w:val="5894802A"/>
    <w:rsid w:val="589C7694"/>
    <w:rsid w:val="589E019B"/>
    <w:rsid w:val="58A5B18B"/>
    <w:rsid w:val="58A69A1E"/>
    <w:rsid w:val="58A6AB4B"/>
    <w:rsid w:val="58A96066"/>
    <w:rsid w:val="58B179A3"/>
    <w:rsid w:val="58B3EA25"/>
    <w:rsid w:val="58BAE5B7"/>
    <w:rsid w:val="58C36746"/>
    <w:rsid w:val="58CD65C7"/>
    <w:rsid w:val="58D6F04D"/>
    <w:rsid w:val="58DADF74"/>
    <w:rsid w:val="58DD1F94"/>
    <w:rsid w:val="58E5D7D2"/>
    <w:rsid w:val="58EA1176"/>
    <w:rsid w:val="58EA7B69"/>
    <w:rsid w:val="59163830"/>
    <w:rsid w:val="591F8AB8"/>
    <w:rsid w:val="59227F10"/>
    <w:rsid w:val="592691C4"/>
    <w:rsid w:val="592FF4AC"/>
    <w:rsid w:val="593D86E9"/>
    <w:rsid w:val="59436CE9"/>
    <w:rsid w:val="5947EF8C"/>
    <w:rsid w:val="594C8F5E"/>
    <w:rsid w:val="595568CF"/>
    <w:rsid w:val="59584386"/>
    <w:rsid w:val="595A29FA"/>
    <w:rsid w:val="595B0DCB"/>
    <w:rsid w:val="5964E5DE"/>
    <w:rsid w:val="5969E218"/>
    <w:rsid w:val="596A6716"/>
    <w:rsid w:val="596B6E50"/>
    <w:rsid w:val="596E0912"/>
    <w:rsid w:val="596E3721"/>
    <w:rsid w:val="597E5442"/>
    <w:rsid w:val="59805597"/>
    <w:rsid w:val="5998E9C7"/>
    <w:rsid w:val="599DA71A"/>
    <w:rsid w:val="59A3B195"/>
    <w:rsid w:val="59A3CBD1"/>
    <w:rsid w:val="59A3DFEA"/>
    <w:rsid w:val="59A5AF2E"/>
    <w:rsid w:val="59A6D02D"/>
    <w:rsid w:val="59A7978F"/>
    <w:rsid w:val="59A979A4"/>
    <w:rsid w:val="59ABD5AD"/>
    <w:rsid w:val="59AE20C7"/>
    <w:rsid w:val="59B44987"/>
    <w:rsid w:val="59B66C08"/>
    <w:rsid w:val="59C582CD"/>
    <w:rsid w:val="59C596E3"/>
    <w:rsid w:val="59C79220"/>
    <w:rsid w:val="59C79BC0"/>
    <w:rsid w:val="59C95DC5"/>
    <w:rsid w:val="59CFB005"/>
    <w:rsid w:val="59D698A1"/>
    <w:rsid w:val="59DB8E99"/>
    <w:rsid w:val="59DFF3B2"/>
    <w:rsid w:val="59E81520"/>
    <w:rsid w:val="59E83084"/>
    <w:rsid w:val="59ECA7F6"/>
    <w:rsid w:val="59FCCFDE"/>
    <w:rsid w:val="59FF9E9F"/>
    <w:rsid w:val="5A00E04D"/>
    <w:rsid w:val="5A074074"/>
    <w:rsid w:val="5A08CDD3"/>
    <w:rsid w:val="5A0CAADE"/>
    <w:rsid w:val="5A115733"/>
    <w:rsid w:val="5A173555"/>
    <w:rsid w:val="5A1BF085"/>
    <w:rsid w:val="5A28982F"/>
    <w:rsid w:val="5A297813"/>
    <w:rsid w:val="5A2EB433"/>
    <w:rsid w:val="5A2FD279"/>
    <w:rsid w:val="5A311008"/>
    <w:rsid w:val="5A3B61FB"/>
    <w:rsid w:val="5A426A7F"/>
    <w:rsid w:val="5A4C3BC3"/>
    <w:rsid w:val="5A4DF6BB"/>
    <w:rsid w:val="5A51D875"/>
    <w:rsid w:val="5A5F145C"/>
    <w:rsid w:val="5A5FB8CA"/>
    <w:rsid w:val="5A60A9C7"/>
    <w:rsid w:val="5A654A00"/>
    <w:rsid w:val="5A7245F2"/>
    <w:rsid w:val="5A72E40F"/>
    <w:rsid w:val="5A7770F1"/>
    <w:rsid w:val="5A785C3E"/>
    <w:rsid w:val="5A79E798"/>
    <w:rsid w:val="5A8072DA"/>
    <w:rsid w:val="5A831485"/>
    <w:rsid w:val="5A84ED36"/>
    <w:rsid w:val="5A8C7B87"/>
    <w:rsid w:val="5A920C36"/>
    <w:rsid w:val="5AA38D7E"/>
    <w:rsid w:val="5AA5F7EA"/>
    <w:rsid w:val="5AB79C33"/>
    <w:rsid w:val="5AB8CDA3"/>
    <w:rsid w:val="5AC01F7A"/>
    <w:rsid w:val="5AD1E166"/>
    <w:rsid w:val="5AD21952"/>
    <w:rsid w:val="5AE0B496"/>
    <w:rsid w:val="5AE8295D"/>
    <w:rsid w:val="5AF10AC6"/>
    <w:rsid w:val="5AF258BD"/>
    <w:rsid w:val="5AF6EFDC"/>
    <w:rsid w:val="5AF6FA13"/>
    <w:rsid w:val="5B09B2E8"/>
    <w:rsid w:val="5B0EED0C"/>
    <w:rsid w:val="5B1DD682"/>
    <w:rsid w:val="5B28B5FE"/>
    <w:rsid w:val="5B2BDFA2"/>
    <w:rsid w:val="5B31F302"/>
    <w:rsid w:val="5B3F81F6"/>
    <w:rsid w:val="5B63FD74"/>
    <w:rsid w:val="5B78D7F2"/>
    <w:rsid w:val="5B7CDE33"/>
    <w:rsid w:val="5B7EFE4A"/>
    <w:rsid w:val="5B84D4F6"/>
    <w:rsid w:val="5B87CA81"/>
    <w:rsid w:val="5B8A2F2C"/>
    <w:rsid w:val="5B8FE47D"/>
    <w:rsid w:val="5B916173"/>
    <w:rsid w:val="5BB47D58"/>
    <w:rsid w:val="5BBAD61A"/>
    <w:rsid w:val="5BBCD7D1"/>
    <w:rsid w:val="5BBF39A0"/>
    <w:rsid w:val="5BBFC137"/>
    <w:rsid w:val="5BBFD444"/>
    <w:rsid w:val="5BC3E59E"/>
    <w:rsid w:val="5BCBB6BA"/>
    <w:rsid w:val="5BD2A799"/>
    <w:rsid w:val="5BD387C7"/>
    <w:rsid w:val="5BD3CFC6"/>
    <w:rsid w:val="5BD803FB"/>
    <w:rsid w:val="5BDE5D55"/>
    <w:rsid w:val="5BE4FDE7"/>
    <w:rsid w:val="5BF0A783"/>
    <w:rsid w:val="5BF3811C"/>
    <w:rsid w:val="5BF83E96"/>
    <w:rsid w:val="5BFAE4BD"/>
    <w:rsid w:val="5BFB94E8"/>
    <w:rsid w:val="5BFEC8AE"/>
    <w:rsid w:val="5BFF3861"/>
    <w:rsid w:val="5C050B6B"/>
    <w:rsid w:val="5C06D168"/>
    <w:rsid w:val="5C0814FA"/>
    <w:rsid w:val="5C16862C"/>
    <w:rsid w:val="5C17F612"/>
    <w:rsid w:val="5C18374F"/>
    <w:rsid w:val="5C1885AE"/>
    <w:rsid w:val="5C1F9FD8"/>
    <w:rsid w:val="5C3245A5"/>
    <w:rsid w:val="5C376050"/>
    <w:rsid w:val="5C3E74BF"/>
    <w:rsid w:val="5C4243A6"/>
    <w:rsid w:val="5C439AA9"/>
    <w:rsid w:val="5C457A1D"/>
    <w:rsid w:val="5C47A298"/>
    <w:rsid w:val="5C4A8C96"/>
    <w:rsid w:val="5C4AACD3"/>
    <w:rsid w:val="5C4CCDDE"/>
    <w:rsid w:val="5C4EADB5"/>
    <w:rsid w:val="5C5864A6"/>
    <w:rsid w:val="5C58FA60"/>
    <w:rsid w:val="5C59BE4E"/>
    <w:rsid w:val="5C5D0FC0"/>
    <w:rsid w:val="5C667C1B"/>
    <w:rsid w:val="5C676F5C"/>
    <w:rsid w:val="5C6B5AB4"/>
    <w:rsid w:val="5C6BED9C"/>
    <w:rsid w:val="5C77AA98"/>
    <w:rsid w:val="5C7CC46B"/>
    <w:rsid w:val="5C8B3905"/>
    <w:rsid w:val="5C8C8177"/>
    <w:rsid w:val="5C93B678"/>
    <w:rsid w:val="5C97BB21"/>
    <w:rsid w:val="5C9C27C0"/>
    <w:rsid w:val="5CA6773F"/>
    <w:rsid w:val="5CA902AE"/>
    <w:rsid w:val="5CA9AD6E"/>
    <w:rsid w:val="5CAD91BF"/>
    <w:rsid w:val="5CAFC41D"/>
    <w:rsid w:val="5CBB6AE3"/>
    <w:rsid w:val="5CCC7D71"/>
    <w:rsid w:val="5CCE13F7"/>
    <w:rsid w:val="5CD4DD61"/>
    <w:rsid w:val="5CD88376"/>
    <w:rsid w:val="5CD8DBDA"/>
    <w:rsid w:val="5CE09E2E"/>
    <w:rsid w:val="5CF0282C"/>
    <w:rsid w:val="5CF3569C"/>
    <w:rsid w:val="5D00D81D"/>
    <w:rsid w:val="5D03DF2C"/>
    <w:rsid w:val="5D07BB5B"/>
    <w:rsid w:val="5D0F6692"/>
    <w:rsid w:val="5D15F579"/>
    <w:rsid w:val="5D1B7C5F"/>
    <w:rsid w:val="5D2CE0DC"/>
    <w:rsid w:val="5D2CEDF5"/>
    <w:rsid w:val="5D331ECB"/>
    <w:rsid w:val="5D3E4D6B"/>
    <w:rsid w:val="5D406E95"/>
    <w:rsid w:val="5D40E23A"/>
    <w:rsid w:val="5D438120"/>
    <w:rsid w:val="5D460943"/>
    <w:rsid w:val="5D47CABF"/>
    <w:rsid w:val="5D4CB4B5"/>
    <w:rsid w:val="5D4E3FD3"/>
    <w:rsid w:val="5D58A902"/>
    <w:rsid w:val="5D5A40B3"/>
    <w:rsid w:val="5D5F8B38"/>
    <w:rsid w:val="5D70E876"/>
    <w:rsid w:val="5D73B425"/>
    <w:rsid w:val="5D77074A"/>
    <w:rsid w:val="5D96B51E"/>
    <w:rsid w:val="5D99BAE8"/>
    <w:rsid w:val="5D9B6F5D"/>
    <w:rsid w:val="5DA3E55B"/>
    <w:rsid w:val="5DB088EB"/>
    <w:rsid w:val="5DB534DE"/>
    <w:rsid w:val="5DBCA5F0"/>
    <w:rsid w:val="5DC2DFB9"/>
    <w:rsid w:val="5DC62BA2"/>
    <w:rsid w:val="5DD6C4BD"/>
    <w:rsid w:val="5DD78029"/>
    <w:rsid w:val="5DE2153F"/>
    <w:rsid w:val="5DE5B5C8"/>
    <w:rsid w:val="5DF48F02"/>
    <w:rsid w:val="5DFCB9F1"/>
    <w:rsid w:val="5E0B5E56"/>
    <w:rsid w:val="5E29E98F"/>
    <w:rsid w:val="5E2B180F"/>
    <w:rsid w:val="5E2BC4C8"/>
    <w:rsid w:val="5E30A3C5"/>
    <w:rsid w:val="5E40ED48"/>
    <w:rsid w:val="5E41684E"/>
    <w:rsid w:val="5E483631"/>
    <w:rsid w:val="5E5267DD"/>
    <w:rsid w:val="5E546C0A"/>
    <w:rsid w:val="5E548B78"/>
    <w:rsid w:val="5E5F583F"/>
    <w:rsid w:val="5E5FF7F4"/>
    <w:rsid w:val="5E626E32"/>
    <w:rsid w:val="5E722A04"/>
    <w:rsid w:val="5E74558F"/>
    <w:rsid w:val="5E8F41BE"/>
    <w:rsid w:val="5E946AD2"/>
    <w:rsid w:val="5E9A9BB8"/>
    <w:rsid w:val="5E9C3AB0"/>
    <w:rsid w:val="5E9E47C4"/>
    <w:rsid w:val="5EA0A89C"/>
    <w:rsid w:val="5EA22380"/>
    <w:rsid w:val="5EB1C5DA"/>
    <w:rsid w:val="5EB7CF5C"/>
    <w:rsid w:val="5EBB0672"/>
    <w:rsid w:val="5EC90561"/>
    <w:rsid w:val="5ECC76DB"/>
    <w:rsid w:val="5ECEDDF4"/>
    <w:rsid w:val="5ED23046"/>
    <w:rsid w:val="5EDCAFA0"/>
    <w:rsid w:val="5EF2730A"/>
    <w:rsid w:val="5EFC7978"/>
    <w:rsid w:val="5F014BCB"/>
    <w:rsid w:val="5F0899A7"/>
    <w:rsid w:val="5F0AE3C6"/>
    <w:rsid w:val="5F10D8FA"/>
    <w:rsid w:val="5F10F3FC"/>
    <w:rsid w:val="5F18B9CE"/>
    <w:rsid w:val="5F1C34EF"/>
    <w:rsid w:val="5F1D9FF9"/>
    <w:rsid w:val="5F1E7127"/>
    <w:rsid w:val="5F217A5A"/>
    <w:rsid w:val="5F2C0135"/>
    <w:rsid w:val="5F2D8A23"/>
    <w:rsid w:val="5F3CB61C"/>
    <w:rsid w:val="5F4FD811"/>
    <w:rsid w:val="5F51FE21"/>
    <w:rsid w:val="5F53BAE7"/>
    <w:rsid w:val="5F57260F"/>
    <w:rsid w:val="5F5C9FA0"/>
    <w:rsid w:val="5F68C19D"/>
    <w:rsid w:val="5F71531D"/>
    <w:rsid w:val="5F7B6FCE"/>
    <w:rsid w:val="5F7D9773"/>
    <w:rsid w:val="5F915348"/>
    <w:rsid w:val="5F91A6CB"/>
    <w:rsid w:val="5FA35C0D"/>
    <w:rsid w:val="5FB077D3"/>
    <w:rsid w:val="5FB4B58A"/>
    <w:rsid w:val="5FCD00AA"/>
    <w:rsid w:val="5FD7F8B9"/>
    <w:rsid w:val="5FD9239C"/>
    <w:rsid w:val="5FDB3715"/>
    <w:rsid w:val="5FF56820"/>
    <w:rsid w:val="5FF7BF86"/>
    <w:rsid w:val="5FFA833D"/>
    <w:rsid w:val="5FFD5C2F"/>
    <w:rsid w:val="5FFF2036"/>
    <w:rsid w:val="6006809C"/>
    <w:rsid w:val="600D0760"/>
    <w:rsid w:val="6011F6F7"/>
    <w:rsid w:val="6013FEF6"/>
    <w:rsid w:val="6018B36D"/>
    <w:rsid w:val="601A5052"/>
    <w:rsid w:val="601E1597"/>
    <w:rsid w:val="60238292"/>
    <w:rsid w:val="6029207D"/>
    <w:rsid w:val="6033666A"/>
    <w:rsid w:val="603378AF"/>
    <w:rsid w:val="6035041D"/>
    <w:rsid w:val="6035EC35"/>
    <w:rsid w:val="603AD85A"/>
    <w:rsid w:val="603CA79B"/>
    <w:rsid w:val="603FB02F"/>
    <w:rsid w:val="6040B787"/>
    <w:rsid w:val="6040CC96"/>
    <w:rsid w:val="60413CE1"/>
    <w:rsid w:val="6042B9E4"/>
    <w:rsid w:val="6048D0DE"/>
    <w:rsid w:val="6053A4A6"/>
    <w:rsid w:val="6054FA7D"/>
    <w:rsid w:val="60584619"/>
    <w:rsid w:val="605D6E31"/>
    <w:rsid w:val="6069FE88"/>
    <w:rsid w:val="606BFE17"/>
    <w:rsid w:val="6070CA37"/>
    <w:rsid w:val="6073582C"/>
    <w:rsid w:val="60780F57"/>
    <w:rsid w:val="60788001"/>
    <w:rsid w:val="607AC608"/>
    <w:rsid w:val="607AE992"/>
    <w:rsid w:val="607B0371"/>
    <w:rsid w:val="607EA882"/>
    <w:rsid w:val="60818837"/>
    <w:rsid w:val="608C32E1"/>
    <w:rsid w:val="608ED88A"/>
    <w:rsid w:val="608F6D1D"/>
    <w:rsid w:val="6096E520"/>
    <w:rsid w:val="609918EF"/>
    <w:rsid w:val="609C0E18"/>
    <w:rsid w:val="609EBCCF"/>
    <w:rsid w:val="609FB30E"/>
    <w:rsid w:val="60AE8531"/>
    <w:rsid w:val="60CA2194"/>
    <w:rsid w:val="60D8E09B"/>
    <w:rsid w:val="60D952FE"/>
    <w:rsid w:val="60DAABF4"/>
    <w:rsid w:val="60DCBE9E"/>
    <w:rsid w:val="60E1248A"/>
    <w:rsid w:val="60E20232"/>
    <w:rsid w:val="60EFD165"/>
    <w:rsid w:val="60F5A9D1"/>
    <w:rsid w:val="610078AD"/>
    <w:rsid w:val="6101A9B1"/>
    <w:rsid w:val="6101DE7A"/>
    <w:rsid w:val="6108E1DC"/>
    <w:rsid w:val="610B743B"/>
    <w:rsid w:val="610BFA52"/>
    <w:rsid w:val="61157276"/>
    <w:rsid w:val="611A6A9A"/>
    <w:rsid w:val="6122C0F8"/>
    <w:rsid w:val="61298CB8"/>
    <w:rsid w:val="612E078D"/>
    <w:rsid w:val="61345F3D"/>
    <w:rsid w:val="6147354B"/>
    <w:rsid w:val="614D87DD"/>
    <w:rsid w:val="615135CA"/>
    <w:rsid w:val="616463D9"/>
    <w:rsid w:val="61663F7D"/>
    <w:rsid w:val="617A0B43"/>
    <w:rsid w:val="6184CD96"/>
    <w:rsid w:val="61852DFB"/>
    <w:rsid w:val="6186DD0E"/>
    <w:rsid w:val="618B09FC"/>
    <w:rsid w:val="619D3A5C"/>
    <w:rsid w:val="61AA3766"/>
    <w:rsid w:val="61B6C0C1"/>
    <w:rsid w:val="61C3BDC3"/>
    <w:rsid w:val="61C67EC1"/>
    <w:rsid w:val="61D63156"/>
    <w:rsid w:val="61D9273B"/>
    <w:rsid w:val="61E3902B"/>
    <w:rsid w:val="61E53983"/>
    <w:rsid w:val="61E7E228"/>
    <w:rsid w:val="61EA399E"/>
    <w:rsid w:val="61ECF326"/>
    <w:rsid w:val="61F79000"/>
    <w:rsid w:val="6205A58B"/>
    <w:rsid w:val="6206D93E"/>
    <w:rsid w:val="62104793"/>
    <w:rsid w:val="62148344"/>
    <w:rsid w:val="621A0088"/>
    <w:rsid w:val="621B9083"/>
    <w:rsid w:val="621D66AD"/>
    <w:rsid w:val="62234DD9"/>
    <w:rsid w:val="6223F8F1"/>
    <w:rsid w:val="62271812"/>
    <w:rsid w:val="6227286F"/>
    <w:rsid w:val="6227D140"/>
    <w:rsid w:val="623321B2"/>
    <w:rsid w:val="623A27AD"/>
    <w:rsid w:val="623ABEC8"/>
    <w:rsid w:val="623B11A7"/>
    <w:rsid w:val="625049FB"/>
    <w:rsid w:val="6251A6E1"/>
    <w:rsid w:val="6253B58D"/>
    <w:rsid w:val="625540BB"/>
    <w:rsid w:val="625615DD"/>
    <w:rsid w:val="62587A81"/>
    <w:rsid w:val="625BD799"/>
    <w:rsid w:val="625C47F1"/>
    <w:rsid w:val="625CF3A6"/>
    <w:rsid w:val="625D2E41"/>
    <w:rsid w:val="625E2ED2"/>
    <w:rsid w:val="627AF96B"/>
    <w:rsid w:val="627D24BF"/>
    <w:rsid w:val="627DA4DC"/>
    <w:rsid w:val="627DD293"/>
    <w:rsid w:val="6290F4A2"/>
    <w:rsid w:val="629347EE"/>
    <w:rsid w:val="6296DA12"/>
    <w:rsid w:val="6298C843"/>
    <w:rsid w:val="6299E361"/>
    <w:rsid w:val="62A0BBA4"/>
    <w:rsid w:val="62A176FA"/>
    <w:rsid w:val="62A9B0AB"/>
    <w:rsid w:val="62AB45D7"/>
    <w:rsid w:val="62AEB0F9"/>
    <w:rsid w:val="62B4EDD3"/>
    <w:rsid w:val="62B52581"/>
    <w:rsid w:val="62B6ABCC"/>
    <w:rsid w:val="62BEF86A"/>
    <w:rsid w:val="62CC33F9"/>
    <w:rsid w:val="62CECB11"/>
    <w:rsid w:val="62D3C492"/>
    <w:rsid w:val="62D85229"/>
    <w:rsid w:val="62D97DEA"/>
    <w:rsid w:val="62F291DB"/>
    <w:rsid w:val="62F43826"/>
    <w:rsid w:val="62FE7377"/>
    <w:rsid w:val="63020FDE"/>
    <w:rsid w:val="63025FA9"/>
    <w:rsid w:val="630592FF"/>
    <w:rsid w:val="6307DB16"/>
    <w:rsid w:val="630AF1BC"/>
    <w:rsid w:val="6317D783"/>
    <w:rsid w:val="63207EA2"/>
    <w:rsid w:val="632A4A87"/>
    <w:rsid w:val="632B2455"/>
    <w:rsid w:val="632CED29"/>
    <w:rsid w:val="633237F5"/>
    <w:rsid w:val="633E4C05"/>
    <w:rsid w:val="633FB3BD"/>
    <w:rsid w:val="633FD774"/>
    <w:rsid w:val="63427BBA"/>
    <w:rsid w:val="63457102"/>
    <w:rsid w:val="6346DC76"/>
    <w:rsid w:val="6349AD8B"/>
    <w:rsid w:val="634DF412"/>
    <w:rsid w:val="634E44A9"/>
    <w:rsid w:val="634FB953"/>
    <w:rsid w:val="635A4FFF"/>
    <w:rsid w:val="635B00B9"/>
    <w:rsid w:val="635EB255"/>
    <w:rsid w:val="63629820"/>
    <w:rsid w:val="63687A16"/>
    <w:rsid w:val="636BA05A"/>
    <w:rsid w:val="636BE6D0"/>
    <w:rsid w:val="637054D9"/>
    <w:rsid w:val="637247FA"/>
    <w:rsid w:val="63744175"/>
    <w:rsid w:val="63758A68"/>
    <w:rsid w:val="637DEBFC"/>
    <w:rsid w:val="637EEAE4"/>
    <w:rsid w:val="638532F6"/>
    <w:rsid w:val="63905505"/>
    <w:rsid w:val="63912F74"/>
    <w:rsid w:val="63960651"/>
    <w:rsid w:val="63964696"/>
    <w:rsid w:val="63993259"/>
    <w:rsid w:val="639E9391"/>
    <w:rsid w:val="63A21F7C"/>
    <w:rsid w:val="63A4C51A"/>
    <w:rsid w:val="63A601E9"/>
    <w:rsid w:val="63A8204D"/>
    <w:rsid w:val="63AEFF7D"/>
    <w:rsid w:val="63AFB019"/>
    <w:rsid w:val="63B6E0D0"/>
    <w:rsid w:val="63BA0CB9"/>
    <w:rsid w:val="63BCBED9"/>
    <w:rsid w:val="63C3A710"/>
    <w:rsid w:val="63CF529D"/>
    <w:rsid w:val="63D4ECD8"/>
    <w:rsid w:val="63D7F3C5"/>
    <w:rsid w:val="63DCAA74"/>
    <w:rsid w:val="63E90659"/>
    <w:rsid w:val="63ECCF9D"/>
    <w:rsid w:val="63ECE07D"/>
    <w:rsid w:val="63FA8ECF"/>
    <w:rsid w:val="640788FD"/>
    <w:rsid w:val="640F4560"/>
    <w:rsid w:val="6421907A"/>
    <w:rsid w:val="6422AFFA"/>
    <w:rsid w:val="642309BB"/>
    <w:rsid w:val="642A646B"/>
    <w:rsid w:val="6447F5F7"/>
    <w:rsid w:val="64591E90"/>
    <w:rsid w:val="6488BD50"/>
    <w:rsid w:val="649017FA"/>
    <w:rsid w:val="6498D7E9"/>
    <w:rsid w:val="649A9DA4"/>
    <w:rsid w:val="64A303E5"/>
    <w:rsid w:val="64A87528"/>
    <w:rsid w:val="64ACF525"/>
    <w:rsid w:val="64B13064"/>
    <w:rsid w:val="64B3F3B7"/>
    <w:rsid w:val="64B46811"/>
    <w:rsid w:val="64BA475A"/>
    <w:rsid w:val="64DBA7D5"/>
    <w:rsid w:val="64DF0CBB"/>
    <w:rsid w:val="64EAFDCE"/>
    <w:rsid w:val="64F3F542"/>
    <w:rsid w:val="64F56D03"/>
    <w:rsid w:val="65003941"/>
    <w:rsid w:val="650C10B9"/>
    <w:rsid w:val="651018BE"/>
    <w:rsid w:val="651AC224"/>
    <w:rsid w:val="652AC3A4"/>
    <w:rsid w:val="652B3AFA"/>
    <w:rsid w:val="652D1659"/>
    <w:rsid w:val="653036F3"/>
    <w:rsid w:val="65349DB3"/>
    <w:rsid w:val="65389378"/>
    <w:rsid w:val="653F7A3F"/>
    <w:rsid w:val="65488384"/>
    <w:rsid w:val="65488C31"/>
    <w:rsid w:val="655B7D7A"/>
    <w:rsid w:val="65633EDD"/>
    <w:rsid w:val="656B5B1E"/>
    <w:rsid w:val="6570398E"/>
    <w:rsid w:val="6570BD39"/>
    <w:rsid w:val="65794A32"/>
    <w:rsid w:val="657B4282"/>
    <w:rsid w:val="6589FBC4"/>
    <w:rsid w:val="658D38BE"/>
    <w:rsid w:val="65986967"/>
    <w:rsid w:val="65B635D6"/>
    <w:rsid w:val="65BA0C05"/>
    <w:rsid w:val="65CE4512"/>
    <w:rsid w:val="65CF90B7"/>
    <w:rsid w:val="65D2FCF1"/>
    <w:rsid w:val="65D3A122"/>
    <w:rsid w:val="65D7F7C0"/>
    <w:rsid w:val="65DA04E5"/>
    <w:rsid w:val="65EC4826"/>
    <w:rsid w:val="65F74640"/>
    <w:rsid w:val="66016DA3"/>
    <w:rsid w:val="66052879"/>
    <w:rsid w:val="66080602"/>
    <w:rsid w:val="660AC883"/>
    <w:rsid w:val="660AE98F"/>
    <w:rsid w:val="660D8C22"/>
    <w:rsid w:val="6611AA9B"/>
    <w:rsid w:val="661A41C7"/>
    <w:rsid w:val="661A60EA"/>
    <w:rsid w:val="661FA456"/>
    <w:rsid w:val="662C9A36"/>
    <w:rsid w:val="663363BD"/>
    <w:rsid w:val="663EBE81"/>
    <w:rsid w:val="66481807"/>
    <w:rsid w:val="664AE2AD"/>
    <w:rsid w:val="665334F5"/>
    <w:rsid w:val="66536CD6"/>
    <w:rsid w:val="6654CB94"/>
    <w:rsid w:val="66581231"/>
    <w:rsid w:val="665CECCC"/>
    <w:rsid w:val="6660C996"/>
    <w:rsid w:val="6669304F"/>
    <w:rsid w:val="66707EC1"/>
    <w:rsid w:val="667BC62E"/>
    <w:rsid w:val="667C2A22"/>
    <w:rsid w:val="667D11C4"/>
    <w:rsid w:val="667EDAA0"/>
    <w:rsid w:val="66848EC0"/>
    <w:rsid w:val="66856E60"/>
    <w:rsid w:val="668CECCB"/>
    <w:rsid w:val="66945982"/>
    <w:rsid w:val="66947FB7"/>
    <w:rsid w:val="66BECA1A"/>
    <w:rsid w:val="66C25C87"/>
    <w:rsid w:val="66C6617C"/>
    <w:rsid w:val="66D19A94"/>
    <w:rsid w:val="66D44EF2"/>
    <w:rsid w:val="66DA6881"/>
    <w:rsid w:val="66DAFCD4"/>
    <w:rsid w:val="66DC20EC"/>
    <w:rsid w:val="66DF6355"/>
    <w:rsid w:val="66EFB194"/>
    <w:rsid w:val="66F7814A"/>
    <w:rsid w:val="66FEAC82"/>
    <w:rsid w:val="67044ABC"/>
    <w:rsid w:val="6706530E"/>
    <w:rsid w:val="670DFE53"/>
    <w:rsid w:val="67184C61"/>
    <w:rsid w:val="67291B17"/>
    <w:rsid w:val="672AD7FC"/>
    <w:rsid w:val="672B2552"/>
    <w:rsid w:val="673A0B09"/>
    <w:rsid w:val="6744C72B"/>
    <w:rsid w:val="67477193"/>
    <w:rsid w:val="674AB919"/>
    <w:rsid w:val="67544D62"/>
    <w:rsid w:val="675D8AD5"/>
    <w:rsid w:val="6764CC2A"/>
    <w:rsid w:val="676B6118"/>
    <w:rsid w:val="676F3699"/>
    <w:rsid w:val="6770D3A8"/>
    <w:rsid w:val="6778311C"/>
    <w:rsid w:val="677C5816"/>
    <w:rsid w:val="678323DA"/>
    <w:rsid w:val="678927B1"/>
    <w:rsid w:val="679B9F1A"/>
    <w:rsid w:val="67A2D9A7"/>
    <w:rsid w:val="67BD237D"/>
    <w:rsid w:val="67BD3F3D"/>
    <w:rsid w:val="67BEA6D3"/>
    <w:rsid w:val="67C072A8"/>
    <w:rsid w:val="67CA915F"/>
    <w:rsid w:val="67CF341E"/>
    <w:rsid w:val="67CF9CC8"/>
    <w:rsid w:val="67DF6A2A"/>
    <w:rsid w:val="67E80FFC"/>
    <w:rsid w:val="67F054D5"/>
    <w:rsid w:val="6800927E"/>
    <w:rsid w:val="6804BCD6"/>
    <w:rsid w:val="68077C0F"/>
    <w:rsid w:val="680C5CB6"/>
    <w:rsid w:val="680DE658"/>
    <w:rsid w:val="68100D63"/>
    <w:rsid w:val="6814D9D3"/>
    <w:rsid w:val="6819747A"/>
    <w:rsid w:val="682A21AD"/>
    <w:rsid w:val="682C0E83"/>
    <w:rsid w:val="68318AAE"/>
    <w:rsid w:val="6837AE4C"/>
    <w:rsid w:val="6839C9CB"/>
    <w:rsid w:val="683C8359"/>
    <w:rsid w:val="6843E5DF"/>
    <w:rsid w:val="68473591"/>
    <w:rsid w:val="684DADE6"/>
    <w:rsid w:val="685CA6BA"/>
    <w:rsid w:val="685FDF67"/>
    <w:rsid w:val="68626AAD"/>
    <w:rsid w:val="68688016"/>
    <w:rsid w:val="68709C39"/>
    <w:rsid w:val="6875B2CA"/>
    <w:rsid w:val="68853F3F"/>
    <w:rsid w:val="6887D386"/>
    <w:rsid w:val="688D4A44"/>
    <w:rsid w:val="68A089EB"/>
    <w:rsid w:val="68AF4CAB"/>
    <w:rsid w:val="68B349DE"/>
    <w:rsid w:val="68B8BD8F"/>
    <w:rsid w:val="68BB098B"/>
    <w:rsid w:val="68BCCC46"/>
    <w:rsid w:val="68BCF8CD"/>
    <w:rsid w:val="68BDE49B"/>
    <w:rsid w:val="68D299B1"/>
    <w:rsid w:val="68D2CC50"/>
    <w:rsid w:val="68F69CF7"/>
    <w:rsid w:val="68FBE50C"/>
    <w:rsid w:val="69118FC6"/>
    <w:rsid w:val="69142B0E"/>
    <w:rsid w:val="69190C5D"/>
    <w:rsid w:val="692D536B"/>
    <w:rsid w:val="692DE14A"/>
    <w:rsid w:val="69376F7B"/>
    <w:rsid w:val="693D8253"/>
    <w:rsid w:val="6948C067"/>
    <w:rsid w:val="695589A7"/>
    <w:rsid w:val="696B9B0B"/>
    <w:rsid w:val="696BF077"/>
    <w:rsid w:val="696BFCC7"/>
    <w:rsid w:val="696E1B23"/>
    <w:rsid w:val="6971AD5A"/>
    <w:rsid w:val="69765F43"/>
    <w:rsid w:val="6978AAD8"/>
    <w:rsid w:val="698298BE"/>
    <w:rsid w:val="69841CDF"/>
    <w:rsid w:val="69841D79"/>
    <w:rsid w:val="69895E5F"/>
    <w:rsid w:val="6989C48F"/>
    <w:rsid w:val="698A06E1"/>
    <w:rsid w:val="698CC16F"/>
    <w:rsid w:val="69919FB0"/>
    <w:rsid w:val="6994D23D"/>
    <w:rsid w:val="699573E3"/>
    <w:rsid w:val="6997D18E"/>
    <w:rsid w:val="69996A9E"/>
    <w:rsid w:val="69AEA5F3"/>
    <w:rsid w:val="69BA53DE"/>
    <w:rsid w:val="69C43306"/>
    <w:rsid w:val="69C64CDB"/>
    <w:rsid w:val="69C8BD0F"/>
    <w:rsid w:val="69D37EAD"/>
    <w:rsid w:val="69D515BC"/>
    <w:rsid w:val="69D5D5F9"/>
    <w:rsid w:val="69E15F12"/>
    <w:rsid w:val="69F99FE9"/>
    <w:rsid w:val="6A0399D1"/>
    <w:rsid w:val="6A045077"/>
    <w:rsid w:val="6A049331"/>
    <w:rsid w:val="6A0EB6B1"/>
    <w:rsid w:val="6A170417"/>
    <w:rsid w:val="6A198882"/>
    <w:rsid w:val="6A20130C"/>
    <w:rsid w:val="6A22F965"/>
    <w:rsid w:val="6A2CFCD1"/>
    <w:rsid w:val="6A301F68"/>
    <w:rsid w:val="6A39006F"/>
    <w:rsid w:val="6A395D91"/>
    <w:rsid w:val="6A3A9A7A"/>
    <w:rsid w:val="6A3BCD0A"/>
    <w:rsid w:val="6A3ECB4F"/>
    <w:rsid w:val="6A42011C"/>
    <w:rsid w:val="6A48654C"/>
    <w:rsid w:val="6A4A660A"/>
    <w:rsid w:val="6A4B77F5"/>
    <w:rsid w:val="6A4D7EA9"/>
    <w:rsid w:val="6A4D83C5"/>
    <w:rsid w:val="6A520BA3"/>
    <w:rsid w:val="6A53C68E"/>
    <w:rsid w:val="6A59EEE5"/>
    <w:rsid w:val="6A5CB0E3"/>
    <w:rsid w:val="6A6416FB"/>
    <w:rsid w:val="6A6B5B54"/>
    <w:rsid w:val="6A7023D9"/>
    <w:rsid w:val="6A75DBC4"/>
    <w:rsid w:val="6A7DFE72"/>
    <w:rsid w:val="6A8A253A"/>
    <w:rsid w:val="6A8C62A4"/>
    <w:rsid w:val="6A97DD35"/>
    <w:rsid w:val="6A9A65C6"/>
    <w:rsid w:val="6AAB68E3"/>
    <w:rsid w:val="6AAB901F"/>
    <w:rsid w:val="6AD3EF41"/>
    <w:rsid w:val="6AD65D3A"/>
    <w:rsid w:val="6ADF50AF"/>
    <w:rsid w:val="6AE6E86D"/>
    <w:rsid w:val="6AEB4926"/>
    <w:rsid w:val="6AFECED6"/>
    <w:rsid w:val="6B0B2CE6"/>
    <w:rsid w:val="6B0FBA01"/>
    <w:rsid w:val="6B155B6F"/>
    <w:rsid w:val="6B19C6B5"/>
    <w:rsid w:val="6B1CAE5C"/>
    <w:rsid w:val="6B21E01A"/>
    <w:rsid w:val="6B254448"/>
    <w:rsid w:val="6B2A265C"/>
    <w:rsid w:val="6B2D66D9"/>
    <w:rsid w:val="6B30A29E"/>
    <w:rsid w:val="6B36F279"/>
    <w:rsid w:val="6B3A532A"/>
    <w:rsid w:val="6B4FC4A5"/>
    <w:rsid w:val="6B5145BA"/>
    <w:rsid w:val="6B52D6DF"/>
    <w:rsid w:val="6B53647C"/>
    <w:rsid w:val="6B577C5F"/>
    <w:rsid w:val="6B638DCB"/>
    <w:rsid w:val="6B6A8AF7"/>
    <w:rsid w:val="6B710824"/>
    <w:rsid w:val="6B73D5AB"/>
    <w:rsid w:val="6B7A8723"/>
    <w:rsid w:val="6B7B041B"/>
    <w:rsid w:val="6B8386F1"/>
    <w:rsid w:val="6B8EA02C"/>
    <w:rsid w:val="6B932217"/>
    <w:rsid w:val="6BA18CAB"/>
    <w:rsid w:val="6BA4443E"/>
    <w:rsid w:val="6BAD538C"/>
    <w:rsid w:val="6BAF920F"/>
    <w:rsid w:val="6BB3170D"/>
    <w:rsid w:val="6BB98050"/>
    <w:rsid w:val="6BC159BA"/>
    <w:rsid w:val="6BC24F4A"/>
    <w:rsid w:val="6BCABEFE"/>
    <w:rsid w:val="6BD21DA5"/>
    <w:rsid w:val="6BD5BA4C"/>
    <w:rsid w:val="6BE2266E"/>
    <w:rsid w:val="6BE351E5"/>
    <w:rsid w:val="6BE59AE9"/>
    <w:rsid w:val="6BFA97D3"/>
    <w:rsid w:val="6BFDB6DF"/>
    <w:rsid w:val="6BFFD76C"/>
    <w:rsid w:val="6C0A5D7B"/>
    <w:rsid w:val="6C0CED2E"/>
    <w:rsid w:val="6C0DD346"/>
    <w:rsid w:val="6C157865"/>
    <w:rsid w:val="6C174B35"/>
    <w:rsid w:val="6C1AFEEE"/>
    <w:rsid w:val="6C1E493B"/>
    <w:rsid w:val="6C1FFFBF"/>
    <w:rsid w:val="6C226A9A"/>
    <w:rsid w:val="6C22905B"/>
    <w:rsid w:val="6C2A86F3"/>
    <w:rsid w:val="6C2EACBF"/>
    <w:rsid w:val="6C2F2381"/>
    <w:rsid w:val="6C30A17C"/>
    <w:rsid w:val="6C35E907"/>
    <w:rsid w:val="6C3FB1E3"/>
    <w:rsid w:val="6C461CFB"/>
    <w:rsid w:val="6C4AE550"/>
    <w:rsid w:val="6C4BCBD0"/>
    <w:rsid w:val="6C4C5734"/>
    <w:rsid w:val="6C4EF47C"/>
    <w:rsid w:val="6C5AF8F6"/>
    <w:rsid w:val="6C61AD2F"/>
    <w:rsid w:val="6C63BA5C"/>
    <w:rsid w:val="6C677038"/>
    <w:rsid w:val="6C83275D"/>
    <w:rsid w:val="6C8EE0AC"/>
    <w:rsid w:val="6C9DDE67"/>
    <w:rsid w:val="6C9E2C5E"/>
    <w:rsid w:val="6C9F4FB4"/>
    <w:rsid w:val="6CA56B78"/>
    <w:rsid w:val="6CAF505C"/>
    <w:rsid w:val="6CB458CF"/>
    <w:rsid w:val="6CB59716"/>
    <w:rsid w:val="6CC8DF8D"/>
    <w:rsid w:val="6CCEEC44"/>
    <w:rsid w:val="6CD50E66"/>
    <w:rsid w:val="6CD64495"/>
    <w:rsid w:val="6CE3AB9B"/>
    <w:rsid w:val="6CE93377"/>
    <w:rsid w:val="6CED8C4E"/>
    <w:rsid w:val="6CF5B120"/>
    <w:rsid w:val="6CF769BA"/>
    <w:rsid w:val="6CFF48BF"/>
    <w:rsid w:val="6D025B3C"/>
    <w:rsid w:val="6D04B6C8"/>
    <w:rsid w:val="6D12F1E1"/>
    <w:rsid w:val="6D2684E8"/>
    <w:rsid w:val="6D26ED6B"/>
    <w:rsid w:val="6D2B842A"/>
    <w:rsid w:val="6D2E7C09"/>
    <w:rsid w:val="6D2FFB90"/>
    <w:rsid w:val="6D3406C9"/>
    <w:rsid w:val="6D3E2DCD"/>
    <w:rsid w:val="6D47306C"/>
    <w:rsid w:val="6D4888A2"/>
    <w:rsid w:val="6D4B6270"/>
    <w:rsid w:val="6D4C83AF"/>
    <w:rsid w:val="6D52335C"/>
    <w:rsid w:val="6D53EF4C"/>
    <w:rsid w:val="6D5550B1"/>
    <w:rsid w:val="6D55AB69"/>
    <w:rsid w:val="6D55D21F"/>
    <w:rsid w:val="6D5C29B6"/>
    <w:rsid w:val="6D665B4C"/>
    <w:rsid w:val="6D6F0A7D"/>
    <w:rsid w:val="6D7517A5"/>
    <w:rsid w:val="6D75ADEE"/>
    <w:rsid w:val="6D75D459"/>
    <w:rsid w:val="6D82B928"/>
    <w:rsid w:val="6D847B5D"/>
    <w:rsid w:val="6D86D456"/>
    <w:rsid w:val="6D8C2EB2"/>
    <w:rsid w:val="6D8D5FFB"/>
    <w:rsid w:val="6D9140E5"/>
    <w:rsid w:val="6D954E07"/>
    <w:rsid w:val="6D9E0D6E"/>
    <w:rsid w:val="6DA0AD23"/>
    <w:rsid w:val="6DB735CB"/>
    <w:rsid w:val="6DC22B97"/>
    <w:rsid w:val="6DC98659"/>
    <w:rsid w:val="6DD2ECE6"/>
    <w:rsid w:val="6DDC2FE6"/>
    <w:rsid w:val="6DDE4710"/>
    <w:rsid w:val="6DE012D1"/>
    <w:rsid w:val="6DE42E30"/>
    <w:rsid w:val="6DEB4198"/>
    <w:rsid w:val="6DED6405"/>
    <w:rsid w:val="6DFABD01"/>
    <w:rsid w:val="6DFF0560"/>
    <w:rsid w:val="6E00F70C"/>
    <w:rsid w:val="6E06AE20"/>
    <w:rsid w:val="6E07AD4B"/>
    <w:rsid w:val="6E0A510C"/>
    <w:rsid w:val="6E0A98E0"/>
    <w:rsid w:val="6E15799B"/>
    <w:rsid w:val="6E16DFEC"/>
    <w:rsid w:val="6E1DFB20"/>
    <w:rsid w:val="6E1E4709"/>
    <w:rsid w:val="6E2BC1BE"/>
    <w:rsid w:val="6E353882"/>
    <w:rsid w:val="6E357539"/>
    <w:rsid w:val="6E366F98"/>
    <w:rsid w:val="6E4BAC78"/>
    <w:rsid w:val="6E52F6DA"/>
    <w:rsid w:val="6E564402"/>
    <w:rsid w:val="6E5BA4D0"/>
    <w:rsid w:val="6E5EA135"/>
    <w:rsid w:val="6E63CEF9"/>
    <w:rsid w:val="6E6803B2"/>
    <w:rsid w:val="6E81BBB8"/>
    <w:rsid w:val="6E8823A9"/>
    <w:rsid w:val="6E882A6B"/>
    <w:rsid w:val="6E8A77A1"/>
    <w:rsid w:val="6E8E0405"/>
    <w:rsid w:val="6E934182"/>
    <w:rsid w:val="6E94A3BB"/>
    <w:rsid w:val="6E9BB96D"/>
    <w:rsid w:val="6EA14AF7"/>
    <w:rsid w:val="6EA755DC"/>
    <w:rsid w:val="6EAEC242"/>
    <w:rsid w:val="6EAFA6A4"/>
    <w:rsid w:val="6EB49702"/>
    <w:rsid w:val="6EBA0938"/>
    <w:rsid w:val="6EBBE9AB"/>
    <w:rsid w:val="6EC02734"/>
    <w:rsid w:val="6EC0756A"/>
    <w:rsid w:val="6EC3CA01"/>
    <w:rsid w:val="6EC645BE"/>
    <w:rsid w:val="6ECA00B9"/>
    <w:rsid w:val="6ED0AA55"/>
    <w:rsid w:val="6ED1585A"/>
    <w:rsid w:val="6ED70AF4"/>
    <w:rsid w:val="6ED923EE"/>
    <w:rsid w:val="6EDBE500"/>
    <w:rsid w:val="6EE7BEA5"/>
    <w:rsid w:val="6EEAB388"/>
    <w:rsid w:val="6EF0960A"/>
    <w:rsid w:val="6EF63CAE"/>
    <w:rsid w:val="6EF88390"/>
    <w:rsid w:val="6EFA261F"/>
    <w:rsid w:val="6EFC20FC"/>
    <w:rsid w:val="6EFF1DF9"/>
    <w:rsid w:val="6EFFF76D"/>
    <w:rsid w:val="6F0ADAC6"/>
    <w:rsid w:val="6F0B6F56"/>
    <w:rsid w:val="6F2513D2"/>
    <w:rsid w:val="6F25E52D"/>
    <w:rsid w:val="6F2D6064"/>
    <w:rsid w:val="6F33BFC4"/>
    <w:rsid w:val="6F345E09"/>
    <w:rsid w:val="6F3DBFF5"/>
    <w:rsid w:val="6F49D890"/>
    <w:rsid w:val="6F4DF6AE"/>
    <w:rsid w:val="6F50B654"/>
    <w:rsid w:val="6F557F6B"/>
    <w:rsid w:val="6F5786AB"/>
    <w:rsid w:val="6F58A3DA"/>
    <w:rsid w:val="6F68523E"/>
    <w:rsid w:val="6F6CA8A6"/>
    <w:rsid w:val="6F6F94F6"/>
    <w:rsid w:val="6F7415BC"/>
    <w:rsid w:val="6F74A67A"/>
    <w:rsid w:val="6F897F8B"/>
    <w:rsid w:val="6F8F125A"/>
    <w:rsid w:val="6F954856"/>
    <w:rsid w:val="6F9A3593"/>
    <w:rsid w:val="6F9AD9DD"/>
    <w:rsid w:val="6FA2905E"/>
    <w:rsid w:val="6FA4B64A"/>
    <w:rsid w:val="6FACAB3E"/>
    <w:rsid w:val="6FAED778"/>
    <w:rsid w:val="6FB663D3"/>
    <w:rsid w:val="6FBFF01C"/>
    <w:rsid w:val="6FBFFC67"/>
    <w:rsid w:val="6FC05A23"/>
    <w:rsid w:val="6FC5C0B5"/>
    <w:rsid w:val="6FCDB2B1"/>
    <w:rsid w:val="6FD29F4B"/>
    <w:rsid w:val="6FDA5E9F"/>
    <w:rsid w:val="6FE20CFE"/>
    <w:rsid w:val="6FE26BAD"/>
    <w:rsid w:val="6FECC0C9"/>
    <w:rsid w:val="6FEEEA9D"/>
    <w:rsid w:val="6FFC4B94"/>
    <w:rsid w:val="6FFEF98D"/>
    <w:rsid w:val="70001287"/>
    <w:rsid w:val="7003D413"/>
    <w:rsid w:val="7008B176"/>
    <w:rsid w:val="700A20A3"/>
    <w:rsid w:val="700A639C"/>
    <w:rsid w:val="70113D19"/>
    <w:rsid w:val="7013FA90"/>
    <w:rsid w:val="7014A485"/>
    <w:rsid w:val="701E5A7C"/>
    <w:rsid w:val="7024ECFF"/>
    <w:rsid w:val="702575D9"/>
    <w:rsid w:val="70264802"/>
    <w:rsid w:val="70277613"/>
    <w:rsid w:val="703CC2C8"/>
    <w:rsid w:val="7041A6E3"/>
    <w:rsid w:val="70467B3D"/>
    <w:rsid w:val="704B7705"/>
    <w:rsid w:val="70532E9F"/>
    <w:rsid w:val="705C0531"/>
    <w:rsid w:val="7065D11A"/>
    <w:rsid w:val="706BA78B"/>
    <w:rsid w:val="706E0B71"/>
    <w:rsid w:val="706FC900"/>
    <w:rsid w:val="7072E99A"/>
    <w:rsid w:val="707A65F0"/>
    <w:rsid w:val="7080E357"/>
    <w:rsid w:val="708BD455"/>
    <w:rsid w:val="709E7E73"/>
    <w:rsid w:val="709F1B9A"/>
    <w:rsid w:val="70A2051F"/>
    <w:rsid w:val="70AC212F"/>
    <w:rsid w:val="70B2D4F0"/>
    <w:rsid w:val="70B34076"/>
    <w:rsid w:val="70B55A1C"/>
    <w:rsid w:val="70B8D2C3"/>
    <w:rsid w:val="70BA2A9A"/>
    <w:rsid w:val="70BE7D37"/>
    <w:rsid w:val="70BFE977"/>
    <w:rsid w:val="70DEAE17"/>
    <w:rsid w:val="70F4743B"/>
    <w:rsid w:val="70FD9B50"/>
    <w:rsid w:val="7105AF12"/>
    <w:rsid w:val="710D76EE"/>
    <w:rsid w:val="7117B393"/>
    <w:rsid w:val="711A3812"/>
    <w:rsid w:val="711F3CF3"/>
    <w:rsid w:val="7126AFAA"/>
    <w:rsid w:val="7127117D"/>
    <w:rsid w:val="712C40D8"/>
    <w:rsid w:val="71336D62"/>
    <w:rsid w:val="71380331"/>
    <w:rsid w:val="713836BB"/>
    <w:rsid w:val="713E0724"/>
    <w:rsid w:val="713F72A5"/>
    <w:rsid w:val="714A4114"/>
    <w:rsid w:val="7151A687"/>
    <w:rsid w:val="71601969"/>
    <w:rsid w:val="716E108E"/>
    <w:rsid w:val="716ED55F"/>
    <w:rsid w:val="71765565"/>
    <w:rsid w:val="717F8C3F"/>
    <w:rsid w:val="7187C05E"/>
    <w:rsid w:val="718C403A"/>
    <w:rsid w:val="718E4B49"/>
    <w:rsid w:val="7192767F"/>
    <w:rsid w:val="71990AC1"/>
    <w:rsid w:val="71A3EE33"/>
    <w:rsid w:val="71AB8D11"/>
    <w:rsid w:val="71ACB9A0"/>
    <w:rsid w:val="71BF1440"/>
    <w:rsid w:val="71BF7ABF"/>
    <w:rsid w:val="71C17977"/>
    <w:rsid w:val="71C20B62"/>
    <w:rsid w:val="71C57711"/>
    <w:rsid w:val="71C675A1"/>
    <w:rsid w:val="71CD3A96"/>
    <w:rsid w:val="71DA71FC"/>
    <w:rsid w:val="71DAB142"/>
    <w:rsid w:val="71DDFA66"/>
    <w:rsid w:val="71E072F5"/>
    <w:rsid w:val="71E67E18"/>
    <w:rsid w:val="71E96C20"/>
    <w:rsid w:val="71ED7109"/>
    <w:rsid w:val="71F0D9C4"/>
    <w:rsid w:val="71F3F32F"/>
    <w:rsid w:val="71F8666D"/>
    <w:rsid w:val="71FB9F0D"/>
    <w:rsid w:val="71FF4F2D"/>
    <w:rsid w:val="7200D51F"/>
    <w:rsid w:val="720C6711"/>
    <w:rsid w:val="72272D9E"/>
    <w:rsid w:val="722A64BF"/>
    <w:rsid w:val="722B053C"/>
    <w:rsid w:val="7230308E"/>
    <w:rsid w:val="7233F491"/>
    <w:rsid w:val="72364453"/>
    <w:rsid w:val="72528EB0"/>
    <w:rsid w:val="72572DC7"/>
    <w:rsid w:val="725B3795"/>
    <w:rsid w:val="726A9BE7"/>
    <w:rsid w:val="726E9DAD"/>
    <w:rsid w:val="72717E91"/>
    <w:rsid w:val="727233E8"/>
    <w:rsid w:val="7273520B"/>
    <w:rsid w:val="727E3D9C"/>
    <w:rsid w:val="727E8DA1"/>
    <w:rsid w:val="727EBAEF"/>
    <w:rsid w:val="72822497"/>
    <w:rsid w:val="72884186"/>
    <w:rsid w:val="72885716"/>
    <w:rsid w:val="72BB9495"/>
    <w:rsid w:val="72C7ECCD"/>
    <w:rsid w:val="72C95A36"/>
    <w:rsid w:val="72CE0B0E"/>
    <w:rsid w:val="72D33107"/>
    <w:rsid w:val="72D791AF"/>
    <w:rsid w:val="72E1D5C5"/>
    <w:rsid w:val="72E9EAF4"/>
    <w:rsid w:val="72EBD51E"/>
    <w:rsid w:val="72EDD074"/>
    <w:rsid w:val="72F39F64"/>
    <w:rsid w:val="7301302C"/>
    <w:rsid w:val="7309EA07"/>
    <w:rsid w:val="73135BFF"/>
    <w:rsid w:val="731BF9BF"/>
    <w:rsid w:val="73250FD9"/>
    <w:rsid w:val="73292219"/>
    <w:rsid w:val="732C23AF"/>
    <w:rsid w:val="732F2705"/>
    <w:rsid w:val="7333CA13"/>
    <w:rsid w:val="733553C4"/>
    <w:rsid w:val="7353D72A"/>
    <w:rsid w:val="7354DC61"/>
    <w:rsid w:val="7359079E"/>
    <w:rsid w:val="735B47C9"/>
    <w:rsid w:val="735EB106"/>
    <w:rsid w:val="73759BEB"/>
    <w:rsid w:val="737D6D0D"/>
    <w:rsid w:val="738422D3"/>
    <w:rsid w:val="73855AAD"/>
    <w:rsid w:val="73859914"/>
    <w:rsid w:val="738CE5D7"/>
    <w:rsid w:val="739088E4"/>
    <w:rsid w:val="739ADFED"/>
    <w:rsid w:val="73A15DEB"/>
    <w:rsid w:val="73A4EB7B"/>
    <w:rsid w:val="73AED047"/>
    <w:rsid w:val="73B8A499"/>
    <w:rsid w:val="73B8BE85"/>
    <w:rsid w:val="73C03752"/>
    <w:rsid w:val="73C1AA48"/>
    <w:rsid w:val="73C69272"/>
    <w:rsid w:val="73C88A69"/>
    <w:rsid w:val="73E023D2"/>
    <w:rsid w:val="73E290D7"/>
    <w:rsid w:val="73E4D616"/>
    <w:rsid w:val="73E64600"/>
    <w:rsid w:val="73EAECF5"/>
    <w:rsid w:val="74111363"/>
    <w:rsid w:val="741A1C8D"/>
    <w:rsid w:val="741E7DCA"/>
    <w:rsid w:val="742957B8"/>
    <w:rsid w:val="742C14FD"/>
    <w:rsid w:val="742E5425"/>
    <w:rsid w:val="7438E85D"/>
    <w:rsid w:val="743B8090"/>
    <w:rsid w:val="744B4F6D"/>
    <w:rsid w:val="744BD7FB"/>
    <w:rsid w:val="7452EC98"/>
    <w:rsid w:val="746DD76E"/>
    <w:rsid w:val="7471BE5C"/>
    <w:rsid w:val="747CAB3E"/>
    <w:rsid w:val="747D2523"/>
    <w:rsid w:val="748C1E29"/>
    <w:rsid w:val="748C755B"/>
    <w:rsid w:val="748D8C60"/>
    <w:rsid w:val="7492B307"/>
    <w:rsid w:val="7499F291"/>
    <w:rsid w:val="74A04452"/>
    <w:rsid w:val="74A06EDD"/>
    <w:rsid w:val="74A0DF23"/>
    <w:rsid w:val="74A18D30"/>
    <w:rsid w:val="74A3252A"/>
    <w:rsid w:val="74A47A06"/>
    <w:rsid w:val="74A9C6FE"/>
    <w:rsid w:val="74B09A2F"/>
    <w:rsid w:val="74B535AC"/>
    <w:rsid w:val="74B5647D"/>
    <w:rsid w:val="74B57E21"/>
    <w:rsid w:val="74B7CA20"/>
    <w:rsid w:val="74B9C773"/>
    <w:rsid w:val="74BFFD7D"/>
    <w:rsid w:val="74C2769D"/>
    <w:rsid w:val="74CF72D3"/>
    <w:rsid w:val="74D7EAED"/>
    <w:rsid w:val="74DC1D54"/>
    <w:rsid w:val="74DCD066"/>
    <w:rsid w:val="74E1CEB7"/>
    <w:rsid w:val="74E3DC69"/>
    <w:rsid w:val="74E98543"/>
    <w:rsid w:val="74F50224"/>
    <w:rsid w:val="74F6CF09"/>
    <w:rsid w:val="74F87A82"/>
    <w:rsid w:val="74FB4F1A"/>
    <w:rsid w:val="750C1478"/>
    <w:rsid w:val="750DDF80"/>
    <w:rsid w:val="750E44E9"/>
    <w:rsid w:val="7517B633"/>
    <w:rsid w:val="7521FCA8"/>
    <w:rsid w:val="7529ACDC"/>
    <w:rsid w:val="752F7654"/>
    <w:rsid w:val="75301755"/>
    <w:rsid w:val="75330789"/>
    <w:rsid w:val="7536B6A4"/>
    <w:rsid w:val="753783C5"/>
    <w:rsid w:val="7540335F"/>
    <w:rsid w:val="75430B42"/>
    <w:rsid w:val="754FC8F5"/>
    <w:rsid w:val="7562C3A6"/>
    <w:rsid w:val="756BD13A"/>
    <w:rsid w:val="756CE8D5"/>
    <w:rsid w:val="7573EB57"/>
    <w:rsid w:val="7577635F"/>
    <w:rsid w:val="757DF840"/>
    <w:rsid w:val="75807B5C"/>
    <w:rsid w:val="7583AD0D"/>
    <w:rsid w:val="7586A794"/>
    <w:rsid w:val="7589E17C"/>
    <w:rsid w:val="758E7ED2"/>
    <w:rsid w:val="75A311D0"/>
    <w:rsid w:val="75A91F53"/>
    <w:rsid w:val="75B1A1A2"/>
    <w:rsid w:val="75BDDA74"/>
    <w:rsid w:val="75C34FB9"/>
    <w:rsid w:val="75CC1296"/>
    <w:rsid w:val="75D2DFD3"/>
    <w:rsid w:val="75E15DCF"/>
    <w:rsid w:val="75F2686F"/>
    <w:rsid w:val="76093CA8"/>
    <w:rsid w:val="7613F5CF"/>
    <w:rsid w:val="761907F5"/>
    <w:rsid w:val="7620FF97"/>
    <w:rsid w:val="76255183"/>
    <w:rsid w:val="763AFCAC"/>
    <w:rsid w:val="763C4201"/>
    <w:rsid w:val="763EF58B"/>
    <w:rsid w:val="7641C564"/>
    <w:rsid w:val="7641ECCF"/>
    <w:rsid w:val="7643F8DF"/>
    <w:rsid w:val="76503062"/>
    <w:rsid w:val="76530CC4"/>
    <w:rsid w:val="7653B60F"/>
    <w:rsid w:val="765DC82D"/>
    <w:rsid w:val="7664F028"/>
    <w:rsid w:val="76655391"/>
    <w:rsid w:val="766990A0"/>
    <w:rsid w:val="766BE8B5"/>
    <w:rsid w:val="767E01D0"/>
    <w:rsid w:val="7684071E"/>
    <w:rsid w:val="7685B0BC"/>
    <w:rsid w:val="76871D8D"/>
    <w:rsid w:val="7687A502"/>
    <w:rsid w:val="7689DB9E"/>
    <w:rsid w:val="768D69DF"/>
    <w:rsid w:val="7693358E"/>
    <w:rsid w:val="76A9990E"/>
    <w:rsid w:val="76A9AFE1"/>
    <w:rsid w:val="76AD0E54"/>
    <w:rsid w:val="76BEFA94"/>
    <w:rsid w:val="76C1C0B2"/>
    <w:rsid w:val="76C4DF67"/>
    <w:rsid w:val="76D0F70B"/>
    <w:rsid w:val="76D6F1D0"/>
    <w:rsid w:val="76D6FC7E"/>
    <w:rsid w:val="76DA85C5"/>
    <w:rsid w:val="76DC03C0"/>
    <w:rsid w:val="76E1926D"/>
    <w:rsid w:val="76E83553"/>
    <w:rsid w:val="76EB891A"/>
    <w:rsid w:val="76F133F1"/>
    <w:rsid w:val="76F37BBC"/>
    <w:rsid w:val="76F6092A"/>
    <w:rsid w:val="76FDBCD0"/>
    <w:rsid w:val="77042FE7"/>
    <w:rsid w:val="7709E652"/>
    <w:rsid w:val="770A2BB6"/>
    <w:rsid w:val="770CD504"/>
    <w:rsid w:val="77119C01"/>
    <w:rsid w:val="77154C11"/>
    <w:rsid w:val="77197DBC"/>
    <w:rsid w:val="771B3E8D"/>
    <w:rsid w:val="771ECEA7"/>
    <w:rsid w:val="77202D1D"/>
    <w:rsid w:val="7729CE9F"/>
    <w:rsid w:val="772F34F8"/>
    <w:rsid w:val="772FA97D"/>
    <w:rsid w:val="773CD8A7"/>
    <w:rsid w:val="77424B25"/>
    <w:rsid w:val="774685F2"/>
    <w:rsid w:val="77530B89"/>
    <w:rsid w:val="77541B42"/>
    <w:rsid w:val="775699E2"/>
    <w:rsid w:val="7756FBBF"/>
    <w:rsid w:val="775C0029"/>
    <w:rsid w:val="775F17B3"/>
    <w:rsid w:val="775F8153"/>
    <w:rsid w:val="77697F81"/>
    <w:rsid w:val="776A24A0"/>
    <w:rsid w:val="7770F4CF"/>
    <w:rsid w:val="77760B76"/>
    <w:rsid w:val="77857A7C"/>
    <w:rsid w:val="7790E6EF"/>
    <w:rsid w:val="779B8FC6"/>
    <w:rsid w:val="77A8A672"/>
    <w:rsid w:val="77AE9120"/>
    <w:rsid w:val="77B4B049"/>
    <w:rsid w:val="77B5E050"/>
    <w:rsid w:val="77BF2CDA"/>
    <w:rsid w:val="77C6F228"/>
    <w:rsid w:val="77CCDF4C"/>
    <w:rsid w:val="77CEB471"/>
    <w:rsid w:val="77D251ED"/>
    <w:rsid w:val="77E3E7CE"/>
    <w:rsid w:val="77E791D5"/>
    <w:rsid w:val="77EB31ED"/>
    <w:rsid w:val="77EB65E9"/>
    <w:rsid w:val="77EDA17F"/>
    <w:rsid w:val="77EEE6D3"/>
    <w:rsid w:val="77F0EB08"/>
    <w:rsid w:val="77F1C109"/>
    <w:rsid w:val="77F5BD9B"/>
    <w:rsid w:val="77F8A032"/>
    <w:rsid w:val="77FB0F8A"/>
    <w:rsid w:val="77FF2922"/>
    <w:rsid w:val="7809143A"/>
    <w:rsid w:val="780CE68A"/>
    <w:rsid w:val="780D831C"/>
    <w:rsid w:val="780DD2E2"/>
    <w:rsid w:val="78142FE2"/>
    <w:rsid w:val="7814B65B"/>
    <w:rsid w:val="78186987"/>
    <w:rsid w:val="7818760D"/>
    <w:rsid w:val="7819C77F"/>
    <w:rsid w:val="782AE2A2"/>
    <w:rsid w:val="782B268C"/>
    <w:rsid w:val="78518274"/>
    <w:rsid w:val="7851E66E"/>
    <w:rsid w:val="785A94A9"/>
    <w:rsid w:val="785ACAF5"/>
    <w:rsid w:val="78637D53"/>
    <w:rsid w:val="78680A5C"/>
    <w:rsid w:val="7872CCDF"/>
    <w:rsid w:val="78791D56"/>
    <w:rsid w:val="787A6A7E"/>
    <w:rsid w:val="787A8776"/>
    <w:rsid w:val="787ABA65"/>
    <w:rsid w:val="787DED3A"/>
    <w:rsid w:val="7881694E"/>
    <w:rsid w:val="78888FB7"/>
    <w:rsid w:val="788901C2"/>
    <w:rsid w:val="7899849B"/>
    <w:rsid w:val="78A729FB"/>
    <w:rsid w:val="78B2C642"/>
    <w:rsid w:val="78C1D4ED"/>
    <w:rsid w:val="78C61F94"/>
    <w:rsid w:val="78CB1CC1"/>
    <w:rsid w:val="78CB79DE"/>
    <w:rsid w:val="78D3984F"/>
    <w:rsid w:val="78D4B6EE"/>
    <w:rsid w:val="78EB80F5"/>
    <w:rsid w:val="78ED8DB0"/>
    <w:rsid w:val="78F252F6"/>
    <w:rsid w:val="78F7989A"/>
    <w:rsid w:val="78F8B63E"/>
    <w:rsid w:val="78F9B9F9"/>
    <w:rsid w:val="790AE494"/>
    <w:rsid w:val="79104E5F"/>
    <w:rsid w:val="7911DBD7"/>
    <w:rsid w:val="79122395"/>
    <w:rsid w:val="7915B3F3"/>
    <w:rsid w:val="791C6C28"/>
    <w:rsid w:val="79268021"/>
    <w:rsid w:val="79272C16"/>
    <w:rsid w:val="792EB44E"/>
    <w:rsid w:val="79323C5E"/>
    <w:rsid w:val="793E8462"/>
    <w:rsid w:val="794F2D45"/>
    <w:rsid w:val="79535FE0"/>
    <w:rsid w:val="7955C4CF"/>
    <w:rsid w:val="795610C3"/>
    <w:rsid w:val="795C3E66"/>
    <w:rsid w:val="7963265E"/>
    <w:rsid w:val="79668FD2"/>
    <w:rsid w:val="796F45C1"/>
    <w:rsid w:val="796FC6E7"/>
    <w:rsid w:val="79798A10"/>
    <w:rsid w:val="797C103C"/>
    <w:rsid w:val="7980CC52"/>
    <w:rsid w:val="7988EF44"/>
    <w:rsid w:val="798A13B0"/>
    <w:rsid w:val="79AAC062"/>
    <w:rsid w:val="79AC0123"/>
    <w:rsid w:val="79B439E8"/>
    <w:rsid w:val="79B8A727"/>
    <w:rsid w:val="79BB706F"/>
    <w:rsid w:val="79C601F6"/>
    <w:rsid w:val="79CA2625"/>
    <w:rsid w:val="79CAD650"/>
    <w:rsid w:val="79D32394"/>
    <w:rsid w:val="79D924FA"/>
    <w:rsid w:val="79DC5567"/>
    <w:rsid w:val="79E252BA"/>
    <w:rsid w:val="79EFA008"/>
    <w:rsid w:val="79FDFD37"/>
    <w:rsid w:val="7A08E0E9"/>
    <w:rsid w:val="7A0FD80B"/>
    <w:rsid w:val="7A11B6DC"/>
    <w:rsid w:val="7A280009"/>
    <w:rsid w:val="7A3246B3"/>
    <w:rsid w:val="7A351567"/>
    <w:rsid w:val="7A4560B9"/>
    <w:rsid w:val="7A4F22A2"/>
    <w:rsid w:val="7A4F7148"/>
    <w:rsid w:val="7A560E22"/>
    <w:rsid w:val="7A5BC2DF"/>
    <w:rsid w:val="7A5F896B"/>
    <w:rsid w:val="7A61AB6C"/>
    <w:rsid w:val="7A69E78A"/>
    <w:rsid w:val="7A6A5940"/>
    <w:rsid w:val="7A76B3B8"/>
    <w:rsid w:val="7A817F1E"/>
    <w:rsid w:val="7A845579"/>
    <w:rsid w:val="7A84A7D1"/>
    <w:rsid w:val="7A9B5681"/>
    <w:rsid w:val="7AA24FED"/>
    <w:rsid w:val="7AA37D08"/>
    <w:rsid w:val="7AA7C4DE"/>
    <w:rsid w:val="7AABBC1A"/>
    <w:rsid w:val="7AB06881"/>
    <w:rsid w:val="7ABA0B28"/>
    <w:rsid w:val="7ABCC4D9"/>
    <w:rsid w:val="7ABCE0E0"/>
    <w:rsid w:val="7AC0513B"/>
    <w:rsid w:val="7AC8B864"/>
    <w:rsid w:val="7ACC493B"/>
    <w:rsid w:val="7ACCE8A1"/>
    <w:rsid w:val="7ACD2302"/>
    <w:rsid w:val="7AD42F9E"/>
    <w:rsid w:val="7AD806FC"/>
    <w:rsid w:val="7AE935AA"/>
    <w:rsid w:val="7AF6E6F4"/>
    <w:rsid w:val="7B078E6D"/>
    <w:rsid w:val="7B0F0D02"/>
    <w:rsid w:val="7B13BB8A"/>
    <w:rsid w:val="7B153687"/>
    <w:rsid w:val="7B18D424"/>
    <w:rsid w:val="7B22D2AF"/>
    <w:rsid w:val="7B248CBE"/>
    <w:rsid w:val="7B251CFF"/>
    <w:rsid w:val="7B264FFF"/>
    <w:rsid w:val="7B2E11AF"/>
    <w:rsid w:val="7B4C143F"/>
    <w:rsid w:val="7B50D7E3"/>
    <w:rsid w:val="7B562BDA"/>
    <w:rsid w:val="7B5C9783"/>
    <w:rsid w:val="7B6983AD"/>
    <w:rsid w:val="7B6F8347"/>
    <w:rsid w:val="7B7E09AB"/>
    <w:rsid w:val="7B86F7B7"/>
    <w:rsid w:val="7B933069"/>
    <w:rsid w:val="7B9D498F"/>
    <w:rsid w:val="7B9FAEFC"/>
    <w:rsid w:val="7BAA045C"/>
    <w:rsid w:val="7BAA6EB2"/>
    <w:rsid w:val="7BAE2194"/>
    <w:rsid w:val="7BB00B62"/>
    <w:rsid w:val="7BB4FFAC"/>
    <w:rsid w:val="7BB65AF7"/>
    <w:rsid w:val="7BB7C1A4"/>
    <w:rsid w:val="7BC4C44F"/>
    <w:rsid w:val="7BC55DA2"/>
    <w:rsid w:val="7BCF1912"/>
    <w:rsid w:val="7BD2821F"/>
    <w:rsid w:val="7BDD1B49"/>
    <w:rsid w:val="7BE1BEF5"/>
    <w:rsid w:val="7BE380BD"/>
    <w:rsid w:val="7BE64B8B"/>
    <w:rsid w:val="7BE683E9"/>
    <w:rsid w:val="7BE828C2"/>
    <w:rsid w:val="7BF36C46"/>
    <w:rsid w:val="7BF5EF66"/>
    <w:rsid w:val="7BF68831"/>
    <w:rsid w:val="7BFD52A5"/>
    <w:rsid w:val="7BFFCD40"/>
    <w:rsid w:val="7C003713"/>
    <w:rsid w:val="7C06EABC"/>
    <w:rsid w:val="7C0DA83F"/>
    <w:rsid w:val="7C18661F"/>
    <w:rsid w:val="7C1DFC2D"/>
    <w:rsid w:val="7C20A7BA"/>
    <w:rsid w:val="7C2F088C"/>
    <w:rsid w:val="7C3160BB"/>
    <w:rsid w:val="7C364D1B"/>
    <w:rsid w:val="7C401D37"/>
    <w:rsid w:val="7C41D80C"/>
    <w:rsid w:val="7C4C47D9"/>
    <w:rsid w:val="7C4CEB44"/>
    <w:rsid w:val="7C5225A4"/>
    <w:rsid w:val="7C52BCE5"/>
    <w:rsid w:val="7C59904A"/>
    <w:rsid w:val="7C619D3D"/>
    <w:rsid w:val="7C66CCC4"/>
    <w:rsid w:val="7C69DD20"/>
    <w:rsid w:val="7C715B71"/>
    <w:rsid w:val="7C76D20C"/>
    <w:rsid w:val="7C8AD545"/>
    <w:rsid w:val="7C90A108"/>
    <w:rsid w:val="7C91D04F"/>
    <w:rsid w:val="7C95A5D0"/>
    <w:rsid w:val="7C9FE2EF"/>
    <w:rsid w:val="7CA1A267"/>
    <w:rsid w:val="7CA88C15"/>
    <w:rsid w:val="7CA9B3A8"/>
    <w:rsid w:val="7CAAA56F"/>
    <w:rsid w:val="7CAF15A1"/>
    <w:rsid w:val="7CAF761F"/>
    <w:rsid w:val="7CB106E8"/>
    <w:rsid w:val="7CC0AF62"/>
    <w:rsid w:val="7CC41393"/>
    <w:rsid w:val="7CC75F6C"/>
    <w:rsid w:val="7CD7279C"/>
    <w:rsid w:val="7CEE05E6"/>
    <w:rsid w:val="7CF2DAF3"/>
    <w:rsid w:val="7CFF5741"/>
    <w:rsid w:val="7D04ED8F"/>
    <w:rsid w:val="7D0CFDC3"/>
    <w:rsid w:val="7D115EBF"/>
    <w:rsid w:val="7D117517"/>
    <w:rsid w:val="7D156B2F"/>
    <w:rsid w:val="7D1A3F9F"/>
    <w:rsid w:val="7D1CFB9D"/>
    <w:rsid w:val="7D295C76"/>
    <w:rsid w:val="7D2D5962"/>
    <w:rsid w:val="7D331383"/>
    <w:rsid w:val="7D384C10"/>
    <w:rsid w:val="7D39A79C"/>
    <w:rsid w:val="7D4A892E"/>
    <w:rsid w:val="7D4B4544"/>
    <w:rsid w:val="7D4BF0CC"/>
    <w:rsid w:val="7D600DDE"/>
    <w:rsid w:val="7D62A6EA"/>
    <w:rsid w:val="7D63F759"/>
    <w:rsid w:val="7D75F7FF"/>
    <w:rsid w:val="7D806D3E"/>
    <w:rsid w:val="7D8156A6"/>
    <w:rsid w:val="7D9234E7"/>
    <w:rsid w:val="7D93B01B"/>
    <w:rsid w:val="7D9BD59E"/>
    <w:rsid w:val="7D9C9F19"/>
    <w:rsid w:val="7D9EFCF9"/>
    <w:rsid w:val="7DA978A0"/>
    <w:rsid w:val="7DAE47D8"/>
    <w:rsid w:val="7DCAD586"/>
    <w:rsid w:val="7DD10DBC"/>
    <w:rsid w:val="7DE0A454"/>
    <w:rsid w:val="7DE1B0E4"/>
    <w:rsid w:val="7DE262F2"/>
    <w:rsid w:val="7DE80A9D"/>
    <w:rsid w:val="7DEAE464"/>
    <w:rsid w:val="7DEFACB2"/>
    <w:rsid w:val="7DF0B4CD"/>
    <w:rsid w:val="7DF51D40"/>
    <w:rsid w:val="7E0073CD"/>
    <w:rsid w:val="7E011470"/>
    <w:rsid w:val="7E09B5FA"/>
    <w:rsid w:val="7E0E5CAB"/>
    <w:rsid w:val="7E0FE84A"/>
    <w:rsid w:val="7E12E91F"/>
    <w:rsid w:val="7E18B03E"/>
    <w:rsid w:val="7E246D7E"/>
    <w:rsid w:val="7E290473"/>
    <w:rsid w:val="7E35FE6B"/>
    <w:rsid w:val="7E3B3ACE"/>
    <w:rsid w:val="7E3E8608"/>
    <w:rsid w:val="7E402358"/>
    <w:rsid w:val="7E4160BC"/>
    <w:rsid w:val="7E43380A"/>
    <w:rsid w:val="7E48E7FA"/>
    <w:rsid w:val="7E555B09"/>
    <w:rsid w:val="7E59FF29"/>
    <w:rsid w:val="7E5EAC66"/>
    <w:rsid w:val="7E5EF7E7"/>
    <w:rsid w:val="7E6E82AE"/>
    <w:rsid w:val="7E72606E"/>
    <w:rsid w:val="7E731C43"/>
    <w:rsid w:val="7EA25BF8"/>
    <w:rsid w:val="7EACF737"/>
    <w:rsid w:val="7EB58B35"/>
    <w:rsid w:val="7EB73B40"/>
    <w:rsid w:val="7EBE8B90"/>
    <w:rsid w:val="7EBFE90C"/>
    <w:rsid w:val="7EBFFD78"/>
    <w:rsid w:val="7EC008BE"/>
    <w:rsid w:val="7ECE7192"/>
    <w:rsid w:val="7ED12267"/>
    <w:rsid w:val="7ED211DD"/>
    <w:rsid w:val="7ED2E102"/>
    <w:rsid w:val="7EEB521A"/>
    <w:rsid w:val="7EF967B0"/>
    <w:rsid w:val="7EFA4B2C"/>
    <w:rsid w:val="7EFCE661"/>
    <w:rsid w:val="7F00859A"/>
    <w:rsid w:val="7F01F480"/>
    <w:rsid w:val="7F03A471"/>
    <w:rsid w:val="7F0D4F51"/>
    <w:rsid w:val="7F16897E"/>
    <w:rsid w:val="7F1DF92B"/>
    <w:rsid w:val="7F22B33D"/>
    <w:rsid w:val="7F241210"/>
    <w:rsid w:val="7F2B0D08"/>
    <w:rsid w:val="7F2B345A"/>
    <w:rsid w:val="7F3EF0BD"/>
    <w:rsid w:val="7F4A3C9B"/>
    <w:rsid w:val="7F58760D"/>
    <w:rsid w:val="7F58F39F"/>
    <w:rsid w:val="7F5D390F"/>
    <w:rsid w:val="7F620D61"/>
    <w:rsid w:val="7F625227"/>
    <w:rsid w:val="7F6425DA"/>
    <w:rsid w:val="7F686578"/>
    <w:rsid w:val="7F6AA768"/>
    <w:rsid w:val="7F6D2B31"/>
    <w:rsid w:val="7F7A5FEA"/>
    <w:rsid w:val="7F7B7A84"/>
    <w:rsid w:val="7F865391"/>
    <w:rsid w:val="7F8A9177"/>
    <w:rsid w:val="7F931E29"/>
    <w:rsid w:val="7F9646EF"/>
    <w:rsid w:val="7F970D7A"/>
    <w:rsid w:val="7F972117"/>
    <w:rsid w:val="7F99F006"/>
    <w:rsid w:val="7FABD2E5"/>
    <w:rsid w:val="7FAE07AC"/>
    <w:rsid w:val="7FB841A1"/>
    <w:rsid w:val="7FBEEDF5"/>
    <w:rsid w:val="7FC1E98B"/>
    <w:rsid w:val="7FCCA548"/>
    <w:rsid w:val="7FCDD5CE"/>
    <w:rsid w:val="7FD1FC47"/>
    <w:rsid w:val="7FD2B05B"/>
    <w:rsid w:val="7FD5D156"/>
    <w:rsid w:val="7FD90B02"/>
    <w:rsid w:val="7FE389EE"/>
    <w:rsid w:val="7FE45CEE"/>
    <w:rsid w:val="7FE8A7AA"/>
    <w:rsid w:val="7FED5F75"/>
    <w:rsid w:val="7FEE0C33"/>
    <w:rsid w:val="7FEF1A33"/>
    <w:rsid w:val="7FEFF9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A4C51A"/>
  <w15:chartTrackingRefBased/>
  <w15:docId w15:val="{3A071C54-D24A-43DA-B608-2CDA8890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83C"/>
    <w:pPr>
      <w:spacing w:before="160"/>
    </w:pPr>
    <w:rPr>
      <w:rFonts w:ascii="Arial" w:hAnsi="Arial"/>
      <w:lang w:val="en-AU"/>
    </w:rPr>
  </w:style>
  <w:style w:type="paragraph" w:styleId="Heading1">
    <w:name w:val="heading 1"/>
    <w:basedOn w:val="Normal"/>
    <w:next w:val="Normal"/>
    <w:link w:val="Heading1Char"/>
    <w:uiPriority w:val="9"/>
    <w:qFormat/>
    <w:rsid w:val="005464BA"/>
    <w:pPr>
      <w:keepNext/>
      <w:numPr>
        <w:numId w:val="2"/>
      </w:numPr>
      <w:spacing w:before="240" w:after="480" w:line="480" w:lineRule="exact"/>
      <w:ind w:left="709" w:hanging="709"/>
      <w:outlineLvl w:val="0"/>
    </w:pPr>
    <w:rPr>
      <w:rFonts w:ascii="Times New Roman" w:eastAsiaTheme="majorEastAsia" w:hAnsi="Times New Roman" w:cs="Times New Roman"/>
      <w:color w:val="1F3864" w:themeColor="accent1" w:themeShade="80"/>
      <w:sz w:val="48"/>
      <w:szCs w:val="48"/>
    </w:rPr>
  </w:style>
  <w:style w:type="paragraph" w:styleId="Heading2">
    <w:name w:val="heading 2"/>
    <w:basedOn w:val="Normal"/>
    <w:next w:val="Normal"/>
    <w:link w:val="Heading2Char"/>
    <w:uiPriority w:val="9"/>
    <w:unhideWhenUsed/>
    <w:qFormat/>
    <w:rsid w:val="00EB7114"/>
    <w:pPr>
      <w:keepNext/>
      <w:numPr>
        <w:ilvl w:val="1"/>
        <w:numId w:val="2"/>
      </w:numPr>
      <w:spacing w:before="520" w:after="120" w:line="300" w:lineRule="exact"/>
      <w:outlineLvl w:val="1"/>
    </w:pPr>
    <w:rPr>
      <w:rFonts w:ascii="Times New Roman" w:eastAsiaTheme="majorEastAsia" w:hAnsi="Times New Roman" w:cs="Times New Roman"/>
      <w:color w:val="1F3864" w:themeColor="accent1" w:themeShade="80"/>
      <w:sz w:val="28"/>
      <w:szCs w:val="28"/>
    </w:rPr>
  </w:style>
  <w:style w:type="paragraph" w:styleId="Heading3">
    <w:name w:val="heading 3"/>
    <w:basedOn w:val="Normal"/>
    <w:next w:val="Normal"/>
    <w:link w:val="Heading3Char"/>
    <w:uiPriority w:val="9"/>
    <w:unhideWhenUsed/>
    <w:qFormat/>
    <w:rsid w:val="005464BA"/>
    <w:pPr>
      <w:keepNext/>
      <w:numPr>
        <w:ilvl w:val="2"/>
        <w:numId w:val="2"/>
      </w:numPr>
      <w:spacing w:before="240" w:after="120" w:line="260" w:lineRule="exact"/>
      <w:ind w:left="720"/>
      <w:outlineLvl w:val="2"/>
    </w:pPr>
    <w:rPr>
      <w:rFonts w:eastAsiaTheme="majorEastAsia" w:cs="Arial"/>
      <w:b/>
      <w:bCs/>
      <w:color w:val="1F3763"/>
      <w:sz w:val="20"/>
      <w:szCs w:val="20"/>
    </w:rPr>
  </w:style>
  <w:style w:type="paragraph" w:styleId="Heading4">
    <w:name w:val="heading 4"/>
    <w:basedOn w:val="Normal"/>
    <w:next w:val="Normal"/>
    <w:link w:val="Heading4Char"/>
    <w:uiPriority w:val="9"/>
    <w:unhideWhenUsed/>
    <w:qFormat/>
    <w:rsid w:val="5303B07C"/>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627B2"/>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627B2"/>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5627B2"/>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5627B2"/>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5627B2"/>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4E2"/>
    <w:pPr>
      <w:spacing w:before="60" w:after="60" w:line="240" w:lineRule="exact"/>
      <w:ind w:left="720"/>
    </w:p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basedOn w:val="DefaultParagraphFont"/>
    <w:link w:val="FootnoteText"/>
    <w:uiPriority w:val="99"/>
    <w:rsid w:val="005464BA"/>
    <w:rPr>
      <w:rFonts w:ascii="Arial" w:hAnsi="Arial"/>
      <w:sz w:val="16"/>
      <w:szCs w:val="16"/>
      <w:lang w:val="en-AU"/>
    </w:rPr>
  </w:style>
  <w:style w:type="paragraph" w:styleId="FootnoteText">
    <w:name w:val="footnote text"/>
    <w:basedOn w:val="Normal"/>
    <w:link w:val="FootnoteTextChar"/>
    <w:uiPriority w:val="99"/>
    <w:unhideWhenUsed/>
    <w:rsid w:val="005464BA"/>
    <w:pPr>
      <w:spacing w:before="0" w:after="0" w:line="200" w:lineRule="exact"/>
    </w:pPr>
    <w:rPr>
      <w:sz w:val="16"/>
      <w:szCs w:val="16"/>
    </w:rPr>
  </w:style>
  <w:style w:type="paragraph" w:styleId="CommentText">
    <w:name w:val="annotation text"/>
    <w:basedOn w:val="Normal"/>
    <w:link w:val="CommentTextChar"/>
    <w:uiPriority w:val="99"/>
    <w:unhideWhenUsed/>
    <w:rsid w:val="5303B07C"/>
    <w:rPr>
      <w:sz w:val="20"/>
      <w:szCs w:val="20"/>
    </w:rPr>
  </w:style>
  <w:style w:type="character" w:customStyle="1" w:styleId="CommentTextChar">
    <w:name w:val="Comment Text Char"/>
    <w:basedOn w:val="DefaultParagraphFont"/>
    <w:link w:val="CommentText"/>
    <w:uiPriority w:val="99"/>
    <w:rPr>
      <w:sz w:val="20"/>
      <w:szCs w:val="20"/>
      <w:lang w:val="en-AU"/>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5303B07C"/>
    <w:pPr>
      <w:spacing w:after="0"/>
    </w:pPr>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eastAsiaTheme="minorEastAsia" w:hAnsi="Segoe UI" w:cs="Segoe UI"/>
      <w:sz w:val="18"/>
      <w:szCs w:val="18"/>
      <w:lang w:val="en-AU"/>
    </w:rPr>
  </w:style>
  <w:style w:type="character" w:customStyle="1" w:styleId="Heading1Char">
    <w:name w:val="Heading 1 Char"/>
    <w:basedOn w:val="DefaultParagraphFont"/>
    <w:link w:val="Heading1"/>
    <w:uiPriority w:val="9"/>
    <w:rsid w:val="005464BA"/>
    <w:rPr>
      <w:rFonts w:ascii="Times New Roman" w:eastAsiaTheme="majorEastAsia" w:hAnsi="Times New Roman" w:cs="Times New Roman"/>
      <w:color w:val="1F3864" w:themeColor="accent1" w:themeShade="80"/>
      <w:sz w:val="48"/>
      <w:szCs w:val="48"/>
      <w:lang w:val="en-AU"/>
    </w:rPr>
  </w:style>
  <w:style w:type="character" w:customStyle="1" w:styleId="Heading2Char">
    <w:name w:val="Heading 2 Char"/>
    <w:basedOn w:val="DefaultParagraphFont"/>
    <w:link w:val="Heading2"/>
    <w:uiPriority w:val="9"/>
    <w:rsid w:val="00EB7114"/>
    <w:rPr>
      <w:rFonts w:ascii="Times New Roman" w:eastAsiaTheme="majorEastAsia" w:hAnsi="Times New Roman" w:cs="Times New Roman"/>
      <w:color w:val="1F3864" w:themeColor="accent1" w:themeShade="80"/>
      <w:sz w:val="28"/>
      <w:szCs w:val="28"/>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lang w:val="en-AU"/>
    </w:rPr>
  </w:style>
  <w:style w:type="paragraph" w:styleId="Caption">
    <w:name w:val="caption"/>
    <w:basedOn w:val="Normal"/>
    <w:next w:val="Normal"/>
    <w:uiPriority w:val="35"/>
    <w:unhideWhenUsed/>
    <w:qFormat/>
    <w:rsid w:val="00C670C2"/>
    <w:pPr>
      <w:keepNext/>
      <w:spacing w:before="200" w:after="240"/>
    </w:pPr>
    <w:rPr>
      <w:i/>
      <w:iCs/>
      <w:color w:val="44546A" w:themeColor="text2"/>
      <w:sz w:val="20"/>
    </w:rPr>
  </w:style>
  <w:style w:type="character" w:customStyle="1" w:styleId="Heading3Char">
    <w:name w:val="Heading 3 Char"/>
    <w:basedOn w:val="DefaultParagraphFont"/>
    <w:link w:val="Heading3"/>
    <w:uiPriority w:val="9"/>
    <w:rsid w:val="005464BA"/>
    <w:rPr>
      <w:rFonts w:ascii="Arial" w:eastAsiaTheme="majorEastAsia" w:hAnsi="Arial" w:cs="Arial"/>
      <w:b/>
      <w:bCs/>
      <w:color w:val="1F3763"/>
      <w:sz w:val="20"/>
      <w:szCs w:val="20"/>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5303B07C"/>
    <w:pPr>
      <w:spacing w:beforeAutospacing="1"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8A009B"/>
    <w:rPr>
      <w:sz w:val="48"/>
      <w:szCs w:val="48"/>
    </w:rPr>
  </w:style>
  <w:style w:type="paragraph" w:styleId="Header">
    <w:name w:val="header"/>
    <w:basedOn w:val="Normal"/>
    <w:link w:val="HeaderChar"/>
    <w:uiPriority w:val="99"/>
    <w:unhideWhenUsed/>
    <w:rsid w:val="5303B07C"/>
    <w:pPr>
      <w:tabs>
        <w:tab w:val="center" w:pos="4513"/>
        <w:tab w:val="right" w:pos="9026"/>
      </w:tabs>
      <w:spacing w:after="0"/>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5303B07C"/>
    <w:pPr>
      <w:tabs>
        <w:tab w:val="center" w:pos="4513"/>
        <w:tab w:val="right" w:pos="9026"/>
      </w:tabs>
      <w:spacing w:after="0"/>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rsid w:val="007C083C"/>
    <w:rPr>
      <w:rFonts w:ascii="Arial" w:hAnsi="Arial" w:cs="Arial"/>
      <w:sz w:val="20"/>
      <w:szCs w:val="20"/>
      <w:lang w:val="en-AU"/>
    </w:rPr>
  </w:style>
  <w:style w:type="paragraph" w:customStyle="1" w:styleId="BodyCopy">
    <w:name w:val="Body Copy"/>
    <w:basedOn w:val="Normal"/>
    <w:link w:val="BodyCopyChar"/>
    <w:qFormat/>
    <w:rsid w:val="007C083C"/>
    <w:pPr>
      <w:spacing w:before="60" w:after="120" w:line="260" w:lineRule="exact"/>
    </w:pPr>
    <w:rPr>
      <w:rFonts w:cs="Arial"/>
      <w:sz w:val="20"/>
      <w:szCs w:val="20"/>
    </w:rPr>
  </w:style>
  <w:style w:type="paragraph" w:customStyle="1" w:styleId="Heading1NoNumbering">
    <w:name w:val="Heading 1 No Numbering"/>
    <w:basedOn w:val="Heading1"/>
    <w:uiPriority w:val="1"/>
    <w:qFormat/>
    <w:rsid w:val="00624F30"/>
    <w:pPr>
      <w:numPr>
        <w:numId w:val="0"/>
      </w:numPr>
      <w:spacing w:after="720" w:line="720" w:lineRule="exact"/>
    </w:pPr>
    <w:rPr>
      <w:sz w:val="72"/>
      <w:szCs w:val="72"/>
    </w:rPr>
  </w:style>
  <w:style w:type="paragraph" w:styleId="TOCHeading">
    <w:name w:val="TOC Heading"/>
    <w:basedOn w:val="Heading1"/>
    <w:next w:val="Normal"/>
    <w:uiPriority w:val="39"/>
    <w:unhideWhenUsed/>
    <w:qFormat/>
    <w:rsid w:val="5303B07C"/>
    <w:rPr>
      <w:lang w:val="en-US"/>
    </w:rPr>
  </w:style>
  <w:style w:type="paragraph" w:styleId="TOC1">
    <w:name w:val="toc 1"/>
    <w:basedOn w:val="Normal"/>
    <w:next w:val="Normal"/>
    <w:uiPriority w:val="39"/>
    <w:unhideWhenUsed/>
    <w:rsid w:val="5303B07C"/>
    <w:pPr>
      <w:spacing w:after="100"/>
    </w:pPr>
  </w:style>
  <w:style w:type="paragraph" w:styleId="TOC2">
    <w:name w:val="toc 2"/>
    <w:basedOn w:val="Normal"/>
    <w:next w:val="Normal"/>
    <w:uiPriority w:val="39"/>
    <w:unhideWhenUsed/>
    <w:rsid w:val="5303B07C"/>
    <w:pPr>
      <w:spacing w:after="100"/>
      <w:ind w:left="220"/>
    </w:pPr>
  </w:style>
  <w:style w:type="paragraph" w:styleId="TOC3">
    <w:name w:val="toc 3"/>
    <w:basedOn w:val="Normal"/>
    <w:next w:val="Normal"/>
    <w:uiPriority w:val="39"/>
    <w:unhideWhenUsed/>
    <w:rsid w:val="5303B07C"/>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1"/>
    <w:uiPriority w:val="1"/>
    <w:qFormat/>
    <w:rsid w:val="008A009B"/>
    <w:pPr>
      <w:numPr>
        <w:numId w:val="0"/>
      </w:numPr>
      <w:spacing w:after="160" w:line="520" w:lineRule="exact"/>
    </w:pPr>
  </w:style>
  <w:style w:type="paragraph" w:customStyle="1" w:styleId="bullet">
    <w:name w:val="bullet"/>
    <w:basedOn w:val="ListParagraph"/>
    <w:uiPriority w:val="1"/>
    <w:qFormat/>
    <w:rsid w:val="5303B07C"/>
    <w:pPr>
      <w:numPr>
        <w:numId w:val="1"/>
      </w:numPr>
      <w:spacing w:after="0"/>
      <w:ind w:left="714" w:hanging="357"/>
    </w:pPr>
    <w:rPr>
      <w:rFonts w:eastAsiaTheme="minorEastAsia"/>
    </w:rPr>
  </w:style>
  <w:style w:type="paragraph" w:styleId="NormalWeb">
    <w:name w:val="Normal (Web)"/>
    <w:basedOn w:val="Normal"/>
    <w:uiPriority w:val="99"/>
    <w:unhideWhenUsed/>
    <w:rsid w:val="5303B07C"/>
    <w:pPr>
      <w:spacing w:beforeAutospacing="1"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53CE8"/>
    <w:rPr>
      <w:b/>
      <w:bCs/>
    </w:rPr>
  </w:style>
  <w:style w:type="character" w:customStyle="1" w:styleId="Heading5Char">
    <w:name w:val="Heading 5 Char"/>
    <w:basedOn w:val="DefaultParagraphFont"/>
    <w:link w:val="Heading5"/>
    <w:uiPriority w:val="9"/>
    <w:rsid w:val="005627B2"/>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5627B2"/>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5627B2"/>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5627B2"/>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5627B2"/>
    <w:rPr>
      <w:rFonts w:asciiTheme="majorHAnsi" w:eastAsiaTheme="majorEastAsia" w:hAnsiTheme="majorHAnsi" w:cstheme="majorBidi"/>
      <w:i/>
      <w:iCs/>
      <w:color w:val="272727"/>
      <w:sz w:val="21"/>
      <w:szCs w:val="21"/>
      <w:lang w:val="en-AU"/>
    </w:rPr>
  </w:style>
  <w:style w:type="paragraph" w:styleId="Title">
    <w:name w:val="Title"/>
    <w:basedOn w:val="Normal"/>
    <w:next w:val="Normal"/>
    <w:link w:val="TitleChar"/>
    <w:uiPriority w:val="10"/>
    <w:qFormat/>
    <w:rsid w:val="005627B2"/>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5627B2"/>
    <w:rPr>
      <w:rFonts w:asciiTheme="majorHAnsi" w:eastAsiaTheme="majorEastAsia" w:hAnsiTheme="majorHAnsi" w:cstheme="majorBidi"/>
      <w:sz w:val="56"/>
      <w:szCs w:val="56"/>
      <w:lang w:val="en-AU"/>
    </w:rPr>
  </w:style>
  <w:style w:type="paragraph" w:styleId="Subtitle">
    <w:name w:val="Subtitle"/>
    <w:basedOn w:val="Normal"/>
    <w:next w:val="Normal"/>
    <w:link w:val="SubtitleChar"/>
    <w:uiPriority w:val="11"/>
    <w:qFormat/>
    <w:rsid w:val="005627B2"/>
    <w:rPr>
      <w:rFonts w:eastAsiaTheme="minorEastAsia"/>
      <w:color w:val="5A5A5A"/>
    </w:rPr>
  </w:style>
  <w:style w:type="character" w:customStyle="1" w:styleId="SubtitleChar">
    <w:name w:val="Subtitle Char"/>
    <w:basedOn w:val="DefaultParagraphFont"/>
    <w:link w:val="Subtitle"/>
    <w:uiPriority w:val="11"/>
    <w:rsid w:val="005627B2"/>
    <w:rPr>
      <w:rFonts w:eastAsiaTheme="minorEastAsia"/>
      <w:color w:val="5A5A5A"/>
      <w:lang w:val="en-AU"/>
    </w:rPr>
  </w:style>
  <w:style w:type="paragraph" w:styleId="Quote">
    <w:name w:val="Quote"/>
    <w:basedOn w:val="Normal"/>
    <w:next w:val="Normal"/>
    <w:link w:val="QuoteChar"/>
    <w:uiPriority w:val="29"/>
    <w:qFormat/>
    <w:rsid w:val="005627B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7B2"/>
    <w:rPr>
      <w:i/>
      <w:iCs/>
      <w:color w:val="404040" w:themeColor="text1" w:themeTint="BF"/>
      <w:lang w:val="en-AU"/>
    </w:rPr>
  </w:style>
  <w:style w:type="paragraph" w:styleId="IntenseQuote">
    <w:name w:val="Intense Quote"/>
    <w:basedOn w:val="Normal"/>
    <w:next w:val="Normal"/>
    <w:link w:val="IntenseQuoteChar"/>
    <w:uiPriority w:val="30"/>
    <w:qFormat/>
    <w:rsid w:val="005627B2"/>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627B2"/>
    <w:rPr>
      <w:i/>
      <w:iCs/>
      <w:color w:val="4472C4" w:themeColor="accent1"/>
      <w:lang w:val="en-AU"/>
    </w:rPr>
  </w:style>
  <w:style w:type="paragraph" w:styleId="TOC4">
    <w:name w:val="toc 4"/>
    <w:basedOn w:val="Normal"/>
    <w:next w:val="Normal"/>
    <w:uiPriority w:val="39"/>
    <w:unhideWhenUsed/>
    <w:rsid w:val="005627B2"/>
    <w:pPr>
      <w:spacing w:after="100"/>
      <w:ind w:left="660"/>
    </w:pPr>
  </w:style>
  <w:style w:type="paragraph" w:styleId="TOC5">
    <w:name w:val="toc 5"/>
    <w:basedOn w:val="Normal"/>
    <w:next w:val="Normal"/>
    <w:uiPriority w:val="39"/>
    <w:unhideWhenUsed/>
    <w:rsid w:val="005627B2"/>
    <w:pPr>
      <w:spacing w:after="100"/>
      <w:ind w:left="880"/>
    </w:pPr>
  </w:style>
  <w:style w:type="paragraph" w:styleId="TOC6">
    <w:name w:val="toc 6"/>
    <w:basedOn w:val="Normal"/>
    <w:next w:val="Normal"/>
    <w:uiPriority w:val="39"/>
    <w:unhideWhenUsed/>
    <w:rsid w:val="005627B2"/>
    <w:pPr>
      <w:spacing w:after="100"/>
      <w:ind w:left="1100"/>
    </w:pPr>
  </w:style>
  <w:style w:type="paragraph" w:styleId="TOC7">
    <w:name w:val="toc 7"/>
    <w:basedOn w:val="Normal"/>
    <w:next w:val="Normal"/>
    <w:uiPriority w:val="39"/>
    <w:unhideWhenUsed/>
    <w:rsid w:val="005627B2"/>
    <w:pPr>
      <w:spacing w:after="100"/>
      <w:ind w:left="1320"/>
    </w:pPr>
  </w:style>
  <w:style w:type="paragraph" w:styleId="TOC8">
    <w:name w:val="toc 8"/>
    <w:basedOn w:val="Normal"/>
    <w:next w:val="Normal"/>
    <w:uiPriority w:val="39"/>
    <w:unhideWhenUsed/>
    <w:rsid w:val="005627B2"/>
    <w:pPr>
      <w:spacing w:after="100"/>
      <w:ind w:left="1540"/>
    </w:pPr>
  </w:style>
  <w:style w:type="paragraph" w:styleId="TOC9">
    <w:name w:val="toc 9"/>
    <w:basedOn w:val="Normal"/>
    <w:next w:val="Normal"/>
    <w:uiPriority w:val="39"/>
    <w:unhideWhenUsed/>
    <w:rsid w:val="005627B2"/>
    <w:pPr>
      <w:spacing w:after="100"/>
      <w:ind w:left="1760"/>
    </w:pPr>
  </w:style>
  <w:style w:type="paragraph" w:styleId="EndnoteText">
    <w:name w:val="endnote text"/>
    <w:basedOn w:val="Normal"/>
    <w:link w:val="EndnoteTextChar"/>
    <w:uiPriority w:val="99"/>
    <w:semiHidden/>
    <w:unhideWhenUsed/>
    <w:rsid w:val="005627B2"/>
    <w:pPr>
      <w:spacing w:after="0"/>
    </w:pPr>
    <w:rPr>
      <w:sz w:val="20"/>
      <w:szCs w:val="20"/>
    </w:rPr>
  </w:style>
  <w:style w:type="character" w:customStyle="1" w:styleId="EndnoteTextChar">
    <w:name w:val="Endnote Text Char"/>
    <w:basedOn w:val="DefaultParagraphFont"/>
    <w:link w:val="EndnoteText"/>
    <w:uiPriority w:val="99"/>
    <w:semiHidden/>
    <w:rsid w:val="005627B2"/>
    <w:rPr>
      <w:sz w:val="20"/>
      <w:szCs w:val="20"/>
      <w:lang w:val="en-AU"/>
    </w:rPr>
  </w:style>
  <w:style w:type="character" w:styleId="IntenseEmphasis">
    <w:name w:val="Intense Emphasis"/>
    <w:basedOn w:val="DefaultParagraphFont"/>
    <w:uiPriority w:val="21"/>
    <w:qFormat/>
    <w:rsid w:val="005627B2"/>
    <w:rPr>
      <w:i/>
      <w:iCs/>
      <w:color w:val="4472C4" w:themeColor="accent1"/>
    </w:rPr>
  </w:style>
  <w:style w:type="paragraph" w:customStyle="1" w:styleId="Heading41">
    <w:name w:val="Heading 41"/>
    <w:basedOn w:val="Normal"/>
    <w:qFormat/>
    <w:rsid w:val="00624F30"/>
    <w:pPr>
      <w:spacing w:after="0"/>
    </w:pPr>
    <w:rPr>
      <w:b/>
      <w:bCs/>
    </w:rPr>
  </w:style>
  <w:style w:type="character" w:customStyle="1" w:styleId="Mention1">
    <w:name w:val="Mention1"/>
    <w:basedOn w:val="DefaultParagraphFont"/>
    <w:uiPriority w:val="99"/>
    <w:unhideWhenUsed/>
    <w:rPr>
      <w:color w:val="2B579A"/>
      <w:shd w:val="clear" w:color="auto" w:fill="E6E6E6"/>
    </w:rPr>
  </w:style>
  <w:style w:type="character" w:customStyle="1" w:styleId="Mention2">
    <w:name w:val="Mention2"/>
    <w:basedOn w:val="DefaultParagraphFont"/>
    <w:uiPriority w:val="99"/>
    <w:unhideWhenUsed/>
    <w:rsid w:val="00537DC7"/>
    <w:rPr>
      <w:color w:val="2B579A"/>
      <w:shd w:val="clear" w:color="auto" w:fill="E6E6E6"/>
    </w:rPr>
  </w:style>
  <w:style w:type="character" w:customStyle="1" w:styleId="UnresolvedMention1">
    <w:name w:val="Unresolved Mention1"/>
    <w:basedOn w:val="DefaultParagraphFont"/>
    <w:uiPriority w:val="99"/>
    <w:semiHidden/>
    <w:unhideWhenUsed/>
    <w:rsid w:val="001C4645"/>
    <w:rPr>
      <w:color w:val="605E5C"/>
      <w:shd w:val="clear" w:color="auto" w:fill="E1DFDD"/>
    </w:rPr>
  </w:style>
  <w:style w:type="paragraph" w:styleId="ListNumber">
    <w:name w:val="List Number"/>
    <w:basedOn w:val="Normal"/>
    <w:uiPriority w:val="99"/>
    <w:unhideWhenUsed/>
    <w:rsid w:val="00A64242"/>
    <w:pPr>
      <w:numPr>
        <w:numId w:val="7"/>
      </w:numPr>
      <w:spacing w:before="120" w:after="120" w:line="260" w:lineRule="exact"/>
      <w:ind w:left="357" w:hanging="357"/>
    </w:pPr>
    <w:rPr>
      <w:sz w:val="20"/>
      <w:szCs w:val="20"/>
    </w:rPr>
  </w:style>
  <w:style w:type="paragraph" w:customStyle="1" w:styleId="Figure">
    <w:name w:val="Figure"/>
    <w:basedOn w:val="Caption"/>
    <w:qFormat/>
    <w:rsid w:val="00EB7114"/>
    <w:pPr>
      <w:spacing w:before="240" w:after="200" w:line="240" w:lineRule="auto"/>
    </w:pPr>
    <w:rPr>
      <w:b/>
      <w:bCs/>
      <w:i w:val="0"/>
      <w:iCs w:val="0"/>
      <w:color w:val="000000" w:themeColor="text1"/>
    </w:rPr>
  </w:style>
  <w:style w:type="paragraph" w:customStyle="1" w:styleId="Heading3Nonumbering">
    <w:name w:val="Heading 3 No numbering"/>
    <w:basedOn w:val="Heading2NoNumbering"/>
    <w:qFormat/>
    <w:rsid w:val="00624F30"/>
    <w:rPr>
      <w:sz w:val="28"/>
      <w:szCs w:val="28"/>
    </w:rPr>
  </w:style>
  <w:style w:type="paragraph" w:customStyle="1" w:styleId="Listletters">
    <w:name w:val="List: letters"/>
    <w:basedOn w:val="ListParagraph"/>
    <w:qFormat/>
    <w:rsid w:val="00A64242"/>
    <w:pPr>
      <w:numPr>
        <w:numId w:val="11"/>
      </w:numPr>
      <w:spacing w:before="120" w:after="120" w:line="260" w:lineRule="exact"/>
      <w:ind w:left="709" w:hanging="357"/>
    </w:pPr>
    <w:rPr>
      <w:rFonts w:eastAsia="Calibri" w:cs="Arial"/>
      <w:color w:val="000000" w:themeColor="text1"/>
      <w:sz w:val="20"/>
      <w:szCs w:val="20"/>
    </w:rPr>
  </w:style>
  <w:style w:type="paragraph" w:customStyle="1" w:styleId="bodyindent">
    <w:name w:val="body: indent"/>
    <w:basedOn w:val="BodyCopy"/>
    <w:qFormat/>
    <w:rsid w:val="000D3B71"/>
    <w:pPr>
      <w:ind w:left="567"/>
    </w:pPr>
    <w:rPr>
      <w:i/>
      <w:iCs/>
    </w:rPr>
  </w:style>
  <w:style w:type="paragraph" w:customStyle="1" w:styleId="bodyindentcredit">
    <w:name w:val="body indent: credit"/>
    <w:basedOn w:val="BodyCopy"/>
    <w:qFormat/>
    <w:rsid w:val="000D3B71"/>
    <w:pPr>
      <w:ind w:left="567"/>
    </w:pPr>
    <w:rPr>
      <w:shd w:val="clear" w:color="auto" w:fill="E6E6E6"/>
    </w:rPr>
  </w:style>
  <w:style w:type="paragraph" w:customStyle="1" w:styleId="Tabletext">
    <w:name w:val="Table text"/>
    <w:basedOn w:val="Normal"/>
    <w:qFormat/>
    <w:rsid w:val="00B365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40" w:lineRule="exact"/>
    </w:pPr>
    <w:rPr>
      <w:rFonts w:eastAsiaTheme="minorEastAsia" w:cs="Arial"/>
      <w:sz w:val="18"/>
      <w:szCs w:val="18"/>
    </w:rPr>
  </w:style>
  <w:style w:type="paragraph" w:customStyle="1" w:styleId="Tableindent">
    <w:name w:val="Table: indent"/>
    <w:basedOn w:val="Tabletext"/>
    <w:qFormat/>
    <w:rsid w:val="00B36581"/>
    <w:pPr>
      <w:spacing w:after="60"/>
      <w:ind w:left="454"/>
    </w:pPr>
    <w:rPr>
      <w:i/>
      <w:iCs/>
      <w:color w:val="000000" w:themeColor="text1"/>
    </w:rPr>
  </w:style>
  <w:style w:type="paragraph" w:customStyle="1" w:styleId="Tabletext0">
    <w:name w:val="Table text + #"/>
    <w:basedOn w:val="Tabletext"/>
    <w:qFormat/>
    <w:rsid w:val="00C92E25"/>
    <w:pPr>
      <w:spacing w:after="60"/>
    </w:pPr>
  </w:style>
  <w:style w:type="paragraph" w:customStyle="1" w:styleId="AATableBodyAATable">
    <w:name w:val="AA_Table_Body (AA_Table)"/>
    <w:basedOn w:val="Normal"/>
    <w:uiPriority w:val="99"/>
    <w:rsid w:val="005878D8"/>
    <w:pPr>
      <w:tabs>
        <w:tab w:val="left" w:pos="320"/>
      </w:tabs>
      <w:suppressAutoHyphens/>
      <w:autoSpaceDE w:val="0"/>
      <w:autoSpaceDN w:val="0"/>
      <w:adjustRightInd w:val="0"/>
      <w:spacing w:before="0" w:after="113" w:line="220" w:lineRule="atLeast"/>
      <w:textAlignment w:val="center"/>
    </w:pPr>
    <w:rPr>
      <w:rFonts w:ascii="NimbusSanNov" w:hAnsi="NimbusSanNov" w:cs="NimbusSanNov"/>
      <w:color w:val="008EA5"/>
      <w:spacing w:val="-2"/>
      <w:sz w:val="18"/>
      <w:szCs w:val="18"/>
      <w:lang w:val="en-US"/>
    </w:rPr>
  </w:style>
  <w:style w:type="character" w:styleId="PageNumber">
    <w:name w:val="page number"/>
    <w:basedOn w:val="DefaultParagraphFont"/>
    <w:uiPriority w:val="99"/>
    <w:semiHidden/>
    <w:unhideWhenUsed/>
    <w:rsid w:val="00BD25A4"/>
  </w:style>
  <w:style w:type="paragraph" w:customStyle="1" w:styleId="heading3no">
    <w:name w:val="heading 3 no #"/>
    <w:basedOn w:val="Heading3"/>
    <w:qFormat/>
    <w:rsid w:val="0025623B"/>
    <w:pPr>
      <w:numPr>
        <w:ilvl w:val="0"/>
        <w:numId w:val="0"/>
      </w:num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812875">
      <w:bodyDiv w:val="1"/>
      <w:marLeft w:val="0"/>
      <w:marRight w:val="0"/>
      <w:marTop w:val="0"/>
      <w:marBottom w:val="0"/>
      <w:divBdr>
        <w:top w:val="none" w:sz="0" w:space="0" w:color="auto"/>
        <w:left w:val="none" w:sz="0" w:space="0" w:color="auto"/>
        <w:bottom w:val="none" w:sz="0" w:space="0" w:color="auto"/>
        <w:right w:val="none" w:sz="0" w:space="0" w:color="auto"/>
      </w:divBdr>
      <w:divsChild>
        <w:div w:id="173301303">
          <w:marLeft w:val="0"/>
          <w:marRight w:val="0"/>
          <w:marTop w:val="0"/>
          <w:marBottom w:val="0"/>
          <w:divBdr>
            <w:top w:val="none" w:sz="0" w:space="0" w:color="auto"/>
            <w:left w:val="none" w:sz="0" w:space="0" w:color="auto"/>
            <w:bottom w:val="none" w:sz="0" w:space="0" w:color="auto"/>
            <w:right w:val="none" w:sz="0" w:space="0" w:color="auto"/>
          </w:divBdr>
          <w:divsChild>
            <w:div w:id="81149440">
              <w:marLeft w:val="0"/>
              <w:marRight w:val="0"/>
              <w:marTop w:val="0"/>
              <w:marBottom w:val="0"/>
              <w:divBdr>
                <w:top w:val="none" w:sz="0" w:space="0" w:color="auto"/>
                <w:left w:val="none" w:sz="0" w:space="0" w:color="auto"/>
                <w:bottom w:val="none" w:sz="0" w:space="0" w:color="auto"/>
                <w:right w:val="none" w:sz="0" w:space="0" w:color="auto"/>
              </w:divBdr>
            </w:div>
            <w:div w:id="1158879961">
              <w:marLeft w:val="0"/>
              <w:marRight w:val="0"/>
              <w:marTop w:val="0"/>
              <w:marBottom w:val="0"/>
              <w:divBdr>
                <w:top w:val="none" w:sz="0" w:space="0" w:color="auto"/>
                <w:left w:val="none" w:sz="0" w:space="0" w:color="auto"/>
                <w:bottom w:val="none" w:sz="0" w:space="0" w:color="auto"/>
                <w:right w:val="none" w:sz="0" w:space="0" w:color="auto"/>
              </w:divBdr>
            </w:div>
            <w:div w:id="1604460611">
              <w:marLeft w:val="0"/>
              <w:marRight w:val="0"/>
              <w:marTop w:val="0"/>
              <w:marBottom w:val="0"/>
              <w:divBdr>
                <w:top w:val="none" w:sz="0" w:space="0" w:color="auto"/>
                <w:left w:val="none" w:sz="0" w:space="0" w:color="auto"/>
                <w:bottom w:val="none" w:sz="0" w:space="0" w:color="auto"/>
                <w:right w:val="none" w:sz="0" w:space="0" w:color="auto"/>
              </w:divBdr>
            </w:div>
            <w:div w:id="2011057788">
              <w:marLeft w:val="0"/>
              <w:marRight w:val="0"/>
              <w:marTop w:val="0"/>
              <w:marBottom w:val="0"/>
              <w:divBdr>
                <w:top w:val="none" w:sz="0" w:space="0" w:color="auto"/>
                <w:left w:val="none" w:sz="0" w:space="0" w:color="auto"/>
                <w:bottom w:val="none" w:sz="0" w:space="0" w:color="auto"/>
                <w:right w:val="none" w:sz="0" w:space="0" w:color="auto"/>
              </w:divBdr>
            </w:div>
          </w:divsChild>
        </w:div>
        <w:div w:id="885526260">
          <w:marLeft w:val="0"/>
          <w:marRight w:val="0"/>
          <w:marTop w:val="0"/>
          <w:marBottom w:val="0"/>
          <w:divBdr>
            <w:top w:val="none" w:sz="0" w:space="0" w:color="auto"/>
            <w:left w:val="none" w:sz="0" w:space="0" w:color="auto"/>
            <w:bottom w:val="none" w:sz="0" w:space="0" w:color="auto"/>
            <w:right w:val="none" w:sz="0" w:space="0" w:color="auto"/>
          </w:divBdr>
          <w:divsChild>
            <w:div w:id="15424839">
              <w:marLeft w:val="0"/>
              <w:marRight w:val="0"/>
              <w:marTop w:val="0"/>
              <w:marBottom w:val="0"/>
              <w:divBdr>
                <w:top w:val="none" w:sz="0" w:space="0" w:color="auto"/>
                <w:left w:val="none" w:sz="0" w:space="0" w:color="auto"/>
                <w:bottom w:val="none" w:sz="0" w:space="0" w:color="auto"/>
                <w:right w:val="none" w:sz="0" w:space="0" w:color="auto"/>
              </w:divBdr>
            </w:div>
            <w:div w:id="575869720">
              <w:marLeft w:val="0"/>
              <w:marRight w:val="0"/>
              <w:marTop w:val="0"/>
              <w:marBottom w:val="0"/>
              <w:divBdr>
                <w:top w:val="none" w:sz="0" w:space="0" w:color="auto"/>
                <w:left w:val="none" w:sz="0" w:space="0" w:color="auto"/>
                <w:bottom w:val="none" w:sz="0" w:space="0" w:color="auto"/>
                <w:right w:val="none" w:sz="0" w:space="0" w:color="auto"/>
              </w:divBdr>
            </w:div>
            <w:div w:id="636684980">
              <w:marLeft w:val="0"/>
              <w:marRight w:val="0"/>
              <w:marTop w:val="0"/>
              <w:marBottom w:val="0"/>
              <w:divBdr>
                <w:top w:val="none" w:sz="0" w:space="0" w:color="auto"/>
                <w:left w:val="none" w:sz="0" w:space="0" w:color="auto"/>
                <w:bottom w:val="none" w:sz="0" w:space="0" w:color="auto"/>
                <w:right w:val="none" w:sz="0" w:space="0" w:color="auto"/>
              </w:divBdr>
            </w:div>
            <w:div w:id="1312246965">
              <w:marLeft w:val="0"/>
              <w:marRight w:val="0"/>
              <w:marTop w:val="0"/>
              <w:marBottom w:val="0"/>
              <w:divBdr>
                <w:top w:val="none" w:sz="0" w:space="0" w:color="auto"/>
                <w:left w:val="none" w:sz="0" w:space="0" w:color="auto"/>
                <w:bottom w:val="none" w:sz="0" w:space="0" w:color="auto"/>
                <w:right w:val="none" w:sz="0" w:space="0" w:color="auto"/>
              </w:divBdr>
            </w:div>
            <w:div w:id="2064601298">
              <w:marLeft w:val="0"/>
              <w:marRight w:val="0"/>
              <w:marTop w:val="0"/>
              <w:marBottom w:val="0"/>
              <w:divBdr>
                <w:top w:val="none" w:sz="0" w:space="0" w:color="auto"/>
                <w:left w:val="none" w:sz="0" w:space="0" w:color="auto"/>
                <w:bottom w:val="none" w:sz="0" w:space="0" w:color="auto"/>
                <w:right w:val="none" w:sz="0" w:space="0" w:color="auto"/>
              </w:divBdr>
            </w:div>
          </w:divsChild>
        </w:div>
        <w:div w:id="1339848740">
          <w:marLeft w:val="0"/>
          <w:marRight w:val="0"/>
          <w:marTop w:val="0"/>
          <w:marBottom w:val="0"/>
          <w:divBdr>
            <w:top w:val="none" w:sz="0" w:space="0" w:color="auto"/>
            <w:left w:val="none" w:sz="0" w:space="0" w:color="auto"/>
            <w:bottom w:val="none" w:sz="0" w:space="0" w:color="auto"/>
            <w:right w:val="none" w:sz="0" w:space="0" w:color="auto"/>
          </w:divBdr>
        </w:div>
      </w:divsChild>
    </w:div>
    <w:div w:id="241529224">
      <w:bodyDiv w:val="1"/>
      <w:marLeft w:val="0"/>
      <w:marRight w:val="0"/>
      <w:marTop w:val="0"/>
      <w:marBottom w:val="0"/>
      <w:divBdr>
        <w:top w:val="none" w:sz="0" w:space="0" w:color="auto"/>
        <w:left w:val="none" w:sz="0" w:space="0" w:color="auto"/>
        <w:bottom w:val="none" w:sz="0" w:space="0" w:color="auto"/>
        <w:right w:val="none" w:sz="0" w:space="0" w:color="auto"/>
      </w:divBdr>
      <w:divsChild>
        <w:div w:id="801386716">
          <w:marLeft w:val="480"/>
          <w:marRight w:val="0"/>
          <w:marTop w:val="0"/>
          <w:marBottom w:val="0"/>
          <w:divBdr>
            <w:top w:val="none" w:sz="0" w:space="0" w:color="auto"/>
            <w:left w:val="none" w:sz="0" w:space="0" w:color="auto"/>
            <w:bottom w:val="none" w:sz="0" w:space="0" w:color="auto"/>
            <w:right w:val="none" w:sz="0" w:space="0" w:color="auto"/>
          </w:divBdr>
          <w:divsChild>
            <w:div w:id="14160392">
              <w:marLeft w:val="0"/>
              <w:marRight w:val="0"/>
              <w:marTop w:val="0"/>
              <w:marBottom w:val="0"/>
              <w:divBdr>
                <w:top w:val="none" w:sz="0" w:space="0" w:color="auto"/>
                <w:left w:val="none" w:sz="0" w:space="0" w:color="auto"/>
                <w:bottom w:val="none" w:sz="0" w:space="0" w:color="auto"/>
                <w:right w:val="none" w:sz="0" w:space="0" w:color="auto"/>
              </w:divBdr>
            </w:div>
            <w:div w:id="79180756">
              <w:marLeft w:val="0"/>
              <w:marRight w:val="0"/>
              <w:marTop w:val="0"/>
              <w:marBottom w:val="0"/>
              <w:divBdr>
                <w:top w:val="none" w:sz="0" w:space="0" w:color="auto"/>
                <w:left w:val="none" w:sz="0" w:space="0" w:color="auto"/>
                <w:bottom w:val="none" w:sz="0" w:space="0" w:color="auto"/>
                <w:right w:val="none" w:sz="0" w:space="0" w:color="auto"/>
              </w:divBdr>
            </w:div>
            <w:div w:id="131027194">
              <w:marLeft w:val="0"/>
              <w:marRight w:val="0"/>
              <w:marTop w:val="0"/>
              <w:marBottom w:val="0"/>
              <w:divBdr>
                <w:top w:val="none" w:sz="0" w:space="0" w:color="auto"/>
                <w:left w:val="none" w:sz="0" w:space="0" w:color="auto"/>
                <w:bottom w:val="none" w:sz="0" w:space="0" w:color="auto"/>
                <w:right w:val="none" w:sz="0" w:space="0" w:color="auto"/>
              </w:divBdr>
            </w:div>
            <w:div w:id="220792239">
              <w:marLeft w:val="0"/>
              <w:marRight w:val="0"/>
              <w:marTop w:val="0"/>
              <w:marBottom w:val="0"/>
              <w:divBdr>
                <w:top w:val="none" w:sz="0" w:space="0" w:color="auto"/>
                <w:left w:val="none" w:sz="0" w:space="0" w:color="auto"/>
                <w:bottom w:val="none" w:sz="0" w:space="0" w:color="auto"/>
                <w:right w:val="none" w:sz="0" w:space="0" w:color="auto"/>
              </w:divBdr>
            </w:div>
            <w:div w:id="313923055">
              <w:marLeft w:val="0"/>
              <w:marRight w:val="0"/>
              <w:marTop w:val="0"/>
              <w:marBottom w:val="0"/>
              <w:divBdr>
                <w:top w:val="none" w:sz="0" w:space="0" w:color="auto"/>
                <w:left w:val="none" w:sz="0" w:space="0" w:color="auto"/>
                <w:bottom w:val="none" w:sz="0" w:space="0" w:color="auto"/>
                <w:right w:val="none" w:sz="0" w:space="0" w:color="auto"/>
              </w:divBdr>
            </w:div>
            <w:div w:id="373502165">
              <w:marLeft w:val="0"/>
              <w:marRight w:val="0"/>
              <w:marTop w:val="0"/>
              <w:marBottom w:val="0"/>
              <w:divBdr>
                <w:top w:val="none" w:sz="0" w:space="0" w:color="auto"/>
                <w:left w:val="none" w:sz="0" w:space="0" w:color="auto"/>
                <w:bottom w:val="none" w:sz="0" w:space="0" w:color="auto"/>
                <w:right w:val="none" w:sz="0" w:space="0" w:color="auto"/>
              </w:divBdr>
            </w:div>
            <w:div w:id="376899313">
              <w:marLeft w:val="0"/>
              <w:marRight w:val="0"/>
              <w:marTop w:val="0"/>
              <w:marBottom w:val="0"/>
              <w:divBdr>
                <w:top w:val="none" w:sz="0" w:space="0" w:color="auto"/>
                <w:left w:val="none" w:sz="0" w:space="0" w:color="auto"/>
                <w:bottom w:val="none" w:sz="0" w:space="0" w:color="auto"/>
                <w:right w:val="none" w:sz="0" w:space="0" w:color="auto"/>
              </w:divBdr>
            </w:div>
            <w:div w:id="443039267">
              <w:marLeft w:val="0"/>
              <w:marRight w:val="0"/>
              <w:marTop w:val="0"/>
              <w:marBottom w:val="0"/>
              <w:divBdr>
                <w:top w:val="none" w:sz="0" w:space="0" w:color="auto"/>
                <w:left w:val="none" w:sz="0" w:space="0" w:color="auto"/>
                <w:bottom w:val="none" w:sz="0" w:space="0" w:color="auto"/>
                <w:right w:val="none" w:sz="0" w:space="0" w:color="auto"/>
              </w:divBdr>
            </w:div>
            <w:div w:id="444496180">
              <w:marLeft w:val="0"/>
              <w:marRight w:val="0"/>
              <w:marTop w:val="0"/>
              <w:marBottom w:val="0"/>
              <w:divBdr>
                <w:top w:val="none" w:sz="0" w:space="0" w:color="auto"/>
                <w:left w:val="none" w:sz="0" w:space="0" w:color="auto"/>
                <w:bottom w:val="none" w:sz="0" w:space="0" w:color="auto"/>
                <w:right w:val="none" w:sz="0" w:space="0" w:color="auto"/>
              </w:divBdr>
            </w:div>
            <w:div w:id="463348679">
              <w:marLeft w:val="0"/>
              <w:marRight w:val="0"/>
              <w:marTop w:val="0"/>
              <w:marBottom w:val="0"/>
              <w:divBdr>
                <w:top w:val="none" w:sz="0" w:space="0" w:color="auto"/>
                <w:left w:val="none" w:sz="0" w:space="0" w:color="auto"/>
                <w:bottom w:val="none" w:sz="0" w:space="0" w:color="auto"/>
                <w:right w:val="none" w:sz="0" w:space="0" w:color="auto"/>
              </w:divBdr>
            </w:div>
            <w:div w:id="533231081">
              <w:marLeft w:val="0"/>
              <w:marRight w:val="0"/>
              <w:marTop w:val="0"/>
              <w:marBottom w:val="0"/>
              <w:divBdr>
                <w:top w:val="none" w:sz="0" w:space="0" w:color="auto"/>
                <w:left w:val="none" w:sz="0" w:space="0" w:color="auto"/>
                <w:bottom w:val="none" w:sz="0" w:space="0" w:color="auto"/>
                <w:right w:val="none" w:sz="0" w:space="0" w:color="auto"/>
              </w:divBdr>
            </w:div>
            <w:div w:id="643706046">
              <w:marLeft w:val="0"/>
              <w:marRight w:val="0"/>
              <w:marTop w:val="0"/>
              <w:marBottom w:val="0"/>
              <w:divBdr>
                <w:top w:val="none" w:sz="0" w:space="0" w:color="auto"/>
                <w:left w:val="none" w:sz="0" w:space="0" w:color="auto"/>
                <w:bottom w:val="none" w:sz="0" w:space="0" w:color="auto"/>
                <w:right w:val="none" w:sz="0" w:space="0" w:color="auto"/>
              </w:divBdr>
            </w:div>
            <w:div w:id="718239879">
              <w:marLeft w:val="0"/>
              <w:marRight w:val="0"/>
              <w:marTop w:val="0"/>
              <w:marBottom w:val="0"/>
              <w:divBdr>
                <w:top w:val="none" w:sz="0" w:space="0" w:color="auto"/>
                <w:left w:val="none" w:sz="0" w:space="0" w:color="auto"/>
                <w:bottom w:val="none" w:sz="0" w:space="0" w:color="auto"/>
                <w:right w:val="none" w:sz="0" w:space="0" w:color="auto"/>
              </w:divBdr>
            </w:div>
            <w:div w:id="731467895">
              <w:marLeft w:val="0"/>
              <w:marRight w:val="0"/>
              <w:marTop w:val="0"/>
              <w:marBottom w:val="0"/>
              <w:divBdr>
                <w:top w:val="none" w:sz="0" w:space="0" w:color="auto"/>
                <w:left w:val="none" w:sz="0" w:space="0" w:color="auto"/>
                <w:bottom w:val="none" w:sz="0" w:space="0" w:color="auto"/>
                <w:right w:val="none" w:sz="0" w:space="0" w:color="auto"/>
              </w:divBdr>
            </w:div>
            <w:div w:id="848912129">
              <w:marLeft w:val="0"/>
              <w:marRight w:val="0"/>
              <w:marTop w:val="0"/>
              <w:marBottom w:val="0"/>
              <w:divBdr>
                <w:top w:val="none" w:sz="0" w:space="0" w:color="auto"/>
                <w:left w:val="none" w:sz="0" w:space="0" w:color="auto"/>
                <w:bottom w:val="none" w:sz="0" w:space="0" w:color="auto"/>
                <w:right w:val="none" w:sz="0" w:space="0" w:color="auto"/>
              </w:divBdr>
            </w:div>
            <w:div w:id="930359126">
              <w:marLeft w:val="0"/>
              <w:marRight w:val="0"/>
              <w:marTop w:val="0"/>
              <w:marBottom w:val="0"/>
              <w:divBdr>
                <w:top w:val="none" w:sz="0" w:space="0" w:color="auto"/>
                <w:left w:val="none" w:sz="0" w:space="0" w:color="auto"/>
                <w:bottom w:val="none" w:sz="0" w:space="0" w:color="auto"/>
                <w:right w:val="none" w:sz="0" w:space="0" w:color="auto"/>
              </w:divBdr>
            </w:div>
            <w:div w:id="1082724285">
              <w:marLeft w:val="0"/>
              <w:marRight w:val="0"/>
              <w:marTop w:val="0"/>
              <w:marBottom w:val="0"/>
              <w:divBdr>
                <w:top w:val="none" w:sz="0" w:space="0" w:color="auto"/>
                <w:left w:val="none" w:sz="0" w:space="0" w:color="auto"/>
                <w:bottom w:val="none" w:sz="0" w:space="0" w:color="auto"/>
                <w:right w:val="none" w:sz="0" w:space="0" w:color="auto"/>
              </w:divBdr>
            </w:div>
            <w:div w:id="1096751056">
              <w:marLeft w:val="0"/>
              <w:marRight w:val="0"/>
              <w:marTop w:val="0"/>
              <w:marBottom w:val="0"/>
              <w:divBdr>
                <w:top w:val="none" w:sz="0" w:space="0" w:color="auto"/>
                <w:left w:val="none" w:sz="0" w:space="0" w:color="auto"/>
                <w:bottom w:val="none" w:sz="0" w:space="0" w:color="auto"/>
                <w:right w:val="none" w:sz="0" w:space="0" w:color="auto"/>
              </w:divBdr>
            </w:div>
            <w:div w:id="1166894774">
              <w:marLeft w:val="0"/>
              <w:marRight w:val="0"/>
              <w:marTop w:val="0"/>
              <w:marBottom w:val="0"/>
              <w:divBdr>
                <w:top w:val="none" w:sz="0" w:space="0" w:color="auto"/>
                <w:left w:val="none" w:sz="0" w:space="0" w:color="auto"/>
                <w:bottom w:val="none" w:sz="0" w:space="0" w:color="auto"/>
                <w:right w:val="none" w:sz="0" w:space="0" w:color="auto"/>
              </w:divBdr>
            </w:div>
            <w:div w:id="1350643355">
              <w:marLeft w:val="0"/>
              <w:marRight w:val="0"/>
              <w:marTop w:val="0"/>
              <w:marBottom w:val="0"/>
              <w:divBdr>
                <w:top w:val="none" w:sz="0" w:space="0" w:color="auto"/>
                <w:left w:val="none" w:sz="0" w:space="0" w:color="auto"/>
                <w:bottom w:val="none" w:sz="0" w:space="0" w:color="auto"/>
                <w:right w:val="none" w:sz="0" w:space="0" w:color="auto"/>
              </w:divBdr>
            </w:div>
            <w:div w:id="1353189024">
              <w:marLeft w:val="0"/>
              <w:marRight w:val="0"/>
              <w:marTop w:val="0"/>
              <w:marBottom w:val="0"/>
              <w:divBdr>
                <w:top w:val="none" w:sz="0" w:space="0" w:color="auto"/>
                <w:left w:val="none" w:sz="0" w:space="0" w:color="auto"/>
                <w:bottom w:val="none" w:sz="0" w:space="0" w:color="auto"/>
                <w:right w:val="none" w:sz="0" w:space="0" w:color="auto"/>
              </w:divBdr>
            </w:div>
            <w:div w:id="1353606177">
              <w:marLeft w:val="0"/>
              <w:marRight w:val="0"/>
              <w:marTop w:val="0"/>
              <w:marBottom w:val="0"/>
              <w:divBdr>
                <w:top w:val="none" w:sz="0" w:space="0" w:color="auto"/>
                <w:left w:val="none" w:sz="0" w:space="0" w:color="auto"/>
                <w:bottom w:val="none" w:sz="0" w:space="0" w:color="auto"/>
                <w:right w:val="none" w:sz="0" w:space="0" w:color="auto"/>
              </w:divBdr>
            </w:div>
            <w:div w:id="1424719637">
              <w:marLeft w:val="0"/>
              <w:marRight w:val="0"/>
              <w:marTop w:val="0"/>
              <w:marBottom w:val="0"/>
              <w:divBdr>
                <w:top w:val="none" w:sz="0" w:space="0" w:color="auto"/>
                <w:left w:val="none" w:sz="0" w:space="0" w:color="auto"/>
                <w:bottom w:val="none" w:sz="0" w:space="0" w:color="auto"/>
                <w:right w:val="none" w:sz="0" w:space="0" w:color="auto"/>
              </w:divBdr>
            </w:div>
            <w:div w:id="1454866136">
              <w:marLeft w:val="0"/>
              <w:marRight w:val="0"/>
              <w:marTop w:val="0"/>
              <w:marBottom w:val="0"/>
              <w:divBdr>
                <w:top w:val="none" w:sz="0" w:space="0" w:color="auto"/>
                <w:left w:val="none" w:sz="0" w:space="0" w:color="auto"/>
                <w:bottom w:val="none" w:sz="0" w:space="0" w:color="auto"/>
                <w:right w:val="none" w:sz="0" w:space="0" w:color="auto"/>
              </w:divBdr>
            </w:div>
            <w:div w:id="1549757216">
              <w:marLeft w:val="0"/>
              <w:marRight w:val="0"/>
              <w:marTop w:val="0"/>
              <w:marBottom w:val="0"/>
              <w:divBdr>
                <w:top w:val="none" w:sz="0" w:space="0" w:color="auto"/>
                <w:left w:val="none" w:sz="0" w:space="0" w:color="auto"/>
                <w:bottom w:val="none" w:sz="0" w:space="0" w:color="auto"/>
                <w:right w:val="none" w:sz="0" w:space="0" w:color="auto"/>
              </w:divBdr>
            </w:div>
            <w:div w:id="1593397533">
              <w:marLeft w:val="0"/>
              <w:marRight w:val="0"/>
              <w:marTop w:val="0"/>
              <w:marBottom w:val="0"/>
              <w:divBdr>
                <w:top w:val="none" w:sz="0" w:space="0" w:color="auto"/>
                <w:left w:val="none" w:sz="0" w:space="0" w:color="auto"/>
                <w:bottom w:val="none" w:sz="0" w:space="0" w:color="auto"/>
                <w:right w:val="none" w:sz="0" w:space="0" w:color="auto"/>
              </w:divBdr>
            </w:div>
            <w:div w:id="1727989714">
              <w:marLeft w:val="0"/>
              <w:marRight w:val="0"/>
              <w:marTop w:val="0"/>
              <w:marBottom w:val="0"/>
              <w:divBdr>
                <w:top w:val="none" w:sz="0" w:space="0" w:color="auto"/>
                <w:left w:val="none" w:sz="0" w:space="0" w:color="auto"/>
                <w:bottom w:val="none" w:sz="0" w:space="0" w:color="auto"/>
                <w:right w:val="none" w:sz="0" w:space="0" w:color="auto"/>
              </w:divBdr>
            </w:div>
            <w:div w:id="1777023297">
              <w:marLeft w:val="0"/>
              <w:marRight w:val="0"/>
              <w:marTop w:val="0"/>
              <w:marBottom w:val="0"/>
              <w:divBdr>
                <w:top w:val="none" w:sz="0" w:space="0" w:color="auto"/>
                <w:left w:val="none" w:sz="0" w:space="0" w:color="auto"/>
                <w:bottom w:val="none" w:sz="0" w:space="0" w:color="auto"/>
                <w:right w:val="none" w:sz="0" w:space="0" w:color="auto"/>
              </w:divBdr>
            </w:div>
            <w:div w:id="1791587066">
              <w:marLeft w:val="0"/>
              <w:marRight w:val="0"/>
              <w:marTop w:val="0"/>
              <w:marBottom w:val="0"/>
              <w:divBdr>
                <w:top w:val="none" w:sz="0" w:space="0" w:color="auto"/>
                <w:left w:val="none" w:sz="0" w:space="0" w:color="auto"/>
                <w:bottom w:val="none" w:sz="0" w:space="0" w:color="auto"/>
                <w:right w:val="none" w:sz="0" w:space="0" w:color="auto"/>
              </w:divBdr>
            </w:div>
            <w:div w:id="1863939217">
              <w:marLeft w:val="0"/>
              <w:marRight w:val="0"/>
              <w:marTop w:val="0"/>
              <w:marBottom w:val="0"/>
              <w:divBdr>
                <w:top w:val="none" w:sz="0" w:space="0" w:color="auto"/>
                <w:left w:val="none" w:sz="0" w:space="0" w:color="auto"/>
                <w:bottom w:val="none" w:sz="0" w:space="0" w:color="auto"/>
                <w:right w:val="none" w:sz="0" w:space="0" w:color="auto"/>
              </w:divBdr>
            </w:div>
            <w:div w:id="1888645046">
              <w:marLeft w:val="0"/>
              <w:marRight w:val="0"/>
              <w:marTop w:val="0"/>
              <w:marBottom w:val="0"/>
              <w:divBdr>
                <w:top w:val="none" w:sz="0" w:space="0" w:color="auto"/>
                <w:left w:val="none" w:sz="0" w:space="0" w:color="auto"/>
                <w:bottom w:val="none" w:sz="0" w:space="0" w:color="auto"/>
                <w:right w:val="none" w:sz="0" w:space="0" w:color="auto"/>
              </w:divBdr>
            </w:div>
            <w:div w:id="1891724817">
              <w:marLeft w:val="0"/>
              <w:marRight w:val="0"/>
              <w:marTop w:val="0"/>
              <w:marBottom w:val="0"/>
              <w:divBdr>
                <w:top w:val="none" w:sz="0" w:space="0" w:color="auto"/>
                <w:left w:val="none" w:sz="0" w:space="0" w:color="auto"/>
                <w:bottom w:val="none" w:sz="0" w:space="0" w:color="auto"/>
                <w:right w:val="none" w:sz="0" w:space="0" w:color="auto"/>
              </w:divBdr>
            </w:div>
            <w:div w:id="1891769669">
              <w:marLeft w:val="0"/>
              <w:marRight w:val="0"/>
              <w:marTop w:val="0"/>
              <w:marBottom w:val="0"/>
              <w:divBdr>
                <w:top w:val="none" w:sz="0" w:space="0" w:color="auto"/>
                <w:left w:val="none" w:sz="0" w:space="0" w:color="auto"/>
                <w:bottom w:val="none" w:sz="0" w:space="0" w:color="auto"/>
                <w:right w:val="none" w:sz="0" w:space="0" w:color="auto"/>
              </w:divBdr>
            </w:div>
            <w:div w:id="1906181133">
              <w:marLeft w:val="0"/>
              <w:marRight w:val="0"/>
              <w:marTop w:val="0"/>
              <w:marBottom w:val="0"/>
              <w:divBdr>
                <w:top w:val="none" w:sz="0" w:space="0" w:color="auto"/>
                <w:left w:val="none" w:sz="0" w:space="0" w:color="auto"/>
                <w:bottom w:val="none" w:sz="0" w:space="0" w:color="auto"/>
                <w:right w:val="none" w:sz="0" w:space="0" w:color="auto"/>
              </w:divBdr>
            </w:div>
            <w:div w:id="1915968154">
              <w:marLeft w:val="0"/>
              <w:marRight w:val="0"/>
              <w:marTop w:val="0"/>
              <w:marBottom w:val="0"/>
              <w:divBdr>
                <w:top w:val="none" w:sz="0" w:space="0" w:color="auto"/>
                <w:left w:val="none" w:sz="0" w:space="0" w:color="auto"/>
                <w:bottom w:val="none" w:sz="0" w:space="0" w:color="auto"/>
                <w:right w:val="none" w:sz="0" w:space="0" w:color="auto"/>
              </w:divBdr>
            </w:div>
            <w:div w:id="1916284445">
              <w:marLeft w:val="0"/>
              <w:marRight w:val="0"/>
              <w:marTop w:val="0"/>
              <w:marBottom w:val="0"/>
              <w:divBdr>
                <w:top w:val="none" w:sz="0" w:space="0" w:color="auto"/>
                <w:left w:val="none" w:sz="0" w:space="0" w:color="auto"/>
                <w:bottom w:val="none" w:sz="0" w:space="0" w:color="auto"/>
                <w:right w:val="none" w:sz="0" w:space="0" w:color="auto"/>
              </w:divBdr>
            </w:div>
            <w:div w:id="1950311263">
              <w:marLeft w:val="0"/>
              <w:marRight w:val="0"/>
              <w:marTop w:val="0"/>
              <w:marBottom w:val="0"/>
              <w:divBdr>
                <w:top w:val="none" w:sz="0" w:space="0" w:color="auto"/>
                <w:left w:val="none" w:sz="0" w:space="0" w:color="auto"/>
                <w:bottom w:val="none" w:sz="0" w:space="0" w:color="auto"/>
                <w:right w:val="none" w:sz="0" w:space="0" w:color="auto"/>
              </w:divBdr>
            </w:div>
            <w:div w:id="1957902006">
              <w:marLeft w:val="0"/>
              <w:marRight w:val="0"/>
              <w:marTop w:val="0"/>
              <w:marBottom w:val="0"/>
              <w:divBdr>
                <w:top w:val="none" w:sz="0" w:space="0" w:color="auto"/>
                <w:left w:val="none" w:sz="0" w:space="0" w:color="auto"/>
                <w:bottom w:val="none" w:sz="0" w:space="0" w:color="auto"/>
                <w:right w:val="none" w:sz="0" w:space="0" w:color="auto"/>
              </w:divBdr>
            </w:div>
            <w:div w:id="1984307801">
              <w:marLeft w:val="0"/>
              <w:marRight w:val="0"/>
              <w:marTop w:val="0"/>
              <w:marBottom w:val="0"/>
              <w:divBdr>
                <w:top w:val="none" w:sz="0" w:space="0" w:color="auto"/>
                <w:left w:val="none" w:sz="0" w:space="0" w:color="auto"/>
                <w:bottom w:val="none" w:sz="0" w:space="0" w:color="auto"/>
                <w:right w:val="none" w:sz="0" w:space="0" w:color="auto"/>
              </w:divBdr>
            </w:div>
            <w:div w:id="2019194034">
              <w:marLeft w:val="0"/>
              <w:marRight w:val="0"/>
              <w:marTop w:val="0"/>
              <w:marBottom w:val="0"/>
              <w:divBdr>
                <w:top w:val="none" w:sz="0" w:space="0" w:color="auto"/>
                <w:left w:val="none" w:sz="0" w:space="0" w:color="auto"/>
                <w:bottom w:val="none" w:sz="0" w:space="0" w:color="auto"/>
                <w:right w:val="none" w:sz="0" w:space="0" w:color="auto"/>
              </w:divBdr>
            </w:div>
            <w:div w:id="2047289349">
              <w:marLeft w:val="0"/>
              <w:marRight w:val="0"/>
              <w:marTop w:val="0"/>
              <w:marBottom w:val="0"/>
              <w:divBdr>
                <w:top w:val="none" w:sz="0" w:space="0" w:color="auto"/>
                <w:left w:val="none" w:sz="0" w:space="0" w:color="auto"/>
                <w:bottom w:val="none" w:sz="0" w:space="0" w:color="auto"/>
                <w:right w:val="none" w:sz="0" w:space="0" w:color="auto"/>
              </w:divBdr>
            </w:div>
            <w:div w:id="21422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88174">
      <w:bodyDiv w:val="1"/>
      <w:marLeft w:val="0"/>
      <w:marRight w:val="0"/>
      <w:marTop w:val="0"/>
      <w:marBottom w:val="0"/>
      <w:divBdr>
        <w:top w:val="none" w:sz="0" w:space="0" w:color="auto"/>
        <w:left w:val="none" w:sz="0" w:space="0" w:color="auto"/>
        <w:bottom w:val="none" w:sz="0" w:space="0" w:color="auto"/>
        <w:right w:val="none" w:sz="0" w:space="0" w:color="auto"/>
      </w:divBdr>
    </w:div>
    <w:div w:id="618072528">
      <w:bodyDiv w:val="1"/>
      <w:marLeft w:val="0"/>
      <w:marRight w:val="0"/>
      <w:marTop w:val="0"/>
      <w:marBottom w:val="0"/>
      <w:divBdr>
        <w:top w:val="none" w:sz="0" w:space="0" w:color="auto"/>
        <w:left w:val="none" w:sz="0" w:space="0" w:color="auto"/>
        <w:bottom w:val="none" w:sz="0" w:space="0" w:color="auto"/>
        <w:right w:val="none" w:sz="0" w:space="0" w:color="auto"/>
      </w:divBdr>
    </w:div>
    <w:div w:id="640118850">
      <w:bodyDiv w:val="1"/>
      <w:marLeft w:val="0"/>
      <w:marRight w:val="0"/>
      <w:marTop w:val="0"/>
      <w:marBottom w:val="0"/>
      <w:divBdr>
        <w:top w:val="none" w:sz="0" w:space="0" w:color="auto"/>
        <w:left w:val="none" w:sz="0" w:space="0" w:color="auto"/>
        <w:bottom w:val="none" w:sz="0" w:space="0" w:color="auto"/>
        <w:right w:val="none" w:sz="0" w:space="0" w:color="auto"/>
      </w:divBdr>
      <w:divsChild>
        <w:div w:id="1264267889">
          <w:marLeft w:val="480"/>
          <w:marRight w:val="0"/>
          <w:marTop w:val="0"/>
          <w:marBottom w:val="0"/>
          <w:divBdr>
            <w:top w:val="none" w:sz="0" w:space="0" w:color="auto"/>
            <w:left w:val="none" w:sz="0" w:space="0" w:color="auto"/>
            <w:bottom w:val="none" w:sz="0" w:space="0" w:color="auto"/>
            <w:right w:val="none" w:sz="0" w:space="0" w:color="auto"/>
          </w:divBdr>
          <w:divsChild>
            <w:div w:id="8333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90074">
      <w:bodyDiv w:val="1"/>
      <w:marLeft w:val="0"/>
      <w:marRight w:val="0"/>
      <w:marTop w:val="0"/>
      <w:marBottom w:val="0"/>
      <w:divBdr>
        <w:top w:val="none" w:sz="0" w:space="0" w:color="auto"/>
        <w:left w:val="none" w:sz="0" w:space="0" w:color="auto"/>
        <w:bottom w:val="none" w:sz="0" w:space="0" w:color="auto"/>
        <w:right w:val="none" w:sz="0" w:space="0" w:color="auto"/>
      </w:divBdr>
      <w:divsChild>
        <w:div w:id="488445124">
          <w:marLeft w:val="0"/>
          <w:marRight w:val="0"/>
          <w:marTop w:val="0"/>
          <w:marBottom w:val="0"/>
          <w:divBdr>
            <w:top w:val="none" w:sz="0" w:space="0" w:color="auto"/>
            <w:left w:val="none" w:sz="0" w:space="0" w:color="auto"/>
            <w:bottom w:val="none" w:sz="0" w:space="0" w:color="auto"/>
            <w:right w:val="none" w:sz="0" w:space="0" w:color="auto"/>
          </w:divBdr>
          <w:divsChild>
            <w:div w:id="645545528">
              <w:marLeft w:val="0"/>
              <w:marRight w:val="0"/>
              <w:marTop w:val="0"/>
              <w:marBottom w:val="0"/>
              <w:divBdr>
                <w:top w:val="none" w:sz="0" w:space="0" w:color="auto"/>
                <w:left w:val="none" w:sz="0" w:space="0" w:color="auto"/>
                <w:bottom w:val="none" w:sz="0" w:space="0" w:color="auto"/>
                <w:right w:val="none" w:sz="0" w:space="0" w:color="auto"/>
              </w:divBdr>
            </w:div>
            <w:div w:id="1267614143">
              <w:marLeft w:val="0"/>
              <w:marRight w:val="0"/>
              <w:marTop w:val="0"/>
              <w:marBottom w:val="0"/>
              <w:divBdr>
                <w:top w:val="none" w:sz="0" w:space="0" w:color="auto"/>
                <w:left w:val="none" w:sz="0" w:space="0" w:color="auto"/>
                <w:bottom w:val="none" w:sz="0" w:space="0" w:color="auto"/>
                <w:right w:val="none" w:sz="0" w:space="0" w:color="auto"/>
              </w:divBdr>
            </w:div>
            <w:div w:id="1462579770">
              <w:marLeft w:val="0"/>
              <w:marRight w:val="0"/>
              <w:marTop w:val="0"/>
              <w:marBottom w:val="0"/>
              <w:divBdr>
                <w:top w:val="none" w:sz="0" w:space="0" w:color="auto"/>
                <w:left w:val="none" w:sz="0" w:space="0" w:color="auto"/>
                <w:bottom w:val="none" w:sz="0" w:space="0" w:color="auto"/>
                <w:right w:val="none" w:sz="0" w:space="0" w:color="auto"/>
              </w:divBdr>
            </w:div>
            <w:div w:id="1613711689">
              <w:marLeft w:val="0"/>
              <w:marRight w:val="0"/>
              <w:marTop w:val="0"/>
              <w:marBottom w:val="0"/>
              <w:divBdr>
                <w:top w:val="none" w:sz="0" w:space="0" w:color="auto"/>
                <w:left w:val="none" w:sz="0" w:space="0" w:color="auto"/>
                <w:bottom w:val="none" w:sz="0" w:space="0" w:color="auto"/>
                <w:right w:val="none" w:sz="0" w:space="0" w:color="auto"/>
              </w:divBdr>
            </w:div>
            <w:div w:id="1963875021">
              <w:marLeft w:val="0"/>
              <w:marRight w:val="0"/>
              <w:marTop w:val="0"/>
              <w:marBottom w:val="0"/>
              <w:divBdr>
                <w:top w:val="none" w:sz="0" w:space="0" w:color="auto"/>
                <w:left w:val="none" w:sz="0" w:space="0" w:color="auto"/>
                <w:bottom w:val="none" w:sz="0" w:space="0" w:color="auto"/>
                <w:right w:val="none" w:sz="0" w:space="0" w:color="auto"/>
              </w:divBdr>
            </w:div>
          </w:divsChild>
        </w:div>
        <w:div w:id="554895742">
          <w:marLeft w:val="0"/>
          <w:marRight w:val="0"/>
          <w:marTop w:val="0"/>
          <w:marBottom w:val="0"/>
          <w:divBdr>
            <w:top w:val="none" w:sz="0" w:space="0" w:color="auto"/>
            <w:left w:val="none" w:sz="0" w:space="0" w:color="auto"/>
            <w:bottom w:val="none" w:sz="0" w:space="0" w:color="auto"/>
            <w:right w:val="none" w:sz="0" w:space="0" w:color="auto"/>
          </w:divBdr>
        </w:div>
        <w:div w:id="974868676">
          <w:marLeft w:val="0"/>
          <w:marRight w:val="0"/>
          <w:marTop w:val="0"/>
          <w:marBottom w:val="0"/>
          <w:divBdr>
            <w:top w:val="none" w:sz="0" w:space="0" w:color="auto"/>
            <w:left w:val="none" w:sz="0" w:space="0" w:color="auto"/>
            <w:bottom w:val="none" w:sz="0" w:space="0" w:color="auto"/>
            <w:right w:val="none" w:sz="0" w:space="0" w:color="auto"/>
          </w:divBdr>
          <w:divsChild>
            <w:div w:id="415984056">
              <w:marLeft w:val="0"/>
              <w:marRight w:val="0"/>
              <w:marTop w:val="0"/>
              <w:marBottom w:val="0"/>
              <w:divBdr>
                <w:top w:val="none" w:sz="0" w:space="0" w:color="auto"/>
                <w:left w:val="none" w:sz="0" w:space="0" w:color="auto"/>
                <w:bottom w:val="none" w:sz="0" w:space="0" w:color="auto"/>
                <w:right w:val="none" w:sz="0" w:space="0" w:color="auto"/>
              </w:divBdr>
            </w:div>
            <w:div w:id="910113636">
              <w:marLeft w:val="0"/>
              <w:marRight w:val="0"/>
              <w:marTop w:val="0"/>
              <w:marBottom w:val="0"/>
              <w:divBdr>
                <w:top w:val="none" w:sz="0" w:space="0" w:color="auto"/>
                <w:left w:val="none" w:sz="0" w:space="0" w:color="auto"/>
                <w:bottom w:val="none" w:sz="0" w:space="0" w:color="auto"/>
                <w:right w:val="none" w:sz="0" w:space="0" w:color="auto"/>
              </w:divBdr>
            </w:div>
            <w:div w:id="978798808">
              <w:marLeft w:val="0"/>
              <w:marRight w:val="0"/>
              <w:marTop w:val="0"/>
              <w:marBottom w:val="0"/>
              <w:divBdr>
                <w:top w:val="none" w:sz="0" w:space="0" w:color="auto"/>
                <w:left w:val="none" w:sz="0" w:space="0" w:color="auto"/>
                <w:bottom w:val="none" w:sz="0" w:space="0" w:color="auto"/>
                <w:right w:val="none" w:sz="0" w:space="0" w:color="auto"/>
              </w:divBdr>
            </w:div>
            <w:div w:id="14420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4908">
      <w:bodyDiv w:val="1"/>
      <w:marLeft w:val="0"/>
      <w:marRight w:val="0"/>
      <w:marTop w:val="0"/>
      <w:marBottom w:val="0"/>
      <w:divBdr>
        <w:top w:val="none" w:sz="0" w:space="0" w:color="auto"/>
        <w:left w:val="none" w:sz="0" w:space="0" w:color="auto"/>
        <w:bottom w:val="none" w:sz="0" w:space="0" w:color="auto"/>
        <w:right w:val="none" w:sz="0" w:space="0" w:color="auto"/>
      </w:divBdr>
      <w:divsChild>
        <w:div w:id="615986438">
          <w:marLeft w:val="480"/>
          <w:marRight w:val="0"/>
          <w:marTop w:val="0"/>
          <w:marBottom w:val="0"/>
          <w:divBdr>
            <w:top w:val="none" w:sz="0" w:space="0" w:color="auto"/>
            <w:left w:val="none" w:sz="0" w:space="0" w:color="auto"/>
            <w:bottom w:val="none" w:sz="0" w:space="0" w:color="auto"/>
            <w:right w:val="none" w:sz="0" w:space="0" w:color="auto"/>
          </w:divBdr>
          <w:divsChild>
            <w:div w:id="18556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3053">
      <w:bodyDiv w:val="1"/>
      <w:marLeft w:val="0"/>
      <w:marRight w:val="0"/>
      <w:marTop w:val="0"/>
      <w:marBottom w:val="0"/>
      <w:divBdr>
        <w:top w:val="none" w:sz="0" w:space="0" w:color="auto"/>
        <w:left w:val="none" w:sz="0" w:space="0" w:color="auto"/>
        <w:bottom w:val="none" w:sz="0" w:space="0" w:color="auto"/>
        <w:right w:val="none" w:sz="0" w:space="0" w:color="auto"/>
      </w:divBdr>
    </w:div>
    <w:div w:id="1341545012">
      <w:bodyDiv w:val="1"/>
      <w:marLeft w:val="0"/>
      <w:marRight w:val="0"/>
      <w:marTop w:val="0"/>
      <w:marBottom w:val="0"/>
      <w:divBdr>
        <w:top w:val="none" w:sz="0" w:space="0" w:color="auto"/>
        <w:left w:val="none" w:sz="0" w:space="0" w:color="auto"/>
        <w:bottom w:val="none" w:sz="0" w:space="0" w:color="auto"/>
        <w:right w:val="none" w:sz="0" w:space="0" w:color="auto"/>
      </w:divBdr>
    </w:div>
    <w:div w:id="1522354325">
      <w:bodyDiv w:val="1"/>
      <w:marLeft w:val="0"/>
      <w:marRight w:val="0"/>
      <w:marTop w:val="0"/>
      <w:marBottom w:val="0"/>
      <w:divBdr>
        <w:top w:val="none" w:sz="0" w:space="0" w:color="auto"/>
        <w:left w:val="none" w:sz="0" w:space="0" w:color="auto"/>
        <w:bottom w:val="none" w:sz="0" w:space="0" w:color="auto"/>
        <w:right w:val="none" w:sz="0" w:space="0" w:color="auto"/>
      </w:divBdr>
      <w:divsChild>
        <w:div w:id="478109618">
          <w:marLeft w:val="0"/>
          <w:marRight w:val="0"/>
          <w:marTop w:val="0"/>
          <w:marBottom w:val="0"/>
          <w:divBdr>
            <w:top w:val="none" w:sz="0" w:space="0" w:color="auto"/>
            <w:left w:val="none" w:sz="0" w:space="0" w:color="auto"/>
            <w:bottom w:val="none" w:sz="0" w:space="0" w:color="auto"/>
            <w:right w:val="none" w:sz="0" w:space="0" w:color="auto"/>
          </w:divBdr>
          <w:divsChild>
            <w:div w:id="121965642">
              <w:marLeft w:val="0"/>
              <w:marRight w:val="0"/>
              <w:marTop w:val="0"/>
              <w:marBottom w:val="0"/>
              <w:divBdr>
                <w:top w:val="none" w:sz="0" w:space="0" w:color="auto"/>
                <w:left w:val="none" w:sz="0" w:space="0" w:color="auto"/>
                <w:bottom w:val="none" w:sz="0" w:space="0" w:color="auto"/>
                <w:right w:val="none" w:sz="0" w:space="0" w:color="auto"/>
              </w:divBdr>
            </w:div>
            <w:div w:id="883637697">
              <w:marLeft w:val="0"/>
              <w:marRight w:val="0"/>
              <w:marTop w:val="0"/>
              <w:marBottom w:val="0"/>
              <w:divBdr>
                <w:top w:val="none" w:sz="0" w:space="0" w:color="auto"/>
                <w:left w:val="none" w:sz="0" w:space="0" w:color="auto"/>
                <w:bottom w:val="none" w:sz="0" w:space="0" w:color="auto"/>
                <w:right w:val="none" w:sz="0" w:space="0" w:color="auto"/>
              </w:divBdr>
            </w:div>
            <w:div w:id="897084218">
              <w:marLeft w:val="0"/>
              <w:marRight w:val="0"/>
              <w:marTop w:val="0"/>
              <w:marBottom w:val="0"/>
              <w:divBdr>
                <w:top w:val="none" w:sz="0" w:space="0" w:color="auto"/>
                <w:left w:val="none" w:sz="0" w:space="0" w:color="auto"/>
                <w:bottom w:val="none" w:sz="0" w:space="0" w:color="auto"/>
                <w:right w:val="none" w:sz="0" w:space="0" w:color="auto"/>
              </w:divBdr>
            </w:div>
            <w:div w:id="969825148">
              <w:marLeft w:val="0"/>
              <w:marRight w:val="0"/>
              <w:marTop w:val="0"/>
              <w:marBottom w:val="0"/>
              <w:divBdr>
                <w:top w:val="none" w:sz="0" w:space="0" w:color="auto"/>
                <w:left w:val="none" w:sz="0" w:space="0" w:color="auto"/>
                <w:bottom w:val="none" w:sz="0" w:space="0" w:color="auto"/>
                <w:right w:val="none" w:sz="0" w:space="0" w:color="auto"/>
              </w:divBdr>
            </w:div>
            <w:div w:id="1021203021">
              <w:marLeft w:val="0"/>
              <w:marRight w:val="0"/>
              <w:marTop w:val="0"/>
              <w:marBottom w:val="0"/>
              <w:divBdr>
                <w:top w:val="none" w:sz="0" w:space="0" w:color="auto"/>
                <w:left w:val="none" w:sz="0" w:space="0" w:color="auto"/>
                <w:bottom w:val="none" w:sz="0" w:space="0" w:color="auto"/>
                <w:right w:val="none" w:sz="0" w:space="0" w:color="auto"/>
              </w:divBdr>
            </w:div>
          </w:divsChild>
        </w:div>
        <w:div w:id="844588684">
          <w:marLeft w:val="0"/>
          <w:marRight w:val="0"/>
          <w:marTop w:val="0"/>
          <w:marBottom w:val="0"/>
          <w:divBdr>
            <w:top w:val="none" w:sz="0" w:space="0" w:color="auto"/>
            <w:left w:val="none" w:sz="0" w:space="0" w:color="auto"/>
            <w:bottom w:val="none" w:sz="0" w:space="0" w:color="auto"/>
            <w:right w:val="none" w:sz="0" w:space="0" w:color="auto"/>
          </w:divBdr>
        </w:div>
        <w:div w:id="984822169">
          <w:marLeft w:val="0"/>
          <w:marRight w:val="0"/>
          <w:marTop w:val="0"/>
          <w:marBottom w:val="0"/>
          <w:divBdr>
            <w:top w:val="none" w:sz="0" w:space="0" w:color="auto"/>
            <w:left w:val="none" w:sz="0" w:space="0" w:color="auto"/>
            <w:bottom w:val="none" w:sz="0" w:space="0" w:color="auto"/>
            <w:right w:val="none" w:sz="0" w:space="0" w:color="auto"/>
          </w:divBdr>
          <w:divsChild>
            <w:div w:id="276383">
              <w:marLeft w:val="0"/>
              <w:marRight w:val="0"/>
              <w:marTop w:val="0"/>
              <w:marBottom w:val="0"/>
              <w:divBdr>
                <w:top w:val="none" w:sz="0" w:space="0" w:color="auto"/>
                <w:left w:val="none" w:sz="0" w:space="0" w:color="auto"/>
                <w:bottom w:val="none" w:sz="0" w:space="0" w:color="auto"/>
                <w:right w:val="none" w:sz="0" w:space="0" w:color="auto"/>
              </w:divBdr>
            </w:div>
            <w:div w:id="1060519762">
              <w:marLeft w:val="0"/>
              <w:marRight w:val="0"/>
              <w:marTop w:val="0"/>
              <w:marBottom w:val="0"/>
              <w:divBdr>
                <w:top w:val="none" w:sz="0" w:space="0" w:color="auto"/>
                <w:left w:val="none" w:sz="0" w:space="0" w:color="auto"/>
                <w:bottom w:val="none" w:sz="0" w:space="0" w:color="auto"/>
                <w:right w:val="none" w:sz="0" w:space="0" w:color="auto"/>
              </w:divBdr>
            </w:div>
            <w:div w:id="1118912555">
              <w:marLeft w:val="0"/>
              <w:marRight w:val="0"/>
              <w:marTop w:val="0"/>
              <w:marBottom w:val="0"/>
              <w:divBdr>
                <w:top w:val="none" w:sz="0" w:space="0" w:color="auto"/>
                <w:left w:val="none" w:sz="0" w:space="0" w:color="auto"/>
                <w:bottom w:val="none" w:sz="0" w:space="0" w:color="auto"/>
                <w:right w:val="none" w:sz="0" w:space="0" w:color="auto"/>
              </w:divBdr>
            </w:div>
            <w:div w:id="19219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2075">
      <w:bodyDiv w:val="1"/>
      <w:marLeft w:val="0"/>
      <w:marRight w:val="0"/>
      <w:marTop w:val="0"/>
      <w:marBottom w:val="0"/>
      <w:divBdr>
        <w:top w:val="none" w:sz="0" w:space="0" w:color="auto"/>
        <w:left w:val="none" w:sz="0" w:space="0" w:color="auto"/>
        <w:bottom w:val="none" w:sz="0" w:space="0" w:color="auto"/>
        <w:right w:val="none" w:sz="0" w:space="0" w:color="auto"/>
      </w:divBdr>
      <w:divsChild>
        <w:div w:id="1031226685">
          <w:marLeft w:val="480"/>
          <w:marRight w:val="0"/>
          <w:marTop w:val="0"/>
          <w:marBottom w:val="0"/>
          <w:divBdr>
            <w:top w:val="none" w:sz="0" w:space="0" w:color="auto"/>
            <w:left w:val="none" w:sz="0" w:space="0" w:color="auto"/>
            <w:bottom w:val="none" w:sz="0" w:space="0" w:color="auto"/>
            <w:right w:val="none" w:sz="0" w:space="0" w:color="auto"/>
          </w:divBdr>
          <w:divsChild>
            <w:div w:id="12855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9661">
      <w:bodyDiv w:val="1"/>
      <w:marLeft w:val="0"/>
      <w:marRight w:val="0"/>
      <w:marTop w:val="0"/>
      <w:marBottom w:val="0"/>
      <w:divBdr>
        <w:top w:val="none" w:sz="0" w:space="0" w:color="auto"/>
        <w:left w:val="none" w:sz="0" w:space="0" w:color="auto"/>
        <w:bottom w:val="none" w:sz="0" w:space="0" w:color="auto"/>
        <w:right w:val="none" w:sz="0" w:space="0" w:color="auto"/>
      </w:divBdr>
      <w:divsChild>
        <w:div w:id="1938100421">
          <w:marLeft w:val="480"/>
          <w:marRight w:val="0"/>
          <w:marTop w:val="0"/>
          <w:marBottom w:val="0"/>
          <w:divBdr>
            <w:top w:val="none" w:sz="0" w:space="0" w:color="auto"/>
            <w:left w:val="none" w:sz="0" w:space="0" w:color="auto"/>
            <w:bottom w:val="none" w:sz="0" w:space="0" w:color="auto"/>
            <w:right w:val="none" w:sz="0" w:space="0" w:color="auto"/>
          </w:divBdr>
          <w:divsChild>
            <w:div w:id="51589366">
              <w:marLeft w:val="0"/>
              <w:marRight w:val="0"/>
              <w:marTop w:val="0"/>
              <w:marBottom w:val="0"/>
              <w:divBdr>
                <w:top w:val="none" w:sz="0" w:space="0" w:color="auto"/>
                <w:left w:val="none" w:sz="0" w:space="0" w:color="auto"/>
                <w:bottom w:val="none" w:sz="0" w:space="0" w:color="auto"/>
                <w:right w:val="none" w:sz="0" w:space="0" w:color="auto"/>
              </w:divBdr>
            </w:div>
            <w:div w:id="82267720">
              <w:marLeft w:val="0"/>
              <w:marRight w:val="0"/>
              <w:marTop w:val="0"/>
              <w:marBottom w:val="0"/>
              <w:divBdr>
                <w:top w:val="none" w:sz="0" w:space="0" w:color="auto"/>
                <w:left w:val="none" w:sz="0" w:space="0" w:color="auto"/>
                <w:bottom w:val="none" w:sz="0" w:space="0" w:color="auto"/>
                <w:right w:val="none" w:sz="0" w:space="0" w:color="auto"/>
              </w:divBdr>
            </w:div>
            <w:div w:id="83235213">
              <w:marLeft w:val="0"/>
              <w:marRight w:val="0"/>
              <w:marTop w:val="0"/>
              <w:marBottom w:val="0"/>
              <w:divBdr>
                <w:top w:val="none" w:sz="0" w:space="0" w:color="auto"/>
                <w:left w:val="none" w:sz="0" w:space="0" w:color="auto"/>
                <w:bottom w:val="none" w:sz="0" w:space="0" w:color="auto"/>
                <w:right w:val="none" w:sz="0" w:space="0" w:color="auto"/>
              </w:divBdr>
            </w:div>
            <w:div w:id="143593272">
              <w:marLeft w:val="0"/>
              <w:marRight w:val="0"/>
              <w:marTop w:val="0"/>
              <w:marBottom w:val="0"/>
              <w:divBdr>
                <w:top w:val="none" w:sz="0" w:space="0" w:color="auto"/>
                <w:left w:val="none" w:sz="0" w:space="0" w:color="auto"/>
                <w:bottom w:val="none" w:sz="0" w:space="0" w:color="auto"/>
                <w:right w:val="none" w:sz="0" w:space="0" w:color="auto"/>
              </w:divBdr>
            </w:div>
            <w:div w:id="149834826">
              <w:marLeft w:val="0"/>
              <w:marRight w:val="0"/>
              <w:marTop w:val="0"/>
              <w:marBottom w:val="0"/>
              <w:divBdr>
                <w:top w:val="none" w:sz="0" w:space="0" w:color="auto"/>
                <w:left w:val="none" w:sz="0" w:space="0" w:color="auto"/>
                <w:bottom w:val="none" w:sz="0" w:space="0" w:color="auto"/>
                <w:right w:val="none" w:sz="0" w:space="0" w:color="auto"/>
              </w:divBdr>
            </w:div>
            <w:div w:id="158466143">
              <w:marLeft w:val="0"/>
              <w:marRight w:val="0"/>
              <w:marTop w:val="0"/>
              <w:marBottom w:val="0"/>
              <w:divBdr>
                <w:top w:val="none" w:sz="0" w:space="0" w:color="auto"/>
                <w:left w:val="none" w:sz="0" w:space="0" w:color="auto"/>
                <w:bottom w:val="none" w:sz="0" w:space="0" w:color="auto"/>
                <w:right w:val="none" w:sz="0" w:space="0" w:color="auto"/>
              </w:divBdr>
            </w:div>
            <w:div w:id="273640409">
              <w:marLeft w:val="0"/>
              <w:marRight w:val="0"/>
              <w:marTop w:val="0"/>
              <w:marBottom w:val="0"/>
              <w:divBdr>
                <w:top w:val="none" w:sz="0" w:space="0" w:color="auto"/>
                <w:left w:val="none" w:sz="0" w:space="0" w:color="auto"/>
                <w:bottom w:val="none" w:sz="0" w:space="0" w:color="auto"/>
                <w:right w:val="none" w:sz="0" w:space="0" w:color="auto"/>
              </w:divBdr>
            </w:div>
            <w:div w:id="328945585">
              <w:marLeft w:val="0"/>
              <w:marRight w:val="0"/>
              <w:marTop w:val="0"/>
              <w:marBottom w:val="0"/>
              <w:divBdr>
                <w:top w:val="none" w:sz="0" w:space="0" w:color="auto"/>
                <w:left w:val="none" w:sz="0" w:space="0" w:color="auto"/>
                <w:bottom w:val="none" w:sz="0" w:space="0" w:color="auto"/>
                <w:right w:val="none" w:sz="0" w:space="0" w:color="auto"/>
              </w:divBdr>
            </w:div>
            <w:div w:id="369501554">
              <w:marLeft w:val="0"/>
              <w:marRight w:val="0"/>
              <w:marTop w:val="0"/>
              <w:marBottom w:val="0"/>
              <w:divBdr>
                <w:top w:val="none" w:sz="0" w:space="0" w:color="auto"/>
                <w:left w:val="none" w:sz="0" w:space="0" w:color="auto"/>
                <w:bottom w:val="none" w:sz="0" w:space="0" w:color="auto"/>
                <w:right w:val="none" w:sz="0" w:space="0" w:color="auto"/>
              </w:divBdr>
            </w:div>
            <w:div w:id="497967948">
              <w:marLeft w:val="0"/>
              <w:marRight w:val="0"/>
              <w:marTop w:val="0"/>
              <w:marBottom w:val="0"/>
              <w:divBdr>
                <w:top w:val="none" w:sz="0" w:space="0" w:color="auto"/>
                <w:left w:val="none" w:sz="0" w:space="0" w:color="auto"/>
                <w:bottom w:val="none" w:sz="0" w:space="0" w:color="auto"/>
                <w:right w:val="none" w:sz="0" w:space="0" w:color="auto"/>
              </w:divBdr>
            </w:div>
            <w:div w:id="696198994">
              <w:marLeft w:val="0"/>
              <w:marRight w:val="0"/>
              <w:marTop w:val="0"/>
              <w:marBottom w:val="0"/>
              <w:divBdr>
                <w:top w:val="none" w:sz="0" w:space="0" w:color="auto"/>
                <w:left w:val="none" w:sz="0" w:space="0" w:color="auto"/>
                <w:bottom w:val="none" w:sz="0" w:space="0" w:color="auto"/>
                <w:right w:val="none" w:sz="0" w:space="0" w:color="auto"/>
              </w:divBdr>
            </w:div>
            <w:div w:id="755398092">
              <w:marLeft w:val="0"/>
              <w:marRight w:val="0"/>
              <w:marTop w:val="0"/>
              <w:marBottom w:val="0"/>
              <w:divBdr>
                <w:top w:val="none" w:sz="0" w:space="0" w:color="auto"/>
                <w:left w:val="none" w:sz="0" w:space="0" w:color="auto"/>
                <w:bottom w:val="none" w:sz="0" w:space="0" w:color="auto"/>
                <w:right w:val="none" w:sz="0" w:space="0" w:color="auto"/>
              </w:divBdr>
            </w:div>
            <w:div w:id="841118681">
              <w:marLeft w:val="0"/>
              <w:marRight w:val="0"/>
              <w:marTop w:val="0"/>
              <w:marBottom w:val="0"/>
              <w:divBdr>
                <w:top w:val="none" w:sz="0" w:space="0" w:color="auto"/>
                <w:left w:val="none" w:sz="0" w:space="0" w:color="auto"/>
                <w:bottom w:val="none" w:sz="0" w:space="0" w:color="auto"/>
                <w:right w:val="none" w:sz="0" w:space="0" w:color="auto"/>
              </w:divBdr>
            </w:div>
            <w:div w:id="842623755">
              <w:marLeft w:val="0"/>
              <w:marRight w:val="0"/>
              <w:marTop w:val="0"/>
              <w:marBottom w:val="0"/>
              <w:divBdr>
                <w:top w:val="none" w:sz="0" w:space="0" w:color="auto"/>
                <w:left w:val="none" w:sz="0" w:space="0" w:color="auto"/>
                <w:bottom w:val="none" w:sz="0" w:space="0" w:color="auto"/>
                <w:right w:val="none" w:sz="0" w:space="0" w:color="auto"/>
              </w:divBdr>
            </w:div>
            <w:div w:id="974526741">
              <w:marLeft w:val="0"/>
              <w:marRight w:val="0"/>
              <w:marTop w:val="0"/>
              <w:marBottom w:val="0"/>
              <w:divBdr>
                <w:top w:val="none" w:sz="0" w:space="0" w:color="auto"/>
                <w:left w:val="none" w:sz="0" w:space="0" w:color="auto"/>
                <w:bottom w:val="none" w:sz="0" w:space="0" w:color="auto"/>
                <w:right w:val="none" w:sz="0" w:space="0" w:color="auto"/>
              </w:divBdr>
            </w:div>
            <w:div w:id="989164989">
              <w:marLeft w:val="0"/>
              <w:marRight w:val="0"/>
              <w:marTop w:val="0"/>
              <w:marBottom w:val="0"/>
              <w:divBdr>
                <w:top w:val="none" w:sz="0" w:space="0" w:color="auto"/>
                <w:left w:val="none" w:sz="0" w:space="0" w:color="auto"/>
                <w:bottom w:val="none" w:sz="0" w:space="0" w:color="auto"/>
                <w:right w:val="none" w:sz="0" w:space="0" w:color="auto"/>
              </w:divBdr>
            </w:div>
            <w:div w:id="989946663">
              <w:marLeft w:val="0"/>
              <w:marRight w:val="0"/>
              <w:marTop w:val="0"/>
              <w:marBottom w:val="0"/>
              <w:divBdr>
                <w:top w:val="none" w:sz="0" w:space="0" w:color="auto"/>
                <w:left w:val="none" w:sz="0" w:space="0" w:color="auto"/>
                <w:bottom w:val="none" w:sz="0" w:space="0" w:color="auto"/>
                <w:right w:val="none" w:sz="0" w:space="0" w:color="auto"/>
              </w:divBdr>
            </w:div>
            <w:div w:id="1074398198">
              <w:marLeft w:val="0"/>
              <w:marRight w:val="0"/>
              <w:marTop w:val="0"/>
              <w:marBottom w:val="0"/>
              <w:divBdr>
                <w:top w:val="none" w:sz="0" w:space="0" w:color="auto"/>
                <w:left w:val="none" w:sz="0" w:space="0" w:color="auto"/>
                <w:bottom w:val="none" w:sz="0" w:space="0" w:color="auto"/>
                <w:right w:val="none" w:sz="0" w:space="0" w:color="auto"/>
              </w:divBdr>
            </w:div>
            <w:div w:id="1131483790">
              <w:marLeft w:val="0"/>
              <w:marRight w:val="0"/>
              <w:marTop w:val="0"/>
              <w:marBottom w:val="0"/>
              <w:divBdr>
                <w:top w:val="none" w:sz="0" w:space="0" w:color="auto"/>
                <w:left w:val="none" w:sz="0" w:space="0" w:color="auto"/>
                <w:bottom w:val="none" w:sz="0" w:space="0" w:color="auto"/>
                <w:right w:val="none" w:sz="0" w:space="0" w:color="auto"/>
              </w:divBdr>
            </w:div>
            <w:div w:id="1233857287">
              <w:marLeft w:val="0"/>
              <w:marRight w:val="0"/>
              <w:marTop w:val="0"/>
              <w:marBottom w:val="0"/>
              <w:divBdr>
                <w:top w:val="none" w:sz="0" w:space="0" w:color="auto"/>
                <w:left w:val="none" w:sz="0" w:space="0" w:color="auto"/>
                <w:bottom w:val="none" w:sz="0" w:space="0" w:color="auto"/>
                <w:right w:val="none" w:sz="0" w:space="0" w:color="auto"/>
              </w:divBdr>
            </w:div>
            <w:div w:id="1293563030">
              <w:marLeft w:val="0"/>
              <w:marRight w:val="0"/>
              <w:marTop w:val="0"/>
              <w:marBottom w:val="0"/>
              <w:divBdr>
                <w:top w:val="none" w:sz="0" w:space="0" w:color="auto"/>
                <w:left w:val="none" w:sz="0" w:space="0" w:color="auto"/>
                <w:bottom w:val="none" w:sz="0" w:space="0" w:color="auto"/>
                <w:right w:val="none" w:sz="0" w:space="0" w:color="auto"/>
              </w:divBdr>
            </w:div>
            <w:div w:id="1339773208">
              <w:marLeft w:val="0"/>
              <w:marRight w:val="0"/>
              <w:marTop w:val="0"/>
              <w:marBottom w:val="0"/>
              <w:divBdr>
                <w:top w:val="none" w:sz="0" w:space="0" w:color="auto"/>
                <w:left w:val="none" w:sz="0" w:space="0" w:color="auto"/>
                <w:bottom w:val="none" w:sz="0" w:space="0" w:color="auto"/>
                <w:right w:val="none" w:sz="0" w:space="0" w:color="auto"/>
              </w:divBdr>
            </w:div>
            <w:div w:id="1397436904">
              <w:marLeft w:val="0"/>
              <w:marRight w:val="0"/>
              <w:marTop w:val="0"/>
              <w:marBottom w:val="0"/>
              <w:divBdr>
                <w:top w:val="none" w:sz="0" w:space="0" w:color="auto"/>
                <w:left w:val="none" w:sz="0" w:space="0" w:color="auto"/>
                <w:bottom w:val="none" w:sz="0" w:space="0" w:color="auto"/>
                <w:right w:val="none" w:sz="0" w:space="0" w:color="auto"/>
              </w:divBdr>
            </w:div>
            <w:div w:id="1413817035">
              <w:marLeft w:val="0"/>
              <w:marRight w:val="0"/>
              <w:marTop w:val="0"/>
              <w:marBottom w:val="0"/>
              <w:divBdr>
                <w:top w:val="none" w:sz="0" w:space="0" w:color="auto"/>
                <w:left w:val="none" w:sz="0" w:space="0" w:color="auto"/>
                <w:bottom w:val="none" w:sz="0" w:space="0" w:color="auto"/>
                <w:right w:val="none" w:sz="0" w:space="0" w:color="auto"/>
              </w:divBdr>
            </w:div>
            <w:div w:id="1418091023">
              <w:marLeft w:val="0"/>
              <w:marRight w:val="0"/>
              <w:marTop w:val="0"/>
              <w:marBottom w:val="0"/>
              <w:divBdr>
                <w:top w:val="none" w:sz="0" w:space="0" w:color="auto"/>
                <w:left w:val="none" w:sz="0" w:space="0" w:color="auto"/>
                <w:bottom w:val="none" w:sz="0" w:space="0" w:color="auto"/>
                <w:right w:val="none" w:sz="0" w:space="0" w:color="auto"/>
              </w:divBdr>
            </w:div>
            <w:div w:id="1433430257">
              <w:marLeft w:val="0"/>
              <w:marRight w:val="0"/>
              <w:marTop w:val="0"/>
              <w:marBottom w:val="0"/>
              <w:divBdr>
                <w:top w:val="none" w:sz="0" w:space="0" w:color="auto"/>
                <w:left w:val="none" w:sz="0" w:space="0" w:color="auto"/>
                <w:bottom w:val="none" w:sz="0" w:space="0" w:color="auto"/>
                <w:right w:val="none" w:sz="0" w:space="0" w:color="auto"/>
              </w:divBdr>
            </w:div>
            <w:div w:id="1471248867">
              <w:marLeft w:val="0"/>
              <w:marRight w:val="0"/>
              <w:marTop w:val="0"/>
              <w:marBottom w:val="0"/>
              <w:divBdr>
                <w:top w:val="none" w:sz="0" w:space="0" w:color="auto"/>
                <w:left w:val="none" w:sz="0" w:space="0" w:color="auto"/>
                <w:bottom w:val="none" w:sz="0" w:space="0" w:color="auto"/>
                <w:right w:val="none" w:sz="0" w:space="0" w:color="auto"/>
              </w:divBdr>
            </w:div>
            <w:div w:id="1538346288">
              <w:marLeft w:val="0"/>
              <w:marRight w:val="0"/>
              <w:marTop w:val="0"/>
              <w:marBottom w:val="0"/>
              <w:divBdr>
                <w:top w:val="none" w:sz="0" w:space="0" w:color="auto"/>
                <w:left w:val="none" w:sz="0" w:space="0" w:color="auto"/>
                <w:bottom w:val="none" w:sz="0" w:space="0" w:color="auto"/>
                <w:right w:val="none" w:sz="0" w:space="0" w:color="auto"/>
              </w:divBdr>
            </w:div>
            <w:div w:id="1589583019">
              <w:marLeft w:val="0"/>
              <w:marRight w:val="0"/>
              <w:marTop w:val="0"/>
              <w:marBottom w:val="0"/>
              <w:divBdr>
                <w:top w:val="none" w:sz="0" w:space="0" w:color="auto"/>
                <w:left w:val="none" w:sz="0" w:space="0" w:color="auto"/>
                <w:bottom w:val="none" w:sz="0" w:space="0" w:color="auto"/>
                <w:right w:val="none" w:sz="0" w:space="0" w:color="auto"/>
              </w:divBdr>
            </w:div>
            <w:div w:id="1602647038">
              <w:marLeft w:val="0"/>
              <w:marRight w:val="0"/>
              <w:marTop w:val="0"/>
              <w:marBottom w:val="0"/>
              <w:divBdr>
                <w:top w:val="none" w:sz="0" w:space="0" w:color="auto"/>
                <w:left w:val="none" w:sz="0" w:space="0" w:color="auto"/>
                <w:bottom w:val="none" w:sz="0" w:space="0" w:color="auto"/>
                <w:right w:val="none" w:sz="0" w:space="0" w:color="auto"/>
              </w:divBdr>
            </w:div>
            <w:div w:id="1620257760">
              <w:marLeft w:val="0"/>
              <w:marRight w:val="0"/>
              <w:marTop w:val="0"/>
              <w:marBottom w:val="0"/>
              <w:divBdr>
                <w:top w:val="none" w:sz="0" w:space="0" w:color="auto"/>
                <w:left w:val="none" w:sz="0" w:space="0" w:color="auto"/>
                <w:bottom w:val="none" w:sz="0" w:space="0" w:color="auto"/>
                <w:right w:val="none" w:sz="0" w:space="0" w:color="auto"/>
              </w:divBdr>
            </w:div>
            <w:div w:id="1632788067">
              <w:marLeft w:val="0"/>
              <w:marRight w:val="0"/>
              <w:marTop w:val="0"/>
              <w:marBottom w:val="0"/>
              <w:divBdr>
                <w:top w:val="none" w:sz="0" w:space="0" w:color="auto"/>
                <w:left w:val="none" w:sz="0" w:space="0" w:color="auto"/>
                <w:bottom w:val="none" w:sz="0" w:space="0" w:color="auto"/>
                <w:right w:val="none" w:sz="0" w:space="0" w:color="auto"/>
              </w:divBdr>
            </w:div>
            <w:div w:id="1648897528">
              <w:marLeft w:val="0"/>
              <w:marRight w:val="0"/>
              <w:marTop w:val="0"/>
              <w:marBottom w:val="0"/>
              <w:divBdr>
                <w:top w:val="none" w:sz="0" w:space="0" w:color="auto"/>
                <w:left w:val="none" w:sz="0" w:space="0" w:color="auto"/>
                <w:bottom w:val="none" w:sz="0" w:space="0" w:color="auto"/>
                <w:right w:val="none" w:sz="0" w:space="0" w:color="auto"/>
              </w:divBdr>
            </w:div>
            <w:div w:id="1693188713">
              <w:marLeft w:val="0"/>
              <w:marRight w:val="0"/>
              <w:marTop w:val="0"/>
              <w:marBottom w:val="0"/>
              <w:divBdr>
                <w:top w:val="none" w:sz="0" w:space="0" w:color="auto"/>
                <w:left w:val="none" w:sz="0" w:space="0" w:color="auto"/>
                <w:bottom w:val="none" w:sz="0" w:space="0" w:color="auto"/>
                <w:right w:val="none" w:sz="0" w:space="0" w:color="auto"/>
              </w:divBdr>
            </w:div>
            <w:div w:id="1716813288">
              <w:marLeft w:val="0"/>
              <w:marRight w:val="0"/>
              <w:marTop w:val="0"/>
              <w:marBottom w:val="0"/>
              <w:divBdr>
                <w:top w:val="none" w:sz="0" w:space="0" w:color="auto"/>
                <w:left w:val="none" w:sz="0" w:space="0" w:color="auto"/>
                <w:bottom w:val="none" w:sz="0" w:space="0" w:color="auto"/>
                <w:right w:val="none" w:sz="0" w:space="0" w:color="auto"/>
              </w:divBdr>
            </w:div>
            <w:div w:id="1889754935">
              <w:marLeft w:val="0"/>
              <w:marRight w:val="0"/>
              <w:marTop w:val="0"/>
              <w:marBottom w:val="0"/>
              <w:divBdr>
                <w:top w:val="none" w:sz="0" w:space="0" w:color="auto"/>
                <w:left w:val="none" w:sz="0" w:space="0" w:color="auto"/>
                <w:bottom w:val="none" w:sz="0" w:space="0" w:color="auto"/>
                <w:right w:val="none" w:sz="0" w:space="0" w:color="auto"/>
              </w:divBdr>
            </w:div>
            <w:div w:id="1977908063">
              <w:marLeft w:val="0"/>
              <w:marRight w:val="0"/>
              <w:marTop w:val="0"/>
              <w:marBottom w:val="0"/>
              <w:divBdr>
                <w:top w:val="none" w:sz="0" w:space="0" w:color="auto"/>
                <w:left w:val="none" w:sz="0" w:space="0" w:color="auto"/>
                <w:bottom w:val="none" w:sz="0" w:space="0" w:color="auto"/>
                <w:right w:val="none" w:sz="0" w:space="0" w:color="auto"/>
              </w:divBdr>
            </w:div>
            <w:div w:id="2021154530">
              <w:marLeft w:val="0"/>
              <w:marRight w:val="0"/>
              <w:marTop w:val="0"/>
              <w:marBottom w:val="0"/>
              <w:divBdr>
                <w:top w:val="none" w:sz="0" w:space="0" w:color="auto"/>
                <w:left w:val="none" w:sz="0" w:space="0" w:color="auto"/>
                <w:bottom w:val="none" w:sz="0" w:space="0" w:color="auto"/>
                <w:right w:val="none" w:sz="0" w:space="0" w:color="auto"/>
              </w:divBdr>
            </w:div>
            <w:div w:id="2066761232">
              <w:marLeft w:val="0"/>
              <w:marRight w:val="0"/>
              <w:marTop w:val="0"/>
              <w:marBottom w:val="0"/>
              <w:divBdr>
                <w:top w:val="none" w:sz="0" w:space="0" w:color="auto"/>
                <w:left w:val="none" w:sz="0" w:space="0" w:color="auto"/>
                <w:bottom w:val="none" w:sz="0" w:space="0" w:color="auto"/>
                <w:right w:val="none" w:sz="0" w:space="0" w:color="auto"/>
              </w:divBdr>
            </w:div>
            <w:div w:id="2067993087">
              <w:marLeft w:val="0"/>
              <w:marRight w:val="0"/>
              <w:marTop w:val="0"/>
              <w:marBottom w:val="0"/>
              <w:divBdr>
                <w:top w:val="none" w:sz="0" w:space="0" w:color="auto"/>
                <w:left w:val="none" w:sz="0" w:space="0" w:color="auto"/>
                <w:bottom w:val="none" w:sz="0" w:space="0" w:color="auto"/>
                <w:right w:val="none" w:sz="0" w:space="0" w:color="auto"/>
              </w:divBdr>
            </w:div>
            <w:div w:id="2097287059">
              <w:marLeft w:val="0"/>
              <w:marRight w:val="0"/>
              <w:marTop w:val="0"/>
              <w:marBottom w:val="0"/>
              <w:divBdr>
                <w:top w:val="none" w:sz="0" w:space="0" w:color="auto"/>
                <w:left w:val="none" w:sz="0" w:space="0" w:color="auto"/>
                <w:bottom w:val="none" w:sz="0" w:space="0" w:color="auto"/>
                <w:right w:val="none" w:sz="0" w:space="0" w:color="auto"/>
              </w:divBdr>
            </w:div>
            <w:div w:id="21338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41479">
      <w:bodyDiv w:val="1"/>
      <w:marLeft w:val="0"/>
      <w:marRight w:val="0"/>
      <w:marTop w:val="0"/>
      <w:marBottom w:val="0"/>
      <w:divBdr>
        <w:top w:val="none" w:sz="0" w:space="0" w:color="auto"/>
        <w:left w:val="none" w:sz="0" w:space="0" w:color="auto"/>
        <w:bottom w:val="none" w:sz="0" w:space="0" w:color="auto"/>
        <w:right w:val="none" w:sz="0" w:space="0" w:color="auto"/>
      </w:divBdr>
    </w:div>
    <w:div w:id="1728333934">
      <w:bodyDiv w:val="1"/>
      <w:marLeft w:val="0"/>
      <w:marRight w:val="0"/>
      <w:marTop w:val="0"/>
      <w:marBottom w:val="0"/>
      <w:divBdr>
        <w:top w:val="none" w:sz="0" w:space="0" w:color="auto"/>
        <w:left w:val="none" w:sz="0" w:space="0" w:color="auto"/>
        <w:bottom w:val="none" w:sz="0" w:space="0" w:color="auto"/>
        <w:right w:val="none" w:sz="0" w:space="0" w:color="auto"/>
      </w:divBdr>
      <w:divsChild>
        <w:div w:id="17127492">
          <w:marLeft w:val="0"/>
          <w:marRight w:val="0"/>
          <w:marTop w:val="0"/>
          <w:marBottom w:val="0"/>
          <w:divBdr>
            <w:top w:val="none" w:sz="0" w:space="0" w:color="auto"/>
            <w:left w:val="none" w:sz="0" w:space="0" w:color="auto"/>
            <w:bottom w:val="none" w:sz="0" w:space="0" w:color="auto"/>
            <w:right w:val="none" w:sz="0" w:space="0" w:color="auto"/>
          </w:divBdr>
          <w:divsChild>
            <w:div w:id="383793646">
              <w:marLeft w:val="-75"/>
              <w:marRight w:val="0"/>
              <w:marTop w:val="30"/>
              <w:marBottom w:val="30"/>
              <w:divBdr>
                <w:top w:val="none" w:sz="0" w:space="0" w:color="auto"/>
                <w:left w:val="none" w:sz="0" w:space="0" w:color="auto"/>
                <w:bottom w:val="none" w:sz="0" w:space="0" w:color="auto"/>
                <w:right w:val="none" w:sz="0" w:space="0" w:color="auto"/>
              </w:divBdr>
              <w:divsChild>
                <w:div w:id="3746152">
                  <w:marLeft w:val="0"/>
                  <w:marRight w:val="0"/>
                  <w:marTop w:val="0"/>
                  <w:marBottom w:val="0"/>
                  <w:divBdr>
                    <w:top w:val="none" w:sz="0" w:space="0" w:color="auto"/>
                    <w:left w:val="none" w:sz="0" w:space="0" w:color="auto"/>
                    <w:bottom w:val="none" w:sz="0" w:space="0" w:color="auto"/>
                    <w:right w:val="none" w:sz="0" w:space="0" w:color="auto"/>
                  </w:divBdr>
                  <w:divsChild>
                    <w:div w:id="151801298">
                      <w:marLeft w:val="0"/>
                      <w:marRight w:val="0"/>
                      <w:marTop w:val="0"/>
                      <w:marBottom w:val="0"/>
                      <w:divBdr>
                        <w:top w:val="none" w:sz="0" w:space="0" w:color="auto"/>
                        <w:left w:val="none" w:sz="0" w:space="0" w:color="auto"/>
                        <w:bottom w:val="none" w:sz="0" w:space="0" w:color="auto"/>
                        <w:right w:val="none" w:sz="0" w:space="0" w:color="auto"/>
                      </w:divBdr>
                    </w:div>
                  </w:divsChild>
                </w:div>
                <w:div w:id="108083958">
                  <w:marLeft w:val="0"/>
                  <w:marRight w:val="0"/>
                  <w:marTop w:val="0"/>
                  <w:marBottom w:val="0"/>
                  <w:divBdr>
                    <w:top w:val="none" w:sz="0" w:space="0" w:color="auto"/>
                    <w:left w:val="none" w:sz="0" w:space="0" w:color="auto"/>
                    <w:bottom w:val="none" w:sz="0" w:space="0" w:color="auto"/>
                    <w:right w:val="none" w:sz="0" w:space="0" w:color="auto"/>
                  </w:divBdr>
                  <w:divsChild>
                    <w:div w:id="1966228368">
                      <w:marLeft w:val="0"/>
                      <w:marRight w:val="0"/>
                      <w:marTop w:val="0"/>
                      <w:marBottom w:val="0"/>
                      <w:divBdr>
                        <w:top w:val="none" w:sz="0" w:space="0" w:color="auto"/>
                        <w:left w:val="none" w:sz="0" w:space="0" w:color="auto"/>
                        <w:bottom w:val="none" w:sz="0" w:space="0" w:color="auto"/>
                        <w:right w:val="none" w:sz="0" w:space="0" w:color="auto"/>
                      </w:divBdr>
                    </w:div>
                  </w:divsChild>
                </w:div>
                <w:div w:id="410129938">
                  <w:marLeft w:val="0"/>
                  <w:marRight w:val="0"/>
                  <w:marTop w:val="0"/>
                  <w:marBottom w:val="0"/>
                  <w:divBdr>
                    <w:top w:val="none" w:sz="0" w:space="0" w:color="auto"/>
                    <w:left w:val="none" w:sz="0" w:space="0" w:color="auto"/>
                    <w:bottom w:val="none" w:sz="0" w:space="0" w:color="auto"/>
                    <w:right w:val="none" w:sz="0" w:space="0" w:color="auto"/>
                  </w:divBdr>
                  <w:divsChild>
                    <w:div w:id="357392432">
                      <w:marLeft w:val="0"/>
                      <w:marRight w:val="0"/>
                      <w:marTop w:val="0"/>
                      <w:marBottom w:val="0"/>
                      <w:divBdr>
                        <w:top w:val="none" w:sz="0" w:space="0" w:color="auto"/>
                        <w:left w:val="none" w:sz="0" w:space="0" w:color="auto"/>
                        <w:bottom w:val="none" w:sz="0" w:space="0" w:color="auto"/>
                        <w:right w:val="none" w:sz="0" w:space="0" w:color="auto"/>
                      </w:divBdr>
                    </w:div>
                    <w:div w:id="1053503782">
                      <w:marLeft w:val="0"/>
                      <w:marRight w:val="0"/>
                      <w:marTop w:val="0"/>
                      <w:marBottom w:val="0"/>
                      <w:divBdr>
                        <w:top w:val="none" w:sz="0" w:space="0" w:color="auto"/>
                        <w:left w:val="none" w:sz="0" w:space="0" w:color="auto"/>
                        <w:bottom w:val="none" w:sz="0" w:space="0" w:color="auto"/>
                        <w:right w:val="none" w:sz="0" w:space="0" w:color="auto"/>
                      </w:divBdr>
                    </w:div>
                  </w:divsChild>
                </w:div>
                <w:div w:id="675232234">
                  <w:marLeft w:val="0"/>
                  <w:marRight w:val="0"/>
                  <w:marTop w:val="0"/>
                  <w:marBottom w:val="0"/>
                  <w:divBdr>
                    <w:top w:val="none" w:sz="0" w:space="0" w:color="auto"/>
                    <w:left w:val="none" w:sz="0" w:space="0" w:color="auto"/>
                    <w:bottom w:val="none" w:sz="0" w:space="0" w:color="auto"/>
                    <w:right w:val="none" w:sz="0" w:space="0" w:color="auto"/>
                  </w:divBdr>
                  <w:divsChild>
                    <w:div w:id="428965040">
                      <w:marLeft w:val="0"/>
                      <w:marRight w:val="0"/>
                      <w:marTop w:val="0"/>
                      <w:marBottom w:val="0"/>
                      <w:divBdr>
                        <w:top w:val="none" w:sz="0" w:space="0" w:color="auto"/>
                        <w:left w:val="none" w:sz="0" w:space="0" w:color="auto"/>
                        <w:bottom w:val="none" w:sz="0" w:space="0" w:color="auto"/>
                        <w:right w:val="none" w:sz="0" w:space="0" w:color="auto"/>
                      </w:divBdr>
                    </w:div>
                  </w:divsChild>
                </w:div>
                <w:div w:id="814222594">
                  <w:marLeft w:val="0"/>
                  <w:marRight w:val="0"/>
                  <w:marTop w:val="0"/>
                  <w:marBottom w:val="0"/>
                  <w:divBdr>
                    <w:top w:val="none" w:sz="0" w:space="0" w:color="auto"/>
                    <w:left w:val="none" w:sz="0" w:space="0" w:color="auto"/>
                    <w:bottom w:val="none" w:sz="0" w:space="0" w:color="auto"/>
                    <w:right w:val="none" w:sz="0" w:space="0" w:color="auto"/>
                  </w:divBdr>
                  <w:divsChild>
                    <w:div w:id="1563786997">
                      <w:marLeft w:val="0"/>
                      <w:marRight w:val="0"/>
                      <w:marTop w:val="0"/>
                      <w:marBottom w:val="0"/>
                      <w:divBdr>
                        <w:top w:val="none" w:sz="0" w:space="0" w:color="auto"/>
                        <w:left w:val="none" w:sz="0" w:space="0" w:color="auto"/>
                        <w:bottom w:val="none" w:sz="0" w:space="0" w:color="auto"/>
                        <w:right w:val="none" w:sz="0" w:space="0" w:color="auto"/>
                      </w:divBdr>
                    </w:div>
                  </w:divsChild>
                </w:div>
                <w:div w:id="1074203851">
                  <w:marLeft w:val="0"/>
                  <w:marRight w:val="0"/>
                  <w:marTop w:val="0"/>
                  <w:marBottom w:val="0"/>
                  <w:divBdr>
                    <w:top w:val="none" w:sz="0" w:space="0" w:color="auto"/>
                    <w:left w:val="none" w:sz="0" w:space="0" w:color="auto"/>
                    <w:bottom w:val="none" w:sz="0" w:space="0" w:color="auto"/>
                    <w:right w:val="none" w:sz="0" w:space="0" w:color="auto"/>
                  </w:divBdr>
                  <w:divsChild>
                    <w:div w:id="879053180">
                      <w:marLeft w:val="0"/>
                      <w:marRight w:val="0"/>
                      <w:marTop w:val="0"/>
                      <w:marBottom w:val="0"/>
                      <w:divBdr>
                        <w:top w:val="none" w:sz="0" w:space="0" w:color="auto"/>
                        <w:left w:val="none" w:sz="0" w:space="0" w:color="auto"/>
                        <w:bottom w:val="none" w:sz="0" w:space="0" w:color="auto"/>
                        <w:right w:val="none" w:sz="0" w:space="0" w:color="auto"/>
                      </w:divBdr>
                    </w:div>
                  </w:divsChild>
                </w:div>
                <w:div w:id="1372656589">
                  <w:marLeft w:val="0"/>
                  <w:marRight w:val="0"/>
                  <w:marTop w:val="0"/>
                  <w:marBottom w:val="0"/>
                  <w:divBdr>
                    <w:top w:val="none" w:sz="0" w:space="0" w:color="auto"/>
                    <w:left w:val="none" w:sz="0" w:space="0" w:color="auto"/>
                    <w:bottom w:val="none" w:sz="0" w:space="0" w:color="auto"/>
                    <w:right w:val="none" w:sz="0" w:space="0" w:color="auto"/>
                  </w:divBdr>
                  <w:divsChild>
                    <w:div w:id="534343173">
                      <w:marLeft w:val="0"/>
                      <w:marRight w:val="0"/>
                      <w:marTop w:val="0"/>
                      <w:marBottom w:val="0"/>
                      <w:divBdr>
                        <w:top w:val="none" w:sz="0" w:space="0" w:color="auto"/>
                        <w:left w:val="none" w:sz="0" w:space="0" w:color="auto"/>
                        <w:bottom w:val="none" w:sz="0" w:space="0" w:color="auto"/>
                        <w:right w:val="none" w:sz="0" w:space="0" w:color="auto"/>
                      </w:divBdr>
                    </w:div>
                  </w:divsChild>
                </w:div>
                <w:div w:id="1730302022">
                  <w:marLeft w:val="0"/>
                  <w:marRight w:val="0"/>
                  <w:marTop w:val="0"/>
                  <w:marBottom w:val="0"/>
                  <w:divBdr>
                    <w:top w:val="none" w:sz="0" w:space="0" w:color="auto"/>
                    <w:left w:val="none" w:sz="0" w:space="0" w:color="auto"/>
                    <w:bottom w:val="none" w:sz="0" w:space="0" w:color="auto"/>
                    <w:right w:val="none" w:sz="0" w:space="0" w:color="auto"/>
                  </w:divBdr>
                  <w:divsChild>
                    <w:div w:id="1889413579">
                      <w:marLeft w:val="0"/>
                      <w:marRight w:val="0"/>
                      <w:marTop w:val="0"/>
                      <w:marBottom w:val="0"/>
                      <w:divBdr>
                        <w:top w:val="none" w:sz="0" w:space="0" w:color="auto"/>
                        <w:left w:val="none" w:sz="0" w:space="0" w:color="auto"/>
                        <w:bottom w:val="none" w:sz="0" w:space="0" w:color="auto"/>
                        <w:right w:val="none" w:sz="0" w:space="0" w:color="auto"/>
                      </w:divBdr>
                    </w:div>
                  </w:divsChild>
                </w:div>
                <w:div w:id="1888487000">
                  <w:marLeft w:val="0"/>
                  <w:marRight w:val="0"/>
                  <w:marTop w:val="0"/>
                  <w:marBottom w:val="0"/>
                  <w:divBdr>
                    <w:top w:val="none" w:sz="0" w:space="0" w:color="auto"/>
                    <w:left w:val="none" w:sz="0" w:space="0" w:color="auto"/>
                    <w:bottom w:val="none" w:sz="0" w:space="0" w:color="auto"/>
                    <w:right w:val="none" w:sz="0" w:space="0" w:color="auto"/>
                  </w:divBdr>
                  <w:divsChild>
                    <w:div w:id="9621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9615">
          <w:marLeft w:val="0"/>
          <w:marRight w:val="0"/>
          <w:marTop w:val="0"/>
          <w:marBottom w:val="0"/>
          <w:divBdr>
            <w:top w:val="none" w:sz="0" w:space="0" w:color="auto"/>
            <w:left w:val="none" w:sz="0" w:space="0" w:color="auto"/>
            <w:bottom w:val="none" w:sz="0" w:space="0" w:color="auto"/>
            <w:right w:val="none" w:sz="0" w:space="0" w:color="auto"/>
          </w:divBdr>
          <w:divsChild>
            <w:div w:id="1291593120">
              <w:marLeft w:val="-75"/>
              <w:marRight w:val="0"/>
              <w:marTop w:val="30"/>
              <w:marBottom w:val="30"/>
              <w:divBdr>
                <w:top w:val="none" w:sz="0" w:space="0" w:color="auto"/>
                <w:left w:val="none" w:sz="0" w:space="0" w:color="auto"/>
                <w:bottom w:val="none" w:sz="0" w:space="0" w:color="auto"/>
                <w:right w:val="none" w:sz="0" w:space="0" w:color="auto"/>
              </w:divBdr>
              <w:divsChild>
                <w:div w:id="35204491">
                  <w:marLeft w:val="0"/>
                  <w:marRight w:val="0"/>
                  <w:marTop w:val="0"/>
                  <w:marBottom w:val="0"/>
                  <w:divBdr>
                    <w:top w:val="none" w:sz="0" w:space="0" w:color="auto"/>
                    <w:left w:val="none" w:sz="0" w:space="0" w:color="auto"/>
                    <w:bottom w:val="none" w:sz="0" w:space="0" w:color="auto"/>
                    <w:right w:val="none" w:sz="0" w:space="0" w:color="auto"/>
                  </w:divBdr>
                  <w:divsChild>
                    <w:div w:id="1066026226">
                      <w:marLeft w:val="0"/>
                      <w:marRight w:val="0"/>
                      <w:marTop w:val="0"/>
                      <w:marBottom w:val="0"/>
                      <w:divBdr>
                        <w:top w:val="none" w:sz="0" w:space="0" w:color="auto"/>
                        <w:left w:val="none" w:sz="0" w:space="0" w:color="auto"/>
                        <w:bottom w:val="none" w:sz="0" w:space="0" w:color="auto"/>
                        <w:right w:val="none" w:sz="0" w:space="0" w:color="auto"/>
                      </w:divBdr>
                    </w:div>
                  </w:divsChild>
                </w:div>
                <w:div w:id="302196098">
                  <w:marLeft w:val="0"/>
                  <w:marRight w:val="0"/>
                  <w:marTop w:val="0"/>
                  <w:marBottom w:val="0"/>
                  <w:divBdr>
                    <w:top w:val="none" w:sz="0" w:space="0" w:color="auto"/>
                    <w:left w:val="none" w:sz="0" w:space="0" w:color="auto"/>
                    <w:bottom w:val="none" w:sz="0" w:space="0" w:color="auto"/>
                    <w:right w:val="none" w:sz="0" w:space="0" w:color="auto"/>
                  </w:divBdr>
                  <w:divsChild>
                    <w:div w:id="607396780">
                      <w:marLeft w:val="0"/>
                      <w:marRight w:val="0"/>
                      <w:marTop w:val="0"/>
                      <w:marBottom w:val="0"/>
                      <w:divBdr>
                        <w:top w:val="none" w:sz="0" w:space="0" w:color="auto"/>
                        <w:left w:val="none" w:sz="0" w:space="0" w:color="auto"/>
                        <w:bottom w:val="none" w:sz="0" w:space="0" w:color="auto"/>
                        <w:right w:val="none" w:sz="0" w:space="0" w:color="auto"/>
                      </w:divBdr>
                    </w:div>
                  </w:divsChild>
                </w:div>
                <w:div w:id="403647148">
                  <w:marLeft w:val="0"/>
                  <w:marRight w:val="0"/>
                  <w:marTop w:val="0"/>
                  <w:marBottom w:val="0"/>
                  <w:divBdr>
                    <w:top w:val="none" w:sz="0" w:space="0" w:color="auto"/>
                    <w:left w:val="none" w:sz="0" w:space="0" w:color="auto"/>
                    <w:bottom w:val="none" w:sz="0" w:space="0" w:color="auto"/>
                    <w:right w:val="none" w:sz="0" w:space="0" w:color="auto"/>
                  </w:divBdr>
                  <w:divsChild>
                    <w:div w:id="1633554107">
                      <w:marLeft w:val="0"/>
                      <w:marRight w:val="0"/>
                      <w:marTop w:val="0"/>
                      <w:marBottom w:val="0"/>
                      <w:divBdr>
                        <w:top w:val="none" w:sz="0" w:space="0" w:color="auto"/>
                        <w:left w:val="none" w:sz="0" w:space="0" w:color="auto"/>
                        <w:bottom w:val="none" w:sz="0" w:space="0" w:color="auto"/>
                        <w:right w:val="none" w:sz="0" w:space="0" w:color="auto"/>
                      </w:divBdr>
                    </w:div>
                  </w:divsChild>
                </w:div>
                <w:div w:id="503520433">
                  <w:marLeft w:val="0"/>
                  <w:marRight w:val="0"/>
                  <w:marTop w:val="0"/>
                  <w:marBottom w:val="0"/>
                  <w:divBdr>
                    <w:top w:val="none" w:sz="0" w:space="0" w:color="auto"/>
                    <w:left w:val="none" w:sz="0" w:space="0" w:color="auto"/>
                    <w:bottom w:val="none" w:sz="0" w:space="0" w:color="auto"/>
                    <w:right w:val="none" w:sz="0" w:space="0" w:color="auto"/>
                  </w:divBdr>
                  <w:divsChild>
                    <w:div w:id="688995343">
                      <w:marLeft w:val="0"/>
                      <w:marRight w:val="0"/>
                      <w:marTop w:val="0"/>
                      <w:marBottom w:val="0"/>
                      <w:divBdr>
                        <w:top w:val="none" w:sz="0" w:space="0" w:color="auto"/>
                        <w:left w:val="none" w:sz="0" w:space="0" w:color="auto"/>
                        <w:bottom w:val="none" w:sz="0" w:space="0" w:color="auto"/>
                        <w:right w:val="none" w:sz="0" w:space="0" w:color="auto"/>
                      </w:divBdr>
                    </w:div>
                  </w:divsChild>
                </w:div>
                <w:div w:id="572129972">
                  <w:marLeft w:val="0"/>
                  <w:marRight w:val="0"/>
                  <w:marTop w:val="0"/>
                  <w:marBottom w:val="0"/>
                  <w:divBdr>
                    <w:top w:val="none" w:sz="0" w:space="0" w:color="auto"/>
                    <w:left w:val="none" w:sz="0" w:space="0" w:color="auto"/>
                    <w:bottom w:val="none" w:sz="0" w:space="0" w:color="auto"/>
                    <w:right w:val="none" w:sz="0" w:space="0" w:color="auto"/>
                  </w:divBdr>
                  <w:divsChild>
                    <w:div w:id="896356015">
                      <w:marLeft w:val="0"/>
                      <w:marRight w:val="0"/>
                      <w:marTop w:val="0"/>
                      <w:marBottom w:val="0"/>
                      <w:divBdr>
                        <w:top w:val="none" w:sz="0" w:space="0" w:color="auto"/>
                        <w:left w:val="none" w:sz="0" w:space="0" w:color="auto"/>
                        <w:bottom w:val="none" w:sz="0" w:space="0" w:color="auto"/>
                        <w:right w:val="none" w:sz="0" w:space="0" w:color="auto"/>
                      </w:divBdr>
                    </w:div>
                  </w:divsChild>
                </w:div>
                <w:div w:id="584533204">
                  <w:marLeft w:val="0"/>
                  <w:marRight w:val="0"/>
                  <w:marTop w:val="0"/>
                  <w:marBottom w:val="0"/>
                  <w:divBdr>
                    <w:top w:val="none" w:sz="0" w:space="0" w:color="auto"/>
                    <w:left w:val="none" w:sz="0" w:space="0" w:color="auto"/>
                    <w:bottom w:val="none" w:sz="0" w:space="0" w:color="auto"/>
                    <w:right w:val="none" w:sz="0" w:space="0" w:color="auto"/>
                  </w:divBdr>
                  <w:divsChild>
                    <w:div w:id="2110153526">
                      <w:marLeft w:val="0"/>
                      <w:marRight w:val="0"/>
                      <w:marTop w:val="0"/>
                      <w:marBottom w:val="0"/>
                      <w:divBdr>
                        <w:top w:val="none" w:sz="0" w:space="0" w:color="auto"/>
                        <w:left w:val="none" w:sz="0" w:space="0" w:color="auto"/>
                        <w:bottom w:val="none" w:sz="0" w:space="0" w:color="auto"/>
                        <w:right w:val="none" w:sz="0" w:space="0" w:color="auto"/>
                      </w:divBdr>
                    </w:div>
                  </w:divsChild>
                </w:div>
                <w:div w:id="627131767">
                  <w:marLeft w:val="0"/>
                  <w:marRight w:val="0"/>
                  <w:marTop w:val="0"/>
                  <w:marBottom w:val="0"/>
                  <w:divBdr>
                    <w:top w:val="none" w:sz="0" w:space="0" w:color="auto"/>
                    <w:left w:val="none" w:sz="0" w:space="0" w:color="auto"/>
                    <w:bottom w:val="none" w:sz="0" w:space="0" w:color="auto"/>
                    <w:right w:val="none" w:sz="0" w:space="0" w:color="auto"/>
                  </w:divBdr>
                  <w:divsChild>
                    <w:div w:id="1258951232">
                      <w:marLeft w:val="0"/>
                      <w:marRight w:val="0"/>
                      <w:marTop w:val="0"/>
                      <w:marBottom w:val="0"/>
                      <w:divBdr>
                        <w:top w:val="none" w:sz="0" w:space="0" w:color="auto"/>
                        <w:left w:val="none" w:sz="0" w:space="0" w:color="auto"/>
                        <w:bottom w:val="none" w:sz="0" w:space="0" w:color="auto"/>
                        <w:right w:val="none" w:sz="0" w:space="0" w:color="auto"/>
                      </w:divBdr>
                    </w:div>
                  </w:divsChild>
                </w:div>
                <w:div w:id="1023173307">
                  <w:marLeft w:val="0"/>
                  <w:marRight w:val="0"/>
                  <w:marTop w:val="0"/>
                  <w:marBottom w:val="0"/>
                  <w:divBdr>
                    <w:top w:val="none" w:sz="0" w:space="0" w:color="auto"/>
                    <w:left w:val="none" w:sz="0" w:space="0" w:color="auto"/>
                    <w:bottom w:val="none" w:sz="0" w:space="0" w:color="auto"/>
                    <w:right w:val="none" w:sz="0" w:space="0" w:color="auto"/>
                  </w:divBdr>
                  <w:divsChild>
                    <w:div w:id="1099570673">
                      <w:marLeft w:val="0"/>
                      <w:marRight w:val="0"/>
                      <w:marTop w:val="0"/>
                      <w:marBottom w:val="0"/>
                      <w:divBdr>
                        <w:top w:val="none" w:sz="0" w:space="0" w:color="auto"/>
                        <w:left w:val="none" w:sz="0" w:space="0" w:color="auto"/>
                        <w:bottom w:val="none" w:sz="0" w:space="0" w:color="auto"/>
                        <w:right w:val="none" w:sz="0" w:space="0" w:color="auto"/>
                      </w:divBdr>
                    </w:div>
                  </w:divsChild>
                </w:div>
                <w:div w:id="1041632994">
                  <w:marLeft w:val="0"/>
                  <w:marRight w:val="0"/>
                  <w:marTop w:val="0"/>
                  <w:marBottom w:val="0"/>
                  <w:divBdr>
                    <w:top w:val="none" w:sz="0" w:space="0" w:color="auto"/>
                    <w:left w:val="none" w:sz="0" w:space="0" w:color="auto"/>
                    <w:bottom w:val="none" w:sz="0" w:space="0" w:color="auto"/>
                    <w:right w:val="none" w:sz="0" w:space="0" w:color="auto"/>
                  </w:divBdr>
                  <w:divsChild>
                    <w:div w:id="1207639824">
                      <w:marLeft w:val="0"/>
                      <w:marRight w:val="0"/>
                      <w:marTop w:val="0"/>
                      <w:marBottom w:val="0"/>
                      <w:divBdr>
                        <w:top w:val="none" w:sz="0" w:space="0" w:color="auto"/>
                        <w:left w:val="none" w:sz="0" w:space="0" w:color="auto"/>
                        <w:bottom w:val="none" w:sz="0" w:space="0" w:color="auto"/>
                        <w:right w:val="none" w:sz="0" w:space="0" w:color="auto"/>
                      </w:divBdr>
                    </w:div>
                  </w:divsChild>
                </w:div>
                <w:div w:id="1168204161">
                  <w:marLeft w:val="0"/>
                  <w:marRight w:val="0"/>
                  <w:marTop w:val="0"/>
                  <w:marBottom w:val="0"/>
                  <w:divBdr>
                    <w:top w:val="none" w:sz="0" w:space="0" w:color="auto"/>
                    <w:left w:val="none" w:sz="0" w:space="0" w:color="auto"/>
                    <w:bottom w:val="none" w:sz="0" w:space="0" w:color="auto"/>
                    <w:right w:val="none" w:sz="0" w:space="0" w:color="auto"/>
                  </w:divBdr>
                  <w:divsChild>
                    <w:div w:id="547844556">
                      <w:marLeft w:val="0"/>
                      <w:marRight w:val="0"/>
                      <w:marTop w:val="0"/>
                      <w:marBottom w:val="0"/>
                      <w:divBdr>
                        <w:top w:val="none" w:sz="0" w:space="0" w:color="auto"/>
                        <w:left w:val="none" w:sz="0" w:space="0" w:color="auto"/>
                        <w:bottom w:val="none" w:sz="0" w:space="0" w:color="auto"/>
                        <w:right w:val="none" w:sz="0" w:space="0" w:color="auto"/>
                      </w:divBdr>
                    </w:div>
                  </w:divsChild>
                </w:div>
                <w:div w:id="1347099660">
                  <w:marLeft w:val="0"/>
                  <w:marRight w:val="0"/>
                  <w:marTop w:val="0"/>
                  <w:marBottom w:val="0"/>
                  <w:divBdr>
                    <w:top w:val="none" w:sz="0" w:space="0" w:color="auto"/>
                    <w:left w:val="none" w:sz="0" w:space="0" w:color="auto"/>
                    <w:bottom w:val="none" w:sz="0" w:space="0" w:color="auto"/>
                    <w:right w:val="none" w:sz="0" w:space="0" w:color="auto"/>
                  </w:divBdr>
                  <w:divsChild>
                    <w:div w:id="1420641030">
                      <w:marLeft w:val="0"/>
                      <w:marRight w:val="0"/>
                      <w:marTop w:val="0"/>
                      <w:marBottom w:val="0"/>
                      <w:divBdr>
                        <w:top w:val="none" w:sz="0" w:space="0" w:color="auto"/>
                        <w:left w:val="none" w:sz="0" w:space="0" w:color="auto"/>
                        <w:bottom w:val="none" w:sz="0" w:space="0" w:color="auto"/>
                        <w:right w:val="none" w:sz="0" w:space="0" w:color="auto"/>
                      </w:divBdr>
                    </w:div>
                  </w:divsChild>
                </w:div>
                <w:div w:id="1461530805">
                  <w:marLeft w:val="0"/>
                  <w:marRight w:val="0"/>
                  <w:marTop w:val="0"/>
                  <w:marBottom w:val="0"/>
                  <w:divBdr>
                    <w:top w:val="none" w:sz="0" w:space="0" w:color="auto"/>
                    <w:left w:val="none" w:sz="0" w:space="0" w:color="auto"/>
                    <w:bottom w:val="none" w:sz="0" w:space="0" w:color="auto"/>
                    <w:right w:val="none" w:sz="0" w:space="0" w:color="auto"/>
                  </w:divBdr>
                  <w:divsChild>
                    <w:div w:id="71317076">
                      <w:marLeft w:val="0"/>
                      <w:marRight w:val="0"/>
                      <w:marTop w:val="0"/>
                      <w:marBottom w:val="0"/>
                      <w:divBdr>
                        <w:top w:val="none" w:sz="0" w:space="0" w:color="auto"/>
                        <w:left w:val="none" w:sz="0" w:space="0" w:color="auto"/>
                        <w:bottom w:val="none" w:sz="0" w:space="0" w:color="auto"/>
                        <w:right w:val="none" w:sz="0" w:space="0" w:color="auto"/>
                      </w:divBdr>
                    </w:div>
                  </w:divsChild>
                </w:div>
                <w:div w:id="1529220159">
                  <w:marLeft w:val="0"/>
                  <w:marRight w:val="0"/>
                  <w:marTop w:val="0"/>
                  <w:marBottom w:val="0"/>
                  <w:divBdr>
                    <w:top w:val="none" w:sz="0" w:space="0" w:color="auto"/>
                    <w:left w:val="none" w:sz="0" w:space="0" w:color="auto"/>
                    <w:bottom w:val="none" w:sz="0" w:space="0" w:color="auto"/>
                    <w:right w:val="none" w:sz="0" w:space="0" w:color="auto"/>
                  </w:divBdr>
                  <w:divsChild>
                    <w:div w:id="1141577882">
                      <w:marLeft w:val="0"/>
                      <w:marRight w:val="0"/>
                      <w:marTop w:val="0"/>
                      <w:marBottom w:val="0"/>
                      <w:divBdr>
                        <w:top w:val="none" w:sz="0" w:space="0" w:color="auto"/>
                        <w:left w:val="none" w:sz="0" w:space="0" w:color="auto"/>
                        <w:bottom w:val="none" w:sz="0" w:space="0" w:color="auto"/>
                        <w:right w:val="none" w:sz="0" w:space="0" w:color="auto"/>
                      </w:divBdr>
                    </w:div>
                  </w:divsChild>
                </w:div>
                <w:div w:id="1591503880">
                  <w:marLeft w:val="0"/>
                  <w:marRight w:val="0"/>
                  <w:marTop w:val="0"/>
                  <w:marBottom w:val="0"/>
                  <w:divBdr>
                    <w:top w:val="none" w:sz="0" w:space="0" w:color="auto"/>
                    <w:left w:val="none" w:sz="0" w:space="0" w:color="auto"/>
                    <w:bottom w:val="none" w:sz="0" w:space="0" w:color="auto"/>
                    <w:right w:val="none" w:sz="0" w:space="0" w:color="auto"/>
                  </w:divBdr>
                  <w:divsChild>
                    <w:div w:id="1505321650">
                      <w:marLeft w:val="0"/>
                      <w:marRight w:val="0"/>
                      <w:marTop w:val="0"/>
                      <w:marBottom w:val="0"/>
                      <w:divBdr>
                        <w:top w:val="none" w:sz="0" w:space="0" w:color="auto"/>
                        <w:left w:val="none" w:sz="0" w:space="0" w:color="auto"/>
                        <w:bottom w:val="none" w:sz="0" w:space="0" w:color="auto"/>
                        <w:right w:val="none" w:sz="0" w:space="0" w:color="auto"/>
                      </w:divBdr>
                    </w:div>
                  </w:divsChild>
                </w:div>
                <w:div w:id="1607885498">
                  <w:marLeft w:val="0"/>
                  <w:marRight w:val="0"/>
                  <w:marTop w:val="0"/>
                  <w:marBottom w:val="0"/>
                  <w:divBdr>
                    <w:top w:val="none" w:sz="0" w:space="0" w:color="auto"/>
                    <w:left w:val="none" w:sz="0" w:space="0" w:color="auto"/>
                    <w:bottom w:val="none" w:sz="0" w:space="0" w:color="auto"/>
                    <w:right w:val="none" w:sz="0" w:space="0" w:color="auto"/>
                  </w:divBdr>
                  <w:divsChild>
                    <w:div w:id="2143766816">
                      <w:marLeft w:val="0"/>
                      <w:marRight w:val="0"/>
                      <w:marTop w:val="0"/>
                      <w:marBottom w:val="0"/>
                      <w:divBdr>
                        <w:top w:val="none" w:sz="0" w:space="0" w:color="auto"/>
                        <w:left w:val="none" w:sz="0" w:space="0" w:color="auto"/>
                        <w:bottom w:val="none" w:sz="0" w:space="0" w:color="auto"/>
                        <w:right w:val="none" w:sz="0" w:space="0" w:color="auto"/>
                      </w:divBdr>
                    </w:div>
                  </w:divsChild>
                </w:div>
                <w:div w:id="1718432409">
                  <w:marLeft w:val="0"/>
                  <w:marRight w:val="0"/>
                  <w:marTop w:val="0"/>
                  <w:marBottom w:val="0"/>
                  <w:divBdr>
                    <w:top w:val="none" w:sz="0" w:space="0" w:color="auto"/>
                    <w:left w:val="none" w:sz="0" w:space="0" w:color="auto"/>
                    <w:bottom w:val="none" w:sz="0" w:space="0" w:color="auto"/>
                    <w:right w:val="none" w:sz="0" w:space="0" w:color="auto"/>
                  </w:divBdr>
                  <w:divsChild>
                    <w:div w:id="1994986740">
                      <w:marLeft w:val="0"/>
                      <w:marRight w:val="0"/>
                      <w:marTop w:val="0"/>
                      <w:marBottom w:val="0"/>
                      <w:divBdr>
                        <w:top w:val="none" w:sz="0" w:space="0" w:color="auto"/>
                        <w:left w:val="none" w:sz="0" w:space="0" w:color="auto"/>
                        <w:bottom w:val="none" w:sz="0" w:space="0" w:color="auto"/>
                        <w:right w:val="none" w:sz="0" w:space="0" w:color="auto"/>
                      </w:divBdr>
                    </w:div>
                  </w:divsChild>
                </w:div>
                <w:div w:id="1824344885">
                  <w:marLeft w:val="0"/>
                  <w:marRight w:val="0"/>
                  <w:marTop w:val="0"/>
                  <w:marBottom w:val="0"/>
                  <w:divBdr>
                    <w:top w:val="none" w:sz="0" w:space="0" w:color="auto"/>
                    <w:left w:val="none" w:sz="0" w:space="0" w:color="auto"/>
                    <w:bottom w:val="none" w:sz="0" w:space="0" w:color="auto"/>
                    <w:right w:val="none" w:sz="0" w:space="0" w:color="auto"/>
                  </w:divBdr>
                  <w:divsChild>
                    <w:div w:id="1818184665">
                      <w:marLeft w:val="0"/>
                      <w:marRight w:val="0"/>
                      <w:marTop w:val="0"/>
                      <w:marBottom w:val="0"/>
                      <w:divBdr>
                        <w:top w:val="none" w:sz="0" w:space="0" w:color="auto"/>
                        <w:left w:val="none" w:sz="0" w:space="0" w:color="auto"/>
                        <w:bottom w:val="none" w:sz="0" w:space="0" w:color="auto"/>
                        <w:right w:val="none" w:sz="0" w:space="0" w:color="auto"/>
                      </w:divBdr>
                    </w:div>
                  </w:divsChild>
                </w:div>
                <w:div w:id="1838379121">
                  <w:marLeft w:val="0"/>
                  <w:marRight w:val="0"/>
                  <w:marTop w:val="0"/>
                  <w:marBottom w:val="0"/>
                  <w:divBdr>
                    <w:top w:val="none" w:sz="0" w:space="0" w:color="auto"/>
                    <w:left w:val="none" w:sz="0" w:space="0" w:color="auto"/>
                    <w:bottom w:val="none" w:sz="0" w:space="0" w:color="auto"/>
                    <w:right w:val="none" w:sz="0" w:space="0" w:color="auto"/>
                  </w:divBdr>
                  <w:divsChild>
                    <w:div w:id="946427859">
                      <w:marLeft w:val="0"/>
                      <w:marRight w:val="0"/>
                      <w:marTop w:val="0"/>
                      <w:marBottom w:val="0"/>
                      <w:divBdr>
                        <w:top w:val="none" w:sz="0" w:space="0" w:color="auto"/>
                        <w:left w:val="none" w:sz="0" w:space="0" w:color="auto"/>
                        <w:bottom w:val="none" w:sz="0" w:space="0" w:color="auto"/>
                        <w:right w:val="none" w:sz="0" w:space="0" w:color="auto"/>
                      </w:divBdr>
                    </w:div>
                  </w:divsChild>
                </w:div>
                <w:div w:id="1849371671">
                  <w:marLeft w:val="0"/>
                  <w:marRight w:val="0"/>
                  <w:marTop w:val="0"/>
                  <w:marBottom w:val="0"/>
                  <w:divBdr>
                    <w:top w:val="none" w:sz="0" w:space="0" w:color="auto"/>
                    <w:left w:val="none" w:sz="0" w:space="0" w:color="auto"/>
                    <w:bottom w:val="none" w:sz="0" w:space="0" w:color="auto"/>
                    <w:right w:val="none" w:sz="0" w:space="0" w:color="auto"/>
                  </w:divBdr>
                  <w:divsChild>
                    <w:div w:id="973605945">
                      <w:marLeft w:val="0"/>
                      <w:marRight w:val="0"/>
                      <w:marTop w:val="0"/>
                      <w:marBottom w:val="0"/>
                      <w:divBdr>
                        <w:top w:val="none" w:sz="0" w:space="0" w:color="auto"/>
                        <w:left w:val="none" w:sz="0" w:space="0" w:color="auto"/>
                        <w:bottom w:val="none" w:sz="0" w:space="0" w:color="auto"/>
                        <w:right w:val="none" w:sz="0" w:space="0" w:color="auto"/>
                      </w:divBdr>
                    </w:div>
                  </w:divsChild>
                </w:div>
                <w:div w:id="2067294188">
                  <w:marLeft w:val="0"/>
                  <w:marRight w:val="0"/>
                  <w:marTop w:val="0"/>
                  <w:marBottom w:val="0"/>
                  <w:divBdr>
                    <w:top w:val="none" w:sz="0" w:space="0" w:color="auto"/>
                    <w:left w:val="none" w:sz="0" w:space="0" w:color="auto"/>
                    <w:bottom w:val="none" w:sz="0" w:space="0" w:color="auto"/>
                    <w:right w:val="none" w:sz="0" w:space="0" w:color="auto"/>
                  </w:divBdr>
                  <w:divsChild>
                    <w:div w:id="1424499321">
                      <w:marLeft w:val="0"/>
                      <w:marRight w:val="0"/>
                      <w:marTop w:val="0"/>
                      <w:marBottom w:val="0"/>
                      <w:divBdr>
                        <w:top w:val="none" w:sz="0" w:space="0" w:color="auto"/>
                        <w:left w:val="none" w:sz="0" w:space="0" w:color="auto"/>
                        <w:bottom w:val="none" w:sz="0" w:space="0" w:color="auto"/>
                        <w:right w:val="none" w:sz="0" w:space="0" w:color="auto"/>
                      </w:divBdr>
                    </w:div>
                  </w:divsChild>
                </w:div>
                <w:div w:id="2093383306">
                  <w:marLeft w:val="0"/>
                  <w:marRight w:val="0"/>
                  <w:marTop w:val="0"/>
                  <w:marBottom w:val="0"/>
                  <w:divBdr>
                    <w:top w:val="none" w:sz="0" w:space="0" w:color="auto"/>
                    <w:left w:val="none" w:sz="0" w:space="0" w:color="auto"/>
                    <w:bottom w:val="none" w:sz="0" w:space="0" w:color="auto"/>
                    <w:right w:val="none" w:sz="0" w:space="0" w:color="auto"/>
                  </w:divBdr>
                  <w:divsChild>
                    <w:div w:id="342167193">
                      <w:marLeft w:val="0"/>
                      <w:marRight w:val="0"/>
                      <w:marTop w:val="0"/>
                      <w:marBottom w:val="0"/>
                      <w:divBdr>
                        <w:top w:val="none" w:sz="0" w:space="0" w:color="auto"/>
                        <w:left w:val="none" w:sz="0" w:space="0" w:color="auto"/>
                        <w:bottom w:val="none" w:sz="0" w:space="0" w:color="auto"/>
                        <w:right w:val="none" w:sz="0" w:space="0" w:color="auto"/>
                      </w:divBdr>
                    </w:div>
                  </w:divsChild>
                </w:div>
                <w:div w:id="2122992907">
                  <w:marLeft w:val="0"/>
                  <w:marRight w:val="0"/>
                  <w:marTop w:val="0"/>
                  <w:marBottom w:val="0"/>
                  <w:divBdr>
                    <w:top w:val="none" w:sz="0" w:space="0" w:color="auto"/>
                    <w:left w:val="none" w:sz="0" w:space="0" w:color="auto"/>
                    <w:bottom w:val="none" w:sz="0" w:space="0" w:color="auto"/>
                    <w:right w:val="none" w:sz="0" w:space="0" w:color="auto"/>
                  </w:divBdr>
                  <w:divsChild>
                    <w:div w:id="1999263323">
                      <w:marLeft w:val="0"/>
                      <w:marRight w:val="0"/>
                      <w:marTop w:val="0"/>
                      <w:marBottom w:val="0"/>
                      <w:divBdr>
                        <w:top w:val="none" w:sz="0" w:space="0" w:color="auto"/>
                        <w:left w:val="none" w:sz="0" w:space="0" w:color="auto"/>
                        <w:bottom w:val="none" w:sz="0" w:space="0" w:color="auto"/>
                        <w:right w:val="none" w:sz="0" w:space="0" w:color="auto"/>
                      </w:divBdr>
                    </w:div>
                  </w:divsChild>
                </w:div>
                <w:div w:id="2124229964">
                  <w:marLeft w:val="0"/>
                  <w:marRight w:val="0"/>
                  <w:marTop w:val="0"/>
                  <w:marBottom w:val="0"/>
                  <w:divBdr>
                    <w:top w:val="none" w:sz="0" w:space="0" w:color="auto"/>
                    <w:left w:val="none" w:sz="0" w:space="0" w:color="auto"/>
                    <w:bottom w:val="none" w:sz="0" w:space="0" w:color="auto"/>
                    <w:right w:val="none" w:sz="0" w:space="0" w:color="auto"/>
                  </w:divBdr>
                  <w:divsChild>
                    <w:div w:id="708337324">
                      <w:marLeft w:val="0"/>
                      <w:marRight w:val="0"/>
                      <w:marTop w:val="0"/>
                      <w:marBottom w:val="0"/>
                      <w:divBdr>
                        <w:top w:val="none" w:sz="0" w:space="0" w:color="auto"/>
                        <w:left w:val="none" w:sz="0" w:space="0" w:color="auto"/>
                        <w:bottom w:val="none" w:sz="0" w:space="0" w:color="auto"/>
                        <w:right w:val="none" w:sz="0" w:space="0" w:color="auto"/>
                      </w:divBdr>
                    </w:div>
                  </w:divsChild>
                </w:div>
                <w:div w:id="2132017962">
                  <w:marLeft w:val="0"/>
                  <w:marRight w:val="0"/>
                  <w:marTop w:val="0"/>
                  <w:marBottom w:val="0"/>
                  <w:divBdr>
                    <w:top w:val="none" w:sz="0" w:space="0" w:color="auto"/>
                    <w:left w:val="none" w:sz="0" w:space="0" w:color="auto"/>
                    <w:bottom w:val="none" w:sz="0" w:space="0" w:color="auto"/>
                    <w:right w:val="none" w:sz="0" w:space="0" w:color="auto"/>
                  </w:divBdr>
                  <w:divsChild>
                    <w:div w:id="20557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7356">
          <w:marLeft w:val="0"/>
          <w:marRight w:val="0"/>
          <w:marTop w:val="0"/>
          <w:marBottom w:val="0"/>
          <w:divBdr>
            <w:top w:val="none" w:sz="0" w:space="0" w:color="auto"/>
            <w:left w:val="none" w:sz="0" w:space="0" w:color="auto"/>
            <w:bottom w:val="none" w:sz="0" w:space="0" w:color="auto"/>
            <w:right w:val="none" w:sz="0" w:space="0" w:color="auto"/>
          </w:divBdr>
        </w:div>
        <w:div w:id="886649024">
          <w:marLeft w:val="0"/>
          <w:marRight w:val="0"/>
          <w:marTop w:val="0"/>
          <w:marBottom w:val="0"/>
          <w:divBdr>
            <w:top w:val="none" w:sz="0" w:space="0" w:color="auto"/>
            <w:left w:val="none" w:sz="0" w:space="0" w:color="auto"/>
            <w:bottom w:val="none" w:sz="0" w:space="0" w:color="auto"/>
            <w:right w:val="none" w:sz="0" w:space="0" w:color="auto"/>
          </w:divBdr>
        </w:div>
        <w:div w:id="1008220120">
          <w:marLeft w:val="0"/>
          <w:marRight w:val="0"/>
          <w:marTop w:val="0"/>
          <w:marBottom w:val="0"/>
          <w:divBdr>
            <w:top w:val="none" w:sz="0" w:space="0" w:color="auto"/>
            <w:left w:val="none" w:sz="0" w:space="0" w:color="auto"/>
            <w:bottom w:val="none" w:sz="0" w:space="0" w:color="auto"/>
            <w:right w:val="none" w:sz="0" w:space="0" w:color="auto"/>
          </w:divBdr>
          <w:divsChild>
            <w:div w:id="1443959677">
              <w:marLeft w:val="-75"/>
              <w:marRight w:val="0"/>
              <w:marTop w:val="30"/>
              <w:marBottom w:val="30"/>
              <w:divBdr>
                <w:top w:val="none" w:sz="0" w:space="0" w:color="auto"/>
                <w:left w:val="none" w:sz="0" w:space="0" w:color="auto"/>
                <w:bottom w:val="none" w:sz="0" w:space="0" w:color="auto"/>
                <w:right w:val="none" w:sz="0" w:space="0" w:color="auto"/>
              </w:divBdr>
              <w:divsChild>
                <w:div w:id="144469916">
                  <w:marLeft w:val="0"/>
                  <w:marRight w:val="0"/>
                  <w:marTop w:val="0"/>
                  <w:marBottom w:val="0"/>
                  <w:divBdr>
                    <w:top w:val="none" w:sz="0" w:space="0" w:color="auto"/>
                    <w:left w:val="none" w:sz="0" w:space="0" w:color="auto"/>
                    <w:bottom w:val="none" w:sz="0" w:space="0" w:color="auto"/>
                    <w:right w:val="none" w:sz="0" w:space="0" w:color="auto"/>
                  </w:divBdr>
                  <w:divsChild>
                    <w:div w:id="2061442794">
                      <w:marLeft w:val="0"/>
                      <w:marRight w:val="0"/>
                      <w:marTop w:val="0"/>
                      <w:marBottom w:val="0"/>
                      <w:divBdr>
                        <w:top w:val="none" w:sz="0" w:space="0" w:color="auto"/>
                        <w:left w:val="none" w:sz="0" w:space="0" w:color="auto"/>
                        <w:bottom w:val="none" w:sz="0" w:space="0" w:color="auto"/>
                        <w:right w:val="none" w:sz="0" w:space="0" w:color="auto"/>
                      </w:divBdr>
                    </w:div>
                  </w:divsChild>
                </w:div>
                <w:div w:id="248736290">
                  <w:marLeft w:val="0"/>
                  <w:marRight w:val="0"/>
                  <w:marTop w:val="0"/>
                  <w:marBottom w:val="0"/>
                  <w:divBdr>
                    <w:top w:val="none" w:sz="0" w:space="0" w:color="auto"/>
                    <w:left w:val="none" w:sz="0" w:space="0" w:color="auto"/>
                    <w:bottom w:val="none" w:sz="0" w:space="0" w:color="auto"/>
                    <w:right w:val="none" w:sz="0" w:space="0" w:color="auto"/>
                  </w:divBdr>
                  <w:divsChild>
                    <w:div w:id="2142533547">
                      <w:marLeft w:val="0"/>
                      <w:marRight w:val="0"/>
                      <w:marTop w:val="0"/>
                      <w:marBottom w:val="0"/>
                      <w:divBdr>
                        <w:top w:val="none" w:sz="0" w:space="0" w:color="auto"/>
                        <w:left w:val="none" w:sz="0" w:space="0" w:color="auto"/>
                        <w:bottom w:val="none" w:sz="0" w:space="0" w:color="auto"/>
                        <w:right w:val="none" w:sz="0" w:space="0" w:color="auto"/>
                      </w:divBdr>
                    </w:div>
                  </w:divsChild>
                </w:div>
                <w:div w:id="470515666">
                  <w:marLeft w:val="0"/>
                  <w:marRight w:val="0"/>
                  <w:marTop w:val="0"/>
                  <w:marBottom w:val="0"/>
                  <w:divBdr>
                    <w:top w:val="none" w:sz="0" w:space="0" w:color="auto"/>
                    <w:left w:val="none" w:sz="0" w:space="0" w:color="auto"/>
                    <w:bottom w:val="none" w:sz="0" w:space="0" w:color="auto"/>
                    <w:right w:val="none" w:sz="0" w:space="0" w:color="auto"/>
                  </w:divBdr>
                  <w:divsChild>
                    <w:div w:id="596139225">
                      <w:marLeft w:val="0"/>
                      <w:marRight w:val="0"/>
                      <w:marTop w:val="0"/>
                      <w:marBottom w:val="0"/>
                      <w:divBdr>
                        <w:top w:val="none" w:sz="0" w:space="0" w:color="auto"/>
                        <w:left w:val="none" w:sz="0" w:space="0" w:color="auto"/>
                        <w:bottom w:val="none" w:sz="0" w:space="0" w:color="auto"/>
                        <w:right w:val="none" w:sz="0" w:space="0" w:color="auto"/>
                      </w:divBdr>
                    </w:div>
                  </w:divsChild>
                </w:div>
                <w:div w:id="544871804">
                  <w:marLeft w:val="0"/>
                  <w:marRight w:val="0"/>
                  <w:marTop w:val="0"/>
                  <w:marBottom w:val="0"/>
                  <w:divBdr>
                    <w:top w:val="none" w:sz="0" w:space="0" w:color="auto"/>
                    <w:left w:val="none" w:sz="0" w:space="0" w:color="auto"/>
                    <w:bottom w:val="none" w:sz="0" w:space="0" w:color="auto"/>
                    <w:right w:val="none" w:sz="0" w:space="0" w:color="auto"/>
                  </w:divBdr>
                  <w:divsChild>
                    <w:div w:id="183598732">
                      <w:marLeft w:val="0"/>
                      <w:marRight w:val="0"/>
                      <w:marTop w:val="0"/>
                      <w:marBottom w:val="0"/>
                      <w:divBdr>
                        <w:top w:val="none" w:sz="0" w:space="0" w:color="auto"/>
                        <w:left w:val="none" w:sz="0" w:space="0" w:color="auto"/>
                        <w:bottom w:val="none" w:sz="0" w:space="0" w:color="auto"/>
                        <w:right w:val="none" w:sz="0" w:space="0" w:color="auto"/>
                      </w:divBdr>
                    </w:div>
                    <w:div w:id="1839035774">
                      <w:marLeft w:val="0"/>
                      <w:marRight w:val="0"/>
                      <w:marTop w:val="0"/>
                      <w:marBottom w:val="0"/>
                      <w:divBdr>
                        <w:top w:val="none" w:sz="0" w:space="0" w:color="auto"/>
                        <w:left w:val="none" w:sz="0" w:space="0" w:color="auto"/>
                        <w:bottom w:val="none" w:sz="0" w:space="0" w:color="auto"/>
                        <w:right w:val="none" w:sz="0" w:space="0" w:color="auto"/>
                      </w:divBdr>
                    </w:div>
                    <w:div w:id="2139909794">
                      <w:marLeft w:val="0"/>
                      <w:marRight w:val="0"/>
                      <w:marTop w:val="0"/>
                      <w:marBottom w:val="0"/>
                      <w:divBdr>
                        <w:top w:val="none" w:sz="0" w:space="0" w:color="auto"/>
                        <w:left w:val="none" w:sz="0" w:space="0" w:color="auto"/>
                        <w:bottom w:val="none" w:sz="0" w:space="0" w:color="auto"/>
                        <w:right w:val="none" w:sz="0" w:space="0" w:color="auto"/>
                      </w:divBdr>
                    </w:div>
                  </w:divsChild>
                </w:div>
                <w:div w:id="725883821">
                  <w:marLeft w:val="0"/>
                  <w:marRight w:val="0"/>
                  <w:marTop w:val="0"/>
                  <w:marBottom w:val="0"/>
                  <w:divBdr>
                    <w:top w:val="none" w:sz="0" w:space="0" w:color="auto"/>
                    <w:left w:val="none" w:sz="0" w:space="0" w:color="auto"/>
                    <w:bottom w:val="none" w:sz="0" w:space="0" w:color="auto"/>
                    <w:right w:val="none" w:sz="0" w:space="0" w:color="auto"/>
                  </w:divBdr>
                  <w:divsChild>
                    <w:div w:id="896282362">
                      <w:marLeft w:val="0"/>
                      <w:marRight w:val="0"/>
                      <w:marTop w:val="0"/>
                      <w:marBottom w:val="0"/>
                      <w:divBdr>
                        <w:top w:val="none" w:sz="0" w:space="0" w:color="auto"/>
                        <w:left w:val="none" w:sz="0" w:space="0" w:color="auto"/>
                        <w:bottom w:val="none" w:sz="0" w:space="0" w:color="auto"/>
                        <w:right w:val="none" w:sz="0" w:space="0" w:color="auto"/>
                      </w:divBdr>
                    </w:div>
                    <w:div w:id="1126119966">
                      <w:marLeft w:val="0"/>
                      <w:marRight w:val="0"/>
                      <w:marTop w:val="0"/>
                      <w:marBottom w:val="0"/>
                      <w:divBdr>
                        <w:top w:val="none" w:sz="0" w:space="0" w:color="auto"/>
                        <w:left w:val="none" w:sz="0" w:space="0" w:color="auto"/>
                        <w:bottom w:val="none" w:sz="0" w:space="0" w:color="auto"/>
                        <w:right w:val="none" w:sz="0" w:space="0" w:color="auto"/>
                      </w:divBdr>
                    </w:div>
                  </w:divsChild>
                </w:div>
                <w:div w:id="778840468">
                  <w:marLeft w:val="0"/>
                  <w:marRight w:val="0"/>
                  <w:marTop w:val="0"/>
                  <w:marBottom w:val="0"/>
                  <w:divBdr>
                    <w:top w:val="none" w:sz="0" w:space="0" w:color="auto"/>
                    <w:left w:val="none" w:sz="0" w:space="0" w:color="auto"/>
                    <w:bottom w:val="none" w:sz="0" w:space="0" w:color="auto"/>
                    <w:right w:val="none" w:sz="0" w:space="0" w:color="auto"/>
                  </w:divBdr>
                  <w:divsChild>
                    <w:div w:id="1080979505">
                      <w:marLeft w:val="0"/>
                      <w:marRight w:val="0"/>
                      <w:marTop w:val="0"/>
                      <w:marBottom w:val="0"/>
                      <w:divBdr>
                        <w:top w:val="none" w:sz="0" w:space="0" w:color="auto"/>
                        <w:left w:val="none" w:sz="0" w:space="0" w:color="auto"/>
                        <w:bottom w:val="none" w:sz="0" w:space="0" w:color="auto"/>
                        <w:right w:val="none" w:sz="0" w:space="0" w:color="auto"/>
                      </w:divBdr>
                    </w:div>
                  </w:divsChild>
                </w:div>
                <w:div w:id="863979632">
                  <w:marLeft w:val="0"/>
                  <w:marRight w:val="0"/>
                  <w:marTop w:val="0"/>
                  <w:marBottom w:val="0"/>
                  <w:divBdr>
                    <w:top w:val="none" w:sz="0" w:space="0" w:color="auto"/>
                    <w:left w:val="none" w:sz="0" w:space="0" w:color="auto"/>
                    <w:bottom w:val="none" w:sz="0" w:space="0" w:color="auto"/>
                    <w:right w:val="none" w:sz="0" w:space="0" w:color="auto"/>
                  </w:divBdr>
                  <w:divsChild>
                    <w:div w:id="1295909482">
                      <w:marLeft w:val="0"/>
                      <w:marRight w:val="0"/>
                      <w:marTop w:val="0"/>
                      <w:marBottom w:val="0"/>
                      <w:divBdr>
                        <w:top w:val="none" w:sz="0" w:space="0" w:color="auto"/>
                        <w:left w:val="none" w:sz="0" w:space="0" w:color="auto"/>
                        <w:bottom w:val="none" w:sz="0" w:space="0" w:color="auto"/>
                        <w:right w:val="none" w:sz="0" w:space="0" w:color="auto"/>
                      </w:divBdr>
                    </w:div>
                  </w:divsChild>
                </w:div>
                <w:div w:id="895120864">
                  <w:marLeft w:val="0"/>
                  <w:marRight w:val="0"/>
                  <w:marTop w:val="0"/>
                  <w:marBottom w:val="0"/>
                  <w:divBdr>
                    <w:top w:val="none" w:sz="0" w:space="0" w:color="auto"/>
                    <w:left w:val="none" w:sz="0" w:space="0" w:color="auto"/>
                    <w:bottom w:val="none" w:sz="0" w:space="0" w:color="auto"/>
                    <w:right w:val="none" w:sz="0" w:space="0" w:color="auto"/>
                  </w:divBdr>
                  <w:divsChild>
                    <w:div w:id="1030573850">
                      <w:marLeft w:val="0"/>
                      <w:marRight w:val="0"/>
                      <w:marTop w:val="0"/>
                      <w:marBottom w:val="0"/>
                      <w:divBdr>
                        <w:top w:val="none" w:sz="0" w:space="0" w:color="auto"/>
                        <w:left w:val="none" w:sz="0" w:space="0" w:color="auto"/>
                        <w:bottom w:val="none" w:sz="0" w:space="0" w:color="auto"/>
                        <w:right w:val="none" w:sz="0" w:space="0" w:color="auto"/>
                      </w:divBdr>
                    </w:div>
                  </w:divsChild>
                </w:div>
                <w:div w:id="997458309">
                  <w:marLeft w:val="0"/>
                  <w:marRight w:val="0"/>
                  <w:marTop w:val="0"/>
                  <w:marBottom w:val="0"/>
                  <w:divBdr>
                    <w:top w:val="none" w:sz="0" w:space="0" w:color="auto"/>
                    <w:left w:val="none" w:sz="0" w:space="0" w:color="auto"/>
                    <w:bottom w:val="none" w:sz="0" w:space="0" w:color="auto"/>
                    <w:right w:val="none" w:sz="0" w:space="0" w:color="auto"/>
                  </w:divBdr>
                  <w:divsChild>
                    <w:div w:id="1003781787">
                      <w:marLeft w:val="0"/>
                      <w:marRight w:val="0"/>
                      <w:marTop w:val="0"/>
                      <w:marBottom w:val="0"/>
                      <w:divBdr>
                        <w:top w:val="none" w:sz="0" w:space="0" w:color="auto"/>
                        <w:left w:val="none" w:sz="0" w:space="0" w:color="auto"/>
                        <w:bottom w:val="none" w:sz="0" w:space="0" w:color="auto"/>
                        <w:right w:val="none" w:sz="0" w:space="0" w:color="auto"/>
                      </w:divBdr>
                    </w:div>
                  </w:divsChild>
                </w:div>
                <w:div w:id="999387364">
                  <w:marLeft w:val="0"/>
                  <w:marRight w:val="0"/>
                  <w:marTop w:val="0"/>
                  <w:marBottom w:val="0"/>
                  <w:divBdr>
                    <w:top w:val="none" w:sz="0" w:space="0" w:color="auto"/>
                    <w:left w:val="none" w:sz="0" w:space="0" w:color="auto"/>
                    <w:bottom w:val="none" w:sz="0" w:space="0" w:color="auto"/>
                    <w:right w:val="none" w:sz="0" w:space="0" w:color="auto"/>
                  </w:divBdr>
                  <w:divsChild>
                    <w:div w:id="1235243679">
                      <w:marLeft w:val="0"/>
                      <w:marRight w:val="0"/>
                      <w:marTop w:val="0"/>
                      <w:marBottom w:val="0"/>
                      <w:divBdr>
                        <w:top w:val="none" w:sz="0" w:space="0" w:color="auto"/>
                        <w:left w:val="none" w:sz="0" w:space="0" w:color="auto"/>
                        <w:bottom w:val="none" w:sz="0" w:space="0" w:color="auto"/>
                        <w:right w:val="none" w:sz="0" w:space="0" w:color="auto"/>
                      </w:divBdr>
                    </w:div>
                  </w:divsChild>
                </w:div>
                <w:div w:id="1037316738">
                  <w:marLeft w:val="0"/>
                  <w:marRight w:val="0"/>
                  <w:marTop w:val="0"/>
                  <w:marBottom w:val="0"/>
                  <w:divBdr>
                    <w:top w:val="none" w:sz="0" w:space="0" w:color="auto"/>
                    <w:left w:val="none" w:sz="0" w:space="0" w:color="auto"/>
                    <w:bottom w:val="none" w:sz="0" w:space="0" w:color="auto"/>
                    <w:right w:val="none" w:sz="0" w:space="0" w:color="auto"/>
                  </w:divBdr>
                  <w:divsChild>
                    <w:div w:id="140314085">
                      <w:marLeft w:val="0"/>
                      <w:marRight w:val="0"/>
                      <w:marTop w:val="0"/>
                      <w:marBottom w:val="0"/>
                      <w:divBdr>
                        <w:top w:val="none" w:sz="0" w:space="0" w:color="auto"/>
                        <w:left w:val="none" w:sz="0" w:space="0" w:color="auto"/>
                        <w:bottom w:val="none" w:sz="0" w:space="0" w:color="auto"/>
                        <w:right w:val="none" w:sz="0" w:space="0" w:color="auto"/>
                      </w:divBdr>
                    </w:div>
                  </w:divsChild>
                </w:div>
                <w:div w:id="1232081067">
                  <w:marLeft w:val="0"/>
                  <w:marRight w:val="0"/>
                  <w:marTop w:val="0"/>
                  <w:marBottom w:val="0"/>
                  <w:divBdr>
                    <w:top w:val="none" w:sz="0" w:space="0" w:color="auto"/>
                    <w:left w:val="none" w:sz="0" w:space="0" w:color="auto"/>
                    <w:bottom w:val="none" w:sz="0" w:space="0" w:color="auto"/>
                    <w:right w:val="none" w:sz="0" w:space="0" w:color="auto"/>
                  </w:divBdr>
                  <w:divsChild>
                    <w:div w:id="2119371612">
                      <w:marLeft w:val="0"/>
                      <w:marRight w:val="0"/>
                      <w:marTop w:val="0"/>
                      <w:marBottom w:val="0"/>
                      <w:divBdr>
                        <w:top w:val="none" w:sz="0" w:space="0" w:color="auto"/>
                        <w:left w:val="none" w:sz="0" w:space="0" w:color="auto"/>
                        <w:bottom w:val="none" w:sz="0" w:space="0" w:color="auto"/>
                        <w:right w:val="none" w:sz="0" w:space="0" w:color="auto"/>
                      </w:divBdr>
                    </w:div>
                  </w:divsChild>
                </w:div>
                <w:div w:id="1323971214">
                  <w:marLeft w:val="0"/>
                  <w:marRight w:val="0"/>
                  <w:marTop w:val="0"/>
                  <w:marBottom w:val="0"/>
                  <w:divBdr>
                    <w:top w:val="none" w:sz="0" w:space="0" w:color="auto"/>
                    <w:left w:val="none" w:sz="0" w:space="0" w:color="auto"/>
                    <w:bottom w:val="none" w:sz="0" w:space="0" w:color="auto"/>
                    <w:right w:val="none" w:sz="0" w:space="0" w:color="auto"/>
                  </w:divBdr>
                  <w:divsChild>
                    <w:div w:id="1810243702">
                      <w:marLeft w:val="0"/>
                      <w:marRight w:val="0"/>
                      <w:marTop w:val="0"/>
                      <w:marBottom w:val="0"/>
                      <w:divBdr>
                        <w:top w:val="none" w:sz="0" w:space="0" w:color="auto"/>
                        <w:left w:val="none" w:sz="0" w:space="0" w:color="auto"/>
                        <w:bottom w:val="none" w:sz="0" w:space="0" w:color="auto"/>
                        <w:right w:val="none" w:sz="0" w:space="0" w:color="auto"/>
                      </w:divBdr>
                    </w:div>
                  </w:divsChild>
                </w:div>
                <w:div w:id="1540512175">
                  <w:marLeft w:val="0"/>
                  <w:marRight w:val="0"/>
                  <w:marTop w:val="0"/>
                  <w:marBottom w:val="0"/>
                  <w:divBdr>
                    <w:top w:val="none" w:sz="0" w:space="0" w:color="auto"/>
                    <w:left w:val="none" w:sz="0" w:space="0" w:color="auto"/>
                    <w:bottom w:val="none" w:sz="0" w:space="0" w:color="auto"/>
                    <w:right w:val="none" w:sz="0" w:space="0" w:color="auto"/>
                  </w:divBdr>
                  <w:divsChild>
                    <w:div w:id="843129767">
                      <w:marLeft w:val="0"/>
                      <w:marRight w:val="0"/>
                      <w:marTop w:val="0"/>
                      <w:marBottom w:val="0"/>
                      <w:divBdr>
                        <w:top w:val="none" w:sz="0" w:space="0" w:color="auto"/>
                        <w:left w:val="none" w:sz="0" w:space="0" w:color="auto"/>
                        <w:bottom w:val="none" w:sz="0" w:space="0" w:color="auto"/>
                        <w:right w:val="none" w:sz="0" w:space="0" w:color="auto"/>
                      </w:divBdr>
                    </w:div>
                    <w:div w:id="1040744301">
                      <w:marLeft w:val="0"/>
                      <w:marRight w:val="0"/>
                      <w:marTop w:val="0"/>
                      <w:marBottom w:val="0"/>
                      <w:divBdr>
                        <w:top w:val="none" w:sz="0" w:space="0" w:color="auto"/>
                        <w:left w:val="none" w:sz="0" w:space="0" w:color="auto"/>
                        <w:bottom w:val="none" w:sz="0" w:space="0" w:color="auto"/>
                        <w:right w:val="none" w:sz="0" w:space="0" w:color="auto"/>
                      </w:divBdr>
                    </w:div>
                  </w:divsChild>
                </w:div>
                <w:div w:id="1735154703">
                  <w:marLeft w:val="0"/>
                  <w:marRight w:val="0"/>
                  <w:marTop w:val="0"/>
                  <w:marBottom w:val="0"/>
                  <w:divBdr>
                    <w:top w:val="none" w:sz="0" w:space="0" w:color="auto"/>
                    <w:left w:val="none" w:sz="0" w:space="0" w:color="auto"/>
                    <w:bottom w:val="none" w:sz="0" w:space="0" w:color="auto"/>
                    <w:right w:val="none" w:sz="0" w:space="0" w:color="auto"/>
                  </w:divBdr>
                  <w:divsChild>
                    <w:div w:id="2029091945">
                      <w:marLeft w:val="0"/>
                      <w:marRight w:val="0"/>
                      <w:marTop w:val="0"/>
                      <w:marBottom w:val="0"/>
                      <w:divBdr>
                        <w:top w:val="none" w:sz="0" w:space="0" w:color="auto"/>
                        <w:left w:val="none" w:sz="0" w:space="0" w:color="auto"/>
                        <w:bottom w:val="none" w:sz="0" w:space="0" w:color="auto"/>
                        <w:right w:val="none" w:sz="0" w:space="0" w:color="auto"/>
                      </w:divBdr>
                    </w:div>
                  </w:divsChild>
                </w:div>
                <w:div w:id="1743482080">
                  <w:marLeft w:val="0"/>
                  <w:marRight w:val="0"/>
                  <w:marTop w:val="0"/>
                  <w:marBottom w:val="0"/>
                  <w:divBdr>
                    <w:top w:val="none" w:sz="0" w:space="0" w:color="auto"/>
                    <w:left w:val="none" w:sz="0" w:space="0" w:color="auto"/>
                    <w:bottom w:val="none" w:sz="0" w:space="0" w:color="auto"/>
                    <w:right w:val="none" w:sz="0" w:space="0" w:color="auto"/>
                  </w:divBdr>
                  <w:divsChild>
                    <w:div w:id="820386163">
                      <w:marLeft w:val="0"/>
                      <w:marRight w:val="0"/>
                      <w:marTop w:val="0"/>
                      <w:marBottom w:val="0"/>
                      <w:divBdr>
                        <w:top w:val="none" w:sz="0" w:space="0" w:color="auto"/>
                        <w:left w:val="none" w:sz="0" w:space="0" w:color="auto"/>
                        <w:bottom w:val="none" w:sz="0" w:space="0" w:color="auto"/>
                        <w:right w:val="none" w:sz="0" w:space="0" w:color="auto"/>
                      </w:divBdr>
                    </w:div>
                    <w:div w:id="13770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75968">
          <w:marLeft w:val="0"/>
          <w:marRight w:val="0"/>
          <w:marTop w:val="0"/>
          <w:marBottom w:val="0"/>
          <w:divBdr>
            <w:top w:val="none" w:sz="0" w:space="0" w:color="auto"/>
            <w:left w:val="none" w:sz="0" w:space="0" w:color="auto"/>
            <w:bottom w:val="none" w:sz="0" w:space="0" w:color="auto"/>
            <w:right w:val="none" w:sz="0" w:space="0" w:color="auto"/>
          </w:divBdr>
        </w:div>
        <w:div w:id="1311716664">
          <w:marLeft w:val="0"/>
          <w:marRight w:val="0"/>
          <w:marTop w:val="0"/>
          <w:marBottom w:val="0"/>
          <w:divBdr>
            <w:top w:val="none" w:sz="0" w:space="0" w:color="auto"/>
            <w:left w:val="none" w:sz="0" w:space="0" w:color="auto"/>
            <w:bottom w:val="none" w:sz="0" w:space="0" w:color="auto"/>
            <w:right w:val="none" w:sz="0" w:space="0" w:color="auto"/>
          </w:divBdr>
        </w:div>
        <w:div w:id="1390764500">
          <w:marLeft w:val="0"/>
          <w:marRight w:val="0"/>
          <w:marTop w:val="0"/>
          <w:marBottom w:val="0"/>
          <w:divBdr>
            <w:top w:val="none" w:sz="0" w:space="0" w:color="auto"/>
            <w:left w:val="none" w:sz="0" w:space="0" w:color="auto"/>
            <w:bottom w:val="none" w:sz="0" w:space="0" w:color="auto"/>
            <w:right w:val="none" w:sz="0" w:space="0" w:color="auto"/>
          </w:divBdr>
        </w:div>
        <w:div w:id="1561012828">
          <w:marLeft w:val="0"/>
          <w:marRight w:val="0"/>
          <w:marTop w:val="0"/>
          <w:marBottom w:val="0"/>
          <w:divBdr>
            <w:top w:val="none" w:sz="0" w:space="0" w:color="auto"/>
            <w:left w:val="none" w:sz="0" w:space="0" w:color="auto"/>
            <w:bottom w:val="none" w:sz="0" w:space="0" w:color="auto"/>
            <w:right w:val="none" w:sz="0" w:space="0" w:color="auto"/>
          </w:divBdr>
        </w:div>
        <w:div w:id="1673872842">
          <w:marLeft w:val="0"/>
          <w:marRight w:val="0"/>
          <w:marTop w:val="0"/>
          <w:marBottom w:val="0"/>
          <w:divBdr>
            <w:top w:val="none" w:sz="0" w:space="0" w:color="auto"/>
            <w:left w:val="none" w:sz="0" w:space="0" w:color="auto"/>
            <w:bottom w:val="none" w:sz="0" w:space="0" w:color="auto"/>
            <w:right w:val="none" w:sz="0" w:space="0" w:color="auto"/>
          </w:divBdr>
        </w:div>
      </w:divsChild>
    </w:div>
    <w:div w:id="1743142753">
      <w:bodyDiv w:val="1"/>
      <w:marLeft w:val="0"/>
      <w:marRight w:val="0"/>
      <w:marTop w:val="0"/>
      <w:marBottom w:val="0"/>
      <w:divBdr>
        <w:top w:val="none" w:sz="0" w:space="0" w:color="auto"/>
        <w:left w:val="none" w:sz="0" w:space="0" w:color="auto"/>
        <w:bottom w:val="none" w:sz="0" w:space="0" w:color="auto"/>
        <w:right w:val="none" w:sz="0" w:space="0" w:color="auto"/>
      </w:divBdr>
    </w:div>
    <w:div w:id="1961300611">
      <w:bodyDiv w:val="1"/>
      <w:marLeft w:val="0"/>
      <w:marRight w:val="0"/>
      <w:marTop w:val="0"/>
      <w:marBottom w:val="0"/>
      <w:divBdr>
        <w:top w:val="none" w:sz="0" w:space="0" w:color="auto"/>
        <w:left w:val="none" w:sz="0" w:space="0" w:color="auto"/>
        <w:bottom w:val="none" w:sz="0" w:space="0" w:color="auto"/>
        <w:right w:val="none" w:sz="0" w:space="0" w:color="auto"/>
      </w:divBdr>
      <w:divsChild>
        <w:div w:id="1854681605">
          <w:marLeft w:val="480"/>
          <w:marRight w:val="0"/>
          <w:marTop w:val="0"/>
          <w:marBottom w:val="0"/>
          <w:divBdr>
            <w:top w:val="none" w:sz="0" w:space="0" w:color="auto"/>
            <w:left w:val="none" w:sz="0" w:space="0" w:color="auto"/>
            <w:bottom w:val="none" w:sz="0" w:space="0" w:color="auto"/>
            <w:right w:val="none" w:sz="0" w:space="0" w:color="auto"/>
          </w:divBdr>
          <w:divsChild>
            <w:div w:id="1790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6285">
      <w:bodyDiv w:val="1"/>
      <w:marLeft w:val="0"/>
      <w:marRight w:val="0"/>
      <w:marTop w:val="0"/>
      <w:marBottom w:val="0"/>
      <w:divBdr>
        <w:top w:val="none" w:sz="0" w:space="0" w:color="auto"/>
        <w:left w:val="none" w:sz="0" w:space="0" w:color="auto"/>
        <w:bottom w:val="none" w:sz="0" w:space="0" w:color="auto"/>
        <w:right w:val="none" w:sz="0" w:space="0" w:color="auto"/>
      </w:divBdr>
      <w:divsChild>
        <w:div w:id="1141583181">
          <w:marLeft w:val="480"/>
          <w:marRight w:val="0"/>
          <w:marTop w:val="0"/>
          <w:marBottom w:val="0"/>
          <w:divBdr>
            <w:top w:val="none" w:sz="0" w:space="0" w:color="auto"/>
            <w:left w:val="none" w:sz="0" w:space="0" w:color="auto"/>
            <w:bottom w:val="none" w:sz="0" w:space="0" w:color="auto"/>
            <w:right w:val="none" w:sz="0" w:space="0" w:color="auto"/>
          </w:divBdr>
          <w:divsChild>
            <w:div w:id="34280618">
              <w:marLeft w:val="0"/>
              <w:marRight w:val="0"/>
              <w:marTop w:val="0"/>
              <w:marBottom w:val="0"/>
              <w:divBdr>
                <w:top w:val="none" w:sz="0" w:space="0" w:color="auto"/>
                <w:left w:val="none" w:sz="0" w:space="0" w:color="auto"/>
                <w:bottom w:val="none" w:sz="0" w:space="0" w:color="auto"/>
                <w:right w:val="none" w:sz="0" w:space="0" w:color="auto"/>
              </w:divBdr>
            </w:div>
            <w:div w:id="76944156">
              <w:marLeft w:val="0"/>
              <w:marRight w:val="0"/>
              <w:marTop w:val="0"/>
              <w:marBottom w:val="0"/>
              <w:divBdr>
                <w:top w:val="none" w:sz="0" w:space="0" w:color="auto"/>
                <w:left w:val="none" w:sz="0" w:space="0" w:color="auto"/>
                <w:bottom w:val="none" w:sz="0" w:space="0" w:color="auto"/>
                <w:right w:val="none" w:sz="0" w:space="0" w:color="auto"/>
              </w:divBdr>
            </w:div>
            <w:div w:id="97988994">
              <w:marLeft w:val="0"/>
              <w:marRight w:val="0"/>
              <w:marTop w:val="0"/>
              <w:marBottom w:val="0"/>
              <w:divBdr>
                <w:top w:val="none" w:sz="0" w:space="0" w:color="auto"/>
                <w:left w:val="none" w:sz="0" w:space="0" w:color="auto"/>
                <w:bottom w:val="none" w:sz="0" w:space="0" w:color="auto"/>
                <w:right w:val="none" w:sz="0" w:space="0" w:color="auto"/>
              </w:divBdr>
            </w:div>
            <w:div w:id="124086457">
              <w:marLeft w:val="0"/>
              <w:marRight w:val="0"/>
              <w:marTop w:val="0"/>
              <w:marBottom w:val="0"/>
              <w:divBdr>
                <w:top w:val="none" w:sz="0" w:space="0" w:color="auto"/>
                <w:left w:val="none" w:sz="0" w:space="0" w:color="auto"/>
                <w:bottom w:val="none" w:sz="0" w:space="0" w:color="auto"/>
                <w:right w:val="none" w:sz="0" w:space="0" w:color="auto"/>
              </w:divBdr>
            </w:div>
            <w:div w:id="311839389">
              <w:marLeft w:val="0"/>
              <w:marRight w:val="0"/>
              <w:marTop w:val="0"/>
              <w:marBottom w:val="0"/>
              <w:divBdr>
                <w:top w:val="none" w:sz="0" w:space="0" w:color="auto"/>
                <w:left w:val="none" w:sz="0" w:space="0" w:color="auto"/>
                <w:bottom w:val="none" w:sz="0" w:space="0" w:color="auto"/>
                <w:right w:val="none" w:sz="0" w:space="0" w:color="auto"/>
              </w:divBdr>
            </w:div>
            <w:div w:id="335380020">
              <w:marLeft w:val="0"/>
              <w:marRight w:val="0"/>
              <w:marTop w:val="0"/>
              <w:marBottom w:val="0"/>
              <w:divBdr>
                <w:top w:val="none" w:sz="0" w:space="0" w:color="auto"/>
                <w:left w:val="none" w:sz="0" w:space="0" w:color="auto"/>
                <w:bottom w:val="none" w:sz="0" w:space="0" w:color="auto"/>
                <w:right w:val="none" w:sz="0" w:space="0" w:color="auto"/>
              </w:divBdr>
            </w:div>
            <w:div w:id="369694586">
              <w:marLeft w:val="0"/>
              <w:marRight w:val="0"/>
              <w:marTop w:val="0"/>
              <w:marBottom w:val="0"/>
              <w:divBdr>
                <w:top w:val="none" w:sz="0" w:space="0" w:color="auto"/>
                <w:left w:val="none" w:sz="0" w:space="0" w:color="auto"/>
                <w:bottom w:val="none" w:sz="0" w:space="0" w:color="auto"/>
                <w:right w:val="none" w:sz="0" w:space="0" w:color="auto"/>
              </w:divBdr>
            </w:div>
            <w:div w:id="675155502">
              <w:marLeft w:val="0"/>
              <w:marRight w:val="0"/>
              <w:marTop w:val="0"/>
              <w:marBottom w:val="0"/>
              <w:divBdr>
                <w:top w:val="none" w:sz="0" w:space="0" w:color="auto"/>
                <w:left w:val="none" w:sz="0" w:space="0" w:color="auto"/>
                <w:bottom w:val="none" w:sz="0" w:space="0" w:color="auto"/>
                <w:right w:val="none" w:sz="0" w:space="0" w:color="auto"/>
              </w:divBdr>
            </w:div>
            <w:div w:id="693729906">
              <w:marLeft w:val="0"/>
              <w:marRight w:val="0"/>
              <w:marTop w:val="0"/>
              <w:marBottom w:val="0"/>
              <w:divBdr>
                <w:top w:val="none" w:sz="0" w:space="0" w:color="auto"/>
                <w:left w:val="none" w:sz="0" w:space="0" w:color="auto"/>
                <w:bottom w:val="none" w:sz="0" w:space="0" w:color="auto"/>
                <w:right w:val="none" w:sz="0" w:space="0" w:color="auto"/>
              </w:divBdr>
            </w:div>
            <w:div w:id="695622272">
              <w:marLeft w:val="0"/>
              <w:marRight w:val="0"/>
              <w:marTop w:val="0"/>
              <w:marBottom w:val="0"/>
              <w:divBdr>
                <w:top w:val="none" w:sz="0" w:space="0" w:color="auto"/>
                <w:left w:val="none" w:sz="0" w:space="0" w:color="auto"/>
                <w:bottom w:val="none" w:sz="0" w:space="0" w:color="auto"/>
                <w:right w:val="none" w:sz="0" w:space="0" w:color="auto"/>
              </w:divBdr>
            </w:div>
            <w:div w:id="733354790">
              <w:marLeft w:val="0"/>
              <w:marRight w:val="0"/>
              <w:marTop w:val="0"/>
              <w:marBottom w:val="0"/>
              <w:divBdr>
                <w:top w:val="none" w:sz="0" w:space="0" w:color="auto"/>
                <w:left w:val="none" w:sz="0" w:space="0" w:color="auto"/>
                <w:bottom w:val="none" w:sz="0" w:space="0" w:color="auto"/>
                <w:right w:val="none" w:sz="0" w:space="0" w:color="auto"/>
              </w:divBdr>
            </w:div>
            <w:div w:id="838546763">
              <w:marLeft w:val="0"/>
              <w:marRight w:val="0"/>
              <w:marTop w:val="0"/>
              <w:marBottom w:val="0"/>
              <w:divBdr>
                <w:top w:val="none" w:sz="0" w:space="0" w:color="auto"/>
                <w:left w:val="none" w:sz="0" w:space="0" w:color="auto"/>
                <w:bottom w:val="none" w:sz="0" w:space="0" w:color="auto"/>
                <w:right w:val="none" w:sz="0" w:space="0" w:color="auto"/>
              </w:divBdr>
            </w:div>
            <w:div w:id="869416994">
              <w:marLeft w:val="0"/>
              <w:marRight w:val="0"/>
              <w:marTop w:val="0"/>
              <w:marBottom w:val="0"/>
              <w:divBdr>
                <w:top w:val="none" w:sz="0" w:space="0" w:color="auto"/>
                <w:left w:val="none" w:sz="0" w:space="0" w:color="auto"/>
                <w:bottom w:val="none" w:sz="0" w:space="0" w:color="auto"/>
                <w:right w:val="none" w:sz="0" w:space="0" w:color="auto"/>
              </w:divBdr>
            </w:div>
            <w:div w:id="873614204">
              <w:marLeft w:val="0"/>
              <w:marRight w:val="0"/>
              <w:marTop w:val="0"/>
              <w:marBottom w:val="0"/>
              <w:divBdr>
                <w:top w:val="none" w:sz="0" w:space="0" w:color="auto"/>
                <w:left w:val="none" w:sz="0" w:space="0" w:color="auto"/>
                <w:bottom w:val="none" w:sz="0" w:space="0" w:color="auto"/>
                <w:right w:val="none" w:sz="0" w:space="0" w:color="auto"/>
              </w:divBdr>
            </w:div>
            <w:div w:id="959725107">
              <w:marLeft w:val="0"/>
              <w:marRight w:val="0"/>
              <w:marTop w:val="0"/>
              <w:marBottom w:val="0"/>
              <w:divBdr>
                <w:top w:val="none" w:sz="0" w:space="0" w:color="auto"/>
                <w:left w:val="none" w:sz="0" w:space="0" w:color="auto"/>
                <w:bottom w:val="none" w:sz="0" w:space="0" w:color="auto"/>
                <w:right w:val="none" w:sz="0" w:space="0" w:color="auto"/>
              </w:divBdr>
            </w:div>
            <w:div w:id="1068310737">
              <w:marLeft w:val="0"/>
              <w:marRight w:val="0"/>
              <w:marTop w:val="0"/>
              <w:marBottom w:val="0"/>
              <w:divBdr>
                <w:top w:val="none" w:sz="0" w:space="0" w:color="auto"/>
                <w:left w:val="none" w:sz="0" w:space="0" w:color="auto"/>
                <w:bottom w:val="none" w:sz="0" w:space="0" w:color="auto"/>
                <w:right w:val="none" w:sz="0" w:space="0" w:color="auto"/>
              </w:divBdr>
            </w:div>
            <w:div w:id="1071737829">
              <w:marLeft w:val="0"/>
              <w:marRight w:val="0"/>
              <w:marTop w:val="0"/>
              <w:marBottom w:val="0"/>
              <w:divBdr>
                <w:top w:val="none" w:sz="0" w:space="0" w:color="auto"/>
                <w:left w:val="none" w:sz="0" w:space="0" w:color="auto"/>
                <w:bottom w:val="none" w:sz="0" w:space="0" w:color="auto"/>
                <w:right w:val="none" w:sz="0" w:space="0" w:color="auto"/>
              </w:divBdr>
            </w:div>
            <w:div w:id="1156649224">
              <w:marLeft w:val="0"/>
              <w:marRight w:val="0"/>
              <w:marTop w:val="0"/>
              <w:marBottom w:val="0"/>
              <w:divBdr>
                <w:top w:val="none" w:sz="0" w:space="0" w:color="auto"/>
                <w:left w:val="none" w:sz="0" w:space="0" w:color="auto"/>
                <w:bottom w:val="none" w:sz="0" w:space="0" w:color="auto"/>
                <w:right w:val="none" w:sz="0" w:space="0" w:color="auto"/>
              </w:divBdr>
            </w:div>
            <w:div w:id="1201671139">
              <w:marLeft w:val="0"/>
              <w:marRight w:val="0"/>
              <w:marTop w:val="0"/>
              <w:marBottom w:val="0"/>
              <w:divBdr>
                <w:top w:val="none" w:sz="0" w:space="0" w:color="auto"/>
                <w:left w:val="none" w:sz="0" w:space="0" w:color="auto"/>
                <w:bottom w:val="none" w:sz="0" w:space="0" w:color="auto"/>
                <w:right w:val="none" w:sz="0" w:space="0" w:color="auto"/>
              </w:divBdr>
            </w:div>
            <w:div w:id="1219127403">
              <w:marLeft w:val="0"/>
              <w:marRight w:val="0"/>
              <w:marTop w:val="0"/>
              <w:marBottom w:val="0"/>
              <w:divBdr>
                <w:top w:val="none" w:sz="0" w:space="0" w:color="auto"/>
                <w:left w:val="none" w:sz="0" w:space="0" w:color="auto"/>
                <w:bottom w:val="none" w:sz="0" w:space="0" w:color="auto"/>
                <w:right w:val="none" w:sz="0" w:space="0" w:color="auto"/>
              </w:divBdr>
            </w:div>
            <w:div w:id="1240408022">
              <w:marLeft w:val="0"/>
              <w:marRight w:val="0"/>
              <w:marTop w:val="0"/>
              <w:marBottom w:val="0"/>
              <w:divBdr>
                <w:top w:val="none" w:sz="0" w:space="0" w:color="auto"/>
                <w:left w:val="none" w:sz="0" w:space="0" w:color="auto"/>
                <w:bottom w:val="none" w:sz="0" w:space="0" w:color="auto"/>
                <w:right w:val="none" w:sz="0" w:space="0" w:color="auto"/>
              </w:divBdr>
            </w:div>
            <w:div w:id="1359701458">
              <w:marLeft w:val="0"/>
              <w:marRight w:val="0"/>
              <w:marTop w:val="0"/>
              <w:marBottom w:val="0"/>
              <w:divBdr>
                <w:top w:val="none" w:sz="0" w:space="0" w:color="auto"/>
                <w:left w:val="none" w:sz="0" w:space="0" w:color="auto"/>
                <w:bottom w:val="none" w:sz="0" w:space="0" w:color="auto"/>
                <w:right w:val="none" w:sz="0" w:space="0" w:color="auto"/>
              </w:divBdr>
            </w:div>
            <w:div w:id="1368406503">
              <w:marLeft w:val="0"/>
              <w:marRight w:val="0"/>
              <w:marTop w:val="0"/>
              <w:marBottom w:val="0"/>
              <w:divBdr>
                <w:top w:val="none" w:sz="0" w:space="0" w:color="auto"/>
                <w:left w:val="none" w:sz="0" w:space="0" w:color="auto"/>
                <w:bottom w:val="none" w:sz="0" w:space="0" w:color="auto"/>
                <w:right w:val="none" w:sz="0" w:space="0" w:color="auto"/>
              </w:divBdr>
            </w:div>
            <w:div w:id="1397821389">
              <w:marLeft w:val="0"/>
              <w:marRight w:val="0"/>
              <w:marTop w:val="0"/>
              <w:marBottom w:val="0"/>
              <w:divBdr>
                <w:top w:val="none" w:sz="0" w:space="0" w:color="auto"/>
                <w:left w:val="none" w:sz="0" w:space="0" w:color="auto"/>
                <w:bottom w:val="none" w:sz="0" w:space="0" w:color="auto"/>
                <w:right w:val="none" w:sz="0" w:space="0" w:color="auto"/>
              </w:divBdr>
            </w:div>
            <w:div w:id="1504315571">
              <w:marLeft w:val="0"/>
              <w:marRight w:val="0"/>
              <w:marTop w:val="0"/>
              <w:marBottom w:val="0"/>
              <w:divBdr>
                <w:top w:val="none" w:sz="0" w:space="0" w:color="auto"/>
                <w:left w:val="none" w:sz="0" w:space="0" w:color="auto"/>
                <w:bottom w:val="none" w:sz="0" w:space="0" w:color="auto"/>
                <w:right w:val="none" w:sz="0" w:space="0" w:color="auto"/>
              </w:divBdr>
            </w:div>
            <w:div w:id="1536650426">
              <w:marLeft w:val="0"/>
              <w:marRight w:val="0"/>
              <w:marTop w:val="0"/>
              <w:marBottom w:val="0"/>
              <w:divBdr>
                <w:top w:val="none" w:sz="0" w:space="0" w:color="auto"/>
                <w:left w:val="none" w:sz="0" w:space="0" w:color="auto"/>
                <w:bottom w:val="none" w:sz="0" w:space="0" w:color="auto"/>
                <w:right w:val="none" w:sz="0" w:space="0" w:color="auto"/>
              </w:divBdr>
            </w:div>
            <w:div w:id="1650549233">
              <w:marLeft w:val="0"/>
              <w:marRight w:val="0"/>
              <w:marTop w:val="0"/>
              <w:marBottom w:val="0"/>
              <w:divBdr>
                <w:top w:val="none" w:sz="0" w:space="0" w:color="auto"/>
                <w:left w:val="none" w:sz="0" w:space="0" w:color="auto"/>
                <w:bottom w:val="none" w:sz="0" w:space="0" w:color="auto"/>
                <w:right w:val="none" w:sz="0" w:space="0" w:color="auto"/>
              </w:divBdr>
            </w:div>
            <w:div w:id="1689982413">
              <w:marLeft w:val="0"/>
              <w:marRight w:val="0"/>
              <w:marTop w:val="0"/>
              <w:marBottom w:val="0"/>
              <w:divBdr>
                <w:top w:val="none" w:sz="0" w:space="0" w:color="auto"/>
                <w:left w:val="none" w:sz="0" w:space="0" w:color="auto"/>
                <w:bottom w:val="none" w:sz="0" w:space="0" w:color="auto"/>
                <w:right w:val="none" w:sz="0" w:space="0" w:color="auto"/>
              </w:divBdr>
            </w:div>
            <w:div w:id="1693412971">
              <w:marLeft w:val="0"/>
              <w:marRight w:val="0"/>
              <w:marTop w:val="0"/>
              <w:marBottom w:val="0"/>
              <w:divBdr>
                <w:top w:val="none" w:sz="0" w:space="0" w:color="auto"/>
                <w:left w:val="none" w:sz="0" w:space="0" w:color="auto"/>
                <w:bottom w:val="none" w:sz="0" w:space="0" w:color="auto"/>
                <w:right w:val="none" w:sz="0" w:space="0" w:color="auto"/>
              </w:divBdr>
            </w:div>
            <w:div w:id="1706246390">
              <w:marLeft w:val="0"/>
              <w:marRight w:val="0"/>
              <w:marTop w:val="0"/>
              <w:marBottom w:val="0"/>
              <w:divBdr>
                <w:top w:val="none" w:sz="0" w:space="0" w:color="auto"/>
                <w:left w:val="none" w:sz="0" w:space="0" w:color="auto"/>
                <w:bottom w:val="none" w:sz="0" w:space="0" w:color="auto"/>
                <w:right w:val="none" w:sz="0" w:space="0" w:color="auto"/>
              </w:divBdr>
            </w:div>
            <w:div w:id="1826822875">
              <w:marLeft w:val="0"/>
              <w:marRight w:val="0"/>
              <w:marTop w:val="0"/>
              <w:marBottom w:val="0"/>
              <w:divBdr>
                <w:top w:val="none" w:sz="0" w:space="0" w:color="auto"/>
                <w:left w:val="none" w:sz="0" w:space="0" w:color="auto"/>
                <w:bottom w:val="none" w:sz="0" w:space="0" w:color="auto"/>
                <w:right w:val="none" w:sz="0" w:space="0" w:color="auto"/>
              </w:divBdr>
            </w:div>
            <w:div w:id="1853253128">
              <w:marLeft w:val="0"/>
              <w:marRight w:val="0"/>
              <w:marTop w:val="0"/>
              <w:marBottom w:val="0"/>
              <w:divBdr>
                <w:top w:val="none" w:sz="0" w:space="0" w:color="auto"/>
                <w:left w:val="none" w:sz="0" w:space="0" w:color="auto"/>
                <w:bottom w:val="none" w:sz="0" w:space="0" w:color="auto"/>
                <w:right w:val="none" w:sz="0" w:space="0" w:color="auto"/>
              </w:divBdr>
            </w:div>
            <w:div w:id="1865484398">
              <w:marLeft w:val="0"/>
              <w:marRight w:val="0"/>
              <w:marTop w:val="0"/>
              <w:marBottom w:val="0"/>
              <w:divBdr>
                <w:top w:val="none" w:sz="0" w:space="0" w:color="auto"/>
                <w:left w:val="none" w:sz="0" w:space="0" w:color="auto"/>
                <w:bottom w:val="none" w:sz="0" w:space="0" w:color="auto"/>
                <w:right w:val="none" w:sz="0" w:space="0" w:color="auto"/>
              </w:divBdr>
            </w:div>
            <w:div w:id="1929079305">
              <w:marLeft w:val="0"/>
              <w:marRight w:val="0"/>
              <w:marTop w:val="0"/>
              <w:marBottom w:val="0"/>
              <w:divBdr>
                <w:top w:val="none" w:sz="0" w:space="0" w:color="auto"/>
                <w:left w:val="none" w:sz="0" w:space="0" w:color="auto"/>
                <w:bottom w:val="none" w:sz="0" w:space="0" w:color="auto"/>
                <w:right w:val="none" w:sz="0" w:space="0" w:color="auto"/>
              </w:divBdr>
            </w:div>
            <w:div w:id="1931230462">
              <w:marLeft w:val="0"/>
              <w:marRight w:val="0"/>
              <w:marTop w:val="0"/>
              <w:marBottom w:val="0"/>
              <w:divBdr>
                <w:top w:val="none" w:sz="0" w:space="0" w:color="auto"/>
                <w:left w:val="none" w:sz="0" w:space="0" w:color="auto"/>
                <w:bottom w:val="none" w:sz="0" w:space="0" w:color="auto"/>
                <w:right w:val="none" w:sz="0" w:space="0" w:color="auto"/>
              </w:divBdr>
            </w:div>
            <w:div w:id="1986928098">
              <w:marLeft w:val="0"/>
              <w:marRight w:val="0"/>
              <w:marTop w:val="0"/>
              <w:marBottom w:val="0"/>
              <w:divBdr>
                <w:top w:val="none" w:sz="0" w:space="0" w:color="auto"/>
                <w:left w:val="none" w:sz="0" w:space="0" w:color="auto"/>
                <w:bottom w:val="none" w:sz="0" w:space="0" w:color="auto"/>
                <w:right w:val="none" w:sz="0" w:space="0" w:color="auto"/>
              </w:divBdr>
            </w:div>
            <w:div w:id="1990358124">
              <w:marLeft w:val="0"/>
              <w:marRight w:val="0"/>
              <w:marTop w:val="0"/>
              <w:marBottom w:val="0"/>
              <w:divBdr>
                <w:top w:val="none" w:sz="0" w:space="0" w:color="auto"/>
                <w:left w:val="none" w:sz="0" w:space="0" w:color="auto"/>
                <w:bottom w:val="none" w:sz="0" w:space="0" w:color="auto"/>
                <w:right w:val="none" w:sz="0" w:space="0" w:color="auto"/>
              </w:divBdr>
            </w:div>
            <w:div w:id="2002468364">
              <w:marLeft w:val="0"/>
              <w:marRight w:val="0"/>
              <w:marTop w:val="0"/>
              <w:marBottom w:val="0"/>
              <w:divBdr>
                <w:top w:val="none" w:sz="0" w:space="0" w:color="auto"/>
                <w:left w:val="none" w:sz="0" w:space="0" w:color="auto"/>
                <w:bottom w:val="none" w:sz="0" w:space="0" w:color="auto"/>
                <w:right w:val="none" w:sz="0" w:space="0" w:color="auto"/>
              </w:divBdr>
            </w:div>
            <w:div w:id="2057852036">
              <w:marLeft w:val="0"/>
              <w:marRight w:val="0"/>
              <w:marTop w:val="0"/>
              <w:marBottom w:val="0"/>
              <w:divBdr>
                <w:top w:val="none" w:sz="0" w:space="0" w:color="auto"/>
                <w:left w:val="none" w:sz="0" w:space="0" w:color="auto"/>
                <w:bottom w:val="none" w:sz="0" w:space="0" w:color="auto"/>
                <w:right w:val="none" w:sz="0" w:space="0" w:color="auto"/>
              </w:divBdr>
            </w:div>
            <w:div w:id="2077195207">
              <w:marLeft w:val="0"/>
              <w:marRight w:val="0"/>
              <w:marTop w:val="0"/>
              <w:marBottom w:val="0"/>
              <w:divBdr>
                <w:top w:val="none" w:sz="0" w:space="0" w:color="auto"/>
                <w:left w:val="none" w:sz="0" w:space="0" w:color="auto"/>
                <w:bottom w:val="none" w:sz="0" w:space="0" w:color="auto"/>
                <w:right w:val="none" w:sz="0" w:space="0" w:color="auto"/>
              </w:divBdr>
            </w:div>
            <w:div w:id="2124113064">
              <w:marLeft w:val="0"/>
              <w:marRight w:val="0"/>
              <w:marTop w:val="0"/>
              <w:marBottom w:val="0"/>
              <w:divBdr>
                <w:top w:val="none" w:sz="0" w:space="0" w:color="auto"/>
                <w:left w:val="none" w:sz="0" w:space="0" w:color="auto"/>
                <w:bottom w:val="none" w:sz="0" w:space="0" w:color="auto"/>
                <w:right w:val="none" w:sz="0" w:space="0" w:color="auto"/>
              </w:divBdr>
            </w:div>
            <w:div w:id="2132896040">
              <w:marLeft w:val="0"/>
              <w:marRight w:val="0"/>
              <w:marTop w:val="0"/>
              <w:marBottom w:val="0"/>
              <w:divBdr>
                <w:top w:val="none" w:sz="0" w:space="0" w:color="auto"/>
                <w:left w:val="none" w:sz="0" w:space="0" w:color="auto"/>
                <w:bottom w:val="none" w:sz="0" w:space="0" w:color="auto"/>
                <w:right w:val="none" w:sz="0" w:space="0" w:color="auto"/>
              </w:divBdr>
            </w:div>
            <w:div w:id="213706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6312">
      <w:bodyDiv w:val="1"/>
      <w:marLeft w:val="0"/>
      <w:marRight w:val="0"/>
      <w:marTop w:val="0"/>
      <w:marBottom w:val="0"/>
      <w:divBdr>
        <w:top w:val="none" w:sz="0" w:space="0" w:color="auto"/>
        <w:left w:val="none" w:sz="0" w:space="0" w:color="auto"/>
        <w:bottom w:val="none" w:sz="0" w:space="0" w:color="auto"/>
        <w:right w:val="none" w:sz="0" w:space="0" w:color="auto"/>
      </w:divBdr>
      <w:divsChild>
        <w:div w:id="1753047407">
          <w:marLeft w:val="480"/>
          <w:marRight w:val="0"/>
          <w:marTop w:val="0"/>
          <w:marBottom w:val="0"/>
          <w:divBdr>
            <w:top w:val="none" w:sz="0" w:space="0" w:color="auto"/>
            <w:left w:val="none" w:sz="0" w:space="0" w:color="auto"/>
            <w:bottom w:val="none" w:sz="0" w:space="0" w:color="auto"/>
            <w:right w:val="none" w:sz="0" w:space="0" w:color="auto"/>
          </w:divBdr>
          <w:divsChild>
            <w:div w:id="3220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griffith.edu.au/__data/assets/pdf_file/0024/881151/JPRWP9-web.pdf" TargetMode="External"/><Relationship Id="rId26" Type="http://schemas.openxmlformats.org/officeDocument/2006/relationships/footer" Target="footer3.xml"/><Relationship Id="rId39" Type="http://schemas.openxmlformats.org/officeDocument/2006/relationships/hyperlink" Target="https://www.dfat.gov.au/about-us/publications/australia-awards-global-strategic-framework-and-monitoring-and-evaluation-framework" TargetMode="External"/><Relationship Id="rId21" Type="http://schemas.openxmlformats.org/officeDocument/2006/relationships/header" Target="header1.xml"/><Relationship Id="rId34" Type="http://schemas.openxmlformats.org/officeDocument/2006/relationships/hyperlink" Target="https://www.cbsi.com.sb/about-us/cbsi-history/" TargetMode="External"/><Relationship Id="rId42" Type="http://schemas.openxmlformats.org/officeDocument/2006/relationships/hyperlink" Target="https://blogs.griffith.edu.au/asiainsights/griffith-moves-rbf-relationship-forward/" TargetMode="External"/><Relationship Id="rId47" Type="http://schemas.openxmlformats.org/officeDocument/2006/relationships/hyperlink" Target="https://news.griffith.edu.au/2020/01/21/griffith-signs-phd-mou-with-south-pacific-central-banks" TargetMode="External"/><Relationship Id="rId50" Type="http://schemas.openxmlformats.org/officeDocument/2006/relationships/hyperlink" Target="https://www.griffith.edu.au/__data/assets/pdf_file/0037/932698/Strategic-Plan-2020-2025.pdf" TargetMode="External"/><Relationship Id="rId55" Type="http://schemas.openxmlformats.org/officeDocument/2006/relationships/hyperlink" Target="https://news.griffith.edu.au/2020/11/05/griffith-and-adb-host-forum-on-pacific-island-covid-19-impacts/" TargetMode="External"/><Relationship Id="rId63" Type="http://schemas.openxmlformats.org/officeDocument/2006/relationships/hyperlink" Target="https://www.rbf.gov.fj/rbf-griffith-university-seminar-series/" TargetMode="External"/><Relationship Id="rId68" Type="http://schemas.openxmlformats.org/officeDocument/2006/relationships/hyperlink" Target="https://www.thepartneringinitiative.org/wp-content/uploads/2020/07/SDG-Partnership-Guidebook-1.0.pdf"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riffith.edu.au/__data/assets/pdf_file/0025/700369/JPRWP6-web.pdf" TargetMode="External"/><Relationship Id="rId29" Type="http://schemas.openxmlformats.org/officeDocument/2006/relationships/hyperlink" Target="https://www.griffith.edu.au/asia-institute/our-research/south-pacific-centre-central-banking/working-papers" TargetMode="Externa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openknowledge.worldbank.org/handle/10986/12203" TargetMode="External"/><Relationship Id="rId37" Type="http://schemas.openxmlformats.org/officeDocument/2006/relationships/hyperlink" Target="https://doi.org/10.1596/1813-9450-6025" TargetMode="External"/><Relationship Id="rId40" Type="http://schemas.openxmlformats.org/officeDocument/2006/relationships/hyperlink" Target="https://www.dfat.gov.au/geo/pacific/economic-prosperity-in-the-pacific" TargetMode="External"/><Relationship Id="rId45" Type="http://schemas.openxmlformats.org/officeDocument/2006/relationships/hyperlink" Target="https://news.griffith.edu.au/2018/11/14/australian-foreign-policy-shift-aligns-with-central-banks-capacity-building-program-in-the-south-pacific/" TargetMode="External"/><Relationship Id="rId53" Type="http://schemas.openxmlformats.org/officeDocument/2006/relationships/hyperlink" Target="https://www.griffith.edu.au/asia-institute/our-research/south-pacific-centre-central-banking" TargetMode="External"/><Relationship Id="rId58" Type="http://schemas.openxmlformats.org/officeDocument/2006/relationships/hyperlink" Target="https://news.griffith.edu.au/2017/11/28/griffith-university-teams-up-with-south-pacific-central-banks-in-ongoing-research-agreement/" TargetMode="External"/><Relationship Id="rId66" Type="http://schemas.openxmlformats.org/officeDocument/2006/relationships/hyperlink" Target="https://www.rbv.gov.vu/index.php/en/about/vision-and-mission" TargetMode="External"/><Relationship Id="R13e5ea3057164dee"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dfat.gov.au/about-us/publications/australia-awards-global-strategic-framework-and-monitoring-and-evaluation-framework" TargetMode="External"/><Relationship Id="rId23" Type="http://schemas.openxmlformats.org/officeDocument/2006/relationships/footer" Target="footer1.xml"/><Relationship Id="rId28" Type="http://schemas.openxmlformats.org/officeDocument/2006/relationships/image" Target="media/image6.png"/><Relationship Id="rId36" Type="http://schemas.openxmlformats.org/officeDocument/2006/relationships/hyperlink" Target="https://www.cbsi.com.sb/financial-inclusion/financial-inclusion-vision-goal-roles/" TargetMode="External"/><Relationship Id="rId49" Type="http://schemas.openxmlformats.org/officeDocument/2006/relationships/hyperlink" Target="https://www.griffith.edu.au/__data/assets/pdf_file/0015/611331/GAI-Strategy-2018-2021-web.pdf" TargetMode="External"/><Relationship Id="rId57" Type="http://schemas.openxmlformats.org/officeDocument/2006/relationships/hyperlink" Target="https://openknowledge.worldbank.org/handle/10986/36228" TargetMode="External"/><Relationship Id="rId61" Type="http://schemas.openxmlformats.org/officeDocument/2006/relationships/hyperlink" Target="https://blogs.griffith.edu.au/asiainsights/joint-griffith-university-reserve-bank-of-fiji-research-seminar/" TargetMode="External"/><Relationship Id="rId10" Type="http://schemas.openxmlformats.org/officeDocument/2006/relationships/endnotes" Target="endnotes.xml"/><Relationship Id="rId19" Type="http://schemas.openxmlformats.org/officeDocument/2006/relationships/hyperlink" Target="https://www.griffith.edu.au/__data/assets/pdf_file/0017/1215314/JPRWP18-web.pdf" TargetMode="External"/><Relationship Id="rId31" Type="http://schemas.openxmlformats.org/officeDocument/2006/relationships/image" Target="media/image8.PNG"/><Relationship Id="rId44" Type="http://schemas.openxmlformats.org/officeDocument/2006/relationships/hyperlink" Target="https://news.griffith.edu.au/2016/06/14/griffith-facilitates-vital-research-capacity-for-south-pacific-central-banks/" TargetMode="External"/><Relationship Id="rId52" Type="http://schemas.openxmlformats.org/officeDocument/2006/relationships/hyperlink" Target="https://griffith.edu.au/asia-institute/our-research" TargetMode="External"/><Relationship Id="rId60" Type="http://schemas.openxmlformats.org/officeDocument/2006/relationships/hyperlink" Target="https://www.griffith.edu.au/__data/assets/pdf_file/0010/1023301/JPRWP13-web.pdf" TargetMode="External"/><Relationship Id="rId65" Type="http://schemas.openxmlformats.org/officeDocument/2006/relationships/hyperlink" Target="https://www.rbf.gov.fj/our-histo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s://www.cbsi.com.sb/wp-content/uploads/2021/04/Solomon-Islands-National-Financial-Inclusion-Strategy3-1.pdf" TargetMode="External"/><Relationship Id="rId43" Type="http://schemas.openxmlformats.org/officeDocument/2006/relationships/hyperlink" Target="https://news.griffith.edu.au/2016/05/23/central-bank-symposium-a-first-for-griffith/" TargetMode="External"/><Relationship Id="rId48" Type="http://schemas.openxmlformats.org/officeDocument/2006/relationships/hyperlink" Target="https://www.griffith.edu.au/__data/assets/pdf_file/0038/169877/gu-internationalisation-strategy.pdf" TargetMode="External"/><Relationship Id="rId56" Type="http://schemas.openxmlformats.org/officeDocument/2006/relationships/hyperlink" Target="https://www.griffith.edu.au/__data/assets/pdf_file/0017/1215314/JPRWP18-web.pdf" TargetMode="External"/><Relationship Id="rId64" Type="http://schemas.openxmlformats.org/officeDocument/2006/relationships/hyperlink" Target="https://www.rbf.gov.fj/about-us/rbf-strategic-plan-2019-to-2024/" TargetMode="External"/><Relationship Id="rId69" Type="http://schemas.openxmlformats.org/officeDocument/2006/relationships/hyperlink" Target="https://www.fijitimes.com/narrowing-knowledge-gap-focus-of-central-banking-conference/" TargetMode="External"/><Relationship Id="rId8" Type="http://schemas.openxmlformats.org/officeDocument/2006/relationships/webSettings" Target="webSettings.xml"/><Relationship Id="rId51" Type="http://schemas.openxmlformats.org/officeDocument/2006/relationships/hyperlink" Target="https://www.griffith.edu.au/asia-institute/our-institute" TargetMode="External"/><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dfat.gov.au/people-to-people/australia-awards/australia-awards-global-tracer-facility-year-6-results" TargetMode="External"/><Relationship Id="rId17" Type="http://schemas.openxmlformats.org/officeDocument/2006/relationships/hyperlink" Target="https://www.griffith.edu.au/__data/assets/pdf_file/0038/959591/JPRWP12-web.pdf" TargetMode="External"/><Relationship Id="rId25" Type="http://schemas.openxmlformats.org/officeDocument/2006/relationships/header" Target="header3.xml"/><Relationship Id="rId33" Type="http://schemas.openxmlformats.org/officeDocument/2006/relationships/hyperlink" Target="https://www.bancocentral.tl/en/go/institution" TargetMode="External"/><Relationship Id="rId38" Type="http://schemas.openxmlformats.org/officeDocument/2006/relationships/hyperlink" Target="https://www.dfat.gov.au/about-us/publications/australia-awards-global-strategic-framework-and-monitoring-and-evaluation-framework" TargetMode="External"/><Relationship Id="rId46" Type="http://schemas.openxmlformats.org/officeDocument/2006/relationships/hyperlink" Target="https://news.griffith.edu.au/2019/11/14/when-research-meets-policy-second-south-pacific-conference-kicks-off-in-vila/" TargetMode="External"/><Relationship Id="rId59" Type="http://schemas.openxmlformats.org/officeDocument/2006/relationships/hyperlink" Target="https://blogs.griffith.edu.au/business-school-research/department/accounting-finance-economics/2018/06/29/building-capacity-with-central-banks-research-based-policy-formulation-program/" TargetMode="External"/><Relationship Id="rId67" Type="http://schemas.openxmlformats.org/officeDocument/2006/relationships/hyperlink" Target="https://blogs.griffith.edu.au/asiainsights/spsg-engages-with-regional-central-banks/" TargetMode="External"/><Relationship Id="rId20" Type="http://schemas.openxmlformats.org/officeDocument/2006/relationships/image" Target="media/image4.png"/><Relationship Id="rId41" Type="http://schemas.openxmlformats.org/officeDocument/2006/relationships/hyperlink" Target="https://blogs.griffith.edu.au/asiainsights/capacity-building-and-central-banking-in-the-pacific/?_gl=1*1ah2sgy*_ga*MzIwNTgwNzQzLjE2MzUzOTM5NTY.*_ga_5GKYJEBSN9*MTY0Mzc1OTY3OS4zMS4xLjE2NDM3NjgxMDguMA.." TargetMode="External"/><Relationship Id="rId54" Type="http://schemas.openxmlformats.org/officeDocument/2006/relationships/hyperlink" Target="https://www.griffith.edu.au/asia-institute/our-research/south-pacific-centre-central-banking/working-papers" TargetMode="External"/><Relationship Id="rId62" Type="http://schemas.openxmlformats.org/officeDocument/2006/relationships/hyperlink" Target="https://www.rbnz.govt.nz/news/2021/04/keeping-the-bank-door-open-for-pacific-peopl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926CCB33-E171-4781-A7F7-87A23E7AA8A7}">
    <t:Anchor>
      <t:Comment id="634432538"/>
    </t:Anchor>
    <t:History>
      <t:Event id="{E7250A8C-F26A-4EEE-B965-C32450878526}" time="2022-03-15T03:18:28.707Z">
        <t:Attribution userId="S::jo.doyle@acer.org::fdf1e325-a878-4274-b9e2-55f527ad7678" userProvider="AD" userName="Jo Doyle"/>
        <t:Anchor>
          <t:Comment id="1486228584"/>
        </t:Anchor>
        <t:Create/>
      </t:Event>
      <t:Event id="{7A69C402-F065-4A33-8362-CB3B1BD9CA05}" time="2022-03-15T03:18:28.707Z">
        <t:Attribution userId="S::jo.doyle@acer.org::fdf1e325-a878-4274-b9e2-55f527ad7678" userProvider="AD" userName="Jo Doyle"/>
        <t:Anchor>
          <t:Comment id="1486228584"/>
        </t:Anchor>
        <t:Assign userId="S::Amanda.Haddow@acer.org::6438609e-af86-4f8e-b281-0ea657cfc7e4" userProvider="AD" userName="Amanda Haddow"/>
      </t:Event>
      <t:Event id="{06E375E6-86DB-47EF-B1C5-97802935C831}" time="2022-03-15T03:18:28.707Z">
        <t:Attribution userId="S::jo.doyle@acer.org::fdf1e325-a878-4274-b9e2-55f527ad7678" userProvider="AD" userName="Jo Doyle"/>
        <t:Anchor>
          <t:Comment id="1486228584"/>
        </t:Anchor>
        <t:SetTitle title="@Amanda Haddow An unexplored area of research in the outcomes of the Australia Awards, it is the first time the GTF has examined the outcomes from the perspective of partner organisations (previously, the focus has been on alumni). I think these needs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7E1139739E24428FBED50869F4CFAF" ma:contentTypeVersion="11" ma:contentTypeDescription="Create a new document." ma:contentTypeScope="" ma:versionID="43d516fe90cb88f398a1571be3c6fc47">
  <xsd:schema xmlns:xsd="http://www.w3.org/2001/XMLSchema" xmlns:xs="http://www.w3.org/2001/XMLSchema" xmlns:p="http://schemas.microsoft.com/office/2006/metadata/properties" xmlns:ns2="e2a2334c-2d2a-4ce7-b832-04632de04d7a" xmlns:ns3="d28a216c-99f7-46e1-ae3c-90dac3781e43" targetNamespace="http://schemas.microsoft.com/office/2006/metadata/properties" ma:root="true" ma:fieldsID="27562445d8d82ca3af6ccb2c271f2e54" ns2:_="" ns3:_="">
    <xsd:import namespace="e2a2334c-2d2a-4ce7-b832-04632de04d7a"/>
    <xsd:import namespace="d28a216c-99f7-46e1-ae3c-90dac3781e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2334c-2d2a-4ce7-b832-04632de04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8a216c-99f7-46e1-ae3c-90dac3781e4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E54E-806A-4247-9EC7-6B37AA1F9D22}">
  <ds:schemaRefs>
    <ds:schemaRef ds:uri="http://schemas.microsoft.com/sharepoint/v3/contenttype/forms"/>
  </ds:schemaRefs>
</ds:datastoreItem>
</file>

<file path=customXml/itemProps2.xml><?xml version="1.0" encoding="utf-8"?>
<ds:datastoreItem xmlns:ds="http://schemas.openxmlformats.org/officeDocument/2006/customXml" ds:itemID="{D3AC45F1-24F7-4866-8803-FEDA6639E095}">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e2a2334c-2d2a-4ce7-b832-04632de04d7a"/>
    <ds:schemaRef ds:uri="http://purl.org/dc/dcmitype/"/>
    <ds:schemaRef ds:uri="http://schemas.openxmlformats.org/package/2006/metadata/core-properties"/>
    <ds:schemaRef ds:uri="d28a216c-99f7-46e1-ae3c-90dac3781e43"/>
    <ds:schemaRef ds:uri="http://www.w3.org/XML/1998/namespace"/>
  </ds:schemaRefs>
</ds:datastoreItem>
</file>

<file path=customXml/itemProps3.xml><?xml version="1.0" encoding="utf-8"?>
<ds:datastoreItem xmlns:ds="http://schemas.openxmlformats.org/officeDocument/2006/customXml" ds:itemID="{7BA7EB44-5C54-4F06-9B72-5C3582AA4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2334c-2d2a-4ce7-b832-04632de04d7a"/>
    <ds:schemaRef ds:uri="d28a216c-99f7-46e1-ae3c-90dac3781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9A3A81-0E03-4D2C-A780-B1CC7C4F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17313</Words>
  <Characters>98688</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Haddow, Amanda</dc:creator>
  <cp:keywords>[SEC=OFFICIAL]</cp:keywords>
  <dc:description/>
  <cp:lastModifiedBy>Doyle, Jo</cp:lastModifiedBy>
  <cp:revision>2</cp:revision>
  <cp:lastPrinted>2022-05-13T06:49:00Z</cp:lastPrinted>
  <dcterms:created xsi:type="dcterms:W3CDTF">2022-06-15T04:03:00Z</dcterms:created>
  <dcterms:modified xsi:type="dcterms:W3CDTF">2022-06-15T04:03:00Z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0x010100E97E1139739E24428FBED50869F4CFAF</vt:lpwstr>
  </property>
  <property fmtid="{D5CDD505-2E9C-101B-9397-08002B2CF9AE}" pid="3" name="ZOTERO_PREF_2">
    <vt:lpwstr>rnalAbbreviations" value="true"/&gt;&lt;/prefs&gt;&lt;/data&gt;</vt:lpwstr>
  </property>
  <property fmtid="{D5CDD505-2E9C-101B-9397-08002B2CF9AE}" pid="4" name="PM_ProtectiveMarkingImage_Header">
    <vt:lpwstr>C:\Program Files (x86)\Common Files\janusNET Shared\janusSEAL\Images\DocumentSlashBlue.png</vt:lpwstr>
  </property>
  <property fmtid="{D5CDD505-2E9C-101B-9397-08002B2CF9AE}" pid="5" name="PM_Caveats_Count">
    <vt:lpwstr>0</vt:lpwstr>
  </property>
  <property fmtid="{D5CDD505-2E9C-101B-9397-08002B2CF9AE}" pid="6" name="PM_DisplayValueSecClassificationWithQualifier">
    <vt:lpwstr>OFFICIAL</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InsertionValue">
    <vt:lpwstr>OFFICIAL</vt:lpwstr>
  </property>
  <property fmtid="{D5CDD505-2E9C-101B-9397-08002B2CF9AE}" pid="10" name="PM_Originating_FileId">
    <vt:lpwstr>C0CF0C646F1D4876A70337A43221B0AB</vt:lpwstr>
  </property>
  <property fmtid="{D5CDD505-2E9C-101B-9397-08002B2CF9AE}" pid="11" name="PM_ProtectiveMarkingValue_Footer">
    <vt:lpwstr>OFFICIAL</vt:lpwstr>
  </property>
  <property fmtid="{D5CDD505-2E9C-101B-9397-08002B2CF9AE}" pid="12" name="PM_Originator_Hash_SHA1">
    <vt:lpwstr>1F655CD36084035884153E9D34150FE54F44378E</vt:lpwstr>
  </property>
  <property fmtid="{D5CDD505-2E9C-101B-9397-08002B2CF9AE}" pid="13" name="PM_OriginationTimeStamp">
    <vt:lpwstr>2022-04-01T03:52:14Z</vt:lpwstr>
  </property>
  <property fmtid="{D5CDD505-2E9C-101B-9397-08002B2CF9AE}" pid="14" name="PM_ProtectiveMarkingValue_Header">
    <vt:lpwstr>OFFICIAL</vt:lpwstr>
  </property>
  <property fmtid="{D5CDD505-2E9C-101B-9397-08002B2CF9AE}" pid="15" name="PM_ProtectiveMarkingImage_Footer">
    <vt:lpwstr>C:\Program Files (x86)\Common Files\janusNET Shared\janusSEAL\Images\DocumentSlashBlue.png</vt:lpwstr>
  </property>
  <property fmtid="{D5CDD505-2E9C-101B-9397-08002B2CF9AE}" pid="16" name="PM_Namespace">
    <vt:lpwstr>gov.au</vt:lpwstr>
  </property>
  <property fmtid="{D5CDD505-2E9C-101B-9397-08002B2CF9AE}" pid="17" name="PM_Version">
    <vt:lpwstr>2018.4</vt:lpwstr>
  </property>
  <property fmtid="{D5CDD505-2E9C-101B-9397-08002B2CF9AE}" pid="18" name="PM_Note">
    <vt:lpwstr/>
  </property>
  <property fmtid="{D5CDD505-2E9C-101B-9397-08002B2CF9AE}" pid="19" name="PM_Markers">
    <vt:lpwstr/>
  </property>
  <property fmtid="{D5CDD505-2E9C-101B-9397-08002B2CF9AE}" pid="20" name="PM_Hash_Version">
    <vt:lpwstr>2018.0</vt:lpwstr>
  </property>
  <property fmtid="{D5CDD505-2E9C-101B-9397-08002B2CF9AE}" pid="21" name="PM_Hash_Salt_Prev">
    <vt:lpwstr>EAD4FC2FCB0373AE417EBB8E429AD078</vt:lpwstr>
  </property>
  <property fmtid="{D5CDD505-2E9C-101B-9397-08002B2CF9AE}" pid="22" name="PM_Hash_Salt">
    <vt:lpwstr>B5D038DFF702E00DEF82E7E126D5D29A</vt:lpwstr>
  </property>
  <property fmtid="{D5CDD505-2E9C-101B-9397-08002B2CF9AE}" pid="23" name="PM_Hash_SHA1">
    <vt:lpwstr>6BF61FF3AC33D6A2CA43348E155268A2ED6FB1BF</vt:lpwstr>
  </property>
  <property fmtid="{D5CDD505-2E9C-101B-9397-08002B2CF9AE}" pid="24" name="PM_SecurityClassification_Prev">
    <vt:lpwstr>OFFICIAL</vt:lpwstr>
  </property>
  <property fmtid="{D5CDD505-2E9C-101B-9397-08002B2CF9AE}" pid="25" name="PM_Qualifier_Prev">
    <vt:lpwstr/>
  </property>
  <property fmtid="{D5CDD505-2E9C-101B-9397-08002B2CF9AE}" pid="26" name="ZOTERO_PREF_1">
    <vt:lpwstr>&lt;data data-version="3" zotero-version="5.0.96.3"&gt;&lt;session id="MKuF6jrx"/&gt;&lt;style id="http://www.zotero.org/styles/apa" locale="en-US" hasBibliography="1" bibliographyStyleHasBeenSet="0"/&gt;&lt;prefs&gt;&lt;pref name="fieldType" value="Field"/&gt;&lt;pref name="automaticJou</vt:lpwstr>
  </property>
</Properties>
</file>